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948" w:rsidRPr="007D4DA5" w:rsidRDefault="003E3948" w:rsidP="003E3948">
      <w:pPr>
        <w:jc w:val="center"/>
        <w:rPr>
          <w:b/>
        </w:rPr>
      </w:pPr>
      <w:r w:rsidRPr="007D4DA5">
        <w:rPr>
          <w:b/>
        </w:rPr>
        <w:t>Department of Treasury, Departmental Offices</w:t>
      </w:r>
    </w:p>
    <w:p w:rsidR="003E3948" w:rsidRPr="007D4DA5" w:rsidRDefault="003E3948" w:rsidP="003E3948">
      <w:pPr>
        <w:jc w:val="center"/>
        <w:rPr>
          <w:b/>
        </w:rPr>
      </w:pPr>
      <w:r w:rsidRPr="007D4DA5">
        <w:rPr>
          <w:b/>
        </w:rPr>
        <w:t>Consumer Financial Protection Bureau</w:t>
      </w:r>
    </w:p>
    <w:p w:rsidR="003E3948" w:rsidRPr="007D4DA5" w:rsidRDefault="003E3948" w:rsidP="003E3948">
      <w:pPr>
        <w:jc w:val="center"/>
        <w:rPr>
          <w:b/>
        </w:rPr>
      </w:pPr>
      <w:r w:rsidRPr="007D4DA5">
        <w:rPr>
          <w:b/>
        </w:rPr>
        <w:t>Qualitative Testing of Integrated Mortgage Loan Disclosure Forms</w:t>
      </w:r>
    </w:p>
    <w:p w:rsidR="003E3948" w:rsidRPr="007D4DA5" w:rsidRDefault="003E3948" w:rsidP="003E3948">
      <w:pPr>
        <w:jc w:val="center"/>
        <w:rPr>
          <w:b/>
        </w:rPr>
      </w:pPr>
      <w:r w:rsidRPr="007D4DA5">
        <w:rPr>
          <w:b/>
        </w:rPr>
        <w:t>Information Collection 1505-0233</w:t>
      </w:r>
    </w:p>
    <w:p w:rsidR="003E3948" w:rsidRPr="007D4DA5" w:rsidRDefault="003E3948" w:rsidP="003E3948">
      <w:pPr>
        <w:jc w:val="center"/>
        <w:rPr>
          <w:b/>
        </w:rPr>
      </w:pPr>
      <w:r w:rsidRPr="007D4DA5">
        <w:rPr>
          <w:b/>
        </w:rPr>
        <w:t>Submission of Non-Substantive Changes</w:t>
      </w:r>
    </w:p>
    <w:p w:rsidR="003E3948" w:rsidRPr="007D4DA5" w:rsidRDefault="003E3948" w:rsidP="003E3948"/>
    <w:p w:rsidR="003E3948" w:rsidRPr="007D4DA5" w:rsidRDefault="003E3948" w:rsidP="003E3948">
      <w:pPr>
        <w:pStyle w:val="PlainText"/>
        <w:rPr>
          <w:rFonts w:ascii="Times New Roman" w:hAnsi="Times New Roman"/>
          <w:color w:val="000000"/>
          <w:sz w:val="24"/>
          <w:szCs w:val="24"/>
          <w:u w:val="single"/>
        </w:rPr>
      </w:pPr>
    </w:p>
    <w:p w:rsidR="003E3948" w:rsidRPr="007D4DA5" w:rsidRDefault="003E3948" w:rsidP="003E3948">
      <w:pPr>
        <w:rPr>
          <w:rFonts w:eastAsia="Times New Roman"/>
        </w:rPr>
      </w:pPr>
      <w:r w:rsidRPr="007D4DA5">
        <w:t xml:space="preserve">The Consumer Financial Protection Bureau (CFPB) is required by the Dodd-Frank Wall Street Reform and Consumer Protection Act, Public Law No. 111-203, Title X (the Dodd-Frank Act), to “publish a single, integrated disclosure for mortgage loan transactions” that satisfies requirements of the Truth in Lending Act (TILA) and the Real Estate Settlement Procedures Act (RESPA) by July 21, 2012 (Dodd-Frank Act, §§ 1032(f), 1098, 1100A).  </w:t>
      </w:r>
    </w:p>
    <w:p w:rsidR="003E3948" w:rsidRPr="007D4DA5" w:rsidRDefault="003E3948" w:rsidP="003E3948">
      <w:pPr>
        <w:rPr>
          <w:rFonts w:eastAsia="Times New Roman"/>
        </w:rPr>
      </w:pPr>
    </w:p>
    <w:p w:rsidR="003E3948" w:rsidRPr="007D4DA5" w:rsidRDefault="003E3948" w:rsidP="003E3948">
      <w:pPr>
        <w:rPr>
          <w:rFonts w:eastAsia="Times New Roman"/>
        </w:rPr>
      </w:pPr>
      <w:r w:rsidRPr="007D4DA5">
        <w:rPr>
          <w:rFonts w:eastAsia="Times New Roman"/>
        </w:rPr>
        <w:t xml:space="preserve">The first round of testing occurred May 19-May 24, 2011 in Baltimore, MD. </w:t>
      </w:r>
      <w:r>
        <w:rPr>
          <w:rFonts w:eastAsia="Times New Roman"/>
        </w:rPr>
        <w:t xml:space="preserve">The second round of testing was conducted June 27-June 30, 2011 in Los Angeles, CA. </w:t>
      </w:r>
      <w:r w:rsidRPr="007D4DA5">
        <w:rPr>
          <w:rFonts w:eastAsia="Times New Roman"/>
        </w:rPr>
        <w:t xml:space="preserve"> </w:t>
      </w:r>
    </w:p>
    <w:p w:rsidR="003E3948" w:rsidRDefault="003E3948" w:rsidP="003E3948">
      <w:pPr>
        <w:rPr>
          <w:rFonts w:eastAsia="Times New Roman"/>
        </w:rPr>
      </w:pPr>
      <w:r w:rsidRPr="007D4DA5">
        <w:rPr>
          <w:rFonts w:eastAsia="Times New Roman"/>
        </w:rPr>
        <w:t xml:space="preserve">The CFPB is now preparing for the </w:t>
      </w:r>
      <w:r>
        <w:rPr>
          <w:rFonts w:eastAsia="Times New Roman"/>
        </w:rPr>
        <w:t xml:space="preserve">third </w:t>
      </w:r>
      <w:r w:rsidRPr="007D4DA5">
        <w:rPr>
          <w:rFonts w:eastAsia="Times New Roman"/>
        </w:rPr>
        <w:t xml:space="preserve">round of testing, which will be conducted in </w:t>
      </w:r>
      <w:r>
        <w:rPr>
          <w:rFonts w:eastAsia="Times New Roman"/>
        </w:rPr>
        <w:t>Chicago, IL</w:t>
      </w:r>
      <w:r w:rsidRPr="007D4DA5">
        <w:rPr>
          <w:rFonts w:eastAsia="Times New Roman"/>
        </w:rPr>
        <w:t xml:space="preserve">.  As before, the CFPB will be posting the revised disclosures on its website and enabling the public to provide feedback.  This memorandum outlines the changes in the information collection tools between Round </w:t>
      </w:r>
      <w:r>
        <w:rPr>
          <w:rFonts w:eastAsia="Times New Roman"/>
        </w:rPr>
        <w:t>2</w:t>
      </w:r>
      <w:r w:rsidRPr="007D4DA5">
        <w:rPr>
          <w:rFonts w:eastAsia="Times New Roman"/>
        </w:rPr>
        <w:t xml:space="preserve"> and Round </w:t>
      </w:r>
      <w:r>
        <w:rPr>
          <w:rFonts w:eastAsia="Times New Roman"/>
        </w:rPr>
        <w:t>3</w:t>
      </w:r>
      <w:r w:rsidRPr="007D4DA5">
        <w:rPr>
          <w:rFonts w:eastAsia="Times New Roman"/>
        </w:rPr>
        <w:t xml:space="preserve">.  </w:t>
      </w:r>
    </w:p>
    <w:p w:rsidR="003E3948" w:rsidRDefault="003E3948" w:rsidP="003E3948">
      <w:pPr>
        <w:rPr>
          <w:rFonts w:eastAsia="Times New Roman"/>
        </w:rPr>
      </w:pPr>
    </w:p>
    <w:p w:rsidR="003E3948" w:rsidRDefault="003E3948" w:rsidP="003E3948">
      <w:pPr>
        <w:rPr>
          <w:rFonts w:eastAsia="Times New Roman"/>
        </w:rPr>
      </w:pPr>
      <w:r w:rsidRPr="007D4DA5">
        <w:rPr>
          <w:rFonts w:eastAsia="Times New Roman"/>
          <w:u w:val="single"/>
        </w:rPr>
        <w:t xml:space="preserve">Changes </w:t>
      </w:r>
      <w:r>
        <w:rPr>
          <w:rFonts w:eastAsia="Times New Roman"/>
          <w:u w:val="single"/>
        </w:rPr>
        <w:t xml:space="preserve">to </w:t>
      </w:r>
      <w:r w:rsidRPr="007D4DA5">
        <w:rPr>
          <w:rFonts w:eastAsia="Times New Roman"/>
          <w:u w:val="single"/>
        </w:rPr>
        <w:t xml:space="preserve">the </w:t>
      </w:r>
      <w:r>
        <w:rPr>
          <w:rFonts w:eastAsia="Times New Roman"/>
          <w:u w:val="single"/>
        </w:rPr>
        <w:t>Recruiting Materials</w:t>
      </w:r>
      <w:r w:rsidRPr="007D4DA5">
        <w:rPr>
          <w:rFonts w:eastAsia="Times New Roman"/>
        </w:rPr>
        <w:t>:</w:t>
      </w:r>
    </w:p>
    <w:p w:rsidR="00B84F2A" w:rsidRDefault="00B84F2A" w:rsidP="003E3948">
      <w:pPr>
        <w:rPr>
          <w:rFonts w:eastAsia="Times New Roman"/>
        </w:rPr>
      </w:pPr>
    </w:p>
    <w:p w:rsidR="003E3948" w:rsidRPr="007D4DA5" w:rsidRDefault="003E3948" w:rsidP="003E3948">
      <w:pPr>
        <w:rPr>
          <w:rFonts w:eastAsia="Times New Roman"/>
        </w:rPr>
      </w:pPr>
      <w:r>
        <w:rPr>
          <w:rFonts w:eastAsia="Times New Roman"/>
        </w:rPr>
        <w:t>No changes have been made to the recruiting materials</w:t>
      </w:r>
      <w:r w:rsidR="00B84F2A">
        <w:rPr>
          <w:rFonts w:eastAsia="Times New Roman"/>
        </w:rPr>
        <w:t>.</w:t>
      </w:r>
    </w:p>
    <w:p w:rsidR="003E3948" w:rsidRPr="007D4DA5" w:rsidRDefault="003E3948" w:rsidP="003E3948">
      <w:pPr>
        <w:rPr>
          <w:rFonts w:eastAsia="Times New Roman"/>
        </w:rPr>
      </w:pPr>
    </w:p>
    <w:p w:rsidR="003E3948" w:rsidRPr="007D4DA5" w:rsidRDefault="003E3948" w:rsidP="003E3948">
      <w:pPr>
        <w:rPr>
          <w:rFonts w:eastAsia="Times New Roman"/>
        </w:rPr>
      </w:pPr>
      <w:r w:rsidRPr="007D4DA5">
        <w:rPr>
          <w:rFonts w:eastAsia="Times New Roman"/>
          <w:u w:val="single"/>
        </w:rPr>
        <w:t>Changes in the Prototype Forms</w:t>
      </w:r>
      <w:r w:rsidRPr="007D4DA5">
        <w:rPr>
          <w:rFonts w:eastAsia="Times New Roman"/>
        </w:rPr>
        <w:t>:</w:t>
      </w:r>
    </w:p>
    <w:p w:rsidR="003E3948" w:rsidRPr="007D4DA5" w:rsidRDefault="003E3948" w:rsidP="003E3948">
      <w:pPr>
        <w:rPr>
          <w:rFonts w:eastAsia="Times New Roman"/>
        </w:rPr>
      </w:pPr>
    </w:p>
    <w:p w:rsidR="003E3948" w:rsidRDefault="003E3948" w:rsidP="003E3948">
      <w:pPr>
        <w:pStyle w:val="PlainText"/>
        <w:rPr>
          <w:rFonts w:ascii="Times New Roman" w:hAnsi="Times New Roman"/>
          <w:color w:val="000000"/>
          <w:sz w:val="24"/>
          <w:szCs w:val="24"/>
        </w:rPr>
      </w:pPr>
      <w:r w:rsidRPr="00B84F2A">
        <w:rPr>
          <w:rFonts w:ascii="Times New Roman" w:hAnsi="Times New Roman"/>
          <w:color w:val="000000"/>
          <w:sz w:val="24"/>
          <w:szCs w:val="24"/>
        </w:rPr>
        <w:t>The new prototypes are identical to each other on the first page “shopping sheet</w:t>
      </w:r>
      <w:r w:rsidR="0093305C">
        <w:rPr>
          <w:rFonts w:ascii="Times New Roman" w:hAnsi="Times New Roman"/>
          <w:color w:val="000000"/>
          <w:sz w:val="24"/>
          <w:szCs w:val="24"/>
        </w:rPr>
        <w:t>.</w:t>
      </w:r>
      <w:r w:rsidRPr="00B84F2A">
        <w:rPr>
          <w:rFonts w:ascii="Times New Roman" w:hAnsi="Times New Roman"/>
          <w:color w:val="000000"/>
          <w:sz w:val="24"/>
          <w:szCs w:val="24"/>
        </w:rPr>
        <w:t xml:space="preserve">” </w:t>
      </w:r>
      <w:r w:rsidR="0093305C">
        <w:rPr>
          <w:rFonts w:ascii="Times New Roman" w:hAnsi="Times New Roman"/>
          <w:color w:val="000000"/>
          <w:sz w:val="24"/>
          <w:szCs w:val="24"/>
        </w:rPr>
        <w:t xml:space="preserve"> On the second page, each </w:t>
      </w:r>
      <w:proofErr w:type="gramStart"/>
      <w:r w:rsidR="0093305C">
        <w:rPr>
          <w:rFonts w:ascii="Times New Roman" w:hAnsi="Times New Roman"/>
          <w:color w:val="000000"/>
          <w:sz w:val="24"/>
          <w:szCs w:val="24"/>
        </w:rPr>
        <w:t xml:space="preserve">prototype  </w:t>
      </w:r>
      <w:r w:rsidRPr="00B84F2A">
        <w:rPr>
          <w:rFonts w:ascii="Times New Roman" w:hAnsi="Times New Roman"/>
          <w:color w:val="000000"/>
          <w:sz w:val="24"/>
          <w:szCs w:val="24"/>
        </w:rPr>
        <w:t>provide</w:t>
      </w:r>
      <w:r w:rsidR="0093305C">
        <w:rPr>
          <w:rFonts w:ascii="Times New Roman" w:hAnsi="Times New Roman"/>
          <w:color w:val="000000"/>
          <w:sz w:val="24"/>
          <w:szCs w:val="24"/>
        </w:rPr>
        <w:t>s</w:t>
      </w:r>
      <w:proofErr w:type="gramEnd"/>
      <w:r w:rsidRPr="00B84F2A">
        <w:rPr>
          <w:rFonts w:ascii="Times New Roman" w:hAnsi="Times New Roman"/>
          <w:color w:val="000000"/>
          <w:sz w:val="24"/>
          <w:szCs w:val="24"/>
        </w:rPr>
        <w:t xml:space="preserve"> different levels of detail regarding closing costs.  </w:t>
      </w:r>
    </w:p>
    <w:p w:rsidR="00B84F2A" w:rsidRPr="00B84F2A" w:rsidRDefault="00B84F2A" w:rsidP="003E3948">
      <w:pPr>
        <w:pStyle w:val="PlainText"/>
        <w:rPr>
          <w:rFonts w:ascii="Times New Roman" w:hAnsi="Times New Roman"/>
          <w:color w:val="000000"/>
          <w:sz w:val="24"/>
          <w:szCs w:val="24"/>
        </w:rPr>
      </w:pPr>
    </w:p>
    <w:p w:rsidR="00B84F2A" w:rsidRPr="007D4DA5" w:rsidRDefault="00B84F2A" w:rsidP="00B84F2A">
      <w:pPr>
        <w:pStyle w:val="PlainText"/>
        <w:numPr>
          <w:ilvl w:val="0"/>
          <w:numId w:val="1"/>
        </w:numPr>
        <w:rPr>
          <w:rFonts w:ascii="Times New Roman" w:hAnsi="Times New Roman"/>
          <w:color w:val="000000"/>
          <w:sz w:val="24"/>
          <w:szCs w:val="24"/>
        </w:rPr>
      </w:pPr>
      <w:r w:rsidRPr="007D4DA5">
        <w:rPr>
          <w:rFonts w:ascii="Times New Roman" w:hAnsi="Times New Roman"/>
          <w:b/>
          <w:color w:val="000000"/>
          <w:sz w:val="24"/>
          <w:szCs w:val="24"/>
        </w:rPr>
        <w:t>The revised first page</w:t>
      </w:r>
      <w:r w:rsidRPr="007D4DA5">
        <w:rPr>
          <w:rFonts w:ascii="Times New Roman" w:hAnsi="Times New Roman"/>
          <w:color w:val="000000"/>
          <w:sz w:val="24"/>
          <w:szCs w:val="24"/>
        </w:rPr>
        <w:t xml:space="preserve"> </w:t>
      </w:r>
      <w:r>
        <w:rPr>
          <w:rFonts w:ascii="Times New Roman" w:hAnsi="Times New Roman"/>
          <w:color w:val="000000"/>
          <w:sz w:val="24"/>
          <w:szCs w:val="24"/>
        </w:rPr>
        <w:t xml:space="preserve">has a revised “Loan Terms” section to better communicate when the loan contains a feature that can cause higher or additional payments in the future.  We have replaced the </w:t>
      </w:r>
      <w:r w:rsidRPr="007D4DA5">
        <w:rPr>
          <w:rFonts w:ascii="Times New Roman" w:hAnsi="Times New Roman"/>
          <w:color w:val="000000"/>
          <w:sz w:val="24"/>
          <w:szCs w:val="24"/>
        </w:rPr>
        <w:t xml:space="preserve">yes/no buttons </w:t>
      </w:r>
      <w:r>
        <w:rPr>
          <w:rFonts w:ascii="Times New Roman" w:hAnsi="Times New Roman"/>
          <w:color w:val="000000"/>
          <w:sz w:val="24"/>
          <w:szCs w:val="24"/>
        </w:rPr>
        <w:t>with simple “yes” or “no.”   The Projected Payments table has been revised to more clearly explain taxes and insurance payments and the potential to have these amounts escrowed and collected with the monthly loan payment.</w:t>
      </w:r>
    </w:p>
    <w:p w:rsidR="003E3948" w:rsidRPr="007D4DA5" w:rsidRDefault="003E3948" w:rsidP="003E3948">
      <w:pPr>
        <w:pStyle w:val="PlainText"/>
        <w:ind w:left="720"/>
        <w:rPr>
          <w:rFonts w:ascii="Times New Roman" w:hAnsi="Times New Roman"/>
          <w:color w:val="000000"/>
          <w:sz w:val="24"/>
          <w:szCs w:val="24"/>
        </w:rPr>
      </w:pPr>
    </w:p>
    <w:p w:rsidR="003E3948" w:rsidRPr="006349AE" w:rsidRDefault="003E3948" w:rsidP="006349AE">
      <w:pPr>
        <w:pStyle w:val="PlainText"/>
        <w:numPr>
          <w:ilvl w:val="0"/>
          <w:numId w:val="1"/>
        </w:numPr>
        <w:rPr>
          <w:rFonts w:eastAsia="Times New Roman"/>
        </w:rPr>
      </w:pPr>
      <w:r w:rsidRPr="006349AE">
        <w:rPr>
          <w:rFonts w:ascii="Times New Roman" w:hAnsi="Times New Roman"/>
          <w:b/>
          <w:color w:val="000000"/>
          <w:sz w:val="24"/>
          <w:szCs w:val="24"/>
        </w:rPr>
        <w:t xml:space="preserve">The second pages </w:t>
      </w:r>
      <w:r w:rsidR="00B84F2A" w:rsidRPr="006349AE">
        <w:rPr>
          <w:rFonts w:ascii="Times New Roman" w:hAnsi="Times New Roman"/>
          <w:color w:val="000000"/>
          <w:sz w:val="24"/>
          <w:szCs w:val="24"/>
        </w:rPr>
        <w:t xml:space="preserve">continue to differ based on the closing cost details.  </w:t>
      </w:r>
      <w:r w:rsidR="00B84F2A" w:rsidRPr="00B84F2A">
        <w:rPr>
          <w:rFonts w:ascii="Times New Roman" w:hAnsi="Times New Roman"/>
          <w:sz w:val="24"/>
          <w:szCs w:val="24"/>
        </w:rPr>
        <w:t xml:space="preserve">In Round 2, we examined different levels of detail regarding the closing costs.  Because the closing cost disclosures had too many differences – in logic, in terminology, and in design, we did not obtain conclusive results.  Therefore, we are continuing to focus on the degree of itemization to determine what works best for consumers in understanding and comparing loans.  This means that Round 3 will be very similar to Round 2.  </w:t>
      </w:r>
      <w:r w:rsidRPr="006349AE">
        <w:rPr>
          <w:rFonts w:ascii="Times New Roman" w:hAnsi="Times New Roman"/>
          <w:color w:val="000000"/>
          <w:sz w:val="24"/>
          <w:szCs w:val="24"/>
        </w:rPr>
        <w:t>The first (</w:t>
      </w:r>
      <w:r w:rsidR="006349AE" w:rsidRPr="006349AE">
        <w:rPr>
          <w:rFonts w:ascii="Times New Roman" w:hAnsi="Times New Roman"/>
          <w:color w:val="000000"/>
          <w:sz w:val="24"/>
          <w:szCs w:val="24"/>
        </w:rPr>
        <w:t>Azalea Savings Bank</w:t>
      </w:r>
      <w:r w:rsidRPr="006349AE">
        <w:rPr>
          <w:rFonts w:ascii="Times New Roman" w:hAnsi="Times New Roman"/>
          <w:color w:val="000000"/>
          <w:sz w:val="24"/>
          <w:szCs w:val="24"/>
        </w:rPr>
        <w:t xml:space="preserve">) is similar to the Round </w:t>
      </w:r>
      <w:r w:rsidR="006349AE" w:rsidRPr="006349AE">
        <w:rPr>
          <w:rFonts w:ascii="Times New Roman" w:hAnsi="Times New Roman"/>
          <w:color w:val="000000"/>
          <w:sz w:val="24"/>
          <w:szCs w:val="24"/>
        </w:rPr>
        <w:t xml:space="preserve">2 “Dogwood” form and </w:t>
      </w:r>
      <w:r w:rsidRPr="006349AE">
        <w:rPr>
          <w:rFonts w:ascii="Times New Roman" w:hAnsi="Times New Roman"/>
          <w:color w:val="000000"/>
          <w:sz w:val="24"/>
          <w:szCs w:val="24"/>
        </w:rPr>
        <w:t>provides closing costs in a “bundled” format.  The second (</w:t>
      </w:r>
      <w:r w:rsidR="006349AE" w:rsidRPr="006349AE">
        <w:rPr>
          <w:rFonts w:ascii="Times New Roman" w:hAnsi="Times New Roman"/>
          <w:color w:val="000000"/>
          <w:sz w:val="24"/>
          <w:szCs w:val="24"/>
        </w:rPr>
        <w:t>Camellia Savings Bank</w:t>
      </w:r>
      <w:r w:rsidRPr="006349AE">
        <w:rPr>
          <w:rFonts w:ascii="Times New Roman" w:hAnsi="Times New Roman"/>
          <w:color w:val="000000"/>
          <w:sz w:val="24"/>
          <w:szCs w:val="24"/>
        </w:rPr>
        <w:t xml:space="preserve">) provides </w:t>
      </w:r>
      <w:r w:rsidR="006349AE" w:rsidRPr="006349AE">
        <w:rPr>
          <w:rFonts w:ascii="Times New Roman" w:hAnsi="Times New Roman"/>
          <w:color w:val="000000"/>
          <w:sz w:val="24"/>
          <w:szCs w:val="24"/>
        </w:rPr>
        <w:t xml:space="preserve">detailed information about fees, similar to the “Redbud” form.  </w:t>
      </w:r>
    </w:p>
    <w:p w:rsidR="006349AE" w:rsidRPr="00B84F2A" w:rsidRDefault="006349AE" w:rsidP="00D331E8">
      <w:pPr>
        <w:pStyle w:val="PlainText"/>
        <w:rPr>
          <w:rFonts w:eastAsia="Times New Roman"/>
        </w:rPr>
      </w:pPr>
    </w:p>
    <w:p w:rsidR="003E3948" w:rsidRPr="00B84F2A" w:rsidRDefault="003E3948" w:rsidP="003E3948">
      <w:pPr>
        <w:rPr>
          <w:rFonts w:eastAsia="Times New Roman"/>
        </w:rPr>
      </w:pPr>
      <w:r w:rsidRPr="00B84F2A">
        <w:rPr>
          <w:rFonts w:eastAsia="Times New Roman"/>
          <w:u w:val="single"/>
        </w:rPr>
        <w:t>Changes to the Moderator’s Guide for Consumers</w:t>
      </w:r>
    </w:p>
    <w:p w:rsidR="003E3948" w:rsidRPr="00B84F2A" w:rsidRDefault="003E3948" w:rsidP="003E3948">
      <w:pPr>
        <w:rPr>
          <w:rFonts w:eastAsia="Times New Roman"/>
        </w:rPr>
      </w:pPr>
    </w:p>
    <w:p w:rsidR="003E3948" w:rsidRDefault="00692069" w:rsidP="004C28A3">
      <w:pPr>
        <w:rPr>
          <w:rFonts w:eastAsia="Times New Roman"/>
        </w:rPr>
      </w:pPr>
      <w:r>
        <w:rPr>
          <w:rFonts w:eastAsia="Times New Roman"/>
        </w:rPr>
        <w:lastRenderedPageBreak/>
        <w:t xml:space="preserve">Because the Round 3 testing is focused on the same items as the Round 2 testing – understanding how different levels of closing cost details </w:t>
      </w:r>
      <w:r w:rsidR="004C28A3">
        <w:rPr>
          <w:rFonts w:eastAsia="Times New Roman"/>
        </w:rPr>
        <w:t xml:space="preserve">relate to consumer understanding and decision-making – the moderator guide </w:t>
      </w:r>
      <w:r w:rsidR="00ED2226">
        <w:rPr>
          <w:rFonts w:eastAsia="Times New Roman"/>
        </w:rPr>
        <w:t>is</w:t>
      </w:r>
      <w:r w:rsidR="003C25D5">
        <w:rPr>
          <w:rFonts w:eastAsia="Times New Roman"/>
        </w:rPr>
        <w:t xml:space="preserve"> quite</w:t>
      </w:r>
      <w:r w:rsidR="00ED2226">
        <w:rPr>
          <w:rFonts w:eastAsia="Times New Roman"/>
        </w:rPr>
        <w:t xml:space="preserve"> similar to that used in Round 2.  The primary change in the guide is the addition of a task to examine consumers’ understanding of specific statements required by the Truth in Lending Act.  To allow time for this task, the second comparison task (in which the consumer is asked to compare a third loan estimate to the two already reviewed) has been removed for this round of testing. </w:t>
      </w:r>
      <w:r w:rsidR="003C25D5">
        <w:rPr>
          <w:rFonts w:eastAsia="Times New Roman"/>
        </w:rPr>
        <w:t xml:space="preserve"> In addition, the scenario has been revised to reflect an appropriate purchase price for the Chicago metropolitan area and to clarify that the consumer has paid a deposit on the house, which was causing some confusion when discussing the down payment and cash needed to close.</w:t>
      </w:r>
    </w:p>
    <w:p w:rsidR="00ED2226" w:rsidRDefault="00ED2226" w:rsidP="004C28A3">
      <w:pPr>
        <w:rPr>
          <w:rFonts w:eastAsia="Times New Roman"/>
        </w:rPr>
      </w:pPr>
    </w:p>
    <w:p w:rsidR="003E3948" w:rsidRPr="00B84F2A" w:rsidRDefault="003E3948" w:rsidP="003E3948">
      <w:pPr>
        <w:rPr>
          <w:u w:val="single"/>
        </w:rPr>
      </w:pPr>
      <w:r w:rsidRPr="00B84F2A">
        <w:rPr>
          <w:rFonts w:eastAsia="Times New Roman"/>
          <w:u w:val="single"/>
        </w:rPr>
        <w:t>Changes to the Internet tool</w:t>
      </w:r>
    </w:p>
    <w:p w:rsidR="003E3948" w:rsidRPr="00B84F2A" w:rsidRDefault="003E3948" w:rsidP="003E3948">
      <w:pPr>
        <w:autoSpaceDE w:val="0"/>
        <w:autoSpaceDN w:val="0"/>
        <w:adjustRightInd w:val="0"/>
        <w:rPr>
          <w:rFonts w:eastAsia="Times New Roman"/>
          <w:b/>
        </w:rPr>
      </w:pPr>
    </w:p>
    <w:p w:rsidR="00B12C53" w:rsidRDefault="003E3948" w:rsidP="003E3948">
      <w:pPr>
        <w:autoSpaceDE w:val="0"/>
        <w:autoSpaceDN w:val="0"/>
        <w:adjustRightInd w:val="0"/>
        <w:rPr>
          <w:rFonts w:eastAsia="Times New Roman"/>
        </w:rPr>
      </w:pPr>
      <w:r w:rsidRPr="00B84F2A">
        <w:rPr>
          <w:rFonts w:eastAsia="Times New Roman"/>
        </w:rPr>
        <w:t xml:space="preserve">The Internet tool contains the same activities as before, with participants being presented with two forms, asked to choose one, then given the opportunity to select areas of the form and provide comments.  The </w:t>
      </w:r>
      <w:r w:rsidR="00B12C53">
        <w:rPr>
          <w:rFonts w:eastAsia="Times New Roman"/>
        </w:rPr>
        <w:t xml:space="preserve">only </w:t>
      </w:r>
      <w:r w:rsidRPr="00B84F2A">
        <w:rPr>
          <w:rFonts w:eastAsia="Times New Roman"/>
        </w:rPr>
        <w:t xml:space="preserve">difference </w:t>
      </w:r>
      <w:r w:rsidR="00B12C53">
        <w:rPr>
          <w:rFonts w:eastAsia="Times New Roman"/>
        </w:rPr>
        <w:t xml:space="preserve">between </w:t>
      </w:r>
      <w:r w:rsidRPr="00B84F2A">
        <w:rPr>
          <w:rFonts w:eastAsia="Times New Roman"/>
        </w:rPr>
        <w:t xml:space="preserve">Round 2 </w:t>
      </w:r>
      <w:r w:rsidR="00B12C53">
        <w:rPr>
          <w:rFonts w:eastAsia="Times New Roman"/>
        </w:rPr>
        <w:t xml:space="preserve">and Round 3 is that participants are allowed to click on four items on the entire form (as was the case in Round 1) to provide comments rather than only three items, which was the maximum for Round 2.  </w:t>
      </w:r>
    </w:p>
    <w:p w:rsidR="003E3948" w:rsidRPr="00B84F2A" w:rsidRDefault="003E3948" w:rsidP="003E3948">
      <w:pPr>
        <w:rPr>
          <w:rFonts w:eastAsia="Times New Roman"/>
        </w:rPr>
      </w:pPr>
    </w:p>
    <w:p w:rsidR="003E3948" w:rsidRDefault="006A55A6" w:rsidP="003E3948">
      <w:pPr>
        <w:rPr>
          <w:sz w:val="22"/>
          <w:szCs w:val="22"/>
          <w:u w:val="single"/>
        </w:rPr>
      </w:pPr>
      <w:r>
        <w:rPr>
          <w:sz w:val="22"/>
          <w:szCs w:val="22"/>
          <w:u w:val="single"/>
        </w:rPr>
        <w:t>Spanish Materials</w:t>
      </w:r>
    </w:p>
    <w:p w:rsidR="006A55A6" w:rsidRPr="006A55A6" w:rsidRDefault="006A55A6" w:rsidP="003E3948">
      <w:pPr>
        <w:rPr>
          <w:sz w:val="22"/>
          <w:szCs w:val="22"/>
          <w:u w:val="single"/>
        </w:rPr>
      </w:pPr>
    </w:p>
    <w:p w:rsidR="003E3948" w:rsidRDefault="003E3948" w:rsidP="003E3948">
      <w:pPr>
        <w:rPr>
          <w:sz w:val="22"/>
          <w:szCs w:val="22"/>
        </w:rPr>
      </w:pPr>
      <w:r>
        <w:rPr>
          <w:sz w:val="22"/>
          <w:szCs w:val="22"/>
        </w:rPr>
        <w:t>We will not be conducting any Spanish testing in this round.</w:t>
      </w:r>
    </w:p>
    <w:p w:rsidR="003E3948" w:rsidRDefault="003E3948" w:rsidP="003E3948">
      <w:pPr>
        <w:rPr>
          <w:sz w:val="22"/>
          <w:szCs w:val="22"/>
        </w:rPr>
      </w:pPr>
    </w:p>
    <w:p w:rsidR="003E3948" w:rsidRDefault="003E3948"/>
    <w:sectPr w:rsidR="003E3948" w:rsidSect="00210607">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CF2" w:rsidRDefault="009E6CF2" w:rsidP="003E3948">
      <w:r>
        <w:separator/>
      </w:r>
    </w:p>
  </w:endnote>
  <w:endnote w:type="continuationSeparator" w:id="0">
    <w:p w:rsidR="009E6CF2" w:rsidRDefault="009E6CF2" w:rsidP="003E39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C53" w:rsidRDefault="00B12C53">
    <w:pPr>
      <w:pStyle w:val="Footer"/>
      <w:jc w:val="center"/>
    </w:pPr>
    <w:fldSimple w:instr=" PAGE   \* MERGEFORMAT ">
      <w:r w:rsidR="009F14A3">
        <w:rPr>
          <w:noProof/>
        </w:rPr>
        <w:t>1</w:t>
      </w:r>
    </w:fldSimple>
  </w:p>
  <w:p w:rsidR="00B12C53" w:rsidRDefault="00B12C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CF2" w:rsidRDefault="009E6CF2" w:rsidP="003E3948">
      <w:r>
        <w:separator/>
      </w:r>
    </w:p>
  </w:footnote>
  <w:footnote w:type="continuationSeparator" w:id="0">
    <w:p w:rsidR="009E6CF2" w:rsidRDefault="009E6CF2" w:rsidP="003E39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0B46D4"/>
    <w:multiLevelType w:val="hybridMultilevel"/>
    <w:tmpl w:val="FABEF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footnotePr>
    <w:footnote w:id="-1"/>
    <w:footnote w:id="0"/>
  </w:footnotePr>
  <w:endnotePr>
    <w:endnote w:id="-1"/>
    <w:endnote w:id="0"/>
  </w:endnotePr>
  <w:compat/>
  <w:rsids>
    <w:rsidRoot w:val="003E3948"/>
    <w:rsid w:val="00060384"/>
    <w:rsid w:val="000C57CB"/>
    <w:rsid w:val="000E4340"/>
    <w:rsid w:val="001A73CA"/>
    <w:rsid w:val="00210607"/>
    <w:rsid w:val="00216B7F"/>
    <w:rsid w:val="002D5480"/>
    <w:rsid w:val="0034486A"/>
    <w:rsid w:val="003C25D5"/>
    <w:rsid w:val="003C6B9F"/>
    <w:rsid w:val="003E3948"/>
    <w:rsid w:val="00413688"/>
    <w:rsid w:val="004C28A3"/>
    <w:rsid w:val="00531B39"/>
    <w:rsid w:val="006349AE"/>
    <w:rsid w:val="00692069"/>
    <w:rsid w:val="006A55A6"/>
    <w:rsid w:val="00740DB5"/>
    <w:rsid w:val="00770747"/>
    <w:rsid w:val="0093305C"/>
    <w:rsid w:val="009D4B2B"/>
    <w:rsid w:val="009E6CF2"/>
    <w:rsid w:val="009F14A3"/>
    <w:rsid w:val="00B12C53"/>
    <w:rsid w:val="00B84F2A"/>
    <w:rsid w:val="00D331E8"/>
    <w:rsid w:val="00DA51EF"/>
    <w:rsid w:val="00E030F5"/>
    <w:rsid w:val="00ED2226"/>
    <w:rsid w:val="00F967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60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E3948"/>
    <w:rPr>
      <w:rFonts w:ascii="Consolas" w:hAnsi="Consolas"/>
      <w:sz w:val="21"/>
      <w:szCs w:val="21"/>
    </w:rPr>
  </w:style>
  <w:style w:type="character" w:customStyle="1" w:styleId="PlainTextChar">
    <w:name w:val="Plain Text Char"/>
    <w:basedOn w:val="DefaultParagraphFont"/>
    <w:link w:val="PlainText"/>
    <w:uiPriority w:val="99"/>
    <w:rsid w:val="003E3948"/>
    <w:rPr>
      <w:rFonts w:ascii="Consolas" w:eastAsia="Calibri" w:hAnsi="Consolas" w:cs="Times New Roman"/>
      <w:sz w:val="21"/>
      <w:szCs w:val="21"/>
    </w:rPr>
  </w:style>
  <w:style w:type="paragraph" w:styleId="ListParagraph">
    <w:name w:val="List Paragraph"/>
    <w:basedOn w:val="Normal"/>
    <w:uiPriority w:val="34"/>
    <w:qFormat/>
    <w:rsid w:val="003E3948"/>
    <w:pPr>
      <w:ind w:left="720"/>
    </w:pPr>
  </w:style>
  <w:style w:type="paragraph" w:styleId="Header">
    <w:name w:val="header"/>
    <w:basedOn w:val="Normal"/>
    <w:link w:val="HeaderChar"/>
    <w:uiPriority w:val="99"/>
    <w:semiHidden/>
    <w:unhideWhenUsed/>
    <w:rsid w:val="003E3948"/>
    <w:pPr>
      <w:tabs>
        <w:tab w:val="center" w:pos="4680"/>
        <w:tab w:val="right" w:pos="9360"/>
      </w:tabs>
    </w:pPr>
  </w:style>
  <w:style w:type="character" w:customStyle="1" w:styleId="HeaderChar">
    <w:name w:val="Header Char"/>
    <w:basedOn w:val="DefaultParagraphFont"/>
    <w:link w:val="Header"/>
    <w:uiPriority w:val="99"/>
    <w:semiHidden/>
    <w:rsid w:val="003E3948"/>
  </w:style>
  <w:style w:type="paragraph" w:styleId="Footer">
    <w:name w:val="footer"/>
    <w:basedOn w:val="Normal"/>
    <w:link w:val="FooterChar"/>
    <w:uiPriority w:val="99"/>
    <w:unhideWhenUsed/>
    <w:rsid w:val="003E3948"/>
    <w:pPr>
      <w:tabs>
        <w:tab w:val="center" w:pos="4680"/>
        <w:tab w:val="right" w:pos="9360"/>
      </w:tabs>
    </w:pPr>
  </w:style>
  <w:style w:type="character" w:customStyle="1" w:styleId="FooterChar">
    <w:name w:val="Footer Char"/>
    <w:basedOn w:val="DefaultParagraphFont"/>
    <w:link w:val="Footer"/>
    <w:uiPriority w:val="99"/>
    <w:rsid w:val="003E3948"/>
  </w:style>
</w:styles>
</file>

<file path=word/webSettings.xml><?xml version="1.0" encoding="utf-8"?>
<w:webSettings xmlns:r="http://schemas.openxmlformats.org/officeDocument/2006/relationships" xmlns:w="http://schemas.openxmlformats.org/wordprocessingml/2006/main">
  <w:divs>
    <w:div w:id="209231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Blumenthal</dc:creator>
  <cp:lastModifiedBy>Reference</cp:lastModifiedBy>
  <cp:revision>2</cp:revision>
  <dcterms:created xsi:type="dcterms:W3CDTF">2011-07-29T21:28:00Z</dcterms:created>
  <dcterms:modified xsi:type="dcterms:W3CDTF">2011-07-29T21:28:00Z</dcterms:modified>
</cp:coreProperties>
</file>