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81" w:rsidRDefault="00877911">
      <w:pPr>
        <w:tabs>
          <w:tab w:val="left" w:pos="0"/>
        </w:tabs>
        <w:suppressAutoHyphens/>
        <w:jc w:val="center"/>
        <w:rPr>
          <w:rFonts w:ascii="Arial Rounded MT Bold" w:hAnsi="Arial Rounded MT Bold"/>
          <w:b/>
          <w:sz w:val="26"/>
        </w:rPr>
      </w:pPr>
      <w:r>
        <w:rPr>
          <w:rFonts w:ascii="Arial Rounded MT Bold" w:hAnsi="Arial Rounded MT Bold"/>
          <w:b/>
          <w:sz w:val="26"/>
        </w:rPr>
        <w:t>PAPERWORK REDUCTION ACT</w:t>
      </w:r>
      <w:r w:rsidR="00B55066">
        <w:rPr>
          <w:rFonts w:ascii="Arial Rounded MT Bold" w:hAnsi="Arial Rounded MT Bold"/>
          <w:b/>
          <w:sz w:val="26"/>
        </w:rPr>
        <w:fldChar w:fldCharType="begin"/>
      </w:r>
      <w:r>
        <w:rPr>
          <w:rFonts w:ascii="Arial Rounded MT Bold" w:hAnsi="Arial Rounded MT Bold"/>
          <w:b/>
          <w:sz w:val="26"/>
        </w:rPr>
        <w:instrText xml:space="preserve">PRIVATE </w:instrText>
      </w:r>
      <w:r w:rsidR="00B55066">
        <w:rPr>
          <w:rFonts w:ascii="Arial Rounded MT Bold" w:hAnsi="Arial Rounded MT Bold"/>
          <w:b/>
          <w:sz w:val="26"/>
        </w:rPr>
        <w:fldChar w:fldCharType="end"/>
      </w:r>
    </w:p>
    <w:p w:rsidR="00511A81" w:rsidRDefault="00877911">
      <w:pPr>
        <w:tabs>
          <w:tab w:val="left" w:pos="0"/>
        </w:tabs>
        <w:suppressAutoHyphens/>
        <w:jc w:val="center"/>
        <w:rPr>
          <w:rFonts w:ascii="Arial Rounded MT Bold" w:hAnsi="Arial Rounded MT Bold"/>
          <w:b/>
          <w:sz w:val="24"/>
        </w:rPr>
      </w:pPr>
      <w:r>
        <w:rPr>
          <w:rFonts w:ascii="Arial Rounded MT Bold" w:hAnsi="Arial Rounded MT Bold"/>
          <w:b/>
          <w:sz w:val="26"/>
        </w:rPr>
        <w:t>CHANGE WORKSHEET</w:t>
      </w:r>
    </w:p>
    <w:p w:rsidR="00511A81" w:rsidRDefault="00511A81">
      <w:pPr>
        <w:tabs>
          <w:tab w:val="left" w:pos="0"/>
        </w:tabs>
        <w:suppressAutoHyphens/>
        <w:spacing w:after="90"/>
        <w:rPr>
          <w:rFonts w:ascii="Arial Rounded MT Bold" w:hAnsi="Arial Rounded MT Bold"/>
          <w:b/>
          <w:sz w:val="24"/>
        </w:rPr>
      </w:pPr>
    </w:p>
    <w:tbl>
      <w:tblPr>
        <w:tblW w:w="0" w:type="auto"/>
        <w:tblInd w:w="97" w:type="dxa"/>
        <w:tblLayout w:type="fixed"/>
        <w:tblCellMar>
          <w:left w:w="97" w:type="dxa"/>
          <w:right w:w="97" w:type="dxa"/>
        </w:tblCellMar>
        <w:tblLook w:val="0000"/>
      </w:tblPr>
      <w:tblGrid>
        <w:gridCol w:w="3060"/>
        <w:gridCol w:w="3180"/>
        <w:gridCol w:w="3120"/>
      </w:tblGrid>
      <w:tr w:rsidR="00511A81"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511A81" w:rsidRDefault="00B55066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24"/>
              </w:rPr>
              <w:fldChar w:fldCharType="begin"/>
            </w:r>
            <w:r w:rsidR="00877911">
              <w:rPr>
                <w:rFonts w:ascii="Arial Rounded MT Bold" w:hAnsi="Arial Rounded MT Bold"/>
                <w:b/>
                <w:sz w:val="24"/>
              </w:rPr>
              <w:instrText xml:space="preserve">PRIVATE </w:instrText>
            </w:r>
            <w:r>
              <w:rPr>
                <w:rFonts w:ascii="Arial Rounded MT Bold" w:hAnsi="Arial Rounded MT Bold"/>
                <w:b/>
                <w:sz w:val="24"/>
              </w:rPr>
              <w:fldChar w:fldCharType="end"/>
            </w:r>
            <w:r w:rsidR="00877911">
              <w:rPr>
                <w:rFonts w:ascii="Arial Rounded MT Bold" w:hAnsi="Arial Rounded MT Bold"/>
                <w:b/>
                <w:sz w:val="16"/>
              </w:rPr>
              <w:t>Agency/</w:t>
            </w:r>
            <w:proofErr w:type="spellStart"/>
            <w:r w:rsidR="00877911">
              <w:rPr>
                <w:rFonts w:ascii="Arial Rounded MT Bold" w:hAnsi="Arial Rounded MT Bold"/>
                <w:b/>
                <w:sz w:val="16"/>
              </w:rPr>
              <w:t>Subagency</w:t>
            </w:r>
            <w:proofErr w:type="spellEnd"/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  <w:p w:rsidR="00511A81" w:rsidRPr="00877911" w:rsidRDefault="000A144B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i/>
                <w:sz w:val="16"/>
              </w:rPr>
            </w:pPr>
            <w:r w:rsidRPr="00877911">
              <w:rPr>
                <w:rFonts w:ascii="Arial Rounded MT Bold" w:hAnsi="Arial Rounded MT Bold"/>
                <w:i/>
                <w:sz w:val="16"/>
              </w:rPr>
              <w:t>ED-OESE</w:t>
            </w: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OMB Control Number</w:t>
            </w: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  <w:p w:rsidR="00511A81" w:rsidRPr="00877911" w:rsidRDefault="00877911">
            <w:pPr>
              <w:tabs>
                <w:tab w:val="left" w:pos="0"/>
              </w:tabs>
              <w:suppressAutoHyphens/>
              <w:rPr>
                <w:rFonts w:ascii="Times New Roman" w:hAnsi="Times New Roman"/>
                <w:i/>
              </w:rPr>
            </w:pPr>
            <w:r w:rsidRPr="00877911">
              <w:rPr>
                <w:rFonts w:ascii="Times New Roman" w:hAnsi="Times New Roman"/>
                <w:b/>
                <w:i/>
                <w:sz w:val="24"/>
              </w:rPr>
              <w:t xml:space="preserve">    </w:t>
            </w:r>
            <w:r w:rsidRPr="00877911">
              <w:rPr>
                <w:rFonts w:ascii="Times New Roman" w:hAnsi="Times New Roman"/>
                <w:i/>
              </w:rPr>
              <w:t>ICR- 1810- 0705</w:t>
            </w:r>
          </w:p>
        </w:tc>
      </w:tr>
      <w:tr w:rsidR="00511A81"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80" w:type="dxa"/>
            <w:tcBorders>
              <w:top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jc w:val="center"/>
              <w:rPr>
                <w:rFonts w:ascii="Arial Rounded MT Bold" w:hAnsi="Arial Rounded MT Bold"/>
                <w:b/>
                <w:sz w:val="18"/>
              </w:rPr>
            </w:pPr>
            <w:r>
              <w:rPr>
                <w:rFonts w:ascii="Arial Rounded MT Bold" w:hAnsi="Arial Rounded MT Bold"/>
                <w:b/>
                <w:i/>
              </w:rPr>
              <w:t>Enter only items that change</w:t>
            </w:r>
          </w:p>
          <w:p w:rsidR="00511A81" w:rsidRDefault="00877911">
            <w:pPr>
              <w:tabs>
                <w:tab w:val="left" w:pos="0"/>
              </w:tabs>
              <w:suppressAutoHyphens/>
              <w:jc w:val="center"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8"/>
              </w:rPr>
              <w:t>Current Record</w:t>
            </w:r>
          </w:p>
        </w:tc>
        <w:tc>
          <w:tcPr>
            <w:tcW w:w="3120" w:type="dxa"/>
            <w:tcBorders>
              <w:top w:val="single" w:sz="6" w:space="0" w:color="auto"/>
              <w:right w:val="single" w:sz="6" w:space="0" w:color="auto"/>
            </w:tcBorders>
          </w:tcPr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  <w:p w:rsidR="00511A81" w:rsidRDefault="00877911">
            <w:pPr>
              <w:tabs>
                <w:tab w:val="left" w:pos="0"/>
              </w:tabs>
              <w:suppressAutoHyphens/>
              <w:jc w:val="center"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8"/>
              </w:rPr>
              <w:t>New Record</w:t>
            </w:r>
          </w:p>
        </w:tc>
      </w:tr>
      <w:tr w:rsidR="00511A81"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Agency form number(s)</w:t>
            </w: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</w:tr>
      <w:tr w:rsidR="00511A81"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Annual reporting and record keeping hour burden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  <w:shd w:val="pct25" w:color="auto" w:fill="auto"/>
          </w:tcPr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20" w:type="dxa"/>
            <w:tcBorders>
              <w:top w:val="single" w:sz="6" w:space="0" w:color="auto"/>
              <w:right w:val="single" w:sz="6" w:space="0" w:color="auto"/>
            </w:tcBorders>
            <w:shd w:val="pct25" w:color="auto" w:fill="auto"/>
          </w:tcPr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 xml:space="preserve">   Number of respondent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Default="000A144B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52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Default="000A144B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52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 xml:space="preserve">   Total annual responses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Default="000A144B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52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Default="000A144B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52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 xml:space="preserve">      Percent of these responses                 collected electronically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Default="000A144B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 xml:space="preserve">100  </w:t>
            </w:r>
            <w:r w:rsidR="00877911">
              <w:rPr>
                <w:rFonts w:ascii="Arial Rounded MT Bold" w:hAnsi="Arial Rounded MT Bold"/>
                <w:b/>
                <w:sz w:val="16"/>
              </w:rPr>
              <w:t>%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Default="000A144B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 xml:space="preserve">100  </w:t>
            </w:r>
            <w:r w:rsidR="00877911">
              <w:rPr>
                <w:rFonts w:ascii="Arial Rounded MT Bold" w:hAnsi="Arial Rounded MT Bold"/>
                <w:b/>
                <w:sz w:val="16"/>
              </w:rPr>
              <w:t>%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 xml:space="preserve">   Total annual hours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Default="000A144B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7696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Default="00D23F47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7,228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 xml:space="preserve">   Difference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  <w:shd w:val="pct25" w:color="auto" w:fill="auto"/>
          </w:tcPr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Default="009B6EBA" w:rsidP="00D23F47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-</w:t>
            </w:r>
            <w:r w:rsidR="00D23F47">
              <w:rPr>
                <w:rFonts w:ascii="Arial Rounded MT Bold" w:hAnsi="Arial Rounded MT Bold"/>
                <w:b/>
                <w:sz w:val="16"/>
              </w:rPr>
              <w:t>468</w:t>
            </w:r>
            <w:r w:rsidR="00835D04">
              <w:rPr>
                <w:rFonts w:ascii="Arial Rounded MT Bold" w:hAnsi="Arial Rounded MT Bold"/>
                <w:b/>
                <w:sz w:val="16"/>
              </w:rPr>
              <w:t>hours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 xml:space="preserve">   </w:t>
            </w:r>
          </w:p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 xml:space="preserve">   Explanation of difference</w:t>
            </w: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80" w:type="dxa"/>
            <w:tcBorders>
              <w:left w:val="single" w:sz="6" w:space="0" w:color="auto"/>
            </w:tcBorders>
            <w:shd w:val="pct25" w:color="auto" w:fill="auto"/>
          </w:tcPr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Default="009B6EBA" w:rsidP="00D23F47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-</w:t>
            </w:r>
            <w:r w:rsidR="00D23F47">
              <w:rPr>
                <w:rFonts w:ascii="Arial Rounded MT Bold" w:hAnsi="Arial Rounded MT Bold"/>
                <w:b/>
                <w:sz w:val="16"/>
              </w:rPr>
              <w:t>468</w:t>
            </w:r>
            <w:r>
              <w:rPr>
                <w:rFonts w:ascii="Arial Rounded MT Bold" w:hAnsi="Arial Rounded MT Bold"/>
                <w:b/>
                <w:sz w:val="16"/>
              </w:rPr>
              <w:t>hours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 xml:space="preserve">              Program change adjustment</w:t>
            </w:r>
          </w:p>
        </w:tc>
        <w:tc>
          <w:tcPr>
            <w:tcW w:w="3180" w:type="dxa"/>
            <w:tcBorders>
              <w:left w:val="single" w:sz="6" w:space="0" w:color="auto"/>
            </w:tcBorders>
            <w:shd w:val="pct25" w:color="auto" w:fill="auto"/>
          </w:tcPr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</w:tr>
      <w:tr w:rsidR="00511A81">
        <w:tc>
          <w:tcPr>
            <w:tcW w:w="306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Pr="000A144B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 w:rsidRPr="000A144B">
              <w:rPr>
                <w:rFonts w:ascii="Arial Rounded MT Bold" w:hAnsi="Arial Rounded MT Bold"/>
                <w:b/>
                <w:sz w:val="16"/>
              </w:rPr>
              <w:t>Annual reporting and record keeping cost burden (in thousands of dollars)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  <w:shd w:val="pct25" w:color="auto" w:fill="auto"/>
          </w:tcPr>
          <w:p w:rsidR="00511A81" w:rsidRPr="000A144B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20" w:type="dxa"/>
            <w:tcBorders>
              <w:top w:val="single" w:sz="6" w:space="0" w:color="auto"/>
              <w:right w:val="single" w:sz="6" w:space="0" w:color="auto"/>
            </w:tcBorders>
            <w:shd w:val="pct25" w:color="auto" w:fill="auto"/>
          </w:tcPr>
          <w:p w:rsidR="00511A81" w:rsidRPr="000A144B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Pr="000A144B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 w:rsidRPr="000A144B">
              <w:rPr>
                <w:rFonts w:ascii="Arial Rounded MT Bold" w:hAnsi="Arial Rounded MT Bold"/>
                <w:b/>
                <w:sz w:val="16"/>
              </w:rPr>
              <w:t xml:space="preserve">   Total annualized capital/startup           costs   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Pr="000A144B" w:rsidRDefault="00835D04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Pr="000A144B" w:rsidRDefault="00835D04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0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Pr="000A144B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 w:rsidRPr="000A144B">
              <w:rPr>
                <w:rFonts w:ascii="Arial Rounded MT Bold" w:hAnsi="Arial Rounded MT Bold"/>
                <w:b/>
                <w:sz w:val="16"/>
              </w:rPr>
              <w:t xml:space="preserve">   Total annual costs (O&amp;M)   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Pr="000A144B" w:rsidRDefault="00835D04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Pr="000A144B" w:rsidRDefault="00835D04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0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Pr="000A144B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 w:rsidRPr="000A144B">
              <w:rPr>
                <w:rFonts w:ascii="Arial Rounded MT Bold" w:hAnsi="Arial Rounded MT Bold"/>
                <w:b/>
                <w:sz w:val="16"/>
              </w:rPr>
              <w:t xml:space="preserve">   Total annualized cost requested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</w:tcPr>
          <w:p w:rsidR="00511A81" w:rsidRPr="000A144B" w:rsidRDefault="00835D04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Pr="000A144B" w:rsidRDefault="00835D04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0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Pr="000A144B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 w:rsidRPr="000A144B">
              <w:rPr>
                <w:rFonts w:ascii="Arial Rounded MT Bold" w:hAnsi="Arial Rounded MT Bold"/>
                <w:b/>
                <w:sz w:val="16"/>
              </w:rPr>
              <w:t xml:space="preserve">   Difference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</w:tcBorders>
            <w:shd w:val="pct25" w:color="auto" w:fill="auto"/>
          </w:tcPr>
          <w:p w:rsidR="00511A81" w:rsidRPr="000A144B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Pr="000A144B" w:rsidRDefault="00835D04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0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Pr="000A144B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 w:rsidRPr="000A144B">
              <w:rPr>
                <w:rFonts w:ascii="Arial Rounded MT Bold" w:hAnsi="Arial Rounded MT Bold"/>
                <w:b/>
                <w:sz w:val="16"/>
              </w:rPr>
              <w:t xml:space="preserve">   </w:t>
            </w:r>
          </w:p>
          <w:p w:rsidR="00511A81" w:rsidRPr="000A144B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 w:rsidRPr="000A144B">
              <w:rPr>
                <w:rFonts w:ascii="Arial Rounded MT Bold" w:hAnsi="Arial Rounded MT Bold"/>
                <w:b/>
                <w:sz w:val="16"/>
              </w:rPr>
              <w:t xml:space="preserve">   Explanation of difference</w:t>
            </w:r>
          </w:p>
          <w:p w:rsidR="00511A81" w:rsidRPr="000A144B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80" w:type="dxa"/>
            <w:tcBorders>
              <w:left w:val="single" w:sz="6" w:space="0" w:color="auto"/>
            </w:tcBorders>
            <w:shd w:val="pct25" w:color="auto" w:fill="auto"/>
          </w:tcPr>
          <w:p w:rsidR="00511A81" w:rsidRPr="000A144B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Pr="000A144B" w:rsidRDefault="00835D04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N/A</w:t>
            </w:r>
          </w:p>
        </w:tc>
      </w:tr>
      <w:tr w:rsidR="00511A81">
        <w:tc>
          <w:tcPr>
            <w:tcW w:w="3060" w:type="dxa"/>
            <w:tcBorders>
              <w:left w:val="single" w:sz="6" w:space="0" w:color="auto"/>
            </w:tcBorders>
          </w:tcPr>
          <w:p w:rsidR="00511A81" w:rsidRPr="000A144B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 w:rsidRPr="000A144B">
              <w:rPr>
                <w:rFonts w:ascii="Arial Rounded MT Bold" w:hAnsi="Arial Rounded MT Bold"/>
                <w:b/>
                <w:sz w:val="16"/>
              </w:rPr>
              <w:t xml:space="preserve">              Program change adjustment</w:t>
            </w:r>
          </w:p>
        </w:tc>
        <w:tc>
          <w:tcPr>
            <w:tcW w:w="3180" w:type="dxa"/>
            <w:tcBorders>
              <w:left w:val="single" w:sz="6" w:space="0" w:color="auto"/>
            </w:tcBorders>
            <w:shd w:val="pct25" w:color="auto" w:fill="auto"/>
          </w:tcPr>
          <w:p w:rsidR="00511A81" w:rsidRPr="000A144B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Pr="000A144B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</w:tr>
      <w:tr w:rsidR="00511A81"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Other change**</w:t>
            </w:r>
          </w:p>
          <w:p w:rsidR="00511A81" w:rsidRPr="000A144B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sz w:val="16"/>
              </w:rPr>
            </w:pPr>
          </w:p>
          <w:p w:rsidR="00511A81" w:rsidRPr="00877911" w:rsidRDefault="000A144B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i/>
                <w:sz w:val="16"/>
              </w:rPr>
            </w:pPr>
            <w:r w:rsidRPr="00877911">
              <w:rPr>
                <w:rFonts w:ascii="Arial Rounded MT Bold" w:hAnsi="Arial Rounded MT Bold"/>
                <w:i/>
                <w:sz w:val="16"/>
              </w:rPr>
              <w:t>We are writing to request a change in burden to the SFSF APR.</w:t>
            </w:r>
            <w:r w:rsidR="00EE39F2">
              <w:rPr>
                <w:rFonts w:ascii="Arial Rounded MT Bold" w:hAnsi="Arial Rounded MT Bold"/>
                <w:i/>
                <w:sz w:val="16"/>
              </w:rPr>
              <w:t xml:space="preserve">  </w:t>
            </w:r>
            <w:r w:rsidR="00C46831">
              <w:rPr>
                <w:rFonts w:ascii="Arial Rounded MT Bold" w:hAnsi="Arial Rounded MT Bold"/>
                <w:i/>
                <w:sz w:val="16"/>
              </w:rPr>
              <w:t xml:space="preserve">We are eliminating the requirement for States to provide the requested information for IHEs for the 2011-12 school </w:t>
            </w:r>
            <w:proofErr w:type="gramStart"/>
            <w:r w:rsidR="00C46831">
              <w:rPr>
                <w:rFonts w:ascii="Arial Rounded MT Bold" w:hAnsi="Arial Rounded MT Bold"/>
                <w:i/>
                <w:sz w:val="16"/>
              </w:rPr>
              <w:t>yea</w:t>
            </w:r>
            <w:r w:rsidR="008E7EA6">
              <w:rPr>
                <w:rFonts w:ascii="Arial Rounded MT Bold" w:hAnsi="Arial Rounded MT Bold"/>
                <w:i/>
                <w:sz w:val="16"/>
              </w:rPr>
              <w:t>r</w:t>
            </w:r>
            <w:proofErr w:type="gramEnd"/>
            <w:r w:rsidR="008E7EA6">
              <w:rPr>
                <w:rFonts w:ascii="Arial Rounded MT Bold" w:hAnsi="Arial Rounded MT Bold"/>
                <w:i/>
                <w:sz w:val="16"/>
              </w:rPr>
              <w:t>.  We are also clarifying that States</w:t>
            </w:r>
            <w:r w:rsidR="00C46831">
              <w:rPr>
                <w:rFonts w:ascii="Arial Rounded MT Bold" w:hAnsi="Arial Rounded MT Bold"/>
                <w:i/>
                <w:sz w:val="16"/>
              </w:rPr>
              <w:t xml:space="preserve"> should provide the requested information for each four-year and two-year public IHE</w:t>
            </w:r>
            <w:r w:rsidRPr="00877911">
              <w:rPr>
                <w:rFonts w:ascii="Arial Rounded MT Bold" w:hAnsi="Arial Rounded MT Bold"/>
                <w:i/>
                <w:sz w:val="16"/>
              </w:rPr>
              <w:t xml:space="preserve"> A</w:t>
            </w:r>
            <w:r w:rsidR="008E7EA6">
              <w:rPr>
                <w:rFonts w:ascii="Arial Rounded MT Bold" w:hAnsi="Arial Rounded MT Bold"/>
                <w:i/>
                <w:sz w:val="16"/>
              </w:rPr>
              <w:t xml:space="preserve">.  </w:t>
            </w:r>
            <w:r w:rsidR="00A438AB">
              <w:rPr>
                <w:rFonts w:ascii="Arial Rounded MT Bold" w:hAnsi="Arial Rounded MT Bold"/>
                <w:i/>
                <w:sz w:val="16"/>
              </w:rPr>
              <w:t xml:space="preserve">Finally, we are eliminating the requirement for States to </w:t>
            </w:r>
            <w:proofErr w:type="gramStart"/>
            <w:r w:rsidR="00A438AB">
              <w:rPr>
                <w:rFonts w:ascii="Arial Rounded MT Bold" w:hAnsi="Arial Rounded MT Bold"/>
                <w:i/>
                <w:sz w:val="16"/>
              </w:rPr>
              <w:t>report  on</w:t>
            </w:r>
            <w:proofErr w:type="gramEnd"/>
            <w:r w:rsidR="00A438AB">
              <w:rPr>
                <w:rFonts w:ascii="Arial Rounded MT Bold" w:hAnsi="Arial Rounded MT Bold"/>
                <w:i/>
                <w:sz w:val="16"/>
              </w:rPr>
              <w:t xml:space="preserve"> developing and implementing valid and reliable assessments. This information will be collected</w:t>
            </w:r>
            <w:r w:rsidR="00E67ECF">
              <w:rPr>
                <w:rFonts w:ascii="Arial Rounded MT Bold" w:hAnsi="Arial Rounded MT Bold"/>
                <w:i/>
                <w:sz w:val="16"/>
              </w:rPr>
              <w:t xml:space="preserve"> through the SFSF Phase II </w:t>
            </w:r>
            <w:r w:rsidR="009B296A">
              <w:rPr>
                <w:rFonts w:ascii="Arial Rounded MT Bold" w:hAnsi="Arial Rounded MT Bold"/>
                <w:i/>
                <w:sz w:val="16"/>
              </w:rPr>
              <w:t>application. These</w:t>
            </w:r>
            <w:r w:rsidR="008E7EA6">
              <w:rPr>
                <w:rFonts w:ascii="Arial Rounded MT Bold" w:hAnsi="Arial Rounded MT Bold"/>
                <w:i/>
                <w:sz w:val="16"/>
              </w:rPr>
              <w:t xml:space="preserve"> changes w</w:t>
            </w:r>
            <w:r w:rsidR="00E67ECF">
              <w:rPr>
                <w:rFonts w:ascii="Arial Rounded MT Bold" w:hAnsi="Arial Rounded MT Bold"/>
                <w:i/>
                <w:sz w:val="16"/>
              </w:rPr>
              <w:t>ill lead to a net reduction of 9</w:t>
            </w:r>
            <w:r w:rsidR="008E7EA6">
              <w:rPr>
                <w:rFonts w:ascii="Arial Rounded MT Bold" w:hAnsi="Arial Rounded MT Bold"/>
                <w:i/>
                <w:sz w:val="16"/>
              </w:rPr>
              <w:t xml:space="preserve"> hours per State.  Each respon</w:t>
            </w:r>
            <w:r w:rsidR="00835D04">
              <w:rPr>
                <w:rFonts w:ascii="Arial Rounded MT Bold" w:hAnsi="Arial Rounded MT Bold"/>
                <w:i/>
                <w:sz w:val="16"/>
              </w:rPr>
              <w:t>dent will have a</w:t>
            </w:r>
            <w:r w:rsidRPr="00877911">
              <w:rPr>
                <w:rFonts w:ascii="Arial Rounded MT Bold" w:hAnsi="Arial Rounded MT Bold"/>
                <w:i/>
                <w:sz w:val="16"/>
              </w:rPr>
              <w:t xml:space="preserve"> </w:t>
            </w:r>
            <w:r w:rsidR="00835D04">
              <w:rPr>
                <w:rFonts w:ascii="Arial Rounded MT Bold" w:hAnsi="Arial Rounded MT Bold"/>
                <w:i/>
                <w:sz w:val="16"/>
              </w:rPr>
              <w:t>de</w:t>
            </w:r>
            <w:r w:rsidRPr="00877911">
              <w:rPr>
                <w:rFonts w:ascii="Arial Rounded MT Bold" w:hAnsi="Arial Rounded MT Bold"/>
                <w:i/>
                <w:sz w:val="16"/>
              </w:rPr>
              <w:t xml:space="preserve">creased burden of </w:t>
            </w:r>
            <w:r w:rsidR="009B296A">
              <w:rPr>
                <w:rFonts w:ascii="Arial Rounded MT Bold" w:hAnsi="Arial Rounded MT Bold"/>
                <w:i/>
                <w:sz w:val="16"/>
              </w:rPr>
              <w:t xml:space="preserve">65 </w:t>
            </w:r>
            <w:r w:rsidR="00835D04">
              <w:rPr>
                <w:rFonts w:ascii="Arial Rounded MT Bold" w:hAnsi="Arial Rounded MT Bold"/>
                <w:i/>
                <w:sz w:val="16"/>
              </w:rPr>
              <w:t>hours, compared to 74 hours initially</w:t>
            </w:r>
            <w:r w:rsidR="00877911" w:rsidRPr="00877911">
              <w:rPr>
                <w:rFonts w:ascii="Arial Rounded MT Bold" w:hAnsi="Arial Rounded MT Bold"/>
                <w:i/>
                <w:sz w:val="16"/>
              </w:rPr>
              <w:t>, resulting</w:t>
            </w:r>
            <w:r w:rsidRPr="00877911">
              <w:rPr>
                <w:rFonts w:ascii="Arial Rounded MT Bold" w:hAnsi="Arial Rounded MT Bold"/>
                <w:i/>
                <w:sz w:val="16"/>
              </w:rPr>
              <w:t xml:space="preserve"> in a total of </w:t>
            </w:r>
            <w:r w:rsidR="00D23F47">
              <w:rPr>
                <w:rFonts w:ascii="Arial Rounded MT Bold" w:hAnsi="Arial Rounded MT Bold"/>
                <w:i/>
                <w:sz w:val="16"/>
              </w:rPr>
              <w:t>7,228</w:t>
            </w:r>
            <w:r w:rsidR="00835D04">
              <w:rPr>
                <w:rFonts w:ascii="Arial Rounded MT Bold" w:hAnsi="Arial Rounded MT Bold"/>
                <w:i/>
                <w:sz w:val="16"/>
              </w:rPr>
              <w:t xml:space="preserve"> hours</w:t>
            </w:r>
            <w:r w:rsidRPr="00877911">
              <w:rPr>
                <w:rFonts w:ascii="Arial Rounded MT Bold" w:hAnsi="Arial Rounded MT Bold"/>
                <w:i/>
                <w:sz w:val="16"/>
              </w:rPr>
              <w:t xml:space="preserve"> as identified above.</w:t>
            </w: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</w:tr>
      <w:tr w:rsidR="00511A81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Signature of Senior Official or designee:</w:t>
            </w: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Date: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A81" w:rsidRDefault="00877911">
            <w:pPr>
              <w:tabs>
                <w:tab w:val="left" w:pos="0"/>
              </w:tabs>
              <w:suppressAutoHyphens/>
              <w:jc w:val="center"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For OIRA Use</w:t>
            </w:r>
          </w:p>
          <w:p w:rsidR="00511A81" w:rsidRDefault="00511A81">
            <w:pPr>
              <w:tabs>
                <w:tab w:val="left" w:pos="0"/>
              </w:tabs>
              <w:suppressAutoHyphens/>
              <w:jc w:val="center"/>
              <w:rPr>
                <w:rFonts w:ascii="Arial Rounded MT Bold" w:hAnsi="Arial Rounded MT Bold"/>
                <w:b/>
                <w:sz w:val="16"/>
              </w:rPr>
            </w:pPr>
          </w:p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_________________________________</w:t>
            </w:r>
          </w:p>
          <w:p w:rsidR="00511A81" w:rsidRDefault="00511A8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</w:p>
          <w:p w:rsidR="00511A81" w:rsidRDefault="00877911">
            <w:pPr>
              <w:tabs>
                <w:tab w:val="left" w:pos="0"/>
              </w:tabs>
              <w:suppressAutoHyphens/>
              <w:rPr>
                <w:rFonts w:ascii="Arial Rounded MT Bold" w:hAnsi="Arial Rounded MT Bold"/>
                <w:b/>
                <w:sz w:val="16"/>
              </w:rPr>
            </w:pPr>
            <w:r>
              <w:rPr>
                <w:rFonts w:ascii="Arial Rounded MT Bold" w:hAnsi="Arial Rounded MT Bold"/>
                <w:b/>
                <w:sz w:val="16"/>
              </w:rPr>
              <w:t>_________________________________</w:t>
            </w:r>
          </w:p>
        </w:tc>
      </w:tr>
    </w:tbl>
    <w:p w:rsidR="00511A81" w:rsidRDefault="00877911">
      <w:pPr>
        <w:tabs>
          <w:tab w:val="left" w:pos="0"/>
        </w:tabs>
        <w:suppressAutoHyphens/>
        <w:spacing w:after="216"/>
        <w:rPr>
          <w:rFonts w:ascii="Arial Rounded MT Bold" w:hAnsi="Arial Rounded MT Bold"/>
          <w:b/>
          <w:sz w:val="16"/>
        </w:rPr>
      </w:pPr>
      <w:r>
        <w:rPr>
          <w:rFonts w:ascii="Arial Rounded MT Bold" w:hAnsi="Arial Rounded MT Bold"/>
          <w:b/>
          <w:sz w:val="16"/>
        </w:rPr>
        <w:t>**This form cannot be used to extend an expiration date</w:t>
      </w:r>
    </w:p>
    <w:p w:rsidR="00511A81" w:rsidRDefault="00877911">
      <w:pPr>
        <w:tabs>
          <w:tab w:val="left" w:pos="0"/>
        </w:tabs>
        <w:suppressAutoHyphens/>
        <w:spacing w:after="216"/>
        <w:rPr>
          <w:rFonts w:ascii="Arial Rounded MT Bold" w:hAnsi="Arial Rounded MT Bold"/>
          <w:b/>
          <w:sz w:val="16"/>
        </w:rPr>
      </w:pPr>
      <w:r>
        <w:rPr>
          <w:rFonts w:ascii="Arial Rounded MT Bold" w:hAnsi="Arial Rounded MT Bold"/>
          <w:b/>
          <w:sz w:val="16"/>
        </w:rPr>
        <w:t>OMB 83-C</w:t>
      </w:r>
    </w:p>
    <w:sectPr w:rsidR="00511A81" w:rsidSect="00511A81">
      <w:endnotePr>
        <w:numFmt w:val="decimal"/>
      </w:endnotePr>
      <w:pgSz w:w="12240" w:h="15840"/>
      <w:pgMar w:top="720" w:right="1080" w:bottom="720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3C5" w:rsidRDefault="007323C5">
      <w:pPr>
        <w:spacing w:line="20" w:lineRule="exact"/>
        <w:rPr>
          <w:sz w:val="24"/>
        </w:rPr>
      </w:pPr>
    </w:p>
  </w:endnote>
  <w:endnote w:type="continuationSeparator" w:id="0">
    <w:p w:rsidR="007323C5" w:rsidRDefault="007323C5">
      <w:r>
        <w:rPr>
          <w:sz w:val="24"/>
        </w:rPr>
        <w:t xml:space="preserve"> </w:t>
      </w:r>
    </w:p>
  </w:endnote>
  <w:endnote w:type="continuationNotice" w:id="1">
    <w:p w:rsidR="007323C5" w:rsidRDefault="007323C5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3C5" w:rsidRDefault="007323C5">
      <w:r>
        <w:rPr>
          <w:sz w:val="24"/>
        </w:rPr>
        <w:separator/>
      </w:r>
    </w:p>
  </w:footnote>
  <w:footnote w:type="continuationSeparator" w:id="0">
    <w:p w:rsidR="007323C5" w:rsidRDefault="007323C5" w:rsidP="00B93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06891"/>
    <w:rsid w:val="000A144B"/>
    <w:rsid w:val="002B6230"/>
    <w:rsid w:val="0033175E"/>
    <w:rsid w:val="00511A81"/>
    <w:rsid w:val="00591C6B"/>
    <w:rsid w:val="006F1330"/>
    <w:rsid w:val="00706891"/>
    <w:rsid w:val="007117D3"/>
    <w:rsid w:val="007323C5"/>
    <w:rsid w:val="007E2909"/>
    <w:rsid w:val="00835D04"/>
    <w:rsid w:val="00877911"/>
    <w:rsid w:val="008E7EA6"/>
    <w:rsid w:val="009B296A"/>
    <w:rsid w:val="009B6EBA"/>
    <w:rsid w:val="00A1796A"/>
    <w:rsid w:val="00A438AB"/>
    <w:rsid w:val="00A5199F"/>
    <w:rsid w:val="00A964F9"/>
    <w:rsid w:val="00B55066"/>
    <w:rsid w:val="00BC4919"/>
    <w:rsid w:val="00C24E76"/>
    <w:rsid w:val="00C46831"/>
    <w:rsid w:val="00D23F47"/>
    <w:rsid w:val="00E67ECF"/>
    <w:rsid w:val="00EB70F1"/>
    <w:rsid w:val="00EE39F2"/>
    <w:rsid w:val="00FD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81"/>
    <w:pPr>
      <w:widowControl w:val="0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11A81"/>
    <w:rPr>
      <w:sz w:val="24"/>
    </w:rPr>
  </w:style>
  <w:style w:type="character" w:styleId="EndnoteReference">
    <w:name w:val="endnote reference"/>
    <w:basedOn w:val="DefaultParagraphFont"/>
    <w:semiHidden/>
    <w:rsid w:val="00511A81"/>
    <w:rPr>
      <w:vertAlign w:val="superscript"/>
    </w:rPr>
  </w:style>
  <w:style w:type="paragraph" w:styleId="FootnoteText">
    <w:name w:val="footnote text"/>
    <w:basedOn w:val="Normal"/>
    <w:semiHidden/>
    <w:rsid w:val="00511A81"/>
    <w:rPr>
      <w:sz w:val="24"/>
    </w:rPr>
  </w:style>
  <w:style w:type="character" w:styleId="FootnoteReference">
    <w:name w:val="footnote reference"/>
    <w:basedOn w:val="DefaultParagraphFont"/>
    <w:semiHidden/>
    <w:rsid w:val="00511A81"/>
    <w:rPr>
      <w:vertAlign w:val="superscript"/>
    </w:rPr>
  </w:style>
  <w:style w:type="paragraph" w:styleId="TOC1">
    <w:name w:val="toc 1"/>
    <w:basedOn w:val="Normal"/>
    <w:next w:val="Normal"/>
    <w:semiHidden/>
    <w:rsid w:val="00511A8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11A8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11A8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11A8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11A8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11A8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11A8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11A8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11A8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11A8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11A8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11A8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11A81"/>
    <w:rPr>
      <w:sz w:val="24"/>
    </w:rPr>
  </w:style>
  <w:style w:type="character" w:customStyle="1" w:styleId="EquationCaption">
    <w:name w:val="_Equation Caption"/>
    <w:rsid w:val="00511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U.S. Department of Education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I.R.G.</dc:creator>
  <cp:lastModifiedBy>Lauren Scott</cp:lastModifiedBy>
  <cp:revision>2</cp:revision>
  <cp:lastPrinted>2011-08-30T12:27:00Z</cp:lastPrinted>
  <dcterms:created xsi:type="dcterms:W3CDTF">2011-10-03T13:12:00Z</dcterms:created>
  <dcterms:modified xsi:type="dcterms:W3CDTF">2011-10-03T13:12:00Z</dcterms:modified>
</cp:coreProperties>
</file>