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77EC" w:rsidRPr="000777EC" w:rsidRDefault="000777EC" w:rsidP="003C424C">
      <w:pPr>
        <w:pStyle w:val="MessageHeader"/>
        <w:spacing w:after="0" w:line="360" w:lineRule="auto"/>
        <w:jc w:val="center"/>
        <w:rPr>
          <w:sz w:val="32"/>
          <w:szCs w:val="32"/>
        </w:rPr>
      </w:pPr>
      <w:r w:rsidRPr="000777EC">
        <w:rPr>
          <w:sz w:val="32"/>
          <w:szCs w:val="32"/>
        </w:rPr>
        <w:t>Appendix D</w:t>
      </w:r>
    </w:p>
    <w:p w:rsidR="00D60F4D" w:rsidRPr="000777EC" w:rsidRDefault="00C116D0" w:rsidP="003C424C">
      <w:pPr>
        <w:pStyle w:val="MessageHeader"/>
        <w:spacing w:after="0" w:line="360" w:lineRule="auto"/>
        <w:jc w:val="center"/>
        <w:rPr>
          <w:sz w:val="32"/>
          <w:szCs w:val="32"/>
        </w:rPr>
      </w:pPr>
      <w:r w:rsidRPr="000777EC">
        <w:rPr>
          <w:sz w:val="32"/>
          <w:szCs w:val="32"/>
        </w:rPr>
        <w:t xml:space="preserve">BTLS 2010-11 </w:t>
      </w:r>
      <w:r w:rsidR="00E9115A" w:rsidRPr="000777EC">
        <w:rPr>
          <w:sz w:val="32"/>
          <w:szCs w:val="32"/>
        </w:rPr>
        <w:t>video</w:t>
      </w:r>
      <w:r w:rsidRPr="000777EC">
        <w:rPr>
          <w:sz w:val="32"/>
          <w:szCs w:val="32"/>
        </w:rPr>
        <w:t xml:space="preserve"> </w:t>
      </w:r>
      <w:r w:rsidR="00446593" w:rsidRPr="000777EC">
        <w:rPr>
          <w:sz w:val="32"/>
          <w:szCs w:val="32"/>
        </w:rPr>
        <w:t xml:space="preserve">Reminder </w:t>
      </w:r>
      <w:r w:rsidRPr="000777EC">
        <w:rPr>
          <w:sz w:val="32"/>
          <w:szCs w:val="32"/>
        </w:rPr>
        <w:t>experiment</w:t>
      </w:r>
    </w:p>
    <w:p w:rsidR="000777EC" w:rsidRDefault="000777EC" w:rsidP="003C424C">
      <w:pPr>
        <w:spacing w:after="0" w:line="360" w:lineRule="auto"/>
        <w:rPr>
          <w:rFonts w:ascii="Times New Roman" w:hAnsi="Times New Roman"/>
        </w:rPr>
      </w:pPr>
    </w:p>
    <w:p w:rsidR="00B866EB" w:rsidRDefault="003739B4" w:rsidP="003C424C">
      <w:pPr>
        <w:spacing w:after="0" w:line="360" w:lineRule="auto"/>
        <w:rPr>
          <w:rFonts w:ascii="Times New Roman" w:hAnsi="Times New Roman"/>
        </w:rPr>
      </w:pPr>
      <w:r w:rsidRPr="0032236A">
        <w:rPr>
          <w:rFonts w:ascii="Times New Roman" w:hAnsi="Times New Roman"/>
        </w:rPr>
        <w:t xml:space="preserve">This memo summarizes the results of the </w:t>
      </w:r>
      <w:r w:rsidR="00587357">
        <w:rPr>
          <w:rFonts w:ascii="Times New Roman" w:hAnsi="Times New Roman"/>
        </w:rPr>
        <w:t>video</w:t>
      </w:r>
      <w:r w:rsidR="00587357" w:rsidRPr="0032236A">
        <w:rPr>
          <w:rFonts w:ascii="Times New Roman" w:hAnsi="Times New Roman"/>
        </w:rPr>
        <w:t xml:space="preserve"> </w:t>
      </w:r>
      <w:r w:rsidRPr="0032236A">
        <w:rPr>
          <w:rFonts w:ascii="Times New Roman" w:hAnsi="Times New Roman"/>
        </w:rPr>
        <w:t>experiment conducted as part of the 20</w:t>
      </w:r>
      <w:r>
        <w:rPr>
          <w:rFonts w:ascii="Times New Roman" w:hAnsi="Times New Roman"/>
        </w:rPr>
        <w:t>10</w:t>
      </w:r>
      <w:r w:rsidRPr="0032236A">
        <w:rPr>
          <w:rFonts w:ascii="Times New Roman" w:hAnsi="Times New Roman"/>
        </w:rPr>
        <w:t>-1</w:t>
      </w:r>
      <w:r>
        <w:rPr>
          <w:rFonts w:ascii="Times New Roman" w:hAnsi="Times New Roman"/>
        </w:rPr>
        <w:t>1</w:t>
      </w:r>
      <w:r w:rsidRPr="0032236A">
        <w:rPr>
          <w:rFonts w:ascii="Times New Roman" w:hAnsi="Times New Roman"/>
        </w:rPr>
        <w:t xml:space="preserve"> Beginning Teacher Longitudinal Study (BTLS), </w:t>
      </w:r>
      <w:r w:rsidRPr="00234066">
        <w:rPr>
          <w:rFonts w:ascii="Times New Roman" w:hAnsi="Times New Roman"/>
        </w:rPr>
        <w:t xml:space="preserve">approved </w:t>
      </w:r>
      <w:r w:rsidR="00B54AFF">
        <w:rPr>
          <w:rFonts w:ascii="Times New Roman" w:hAnsi="Times New Roman"/>
        </w:rPr>
        <w:t>December 30, 2010, under OMB# 1850-0868 v.2</w:t>
      </w:r>
      <w:r w:rsidRPr="0032236A">
        <w:rPr>
          <w:rFonts w:ascii="Times New Roman" w:hAnsi="Times New Roman"/>
        </w:rPr>
        <w:t>.</w:t>
      </w:r>
      <w:r w:rsidR="000777EC">
        <w:rPr>
          <w:rFonts w:ascii="Times New Roman" w:hAnsi="Times New Roman"/>
        </w:rPr>
        <w:t xml:space="preserve"> </w:t>
      </w:r>
      <w:r>
        <w:rPr>
          <w:rFonts w:ascii="Times New Roman" w:hAnsi="Times New Roman"/>
        </w:rPr>
        <w:t xml:space="preserve"> </w:t>
      </w:r>
      <w:r w:rsidR="00B866EB">
        <w:rPr>
          <w:rFonts w:ascii="Times New Roman" w:hAnsi="Times New Roman"/>
        </w:rPr>
        <w:t>In an effort to boost response rates on the fourth wave of BTLS, NCES distribute</w:t>
      </w:r>
      <w:r>
        <w:rPr>
          <w:rFonts w:ascii="Times New Roman" w:hAnsi="Times New Roman"/>
        </w:rPr>
        <w:t>d</w:t>
      </w:r>
      <w:r w:rsidR="00B866EB">
        <w:rPr>
          <w:rFonts w:ascii="Times New Roman" w:hAnsi="Times New Roman"/>
        </w:rPr>
        <w:t xml:space="preserve"> a video reminder</w:t>
      </w:r>
      <w:r w:rsidR="003C424C">
        <w:rPr>
          <w:rFonts w:ascii="Times New Roman" w:hAnsi="Times New Roman"/>
        </w:rPr>
        <w:t>, along with a link to the survey instrument,</w:t>
      </w:r>
      <w:r w:rsidR="00B866EB">
        <w:rPr>
          <w:rFonts w:ascii="Times New Roman" w:hAnsi="Times New Roman"/>
        </w:rPr>
        <w:t xml:space="preserve"> to study participants </w:t>
      </w:r>
      <w:r w:rsidR="003D49BC">
        <w:rPr>
          <w:rFonts w:ascii="Times New Roman" w:hAnsi="Times New Roman"/>
        </w:rPr>
        <w:t xml:space="preserve">who </w:t>
      </w:r>
      <w:r>
        <w:rPr>
          <w:rFonts w:ascii="Times New Roman" w:hAnsi="Times New Roman"/>
        </w:rPr>
        <w:t>did not</w:t>
      </w:r>
      <w:r w:rsidR="00B866EB">
        <w:rPr>
          <w:rFonts w:ascii="Times New Roman" w:hAnsi="Times New Roman"/>
        </w:rPr>
        <w:t xml:space="preserve"> respond to the questionnaire by the first follow-up date (</w:t>
      </w:r>
      <w:r w:rsidR="003D49BC">
        <w:rPr>
          <w:rFonts w:ascii="Times New Roman" w:hAnsi="Times New Roman"/>
        </w:rPr>
        <w:t>February 4, 2011</w:t>
      </w:r>
      <w:r w:rsidR="00B866EB">
        <w:rPr>
          <w:rFonts w:ascii="Times New Roman" w:hAnsi="Times New Roman"/>
        </w:rPr>
        <w:t>). Because little research exists on the use of a video reminder in increasing response rates, NCES</w:t>
      </w:r>
      <w:r w:rsidR="003D49BC">
        <w:rPr>
          <w:rFonts w:ascii="Times New Roman" w:hAnsi="Times New Roman"/>
        </w:rPr>
        <w:t xml:space="preserve"> </w:t>
      </w:r>
      <w:r w:rsidR="003C424C">
        <w:rPr>
          <w:rFonts w:ascii="Times New Roman" w:hAnsi="Times New Roman"/>
        </w:rPr>
        <w:t>conducted</w:t>
      </w:r>
      <w:r w:rsidR="003D49BC">
        <w:rPr>
          <w:rFonts w:ascii="Times New Roman" w:hAnsi="Times New Roman"/>
        </w:rPr>
        <w:t xml:space="preserve"> an experiment</w:t>
      </w:r>
      <w:r w:rsidR="003C424C">
        <w:rPr>
          <w:rFonts w:ascii="Times New Roman" w:hAnsi="Times New Roman"/>
        </w:rPr>
        <w:t xml:space="preserve"> to evaluate the impact of the video on response rates</w:t>
      </w:r>
      <w:r w:rsidR="00B866EB">
        <w:rPr>
          <w:rFonts w:ascii="Times New Roman" w:hAnsi="Times New Roman"/>
        </w:rPr>
        <w:t>. The following memo outlines the study design</w:t>
      </w:r>
      <w:r w:rsidR="003D49BC">
        <w:rPr>
          <w:rFonts w:ascii="Times New Roman" w:hAnsi="Times New Roman"/>
        </w:rPr>
        <w:t xml:space="preserve"> and results of the experiment. It </w:t>
      </w:r>
      <w:r w:rsidR="00B866EB">
        <w:rPr>
          <w:rFonts w:ascii="Times New Roman" w:hAnsi="Times New Roman"/>
        </w:rPr>
        <w:t>includes literature on the use of multimedia appeals in survey research, the description of the video reminder, the study population</w:t>
      </w:r>
      <w:r w:rsidR="003D49BC">
        <w:rPr>
          <w:rFonts w:ascii="Times New Roman" w:hAnsi="Times New Roman"/>
        </w:rPr>
        <w:t xml:space="preserve">, </w:t>
      </w:r>
      <w:r w:rsidR="00164E53">
        <w:rPr>
          <w:rFonts w:ascii="Times New Roman" w:hAnsi="Times New Roman"/>
        </w:rPr>
        <w:t xml:space="preserve">results, </w:t>
      </w:r>
      <w:r w:rsidR="003D49BC">
        <w:rPr>
          <w:rFonts w:ascii="Times New Roman" w:hAnsi="Times New Roman"/>
        </w:rPr>
        <w:t>and recommendations</w:t>
      </w:r>
      <w:r w:rsidR="00B866EB">
        <w:rPr>
          <w:rFonts w:ascii="Times New Roman" w:hAnsi="Times New Roman"/>
        </w:rPr>
        <w:t>.</w:t>
      </w:r>
    </w:p>
    <w:p w:rsidR="003C424C" w:rsidRDefault="003C424C" w:rsidP="003C424C">
      <w:pPr>
        <w:spacing w:after="0" w:line="360" w:lineRule="auto"/>
        <w:rPr>
          <w:rFonts w:ascii="Times New Roman" w:hAnsi="Times New Roman"/>
          <w:b/>
          <w:bCs/>
          <w:i/>
          <w:iCs/>
        </w:rPr>
      </w:pPr>
    </w:p>
    <w:p w:rsidR="00B866EB" w:rsidRDefault="00B866EB" w:rsidP="003C424C">
      <w:pPr>
        <w:spacing w:after="0" w:line="360" w:lineRule="auto"/>
        <w:rPr>
          <w:rFonts w:ascii="Times New Roman" w:hAnsi="Times New Roman"/>
          <w:b/>
          <w:bCs/>
          <w:i/>
          <w:iCs/>
        </w:rPr>
      </w:pPr>
      <w:r>
        <w:rPr>
          <w:rFonts w:ascii="Times New Roman" w:hAnsi="Times New Roman"/>
          <w:b/>
          <w:bCs/>
          <w:i/>
          <w:iCs/>
        </w:rPr>
        <w:t>Literature on use of multimedia appeals in survey research</w:t>
      </w:r>
    </w:p>
    <w:p w:rsidR="003C424C" w:rsidRDefault="003C424C" w:rsidP="003C424C">
      <w:pPr>
        <w:spacing w:after="0" w:line="360" w:lineRule="auto"/>
        <w:rPr>
          <w:rFonts w:ascii="Times New Roman" w:hAnsi="Times New Roman"/>
          <w:b/>
          <w:bCs/>
        </w:rPr>
      </w:pPr>
    </w:p>
    <w:p w:rsidR="00B866EB" w:rsidRDefault="00B866EB" w:rsidP="003C424C">
      <w:pPr>
        <w:spacing w:after="0" w:line="360" w:lineRule="auto"/>
        <w:rPr>
          <w:rFonts w:ascii="Times New Roman" w:hAnsi="Times New Roman"/>
        </w:rPr>
      </w:pPr>
      <w:r>
        <w:rPr>
          <w:rFonts w:ascii="Times New Roman" w:hAnsi="Times New Roman"/>
        </w:rPr>
        <w:t>A review of recent literature shows that little research has been done regarding the direct impact of using multimedia appeals, such as a video reminder, on survey response rates. However, some research has indirect implications for the current study. First, studies have found that video can be effective for branding purposes. Romaniuk (2009) demonstrates that visual and verbal branding tactics are associated with higher likelihood that an individual will recall and identify with a particular brand. Likewise, Spalding, Cole, and Fayer (2009) found that online advertising campaigns that used videos were more effective than other types of online advertising campaigns. Secondly, research has found that video can be used to induce attitude change. Robertson et al (2009) found that after viewing a video, participants in their study showed positive attitude change toward considering an option previously viewed as unappealing. Additional research has shown a correlation between positive attitudes and survey responses. Heerwegh and Loosveldt (2009) found that individuals express greater intentions to respond to web-based surveys if they possess a more positive behavioral attitude about the survey, and if they feel a greater moral obligation to respond to the survey. These studies indicate that a video reminder could potentially increase an individual’s brand recognition, and also prompt positive attitude change toward responding to the survey. This experiment aim</w:t>
      </w:r>
      <w:r w:rsidR="003C424C">
        <w:rPr>
          <w:rFonts w:ascii="Times New Roman" w:hAnsi="Times New Roman"/>
        </w:rPr>
        <w:t>ed</w:t>
      </w:r>
      <w:r>
        <w:rPr>
          <w:rFonts w:ascii="Times New Roman" w:hAnsi="Times New Roman"/>
        </w:rPr>
        <w:t xml:space="preserve"> to explore </w:t>
      </w:r>
      <w:r w:rsidR="003C424C">
        <w:rPr>
          <w:rFonts w:ascii="Times New Roman" w:hAnsi="Times New Roman"/>
        </w:rPr>
        <w:t>whether</w:t>
      </w:r>
      <w:r>
        <w:rPr>
          <w:rFonts w:ascii="Times New Roman" w:hAnsi="Times New Roman"/>
        </w:rPr>
        <w:t xml:space="preserve"> a video reminder is more effective than </w:t>
      </w:r>
      <w:r w:rsidR="003739B4">
        <w:rPr>
          <w:rFonts w:ascii="Times New Roman" w:hAnsi="Times New Roman"/>
        </w:rPr>
        <w:t xml:space="preserve">a </w:t>
      </w:r>
      <w:r>
        <w:rPr>
          <w:rFonts w:ascii="Times New Roman" w:hAnsi="Times New Roman"/>
        </w:rPr>
        <w:t>regular reminder to increase initial nonrespondents’ survey responses.</w:t>
      </w:r>
    </w:p>
    <w:p w:rsidR="003C424C" w:rsidRDefault="003C424C" w:rsidP="003C424C">
      <w:pPr>
        <w:spacing w:after="0" w:line="360" w:lineRule="auto"/>
        <w:rPr>
          <w:rFonts w:ascii="Times New Roman" w:hAnsi="Times New Roman"/>
        </w:rPr>
      </w:pPr>
    </w:p>
    <w:p w:rsidR="00B866EB" w:rsidRDefault="00B866EB" w:rsidP="003C424C">
      <w:pPr>
        <w:spacing w:after="0" w:line="360" w:lineRule="auto"/>
        <w:rPr>
          <w:rFonts w:ascii="Times New Roman" w:hAnsi="Times New Roman"/>
          <w:b/>
          <w:bCs/>
          <w:i/>
          <w:iCs/>
        </w:rPr>
      </w:pPr>
      <w:r>
        <w:rPr>
          <w:rFonts w:ascii="Times New Roman" w:hAnsi="Times New Roman"/>
          <w:b/>
          <w:bCs/>
          <w:i/>
          <w:iCs/>
        </w:rPr>
        <w:t>Research questions and methodology</w:t>
      </w:r>
    </w:p>
    <w:p w:rsidR="003C424C" w:rsidRDefault="003C424C" w:rsidP="003C424C">
      <w:pPr>
        <w:spacing w:after="0" w:line="360" w:lineRule="auto"/>
        <w:rPr>
          <w:rFonts w:ascii="Times New Roman" w:hAnsi="Times New Roman"/>
        </w:rPr>
      </w:pPr>
    </w:p>
    <w:p w:rsidR="003C424C" w:rsidRDefault="00B866EB" w:rsidP="003C424C">
      <w:pPr>
        <w:spacing w:after="0" w:line="360" w:lineRule="auto"/>
        <w:rPr>
          <w:rFonts w:ascii="Times New Roman" w:hAnsi="Times New Roman"/>
        </w:rPr>
      </w:pPr>
      <w:r>
        <w:rPr>
          <w:rFonts w:ascii="Times New Roman" w:hAnsi="Times New Roman"/>
        </w:rPr>
        <w:t xml:space="preserve">The 2010-11 BTLS data </w:t>
      </w:r>
      <w:r w:rsidR="003739B4">
        <w:rPr>
          <w:rFonts w:ascii="Times New Roman" w:hAnsi="Times New Roman"/>
        </w:rPr>
        <w:t>were</w:t>
      </w:r>
      <w:r>
        <w:rPr>
          <w:rFonts w:ascii="Times New Roman" w:hAnsi="Times New Roman"/>
        </w:rPr>
        <w:t xml:space="preserve"> primarily collected through a web instrument. The first item and several consequent items in the instrument </w:t>
      </w:r>
      <w:r w:rsidR="003739B4">
        <w:rPr>
          <w:rFonts w:ascii="Times New Roman" w:hAnsi="Times New Roman"/>
        </w:rPr>
        <w:t>were</w:t>
      </w:r>
      <w:r>
        <w:rPr>
          <w:rFonts w:ascii="Times New Roman" w:hAnsi="Times New Roman"/>
        </w:rPr>
        <w:t xml:space="preserve"> required questions, and </w:t>
      </w:r>
      <w:r w:rsidR="003739B4">
        <w:rPr>
          <w:rFonts w:ascii="Times New Roman" w:hAnsi="Times New Roman"/>
        </w:rPr>
        <w:t>did</w:t>
      </w:r>
      <w:r>
        <w:rPr>
          <w:rFonts w:ascii="Times New Roman" w:hAnsi="Times New Roman"/>
        </w:rPr>
        <w:t xml:space="preserve"> not allow the respondent to proceed through the survey without giving answers to these questions. These required questions </w:t>
      </w:r>
      <w:r w:rsidR="003739B4">
        <w:rPr>
          <w:rFonts w:ascii="Times New Roman" w:hAnsi="Times New Roman"/>
        </w:rPr>
        <w:t>were</w:t>
      </w:r>
      <w:r>
        <w:rPr>
          <w:rFonts w:ascii="Times New Roman" w:hAnsi="Times New Roman"/>
        </w:rPr>
        <w:t xml:space="preserve"> used to determine teaching status </w:t>
      </w:r>
      <w:r w:rsidR="00457D5A">
        <w:rPr>
          <w:rFonts w:ascii="Times New Roman" w:hAnsi="Times New Roman"/>
        </w:rPr>
        <w:t xml:space="preserve">of the </w:t>
      </w:r>
      <w:r w:rsidR="00457D5A">
        <w:rPr>
          <w:rFonts w:ascii="Times New Roman" w:hAnsi="Times New Roman"/>
        </w:rPr>
        <w:lastRenderedPageBreak/>
        <w:t xml:space="preserve">respondent </w:t>
      </w:r>
      <w:r>
        <w:rPr>
          <w:rFonts w:ascii="Times New Roman" w:hAnsi="Times New Roman"/>
        </w:rPr>
        <w:t xml:space="preserve">(current teacher vs. former teacher; stayer vs. mover), which determine the paths </w:t>
      </w:r>
      <w:r w:rsidR="00457D5A">
        <w:rPr>
          <w:rFonts w:ascii="Times New Roman" w:hAnsi="Times New Roman"/>
        </w:rPr>
        <w:t xml:space="preserve">the </w:t>
      </w:r>
      <w:r>
        <w:rPr>
          <w:rFonts w:ascii="Times New Roman" w:hAnsi="Times New Roman"/>
        </w:rPr>
        <w:t>respondent take</w:t>
      </w:r>
      <w:r w:rsidR="00457D5A">
        <w:rPr>
          <w:rFonts w:ascii="Times New Roman" w:hAnsi="Times New Roman"/>
        </w:rPr>
        <w:t>s</w:t>
      </w:r>
      <w:r>
        <w:rPr>
          <w:rFonts w:ascii="Times New Roman" w:hAnsi="Times New Roman"/>
        </w:rPr>
        <w:t xml:space="preserve"> in the survey. The log data produced in the web instrument during the data collection contain</w:t>
      </w:r>
      <w:r w:rsidR="003739B4">
        <w:rPr>
          <w:rFonts w:ascii="Times New Roman" w:hAnsi="Times New Roman"/>
        </w:rPr>
        <w:t>s</w:t>
      </w:r>
      <w:r>
        <w:rPr>
          <w:rFonts w:ascii="Times New Roman" w:hAnsi="Times New Roman"/>
        </w:rPr>
        <w:t xml:space="preserve"> dates and the foll</w:t>
      </w:r>
      <w:r w:rsidR="003C424C">
        <w:rPr>
          <w:rFonts w:ascii="Times New Roman" w:hAnsi="Times New Roman"/>
        </w:rPr>
        <w:t>owing indicators of completion:</w:t>
      </w:r>
    </w:p>
    <w:p w:rsidR="00B866EB" w:rsidRDefault="00B866EB" w:rsidP="003C424C">
      <w:pPr>
        <w:pStyle w:val="ListParagraph"/>
        <w:numPr>
          <w:ilvl w:val="0"/>
          <w:numId w:val="6"/>
        </w:numPr>
        <w:spacing w:after="0" w:line="360" w:lineRule="auto"/>
        <w:contextualSpacing w:val="0"/>
        <w:rPr>
          <w:rFonts w:ascii="Times New Roman" w:hAnsi="Times New Roman"/>
        </w:rPr>
      </w:pPr>
      <w:r>
        <w:rPr>
          <w:rFonts w:ascii="Times New Roman" w:hAnsi="Times New Roman"/>
        </w:rPr>
        <w:t xml:space="preserve">complete (respondent/interviewer </w:t>
      </w:r>
      <w:r w:rsidR="00D85277">
        <w:rPr>
          <w:rFonts w:ascii="Times New Roman" w:hAnsi="Times New Roman"/>
        </w:rPr>
        <w:t>completed the required items</w:t>
      </w:r>
      <w:r>
        <w:rPr>
          <w:rFonts w:ascii="Times New Roman" w:hAnsi="Times New Roman"/>
        </w:rPr>
        <w:t xml:space="preserve">), </w:t>
      </w:r>
    </w:p>
    <w:p w:rsidR="00B866EB" w:rsidRDefault="00B866EB" w:rsidP="003C424C">
      <w:pPr>
        <w:pStyle w:val="ListParagraph"/>
        <w:numPr>
          <w:ilvl w:val="0"/>
          <w:numId w:val="6"/>
        </w:numPr>
        <w:spacing w:after="0" w:line="360" w:lineRule="auto"/>
        <w:contextualSpacing w:val="0"/>
        <w:rPr>
          <w:rFonts w:ascii="Times New Roman" w:hAnsi="Times New Roman"/>
        </w:rPr>
      </w:pPr>
      <w:r>
        <w:rPr>
          <w:rFonts w:ascii="Times New Roman" w:hAnsi="Times New Roman"/>
        </w:rPr>
        <w:t xml:space="preserve">partial-complete – with required items (respondent/interviewer completed the required items), </w:t>
      </w:r>
    </w:p>
    <w:p w:rsidR="00B866EB" w:rsidRDefault="00B866EB" w:rsidP="003C424C">
      <w:pPr>
        <w:pStyle w:val="ListParagraph"/>
        <w:numPr>
          <w:ilvl w:val="0"/>
          <w:numId w:val="6"/>
        </w:numPr>
        <w:spacing w:after="0" w:line="360" w:lineRule="auto"/>
        <w:contextualSpacing w:val="0"/>
        <w:rPr>
          <w:rFonts w:ascii="Times New Roman" w:hAnsi="Times New Roman"/>
        </w:rPr>
      </w:pPr>
      <w:r>
        <w:rPr>
          <w:rFonts w:ascii="Times New Roman" w:hAnsi="Times New Roman"/>
        </w:rPr>
        <w:t>partial-complete – without required items (respondent/interviewer didn’t complete the required items), or</w:t>
      </w:r>
    </w:p>
    <w:p w:rsidR="00B866EB" w:rsidRDefault="00B866EB" w:rsidP="003C424C">
      <w:pPr>
        <w:pStyle w:val="ListParagraph"/>
        <w:numPr>
          <w:ilvl w:val="0"/>
          <w:numId w:val="6"/>
        </w:numPr>
        <w:spacing w:after="0" w:line="360" w:lineRule="auto"/>
        <w:contextualSpacing w:val="0"/>
        <w:rPr>
          <w:rFonts w:ascii="Times New Roman" w:hAnsi="Times New Roman"/>
        </w:rPr>
      </w:pPr>
      <w:r>
        <w:rPr>
          <w:rFonts w:ascii="Times New Roman" w:hAnsi="Times New Roman"/>
        </w:rPr>
        <w:t xml:space="preserve">opened with no answers (respondent/interviewer didn’t answer any questions). </w:t>
      </w:r>
    </w:p>
    <w:p w:rsidR="003C424C" w:rsidRDefault="003C424C" w:rsidP="003C424C">
      <w:pPr>
        <w:spacing w:after="0" w:line="360" w:lineRule="auto"/>
        <w:rPr>
          <w:rFonts w:ascii="Times New Roman" w:hAnsi="Times New Roman"/>
        </w:rPr>
      </w:pPr>
    </w:p>
    <w:p w:rsidR="00B866EB" w:rsidRDefault="00B866EB" w:rsidP="003C424C">
      <w:pPr>
        <w:spacing w:after="0" w:line="360" w:lineRule="auto"/>
        <w:rPr>
          <w:rFonts w:ascii="Times New Roman" w:hAnsi="Times New Roman"/>
        </w:rPr>
      </w:pPr>
      <w:r>
        <w:rPr>
          <w:rFonts w:ascii="Times New Roman" w:hAnsi="Times New Roman"/>
        </w:rPr>
        <w:t xml:space="preserve">To increase survey responses, NCES created a two minute, animated video of </w:t>
      </w:r>
      <w:r w:rsidR="00446593">
        <w:rPr>
          <w:rFonts w:ascii="Times New Roman" w:hAnsi="Times New Roman"/>
        </w:rPr>
        <w:t xml:space="preserve">plastic building block </w:t>
      </w:r>
      <w:r>
        <w:rPr>
          <w:rFonts w:ascii="Times New Roman" w:hAnsi="Times New Roman"/>
        </w:rPr>
        <w:t xml:space="preserve">characters. </w:t>
      </w:r>
      <w:r w:rsidR="003C424C">
        <w:rPr>
          <w:rFonts w:ascii="Times New Roman" w:hAnsi="Times New Roman"/>
        </w:rPr>
        <w:t xml:space="preserve"> </w:t>
      </w:r>
      <w:r>
        <w:rPr>
          <w:rFonts w:ascii="Times New Roman" w:hAnsi="Times New Roman"/>
        </w:rPr>
        <w:t xml:space="preserve">Ed, the feature character, explains the content of the survey and the importance of completing the BTLS to a sampled participant who has not yet responded. </w:t>
      </w:r>
      <w:r w:rsidR="003C424C">
        <w:rPr>
          <w:rFonts w:ascii="Times New Roman" w:hAnsi="Times New Roman"/>
        </w:rPr>
        <w:t xml:space="preserve"> </w:t>
      </w:r>
      <w:r>
        <w:rPr>
          <w:rFonts w:ascii="Times New Roman" w:hAnsi="Times New Roman"/>
        </w:rPr>
        <w:t xml:space="preserve">Ed explains to the initial nonrespondent: </w:t>
      </w:r>
    </w:p>
    <w:p w:rsidR="00B866EB" w:rsidRDefault="00B866EB" w:rsidP="003C424C">
      <w:pPr>
        <w:spacing w:after="0" w:line="360" w:lineRule="auto"/>
        <w:ind w:left="720"/>
        <w:rPr>
          <w:rFonts w:ascii="Times New Roman" w:hAnsi="Times New Roman"/>
          <w:i/>
          <w:iCs/>
        </w:rPr>
      </w:pPr>
      <w:r>
        <w:rPr>
          <w:rFonts w:ascii="Times New Roman" w:hAnsi="Times New Roman"/>
          <w:i/>
          <w:iCs/>
        </w:rPr>
        <w:t xml:space="preserve">“We’re [the Department of Education] interested in what you’ve been doing since the 2007-08 school year… As a teacher or a former teacher, you are in a special position to provide us vital information about your teaching experiences.  With your help we can develop better programs that help teachers and schools find success together.” </w:t>
      </w:r>
    </w:p>
    <w:p w:rsidR="00B866EB" w:rsidRDefault="00B866EB" w:rsidP="003C424C">
      <w:pPr>
        <w:spacing w:after="0" w:line="360" w:lineRule="auto"/>
        <w:rPr>
          <w:rFonts w:ascii="Times New Roman" w:hAnsi="Times New Roman"/>
        </w:rPr>
      </w:pPr>
      <w:r>
        <w:rPr>
          <w:rFonts w:ascii="Times New Roman" w:hAnsi="Times New Roman"/>
        </w:rPr>
        <w:t>Figure 1 below shows a screenshot of the video used for this experiment.</w:t>
      </w:r>
    </w:p>
    <w:p w:rsidR="003C424C" w:rsidRDefault="003C424C" w:rsidP="003C424C">
      <w:pPr>
        <w:spacing w:after="0" w:line="360" w:lineRule="auto"/>
        <w:rPr>
          <w:rFonts w:ascii="Times New Roman" w:hAnsi="Times New Roman"/>
          <w:i/>
          <w:iCs/>
        </w:rPr>
      </w:pPr>
    </w:p>
    <w:p w:rsidR="00B866EB" w:rsidRDefault="00B866EB" w:rsidP="003C424C">
      <w:pPr>
        <w:spacing w:after="0" w:line="360" w:lineRule="auto"/>
        <w:rPr>
          <w:rFonts w:ascii="Times New Roman" w:hAnsi="Times New Roman"/>
        </w:rPr>
      </w:pPr>
      <w:r>
        <w:rPr>
          <w:rFonts w:ascii="Times New Roman" w:hAnsi="Times New Roman"/>
          <w:i/>
          <w:iCs/>
        </w:rPr>
        <w:t>Figure 1</w:t>
      </w:r>
      <w:r>
        <w:rPr>
          <w:rFonts w:ascii="Times New Roman" w:hAnsi="Times New Roman"/>
        </w:rPr>
        <w:t>. Screenshot of Ed talking to a survey nonrespondent</w:t>
      </w:r>
    </w:p>
    <w:p w:rsidR="0081277A" w:rsidRDefault="00F56800" w:rsidP="003C424C">
      <w:pPr>
        <w:spacing w:after="0" w:line="360" w:lineRule="auto"/>
        <w:rPr>
          <w:rFonts w:ascii="Times New Roman" w:hAnsi="Times New Roman"/>
        </w:rPr>
      </w:pPr>
      <w:r>
        <w:rPr>
          <w:rFonts w:ascii="Times New Roman" w:hAnsi="Times New Roman"/>
          <w:noProof/>
        </w:rPr>
        <w:drawing>
          <wp:inline distT="0" distB="0" distL="0" distR="0">
            <wp:extent cx="2438400" cy="1828800"/>
            <wp:effectExtent l="19050" t="0" r="0" b="0"/>
            <wp:docPr id="1" name="Picture 1" descr="btls lego screensh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tls lego screenshot"/>
                    <pic:cNvPicPr>
                      <a:picLocks noChangeAspect="1" noChangeArrowheads="1"/>
                    </pic:cNvPicPr>
                  </pic:nvPicPr>
                  <pic:blipFill>
                    <a:blip r:embed="rId8" cstate="print"/>
                    <a:srcRect/>
                    <a:stretch>
                      <a:fillRect/>
                    </a:stretch>
                  </pic:blipFill>
                  <pic:spPr bwMode="auto">
                    <a:xfrm>
                      <a:off x="0" y="0"/>
                      <a:ext cx="2438400" cy="1828800"/>
                    </a:xfrm>
                    <a:prstGeom prst="rect">
                      <a:avLst/>
                    </a:prstGeom>
                    <a:noFill/>
                    <a:ln w="9525">
                      <a:noFill/>
                      <a:miter lim="800000"/>
                      <a:headEnd/>
                      <a:tailEnd/>
                    </a:ln>
                  </pic:spPr>
                </pic:pic>
              </a:graphicData>
            </a:graphic>
          </wp:inline>
        </w:drawing>
      </w:r>
    </w:p>
    <w:p w:rsidR="003C424C" w:rsidRDefault="003C424C" w:rsidP="003C424C">
      <w:pPr>
        <w:spacing w:after="0" w:line="360" w:lineRule="auto"/>
        <w:rPr>
          <w:rFonts w:ascii="Times New Roman" w:hAnsi="Times New Roman"/>
        </w:rPr>
      </w:pPr>
    </w:p>
    <w:p w:rsidR="00DD1E27" w:rsidRDefault="0041506B" w:rsidP="003C424C">
      <w:pPr>
        <w:spacing w:after="0" w:line="360" w:lineRule="auto"/>
        <w:rPr>
          <w:rFonts w:ascii="Times New Roman" w:hAnsi="Times New Roman"/>
        </w:rPr>
      </w:pPr>
      <w:r>
        <w:rPr>
          <w:rFonts w:ascii="Times New Roman" w:hAnsi="Times New Roman"/>
        </w:rPr>
        <w:t xml:space="preserve">A list of initial nonrespondents by </w:t>
      </w:r>
      <w:r w:rsidR="00B866EB">
        <w:rPr>
          <w:rFonts w:ascii="Times New Roman" w:hAnsi="Times New Roman"/>
        </w:rPr>
        <w:t xml:space="preserve">the telephone follow-up </w:t>
      </w:r>
      <w:r>
        <w:rPr>
          <w:rFonts w:ascii="Times New Roman" w:hAnsi="Times New Roman"/>
        </w:rPr>
        <w:t xml:space="preserve">date </w:t>
      </w:r>
      <w:r w:rsidR="007728C0">
        <w:rPr>
          <w:rFonts w:ascii="Times New Roman" w:hAnsi="Times New Roman"/>
        </w:rPr>
        <w:t>was</w:t>
      </w:r>
      <w:r>
        <w:rPr>
          <w:rFonts w:ascii="Times New Roman" w:hAnsi="Times New Roman"/>
        </w:rPr>
        <w:t xml:space="preserve"> obtained through the survey system. </w:t>
      </w:r>
      <w:r w:rsidR="00FB7248">
        <w:rPr>
          <w:rFonts w:ascii="Times New Roman" w:hAnsi="Times New Roman"/>
        </w:rPr>
        <w:t xml:space="preserve">These initial nonrespondents </w:t>
      </w:r>
      <w:r w:rsidR="00FB7248" w:rsidRPr="00686B59">
        <w:rPr>
          <w:rFonts w:ascii="Times New Roman" w:hAnsi="Times New Roman"/>
        </w:rPr>
        <w:t xml:space="preserve">were eligible for the experiment if they had working e-mail addresses and were not study refusals. They </w:t>
      </w:r>
      <w:r w:rsidR="007728C0" w:rsidRPr="00686B59">
        <w:rPr>
          <w:rFonts w:ascii="Times New Roman" w:hAnsi="Times New Roman"/>
        </w:rPr>
        <w:t>were</w:t>
      </w:r>
      <w:r w:rsidR="00B866EB" w:rsidRPr="00686B59">
        <w:rPr>
          <w:rFonts w:ascii="Times New Roman" w:hAnsi="Times New Roman"/>
        </w:rPr>
        <w:t xml:space="preserve"> randomly assigned to one of two groups – 1) a treatment group which receive</w:t>
      </w:r>
      <w:r w:rsidR="00FB7248" w:rsidRPr="00686B59">
        <w:rPr>
          <w:rFonts w:ascii="Times New Roman" w:hAnsi="Times New Roman"/>
        </w:rPr>
        <w:t>d</w:t>
      </w:r>
      <w:r w:rsidR="00B866EB" w:rsidRPr="00686B59">
        <w:rPr>
          <w:rFonts w:ascii="Times New Roman" w:hAnsi="Times New Roman"/>
        </w:rPr>
        <w:t xml:space="preserve"> the reminder email with</w:t>
      </w:r>
      <w:r w:rsidR="00B866EB">
        <w:rPr>
          <w:rFonts w:ascii="Times New Roman" w:hAnsi="Times New Roman"/>
        </w:rPr>
        <w:t xml:space="preserve"> the link to the video and a link to the survey, or 2) a control group which receive</w:t>
      </w:r>
      <w:r w:rsidR="00FB7248">
        <w:rPr>
          <w:rFonts w:ascii="Times New Roman" w:hAnsi="Times New Roman"/>
        </w:rPr>
        <w:t>d</w:t>
      </w:r>
      <w:r w:rsidR="00B866EB">
        <w:rPr>
          <w:rFonts w:ascii="Times New Roman" w:hAnsi="Times New Roman"/>
        </w:rPr>
        <w:t xml:space="preserve"> the reminder email with only a link to the survey. </w:t>
      </w:r>
      <w:r w:rsidR="00DD1E27">
        <w:rPr>
          <w:rFonts w:ascii="Times New Roman" w:hAnsi="Times New Roman"/>
        </w:rPr>
        <w:t xml:space="preserve">One consideration during the assignment of the sample </w:t>
      </w:r>
      <w:r w:rsidR="007728C0">
        <w:rPr>
          <w:rFonts w:ascii="Times New Roman" w:hAnsi="Times New Roman"/>
        </w:rPr>
        <w:t>wa</w:t>
      </w:r>
      <w:r w:rsidR="00DD1E27">
        <w:rPr>
          <w:rFonts w:ascii="Times New Roman" w:hAnsi="Times New Roman"/>
        </w:rPr>
        <w:t>s the impact of cash incentives from the previous, the third</w:t>
      </w:r>
      <w:r w:rsidR="003210D2">
        <w:rPr>
          <w:rFonts w:ascii="Times New Roman" w:hAnsi="Times New Roman"/>
        </w:rPr>
        <w:t>,</w:t>
      </w:r>
      <w:r w:rsidR="00DD1E27">
        <w:rPr>
          <w:rFonts w:ascii="Times New Roman" w:hAnsi="Times New Roman"/>
        </w:rPr>
        <w:t xml:space="preserve"> wave of BTLS. At that time, half of all participants received a $10 cash incentive and the other half received a $20 cash incentive prior to receiving the survey instrument. </w:t>
      </w:r>
      <w:r w:rsidR="00C21363">
        <w:rPr>
          <w:rFonts w:ascii="Times New Roman" w:hAnsi="Times New Roman"/>
        </w:rPr>
        <w:t>The results of the experiment showed</w:t>
      </w:r>
      <w:r w:rsidR="00DD1E27">
        <w:rPr>
          <w:rFonts w:ascii="Times New Roman" w:hAnsi="Times New Roman"/>
        </w:rPr>
        <w:t xml:space="preserve"> that the $20 incentive was more effective. </w:t>
      </w:r>
      <w:r w:rsidR="007728C0">
        <w:rPr>
          <w:rFonts w:ascii="Times New Roman" w:hAnsi="Times New Roman"/>
        </w:rPr>
        <w:t xml:space="preserve">To mitigate this, </w:t>
      </w:r>
      <w:r w:rsidR="00DD1E27">
        <w:rPr>
          <w:rFonts w:ascii="Times New Roman" w:hAnsi="Times New Roman"/>
        </w:rPr>
        <w:t xml:space="preserve">Census </w:t>
      </w:r>
      <w:r w:rsidR="007728C0">
        <w:rPr>
          <w:rFonts w:ascii="Times New Roman" w:hAnsi="Times New Roman"/>
        </w:rPr>
        <w:t>c</w:t>
      </w:r>
      <w:r w:rsidR="00DD1E27">
        <w:rPr>
          <w:rFonts w:ascii="Times New Roman" w:hAnsi="Times New Roman"/>
        </w:rPr>
        <w:t>reate</w:t>
      </w:r>
      <w:r w:rsidR="007728C0">
        <w:rPr>
          <w:rFonts w:ascii="Times New Roman" w:hAnsi="Times New Roman"/>
        </w:rPr>
        <w:t>d</w:t>
      </w:r>
      <w:r w:rsidR="00DD1E27">
        <w:rPr>
          <w:rFonts w:ascii="Times New Roman" w:hAnsi="Times New Roman"/>
        </w:rPr>
        <w:t xml:space="preserve"> two experimental groups with the balanced number of initial nonrespondents who received different incentives in the </w:t>
      </w:r>
      <w:r w:rsidR="00DD1E27">
        <w:rPr>
          <w:rFonts w:ascii="Times New Roman" w:hAnsi="Times New Roman"/>
        </w:rPr>
        <w:lastRenderedPageBreak/>
        <w:t>previous administration by merging</w:t>
      </w:r>
      <w:r w:rsidR="00DD1E27" w:rsidRPr="0012426D">
        <w:rPr>
          <w:rFonts w:ascii="Times New Roman" w:hAnsi="Times New Roman"/>
        </w:rPr>
        <w:t xml:space="preserve"> the list of initial nonrespondents </w:t>
      </w:r>
      <w:r w:rsidR="00DD1E27">
        <w:rPr>
          <w:rFonts w:ascii="Times New Roman" w:hAnsi="Times New Roman"/>
        </w:rPr>
        <w:t>and</w:t>
      </w:r>
      <w:r w:rsidR="00DD1E27" w:rsidRPr="0012426D">
        <w:rPr>
          <w:rFonts w:ascii="Times New Roman" w:hAnsi="Times New Roman"/>
        </w:rPr>
        <w:t xml:space="preserve"> the wave 3 </w:t>
      </w:r>
      <w:r w:rsidR="00DD1E27">
        <w:rPr>
          <w:rFonts w:ascii="Times New Roman" w:hAnsi="Times New Roman"/>
        </w:rPr>
        <w:t>incentive information</w:t>
      </w:r>
      <w:r w:rsidR="00DD1E27" w:rsidRPr="0012426D">
        <w:rPr>
          <w:rFonts w:ascii="Times New Roman" w:hAnsi="Times New Roman"/>
        </w:rPr>
        <w:t xml:space="preserve"> before the random assignment.</w:t>
      </w:r>
      <w:r w:rsidR="00DD1E27">
        <w:rPr>
          <w:rFonts w:ascii="Times New Roman" w:hAnsi="Times New Roman"/>
        </w:rPr>
        <w:t xml:space="preserve"> </w:t>
      </w:r>
    </w:p>
    <w:p w:rsidR="00C07B58" w:rsidRDefault="00C07B58" w:rsidP="003C424C">
      <w:pPr>
        <w:spacing w:after="0" w:line="360" w:lineRule="auto"/>
        <w:rPr>
          <w:rFonts w:ascii="Times New Roman" w:hAnsi="Times New Roman"/>
        </w:rPr>
      </w:pPr>
    </w:p>
    <w:p w:rsidR="0041506B" w:rsidRDefault="00B866EB" w:rsidP="003C424C">
      <w:pPr>
        <w:spacing w:after="0" w:line="360" w:lineRule="auto"/>
        <w:rPr>
          <w:rFonts w:ascii="Times New Roman" w:hAnsi="Times New Roman"/>
        </w:rPr>
      </w:pPr>
      <w:r>
        <w:rPr>
          <w:rFonts w:ascii="Times New Roman" w:hAnsi="Times New Roman"/>
        </w:rPr>
        <w:t xml:space="preserve">The video </w:t>
      </w:r>
      <w:r w:rsidR="007728C0">
        <w:rPr>
          <w:rFonts w:ascii="Times New Roman" w:hAnsi="Times New Roman"/>
        </w:rPr>
        <w:t xml:space="preserve">was </w:t>
      </w:r>
      <w:r>
        <w:rPr>
          <w:rFonts w:ascii="Times New Roman" w:hAnsi="Times New Roman"/>
        </w:rPr>
        <w:t>introduced at the beginning of the email with the short text “</w:t>
      </w:r>
      <w:r>
        <w:rPr>
          <w:rFonts w:ascii="Times New Roman" w:hAnsi="Times New Roman"/>
          <w:i/>
          <w:iCs/>
        </w:rPr>
        <w:t>Have you met Ed? Would you like to? Check out the video that BTLS has prepared for you!</w:t>
      </w:r>
      <w:r>
        <w:rPr>
          <w:rFonts w:ascii="Times New Roman" w:hAnsi="Times New Roman"/>
        </w:rPr>
        <w:t xml:space="preserve">” </w:t>
      </w:r>
      <w:r w:rsidR="007728C0">
        <w:rPr>
          <w:rFonts w:ascii="Times New Roman" w:hAnsi="Times New Roman"/>
        </w:rPr>
        <w:t>T</w:t>
      </w:r>
      <w:r>
        <w:rPr>
          <w:rFonts w:ascii="Times New Roman" w:hAnsi="Times New Roman"/>
        </w:rPr>
        <w:t>he introduction ensure</w:t>
      </w:r>
      <w:r w:rsidR="007728C0">
        <w:rPr>
          <w:rFonts w:ascii="Times New Roman" w:hAnsi="Times New Roman"/>
        </w:rPr>
        <w:t>d</w:t>
      </w:r>
      <w:r>
        <w:rPr>
          <w:rFonts w:ascii="Times New Roman" w:hAnsi="Times New Roman"/>
        </w:rPr>
        <w:t xml:space="preserve"> that participants in the treatment group kn</w:t>
      </w:r>
      <w:r w:rsidR="00FB7248">
        <w:rPr>
          <w:rFonts w:ascii="Times New Roman" w:hAnsi="Times New Roman"/>
        </w:rPr>
        <w:t>ew</w:t>
      </w:r>
      <w:r>
        <w:rPr>
          <w:rFonts w:ascii="Times New Roman" w:hAnsi="Times New Roman"/>
        </w:rPr>
        <w:t xml:space="preserve"> that the video </w:t>
      </w:r>
      <w:r w:rsidR="006509ED">
        <w:rPr>
          <w:rFonts w:ascii="Times New Roman" w:hAnsi="Times New Roman"/>
        </w:rPr>
        <w:t>wa</w:t>
      </w:r>
      <w:r>
        <w:rPr>
          <w:rFonts w:ascii="Times New Roman" w:hAnsi="Times New Roman"/>
        </w:rPr>
        <w:t>s included in the reminder they receive</w:t>
      </w:r>
      <w:r w:rsidR="007728C0">
        <w:rPr>
          <w:rFonts w:ascii="Times New Roman" w:hAnsi="Times New Roman"/>
        </w:rPr>
        <w:t>d</w:t>
      </w:r>
      <w:r>
        <w:rPr>
          <w:rFonts w:ascii="Times New Roman" w:hAnsi="Times New Roman"/>
        </w:rPr>
        <w:t xml:space="preserve">. </w:t>
      </w:r>
    </w:p>
    <w:p w:rsidR="004F59AA" w:rsidRDefault="004F59AA" w:rsidP="003C424C">
      <w:pPr>
        <w:spacing w:after="0" w:line="360" w:lineRule="auto"/>
        <w:rPr>
          <w:rFonts w:ascii="Times New Roman" w:hAnsi="Times New Roman"/>
        </w:rPr>
      </w:pPr>
    </w:p>
    <w:p w:rsidR="00B866EB" w:rsidRDefault="00B866EB" w:rsidP="003C424C">
      <w:pPr>
        <w:spacing w:after="0" w:line="360" w:lineRule="auto"/>
        <w:rPr>
          <w:rFonts w:ascii="Times New Roman" w:hAnsi="Times New Roman"/>
        </w:rPr>
      </w:pPr>
      <w:r>
        <w:rPr>
          <w:rFonts w:ascii="Times New Roman" w:hAnsi="Times New Roman"/>
        </w:rPr>
        <w:t>Based on the actual data collected, a Final I</w:t>
      </w:r>
      <w:r w:rsidR="00DD1998">
        <w:rPr>
          <w:rFonts w:ascii="Times New Roman" w:hAnsi="Times New Roman"/>
        </w:rPr>
        <w:t xml:space="preserve">nterview </w:t>
      </w:r>
      <w:r>
        <w:rPr>
          <w:rFonts w:ascii="Times New Roman" w:hAnsi="Times New Roman"/>
        </w:rPr>
        <w:t>S</w:t>
      </w:r>
      <w:r w:rsidR="00DD1998">
        <w:rPr>
          <w:rFonts w:ascii="Times New Roman" w:hAnsi="Times New Roman"/>
        </w:rPr>
        <w:t xml:space="preserve">tatus </w:t>
      </w:r>
      <w:r>
        <w:rPr>
          <w:rFonts w:ascii="Times New Roman" w:hAnsi="Times New Roman"/>
        </w:rPr>
        <w:t>R</w:t>
      </w:r>
      <w:r w:rsidR="00DD1998">
        <w:rPr>
          <w:rFonts w:ascii="Times New Roman" w:hAnsi="Times New Roman"/>
        </w:rPr>
        <w:t>ecode</w:t>
      </w:r>
      <w:r>
        <w:rPr>
          <w:rFonts w:ascii="Times New Roman" w:hAnsi="Times New Roman"/>
        </w:rPr>
        <w:t xml:space="preserve"> (FI) file </w:t>
      </w:r>
      <w:r w:rsidR="007728C0">
        <w:rPr>
          <w:rFonts w:ascii="Times New Roman" w:hAnsi="Times New Roman"/>
        </w:rPr>
        <w:t xml:space="preserve">was </w:t>
      </w:r>
      <w:r>
        <w:rPr>
          <w:rFonts w:ascii="Times New Roman" w:hAnsi="Times New Roman"/>
        </w:rPr>
        <w:t xml:space="preserve">created containing information on case status - whether a case </w:t>
      </w:r>
      <w:r w:rsidR="00FB7248">
        <w:rPr>
          <w:rFonts w:ascii="Times New Roman" w:hAnsi="Times New Roman"/>
        </w:rPr>
        <w:t>wa</w:t>
      </w:r>
      <w:r>
        <w:rPr>
          <w:rFonts w:ascii="Times New Roman" w:hAnsi="Times New Roman"/>
        </w:rPr>
        <w:t xml:space="preserve">s an interview (i.e. respondent), nonrespondent, or out-of-scope. Both complete surveys and partial-complete surveys with required items answered </w:t>
      </w:r>
      <w:r w:rsidR="00FB7248">
        <w:rPr>
          <w:rFonts w:ascii="Times New Roman" w:hAnsi="Times New Roman"/>
        </w:rPr>
        <w:t>were</w:t>
      </w:r>
      <w:r>
        <w:rPr>
          <w:rFonts w:ascii="Times New Roman" w:hAnsi="Times New Roman"/>
        </w:rPr>
        <w:t xml:space="preserve"> considered as study interviews in BTLS processing because they contain</w:t>
      </w:r>
      <w:r w:rsidR="00181875">
        <w:rPr>
          <w:rFonts w:ascii="Times New Roman" w:hAnsi="Times New Roman"/>
        </w:rPr>
        <w:t>ed</w:t>
      </w:r>
      <w:r>
        <w:rPr>
          <w:rFonts w:ascii="Times New Roman" w:hAnsi="Times New Roman"/>
        </w:rPr>
        <w:t xml:space="preserve"> key information on teachers’ status. The following research questions </w:t>
      </w:r>
      <w:r w:rsidR="00FB7248">
        <w:rPr>
          <w:rFonts w:ascii="Times New Roman" w:hAnsi="Times New Roman"/>
        </w:rPr>
        <w:t>wer</w:t>
      </w:r>
      <w:r>
        <w:rPr>
          <w:rFonts w:ascii="Times New Roman" w:hAnsi="Times New Roman"/>
        </w:rPr>
        <w:t>e explored:</w:t>
      </w:r>
    </w:p>
    <w:p w:rsidR="00FB7248" w:rsidRDefault="00FB7248" w:rsidP="003C424C">
      <w:pPr>
        <w:pStyle w:val="ListParagraph"/>
        <w:numPr>
          <w:ilvl w:val="0"/>
          <w:numId w:val="7"/>
        </w:numPr>
        <w:spacing w:after="0" w:line="360" w:lineRule="auto"/>
        <w:contextualSpacing w:val="0"/>
        <w:rPr>
          <w:rFonts w:ascii="Times New Roman" w:hAnsi="Times New Roman"/>
        </w:rPr>
      </w:pPr>
      <w:r w:rsidRPr="00FB7248">
        <w:rPr>
          <w:rFonts w:ascii="Times New Roman" w:hAnsi="Times New Roman"/>
        </w:rPr>
        <w:t>Did</w:t>
      </w:r>
      <w:r w:rsidR="00B866EB" w:rsidRPr="00FB7248">
        <w:rPr>
          <w:rFonts w:ascii="Times New Roman" w:hAnsi="Times New Roman"/>
        </w:rPr>
        <w:t xml:space="preserve"> the group receiving the video reminder have a greater number of survey interviews than the group receiving the non-video reminder? </w:t>
      </w:r>
    </w:p>
    <w:p w:rsidR="00B866EB" w:rsidRPr="00FB7248" w:rsidRDefault="00FB7248" w:rsidP="003C424C">
      <w:pPr>
        <w:pStyle w:val="ListParagraph"/>
        <w:numPr>
          <w:ilvl w:val="0"/>
          <w:numId w:val="7"/>
        </w:numPr>
        <w:spacing w:after="0" w:line="360" w:lineRule="auto"/>
        <w:contextualSpacing w:val="0"/>
        <w:rPr>
          <w:rFonts w:ascii="Times New Roman" w:hAnsi="Times New Roman"/>
        </w:rPr>
      </w:pPr>
      <w:r>
        <w:rPr>
          <w:rFonts w:ascii="Times New Roman" w:hAnsi="Times New Roman"/>
        </w:rPr>
        <w:t>Did</w:t>
      </w:r>
      <w:r w:rsidR="00B866EB" w:rsidRPr="00FB7248">
        <w:rPr>
          <w:rFonts w:ascii="Times New Roman" w:hAnsi="Times New Roman"/>
        </w:rPr>
        <w:t xml:space="preserve"> the group receiving the video reminder respond to the survey in less average time than the group receiving the non-video reminder?</w:t>
      </w:r>
    </w:p>
    <w:p w:rsidR="004F59AA" w:rsidRDefault="004F59AA" w:rsidP="003C424C">
      <w:pPr>
        <w:spacing w:after="0" w:line="360" w:lineRule="auto"/>
        <w:rPr>
          <w:rFonts w:ascii="Times New Roman" w:hAnsi="Times New Roman"/>
        </w:rPr>
      </w:pPr>
    </w:p>
    <w:p w:rsidR="00B866EB" w:rsidRDefault="00B866EB" w:rsidP="003C424C">
      <w:pPr>
        <w:spacing w:after="0" w:line="360" w:lineRule="auto"/>
        <w:rPr>
          <w:rFonts w:ascii="Times New Roman" w:hAnsi="Times New Roman"/>
        </w:rPr>
      </w:pPr>
      <w:r>
        <w:rPr>
          <w:rFonts w:ascii="Times New Roman" w:hAnsi="Times New Roman"/>
        </w:rPr>
        <w:t>In order to test the effectiveness of the video reminder compared with the non-video reminder, the study measure</w:t>
      </w:r>
      <w:r w:rsidR="006509ED">
        <w:rPr>
          <w:rFonts w:ascii="Times New Roman" w:hAnsi="Times New Roman"/>
        </w:rPr>
        <w:t>d</w:t>
      </w:r>
      <w:r>
        <w:rPr>
          <w:rFonts w:ascii="Times New Roman" w:hAnsi="Times New Roman"/>
        </w:rPr>
        <w:t xml:space="preserve"> the number of survey completions and the average number of days lapsed between the reminder and completion dates of two groups. </w:t>
      </w:r>
      <w:r w:rsidR="006C461B">
        <w:rPr>
          <w:rFonts w:ascii="Times New Roman" w:hAnsi="Times New Roman"/>
        </w:rPr>
        <w:t>Chi-square tests</w:t>
      </w:r>
      <w:r>
        <w:rPr>
          <w:rFonts w:ascii="Times New Roman" w:hAnsi="Times New Roman"/>
        </w:rPr>
        <w:t xml:space="preserve"> </w:t>
      </w:r>
      <w:r w:rsidR="006509ED">
        <w:rPr>
          <w:rFonts w:ascii="Times New Roman" w:hAnsi="Times New Roman"/>
        </w:rPr>
        <w:t>were</w:t>
      </w:r>
      <w:r>
        <w:rPr>
          <w:rFonts w:ascii="Times New Roman" w:hAnsi="Times New Roman"/>
        </w:rPr>
        <w:t xml:space="preserve"> carried out to examine if receiving </w:t>
      </w:r>
      <w:r w:rsidR="0012426D">
        <w:rPr>
          <w:rFonts w:ascii="Times New Roman" w:hAnsi="Times New Roman"/>
        </w:rPr>
        <w:t xml:space="preserve">a </w:t>
      </w:r>
      <w:r>
        <w:rPr>
          <w:rFonts w:ascii="Times New Roman" w:hAnsi="Times New Roman"/>
        </w:rPr>
        <w:t>video reminder or not ha</w:t>
      </w:r>
      <w:r w:rsidR="006509ED">
        <w:rPr>
          <w:rFonts w:ascii="Times New Roman" w:hAnsi="Times New Roman"/>
        </w:rPr>
        <w:t>d</w:t>
      </w:r>
      <w:r>
        <w:rPr>
          <w:rFonts w:ascii="Times New Roman" w:hAnsi="Times New Roman"/>
        </w:rPr>
        <w:t xml:space="preserve"> a significant impact on the number of interviews and the average days lapsed between the reminder and the completion date.</w:t>
      </w:r>
      <w:r w:rsidR="00767F7F">
        <w:rPr>
          <w:rFonts w:ascii="Times New Roman" w:hAnsi="Times New Roman"/>
        </w:rPr>
        <w:t xml:space="preserve"> </w:t>
      </w:r>
      <w:r>
        <w:rPr>
          <w:rFonts w:ascii="Times New Roman" w:hAnsi="Times New Roman"/>
        </w:rPr>
        <w:t>The analys</w:t>
      </w:r>
      <w:r w:rsidR="0057471E">
        <w:rPr>
          <w:rFonts w:ascii="Times New Roman" w:hAnsi="Times New Roman"/>
        </w:rPr>
        <w:t>e</w:t>
      </w:r>
      <w:r>
        <w:rPr>
          <w:rFonts w:ascii="Times New Roman" w:hAnsi="Times New Roman"/>
        </w:rPr>
        <w:t xml:space="preserve">s </w:t>
      </w:r>
      <w:r w:rsidR="00824537">
        <w:rPr>
          <w:rFonts w:ascii="Times New Roman" w:hAnsi="Times New Roman"/>
        </w:rPr>
        <w:t>were</w:t>
      </w:r>
      <w:r>
        <w:rPr>
          <w:rFonts w:ascii="Times New Roman" w:hAnsi="Times New Roman"/>
        </w:rPr>
        <w:t xml:space="preserve"> conducted using the </w:t>
      </w:r>
      <w:r w:rsidR="0057471E">
        <w:rPr>
          <w:rFonts w:ascii="Times New Roman" w:hAnsi="Times New Roman"/>
        </w:rPr>
        <w:t xml:space="preserve">fourth wave </w:t>
      </w:r>
      <w:r>
        <w:rPr>
          <w:rFonts w:ascii="Times New Roman" w:hAnsi="Times New Roman"/>
        </w:rPr>
        <w:t>FI file</w:t>
      </w:r>
      <w:r w:rsidR="00824537">
        <w:rPr>
          <w:rFonts w:ascii="Times New Roman" w:hAnsi="Times New Roman"/>
        </w:rPr>
        <w:t xml:space="preserve"> </w:t>
      </w:r>
      <w:r w:rsidR="004E2CEA">
        <w:rPr>
          <w:rFonts w:ascii="Times New Roman" w:hAnsi="Times New Roman"/>
        </w:rPr>
        <w:t>which</w:t>
      </w:r>
      <w:r w:rsidR="00824537">
        <w:rPr>
          <w:rFonts w:ascii="Times New Roman" w:hAnsi="Times New Roman"/>
        </w:rPr>
        <w:t xml:space="preserve"> included both log data </w:t>
      </w:r>
      <w:r w:rsidR="0057471E">
        <w:rPr>
          <w:rFonts w:ascii="Times New Roman" w:hAnsi="Times New Roman"/>
        </w:rPr>
        <w:t xml:space="preserve">from the web instrument </w:t>
      </w:r>
      <w:r w:rsidR="00824537">
        <w:rPr>
          <w:rFonts w:ascii="Times New Roman" w:hAnsi="Times New Roman"/>
        </w:rPr>
        <w:t>and</w:t>
      </w:r>
      <w:r w:rsidR="0057471E">
        <w:rPr>
          <w:rFonts w:ascii="Times New Roman" w:hAnsi="Times New Roman"/>
        </w:rPr>
        <w:t xml:space="preserve"> the</w:t>
      </w:r>
      <w:r w:rsidR="00824537">
        <w:rPr>
          <w:rFonts w:ascii="Times New Roman" w:hAnsi="Times New Roman"/>
        </w:rPr>
        <w:t xml:space="preserve"> final interview status of the survey participants</w:t>
      </w:r>
      <w:r>
        <w:rPr>
          <w:rFonts w:ascii="Times New Roman" w:hAnsi="Times New Roman"/>
        </w:rPr>
        <w:t>.</w:t>
      </w:r>
    </w:p>
    <w:p w:rsidR="004F59AA" w:rsidRDefault="004F59AA" w:rsidP="003C424C">
      <w:pPr>
        <w:spacing w:after="0" w:line="360" w:lineRule="auto"/>
        <w:rPr>
          <w:rFonts w:ascii="Times New Roman" w:hAnsi="Times New Roman"/>
        </w:rPr>
      </w:pPr>
    </w:p>
    <w:p w:rsidR="003739B4" w:rsidRDefault="003739B4" w:rsidP="003C424C">
      <w:pPr>
        <w:spacing w:after="0" w:line="360" w:lineRule="auto"/>
        <w:rPr>
          <w:rFonts w:ascii="Times New Roman" w:hAnsi="Times New Roman"/>
          <w:b/>
          <w:i/>
        </w:rPr>
      </w:pPr>
      <w:r>
        <w:rPr>
          <w:rFonts w:ascii="Times New Roman" w:hAnsi="Times New Roman"/>
          <w:b/>
          <w:i/>
        </w:rPr>
        <w:t xml:space="preserve">Data and Analysis </w:t>
      </w:r>
    </w:p>
    <w:p w:rsidR="004F59AA" w:rsidRDefault="004F59AA" w:rsidP="003C424C">
      <w:pPr>
        <w:spacing w:after="0" w:line="360" w:lineRule="auto"/>
        <w:rPr>
          <w:rFonts w:ascii="Times New Roman" w:hAnsi="Times New Roman"/>
        </w:rPr>
      </w:pPr>
    </w:p>
    <w:p w:rsidR="00DD1998" w:rsidRDefault="0076196B" w:rsidP="003C424C">
      <w:pPr>
        <w:spacing w:after="0" w:line="360" w:lineRule="auto"/>
        <w:rPr>
          <w:rFonts w:ascii="Times New Roman" w:hAnsi="Times New Roman"/>
        </w:rPr>
      </w:pPr>
      <w:r>
        <w:rPr>
          <w:rFonts w:ascii="Times New Roman" w:hAnsi="Times New Roman"/>
        </w:rPr>
        <w:t xml:space="preserve">All first year public school teachers who responded to 2007-08 SASS are included in the BTLS sample and their SASS responses constitute the </w:t>
      </w:r>
      <w:r w:rsidR="006509ED">
        <w:rPr>
          <w:rFonts w:ascii="Times New Roman" w:hAnsi="Times New Roman"/>
        </w:rPr>
        <w:t>first wave of</w:t>
      </w:r>
      <w:r>
        <w:rPr>
          <w:rFonts w:ascii="Times New Roman" w:hAnsi="Times New Roman"/>
        </w:rPr>
        <w:t xml:space="preserve"> data. In 2008-09, these same teachers were asked to complete the longitudinal version of the Teacher Follow-up Survey (TFS) — their responses constitute the </w:t>
      </w:r>
      <w:r w:rsidR="006509ED">
        <w:rPr>
          <w:rFonts w:ascii="Times New Roman" w:hAnsi="Times New Roman"/>
        </w:rPr>
        <w:t>second wave</w:t>
      </w:r>
      <w:r>
        <w:rPr>
          <w:rFonts w:ascii="Times New Roman" w:hAnsi="Times New Roman"/>
        </w:rPr>
        <w:t xml:space="preserve"> of BTLS. </w:t>
      </w:r>
      <w:r w:rsidR="006509ED">
        <w:rPr>
          <w:rFonts w:ascii="Times New Roman" w:hAnsi="Times New Roman"/>
        </w:rPr>
        <w:t>The third and fourth wave</w:t>
      </w:r>
      <w:r w:rsidR="00047321">
        <w:rPr>
          <w:rFonts w:ascii="Times New Roman" w:hAnsi="Times New Roman"/>
        </w:rPr>
        <w:t xml:space="preserve">, </w:t>
      </w:r>
      <w:r w:rsidR="00234066">
        <w:rPr>
          <w:rFonts w:ascii="Times New Roman" w:hAnsi="Times New Roman"/>
        </w:rPr>
        <w:t xml:space="preserve">in </w:t>
      </w:r>
      <w:r w:rsidR="00047321">
        <w:rPr>
          <w:rFonts w:ascii="Times New Roman" w:hAnsi="Times New Roman"/>
        </w:rPr>
        <w:t>2009-10 and 2010-11</w:t>
      </w:r>
      <w:r w:rsidR="00234066">
        <w:rPr>
          <w:rFonts w:ascii="Times New Roman" w:hAnsi="Times New Roman"/>
        </w:rPr>
        <w:t>,</w:t>
      </w:r>
      <w:r w:rsidR="00047321">
        <w:rPr>
          <w:rFonts w:ascii="Times New Roman" w:hAnsi="Times New Roman"/>
        </w:rPr>
        <w:t xml:space="preserve"> respectively were conducted as their own survey</w:t>
      </w:r>
      <w:r w:rsidR="00234066">
        <w:rPr>
          <w:rFonts w:ascii="Times New Roman" w:hAnsi="Times New Roman"/>
        </w:rPr>
        <w:t>s and were not part of SASS or TFS</w:t>
      </w:r>
      <w:r w:rsidR="00047321">
        <w:rPr>
          <w:rFonts w:ascii="Times New Roman" w:hAnsi="Times New Roman"/>
        </w:rPr>
        <w:t xml:space="preserve">. </w:t>
      </w:r>
    </w:p>
    <w:p w:rsidR="004F59AA" w:rsidRDefault="004F59AA" w:rsidP="003C424C">
      <w:pPr>
        <w:spacing w:after="0" w:line="360" w:lineRule="auto"/>
        <w:rPr>
          <w:rFonts w:ascii="Times New Roman" w:hAnsi="Times New Roman"/>
        </w:rPr>
      </w:pPr>
    </w:p>
    <w:p w:rsidR="00047321" w:rsidRDefault="00047321" w:rsidP="003C424C">
      <w:pPr>
        <w:spacing w:after="0" w:line="360" w:lineRule="auto"/>
        <w:rPr>
          <w:rFonts w:ascii="Times New Roman" w:hAnsi="Times New Roman"/>
        </w:rPr>
      </w:pPr>
      <w:r>
        <w:rPr>
          <w:rFonts w:ascii="Times New Roman" w:hAnsi="Times New Roman"/>
        </w:rPr>
        <w:t xml:space="preserve">After the initial mail-out </w:t>
      </w:r>
      <w:r w:rsidR="00DD1998">
        <w:rPr>
          <w:rFonts w:ascii="Times New Roman" w:hAnsi="Times New Roman"/>
        </w:rPr>
        <w:t xml:space="preserve">of the fourth wave </w:t>
      </w:r>
      <w:r>
        <w:rPr>
          <w:rFonts w:ascii="Times New Roman" w:hAnsi="Times New Roman"/>
        </w:rPr>
        <w:t xml:space="preserve">on </w:t>
      </w:r>
      <w:r w:rsidR="00587357">
        <w:rPr>
          <w:rFonts w:ascii="Times New Roman" w:hAnsi="Times New Roman"/>
        </w:rPr>
        <w:t xml:space="preserve">January 13, </w:t>
      </w:r>
      <w:r w:rsidRPr="003F6CBD">
        <w:rPr>
          <w:rFonts w:ascii="Times New Roman" w:hAnsi="Times New Roman"/>
        </w:rPr>
        <w:t>2011, if</w:t>
      </w:r>
      <w:r>
        <w:rPr>
          <w:rFonts w:ascii="Times New Roman" w:hAnsi="Times New Roman"/>
        </w:rPr>
        <w:t xml:space="preserve"> sample members had not responded to the survey</w:t>
      </w:r>
      <w:r w:rsidR="00234066">
        <w:rPr>
          <w:rFonts w:ascii="Times New Roman" w:hAnsi="Times New Roman"/>
        </w:rPr>
        <w:t xml:space="preserve"> by the first reminder mail-out on February 7, 2011</w:t>
      </w:r>
      <w:r w:rsidR="00FB7248">
        <w:rPr>
          <w:rFonts w:ascii="Times New Roman" w:hAnsi="Times New Roman"/>
        </w:rPr>
        <w:t>, had valid e-mail addresses</w:t>
      </w:r>
      <w:r w:rsidR="00D77B73">
        <w:rPr>
          <w:rFonts w:ascii="Times New Roman" w:hAnsi="Times New Roman"/>
        </w:rPr>
        <w:t>,</w:t>
      </w:r>
      <w:r w:rsidR="00FB7248">
        <w:rPr>
          <w:rFonts w:ascii="Times New Roman" w:hAnsi="Times New Roman"/>
        </w:rPr>
        <w:t xml:space="preserve"> and were not study refusals</w:t>
      </w:r>
      <w:r w:rsidR="00824537" w:rsidRPr="00824537">
        <w:rPr>
          <w:rFonts w:ascii="Times New Roman" w:hAnsi="Times New Roman"/>
        </w:rPr>
        <w:t xml:space="preserve"> </w:t>
      </w:r>
      <w:r w:rsidR="00824537">
        <w:rPr>
          <w:rFonts w:ascii="Times New Roman" w:hAnsi="Times New Roman"/>
        </w:rPr>
        <w:t>at the time of the first reminder</w:t>
      </w:r>
      <w:r>
        <w:rPr>
          <w:rFonts w:ascii="Times New Roman" w:hAnsi="Times New Roman"/>
        </w:rPr>
        <w:t xml:space="preserve">, they were assigned into </w:t>
      </w:r>
      <w:r w:rsidR="00A24E2B">
        <w:rPr>
          <w:rFonts w:ascii="Times New Roman" w:hAnsi="Times New Roman"/>
        </w:rPr>
        <w:t xml:space="preserve">two </w:t>
      </w:r>
      <w:r>
        <w:rPr>
          <w:rFonts w:ascii="Times New Roman" w:hAnsi="Times New Roman"/>
        </w:rPr>
        <w:t xml:space="preserve">experimental groups. Group 1 received the </w:t>
      </w:r>
      <w:r w:rsidR="00446593">
        <w:rPr>
          <w:rFonts w:ascii="Times New Roman" w:hAnsi="Times New Roman"/>
        </w:rPr>
        <w:t>video</w:t>
      </w:r>
      <w:r w:rsidR="005E4888">
        <w:rPr>
          <w:rFonts w:ascii="Times New Roman" w:hAnsi="Times New Roman"/>
        </w:rPr>
        <w:t xml:space="preserve"> </w:t>
      </w:r>
      <w:r w:rsidR="00574CB8">
        <w:rPr>
          <w:rFonts w:ascii="Times New Roman" w:hAnsi="Times New Roman"/>
        </w:rPr>
        <w:t xml:space="preserve">reminder </w:t>
      </w:r>
      <w:r>
        <w:rPr>
          <w:rFonts w:ascii="Times New Roman" w:hAnsi="Times New Roman"/>
        </w:rPr>
        <w:t xml:space="preserve">e-mail and group 2 </w:t>
      </w:r>
      <w:r w:rsidR="00574CB8">
        <w:rPr>
          <w:rFonts w:ascii="Times New Roman" w:hAnsi="Times New Roman"/>
        </w:rPr>
        <w:t>received a regular reminder e-mail</w:t>
      </w:r>
      <w:r>
        <w:rPr>
          <w:rFonts w:ascii="Times New Roman" w:hAnsi="Times New Roman"/>
        </w:rPr>
        <w:t xml:space="preserve">. Both groups </w:t>
      </w:r>
      <w:r w:rsidR="006509ED">
        <w:rPr>
          <w:rFonts w:ascii="Times New Roman" w:hAnsi="Times New Roman"/>
        </w:rPr>
        <w:t xml:space="preserve">had </w:t>
      </w:r>
      <w:r>
        <w:rPr>
          <w:rFonts w:ascii="Times New Roman" w:hAnsi="Times New Roman"/>
        </w:rPr>
        <w:t xml:space="preserve">a balanced number of initial </w:t>
      </w:r>
      <w:r>
        <w:rPr>
          <w:rFonts w:ascii="Times New Roman" w:hAnsi="Times New Roman"/>
        </w:rPr>
        <w:lastRenderedPageBreak/>
        <w:t xml:space="preserve">nonrespondents who received different incentive </w:t>
      </w:r>
      <w:r w:rsidR="005E4888">
        <w:rPr>
          <w:rFonts w:ascii="Times New Roman" w:hAnsi="Times New Roman"/>
        </w:rPr>
        <w:t xml:space="preserve">amounts </w:t>
      </w:r>
      <w:r>
        <w:rPr>
          <w:rFonts w:ascii="Times New Roman" w:hAnsi="Times New Roman"/>
        </w:rPr>
        <w:t xml:space="preserve">in the previous administration. </w:t>
      </w:r>
      <w:r w:rsidR="009C5DCE">
        <w:rPr>
          <w:rFonts w:ascii="Times New Roman" w:hAnsi="Times New Roman"/>
        </w:rPr>
        <w:t>Cases deemed</w:t>
      </w:r>
      <w:r w:rsidR="009C5DCE" w:rsidRPr="00D5559B">
        <w:rPr>
          <w:rFonts w:ascii="Times New Roman" w:hAnsi="Times New Roman"/>
        </w:rPr>
        <w:t xml:space="preserve"> </w:t>
      </w:r>
      <w:r w:rsidR="009C5DCE">
        <w:rPr>
          <w:rFonts w:ascii="Times New Roman" w:hAnsi="Times New Roman"/>
        </w:rPr>
        <w:t xml:space="preserve">out-of-scope (OOS) before the fourth wave were not included in the experiment. </w:t>
      </w:r>
      <w:r w:rsidR="00D5559B">
        <w:rPr>
          <w:rFonts w:ascii="Times New Roman" w:hAnsi="Times New Roman"/>
        </w:rPr>
        <w:t>A total of 8</w:t>
      </w:r>
      <w:r w:rsidR="00574CB8">
        <w:rPr>
          <w:rFonts w:ascii="Times New Roman" w:hAnsi="Times New Roman"/>
        </w:rPr>
        <w:t>90</w:t>
      </w:r>
      <w:r w:rsidR="00D5559B">
        <w:rPr>
          <w:rFonts w:ascii="Times New Roman" w:hAnsi="Times New Roman"/>
        </w:rPr>
        <w:t xml:space="preserve"> sample members </w:t>
      </w:r>
      <w:r w:rsidR="00574CB8">
        <w:rPr>
          <w:rFonts w:ascii="Times New Roman" w:hAnsi="Times New Roman"/>
        </w:rPr>
        <w:t xml:space="preserve">were eligible for the experiment </w:t>
      </w:r>
      <w:r w:rsidR="00FB7248">
        <w:rPr>
          <w:rFonts w:ascii="Times New Roman" w:hAnsi="Times New Roman"/>
        </w:rPr>
        <w:t xml:space="preserve">prior to assignment of the groups. One additional case was determined out-of-scope after the group assignment and </w:t>
      </w:r>
      <w:r w:rsidR="006509ED">
        <w:rPr>
          <w:rFonts w:ascii="Times New Roman" w:hAnsi="Times New Roman"/>
        </w:rPr>
        <w:t>wa</w:t>
      </w:r>
      <w:r w:rsidR="00FB7248">
        <w:rPr>
          <w:rFonts w:ascii="Times New Roman" w:hAnsi="Times New Roman"/>
        </w:rPr>
        <w:t xml:space="preserve">s not included in the analysis. </w:t>
      </w:r>
      <w:r w:rsidR="00D5559B">
        <w:rPr>
          <w:rFonts w:ascii="Times New Roman" w:hAnsi="Times New Roman"/>
        </w:rPr>
        <w:t>Of those 889, group 1 consisted of 444 sample members and group 2 c</w:t>
      </w:r>
      <w:r w:rsidR="00D77B73">
        <w:rPr>
          <w:rFonts w:ascii="Times New Roman" w:hAnsi="Times New Roman"/>
        </w:rPr>
        <w:t>onsisted of 445 sample members.</w:t>
      </w:r>
    </w:p>
    <w:p w:rsidR="00D77B73" w:rsidRDefault="00D77B73" w:rsidP="003C424C">
      <w:pPr>
        <w:spacing w:after="0" w:line="360" w:lineRule="auto"/>
        <w:rPr>
          <w:rFonts w:ascii="Times New Roman" w:hAnsi="Times New Roman"/>
        </w:rPr>
      </w:pPr>
    </w:p>
    <w:p w:rsidR="003739B4" w:rsidRDefault="003739B4" w:rsidP="003C424C">
      <w:pPr>
        <w:spacing w:after="0" w:line="360" w:lineRule="auto"/>
        <w:rPr>
          <w:rFonts w:ascii="Times New Roman" w:hAnsi="Times New Roman"/>
          <w:b/>
          <w:i/>
        </w:rPr>
      </w:pPr>
      <w:r w:rsidRPr="003739B4">
        <w:rPr>
          <w:rFonts w:ascii="Times New Roman" w:hAnsi="Times New Roman"/>
          <w:b/>
          <w:i/>
        </w:rPr>
        <w:t>Experiment Results</w:t>
      </w:r>
    </w:p>
    <w:p w:rsidR="00D77B73" w:rsidRDefault="00D77B73" w:rsidP="003C424C">
      <w:pPr>
        <w:spacing w:after="0" w:line="360" w:lineRule="auto"/>
        <w:rPr>
          <w:rFonts w:ascii="Times New Roman" w:hAnsi="Times New Roman"/>
        </w:rPr>
      </w:pPr>
    </w:p>
    <w:p w:rsidR="00D5559B" w:rsidRDefault="00D5559B" w:rsidP="003C424C">
      <w:pPr>
        <w:spacing w:after="0" w:line="360" w:lineRule="auto"/>
        <w:rPr>
          <w:rFonts w:ascii="Times New Roman" w:hAnsi="Times New Roman"/>
        </w:rPr>
      </w:pPr>
      <w:r>
        <w:rPr>
          <w:rFonts w:ascii="Times New Roman" w:hAnsi="Times New Roman"/>
        </w:rPr>
        <w:t xml:space="preserve">Table 1 shows that </w:t>
      </w:r>
      <w:r w:rsidR="009C5DCE">
        <w:rPr>
          <w:rFonts w:ascii="Times New Roman" w:hAnsi="Times New Roman"/>
        </w:rPr>
        <w:t>t</w:t>
      </w:r>
      <w:r w:rsidR="003F6CBD">
        <w:rPr>
          <w:rFonts w:ascii="Times New Roman" w:hAnsi="Times New Roman"/>
        </w:rPr>
        <w:t xml:space="preserve">he unweighted final response rate among those included in the </w:t>
      </w:r>
      <w:r w:rsidR="009C5DCE">
        <w:rPr>
          <w:rFonts w:ascii="Times New Roman" w:hAnsi="Times New Roman"/>
        </w:rPr>
        <w:t xml:space="preserve">video </w:t>
      </w:r>
      <w:r w:rsidR="003F6CBD">
        <w:rPr>
          <w:rFonts w:ascii="Times New Roman" w:hAnsi="Times New Roman"/>
        </w:rPr>
        <w:t>experiment was 71.8</w:t>
      </w:r>
      <w:r w:rsidR="007B4893">
        <w:rPr>
          <w:rFonts w:ascii="Times New Roman" w:hAnsi="Times New Roman"/>
        </w:rPr>
        <w:t xml:space="preserve"> percent</w:t>
      </w:r>
      <w:r w:rsidR="003F6CBD">
        <w:rPr>
          <w:rFonts w:ascii="Times New Roman" w:hAnsi="Times New Roman"/>
        </w:rPr>
        <w:t>.  Those who received the video had a response rate of 73.4</w:t>
      </w:r>
      <w:r w:rsidR="007B4893">
        <w:rPr>
          <w:rFonts w:ascii="Times New Roman" w:hAnsi="Times New Roman"/>
        </w:rPr>
        <w:t xml:space="preserve"> percent</w:t>
      </w:r>
      <w:r w:rsidR="003F6CBD">
        <w:rPr>
          <w:rFonts w:ascii="Times New Roman" w:hAnsi="Times New Roman"/>
        </w:rPr>
        <w:t xml:space="preserve">, while those who did not </w:t>
      </w:r>
      <w:r w:rsidR="006509ED">
        <w:rPr>
          <w:rFonts w:ascii="Times New Roman" w:hAnsi="Times New Roman"/>
        </w:rPr>
        <w:t xml:space="preserve">receive the video </w:t>
      </w:r>
      <w:r w:rsidR="003F6CBD">
        <w:rPr>
          <w:rFonts w:ascii="Times New Roman" w:hAnsi="Times New Roman"/>
        </w:rPr>
        <w:t>had a response rate of 70.1</w:t>
      </w:r>
      <w:r w:rsidR="007B4893">
        <w:rPr>
          <w:rFonts w:ascii="Times New Roman" w:hAnsi="Times New Roman"/>
        </w:rPr>
        <w:t xml:space="preserve"> percent</w:t>
      </w:r>
      <w:r w:rsidR="00D25CED">
        <w:rPr>
          <w:rFonts w:ascii="Times New Roman" w:hAnsi="Times New Roman"/>
        </w:rPr>
        <w:t>.</w:t>
      </w:r>
      <w:r w:rsidR="003F6CBD">
        <w:rPr>
          <w:rFonts w:ascii="Times New Roman" w:hAnsi="Times New Roman"/>
        </w:rPr>
        <w:t xml:space="preserve"> </w:t>
      </w:r>
      <w:r>
        <w:rPr>
          <w:rFonts w:ascii="Times New Roman" w:hAnsi="Times New Roman"/>
        </w:rPr>
        <w:t>The chi-square test result show</w:t>
      </w:r>
      <w:r w:rsidR="00E50C87">
        <w:rPr>
          <w:rFonts w:ascii="Times New Roman" w:hAnsi="Times New Roman"/>
        </w:rPr>
        <w:t>s</w:t>
      </w:r>
      <w:r>
        <w:rPr>
          <w:rFonts w:ascii="Times New Roman" w:hAnsi="Times New Roman"/>
        </w:rPr>
        <w:t xml:space="preserve"> </w:t>
      </w:r>
      <w:r w:rsidR="00E50C87">
        <w:rPr>
          <w:rFonts w:ascii="Times New Roman" w:hAnsi="Times New Roman"/>
        </w:rPr>
        <w:t xml:space="preserve">no </w:t>
      </w:r>
      <w:r>
        <w:rPr>
          <w:rFonts w:ascii="Times New Roman" w:hAnsi="Times New Roman"/>
        </w:rPr>
        <w:t>significant</w:t>
      </w:r>
      <w:r w:rsidR="00E50C87">
        <w:rPr>
          <w:rFonts w:ascii="Times New Roman" w:hAnsi="Times New Roman"/>
        </w:rPr>
        <w:t xml:space="preserve"> association </w:t>
      </w:r>
      <w:r w:rsidR="003F6CBD">
        <w:rPr>
          <w:rFonts w:ascii="Times New Roman" w:hAnsi="Times New Roman"/>
        </w:rPr>
        <w:t xml:space="preserve">at the </w:t>
      </w:r>
      <w:r w:rsidR="003F6CBD">
        <w:t>α</w:t>
      </w:r>
      <w:r w:rsidR="003F6CBD">
        <w:rPr>
          <w:rFonts w:ascii="Times New Roman" w:hAnsi="Times New Roman"/>
        </w:rPr>
        <w:t xml:space="preserve"> = .05 or </w:t>
      </w:r>
      <w:r w:rsidR="003F6CBD">
        <w:t>α</w:t>
      </w:r>
      <w:r w:rsidR="003F6CBD">
        <w:rPr>
          <w:rFonts w:ascii="Times New Roman" w:hAnsi="Times New Roman"/>
        </w:rPr>
        <w:t xml:space="preserve"> = .10 level </w:t>
      </w:r>
      <w:r>
        <w:rPr>
          <w:rFonts w:ascii="Times New Roman" w:hAnsi="Times New Roman"/>
        </w:rPr>
        <w:t xml:space="preserve">between the </w:t>
      </w:r>
      <w:r w:rsidR="003F6CBD">
        <w:rPr>
          <w:rFonts w:ascii="Times New Roman" w:hAnsi="Times New Roman"/>
        </w:rPr>
        <w:t>response rates for those who received the video and those who did not</w:t>
      </w:r>
      <w:r w:rsidRPr="00EF19A8">
        <w:rPr>
          <w:rFonts w:ascii="Times New Roman" w:hAnsi="Times New Roman"/>
        </w:rPr>
        <w:t>.</w:t>
      </w:r>
    </w:p>
    <w:p w:rsidR="00D77B73" w:rsidRPr="003739B4" w:rsidRDefault="00D77B73" w:rsidP="00C1727B">
      <w:pPr>
        <w:spacing w:after="0" w:line="240" w:lineRule="auto"/>
        <w:rPr>
          <w:rFonts w:ascii="Times New Roman" w:hAnsi="Times New Roman"/>
          <w:b/>
          <w:i/>
        </w:rPr>
      </w:pPr>
    </w:p>
    <w:p w:rsidR="003739B4" w:rsidRDefault="00F56800" w:rsidP="003C424C">
      <w:pPr>
        <w:spacing w:after="0" w:line="360" w:lineRule="auto"/>
        <w:rPr>
          <w:rFonts w:ascii="Times New Roman" w:hAnsi="Times New Roman"/>
        </w:rPr>
      </w:pPr>
      <w:r>
        <w:rPr>
          <w:noProof/>
        </w:rPr>
        <w:drawing>
          <wp:inline distT="0" distB="0" distL="0" distR="0">
            <wp:extent cx="3722370" cy="221805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3722370" cy="2218055"/>
                    </a:xfrm>
                    <a:prstGeom prst="rect">
                      <a:avLst/>
                    </a:prstGeom>
                    <a:noFill/>
                    <a:ln w="9525">
                      <a:noFill/>
                      <a:miter lim="800000"/>
                      <a:headEnd/>
                      <a:tailEnd/>
                    </a:ln>
                  </pic:spPr>
                </pic:pic>
              </a:graphicData>
            </a:graphic>
          </wp:inline>
        </w:drawing>
      </w:r>
    </w:p>
    <w:p w:rsidR="00D77B73" w:rsidRDefault="00D77B73" w:rsidP="00C1727B">
      <w:pPr>
        <w:spacing w:after="0" w:line="240" w:lineRule="auto"/>
        <w:rPr>
          <w:rFonts w:ascii="Times New Roman" w:hAnsi="Times New Roman"/>
        </w:rPr>
      </w:pPr>
    </w:p>
    <w:p w:rsidR="009003C3" w:rsidRPr="00E50C87" w:rsidRDefault="003F6CBD" w:rsidP="003C424C">
      <w:pPr>
        <w:spacing w:after="0" w:line="360" w:lineRule="auto"/>
        <w:rPr>
          <w:rFonts w:ascii="Times New Roman" w:hAnsi="Times New Roman"/>
        </w:rPr>
      </w:pPr>
      <w:r>
        <w:rPr>
          <w:rFonts w:ascii="Times New Roman" w:hAnsi="Times New Roman"/>
        </w:rPr>
        <w:t xml:space="preserve">Table 2 shows </w:t>
      </w:r>
      <w:r w:rsidR="00E50C87">
        <w:rPr>
          <w:rFonts w:ascii="Times New Roman" w:hAnsi="Times New Roman"/>
        </w:rPr>
        <w:t xml:space="preserve">the </w:t>
      </w:r>
      <w:r w:rsidR="006658F7">
        <w:rPr>
          <w:rFonts w:ascii="Times New Roman" w:hAnsi="Times New Roman"/>
        </w:rPr>
        <w:t xml:space="preserve">number of sample members included in the experiment by their third wave incentive amount and final response rate. </w:t>
      </w:r>
      <w:r w:rsidR="007802B6">
        <w:rPr>
          <w:rFonts w:ascii="Times New Roman" w:hAnsi="Times New Roman"/>
        </w:rPr>
        <w:t>There were 458 and 431 sample members included in the experiment who received $</w:t>
      </w:r>
      <w:r w:rsidR="007802B6" w:rsidRPr="00E50C87">
        <w:rPr>
          <w:rFonts w:ascii="Times New Roman" w:hAnsi="Times New Roman"/>
        </w:rPr>
        <w:t xml:space="preserve">10 and $20 incentives during the third wave, respectively. </w:t>
      </w:r>
    </w:p>
    <w:p w:rsidR="00D77B73" w:rsidRDefault="00D77B73" w:rsidP="003C424C">
      <w:pPr>
        <w:spacing w:after="0" w:line="360" w:lineRule="auto"/>
        <w:rPr>
          <w:rFonts w:ascii="Times New Roman" w:hAnsi="Times New Roman"/>
        </w:rPr>
      </w:pPr>
    </w:p>
    <w:p w:rsidR="009003C3" w:rsidRPr="00E50C87" w:rsidRDefault="007802B6" w:rsidP="003C424C">
      <w:pPr>
        <w:spacing w:after="0" w:line="360" w:lineRule="auto"/>
        <w:rPr>
          <w:rFonts w:ascii="Times New Roman" w:hAnsi="Times New Roman"/>
        </w:rPr>
      </w:pPr>
      <w:r w:rsidRPr="00E50C87">
        <w:rPr>
          <w:rFonts w:ascii="Times New Roman" w:hAnsi="Times New Roman"/>
        </w:rPr>
        <w:t xml:space="preserve">Among those in the experiment who received </w:t>
      </w:r>
      <w:r w:rsidR="00E50C87" w:rsidRPr="00E50C87">
        <w:rPr>
          <w:rFonts w:ascii="Times New Roman" w:hAnsi="Times New Roman"/>
        </w:rPr>
        <w:t xml:space="preserve">a </w:t>
      </w:r>
      <w:r w:rsidRPr="00E50C87">
        <w:rPr>
          <w:rFonts w:ascii="Times New Roman" w:hAnsi="Times New Roman"/>
        </w:rPr>
        <w:t xml:space="preserve">$10 </w:t>
      </w:r>
      <w:r w:rsidR="00E50C87" w:rsidRPr="00E50C87">
        <w:rPr>
          <w:rFonts w:ascii="Times New Roman" w:hAnsi="Times New Roman"/>
        </w:rPr>
        <w:t xml:space="preserve">incentive </w:t>
      </w:r>
      <w:r w:rsidRPr="00E50C87">
        <w:rPr>
          <w:rFonts w:ascii="Times New Roman" w:hAnsi="Times New Roman"/>
        </w:rPr>
        <w:t xml:space="preserve">during the third wave, 71.4 percent responded to </w:t>
      </w:r>
      <w:r w:rsidR="00E50C87" w:rsidRPr="00E50C87">
        <w:rPr>
          <w:rFonts w:ascii="Times New Roman" w:hAnsi="Times New Roman"/>
        </w:rPr>
        <w:t xml:space="preserve">the </w:t>
      </w:r>
      <w:r w:rsidRPr="00E50C87">
        <w:rPr>
          <w:rFonts w:ascii="Times New Roman" w:hAnsi="Times New Roman"/>
        </w:rPr>
        <w:t xml:space="preserve">survey. There were 229 sample members who received the video and 229 sample members </w:t>
      </w:r>
      <w:r w:rsidR="00862F57">
        <w:rPr>
          <w:rFonts w:ascii="Times New Roman" w:hAnsi="Times New Roman"/>
        </w:rPr>
        <w:t>who received a regular reminder</w:t>
      </w:r>
      <w:r w:rsidRPr="00E50C87">
        <w:rPr>
          <w:rFonts w:ascii="Times New Roman" w:hAnsi="Times New Roman"/>
        </w:rPr>
        <w:t xml:space="preserve">. </w:t>
      </w:r>
      <w:r w:rsidR="009003C3" w:rsidRPr="00E50C87">
        <w:rPr>
          <w:rFonts w:ascii="Times New Roman" w:hAnsi="Times New Roman"/>
        </w:rPr>
        <w:t>Of those who received the video</w:t>
      </w:r>
      <w:r w:rsidR="00862F57">
        <w:rPr>
          <w:rFonts w:ascii="Times New Roman" w:hAnsi="Times New Roman"/>
        </w:rPr>
        <w:t>,</w:t>
      </w:r>
      <w:r w:rsidR="009003C3" w:rsidRPr="00E50C87">
        <w:rPr>
          <w:rFonts w:ascii="Times New Roman" w:hAnsi="Times New Roman"/>
        </w:rPr>
        <w:t xml:space="preserve"> 72.5 percent responded to the survey; and of those who did not, 70.3 </w:t>
      </w:r>
      <w:r w:rsidR="007B4893">
        <w:rPr>
          <w:rFonts w:ascii="Times New Roman" w:hAnsi="Times New Roman"/>
        </w:rPr>
        <w:t xml:space="preserve">percent </w:t>
      </w:r>
      <w:r w:rsidR="009003C3" w:rsidRPr="00E50C87">
        <w:rPr>
          <w:rFonts w:ascii="Times New Roman" w:hAnsi="Times New Roman"/>
        </w:rPr>
        <w:t xml:space="preserve">responded to the survey. The chi-square test result </w:t>
      </w:r>
      <w:r w:rsidR="00E50C87" w:rsidRPr="00E50C87">
        <w:rPr>
          <w:rFonts w:ascii="Times New Roman" w:hAnsi="Times New Roman"/>
        </w:rPr>
        <w:t>shows no significant association at the α = .05 or α = .10 level</w:t>
      </w:r>
      <w:r w:rsidR="009003C3" w:rsidRPr="00E50C87">
        <w:rPr>
          <w:rFonts w:ascii="Times New Roman" w:hAnsi="Times New Roman"/>
        </w:rPr>
        <w:t xml:space="preserve"> between whether they received the video and whether they responded.  </w:t>
      </w:r>
    </w:p>
    <w:p w:rsidR="00D77B73" w:rsidRDefault="00D77B73" w:rsidP="003C424C">
      <w:pPr>
        <w:spacing w:after="0" w:line="360" w:lineRule="auto"/>
        <w:rPr>
          <w:rFonts w:ascii="Times New Roman" w:hAnsi="Times New Roman"/>
        </w:rPr>
      </w:pPr>
    </w:p>
    <w:p w:rsidR="009003C3" w:rsidRDefault="009003C3" w:rsidP="003C424C">
      <w:pPr>
        <w:spacing w:after="0" w:line="360" w:lineRule="auto"/>
        <w:rPr>
          <w:rFonts w:ascii="Times New Roman" w:hAnsi="Times New Roman"/>
        </w:rPr>
      </w:pPr>
      <w:r w:rsidRPr="00E50C87">
        <w:rPr>
          <w:rFonts w:ascii="Times New Roman" w:hAnsi="Times New Roman"/>
        </w:rPr>
        <w:t xml:space="preserve">Among those in the experiment who received </w:t>
      </w:r>
      <w:r w:rsidR="00E50C87" w:rsidRPr="00E50C87">
        <w:rPr>
          <w:rFonts w:ascii="Times New Roman" w:hAnsi="Times New Roman"/>
        </w:rPr>
        <w:t xml:space="preserve">a </w:t>
      </w:r>
      <w:r w:rsidRPr="00E50C87">
        <w:rPr>
          <w:rFonts w:ascii="Times New Roman" w:hAnsi="Times New Roman"/>
        </w:rPr>
        <w:t xml:space="preserve">$20 </w:t>
      </w:r>
      <w:r w:rsidR="00E50C87" w:rsidRPr="00E50C87">
        <w:rPr>
          <w:rFonts w:ascii="Times New Roman" w:hAnsi="Times New Roman"/>
        </w:rPr>
        <w:t xml:space="preserve">incentive </w:t>
      </w:r>
      <w:r w:rsidRPr="00E50C87">
        <w:rPr>
          <w:rFonts w:ascii="Times New Roman" w:hAnsi="Times New Roman"/>
        </w:rPr>
        <w:t>during the third wave, 72.2 percent responded to the survey. There were 215 sample members who received the video and 216 sample members who did not. Of those who received the video</w:t>
      </w:r>
      <w:r w:rsidR="00E50C87" w:rsidRPr="00E50C87">
        <w:rPr>
          <w:rFonts w:ascii="Times New Roman" w:hAnsi="Times New Roman"/>
        </w:rPr>
        <w:t>,</w:t>
      </w:r>
      <w:r w:rsidRPr="00E50C87">
        <w:rPr>
          <w:rFonts w:ascii="Times New Roman" w:hAnsi="Times New Roman"/>
        </w:rPr>
        <w:t xml:space="preserve"> 74.4 percent responded to the survey; and of those who did not receive the video</w:t>
      </w:r>
      <w:r w:rsidR="00E50C87" w:rsidRPr="00E50C87">
        <w:rPr>
          <w:rFonts w:ascii="Times New Roman" w:hAnsi="Times New Roman"/>
        </w:rPr>
        <w:t>,</w:t>
      </w:r>
      <w:r w:rsidRPr="00E50C87">
        <w:rPr>
          <w:rFonts w:ascii="Times New Roman" w:hAnsi="Times New Roman"/>
        </w:rPr>
        <w:t xml:space="preserve"> 69.9 </w:t>
      </w:r>
      <w:r w:rsidRPr="00E50C87">
        <w:rPr>
          <w:rFonts w:ascii="Times New Roman" w:hAnsi="Times New Roman"/>
        </w:rPr>
        <w:lastRenderedPageBreak/>
        <w:t xml:space="preserve">percent responded to the survey. The chi-square test result </w:t>
      </w:r>
      <w:r w:rsidR="00E50C87" w:rsidRPr="00E50C87">
        <w:rPr>
          <w:rFonts w:ascii="Times New Roman" w:hAnsi="Times New Roman"/>
        </w:rPr>
        <w:t>shows no significant association at the α = .05 or α = .10 level</w:t>
      </w:r>
      <w:r w:rsidRPr="00E50C87">
        <w:rPr>
          <w:rFonts w:ascii="Times New Roman" w:hAnsi="Times New Roman"/>
        </w:rPr>
        <w:t xml:space="preserve"> between those whether they received the video and </w:t>
      </w:r>
      <w:r w:rsidR="00AC4747" w:rsidRPr="00E50C87">
        <w:rPr>
          <w:rFonts w:ascii="Times New Roman" w:hAnsi="Times New Roman"/>
        </w:rPr>
        <w:t>whether they responded</w:t>
      </w:r>
      <w:r w:rsidR="00C1727B">
        <w:rPr>
          <w:rFonts w:ascii="Times New Roman" w:hAnsi="Times New Roman"/>
        </w:rPr>
        <w:t>.</w:t>
      </w:r>
    </w:p>
    <w:p w:rsidR="00C1727B" w:rsidRPr="00E50C87" w:rsidRDefault="00C1727B" w:rsidP="00C1727B">
      <w:pPr>
        <w:spacing w:after="0" w:line="240" w:lineRule="auto"/>
        <w:rPr>
          <w:rFonts w:ascii="Times New Roman" w:hAnsi="Times New Roman"/>
        </w:rPr>
      </w:pPr>
    </w:p>
    <w:p w:rsidR="003F6CBD" w:rsidRDefault="00F56800" w:rsidP="003C424C">
      <w:pPr>
        <w:spacing w:after="0" w:line="360" w:lineRule="auto"/>
        <w:rPr>
          <w:rFonts w:ascii="Times New Roman" w:hAnsi="Times New Roman"/>
          <w:b/>
          <w:bCs/>
        </w:rPr>
      </w:pPr>
      <w:r>
        <w:rPr>
          <w:noProof/>
        </w:rPr>
        <w:drawing>
          <wp:inline distT="0" distB="0" distL="0" distR="0">
            <wp:extent cx="5116830" cy="2412365"/>
            <wp:effectExtent l="1905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srcRect/>
                    <a:stretch>
                      <a:fillRect/>
                    </a:stretch>
                  </pic:blipFill>
                  <pic:spPr bwMode="auto">
                    <a:xfrm>
                      <a:off x="0" y="0"/>
                      <a:ext cx="5116830" cy="2412365"/>
                    </a:xfrm>
                    <a:prstGeom prst="rect">
                      <a:avLst/>
                    </a:prstGeom>
                    <a:noFill/>
                    <a:ln w="9525">
                      <a:noFill/>
                      <a:miter lim="800000"/>
                      <a:headEnd/>
                      <a:tailEnd/>
                    </a:ln>
                  </pic:spPr>
                </pic:pic>
              </a:graphicData>
            </a:graphic>
          </wp:inline>
        </w:drawing>
      </w:r>
    </w:p>
    <w:p w:rsidR="008069D6" w:rsidRDefault="008069D6" w:rsidP="00C1727B">
      <w:pPr>
        <w:spacing w:after="0" w:line="240" w:lineRule="auto"/>
        <w:rPr>
          <w:rFonts w:ascii="Times New Roman" w:hAnsi="Times New Roman"/>
          <w:b/>
          <w:bCs/>
        </w:rPr>
      </w:pPr>
    </w:p>
    <w:p w:rsidR="00E50C87" w:rsidRDefault="00E50C87" w:rsidP="003C424C">
      <w:pPr>
        <w:spacing w:after="0" w:line="360" w:lineRule="auto"/>
        <w:rPr>
          <w:rFonts w:ascii="Times New Roman" w:hAnsi="Times New Roman"/>
        </w:rPr>
      </w:pPr>
      <w:r w:rsidRPr="00E50C87">
        <w:rPr>
          <w:rFonts w:ascii="Times New Roman" w:hAnsi="Times New Roman"/>
          <w:bCs/>
        </w:rPr>
        <w:t>Table 3</w:t>
      </w:r>
      <w:r>
        <w:rPr>
          <w:rFonts w:ascii="Times New Roman" w:hAnsi="Times New Roman"/>
          <w:b/>
          <w:bCs/>
        </w:rPr>
        <w:t xml:space="preserve"> </w:t>
      </w:r>
      <w:r>
        <w:rPr>
          <w:rFonts w:ascii="Times New Roman" w:hAnsi="Times New Roman"/>
          <w:bCs/>
        </w:rPr>
        <w:t>shows the number of respondents</w:t>
      </w:r>
      <w:r w:rsidR="006509ED">
        <w:rPr>
          <w:rFonts w:ascii="Times New Roman" w:hAnsi="Times New Roman"/>
          <w:bCs/>
        </w:rPr>
        <w:t xml:space="preserve"> and </w:t>
      </w:r>
      <w:r>
        <w:rPr>
          <w:rFonts w:ascii="Times New Roman" w:hAnsi="Times New Roman"/>
          <w:bCs/>
        </w:rPr>
        <w:t>the average number of days it took respondents to complete the interview after the video reminder</w:t>
      </w:r>
      <w:r w:rsidR="00F64E72">
        <w:rPr>
          <w:rFonts w:ascii="Times New Roman" w:hAnsi="Times New Roman"/>
          <w:bCs/>
        </w:rPr>
        <w:t xml:space="preserve"> was e-mailed. Information</w:t>
      </w:r>
      <w:r>
        <w:rPr>
          <w:rFonts w:ascii="Times New Roman" w:hAnsi="Times New Roman"/>
          <w:bCs/>
        </w:rPr>
        <w:t xml:space="preserve"> for both those who received the reminder and those who did not</w:t>
      </w:r>
      <w:r w:rsidR="00F64E72">
        <w:rPr>
          <w:rFonts w:ascii="Times New Roman" w:hAnsi="Times New Roman"/>
          <w:bCs/>
        </w:rPr>
        <w:t xml:space="preserve"> is also presented</w:t>
      </w:r>
      <w:r>
        <w:rPr>
          <w:rFonts w:ascii="Times New Roman" w:hAnsi="Times New Roman"/>
          <w:bCs/>
        </w:rPr>
        <w:t xml:space="preserve">. Because the online instrument only tracked date information for those respondents who reached the last screen, information on when some respondents submitted their survey is not available for </w:t>
      </w:r>
      <w:r w:rsidR="00F64E72">
        <w:rPr>
          <w:rFonts w:ascii="Times New Roman" w:hAnsi="Times New Roman"/>
          <w:bCs/>
        </w:rPr>
        <w:t>42</w:t>
      </w:r>
      <w:r>
        <w:rPr>
          <w:rFonts w:ascii="Times New Roman" w:hAnsi="Times New Roman"/>
          <w:bCs/>
        </w:rPr>
        <w:t xml:space="preserve"> respondents involved in the experiment. The average number of days for the </w:t>
      </w:r>
      <w:r w:rsidR="002C3BE0">
        <w:rPr>
          <w:rFonts w:ascii="Times New Roman" w:hAnsi="Times New Roman"/>
          <w:bCs/>
        </w:rPr>
        <w:t>59</w:t>
      </w:r>
      <w:r w:rsidR="00DB2F3A">
        <w:rPr>
          <w:rFonts w:ascii="Times New Roman" w:hAnsi="Times New Roman"/>
          <w:bCs/>
        </w:rPr>
        <w:t>4</w:t>
      </w:r>
      <w:r>
        <w:rPr>
          <w:rFonts w:ascii="Times New Roman" w:hAnsi="Times New Roman"/>
          <w:bCs/>
        </w:rPr>
        <w:t xml:space="preserve"> respondents involved in the experiment to complete their interview was 37.</w:t>
      </w:r>
      <w:r w:rsidR="002C3BE0">
        <w:rPr>
          <w:rFonts w:ascii="Times New Roman" w:hAnsi="Times New Roman"/>
          <w:bCs/>
        </w:rPr>
        <w:t>5</w:t>
      </w:r>
      <w:r>
        <w:rPr>
          <w:rFonts w:ascii="Times New Roman" w:hAnsi="Times New Roman"/>
          <w:bCs/>
        </w:rPr>
        <w:t xml:space="preserve"> days after the reminder was e-mail</w:t>
      </w:r>
      <w:r w:rsidR="002C3BE0">
        <w:rPr>
          <w:rFonts w:ascii="Times New Roman" w:hAnsi="Times New Roman"/>
          <w:bCs/>
        </w:rPr>
        <w:t>ed</w:t>
      </w:r>
      <w:r>
        <w:rPr>
          <w:rFonts w:ascii="Times New Roman" w:hAnsi="Times New Roman"/>
          <w:bCs/>
        </w:rPr>
        <w:t xml:space="preserve"> to participants. Of</w:t>
      </w:r>
      <w:r w:rsidR="002C3BE0">
        <w:rPr>
          <w:rFonts w:ascii="Times New Roman" w:hAnsi="Times New Roman"/>
          <w:bCs/>
        </w:rPr>
        <w:t xml:space="preserve"> the 300</w:t>
      </w:r>
      <w:r>
        <w:rPr>
          <w:rFonts w:ascii="Times New Roman" w:hAnsi="Times New Roman"/>
          <w:bCs/>
        </w:rPr>
        <w:t xml:space="preserve"> respondents who received the video, the average number of days to complete the interview was 38.9. Of the </w:t>
      </w:r>
      <w:r w:rsidR="002C3BE0">
        <w:rPr>
          <w:rFonts w:ascii="Times New Roman" w:hAnsi="Times New Roman"/>
          <w:bCs/>
        </w:rPr>
        <w:t>29</w:t>
      </w:r>
      <w:r w:rsidR="00DB2F3A">
        <w:rPr>
          <w:rFonts w:ascii="Times New Roman" w:hAnsi="Times New Roman"/>
          <w:bCs/>
        </w:rPr>
        <w:t>4</w:t>
      </w:r>
      <w:r>
        <w:rPr>
          <w:rFonts w:ascii="Times New Roman" w:hAnsi="Times New Roman"/>
          <w:bCs/>
        </w:rPr>
        <w:t xml:space="preserve"> respondents who did not receive the video, the average number of days to complete the interview was 3</w:t>
      </w:r>
      <w:r w:rsidR="002C3BE0">
        <w:rPr>
          <w:rFonts w:ascii="Times New Roman" w:hAnsi="Times New Roman"/>
          <w:bCs/>
        </w:rPr>
        <w:t>6</w:t>
      </w:r>
      <w:r>
        <w:rPr>
          <w:rFonts w:ascii="Times New Roman" w:hAnsi="Times New Roman"/>
          <w:bCs/>
        </w:rPr>
        <w:t>.</w:t>
      </w:r>
      <w:r w:rsidR="002C3BE0">
        <w:rPr>
          <w:rFonts w:ascii="Times New Roman" w:hAnsi="Times New Roman"/>
          <w:bCs/>
        </w:rPr>
        <w:t>2</w:t>
      </w:r>
      <w:r>
        <w:rPr>
          <w:rFonts w:ascii="Times New Roman" w:hAnsi="Times New Roman"/>
          <w:bCs/>
        </w:rPr>
        <w:t xml:space="preserve">.  </w:t>
      </w:r>
      <w:r>
        <w:rPr>
          <w:rFonts w:ascii="Times New Roman" w:hAnsi="Times New Roman"/>
        </w:rPr>
        <w:t xml:space="preserve">The t-test result </w:t>
      </w:r>
      <w:r w:rsidR="006509ED">
        <w:rPr>
          <w:rFonts w:ascii="Times New Roman" w:hAnsi="Times New Roman"/>
        </w:rPr>
        <w:t xml:space="preserve">showed </w:t>
      </w:r>
      <w:r>
        <w:rPr>
          <w:rFonts w:ascii="Times New Roman" w:hAnsi="Times New Roman"/>
        </w:rPr>
        <w:t>no significant difference between the average number of days to respond.</w:t>
      </w:r>
    </w:p>
    <w:p w:rsidR="00C1727B" w:rsidRDefault="00C1727B" w:rsidP="00C1727B">
      <w:pPr>
        <w:spacing w:after="0" w:line="240" w:lineRule="auto"/>
        <w:rPr>
          <w:rFonts w:ascii="Times New Roman" w:hAnsi="Times New Roman"/>
          <w:bCs/>
        </w:rPr>
      </w:pPr>
    </w:p>
    <w:p w:rsidR="00E50C87" w:rsidRDefault="00F56800" w:rsidP="003C424C">
      <w:pPr>
        <w:spacing w:after="0" w:line="360" w:lineRule="auto"/>
        <w:rPr>
          <w:rFonts w:ascii="Times New Roman" w:hAnsi="Times New Roman"/>
          <w:bCs/>
        </w:rPr>
      </w:pPr>
      <w:r>
        <w:rPr>
          <w:noProof/>
        </w:rPr>
        <w:drawing>
          <wp:inline distT="0" distB="0" distL="0" distR="0">
            <wp:extent cx="4273550" cy="3002915"/>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srcRect/>
                    <a:stretch>
                      <a:fillRect/>
                    </a:stretch>
                  </pic:blipFill>
                  <pic:spPr bwMode="auto">
                    <a:xfrm>
                      <a:off x="0" y="0"/>
                      <a:ext cx="4273550" cy="3002915"/>
                    </a:xfrm>
                    <a:prstGeom prst="rect">
                      <a:avLst/>
                    </a:prstGeom>
                    <a:noFill/>
                    <a:ln w="9525">
                      <a:noFill/>
                      <a:miter lim="800000"/>
                      <a:headEnd/>
                      <a:tailEnd/>
                    </a:ln>
                  </pic:spPr>
                </pic:pic>
              </a:graphicData>
            </a:graphic>
          </wp:inline>
        </w:drawing>
      </w:r>
    </w:p>
    <w:p w:rsidR="00C1727B" w:rsidRDefault="00C1727B" w:rsidP="00C1727B">
      <w:pPr>
        <w:spacing w:after="0" w:line="240" w:lineRule="auto"/>
        <w:rPr>
          <w:rFonts w:ascii="Times New Roman" w:hAnsi="Times New Roman"/>
          <w:b/>
          <w:bCs/>
        </w:rPr>
      </w:pPr>
    </w:p>
    <w:p w:rsidR="00E50C87" w:rsidRDefault="00E50C87" w:rsidP="003C424C">
      <w:pPr>
        <w:spacing w:after="0" w:line="360" w:lineRule="auto"/>
        <w:rPr>
          <w:rFonts w:ascii="Times New Roman" w:hAnsi="Times New Roman"/>
          <w:b/>
          <w:i/>
        </w:rPr>
      </w:pPr>
      <w:r>
        <w:rPr>
          <w:rFonts w:ascii="Times New Roman" w:hAnsi="Times New Roman"/>
          <w:b/>
          <w:i/>
        </w:rPr>
        <w:t>Conclusions and recommendations</w:t>
      </w:r>
    </w:p>
    <w:p w:rsidR="00FA788E" w:rsidRDefault="00FA788E" w:rsidP="003C424C">
      <w:pPr>
        <w:spacing w:after="0" w:line="360" w:lineRule="auto"/>
        <w:rPr>
          <w:rFonts w:ascii="Times New Roman" w:hAnsi="Times New Roman"/>
          <w:bCs/>
        </w:rPr>
      </w:pPr>
    </w:p>
    <w:p w:rsidR="000777EC" w:rsidRDefault="00E50C87" w:rsidP="003C424C">
      <w:pPr>
        <w:spacing w:after="0" w:line="360" w:lineRule="auto"/>
        <w:rPr>
          <w:rFonts w:ascii="Times New Roman" w:hAnsi="Times New Roman"/>
          <w:bCs/>
        </w:rPr>
      </w:pPr>
      <w:r>
        <w:rPr>
          <w:rFonts w:ascii="Times New Roman" w:hAnsi="Times New Roman"/>
          <w:bCs/>
        </w:rPr>
        <w:t xml:space="preserve">In summary, the video </w:t>
      </w:r>
      <w:r w:rsidR="00DB2F3A">
        <w:rPr>
          <w:rFonts w:ascii="Times New Roman" w:hAnsi="Times New Roman"/>
          <w:bCs/>
        </w:rPr>
        <w:t xml:space="preserve">appeared to have </w:t>
      </w:r>
      <w:r>
        <w:rPr>
          <w:rFonts w:ascii="Times New Roman" w:hAnsi="Times New Roman"/>
          <w:bCs/>
        </w:rPr>
        <w:t>no significant impact on the number of respondents or timeliness of response for the fourth wave</w:t>
      </w:r>
      <w:r w:rsidR="002C3BE0">
        <w:rPr>
          <w:rFonts w:ascii="Times New Roman" w:hAnsi="Times New Roman"/>
          <w:bCs/>
        </w:rPr>
        <w:t xml:space="preserve">. </w:t>
      </w:r>
      <w:r w:rsidR="00A623B3">
        <w:rPr>
          <w:rFonts w:ascii="Times New Roman" w:hAnsi="Times New Roman"/>
          <w:bCs/>
        </w:rPr>
        <w:t>However, t</w:t>
      </w:r>
      <w:r w:rsidR="002C3BE0">
        <w:rPr>
          <w:rFonts w:ascii="Times New Roman" w:hAnsi="Times New Roman"/>
          <w:bCs/>
        </w:rPr>
        <w:t xml:space="preserve">he results presented above are limited in that the current instrument did not allow for identification of those sample members who actually viewed the video, only those that received the link. Additionally, </w:t>
      </w:r>
      <w:r w:rsidR="002550D0">
        <w:rPr>
          <w:rFonts w:ascii="Times New Roman" w:hAnsi="Times New Roman"/>
          <w:bCs/>
        </w:rPr>
        <w:t xml:space="preserve">the video could only be viewed after the survey participant logged into the instrument. The effect of the video </w:t>
      </w:r>
      <w:r w:rsidR="00485926">
        <w:rPr>
          <w:rFonts w:ascii="Times New Roman" w:hAnsi="Times New Roman"/>
          <w:bCs/>
        </w:rPr>
        <w:t xml:space="preserve">may also have been mitigated by a </w:t>
      </w:r>
      <w:r w:rsidR="002550D0">
        <w:rPr>
          <w:rFonts w:ascii="Times New Roman" w:hAnsi="Times New Roman"/>
          <w:bCs/>
        </w:rPr>
        <w:t xml:space="preserve">participant </w:t>
      </w:r>
      <w:r w:rsidR="00485926">
        <w:rPr>
          <w:rFonts w:ascii="Times New Roman" w:hAnsi="Times New Roman"/>
          <w:bCs/>
        </w:rPr>
        <w:t xml:space="preserve">not </w:t>
      </w:r>
      <w:r w:rsidR="00CF6F6C">
        <w:rPr>
          <w:rFonts w:ascii="Times New Roman" w:hAnsi="Times New Roman"/>
          <w:bCs/>
        </w:rPr>
        <w:t>remember</w:t>
      </w:r>
      <w:r w:rsidR="00485926">
        <w:rPr>
          <w:rFonts w:ascii="Times New Roman" w:hAnsi="Times New Roman"/>
          <w:bCs/>
        </w:rPr>
        <w:t>ing</w:t>
      </w:r>
      <w:r w:rsidR="00CF6F6C">
        <w:rPr>
          <w:rFonts w:ascii="Times New Roman" w:hAnsi="Times New Roman"/>
          <w:bCs/>
        </w:rPr>
        <w:t xml:space="preserve"> their password at the time of receiving the reminder</w:t>
      </w:r>
      <w:r w:rsidR="002550D0">
        <w:rPr>
          <w:rFonts w:ascii="Times New Roman" w:hAnsi="Times New Roman"/>
          <w:bCs/>
        </w:rPr>
        <w:t xml:space="preserve">. </w:t>
      </w:r>
      <w:r w:rsidR="00720CEA">
        <w:rPr>
          <w:rFonts w:ascii="Times New Roman" w:hAnsi="Times New Roman"/>
          <w:bCs/>
        </w:rPr>
        <w:t>Sending the video out on only one reminder occasion may have</w:t>
      </w:r>
      <w:r w:rsidR="00CF6F6C">
        <w:rPr>
          <w:rFonts w:ascii="Times New Roman" w:hAnsi="Times New Roman"/>
          <w:bCs/>
        </w:rPr>
        <w:t xml:space="preserve"> also </w:t>
      </w:r>
      <w:r w:rsidR="00720CEA">
        <w:rPr>
          <w:rFonts w:ascii="Times New Roman" w:hAnsi="Times New Roman"/>
          <w:bCs/>
        </w:rPr>
        <w:t xml:space="preserve">contributed to the findings in this memo. </w:t>
      </w:r>
      <w:r w:rsidR="00CF6F6C">
        <w:rPr>
          <w:rFonts w:ascii="Times New Roman" w:hAnsi="Times New Roman"/>
          <w:bCs/>
        </w:rPr>
        <w:t xml:space="preserve">In the future, if a multimedia reminder is used, we recommend that </w:t>
      </w:r>
      <w:r w:rsidR="00DF66FE">
        <w:rPr>
          <w:rFonts w:ascii="Times New Roman" w:hAnsi="Times New Roman"/>
          <w:bCs/>
        </w:rPr>
        <w:t>they</w:t>
      </w:r>
      <w:r w:rsidR="00CF6F6C">
        <w:rPr>
          <w:rFonts w:ascii="Times New Roman" w:hAnsi="Times New Roman"/>
          <w:bCs/>
        </w:rPr>
        <w:t xml:space="preserve"> be sent to the experimental group multiple times until the end of the data collection to </w:t>
      </w:r>
      <w:r w:rsidR="00720CEA" w:rsidRPr="00720CEA">
        <w:rPr>
          <w:rFonts w:ascii="Times New Roman" w:hAnsi="Times New Roman"/>
          <w:bCs/>
        </w:rPr>
        <w:t>increas</w:t>
      </w:r>
      <w:r w:rsidR="00CF6F6C">
        <w:rPr>
          <w:rFonts w:ascii="Times New Roman" w:hAnsi="Times New Roman"/>
          <w:bCs/>
        </w:rPr>
        <w:t>e</w:t>
      </w:r>
      <w:r w:rsidR="00720CEA" w:rsidRPr="00720CEA">
        <w:rPr>
          <w:rFonts w:ascii="Times New Roman" w:hAnsi="Times New Roman"/>
          <w:bCs/>
        </w:rPr>
        <w:t xml:space="preserve"> the </w:t>
      </w:r>
      <w:r w:rsidR="00720CEA">
        <w:rPr>
          <w:rFonts w:ascii="Times New Roman" w:hAnsi="Times New Roman"/>
          <w:bCs/>
        </w:rPr>
        <w:t>likelihood</w:t>
      </w:r>
      <w:r w:rsidR="00720CEA" w:rsidRPr="00720CEA">
        <w:rPr>
          <w:rFonts w:ascii="Times New Roman" w:hAnsi="Times New Roman"/>
          <w:bCs/>
        </w:rPr>
        <w:t xml:space="preserve"> of </w:t>
      </w:r>
      <w:r w:rsidR="00CF6F6C">
        <w:rPr>
          <w:rFonts w:ascii="Times New Roman" w:hAnsi="Times New Roman"/>
          <w:bCs/>
        </w:rPr>
        <w:t>participants’</w:t>
      </w:r>
      <w:r w:rsidR="00720CEA" w:rsidRPr="00720CEA">
        <w:rPr>
          <w:rFonts w:ascii="Times New Roman" w:hAnsi="Times New Roman"/>
          <w:bCs/>
        </w:rPr>
        <w:t xml:space="preserve"> viewing</w:t>
      </w:r>
      <w:r w:rsidR="00720CEA">
        <w:rPr>
          <w:rFonts w:ascii="Times New Roman" w:hAnsi="Times New Roman"/>
          <w:bCs/>
        </w:rPr>
        <w:t xml:space="preserve"> it</w:t>
      </w:r>
      <w:r w:rsidR="00CF6F6C">
        <w:rPr>
          <w:rFonts w:ascii="Times New Roman" w:hAnsi="Times New Roman"/>
          <w:bCs/>
        </w:rPr>
        <w:t>, if technical constraints or concerns don’t allow instant play of the multimedia materials or tracking of the viewing status.</w:t>
      </w:r>
    </w:p>
    <w:p w:rsidR="000777EC" w:rsidRDefault="000777EC" w:rsidP="003C424C">
      <w:pPr>
        <w:spacing w:after="0" w:line="360" w:lineRule="auto"/>
        <w:rPr>
          <w:rFonts w:ascii="Times New Roman" w:hAnsi="Times New Roman"/>
          <w:bCs/>
        </w:rPr>
      </w:pPr>
    </w:p>
    <w:p w:rsidR="00B866EB" w:rsidRPr="00FA788E" w:rsidRDefault="00B866EB" w:rsidP="003C424C">
      <w:pPr>
        <w:spacing w:after="0" w:line="360" w:lineRule="auto"/>
        <w:rPr>
          <w:rFonts w:ascii="Times New Roman" w:hAnsi="Times New Roman"/>
          <w:b/>
          <w:i/>
        </w:rPr>
      </w:pPr>
      <w:r w:rsidRPr="00FA788E">
        <w:rPr>
          <w:rFonts w:ascii="Times New Roman" w:hAnsi="Times New Roman"/>
          <w:b/>
          <w:i/>
        </w:rPr>
        <w:t>References</w:t>
      </w:r>
    </w:p>
    <w:p w:rsidR="00FA788E" w:rsidRDefault="00FA788E" w:rsidP="003C424C">
      <w:pPr>
        <w:spacing w:after="0" w:line="360" w:lineRule="auto"/>
        <w:ind w:left="720" w:hanging="720"/>
        <w:rPr>
          <w:rFonts w:ascii="Times New Roman" w:hAnsi="Times New Roman"/>
        </w:rPr>
      </w:pPr>
    </w:p>
    <w:p w:rsidR="00B866EB" w:rsidRDefault="00B866EB" w:rsidP="00FA788E">
      <w:pPr>
        <w:spacing w:after="240" w:line="240" w:lineRule="auto"/>
        <w:ind w:left="720" w:hanging="720"/>
        <w:rPr>
          <w:rFonts w:ascii="Times New Roman" w:hAnsi="Times New Roman"/>
        </w:rPr>
      </w:pPr>
      <w:r>
        <w:rPr>
          <w:rFonts w:ascii="Times New Roman" w:hAnsi="Times New Roman"/>
        </w:rPr>
        <w:t xml:space="preserve">Heerwegh, D. and Loosveldt, G. (2009). “Explaining the intention to participate in a web survey: a test of the theory of planned behavior” </w:t>
      </w:r>
      <w:r>
        <w:rPr>
          <w:rFonts w:ascii="Times New Roman" w:hAnsi="Times New Roman"/>
          <w:i/>
          <w:iCs/>
        </w:rPr>
        <w:t xml:space="preserve">International Journal of Social Research Methodology </w:t>
      </w:r>
      <w:r>
        <w:rPr>
          <w:rFonts w:ascii="Times New Roman" w:hAnsi="Times New Roman"/>
        </w:rPr>
        <w:t>12(3), 181-195.</w:t>
      </w:r>
    </w:p>
    <w:p w:rsidR="00B866EB" w:rsidRDefault="00B866EB" w:rsidP="00FA788E">
      <w:pPr>
        <w:spacing w:after="240" w:line="240" w:lineRule="auto"/>
        <w:ind w:left="720" w:hanging="720"/>
        <w:rPr>
          <w:rFonts w:ascii="Times New Roman" w:hAnsi="Times New Roman"/>
        </w:rPr>
      </w:pPr>
      <w:r>
        <w:rPr>
          <w:rFonts w:ascii="Times New Roman" w:hAnsi="Times New Roman"/>
        </w:rPr>
        <w:t xml:space="preserve">Robertson, T., Walter, G., Soh, N., Hunt, G., Cleary, M., and Malhi, G. (2009). “Medical students’ attitudes towards a career in psychiatry before and after viewing a promotional DVD” </w:t>
      </w:r>
      <w:r>
        <w:rPr>
          <w:rFonts w:ascii="Times New Roman" w:hAnsi="Times New Roman"/>
          <w:i/>
          <w:iCs/>
        </w:rPr>
        <w:t>Australian Psychiatry</w:t>
      </w:r>
      <w:r>
        <w:rPr>
          <w:rFonts w:ascii="Times New Roman" w:hAnsi="Times New Roman"/>
        </w:rPr>
        <w:t xml:space="preserve"> 17(4), 311-317.</w:t>
      </w:r>
    </w:p>
    <w:p w:rsidR="00B866EB" w:rsidRDefault="00B866EB" w:rsidP="00FA788E">
      <w:pPr>
        <w:spacing w:after="240" w:line="240" w:lineRule="auto"/>
        <w:ind w:left="720" w:hanging="720"/>
        <w:rPr>
          <w:rFonts w:ascii="Times New Roman" w:hAnsi="Times New Roman"/>
        </w:rPr>
      </w:pPr>
      <w:r>
        <w:rPr>
          <w:rFonts w:ascii="Times New Roman" w:hAnsi="Times New Roman"/>
        </w:rPr>
        <w:t xml:space="preserve">Romaniuk, J. (2009). “The efficacy of brand-execution tactics in TV advertising, brand placements, and internet advertising” </w:t>
      </w:r>
      <w:r>
        <w:rPr>
          <w:rFonts w:ascii="Times New Roman" w:hAnsi="Times New Roman"/>
          <w:i/>
          <w:iCs/>
        </w:rPr>
        <w:t>Journal of Advertising Research</w:t>
      </w:r>
      <w:r>
        <w:rPr>
          <w:rFonts w:ascii="Times New Roman" w:hAnsi="Times New Roman"/>
        </w:rPr>
        <w:t xml:space="preserve"> 49(2), 143-150.</w:t>
      </w:r>
    </w:p>
    <w:p w:rsidR="00B866EB" w:rsidRDefault="00B866EB" w:rsidP="00FA788E">
      <w:pPr>
        <w:spacing w:after="240" w:line="240" w:lineRule="auto"/>
        <w:ind w:left="720" w:hanging="720"/>
        <w:rPr>
          <w:rFonts w:ascii="Times New Roman" w:hAnsi="Times New Roman"/>
        </w:rPr>
      </w:pPr>
      <w:r>
        <w:rPr>
          <w:rFonts w:ascii="Times New Roman" w:hAnsi="Times New Roman"/>
        </w:rPr>
        <w:t xml:space="preserve">Spalding, L., Cole, S., and Fayer, A. (2009). “How rich-media video technology boosts branding goals: Different online advertising formats drive different brand-performance metrics” </w:t>
      </w:r>
      <w:r>
        <w:rPr>
          <w:rFonts w:ascii="Times New Roman" w:hAnsi="Times New Roman"/>
          <w:i/>
          <w:iCs/>
        </w:rPr>
        <w:t>Journal of Advertising Research</w:t>
      </w:r>
      <w:r>
        <w:rPr>
          <w:rFonts w:ascii="Times New Roman" w:hAnsi="Times New Roman"/>
        </w:rPr>
        <w:t xml:space="preserve"> 49(3), 285-292.</w:t>
      </w:r>
    </w:p>
    <w:p w:rsidR="00D00788" w:rsidRPr="00CC5563" w:rsidRDefault="00D00788" w:rsidP="00FA788E">
      <w:pPr>
        <w:spacing w:after="240" w:line="240" w:lineRule="auto"/>
        <w:rPr>
          <w:rFonts w:ascii="Times New Roman" w:hAnsi="Times New Roman"/>
          <w:sz w:val="24"/>
          <w:szCs w:val="24"/>
        </w:rPr>
      </w:pPr>
    </w:p>
    <w:sectPr w:rsidR="00D00788" w:rsidRPr="00CC5563" w:rsidSect="003C424C">
      <w:footerReference w:type="default" r:id="rId12"/>
      <w:pgSz w:w="12240" w:h="15840" w:code="1"/>
      <w:pgMar w:top="1008" w:right="1008" w:bottom="1008" w:left="1008" w:header="720" w:footer="43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57FA" w:rsidRDefault="00ED57FA" w:rsidP="006E3B71">
      <w:pPr>
        <w:spacing w:after="0" w:line="240" w:lineRule="auto"/>
      </w:pPr>
      <w:r>
        <w:separator/>
      </w:r>
    </w:p>
  </w:endnote>
  <w:endnote w:type="continuationSeparator" w:id="0">
    <w:p w:rsidR="00ED57FA" w:rsidRDefault="00ED57FA" w:rsidP="006E3B7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Code">
    <w:altName w:val="Code"/>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09ED" w:rsidRDefault="006509ED">
    <w:pPr>
      <w:pStyle w:val="Footer"/>
      <w:jc w:val="center"/>
    </w:pPr>
    <w:fldSimple w:instr=" PAGE   \* MERGEFORMAT ">
      <w:r w:rsidR="00F56800">
        <w:rPr>
          <w:noProof/>
        </w:rPr>
        <w:t>1</w:t>
      </w:r>
    </w:fldSimple>
  </w:p>
  <w:p w:rsidR="006509ED" w:rsidRDefault="006509E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57FA" w:rsidRDefault="00ED57FA" w:rsidP="006E3B71">
      <w:pPr>
        <w:spacing w:after="0" w:line="240" w:lineRule="auto"/>
      </w:pPr>
      <w:r>
        <w:separator/>
      </w:r>
    </w:p>
  </w:footnote>
  <w:footnote w:type="continuationSeparator" w:id="0">
    <w:p w:rsidR="00ED57FA" w:rsidRDefault="00ED57FA" w:rsidP="006E3B7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1933D4"/>
    <w:multiLevelType w:val="hybridMultilevel"/>
    <w:tmpl w:val="399C9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7607AE4"/>
    <w:multiLevelType w:val="hybridMultilevel"/>
    <w:tmpl w:val="992EE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EE73ABE"/>
    <w:multiLevelType w:val="hybridMultilevel"/>
    <w:tmpl w:val="A6BC1316"/>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4F379B4"/>
    <w:multiLevelType w:val="hybridMultilevel"/>
    <w:tmpl w:val="7B306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8D837A0"/>
    <w:multiLevelType w:val="hybridMultilevel"/>
    <w:tmpl w:val="6DE4661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1"/>
  </w:num>
  <w:num w:numId="5">
    <w:abstractNumId w:val="0"/>
  </w:num>
  <w:num w:numId="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7"/>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FB5279"/>
    <w:rsid w:val="00006DCF"/>
    <w:rsid w:val="00013C69"/>
    <w:rsid w:val="000200E2"/>
    <w:rsid w:val="00022AD1"/>
    <w:rsid w:val="00023667"/>
    <w:rsid w:val="000422F9"/>
    <w:rsid w:val="00047321"/>
    <w:rsid w:val="00052C88"/>
    <w:rsid w:val="000541D0"/>
    <w:rsid w:val="00054848"/>
    <w:rsid w:val="0005562A"/>
    <w:rsid w:val="00056C8B"/>
    <w:rsid w:val="000650FF"/>
    <w:rsid w:val="00066480"/>
    <w:rsid w:val="00067C76"/>
    <w:rsid w:val="00076DFA"/>
    <w:rsid w:val="000777EC"/>
    <w:rsid w:val="00086466"/>
    <w:rsid w:val="00093986"/>
    <w:rsid w:val="000A5ADB"/>
    <w:rsid w:val="000A7790"/>
    <w:rsid w:val="000B5E9E"/>
    <w:rsid w:val="000C3F42"/>
    <w:rsid w:val="000C56AD"/>
    <w:rsid w:val="000D1440"/>
    <w:rsid w:val="000D370B"/>
    <w:rsid w:val="000D63FF"/>
    <w:rsid w:val="000E6272"/>
    <w:rsid w:val="000F34A8"/>
    <w:rsid w:val="000F40EE"/>
    <w:rsid w:val="00103F59"/>
    <w:rsid w:val="001135E8"/>
    <w:rsid w:val="00114440"/>
    <w:rsid w:val="0012426D"/>
    <w:rsid w:val="0014424E"/>
    <w:rsid w:val="0014792C"/>
    <w:rsid w:val="00156F26"/>
    <w:rsid w:val="00160618"/>
    <w:rsid w:val="00164195"/>
    <w:rsid w:val="00164E53"/>
    <w:rsid w:val="0017624D"/>
    <w:rsid w:val="00181875"/>
    <w:rsid w:val="001A1548"/>
    <w:rsid w:val="001A29D5"/>
    <w:rsid w:val="001B0D62"/>
    <w:rsid w:val="001C3BB1"/>
    <w:rsid w:val="001C668A"/>
    <w:rsid w:val="001E087E"/>
    <w:rsid w:val="001E50DA"/>
    <w:rsid w:val="00200412"/>
    <w:rsid w:val="00205290"/>
    <w:rsid w:val="00212AC8"/>
    <w:rsid w:val="00233613"/>
    <w:rsid w:val="00234066"/>
    <w:rsid w:val="002358D2"/>
    <w:rsid w:val="00240A0D"/>
    <w:rsid w:val="002469DD"/>
    <w:rsid w:val="00253875"/>
    <w:rsid w:val="002550D0"/>
    <w:rsid w:val="00271DB1"/>
    <w:rsid w:val="002815C7"/>
    <w:rsid w:val="0028387E"/>
    <w:rsid w:val="00293D25"/>
    <w:rsid w:val="002B4E97"/>
    <w:rsid w:val="002C2E5F"/>
    <w:rsid w:val="002C3BE0"/>
    <w:rsid w:val="002C7A54"/>
    <w:rsid w:val="002D1C3C"/>
    <w:rsid w:val="002D325F"/>
    <w:rsid w:val="002D7D29"/>
    <w:rsid w:val="002F67C0"/>
    <w:rsid w:val="00300241"/>
    <w:rsid w:val="00304AF9"/>
    <w:rsid w:val="00306722"/>
    <w:rsid w:val="003200BE"/>
    <w:rsid w:val="003210D2"/>
    <w:rsid w:val="00326F54"/>
    <w:rsid w:val="00327B21"/>
    <w:rsid w:val="00336BAA"/>
    <w:rsid w:val="003375C9"/>
    <w:rsid w:val="003430EA"/>
    <w:rsid w:val="00343448"/>
    <w:rsid w:val="00350532"/>
    <w:rsid w:val="003509CE"/>
    <w:rsid w:val="003739B4"/>
    <w:rsid w:val="00374B90"/>
    <w:rsid w:val="0037518D"/>
    <w:rsid w:val="0037537D"/>
    <w:rsid w:val="00380CC7"/>
    <w:rsid w:val="00386DEC"/>
    <w:rsid w:val="003879A7"/>
    <w:rsid w:val="00392B8E"/>
    <w:rsid w:val="00397391"/>
    <w:rsid w:val="003A03C5"/>
    <w:rsid w:val="003A23C4"/>
    <w:rsid w:val="003A4436"/>
    <w:rsid w:val="003C3BE8"/>
    <w:rsid w:val="003C424C"/>
    <w:rsid w:val="003C62F0"/>
    <w:rsid w:val="003D24B8"/>
    <w:rsid w:val="003D35B0"/>
    <w:rsid w:val="003D435D"/>
    <w:rsid w:val="003D49BC"/>
    <w:rsid w:val="003D6978"/>
    <w:rsid w:val="003F465D"/>
    <w:rsid w:val="003F6CBD"/>
    <w:rsid w:val="0041506B"/>
    <w:rsid w:val="004315A5"/>
    <w:rsid w:val="00432E79"/>
    <w:rsid w:val="00441DC4"/>
    <w:rsid w:val="00442787"/>
    <w:rsid w:val="00446593"/>
    <w:rsid w:val="00446DA7"/>
    <w:rsid w:val="0045082C"/>
    <w:rsid w:val="00453D2E"/>
    <w:rsid w:val="00457D5A"/>
    <w:rsid w:val="00465543"/>
    <w:rsid w:val="004712BE"/>
    <w:rsid w:val="00473B42"/>
    <w:rsid w:val="00474BF1"/>
    <w:rsid w:val="004834DC"/>
    <w:rsid w:val="004852AE"/>
    <w:rsid w:val="00485926"/>
    <w:rsid w:val="00485E63"/>
    <w:rsid w:val="00486876"/>
    <w:rsid w:val="00495688"/>
    <w:rsid w:val="0049754A"/>
    <w:rsid w:val="004B3F54"/>
    <w:rsid w:val="004C7B0A"/>
    <w:rsid w:val="004D05C0"/>
    <w:rsid w:val="004D1549"/>
    <w:rsid w:val="004D231C"/>
    <w:rsid w:val="004D2AFE"/>
    <w:rsid w:val="004D4F03"/>
    <w:rsid w:val="004E2CEA"/>
    <w:rsid w:val="004E36FE"/>
    <w:rsid w:val="004E656A"/>
    <w:rsid w:val="004E6987"/>
    <w:rsid w:val="004F59AA"/>
    <w:rsid w:val="00500E4C"/>
    <w:rsid w:val="00501FD1"/>
    <w:rsid w:val="005151AE"/>
    <w:rsid w:val="0052468B"/>
    <w:rsid w:val="00525144"/>
    <w:rsid w:val="00535A44"/>
    <w:rsid w:val="00542519"/>
    <w:rsid w:val="005451FC"/>
    <w:rsid w:val="0055017C"/>
    <w:rsid w:val="005514BC"/>
    <w:rsid w:val="00552799"/>
    <w:rsid w:val="005541BF"/>
    <w:rsid w:val="00556A71"/>
    <w:rsid w:val="00560829"/>
    <w:rsid w:val="00570AD1"/>
    <w:rsid w:val="0057471E"/>
    <w:rsid w:val="00574CB8"/>
    <w:rsid w:val="00587357"/>
    <w:rsid w:val="005874C5"/>
    <w:rsid w:val="00594EBF"/>
    <w:rsid w:val="005A2AF8"/>
    <w:rsid w:val="005A3EDF"/>
    <w:rsid w:val="005A430E"/>
    <w:rsid w:val="005D3ADC"/>
    <w:rsid w:val="005D5638"/>
    <w:rsid w:val="005D7540"/>
    <w:rsid w:val="005D7BFF"/>
    <w:rsid w:val="005E4888"/>
    <w:rsid w:val="005F40F6"/>
    <w:rsid w:val="005F56BD"/>
    <w:rsid w:val="00606C1C"/>
    <w:rsid w:val="00615173"/>
    <w:rsid w:val="00622F55"/>
    <w:rsid w:val="00623DEA"/>
    <w:rsid w:val="006248E3"/>
    <w:rsid w:val="006254B4"/>
    <w:rsid w:val="006509ED"/>
    <w:rsid w:val="0065511F"/>
    <w:rsid w:val="006555DA"/>
    <w:rsid w:val="006658F7"/>
    <w:rsid w:val="00672664"/>
    <w:rsid w:val="00673177"/>
    <w:rsid w:val="00686B59"/>
    <w:rsid w:val="00690E2E"/>
    <w:rsid w:val="006B41E0"/>
    <w:rsid w:val="006C018D"/>
    <w:rsid w:val="006C3A43"/>
    <w:rsid w:val="006C461B"/>
    <w:rsid w:val="006C4674"/>
    <w:rsid w:val="006D5FA3"/>
    <w:rsid w:val="006E1227"/>
    <w:rsid w:val="006E3B71"/>
    <w:rsid w:val="006F0E0F"/>
    <w:rsid w:val="006F22A3"/>
    <w:rsid w:val="006F24C6"/>
    <w:rsid w:val="006F68A5"/>
    <w:rsid w:val="00700BCB"/>
    <w:rsid w:val="00701CAA"/>
    <w:rsid w:val="007032E4"/>
    <w:rsid w:val="00707D4B"/>
    <w:rsid w:val="007153E1"/>
    <w:rsid w:val="00720CEA"/>
    <w:rsid w:val="007277DD"/>
    <w:rsid w:val="007302DB"/>
    <w:rsid w:val="0073213F"/>
    <w:rsid w:val="0073614C"/>
    <w:rsid w:val="00740A25"/>
    <w:rsid w:val="0075720F"/>
    <w:rsid w:val="0075733C"/>
    <w:rsid w:val="0076196B"/>
    <w:rsid w:val="00767E1A"/>
    <w:rsid w:val="00767F7F"/>
    <w:rsid w:val="0077217D"/>
    <w:rsid w:val="007728C0"/>
    <w:rsid w:val="00772AFB"/>
    <w:rsid w:val="007802B6"/>
    <w:rsid w:val="00787243"/>
    <w:rsid w:val="00793A81"/>
    <w:rsid w:val="007B4893"/>
    <w:rsid w:val="007B4DB9"/>
    <w:rsid w:val="007B5FAF"/>
    <w:rsid w:val="007C2803"/>
    <w:rsid w:val="007C3477"/>
    <w:rsid w:val="00801CC9"/>
    <w:rsid w:val="00804012"/>
    <w:rsid w:val="008069D6"/>
    <w:rsid w:val="00810122"/>
    <w:rsid w:val="0081277A"/>
    <w:rsid w:val="00817096"/>
    <w:rsid w:val="008212D9"/>
    <w:rsid w:val="008218F3"/>
    <w:rsid w:val="008225DD"/>
    <w:rsid w:val="00823248"/>
    <w:rsid w:val="00824537"/>
    <w:rsid w:val="0082633B"/>
    <w:rsid w:val="00827EDC"/>
    <w:rsid w:val="008373E5"/>
    <w:rsid w:val="008437FB"/>
    <w:rsid w:val="00847E2C"/>
    <w:rsid w:val="00861983"/>
    <w:rsid w:val="00862F57"/>
    <w:rsid w:val="00876B18"/>
    <w:rsid w:val="008806AC"/>
    <w:rsid w:val="008838A4"/>
    <w:rsid w:val="008A3619"/>
    <w:rsid w:val="008C201A"/>
    <w:rsid w:val="008C7CEB"/>
    <w:rsid w:val="008D7D1A"/>
    <w:rsid w:val="008E14E0"/>
    <w:rsid w:val="008E2DFD"/>
    <w:rsid w:val="008F077A"/>
    <w:rsid w:val="009003C3"/>
    <w:rsid w:val="00911157"/>
    <w:rsid w:val="00913827"/>
    <w:rsid w:val="00916B76"/>
    <w:rsid w:val="00923475"/>
    <w:rsid w:val="0093102F"/>
    <w:rsid w:val="00931357"/>
    <w:rsid w:val="00932B48"/>
    <w:rsid w:val="00932B79"/>
    <w:rsid w:val="00947910"/>
    <w:rsid w:val="009501C0"/>
    <w:rsid w:val="0095246D"/>
    <w:rsid w:val="009737A7"/>
    <w:rsid w:val="00973B02"/>
    <w:rsid w:val="00996A25"/>
    <w:rsid w:val="009B32EA"/>
    <w:rsid w:val="009C2F0C"/>
    <w:rsid w:val="009C5DCE"/>
    <w:rsid w:val="009D18CE"/>
    <w:rsid w:val="009D373A"/>
    <w:rsid w:val="009E0C0D"/>
    <w:rsid w:val="009F1411"/>
    <w:rsid w:val="00A118E9"/>
    <w:rsid w:val="00A24E2B"/>
    <w:rsid w:val="00A2548C"/>
    <w:rsid w:val="00A27846"/>
    <w:rsid w:val="00A351F4"/>
    <w:rsid w:val="00A40CF7"/>
    <w:rsid w:val="00A44B8F"/>
    <w:rsid w:val="00A534DC"/>
    <w:rsid w:val="00A623B3"/>
    <w:rsid w:val="00A74379"/>
    <w:rsid w:val="00A74C97"/>
    <w:rsid w:val="00A8477C"/>
    <w:rsid w:val="00AA6CD0"/>
    <w:rsid w:val="00AA7368"/>
    <w:rsid w:val="00AB2C59"/>
    <w:rsid w:val="00AC32CB"/>
    <w:rsid w:val="00AC4747"/>
    <w:rsid w:val="00AD0D54"/>
    <w:rsid w:val="00AE25E5"/>
    <w:rsid w:val="00AF049B"/>
    <w:rsid w:val="00AF2C53"/>
    <w:rsid w:val="00AF4756"/>
    <w:rsid w:val="00B211B9"/>
    <w:rsid w:val="00B23F2F"/>
    <w:rsid w:val="00B2478C"/>
    <w:rsid w:val="00B31B0B"/>
    <w:rsid w:val="00B36200"/>
    <w:rsid w:val="00B40D03"/>
    <w:rsid w:val="00B44E9D"/>
    <w:rsid w:val="00B45400"/>
    <w:rsid w:val="00B45E14"/>
    <w:rsid w:val="00B46461"/>
    <w:rsid w:val="00B4795C"/>
    <w:rsid w:val="00B50541"/>
    <w:rsid w:val="00B51B44"/>
    <w:rsid w:val="00B54AFF"/>
    <w:rsid w:val="00B5788C"/>
    <w:rsid w:val="00B66BD6"/>
    <w:rsid w:val="00B73DC2"/>
    <w:rsid w:val="00B76902"/>
    <w:rsid w:val="00B814C4"/>
    <w:rsid w:val="00B81E96"/>
    <w:rsid w:val="00B866EB"/>
    <w:rsid w:val="00B9148D"/>
    <w:rsid w:val="00B934E8"/>
    <w:rsid w:val="00B96C39"/>
    <w:rsid w:val="00BB0EED"/>
    <w:rsid w:val="00BC1D20"/>
    <w:rsid w:val="00BC4004"/>
    <w:rsid w:val="00BC7DCB"/>
    <w:rsid w:val="00BD03D3"/>
    <w:rsid w:val="00BD09C2"/>
    <w:rsid w:val="00BD548F"/>
    <w:rsid w:val="00BD6791"/>
    <w:rsid w:val="00BE58D4"/>
    <w:rsid w:val="00C07B58"/>
    <w:rsid w:val="00C116D0"/>
    <w:rsid w:val="00C122FD"/>
    <w:rsid w:val="00C15193"/>
    <w:rsid w:val="00C17094"/>
    <w:rsid w:val="00C1727B"/>
    <w:rsid w:val="00C21363"/>
    <w:rsid w:val="00C31F63"/>
    <w:rsid w:val="00C36803"/>
    <w:rsid w:val="00C37D57"/>
    <w:rsid w:val="00C525D7"/>
    <w:rsid w:val="00C52E94"/>
    <w:rsid w:val="00C53D14"/>
    <w:rsid w:val="00C55876"/>
    <w:rsid w:val="00C56BC0"/>
    <w:rsid w:val="00C63812"/>
    <w:rsid w:val="00C7567B"/>
    <w:rsid w:val="00CA1EE6"/>
    <w:rsid w:val="00CB0C2E"/>
    <w:rsid w:val="00CC44BC"/>
    <w:rsid w:val="00CC5563"/>
    <w:rsid w:val="00CC57F1"/>
    <w:rsid w:val="00CC7AB6"/>
    <w:rsid w:val="00CF6F6C"/>
    <w:rsid w:val="00D00788"/>
    <w:rsid w:val="00D011B7"/>
    <w:rsid w:val="00D04FB1"/>
    <w:rsid w:val="00D25848"/>
    <w:rsid w:val="00D25CED"/>
    <w:rsid w:val="00D3389A"/>
    <w:rsid w:val="00D3666F"/>
    <w:rsid w:val="00D4221B"/>
    <w:rsid w:val="00D5559B"/>
    <w:rsid w:val="00D60F4D"/>
    <w:rsid w:val="00D6398F"/>
    <w:rsid w:val="00D7035E"/>
    <w:rsid w:val="00D72926"/>
    <w:rsid w:val="00D73921"/>
    <w:rsid w:val="00D75D39"/>
    <w:rsid w:val="00D77B73"/>
    <w:rsid w:val="00D85277"/>
    <w:rsid w:val="00D92266"/>
    <w:rsid w:val="00D94C33"/>
    <w:rsid w:val="00DB2F3A"/>
    <w:rsid w:val="00DB3133"/>
    <w:rsid w:val="00DC1433"/>
    <w:rsid w:val="00DC53CC"/>
    <w:rsid w:val="00DD1998"/>
    <w:rsid w:val="00DD1E27"/>
    <w:rsid w:val="00DE0657"/>
    <w:rsid w:val="00DE20B2"/>
    <w:rsid w:val="00DE3CB3"/>
    <w:rsid w:val="00DF281E"/>
    <w:rsid w:val="00DF66FE"/>
    <w:rsid w:val="00E03459"/>
    <w:rsid w:val="00E076E0"/>
    <w:rsid w:val="00E2243D"/>
    <w:rsid w:val="00E43CC2"/>
    <w:rsid w:val="00E449F0"/>
    <w:rsid w:val="00E50C87"/>
    <w:rsid w:val="00E5241F"/>
    <w:rsid w:val="00E525C2"/>
    <w:rsid w:val="00E56E45"/>
    <w:rsid w:val="00E57CEC"/>
    <w:rsid w:val="00E624A8"/>
    <w:rsid w:val="00E62CFB"/>
    <w:rsid w:val="00E67991"/>
    <w:rsid w:val="00E73D03"/>
    <w:rsid w:val="00E73FC6"/>
    <w:rsid w:val="00E74720"/>
    <w:rsid w:val="00E9115A"/>
    <w:rsid w:val="00E943F0"/>
    <w:rsid w:val="00EA2A9C"/>
    <w:rsid w:val="00EA42BB"/>
    <w:rsid w:val="00EC099A"/>
    <w:rsid w:val="00EC32E0"/>
    <w:rsid w:val="00EC7435"/>
    <w:rsid w:val="00ED57FA"/>
    <w:rsid w:val="00ED62B3"/>
    <w:rsid w:val="00EE5160"/>
    <w:rsid w:val="00EF19A8"/>
    <w:rsid w:val="00EF64DC"/>
    <w:rsid w:val="00F10DC2"/>
    <w:rsid w:val="00F11082"/>
    <w:rsid w:val="00F14076"/>
    <w:rsid w:val="00F144A1"/>
    <w:rsid w:val="00F24EE1"/>
    <w:rsid w:val="00F42741"/>
    <w:rsid w:val="00F43F9A"/>
    <w:rsid w:val="00F5467D"/>
    <w:rsid w:val="00F567C4"/>
    <w:rsid w:val="00F56800"/>
    <w:rsid w:val="00F63506"/>
    <w:rsid w:val="00F64E72"/>
    <w:rsid w:val="00F76AFC"/>
    <w:rsid w:val="00F86316"/>
    <w:rsid w:val="00FA3B0D"/>
    <w:rsid w:val="00FA788E"/>
    <w:rsid w:val="00FB404B"/>
    <w:rsid w:val="00FB42BF"/>
    <w:rsid w:val="00FB5279"/>
    <w:rsid w:val="00FB7248"/>
    <w:rsid w:val="00FC3C2B"/>
    <w:rsid w:val="00FE3052"/>
    <w:rsid w:val="00FE3B6E"/>
    <w:rsid w:val="00FF26EF"/>
    <w:rsid w:val="00FF3D48"/>
    <w:rsid w:val="00FF74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Message Header"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1227"/>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C62F0"/>
    <w:rPr>
      <w:sz w:val="16"/>
      <w:szCs w:val="16"/>
    </w:rPr>
  </w:style>
  <w:style w:type="paragraph" w:styleId="CommentText">
    <w:name w:val="annotation text"/>
    <w:basedOn w:val="Normal"/>
    <w:link w:val="CommentTextChar"/>
    <w:uiPriority w:val="99"/>
    <w:semiHidden/>
    <w:unhideWhenUsed/>
    <w:rsid w:val="003C62F0"/>
    <w:pPr>
      <w:spacing w:line="240" w:lineRule="auto"/>
    </w:pPr>
    <w:rPr>
      <w:sz w:val="20"/>
      <w:szCs w:val="20"/>
    </w:rPr>
  </w:style>
  <w:style w:type="character" w:customStyle="1" w:styleId="CommentTextChar">
    <w:name w:val="Comment Text Char"/>
    <w:basedOn w:val="DefaultParagraphFont"/>
    <w:link w:val="CommentText"/>
    <w:uiPriority w:val="99"/>
    <w:semiHidden/>
    <w:rsid w:val="003C62F0"/>
    <w:rPr>
      <w:sz w:val="20"/>
      <w:szCs w:val="20"/>
    </w:rPr>
  </w:style>
  <w:style w:type="paragraph" w:styleId="CommentSubject">
    <w:name w:val="annotation subject"/>
    <w:basedOn w:val="CommentText"/>
    <w:next w:val="CommentText"/>
    <w:link w:val="CommentSubjectChar"/>
    <w:uiPriority w:val="99"/>
    <w:semiHidden/>
    <w:unhideWhenUsed/>
    <w:rsid w:val="003C62F0"/>
    <w:rPr>
      <w:b/>
      <w:bCs/>
    </w:rPr>
  </w:style>
  <w:style w:type="character" w:customStyle="1" w:styleId="CommentSubjectChar">
    <w:name w:val="Comment Subject Char"/>
    <w:basedOn w:val="CommentTextChar"/>
    <w:link w:val="CommentSubject"/>
    <w:uiPriority w:val="99"/>
    <w:semiHidden/>
    <w:rsid w:val="003C62F0"/>
    <w:rPr>
      <w:b/>
      <w:bCs/>
    </w:rPr>
  </w:style>
  <w:style w:type="paragraph" w:styleId="BalloonText">
    <w:name w:val="Balloon Text"/>
    <w:basedOn w:val="Normal"/>
    <w:link w:val="BalloonTextChar"/>
    <w:uiPriority w:val="99"/>
    <w:semiHidden/>
    <w:unhideWhenUsed/>
    <w:rsid w:val="003C62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62F0"/>
    <w:rPr>
      <w:rFonts w:ascii="Tahoma" w:hAnsi="Tahoma" w:cs="Tahoma"/>
      <w:sz w:val="16"/>
      <w:szCs w:val="16"/>
    </w:rPr>
  </w:style>
  <w:style w:type="table" w:styleId="TableGrid">
    <w:name w:val="Table Grid"/>
    <w:basedOn w:val="TableNormal"/>
    <w:uiPriority w:val="59"/>
    <w:rsid w:val="00D0078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A44B8F"/>
    <w:pPr>
      <w:autoSpaceDE w:val="0"/>
      <w:autoSpaceDN w:val="0"/>
      <w:adjustRightInd w:val="0"/>
    </w:pPr>
    <w:rPr>
      <w:rFonts w:ascii="Code" w:hAnsi="Code" w:cs="Code"/>
      <w:color w:val="000000"/>
      <w:sz w:val="24"/>
      <w:szCs w:val="24"/>
    </w:rPr>
  </w:style>
  <w:style w:type="paragraph" w:styleId="NoSpacing">
    <w:name w:val="No Spacing"/>
    <w:uiPriority w:val="1"/>
    <w:qFormat/>
    <w:rsid w:val="00E43CC2"/>
    <w:rPr>
      <w:sz w:val="22"/>
      <w:szCs w:val="22"/>
    </w:rPr>
  </w:style>
  <w:style w:type="paragraph" w:styleId="ListParagraph">
    <w:name w:val="List Paragraph"/>
    <w:basedOn w:val="Normal"/>
    <w:uiPriority w:val="34"/>
    <w:qFormat/>
    <w:rsid w:val="00847E2C"/>
    <w:pPr>
      <w:ind w:left="720"/>
      <w:contextualSpacing/>
    </w:pPr>
  </w:style>
  <w:style w:type="paragraph" w:styleId="Revision">
    <w:name w:val="Revision"/>
    <w:hidden/>
    <w:uiPriority w:val="99"/>
    <w:semiHidden/>
    <w:rsid w:val="00A534DC"/>
    <w:rPr>
      <w:sz w:val="22"/>
      <w:szCs w:val="22"/>
    </w:rPr>
  </w:style>
  <w:style w:type="paragraph" w:styleId="FootnoteText">
    <w:name w:val="footnote text"/>
    <w:basedOn w:val="Normal"/>
    <w:link w:val="FootnoteTextChar"/>
    <w:uiPriority w:val="99"/>
    <w:semiHidden/>
    <w:unhideWhenUsed/>
    <w:rsid w:val="006E3B7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E3B71"/>
    <w:rPr>
      <w:sz w:val="20"/>
      <w:szCs w:val="20"/>
    </w:rPr>
  </w:style>
  <w:style w:type="character" w:styleId="FootnoteReference">
    <w:name w:val="footnote reference"/>
    <w:basedOn w:val="DefaultParagraphFont"/>
    <w:uiPriority w:val="99"/>
    <w:semiHidden/>
    <w:unhideWhenUsed/>
    <w:rsid w:val="006E3B71"/>
    <w:rPr>
      <w:vertAlign w:val="superscript"/>
    </w:rPr>
  </w:style>
  <w:style w:type="paragraph" w:styleId="Header">
    <w:name w:val="header"/>
    <w:basedOn w:val="Normal"/>
    <w:link w:val="HeaderChar"/>
    <w:uiPriority w:val="99"/>
    <w:semiHidden/>
    <w:unhideWhenUsed/>
    <w:rsid w:val="00EF64D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F64DC"/>
  </w:style>
  <w:style w:type="paragraph" w:styleId="Footer">
    <w:name w:val="footer"/>
    <w:basedOn w:val="Normal"/>
    <w:link w:val="FooterChar"/>
    <w:uiPriority w:val="99"/>
    <w:unhideWhenUsed/>
    <w:rsid w:val="00EF64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64DC"/>
  </w:style>
  <w:style w:type="paragraph" w:customStyle="1" w:styleId="DocumentLabel">
    <w:name w:val="Document Label"/>
    <w:next w:val="Normal"/>
    <w:rsid w:val="00D60F4D"/>
    <w:pPr>
      <w:pBdr>
        <w:top w:val="double" w:sz="6" w:space="8" w:color="808080"/>
        <w:bottom w:val="double" w:sz="6" w:space="8" w:color="808080"/>
      </w:pBdr>
      <w:spacing w:after="40" w:line="240" w:lineRule="atLeast"/>
      <w:jc w:val="center"/>
    </w:pPr>
    <w:rPr>
      <w:rFonts w:ascii="Garamond" w:eastAsia="Times New Roman" w:hAnsi="Garamond"/>
      <w:b/>
      <w:caps/>
      <w:spacing w:val="20"/>
      <w:sz w:val="18"/>
    </w:rPr>
  </w:style>
  <w:style w:type="paragraph" w:styleId="MessageHeader">
    <w:name w:val="Message Header"/>
    <w:basedOn w:val="Normal"/>
    <w:link w:val="MessageHeaderChar"/>
    <w:rsid w:val="00D60F4D"/>
    <w:pPr>
      <w:keepLines/>
      <w:spacing w:after="120" w:line="240" w:lineRule="atLeast"/>
      <w:ind w:left="1080" w:hanging="1080"/>
    </w:pPr>
    <w:rPr>
      <w:rFonts w:ascii="Garamond" w:eastAsia="Times New Roman" w:hAnsi="Garamond"/>
      <w:caps/>
      <w:sz w:val="18"/>
      <w:szCs w:val="20"/>
    </w:rPr>
  </w:style>
  <w:style w:type="character" w:customStyle="1" w:styleId="MessageHeaderChar">
    <w:name w:val="Message Header Char"/>
    <w:basedOn w:val="DefaultParagraphFont"/>
    <w:link w:val="MessageHeader"/>
    <w:rsid w:val="00D60F4D"/>
    <w:rPr>
      <w:rFonts w:ascii="Garamond" w:eastAsia="Times New Roman" w:hAnsi="Garamond" w:cs="Times New Roman"/>
      <w:caps/>
      <w:sz w:val="18"/>
      <w:szCs w:val="20"/>
    </w:rPr>
  </w:style>
  <w:style w:type="paragraph" w:customStyle="1" w:styleId="MessageHeaderFirst">
    <w:name w:val="Message Header First"/>
    <w:basedOn w:val="MessageHeader"/>
    <w:next w:val="MessageHeader"/>
    <w:rsid w:val="00D60F4D"/>
    <w:pPr>
      <w:spacing w:before="360"/>
    </w:pPr>
  </w:style>
  <w:style w:type="character" w:customStyle="1" w:styleId="MessageHeaderLabel">
    <w:name w:val="Message Header Label"/>
    <w:rsid w:val="00D60F4D"/>
    <w:rPr>
      <w:b/>
      <w:sz w:val="18"/>
    </w:rPr>
  </w:style>
  <w:style w:type="paragraph" w:customStyle="1" w:styleId="MessageHeaderLast">
    <w:name w:val="Message Header Last"/>
    <w:basedOn w:val="MessageHeader"/>
    <w:next w:val="BodyText"/>
    <w:rsid w:val="00D60F4D"/>
    <w:pPr>
      <w:pBdr>
        <w:bottom w:val="single" w:sz="6" w:space="18" w:color="808080"/>
      </w:pBdr>
      <w:spacing w:after="360"/>
    </w:pPr>
  </w:style>
  <w:style w:type="paragraph" w:styleId="BodyText">
    <w:name w:val="Body Text"/>
    <w:basedOn w:val="Normal"/>
    <w:link w:val="BodyTextChar"/>
    <w:uiPriority w:val="99"/>
    <w:semiHidden/>
    <w:unhideWhenUsed/>
    <w:rsid w:val="00D60F4D"/>
    <w:pPr>
      <w:spacing w:after="120"/>
    </w:pPr>
  </w:style>
  <w:style w:type="character" w:customStyle="1" w:styleId="BodyTextChar">
    <w:name w:val="Body Text Char"/>
    <w:basedOn w:val="DefaultParagraphFont"/>
    <w:link w:val="BodyText"/>
    <w:uiPriority w:val="99"/>
    <w:semiHidden/>
    <w:rsid w:val="00D60F4D"/>
  </w:style>
</w:styles>
</file>

<file path=word/webSettings.xml><?xml version="1.0" encoding="utf-8"?>
<w:webSettings xmlns:r="http://schemas.openxmlformats.org/officeDocument/2006/relationships" xmlns:w="http://schemas.openxmlformats.org/wordprocessingml/2006/main">
  <w:divs>
    <w:div w:id="47996326">
      <w:bodyDiv w:val="1"/>
      <w:marLeft w:val="0"/>
      <w:marRight w:val="0"/>
      <w:marTop w:val="0"/>
      <w:marBottom w:val="0"/>
      <w:divBdr>
        <w:top w:val="none" w:sz="0" w:space="0" w:color="auto"/>
        <w:left w:val="none" w:sz="0" w:space="0" w:color="auto"/>
        <w:bottom w:val="none" w:sz="0" w:space="0" w:color="auto"/>
        <w:right w:val="none" w:sz="0" w:space="0" w:color="auto"/>
      </w:divBdr>
    </w:div>
    <w:div w:id="535433725">
      <w:bodyDiv w:val="1"/>
      <w:marLeft w:val="0"/>
      <w:marRight w:val="0"/>
      <w:marTop w:val="0"/>
      <w:marBottom w:val="0"/>
      <w:divBdr>
        <w:top w:val="none" w:sz="0" w:space="0" w:color="auto"/>
        <w:left w:val="none" w:sz="0" w:space="0" w:color="auto"/>
        <w:bottom w:val="none" w:sz="0" w:space="0" w:color="auto"/>
        <w:right w:val="none" w:sz="0" w:space="0" w:color="auto"/>
      </w:divBdr>
    </w:div>
    <w:div w:id="646780759">
      <w:bodyDiv w:val="1"/>
      <w:marLeft w:val="0"/>
      <w:marRight w:val="0"/>
      <w:marTop w:val="0"/>
      <w:marBottom w:val="0"/>
      <w:divBdr>
        <w:top w:val="none" w:sz="0" w:space="0" w:color="auto"/>
        <w:left w:val="none" w:sz="0" w:space="0" w:color="auto"/>
        <w:bottom w:val="none" w:sz="0" w:space="0" w:color="auto"/>
        <w:right w:val="none" w:sz="0" w:space="0" w:color="auto"/>
      </w:divBdr>
    </w:div>
    <w:div w:id="1221208030">
      <w:bodyDiv w:val="1"/>
      <w:marLeft w:val="0"/>
      <w:marRight w:val="0"/>
      <w:marTop w:val="0"/>
      <w:marBottom w:val="0"/>
      <w:divBdr>
        <w:top w:val="none" w:sz="0" w:space="0" w:color="auto"/>
        <w:left w:val="none" w:sz="0" w:space="0" w:color="auto"/>
        <w:bottom w:val="none" w:sz="0" w:space="0" w:color="auto"/>
        <w:right w:val="none" w:sz="0" w:space="0" w:color="auto"/>
      </w:divBdr>
    </w:div>
    <w:div w:id="1654329953">
      <w:bodyDiv w:val="1"/>
      <w:marLeft w:val="0"/>
      <w:marRight w:val="0"/>
      <w:marTop w:val="0"/>
      <w:marBottom w:val="0"/>
      <w:divBdr>
        <w:top w:val="none" w:sz="0" w:space="0" w:color="auto"/>
        <w:left w:val="none" w:sz="0" w:space="0" w:color="auto"/>
        <w:bottom w:val="none" w:sz="0" w:space="0" w:color="auto"/>
        <w:right w:val="none" w:sz="0" w:space="0" w:color="auto"/>
      </w:divBdr>
    </w:div>
    <w:div w:id="1847555557">
      <w:bodyDiv w:val="1"/>
      <w:marLeft w:val="0"/>
      <w:marRight w:val="0"/>
      <w:marTop w:val="0"/>
      <w:marBottom w:val="0"/>
      <w:divBdr>
        <w:top w:val="none" w:sz="0" w:space="0" w:color="auto"/>
        <w:left w:val="none" w:sz="0" w:space="0" w:color="auto"/>
        <w:bottom w:val="none" w:sz="0" w:space="0" w:color="auto"/>
        <w:right w:val="none" w:sz="0" w:space="0" w:color="auto"/>
      </w:divBdr>
    </w:div>
    <w:div w:id="1920285537">
      <w:bodyDiv w:val="1"/>
      <w:marLeft w:val="0"/>
      <w:marRight w:val="0"/>
      <w:marTop w:val="0"/>
      <w:marBottom w:val="0"/>
      <w:divBdr>
        <w:top w:val="none" w:sz="0" w:space="0" w:color="auto"/>
        <w:left w:val="none" w:sz="0" w:space="0" w:color="auto"/>
        <w:bottom w:val="none" w:sz="0" w:space="0" w:color="auto"/>
        <w:right w:val="none" w:sz="0" w:space="0" w:color="auto"/>
      </w:divBdr>
    </w:div>
    <w:div w:id="2043289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141A10-EB6B-4728-935C-867C73F4D2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1977</Words>
  <Characters>11274</Characters>
  <Application>Microsoft Office Word</Application>
  <DocSecurity>4</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13225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American Institutes for Research</dc:creator>
  <cp:lastModifiedBy>kathy.axt</cp:lastModifiedBy>
  <cp:revision>2</cp:revision>
  <cp:lastPrinted>2010-10-12T18:48:00Z</cp:lastPrinted>
  <dcterms:created xsi:type="dcterms:W3CDTF">2011-10-17T15:31:00Z</dcterms:created>
  <dcterms:modified xsi:type="dcterms:W3CDTF">2011-10-17T15:31:00Z</dcterms:modified>
</cp:coreProperties>
</file>