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370005">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rsidR="00F4077D" w:rsidRDefault="00F4077D" w:rsidP="00314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NSPS</w:t>
      </w:r>
      <w:r w:rsidR="00B1351A" w:rsidRPr="00481723">
        <w:rPr>
          <w:b/>
          <w:bCs/>
          <w:sz w:val="24"/>
          <w:szCs w:val="24"/>
        </w:rPr>
        <w:t xml:space="preserve"> FOR </w:t>
      </w:r>
      <w:r w:rsidR="00314D67">
        <w:rPr>
          <w:b/>
          <w:bCs/>
          <w:sz w:val="24"/>
          <w:szCs w:val="24"/>
        </w:rPr>
        <w:t>WOOD FURNITURE MANUFACTURING OPERATIONS</w:t>
      </w:r>
    </w:p>
    <w:p w:rsidR="004822CC" w:rsidRPr="00481723" w:rsidRDefault="00F4077D" w:rsidP="00314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(40 CFR PART 63, SUBPART JJ)</w:t>
      </w:r>
    </w:p>
    <w:p w:rsidR="00B1351A" w:rsidRPr="00481723" w:rsidRDefault="004822CC"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481723">
        <w:rPr>
          <w:b/>
          <w:bCs/>
          <w:sz w:val="24"/>
          <w:szCs w:val="24"/>
        </w:rPr>
        <w:t xml:space="preserve"> </w:t>
      </w:r>
    </w:p>
    <w:p w:rsidR="00B1351A" w:rsidRPr="00481723" w:rsidRDefault="00B1351A">
      <w:pPr>
        <w:widowControl/>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5F45FC">
      <w:pPr>
        <w:widowControl/>
        <w:spacing w:line="360" w:lineRule="auto"/>
        <w:rPr>
          <w:sz w:val="24"/>
          <w:szCs w:val="24"/>
        </w:rPr>
      </w:pPr>
      <w:r w:rsidRPr="00481723">
        <w:rPr>
          <w:i/>
          <w:iCs/>
          <w:sz w:val="24"/>
          <w:szCs w:val="24"/>
        </w:rPr>
        <w:tab/>
      </w:r>
      <w:r w:rsidRPr="00481723">
        <w:rPr>
          <w:sz w:val="24"/>
          <w:szCs w:val="24"/>
        </w:rPr>
        <w:t>“</w:t>
      </w:r>
      <w:r w:rsidR="00F4077D">
        <w:rPr>
          <w:sz w:val="24"/>
          <w:szCs w:val="24"/>
        </w:rPr>
        <w:t>NSPS for</w:t>
      </w:r>
      <w:r w:rsidR="002B1D7D" w:rsidRPr="002B1D7D">
        <w:rPr>
          <w:sz w:val="24"/>
          <w:szCs w:val="24"/>
        </w:rPr>
        <w:t xml:space="preserve"> </w:t>
      </w:r>
      <w:r w:rsidR="000854B5" w:rsidRPr="002B1D7D">
        <w:rPr>
          <w:sz w:val="24"/>
          <w:szCs w:val="24"/>
        </w:rPr>
        <w:t>Wood</w:t>
      </w:r>
      <w:r w:rsidR="00314D67">
        <w:rPr>
          <w:sz w:val="24"/>
          <w:szCs w:val="24"/>
        </w:rPr>
        <w:t xml:space="preserve"> Furniture Manufacturing Operations</w:t>
      </w:r>
      <w:r w:rsidR="00F4077D">
        <w:rPr>
          <w:sz w:val="24"/>
          <w:szCs w:val="24"/>
        </w:rPr>
        <w:t xml:space="preserve"> (40 CFR part 63, subpart JJ)(Final Rule)</w:t>
      </w:r>
      <w:r w:rsidR="000715E2">
        <w:rPr>
          <w:sz w:val="24"/>
          <w:szCs w:val="24"/>
        </w:rPr>
        <w:t>.</w:t>
      </w:r>
      <w:r w:rsidR="002B1D7D" w:rsidRPr="002B1D7D">
        <w:rPr>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9211FA">
        <w:rPr>
          <w:sz w:val="24"/>
          <w:szCs w:val="24"/>
        </w:rPr>
        <w:t>1716.08</w:t>
      </w:r>
      <w:r w:rsidR="00F4077D">
        <w:rPr>
          <w:sz w:val="24"/>
          <w:szCs w:val="24"/>
        </w:rPr>
        <w:t>, OMB Control Number 2060-</w:t>
      </w:r>
      <w:r w:rsidR="003108F1">
        <w:rPr>
          <w:sz w:val="24"/>
          <w:szCs w:val="24"/>
        </w:rPr>
        <w:t>0324</w:t>
      </w:r>
      <w:r w:rsidR="008E12CB" w:rsidRPr="00481723">
        <w:rPr>
          <w:sz w:val="24"/>
          <w:szCs w:val="24"/>
        </w:rPr>
        <w:t xml:space="preserve">. </w:t>
      </w:r>
    </w:p>
    <w:p w:rsidR="00B1351A" w:rsidRPr="00481723" w:rsidRDefault="00C4180C" w:rsidP="00E846A7">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C4180C" w:rsidRPr="00481723" w:rsidRDefault="00C4180C" w:rsidP="00314D67">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2B1D7D">
        <w:rPr>
          <w:sz w:val="24"/>
          <w:szCs w:val="24"/>
        </w:rPr>
        <w:t xml:space="preserve">amendments to the </w:t>
      </w:r>
      <w:r w:rsidR="00314D67">
        <w:rPr>
          <w:sz w:val="24"/>
          <w:szCs w:val="24"/>
        </w:rPr>
        <w:t xml:space="preserve">Wood Furniture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part 63, subpart </w:t>
      </w:r>
      <w:r w:rsidR="00314D67">
        <w:rPr>
          <w:sz w:val="24"/>
          <w:szCs w:val="24"/>
        </w:rPr>
        <w:t>JJ</w:t>
      </w:r>
      <w:r w:rsidR="002B1D7D">
        <w:rPr>
          <w:sz w:val="24"/>
          <w:szCs w:val="24"/>
        </w:rPr>
        <w:t>)</w:t>
      </w:r>
      <w:r w:rsidR="005F45FC">
        <w:rPr>
          <w:sz w:val="24"/>
          <w:szCs w:val="24"/>
        </w:rPr>
        <w:t xml:space="preserve">. </w:t>
      </w:r>
    </w:p>
    <w:p w:rsidR="00226399" w:rsidRPr="00481723" w:rsidRDefault="00D330A9" w:rsidP="0051060D">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 xml:space="preserve">of any existing or new </w:t>
      </w:r>
      <w:r w:rsidR="008573EC">
        <w:rPr>
          <w:rFonts w:cs="Courier New"/>
          <w:sz w:val="24"/>
          <w:szCs w:val="24"/>
        </w:rPr>
        <w:t>affected source with wood furniture manufacturing operations</w:t>
      </w:r>
      <w:r w:rsidR="005F45FC">
        <w:rPr>
          <w:rFonts w:cs="Courier New"/>
          <w:sz w:val="24"/>
          <w:szCs w:val="24"/>
        </w:rPr>
        <w:t xml:space="preserve">. </w:t>
      </w:r>
      <w:r w:rsidR="001A157C" w:rsidRPr="00481723">
        <w:rPr>
          <w:rFonts w:cs="Courier New"/>
          <w:sz w:val="24"/>
          <w:szCs w:val="24"/>
        </w:rPr>
        <w:t>The</w:t>
      </w:r>
      <w:r w:rsidR="002B6534">
        <w:rPr>
          <w:rFonts w:cs="Courier New"/>
          <w:sz w:val="24"/>
          <w:szCs w:val="24"/>
        </w:rPr>
        <w:t xml:space="preserve">re are </w:t>
      </w:r>
      <w:r w:rsidR="006A272E">
        <w:rPr>
          <w:rFonts w:cs="Courier New"/>
          <w:sz w:val="24"/>
          <w:szCs w:val="24"/>
        </w:rPr>
        <w:t xml:space="preserve">an estimated </w:t>
      </w:r>
      <w:r w:rsidR="008573EC">
        <w:rPr>
          <w:rFonts w:cs="Courier New"/>
          <w:sz w:val="24"/>
          <w:szCs w:val="24"/>
        </w:rPr>
        <w:t>406</w:t>
      </w:r>
      <w:r w:rsidR="002B6534">
        <w:rPr>
          <w:rFonts w:cs="Courier New"/>
          <w:sz w:val="24"/>
          <w:szCs w:val="24"/>
        </w:rPr>
        <w:t xml:space="preserve"> </w:t>
      </w:r>
      <w:r w:rsidR="000641FD">
        <w:rPr>
          <w:rFonts w:cs="Courier New"/>
          <w:sz w:val="24"/>
          <w:szCs w:val="24"/>
        </w:rPr>
        <w:t>facilities</w:t>
      </w:r>
      <w:r w:rsidR="002B6534">
        <w:rPr>
          <w:rFonts w:cs="Courier New"/>
          <w:sz w:val="24"/>
          <w:szCs w:val="24"/>
        </w:rPr>
        <w:t xml:space="preserve"> </w:t>
      </w:r>
      <w:r w:rsidR="005F6ED5">
        <w:rPr>
          <w:rFonts w:cs="Courier New"/>
          <w:sz w:val="24"/>
          <w:szCs w:val="24"/>
        </w:rPr>
        <w:t>subject to the</w:t>
      </w:r>
      <w:r w:rsidR="008573EC">
        <w:rPr>
          <w:rFonts w:cs="Courier New"/>
          <w:sz w:val="24"/>
          <w:szCs w:val="24"/>
        </w:rPr>
        <w:t xml:space="preserve"> Wood Furniture Manufacturing </w:t>
      </w:r>
      <w:r w:rsidR="005F6ED5">
        <w:rPr>
          <w:rFonts w:cs="Courier New"/>
          <w:sz w:val="24"/>
          <w:szCs w:val="24"/>
        </w:rPr>
        <w:t>NESHAP</w:t>
      </w:r>
      <w:r w:rsidR="005F45FC">
        <w:rPr>
          <w:rFonts w:cs="Courier New"/>
          <w:sz w:val="24"/>
          <w:szCs w:val="24"/>
        </w:rPr>
        <w:t xml:space="preserve">. </w:t>
      </w:r>
      <w:r w:rsidR="000641FD" w:rsidRPr="000641FD">
        <w:rPr>
          <w:rFonts w:cs="Courier New"/>
          <w:sz w:val="24"/>
          <w:szCs w:val="24"/>
        </w:rPr>
        <w:t xml:space="preserve">The affected source </w:t>
      </w:r>
      <w:r w:rsidR="000715E2">
        <w:rPr>
          <w:rFonts w:cs="Courier New"/>
          <w:sz w:val="24"/>
          <w:szCs w:val="24"/>
        </w:rPr>
        <w:t>is</w:t>
      </w:r>
      <w:r w:rsidR="0051060D">
        <w:rPr>
          <w:rFonts w:cs="Courier New"/>
          <w:sz w:val="24"/>
          <w:szCs w:val="24"/>
        </w:rPr>
        <w:t xml:space="preserve"> any wood furniture manufacturing facility that is engaged, either in part or in whole, in the manufacture of wood furniture or wood furniture components and that is located at a plant site that is a major source as defined in 40 CFR part 63.2, excluding sources that meet the criteria established in </w:t>
      </w:r>
      <w:r w:rsidR="0051060D">
        <w:rPr>
          <w:sz w:val="24"/>
          <w:szCs w:val="24"/>
        </w:rPr>
        <w:t>§</w:t>
      </w:r>
      <w:r w:rsidR="0051060D">
        <w:rPr>
          <w:rFonts w:cs="Courier New"/>
          <w:sz w:val="24"/>
          <w:szCs w:val="24"/>
        </w:rPr>
        <w:t>63.800(a). (b), and (c) of the Wood Furniture Manufacturing NESHAP.</w:t>
      </w:r>
    </w:p>
    <w:p w:rsidR="00206C0F" w:rsidRDefault="00F4077D" w:rsidP="009E5321">
      <w:pPr>
        <w:widowControl/>
        <w:spacing w:line="360" w:lineRule="auto"/>
        <w:ind w:firstLine="720"/>
        <w:rPr>
          <w:rFonts w:cs="Courier New"/>
          <w:sz w:val="24"/>
          <w:szCs w:val="24"/>
        </w:rPr>
      </w:pPr>
      <w:r>
        <w:rPr>
          <w:rFonts w:cs="Courier New"/>
          <w:sz w:val="24"/>
          <w:szCs w:val="24"/>
        </w:rPr>
        <w:t xml:space="preserve">The </w:t>
      </w:r>
      <w:r w:rsidR="00206C0F" w:rsidRPr="00206C0F">
        <w:rPr>
          <w:rFonts w:cs="Courier New"/>
          <w:sz w:val="24"/>
          <w:szCs w:val="24"/>
        </w:rPr>
        <w:t xml:space="preserve">amendments would </w:t>
      </w:r>
      <w:r w:rsidR="004132C2">
        <w:rPr>
          <w:rFonts w:cs="Courier New"/>
          <w:sz w:val="24"/>
          <w:szCs w:val="24"/>
        </w:rPr>
        <w:t xml:space="preserve">prohibit the use of </w:t>
      </w:r>
      <w:r w:rsidR="008573EC">
        <w:rPr>
          <w:rFonts w:cs="Courier New"/>
          <w:sz w:val="24"/>
          <w:szCs w:val="24"/>
        </w:rPr>
        <w:t>conventional spray guns in wood furniture coating operations</w:t>
      </w:r>
      <w:r w:rsidR="009E5321">
        <w:rPr>
          <w:rFonts w:cs="Courier New"/>
          <w:sz w:val="24"/>
          <w:szCs w:val="24"/>
        </w:rPr>
        <w:t xml:space="preserve"> unless </w:t>
      </w:r>
      <w:r w:rsidR="009E5321" w:rsidRPr="009E5321">
        <w:rPr>
          <w:rFonts w:cs="Courier New"/>
          <w:sz w:val="24"/>
          <w:szCs w:val="24"/>
        </w:rPr>
        <w:t>the overspray is routed to an operating add-on control device</w:t>
      </w:r>
      <w:r w:rsidR="00EC2688">
        <w:rPr>
          <w:rFonts w:cs="Courier New"/>
          <w:sz w:val="24"/>
          <w:szCs w:val="24"/>
        </w:rPr>
        <w:t xml:space="preserve">; add a new emission </w:t>
      </w:r>
      <w:r w:rsidR="005F45FC">
        <w:rPr>
          <w:rFonts w:cs="Courier New"/>
          <w:sz w:val="24"/>
          <w:szCs w:val="24"/>
        </w:rPr>
        <w:t xml:space="preserve">standard that limits formaldehyde </w:t>
      </w:r>
      <w:r w:rsidR="009E5321">
        <w:rPr>
          <w:rFonts w:cs="Courier New"/>
          <w:sz w:val="24"/>
          <w:szCs w:val="24"/>
        </w:rPr>
        <w:t>emissions to 400 pounds per 12-month period or</w:t>
      </w:r>
      <w:r w:rsidR="00C57FBA">
        <w:rPr>
          <w:rFonts w:cs="Courier New"/>
          <w:sz w:val="24"/>
          <w:szCs w:val="24"/>
        </w:rPr>
        <w:t>, as an alternative, formaldehyde</w:t>
      </w:r>
      <w:r w:rsidR="009E5321">
        <w:rPr>
          <w:rFonts w:cs="Courier New"/>
          <w:sz w:val="24"/>
          <w:szCs w:val="24"/>
        </w:rPr>
        <w:t xml:space="preserve"> content</w:t>
      </w:r>
      <w:r w:rsidR="005F45FC">
        <w:rPr>
          <w:rFonts w:cs="Courier New"/>
          <w:sz w:val="24"/>
          <w:szCs w:val="24"/>
        </w:rPr>
        <w:t xml:space="preserve"> to</w:t>
      </w:r>
      <w:r w:rsidR="009E5321">
        <w:rPr>
          <w:rFonts w:cs="Courier New"/>
          <w:sz w:val="24"/>
          <w:szCs w:val="24"/>
        </w:rPr>
        <w:t xml:space="preserve"> 1 percent </w:t>
      </w:r>
      <w:r w:rsidR="00C57FBA">
        <w:rPr>
          <w:rFonts w:cs="Courier New"/>
          <w:sz w:val="24"/>
          <w:szCs w:val="24"/>
        </w:rPr>
        <w:t xml:space="preserve">by weight formulation </w:t>
      </w:r>
      <w:r w:rsidR="009E5321">
        <w:rPr>
          <w:rFonts w:cs="Courier New"/>
          <w:sz w:val="24"/>
          <w:szCs w:val="24"/>
        </w:rPr>
        <w:t xml:space="preserve">of all coatings and </w:t>
      </w:r>
      <w:r w:rsidR="00C57FBA">
        <w:rPr>
          <w:rFonts w:cs="Courier New"/>
          <w:sz w:val="24"/>
          <w:szCs w:val="24"/>
        </w:rPr>
        <w:t xml:space="preserve">contact </w:t>
      </w:r>
      <w:r w:rsidR="009E5321">
        <w:rPr>
          <w:rFonts w:cs="Courier New"/>
          <w:sz w:val="24"/>
          <w:szCs w:val="24"/>
        </w:rPr>
        <w:t>adhesives</w:t>
      </w:r>
      <w:r w:rsidR="004132C2">
        <w:rPr>
          <w:rFonts w:cs="Courier New"/>
          <w:sz w:val="24"/>
          <w:szCs w:val="24"/>
        </w:rPr>
        <w:t>; and revise the reporting requirements</w:t>
      </w:r>
      <w:r w:rsidR="00206C0F">
        <w:rPr>
          <w:rFonts w:cs="Courier New"/>
          <w:sz w:val="24"/>
          <w:szCs w:val="24"/>
        </w:rPr>
        <w:t>.</w:t>
      </w:r>
      <w:r w:rsidR="00CB6189">
        <w:rPr>
          <w:rFonts w:cs="Courier New"/>
          <w:sz w:val="24"/>
          <w:szCs w:val="24"/>
        </w:rPr>
        <w:t xml:space="preserve"> These amendments are explained further in the following paragraphs.</w:t>
      </w:r>
    </w:p>
    <w:p w:rsidR="004B3619" w:rsidRDefault="004B3619" w:rsidP="002358B6">
      <w:pPr>
        <w:widowControl/>
        <w:spacing w:line="360" w:lineRule="auto"/>
        <w:ind w:firstLine="720"/>
        <w:rPr>
          <w:rFonts w:cs="Courier New"/>
          <w:sz w:val="24"/>
          <w:szCs w:val="24"/>
        </w:rPr>
      </w:pPr>
      <w:r>
        <w:rPr>
          <w:rFonts w:cs="Courier New"/>
          <w:sz w:val="24"/>
          <w:szCs w:val="24"/>
        </w:rPr>
        <w:t xml:space="preserve">The prohibition for conventional spray guns has a compliance date 3 years from the promulgation date which will allow any facility that is still using such equipment to replace it </w:t>
      </w:r>
      <w:r>
        <w:rPr>
          <w:rFonts w:cs="Courier New"/>
          <w:sz w:val="24"/>
          <w:szCs w:val="24"/>
        </w:rPr>
        <w:lastRenderedPageBreak/>
        <w:t>with more efficient spray equipment during those 3 years</w:t>
      </w:r>
      <w:r w:rsidR="005F45FC">
        <w:rPr>
          <w:rFonts w:cs="Courier New"/>
          <w:sz w:val="24"/>
          <w:szCs w:val="24"/>
        </w:rPr>
        <w:t xml:space="preserve">. </w:t>
      </w:r>
      <w:r>
        <w:rPr>
          <w:rFonts w:cs="Courier New"/>
          <w:sz w:val="24"/>
          <w:szCs w:val="24"/>
        </w:rPr>
        <w:t>Any cost associated with the new equipment will be offset by the increased transfer efficiency and reduced coating cost</w:t>
      </w:r>
      <w:r w:rsidR="005F45FC">
        <w:rPr>
          <w:rFonts w:cs="Courier New"/>
          <w:sz w:val="24"/>
          <w:szCs w:val="24"/>
        </w:rPr>
        <w:t xml:space="preserve">. </w:t>
      </w:r>
      <w:r>
        <w:rPr>
          <w:rFonts w:cs="Courier New"/>
          <w:sz w:val="24"/>
          <w:szCs w:val="24"/>
        </w:rPr>
        <w:t>The formaldehyde limit</w:t>
      </w:r>
      <w:r w:rsidR="009E5321">
        <w:rPr>
          <w:rFonts w:cs="Courier New"/>
          <w:sz w:val="24"/>
          <w:szCs w:val="24"/>
        </w:rPr>
        <w:t>s</w:t>
      </w:r>
      <w:r>
        <w:rPr>
          <w:rFonts w:cs="Courier New"/>
          <w:sz w:val="24"/>
          <w:szCs w:val="24"/>
        </w:rPr>
        <w:t xml:space="preserve"> will require any facilit</w:t>
      </w:r>
      <w:r w:rsidR="00640165">
        <w:rPr>
          <w:rFonts w:cs="Courier New"/>
          <w:sz w:val="24"/>
          <w:szCs w:val="24"/>
        </w:rPr>
        <w:t>y</w:t>
      </w:r>
      <w:r>
        <w:rPr>
          <w:rFonts w:cs="Courier New"/>
          <w:sz w:val="24"/>
          <w:szCs w:val="24"/>
        </w:rPr>
        <w:t xml:space="preserve"> with formaldehyde in their</w:t>
      </w:r>
      <w:r w:rsidR="0051060D">
        <w:rPr>
          <w:rFonts w:cs="Courier New"/>
          <w:sz w:val="24"/>
          <w:szCs w:val="24"/>
        </w:rPr>
        <w:t xml:space="preserve"> wood</w:t>
      </w:r>
      <w:r>
        <w:rPr>
          <w:rFonts w:cs="Courier New"/>
          <w:sz w:val="24"/>
          <w:szCs w:val="24"/>
        </w:rPr>
        <w:t xml:space="preserve"> furniture coatings to calculate their coating usage and associated formaldehyde contents each month</w:t>
      </w:r>
      <w:r w:rsidR="005F45FC">
        <w:rPr>
          <w:rFonts w:cs="Courier New"/>
          <w:sz w:val="24"/>
          <w:szCs w:val="24"/>
        </w:rPr>
        <w:t xml:space="preserve">. </w:t>
      </w:r>
      <w:r w:rsidR="0051060D">
        <w:rPr>
          <w:rFonts w:cs="Courier New"/>
          <w:sz w:val="24"/>
          <w:szCs w:val="24"/>
        </w:rPr>
        <w:t xml:space="preserve">The </w:t>
      </w:r>
      <w:r w:rsidR="002358B6">
        <w:rPr>
          <w:rFonts w:cs="Courier New"/>
          <w:sz w:val="24"/>
          <w:szCs w:val="24"/>
        </w:rPr>
        <w:t>formaldehyde emissions</w:t>
      </w:r>
      <w:r>
        <w:rPr>
          <w:rFonts w:cs="Courier New"/>
          <w:sz w:val="24"/>
          <w:szCs w:val="24"/>
        </w:rPr>
        <w:t xml:space="preserve"> </w:t>
      </w:r>
      <w:r w:rsidR="0051060D">
        <w:rPr>
          <w:rFonts w:cs="Courier New"/>
          <w:sz w:val="24"/>
          <w:szCs w:val="24"/>
        </w:rPr>
        <w:t xml:space="preserve">must be documented </w:t>
      </w:r>
      <w:r>
        <w:rPr>
          <w:rFonts w:cs="Courier New"/>
          <w:sz w:val="24"/>
          <w:szCs w:val="24"/>
        </w:rPr>
        <w:t>monthly and report</w:t>
      </w:r>
      <w:r w:rsidR="0051060D">
        <w:rPr>
          <w:rFonts w:cs="Courier New"/>
          <w:sz w:val="24"/>
          <w:szCs w:val="24"/>
        </w:rPr>
        <w:t>ed</w:t>
      </w:r>
      <w:r>
        <w:rPr>
          <w:rFonts w:cs="Courier New"/>
          <w:sz w:val="24"/>
          <w:szCs w:val="24"/>
        </w:rPr>
        <w:t xml:space="preserve"> annually.</w:t>
      </w:r>
    </w:p>
    <w:p w:rsidR="0051060D" w:rsidRDefault="0051060D" w:rsidP="00CB5C93">
      <w:pPr>
        <w:widowControl/>
        <w:spacing w:line="360" w:lineRule="auto"/>
        <w:ind w:firstLine="720"/>
        <w:rPr>
          <w:sz w:val="24"/>
          <w:szCs w:val="24"/>
        </w:rPr>
      </w:pPr>
      <w:r>
        <w:rPr>
          <w:sz w:val="24"/>
          <w:szCs w:val="24"/>
        </w:rPr>
        <w:t>The additional reporting requirements pertain only to the calculation and documentation of formaldehyde usage.</w:t>
      </w:r>
    </w:p>
    <w:p w:rsidR="00827586" w:rsidRPr="004132C2" w:rsidRDefault="00827586" w:rsidP="00CB5C93">
      <w:pPr>
        <w:widowControl/>
        <w:spacing w:line="360" w:lineRule="auto"/>
        <w:ind w:firstLine="720"/>
        <w:rPr>
          <w:sz w:val="24"/>
          <w:szCs w:val="24"/>
        </w:rPr>
      </w:pPr>
      <w:r w:rsidRPr="004132C2">
        <w:rPr>
          <w:sz w:val="24"/>
          <w:szCs w:val="24"/>
        </w:rPr>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associated with the amendments to the 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2</w:t>
      </w:r>
      <w:r w:rsidR="005F45FC">
        <w:rPr>
          <w:b/>
          <w:bCs/>
          <w:sz w:val="24"/>
          <w:szCs w:val="24"/>
        </w:rPr>
        <w:t xml:space="preserve">.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7C40B4">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w:t>
      </w:r>
      <w:r w:rsidR="005F45FC">
        <w:rPr>
          <w:sz w:val="24"/>
          <w:szCs w:val="24"/>
        </w:rPr>
        <w:t xml:space="preserve">.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r w:rsidR="00CD1B68" w:rsidRPr="004000BC">
        <w:rPr>
          <w:sz w:val="24"/>
          <w:szCs w:val="24"/>
        </w:rPr>
        <w:t>tpy</w:t>
      </w:r>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tpy of any combination of HAP</w:t>
      </w:r>
      <w:r w:rsidR="005F45FC">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than 10 t</w:t>
      </w:r>
      <w:r w:rsidR="00431B8B" w:rsidRPr="004000BC">
        <w:rPr>
          <w:sz w:val="24"/>
          <w:szCs w:val="24"/>
        </w:rPr>
        <w:t>py</w:t>
      </w:r>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25 t</w:t>
      </w:r>
      <w:r w:rsidR="00431B8B" w:rsidRPr="004000BC">
        <w:rPr>
          <w:sz w:val="24"/>
          <w:szCs w:val="24"/>
        </w:rPr>
        <w:t>py</w:t>
      </w:r>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5F45FC">
        <w:rPr>
          <w:sz w:val="24"/>
          <w:szCs w:val="24"/>
        </w:rPr>
        <w:t xml:space="preserve">. </w:t>
      </w:r>
      <w:r w:rsidR="007C40B4" w:rsidRPr="007C40B4">
        <w:rPr>
          <w:sz w:val="24"/>
          <w:szCs w:val="24"/>
        </w:rPr>
        <w:t>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w:t>
      </w:r>
      <w:r w:rsidR="005F45FC">
        <w:rPr>
          <w:sz w:val="24"/>
          <w:szCs w:val="24"/>
        </w:rPr>
        <w:t xml:space="preserve">. </w:t>
      </w:r>
      <w:r w:rsidR="007C40B4">
        <w:rPr>
          <w:sz w:val="24"/>
          <w:szCs w:val="24"/>
        </w:rPr>
        <w:t xml:space="preserve">Section 112(d)(6) requires </w:t>
      </w:r>
      <w:r w:rsidR="007C40B4" w:rsidRPr="007C40B4">
        <w:rPr>
          <w:sz w:val="24"/>
          <w:szCs w:val="24"/>
        </w:rPr>
        <w:t>EPA to review these technology-based standards and to revise them “as necessary (taking into account developments in practices, processes, and control technologies)” no less frequently than every 8 years</w:t>
      </w:r>
      <w:r w:rsidR="005F45FC">
        <w:rPr>
          <w:sz w:val="24"/>
          <w:szCs w:val="24"/>
        </w:rPr>
        <w:t xml:space="preserve">.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w:t>
      </w:r>
      <w:r w:rsidR="005F45FC">
        <w:rPr>
          <w:sz w:val="24"/>
          <w:szCs w:val="24"/>
        </w:rPr>
        <w:t xml:space="preserve">.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w:t>
      </w:r>
      <w:r w:rsidR="007C40B4" w:rsidRPr="007C40B4">
        <w:rPr>
          <w:sz w:val="24"/>
          <w:szCs w:val="24"/>
        </w:rPr>
        <w:lastRenderedPageBreak/>
        <w:t>source category (or subcategory) as necessary to provide an ample margin of safety to protect public health</w:t>
      </w:r>
      <w:r w:rsidR="005F45FC">
        <w:rPr>
          <w:sz w:val="24"/>
          <w:szCs w:val="24"/>
        </w:rPr>
        <w:t xml:space="preserve">. </w:t>
      </w:r>
      <w:r w:rsidR="007C40B4" w:rsidRPr="007C40B4">
        <w:rPr>
          <w:sz w:val="24"/>
          <w:szCs w:val="24"/>
        </w:rPr>
        <w:t>In doing so, EPA may adopt standards equal to existing MACT standards, if EPA determines that the existing standards are sufficiently protective</w:t>
      </w:r>
      <w:r w:rsidR="005F45FC">
        <w:rPr>
          <w:sz w:val="24"/>
          <w:szCs w:val="24"/>
        </w:rPr>
        <w:t xml:space="preserve">. </w:t>
      </w:r>
      <w:r w:rsidR="007C40B4" w:rsidRPr="007C40B4">
        <w:rPr>
          <w:sz w:val="24"/>
          <w:szCs w:val="24"/>
        </w:rPr>
        <w:t>EPA must also adopt more stringent standards, if necessary, to prevent an adverse environmental effect, but must consider cost, energy, safety, and other relevant factors in doing so</w:t>
      </w:r>
      <w:r w:rsidR="005F45FC">
        <w:rPr>
          <w:sz w:val="24"/>
          <w:szCs w:val="24"/>
        </w:rPr>
        <w:t xml:space="preserve">.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standards are being achieved on a continuous basis</w:t>
      </w:r>
      <w:r w:rsidR="005F45FC">
        <w:rPr>
          <w:sz w:val="24"/>
          <w:szCs w:val="24"/>
        </w:rPr>
        <w:t xml:space="preserve">. </w:t>
      </w:r>
      <w:r w:rsidRPr="007C40B4">
        <w:rPr>
          <w:sz w:val="24"/>
          <w:szCs w:val="24"/>
        </w:rPr>
        <w:t xml:space="preserve">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5F45FC">
        <w:rPr>
          <w:sz w:val="24"/>
          <w:szCs w:val="24"/>
        </w:rPr>
        <w:t xml:space="preserve">. </w:t>
      </w:r>
      <w:r w:rsidR="008B15B2" w:rsidRPr="007C40B4">
        <w:rPr>
          <w:sz w:val="24"/>
          <w:szCs w:val="24"/>
        </w:rPr>
        <w:t xml:space="preserve">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5F45FC">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 years following the date of each occurrence, measurement, maintenance, corrective action, report, or record</w:t>
      </w:r>
      <w:r w:rsidR="005F45FC">
        <w:rPr>
          <w:sz w:val="24"/>
          <w:szCs w:val="24"/>
        </w:rPr>
        <w:t xml:space="preserve">. </w:t>
      </w:r>
      <w:r w:rsidR="008A2B67" w:rsidRPr="007C40B4">
        <w:rPr>
          <w:sz w:val="24"/>
          <w:szCs w:val="24"/>
        </w:rPr>
        <w:t xml:space="preserve"> </w:t>
      </w:r>
      <w:r w:rsidR="007C35C5"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are being achieved</w:t>
      </w:r>
      <w:r w:rsidR="005F45FC">
        <w:rPr>
          <w:sz w:val="24"/>
          <w:szCs w:val="24"/>
        </w:rPr>
        <w:t xml:space="preserve">. </w:t>
      </w:r>
      <w:r w:rsidRPr="007C40B4">
        <w:rPr>
          <w:sz w:val="24"/>
          <w:szCs w:val="24"/>
        </w:rPr>
        <w:t xml:space="preserve">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005F45FC">
        <w:rPr>
          <w:sz w:val="24"/>
          <w:szCs w:val="24"/>
        </w:rPr>
        <w:t xml:space="preserve">. </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r w:rsidRPr="007C40B4">
        <w:rPr>
          <w:b/>
          <w:bCs/>
          <w:sz w:val="24"/>
          <w:szCs w:val="24"/>
        </w:rPr>
        <w:t>Nonduplication,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t>Nonduplication.</w:t>
      </w:r>
    </w:p>
    <w:p w:rsidR="006A4F53" w:rsidRPr="007C40B4" w:rsidRDefault="00301ABE" w:rsidP="009E3399">
      <w:pPr>
        <w:spacing w:line="360" w:lineRule="auto"/>
        <w:ind w:firstLine="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F4077D">
        <w:rPr>
          <w:sz w:val="24"/>
          <w:szCs w:val="24"/>
        </w:rPr>
        <w:t>The preamble to the rulemaking will provide public notice of the ICR</w:t>
      </w:r>
      <w:r w:rsidRPr="007C40B4">
        <w:rPr>
          <w:sz w:val="24"/>
          <w:szCs w:val="24"/>
        </w:rPr>
        <w:t>.</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9E3399">
      <w:pPr>
        <w:spacing w:line="360" w:lineRule="auto"/>
        <w:ind w:firstLine="720"/>
        <w:rPr>
          <w:sz w:val="24"/>
          <w:szCs w:val="24"/>
        </w:rPr>
      </w:pPr>
      <w:r w:rsidRPr="007C40B4">
        <w:rPr>
          <w:sz w:val="24"/>
          <w:szCs w:val="24"/>
        </w:rPr>
        <w:t xml:space="preserve">The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with </w:t>
      </w:r>
      <w:r w:rsidR="007C35C5" w:rsidRPr="00A042D5">
        <w:rPr>
          <w:sz w:val="24"/>
          <w:szCs w:val="24"/>
        </w:rPr>
        <w:t xml:space="preserve">individual </w:t>
      </w:r>
      <w:r w:rsidR="008556DF" w:rsidRPr="00A042D5">
        <w:rPr>
          <w:sz w:val="24"/>
          <w:szCs w:val="24"/>
        </w:rPr>
        <w:t>companies</w:t>
      </w:r>
      <w:r w:rsidR="00535DAE" w:rsidRPr="00A042D5">
        <w:rPr>
          <w:sz w:val="24"/>
          <w:szCs w:val="24"/>
        </w:rPr>
        <w:t>, State agencies,</w:t>
      </w:r>
      <w:r w:rsidR="00A749EB" w:rsidRPr="00A042D5">
        <w:rPr>
          <w:sz w:val="24"/>
          <w:szCs w:val="24"/>
        </w:rPr>
        <w:t xml:space="preserve"> and trade association</w:t>
      </w:r>
      <w:r w:rsidR="00535DAE" w:rsidRPr="00A042D5">
        <w:rPr>
          <w:sz w:val="24"/>
          <w:szCs w:val="24"/>
        </w:rPr>
        <w:t>s</w:t>
      </w:r>
      <w:r w:rsidR="005F45FC">
        <w:rPr>
          <w:sz w:val="24"/>
          <w:szCs w:val="24"/>
        </w:rPr>
        <w:t xml:space="preserve">. </w:t>
      </w:r>
      <w:r w:rsidRPr="00A042D5">
        <w:rPr>
          <w:sz w:val="24"/>
          <w:szCs w:val="24"/>
        </w:rPr>
        <w:t>The non-EPA persons consulted</w:t>
      </w:r>
      <w:r w:rsidRPr="007C40B4">
        <w:rPr>
          <w:sz w:val="24"/>
          <w:szCs w:val="24"/>
        </w:rPr>
        <w:t xml:space="preserve"> on the information collection </w:t>
      </w:r>
      <w:r w:rsidRPr="007C40B4">
        <w:rPr>
          <w:sz w:val="24"/>
          <w:szCs w:val="24"/>
        </w:rPr>
        <w:lastRenderedPageBreak/>
        <w:t>activities are identified in Table 1.</w:t>
      </w:r>
    </w:p>
    <w:p w:rsidR="00B1351A" w:rsidRPr="007C40B4" w:rsidRDefault="00B1351A" w:rsidP="00522875">
      <w:pPr>
        <w:keepNext/>
        <w:widowControl/>
        <w:spacing w:line="480" w:lineRule="auto"/>
        <w:rPr>
          <w:b/>
          <w:bCs/>
          <w:sz w:val="22"/>
          <w:szCs w:val="24"/>
        </w:rPr>
      </w:pPr>
      <w:r w:rsidRPr="007C40B4">
        <w:rPr>
          <w:b/>
          <w:bCs/>
          <w:sz w:val="22"/>
          <w:szCs w:val="24"/>
        </w:rPr>
        <w:t>TABLE 1</w:t>
      </w:r>
      <w:r w:rsidR="005F45FC">
        <w:rPr>
          <w:b/>
          <w:bCs/>
          <w:sz w:val="22"/>
          <w:szCs w:val="24"/>
        </w:rPr>
        <w:t xml:space="preserve">. </w:t>
      </w:r>
      <w:r w:rsidRPr="007C40B4">
        <w:rPr>
          <w:b/>
          <w:bCs/>
          <w:sz w:val="22"/>
          <w:szCs w:val="24"/>
        </w:rPr>
        <w:t>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C422FD" w:rsidRPr="00A042D5" w:rsidTr="00476BC3">
        <w:trPr>
          <w:cantSplit/>
          <w:tblHeader/>
        </w:trPr>
        <w:tc>
          <w:tcPr>
            <w:tcW w:w="11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Contact</w:t>
            </w:r>
          </w:p>
        </w:tc>
        <w:tc>
          <w:tcPr>
            <w:tcW w:w="2954"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Organization</w:t>
            </w:r>
          </w:p>
        </w:tc>
        <w:tc>
          <w:tcPr>
            <w:tcW w:w="9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Telephone No.</w:t>
            </w:r>
          </w:p>
        </w:tc>
      </w:tr>
      <w:tr w:rsidR="00A042D5" w:rsidRPr="00A042D5" w:rsidTr="00476BC3">
        <w:trPr>
          <w:cantSplit/>
        </w:trPr>
        <w:tc>
          <w:tcPr>
            <w:tcW w:w="1123" w:type="pct"/>
          </w:tcPr>
          <w:p w:rsidR="00A042D5" w:rsidRPr="00A042D5" w:rsidRDefault="005972BC" w:rsidP="00801D56">
            <w:pPr>
              <w:rPr>
                <w:sz w:val="24"/>
                <w:szCs w:val="24"/>
              </w:rPr>
            </w:pPr>
            <w:r>
              <w:rPr>
                <w:sz w:val="24"/>
                <w:szCs w:val="24"/>
              </w:rPr>
              <w:t>Dick Titus</w:t>
            </w:r>
          </w:p>
        </w:tc>
        <w:tc>
          <w:tcPr>
            <w:tcW w:w="2954" w:type="pct"/>
          </w:tcPr>
          <w:p w:rsidR="00A042D5" w:rsidRPr="00A042D5" w:rsidRDefault="005972BC" w:rsidP="004C1937">
            <w:pPr>
              <w:keepNext/>
              <w:rPr>
                <w:sz w:val="24"/>
                <w:szCs w:val="24"/>
              </w:rPr>
            </w:pPr>
            <w:r>
              <w:rPr>
                <w:sz w:val="24"/>
                <w:szCs w:val="24"/>
              </w:rPr>
              <w:t>Kitchen Cabinets Manufacturers Association</w:t>
            </w:r>
          </w:p>
        </w:tc>
        <w:tc>
          <w:tcPr>
            <w:tcW w:w="923" w:type="pct"/>
          </w:tcPr>
          <w:p w:rsidR="00A042D5" w:rsidRPr="00A042D5" w:rsidRDefault="003F495A" w:rsidP="003256B4">
            <w:pPr>
              <w:widowControl/>
              <w:rPr>
                <w:sz w:val="24"/>
                <w:szCs w:val="24"/>
              </w:rPr>
            </w:pPr>
            <w:r>
              <w:rPr>
                <w:sz w:val="24"/>
                <w:szCs w:val="24"/>
              </w:rPr>
              <w:t>703-264-1690</w:t>
            </w:r>
          </w:p>
        </w:tc>
      </w:tr>
      <w:tr w:rsidR="00A042D5" w:rsidRPr="00A042D5" w:rsidTr="00476BC3">
        <w:trPr>
          <w:cantSplit/>
        </w:trPr>
        <w:tc>
          <w:tcPr>
            <w:tcW w:w="1123" w:type="pct"/>
          </w:tcPr>
          <w:p w:rsidR="00A042D5" w:rsidRPr="00A042D5" w:rsidRDefault="00640165" w:rsidP="003F495A">
            <w:pPr>
              <w:rPr>
                <w:sz w:val="24"/>
                <w:szCs w:val="24"/>
              </w:rPr>
            </w:pPr>
            <w:r>
              <w:rPr>
                <w:sz w:val="24"/>
                <w:szCs w:val="24"/>
              </w:rPr>
              <w:t>Bill P</w:t>
            </w:r>
            <w:r w:rsidR="003F495A">
              <w:rPr>
                <w:sz w:val="24"/>
                <w:szCs w:val="24"/>
              </w:rPr>
              <w:t>e</w:t>
            </w:r>
            <w:r>
              <w:rPr>
                <w:sz w:val="24"/>
                <w:szCs w:val="24"/>
              </w:rPr>
              <w:t>rdue</w:t>
            </w:r>
          </w:p>
        </w:tc>
        <w:tc>
          <w:tcPr>
            <w:tcW w:w="2954" w:type="pct"/>
          </w:tcPr>
          <w:p w:rsidR="00A042D5" w:rsidRPr="00A042D5" w:rsidRDefault="00640165" w:rsidP="003F495A">
            <w:pPr>
              <w:keepNext/>
              <w:rPr>
                <w:sz w:val="24"/>
                <w:szCs w:val="24"/>
              </w:rPr>
            </w:pPr>
            <w:r>
              <w:rPr>
                <w:sz w:val="24"/>
                <w:szCs w:val="24"/>
              </w:rPr>
              <w:t xml:space="preserve">American </w:t>
            </w:r>
            <w:r w:rsidR="00955C77">
              <w:rPr>
                <w:sz w:val="24"/>
                <w:szCs w:val="24"/>
              </w:rPr>
              <w:t xml:space="preserve">Home </w:t>
            </w:r>
            <w:r>
              <w:rPr>
                <w:sz w:val="24"/>
                <w:szCs w:val="24"/>
              </w:rPr>
              <w:t>Furni</w:t>
            </w:r>
            <w:r w:rsidR="00955C77">
              <w:rPr>
                <w:sz w:val="24"/>
                <w:szCs w:val="24"/>
              </w:rPr>
              <w:t>shings</w:t>
            </w:r>
            <w:r>
              <w:rPr>
                <w:sz w:val="24"/>
                <w:szCs w:val="24"/>
              </w:rPr>
              <w:t xml:space="preserve"> A</w:t>
            </w:r>
            <w:r w:rsidR="003F495A">
              <w:rPr>
                <w:sz w:val="24"/>
                <w:szCs w:val="24"/>
              </w:rPr>
              <w:t>lliance</w:t>
            </w:r>
          </w:p>
        </w:tc>
        <w:tc>
          <w:tcPr>
            <w:tcW w:w="923" w:type="pct"/>
          </w:tcPr>
          <w:p w:rsidR="00A042D5" w:rsidRPr="00A042D5" w:rsidRDefault="003F495A" w:rsidP="003256B4">
            <w:pPr>
              <w:widowControl/>
              <w:rPr>
                <w:sz w:val="24"/>
                <w:szCs w:val="24"/>
              </w:rPr>
            </w:pPr>
            <w:r>
              <w:rPr>
                <w:sz w:val="24"/>
                <w:szCs w:val="24"/>
              </w:rPr>
              <w:t>336-884-5000</w:t>
            </w:r>
          </w:p>
        </w:tc>
      </w:tr>
      <w:tr w:rsidR="00A042D5" w:rsidRPr="00A042D5" w:rsidTr="00476BC3">
        <w:trPr>
          <w:cantSplit/>
        </w:trPr>
        <w:tc>
          <w:tcPr>
            <w:tcW w:w="1123" w:type="pct"/>
          </w:tcPr>
          <w:p w:rsidR="00A042D5" w:rsidRPr="00A042D5" w:rsidRDefault="00640165" w:rsidP="00801D56">
            <w:pPr>
              <w:rPr>
                <w:sz w:val="24"/>
                <w:szCs w:val="24"/>
              </w:rPr>
            </w:pPr>
            <w:r>
              <w:rPr>
                <w:sz w:val="24"/>
                <w:szCs w:val="24"/>
              </w:rPr>
              <w:t>Brad Miller</w:t>
            </w:r>
          </w:p>
        </w:tc>
        <w:tc>
          <w:tcPr>
            <w:tcW w:w="2954" w:type="pct"/>
          </w:tcPr>
          <w:p w:rsidR="00A042D5" w:rsidRPr="00A042D5" w:rsidRDefault="00640165" w:rsidP="004C1937">
            <w:pPr>
              <w:keepNext/>
              <w:rPr>
                <w:sz w:val="24"/>
                <w:szCs w:val="24"/>
              </w:rPr>
            </w:pPr>
            <w:r>
              <w:rPr>
                <w:sz w:val="24"/>
                <w:szCs w:val="24"/>
              </w:rPr>
              <w:t>Business and Institutional Furniture Manufacturers Assn</w:t>
            </w:r>
          </w:p>
        </w:tc>
        <w:tc>
          <w:tcPr>
            <w:tcW w:w="923" w:type="pct"/>
          </w:tcPr>
          <w:p w:rsidR="00A042D5" w:rsidRPr="00A042D5" w:rsidRDefault="00822BB0" w:rsidP="003256B4">
            <w:pPr>
              <w:widowControl/>
              <w:rPr>
                <w:sz w:val="24"/>
                <w:szCs w:val="24"/>
              </w:rPr>
            </w:pPr>
            <w:r>
              <w:rPr>
                <w:sz w:val="24"/>
                <w:szCs w:val="24"/>
              </w:rPr>
              <w:t>616-285-3963</w:t>
            </w:r>
          </w:p>
        </w:tc>
      </w:tr>
      <w:tr w:rsidR="00A042D5" w:rsidRPr="00A042D5" w:rsidTr="00476BC3">
        <w:trPr>
          <w:cantSplit/>
        </w:trPr>
        <w:tc>
          <w:tcPr>
            <w:tcW w:w="1123" w:type="pct"/>
          </w:tcPr>
          <w:p w:rsidR="00A042D5" w:rsidRPr="00A042D5" w:rsidRDefault="00640165" w:rsidP="00610F2A">
            <w:pPr>
              <w:rPr>
                <w:sz w:val="24"/>
                <w:szCs w:val="24"/>
              </w:rPr>
            </w:pPr>
            <w:r>
              <w:rPr>
                <w:sz w:val="24"/>
                <w:szCs w:val="24"/>
              </w:rPr>
              <w:t>Dav</w:t>
            </w:r>
            <w:r w:rsidR="00610F2A">
              <w:rPr>
                <w:sz w:val="24"/>
                <w:szCs w:val="24"/>
              </w:rPr>
              <w:t>id</w:t>
            </w:r>
            <w:r>
              <w:rPr>
                <w:sz w:val="24"/>
                <w:szCs w:val="24"/>
              </w:rPr>
              <w:t xml:space="preserve"> Darling</w:t>
            </w:r>
          </w:p>
        </w:tc>
        <w:tc>
          <w:tcPr>
            <w:tcW w:w="2954" w:type="pct"/>
          </w:tcPr>
          <w:p w:rsidR="00A042D5" w:rsidRPr="00A042D5" w:rsidRDefault="00610F2A" w:rsidP="004C1937">
            <w:pPr>
              <w:keepNext/>
              <w:rPr>
                <w:sz w:val="24"/>
                <w:szCs w:val="24"/>
              </w:rPr>
            </w:pPr>
            <w:r>
              <w:rPr>
                <w:sz w:val="24"/>
                <w:szCs w:val="24"/>
              </w:rPr>
              <w:t>American Coatings Association</w:t>
            </w:r>
          </w:p>
        </w:tc>
        <w:tc>
          <w:tcPr>
            <w:tcW w:w="923" w:type="pct"/>
          </w:tcPr>
          <w:p w:rsidR="00A042D5" w:rsidRPr="00A042D5" w:rsidRDefault="00610F2A" w:rsidP="003256B4">
            <w:pPr>
              <w:widowControl/>
              <w:rPr>
                <w:sz w:val="24"/>
                <w:szCs w:val="24"/>
              </w:rPr>
            </w:pPr>
            <w:r>
              <w:rPr>
                <w:sz w:val="24"/>
                <w:szCs w:val="24"/>
              </w:rPr>
              <w:t>202-462-6272</w:t>
            </w:r>
          </w:p>
        </w:tc>
      </w:tr>
    </w:tbl>
    <w:p w:rsidR="00E2714E" w:rsidRPr="0074385D"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t>(d)</w:t>
      </w:r>
      <w:r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005F45FC">
        <w:rPr>
          <w:i/>
          <w:iCs/>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6E490B">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EC2688">
        <w:rPr>
          <w:sz w:val="24"/>
          <w:szCs w:val="24"/>
        </w:rPr>
        <w:t>JJ</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EC2688">
        <w:rPr>
          <w:rFonts w:cs="Courier New"/>
          <w:sz w:val="24"/>
          <w:szCs w:val="24"/>
        </w:rPr>
        <w:t>wood furniture manufacturing operations</w:t>
      </w:r>
      <w:r w:rsidR="005F45FC">
        <w:rPr>
          <w:rFonts w:cs="Courier New"/>
          <w:sz w:val="24"/>
          <w:szCs w:val="24"/>
        </w:rPr>
        <w:t xml:space="preserve">. </w:t>
      </w:r>
      <w:r w:rsidR="00EC2688">
        <w:rPr>
          <w:rFonts w:cs="Courier New"/>
          <w:sz w:val="24"/>
          <w:szCs w:val="24"/>
        </w:rPr>
        <w:t xml:space="preserve">Wood furniture manufacturing </w:t>
      </w:r>
      <w:r w:rsidR="00003975" w:rsidRPr="007C40B4">
        <w:rPr>
          <w:rFonts w:cs="Courier New"/>
          <w:sz w:val="24"/>
          <w:szCs w:val="24"/>
        </w:rPr>
        <w:t>facilities are primarily classified under NAICS code</w:t>
      </w:r>
      <w:r w:rsidR="00555977">
        <w:rPr>
          <w:rFonts w:cs="Courier New"/>
          <w:sz w:val="24"/>
          <w:szCs w:val="24"/>
        </w:rPr>
        <w:t>s</w:t>
      </w:r>
      <w:r w:rsidR="00003975" w:rsidRPr="007C40B4">
        <w:rPr>
          <w:rFonts w:cs="Courier New"/>
          <w:sz w:val="24"/>
          <w:szCs w:val="24"/>
        </w:rPr>
        <w:t xml:space="preserve"> 33</w:t>
      </w:r>
      <w:r w:rsidR="00555977">
        <w:rPr>
          <w:rFonts w:cs="Courier New"/>
          <w:sz w:val="24"/>
          <w:szCs w:val="24"/>
        </w:rPr>
        <w:t>71</w:t>
      </w:r>
      <w:r w:rsidR="006E61EE">
        <w:rPr>
          <w:rFonts w:cs="Courier New"/>
          <w:sz w:val="24"/>
          <w:szCs w:val="24"/>
        </w:rPr>
        <w:t>10,</w:t>
      </w:r>
      <w:r w:rsidR="00555977">
        <w:rPr>
          <w:rFonts w:cs="Courier New"/>
          <w:sz w:val="24"/>
          <w:szCs w:val="24"/>
        </w:rPr>
        <w:t xml:space="preserve"> </w:t>
      </w:r>
      <w:r w:rsidR="006E61EE">
        <w:rPr>
          <w:rFonts w:cs="Courier New"/>
          <w:sz w:val="24"/>
          <w:szCs w:val="24"/>
        </w:rPr>
        <w:t>Wood Kitchen Cabinet and Countertop Manufacturing;</w:t>
      </w:r>
      <w:r w:rsidR="00555977">
        <w:rPr>
          <w:rFonts w:cs="Courier New"/>
          <w:sz w:val="24"/>
          <w:szCs w:val="24"/>
        </w:rPr>
        <w:t xml:space="preserve"> 337</w:t>
      </w:r>
      <w:r w:rsidR="006E61EE">
        <w:rPr>
          <w:rFonts w:cs="Courier New"/>
          <w:sz w:val="24"/>
          <w:szCs w:val="24"/>
        </w:rPr>
        <w:t>1</w:t>
      </w:r>
      <w:r w:rsidR="00555977">
        <w:rPr>
          <w:rFonts w:cs="Courier New"/>
          <w:sz w:val="24"/>
          <w:szCs w:val="24"/>
        </w:rPr>
        <w:t>2</w:t>
      </w:r>
      <w:r w:rsidR="006E61EE">
        <w:rPr>
          <w:rFonts w:cs="Courier New"/>
          <w:sz w:val="24"/>
          <w:szCs w:val="24"/>
        </w:rPr>
        <w:t xml:space="preserve">, Household and Institutional Furniture Manufacturing; 337211, Wood Office Furniture Manufacturing; and 337212, Custom </w:t>
      </w:r>
      <w:r w:rsidR="006E490B">
        <w:rPr>
          <w:rFonts w:cs="Courier New"/>
          <w:sz w:val="24"/>
          <w:szCs w:val="24"/>
        </w:rPr>
        <w:t>Architectural</w:t>
      </w:r>
      <w:r w:rsidR="006E61EE">
        <w:rPr>
          <w:rFonts w:cs="Courier New"/>
          <w:sz w:val="24"/>
          <w:szCs w:val="24"/>
        </w:rPr>
        <w:t xml:space="preserve"> Woodwork and Millwork Manufacturing</w:t>
      </w:r>
      <w:r w:rsidR="005F45FC">
        <w:rPr>
          <w:rFonts w:cs="Courier New"/>
          <w:sz w:val="24"/>
          <w:szCs w:val="24"/>
        </w:rPr>
        <w:t xml:space="preserve">. </w:t>
      </w:r>
      <w:r w:rsidR="00003975" w:rsidRPr="007C40B4">
        <w:rPr>
          <w:rFonts w:cs="Courier New"/>
          <w:sz w:val="24"/>
          <w:szCs w:val="24"/>
        </w:rPr>
        <w:t xml:space="preserve">However, </w:t>
      </w:r>
      <w:r w:rsidR="0045492C">
        <w:rPr>
          <w:rFonts w:cs="Courier New"/>
          <w:sz w:val="24"/>
          <w:szCs w:val="24"/>
        </w:rPr>
        <w:t xml:space="preserve">wood furniture manufacturing operations </w:t>
      </w:r>
      <w:r w:rsidR="00003975" w:rsidRPr="007C40B4">
        <w:rPr>
          <w:rFonts w:cs="Courier New"/>
          <w:sz w:val="24"/>
          <w:szCs w:val="24"/>
        </w:rPr>
        <w:t>are also co</w:t>
      </w:r>
      <w:r w:rsidR="006E490B">
        <w:rPr>
          <w:rFonts w:cs="Courier New"/>
          <w:sz w:val="24"/>
          <w:szCs w:val="24"/>
        </w:rPr>
        <w:t>-</w:t>
      </w:r>
      <w:r w:rsidR="00003975" w:rsidRPr="007C40B4">
        <w:rPr>
          <w:rFonts w:cs="Courier New"/>
          <w:sz w:val="24"/>
          <w:szCs w:val="24"/>
        </w:rPr>
        <w:lastRenderedPageBreak/>
        <w:t>located at many facilities that are classified under other NAICS codes</w:t>
      </w:r>
      <w:r w:rsidR="005F45FC">
        <w:rPr>
          <w:rFonts w:cs="Courier New"/>
          <w:sz w:val="24"/>
          <w:szCs w:val="24"/>
        </w:rPr>
        <w:t xml:space="preserve">. </w:t>
      </w:r>
      <w:r w:rsidR="00003975" w:rsidRPr="007C40B4">
        <w:rPr>
          <w:rFonts w:cs="Courier New"/>
          <w:sz w:val="24"/>
          <w:szCs w:val="24"/>
        </w:rPr>
        <w:t>Examples include NAICS 33</w:t>
      </w:r>
      <w:r w:rsidR="00555977">
        <w:rPr>
          <w:rFonts w:cs="Courier New"/>
          <w:sz w:val="24"/>
          <w:szCs w:val="24"/>
        </w:rPr>
        <w:t>79</w:t>
      </w:r>
      <w:r w:rsidR="006E61EE">
        <w:rPr>
          <w:rFonts w:cs="Courier New"/>
          <w:sz w:val="24"/>
          <w:szCs w:val="24"/>
        </w:rPr>
        <w:t>10</w:t>
      </w:r>
      <w:r w:rsidR="00003975" w:rsidRPr="007C40B4">
        <w:rPr>
          <w:rFonts w:cs="Courier New"/>
          <w:sz w:val="24"/>
          <w:szCs w:val="24"/>
        </w:rPr>
        <w:t xml:space="preserve">, </w:t>
      </w:r>
      <w:r w:rsidR="006E61EE">
        <w:rPr>
          <w:rFonts w:cs="Courier New"/>
          <w:sz w:val="24"/>
          <w:szCs w:val="24"/>
        </w:rPr>
        <w:t>Other Furniture Related Products Manufacturing</w:t>
      </w:r>
      <w:r w:rsidR="006E490B">
        <w:rPr>
          <w:rFonts w:cs="Courier New"/>
          <w:sz w:val="24"/>
          <w:szCs w:val="24"/>
        </w:rPr>
        <w:t>,</w:t>
      </w:r>
      <w:r w:rsidR="006E61EE">
        <w:rPr>
          <w:rFonts w:cs="Courier New"/>
          <w:sz w:val="24"/>
          <w:szCs w:val="24"/>
        </w:rPr>
        <w:t xml:space="preserve"> and 321999, All Other Furniture Related Products Manufacturing</w:t>
      </w:r>
      <w:r w:rsidR="00003975" w:rsidRPr="007C40B4">
        <w:rPr>
          <w:rFonts w:cs="Courier New"/>
          <w:sz w:val="24"/>
          <w:szCs w:val="24"/>
        </w:rPr>
        <w:t>.</w:t>
      </w:r>
    </w:p>
    <w:p w:rsidR="0014348C" w:rsidRPr="007C40B4" w:rsidRDefault="00A6557C" w:rsidP="0045492C">
      <w:pPr>
        <w:widowControl/>
        <w:spacing w:line="360" w:lineRule="auto"/>
        <w:ind w:firstLine="720"/>
        <w:rPr>
          <w:sz w:val="24"/>
          <w:szCs w:val="24"/>
        </w:rPr>
      </w:pPr>
      <w:r w:rsidRPr="007C40B4">
        <w:rPr>
          <w:rFonts w:cs="Courier New"/>
          <w:sz w:val="24"/>
          <w:szCs w:val="24"/>
        </w:rPr>
        <w:t>The</w:t>
      </w:r>
      <w:r w:rsidR="003841CE" w:rsidRPr="007C40B4">
        <w:rPr>
          <w:rFonts w:cs="Courier New"/>
          <w:sz w:val="24"/>
          <w:szCs w:val="24"/>
        </w:rPr>
        <w:t>re are an estimated</w:t>
      </w:r>
      <w:r w:rsidR="00003975" w:rsidRPr="007C40B4">
        <w:rPr>
          <w:rFonts w:cs="Courier New"/>
          <w:sz w:val="24"/>
          <w:szCs w:val="24"/>
        </w:rPr>
        <w:t xml:space="preserve"> </w:t>
      </w:r>
      <w:r w:rsidR="0045492C">
        <w:rPr>
          <w:rFonts w:cs="Courier New"/>
          <w:sz w:val="24"/>
          <w:szCs w:val="24"/>
        </w:rPr>
        <w:t>150</w:t>
      </w:r>
      <w:r w:rsidRPr="007C40B4">
        <w:rPr>
          <w:rFonts w:cs="Courier New"/>
          <w:sz w:val="24"/>
          <w:szCs w:val="24"/>
        </w:rPr>
        <w:t xml:space="preserve"> facilities </w:t>
      </w:r>
      <w:r w:rsidR="00003975" w:rsidRPr="007C40B4">
        <w:rPr>
          <w:rFonts w:cs="Courier New"/>
          <w:sz w:val="24"/>
          <w:szCs w:val="24"/>
        </w:rPr>
        <w:t xml:space="preserve">that </w:t>
      </w:r>
      <w:r w:rsidR="00B47473" w:rsidRPr="007C40B4">
        <w:rPr>
          <w:rFonts w:cs="Courier New"/>
          <w:sz w:val="24"/>
          <w:szCs w:val="24"/>
        </w:rPr>
        <w:t>w</w:t>
      </w:r>
      <w:r w:rsidR="0004658A">
        <w:rPr>
          <w:rFonts w:cs="Courier New"/>
          <w:sz w:val="24"/>
          <w:szCs w:val="24"/>
        </w:rPr>
        <w:t>ould be</w:t>
      </w:r>
      <w:r w:rsidR="00003975" w:rsidRPr="007C40B4">
        <w:rPr>
          <w:rFonts w:cs="Courier New"/>
          <w:sz w:val="24"/>
          <w:szCs w:val="24"/>
        </w:rPr>
        <w:t xml:space="preserve"> </w:t>
      </w:r>
      <w:r w:rsidR="005F6ED5" w:rsidRPr="007C40B4">
        <w:rPr>
          <w:rFonts w:cs="Courier New"/>
          <w:sz w:val="24"/>
          <w:szCs w:val="24"/>
        </w:rPr>
        <w:t xml:space="preserve">subject to the </w:t>
      </w:r>
      <w:r w:rsidR="0004658A">
        <w:rPr>
          <w:rFonts w:cs="Courier New"/>
          <w:sz w:val="24"/>
          <w:szCs w:val="24"/>
        </w:rPr>
        <w:t xml:space="preserve">amendments to the </w:t>
      </w:r>
      <w:r w:rsidR="005F6ED5" w:rsidRPr="007C40B4">
        <w:rPr>
          <w:rFonts w:cs="Courier New"/>
          <w:sz w:val="24"/>
          <w:szCs w:val="24"/>
        </w:rPr>
        <w:t>NESHAP</w:t>
      </w:r>
      <w:r w:rsidR="0045492C">
        <w:rPr>
          <w:rFonts w:cs="Courier New"/>
          <w:sz w:val="24"/>
          <w:szCs w:val="24"/>
        </w:rPr>
        <w:t xml:space="preserve"> involving the formaldehyde emission limit</w:t>
      </w:r>
      <w:r w:rsidR="005F45FC">
        <w:rPr>
          <w:rFonts w:cs="Courier New"/>
          <w:sz w:val="24"/>
          <w:szCs w:val="24"/>
        </w:rPr>
        <w:t xml:space="preserve">. </w:t>
      </w:r>
      <w:r w:rsidR="007C40B4">
        <w:rPr>
          <w:sz w:val="24"/>
          <w:szCs w:val="24"/>
        </w:rPr>
        <w:t>N</w:t>
      </w:r>
      <w:r w:rsidR="00A64CD2" w:rsidRPr="007C40B4">
        <w:rPr>
          <w:sz w:val="24"/>
          <w:szCs w:val="24"/>
        </w:rPr>
        <w:t>o</w:t>
      </w:r>
      <w:r w:rsidRPr="007C40B4">
        <w:rPr>
          <w:sz w:val="24"/>
          <w:szCs w:val="24"/>
        </w:rPr>
        <w:t xml:space="preserve"> new </w:t>
      </w:r>
      <w:r w:rsidR="0045492C">
        <w:rPr>
          <w:sz w:val="24"/>
          <w:szCs w:val="24"/>
        </w:rPr>
        <w:t xml:space="preserve">wood furniture manufacturing </w:t>
      </w:r>
      <w:r w:rsidRPr="007C40B4">
        <w:rPr>
          <w:sz w:val="24"/>
          <w:szCs w:val="24"/>
        </w:rPr>
        <w:t>sources are expected during the 3­year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Default="00B1351A" w:rsidP="006E490B">
      <w:pPr>
        <w:widowControl/>
        <w:spacing w:line="360" w:lineRule="auto"/>
        <w:rPr>
          <w:sz w:val="24"/>
          <w:szCs w:val="24"/>
        </w:rPr>
      </w:pPr>
      <w:r w:rsidRPr="00C7625A">
        <w:rPr>
          <w:sz w:val="24"/>
          <w:szCs w:val="24"/>
        </w:rPr>
        <w:tab/>
      </w:r>
      <w:r w:rsidRPr="00C7625A">
        <w:rPr>
          <w:i/>
          <w:iCs/>
          <w:sz w:val="24"/>
          <w:szCs w:val="24"/>
        </w:rPr>
        <w:t>(i)</w:t>
      </w:r>
      <w:r w:rsidR="00552CF0" w:rsidRPr="00C7625A">
        <w:rPr>
          <w:i/>
          <w:iCs/>
          <w:sz w:val="24"/>
          <w:szCs w:val="24"/>
        </w:rPr>
        <w:t xml:space="preserve"> </w:t>
      </w:r>
      <w:r w:rsidRPr="00C7625A">
        <w:rPr>
          <w:i/>
          <w:iCs/>
          <w:sz w:val="24"/>
          <w:szCs w:val="24"/>
        </w:rPr>
        <w:t xml:space="preserve"> Data Items, Including Recordkeeping Requirements</w:t>
      </w:r>
      <w:r w:rsidR="005F45FC">
        <w:rPr>
          <w:i/>
          <w:iCs/>
          <w:sz w:val="24"/>
          <w:szCs w:val="24"/>
        </w:rPr>
        <w:t xml:space="preserve">. </w:t>
      </w:r>
      <w:r w:rsidRPr="00C7625A">
        <w:rPr>
          <w:sz w:val="24"/>
          <w:szCs w:val="24"/>
        </w:rPr>
        <w:t>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18203E">
        <w:rPr>
          <w:sz w:val="24"/>
          <w:szCs w:val="24"/>
        </w:rPr>
        <w:t xml:space="preserve">Wood Furniture </w:t>
      </w:r>
      <w:r w:rsidR="006E490B">
        <w:rPr>
          <w:sz w:val="24"/>
          <w:szCs w:val="24"/>
        </w:rPr>
        <w:t>Manufacturing 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1F594F" w:rsidRPr="001F594F" w:rsidRDefault="001F594F" w:rsidP="001F594F">
      <w:pPr>
        <w:widowControl/>
        <w:spacing w:line="360" w:lineRule="auto"/>
        <w:ind w:firstLine="720"/>
        <w:rPr>
          <w:sz w:val="24"/>
          <w:szCs w:val="24"/>
        </w:rPr>
      </w:pPr>
      <w:r>
        <w:rPr>
          <w:sz w:val="24"/>
          <w:szCs w:val="24"/>
        </w:rPr>
        <w:t>EPA is including in T</w:t>
      </w:r>
      <w:r w:rsidRPr="001F594F">
        <w:rPr>
          <w:sz w:val="24"/>
          <w:szCs w:val="24"/>
        </w:rPr>
        <w:t xml:space="preserve">able </w:t>
      </w:r>
      <w:r>
        <w:rPr>
          <w:sz w:val="24"/>
          <w:szCs w:val="24"/>
        </w:rPr>
        <w:t>2</w:t>
      </w:r>
      <w:r w:rsidRPr="001F594F">
        <w:rPr>
          <w:sz w:val="24"/>
          <w:szCs w:val="24"/>
        </w:rPr>
        <w:t xml:space="preserve"> an estimate of the burden associated with performing an affirmative defense. EPA is providing this as an illustrative example of the potential additional administrative burden a source may incur to assert in an Affirmative Defense in response to an action to enforce the standards set forth in the applicable subpart.  </w:t>
      </w:r>
    </w:p>
    <w:p w:rsidR="001F594F" w:rsidRPr="001F594F" w:rsidRDefault="001F594F" w:rsidP="001F594F">
      <w:pPr>
        <w:widowControl/>
        <w:spacing w:line="360" w:lineRule="auto"/>
        <w:ind w:firstLine="720"/>
        <w:rPr>
          <w:sz w:val="24"/>
          <w:szCs w:val="24"/>
        </w:rPr>
      </w:pPr>
      <w:r w:rsidRPr="001F594F">
        <w:rPr>
          <w:sz w:val="24"/>
          <w:szCs w:val="24"/>
        </w:rPr>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1F594F" w:rsidRPr="001F594F" w:rsidRDefault="001F594F" w:rsidP="001F594F">
      <w:pPr>
        <w:widowControl/>
        <w:spacing w:line="360" w:lineRule="auto"/>
        <w:ind w:firstLine="720"/>
        <w:rPr>
          <w:sz w:val="24"/>
          <w:szCs w:val="24"/>
        </w:rPr>
      </w:pPr>
      <w:r w:rsidRPr="001F594F">
        <w:rPr>
          <w:sz w:val="24"/>
          <w:szCs w:val="24"/>
        </w:rPr>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$3,141 and is based on the time and effort </w:t>
      </w:r>
      <w:r w:rsidRPr="001F594F">
        <w:rPr>
          <w:sz w:val="24"/>
          <w:szCs w:val="24"/>
        </w:rPr>
        <w:lastRenderedPageBreak/>
        <w:t xml:space="preserve">required of a source to review relevant data, interview plant employees, and document the events surrounding a malfunction that has caused an exceedance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1F594F" w:rsidRPr="00C7625A" w:rsidRDefault="001F594F" w:rsidP="001F594F">
      <w:pPr>
        <w:widowControl/>
        <w:spacing w:line="360" w:lineRule="auto"/>
        <w:rPr>
          <w:sz w:val="24"/>
          <w:szCs w:val="24"/>
        </w:rPr>
      </w:pPr>
      <w:r w:rsidRPr="001F594F">
        <w:rPr>
          <w:sz w:val="24"/>
          <w:szCs w:val="24"/>
        </w:rPr>
        <w:t xml:space="preserve"> </w:t>
      </w:r>
      <w:r>
        <w:rPr>
          <w:sz w:val="24"/>
          <w:szCs w:val="24"/>
        </w:rPr>
        <w:tab/>
      </w:r>
      <w:r w:rsidRPr="001F594F">
        <w:rPr>
          <w:sz w:val="24"/>
          <w:szCs w:val="24"/>
        </w:rPr>
        <w:t>In this source category, it is unlikely that a control device malfunction would cause an exceedence of any emission limit. For reasons explained in the FRN, we have asserted that although a cost for affirmative defense is possible, we believe that malfunctions are unlikely. Thus for these source categories, EPA is not assigning any burden associated with affirmative defense.</w:t>
      </w:r>
    </w:p>
    <w:p w:rsidR="001F594F" w:rsidRPr="001F594F" w:rsidRDefault="00B1351A" w:rsidP="001F594F">
      <w:pPr>
        <w:widowControl/>
        <w:spacing w:line="360" w:lineRule="auto"/>
        <w:rPr>
          <w:sz w:val="24"/>
          <w:szCs w:val="24"/>
        </w:rPr>
      </w:pPr>
      <w:r w:rsidRPr="00C7625A">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005F45FC">
        <w:rPr>
          <w:i/>
          <w:sz w:val="24"/>
          <w:szCs w:val="24"/>
        </w:rPr>
        <w:t xml:space="preserve">. </w:t>
      </w:r>
      <w:r w:rsidRPr="00C7625A">
        <w:rPr>
          <w:sz w:val="24"/>
          <w:szCs w:val="24"/>
        </w:rPr>
        <w:t xml:space="preserve">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CD1B68">
        <w:rPr>
          <w:sz w:val="24"/>
          <w:szCs w:val="24"/>
        </w:rPr>
        <w:t xml:space="preserve">amendments to the </w:t>
      </w:r>
      <w:r w:rsidR="0018203E">
        <w:rPr>
          <w:sz w:val="24"/>
          <w:szCs w:val="24"/>
        </w:rPr>
        <w:t xml:space="preserve">Wood Furniture </w:t>
      </w:r>
      <w:r w:rsidR="00CD1B68">
        <w:rPr>
          <w:sz w:val="24"/>
          <w:szCs w:val="24"/>
        </w:rPr>
        <w:t>NESHAP</w:t>
      </w:r>
      <w:r w:rsidRPr="00C7625A">
        <w:rPr>
          <w:sz w:val="24"/>
          <w:szCs w:val="24"/>
        </w:rPr>
        <w:t xml:space="preserve"> are identified in Table 2</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18203E">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CD1B68">
        <w:rPr>
          <w:sz w:val="24"/>
          <w:szCs w:val="24"/>
        </w:rPr>
        <w:t xml:space="preserve">amendments to the </w:t>
      </w:r>
      <w:r w:rsidR="0018203E">
        <w:rPr>
          <w:sz w:val="24"/>
          <w:szCs w:val="24"/>
        </w:rPr>
        <w:t xml:space="preserve">Wood Furniture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3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005F45FC">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w:t>
      </w:r>
      <w:r w:rsidR="005F45FC">
        <w:rPr>
          <w:sz w:val="24"/>
          <w:szCs w:val="24"/>
        </w:rPr>
        <w:t xml:space="preserve">. </w:t>
      </w:r>
      <w:r w:rsidR="00443EF9" w:rsidRPr="00C7625A">
        <w:rPr>
          <w:sz w:val="24"/>
          <w:szCs w:val="24"/>
        </w:rPr>
        <w:t>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s Office of Compliance</w:t>
      </w:r>
      <w:r w:rsidR="005F45FC">
        <w:rPr>
          <w:sz w:val="24"/>
          <w:szCs w:val="24"/>
        </w:rPr>
        <w:t xml:space="preserve">. </w:t>
      </w:r>
      <w:r w:rsidRPr="00C7625A">
        <w:rPr>
          <w:sz w:val="24"/>
          <w:szCs w:val="24"/>
        </w:rPr>
        <w:t>AFS is EPA’s database for the collection, maintenance, and retrieval of compliance data for approximately 125,000 industrial and government-owned facilities</w:t>
      </w:r>
      <w:r w:rsidR="005F45FC">
        <w:rPr>
          <w:sz w:val="24"/>
          <w:szCs w:val="24"/>
        </w:rPr>
        <w:t xml:space="preserve">. </w:t>
      </w:r>
      <w:r w:rsidRPr="00C7625A">
        <w:rPr>
          <w:sz w:val="24"/>
          <w:szCs w:val="24"/>
        </w:rPr>
        <w:t xml:space="preserve">EPA uses the AFS for tracking air pollution compliance and enforcement by local and state regulatory agencies, EPA </w:t>
      </w:r>
      <w:r w:rsidR="000306F8" w:rsidRPr="00C7625A">
        <w:rPr>
          <w:sz w:val="24"/>
          <w:szCs w:val="24"/>
        </w:rPr>
        <w:t>r</w:t>
      </w:r>
      <w:r w:rsidRPr="00C7625A">
        <w:rPr>
          <w:sz w:val="24"/>
          <w:szCs w:val="24"/>
        </w:rPr>
        <w:t>egional offices and EPA headquarters</w:t>
      </w:r>
      <w:r w:rsidR="005F45FC">
        <w:rPr>
          <w:sz w:val="24"/>
          <w:szCs w:val="24"/>
        </w:rPr>
        <w:t xml:space="preserve">. </w:t>
      </w:r>
      <w:r w:rsidRPr="00C7625A">
        <w:rPr>
          <w:sz w:val="24"/>
          <w:szCs w:val="24"/>
        </w:rPr>
        <w:t xml:space="preserve">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lastRenderedPageBreak/>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6E490B">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wood furniture manufacturing operations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012CD8" w:rsidRPr="00C7625A">
        <w:rPr>
          <w:sz w:val="24"/>
          <w:szCs w:val="24"/>
        </w:rPr>
        <w:t xml:space="preserve">to 1,000 </w:t>
      </w:r>
      <w:r w:rsidR="00043114" w:rsidRPr="00C7625A">
        <w:rPr>
          <w:sz w:val="24"/>
          <w:szCs w:val="24"/>
        </w:rPr>
        <w:t xml:space="preserve">employees </w:t>
      </w:r>
      <w:r w:rsidR="00D52263" w:rsidRPr="00C7625A">
        <w:rPr>
          <w:sz w:val="24"/>
          <w:szCs w:val="24"/>
        </w:rPr>
        <w:t>(</w:t>
      </w:r>
      <w:r w:rsidR="00043114" w:rsidRPr="00C7625A">
        <w:rPr>
          <w:sz w:val="24"/>
          <w:szCs w:val="24"/>
        </w:rPr>
        <w:t>depending on the size definition for the affected NAICS code</w:t>
      </w:r>
      <w:r w:rsidR="00D52263" w:rsidRPr="00C7625A">
        <w:rPr>
          <w:sz w:val="24"/>
          <w:szCs w:val="24"/>
        </w:rPr>
        <w:t>)</w:t>
      </w:r>
      <w:r w:rsidR="005F45FC">
        <w:rPr>
          <w:sz w:val="24"/>
          <w:szCs w:val="24"/>
        </w:rPr>
        <w:t xml:space="preserve">. </w:t>
      </w:r>
      <w:r w:rsidR="00C7625A" w:rsidRPr="00C7625A">
        <w:rPr>
          <w:sz w:val="24"/>
          <w:szCs w:val="24"/>
        </w:rPr>
        <w:t xml:space="preserve"> The amendments would not result in any</w:t>
      </w:r>
      <w:r w:rsidR="00566BC9" w:rsidRPr="00C7625A">
        <w:rPr>
          <w:sz w:val="24"/>
          <w:szCs w:val="24"/>
        </w:rPr>
        <w:t xml:space="preserve"> </w:t>
      </w:r>
      <w:r w:rsidR="00EC2688">
        <w:rPr>
          <w:sz w:val="24"/>
          <w:szCs w:val="24"/>
        </w:rPr>
        <w:t xml:space="preserve">significant </w:t>
      </w:r>
      <w:r w:rsidR="00566BC9" w:rsidRPr="00C7625A">
        <w:rPr>
          <w:sz w:val="24"/>
          <w:szCs w:val="24"/>
        </w:rPr>
        <w:t xml:space="preserve">adverse impacts on any small entities in the </w:t>
      </w:r>
      <w:r w:rsidR="00F25858">
        <w:rPr>
          <w:sz w:val="24"/>
          <w:szCs w:val="24"/>
        </w:rPr>
        <w:t xml:space="preserve">Wood Furniture </w:t>
      </w:r>
      <w:r w:rsidR="006E490B">
        <w:rPr>
          <w:sz w:val="24"/>
          <w:szCs w:val="24"/>
        </w:rPr>
        <w:t>Manufacturing s</w:t>
      </w:r>
      <w:r w:rsidR="00566BC9" w:rsidRPr="00C7625A">
        <w:rPr>
          <w:sz w:val="24"/>
          <w:szCs w:val="24"/>
        </w:rPr>
        <w:t xml:space="preserve">ource </w:t>
      </w:r>
      <w:r w:rsidR="006E490B">
        <w:rPr>
          <w:sz w:val="24"/>
          <w:szCs w:val="24"/>
        </w:rPr>
        <w:t>c</w:t>
      </w:r>
      <w:r w:rsidR="00566BC9" w:rsidRPr="00C7625A">
        <w:rPr>
          <w:sz w:val="24"/>
          <w:szCs w:val="24"/>
        </w:rPr>
        <w:t>ategor</w:t>
      </w:r>
      <w:r w:rsidR="00CA46DC" w:rsidRPr="00C7625A">
        <w:rPr>
          <w:sz w:val="24"/>
          <w:szCs w:val="24"/>
        </w:rPr>
        <w:t>y</w:t>
      </w:r>
      <w:r w:rsidR="005F45FC">
        <w:rPr>
          <w:sz w:val="24"/>
          <w:szCs w:val="24"/>
        </w:rPr>
        <w:t xml:space="preserve">. </w:t>
      </w:r>
      <w:r w:rsidR="009B51A2" w:rsidRPr="00C7625A">
        <w:rPr>
          <w:sz w:val="24"/>
          <w:szCs w:val="24"/>
        </w:rPr>
        <w:t>T</w:t>
      </w:r>
      <w:r w:rsidR="00566BC9" w:rsidRPr="00C7625A">
        <w:rPr>
          <w:sz w:val="24"/>
          <w:szCs w:val="24"/>
        </w:rPr>
        <w:t xml:space="preserve">he </w:t>
      </w:r>
      <w:r w:rsidR="00C7625A">
        <w:rPr>
          <w:sz w:val="24"/>
          <w:szCs w:val="24"/>
        </w:rPr>
        <w:t>amendments would</w:t>
      </w:r>
      <w:r w:rsidR="00CA46DC" w:rsidRPr="00C7625A">
        <w:rPr>
          <w:sz w:val="24"/>
          <w:szCs w:val="24"/>
        </w:rPr>
        <w:t xml:space="preserve"> </w:t>
      </w:r>
      <w:r w:rsidR="00566BC9" w:rsidRPr="00C7625A">
        <w:rPr>
          <w:sz w:val="24"/>
          <w:szCs w:val="24"/>
        </w:rPr>
        <w:t>not create any new requirements or burdens for existing sources other than minimal notification requirements</w:t>
      </w:r>
      <w:r w:rsidR="00CA46DC" w:rsidRPr="00C7625A">
        <w:rPr>
          <w:sz w:val="24"/>
          <w:szCs w:val="24"/>
        </w:rPr>
        <w:t>, recordkeeping, and reporting 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F25858">
      <w:pPr>
        <w:widowControl/>
        <w:spacing w:line="360" w:lineRule="auto"/>
        <w:rPr>
          <w:sz w:val="24"/>
          <w:szCs w:val="24"/>
        </w:rPr>
      </w:pPr>
      <w:r w:rsidRPr="00C7625A">
        <w:rPr>
          <w:sz w:val="24"/>
          <w:szCs w:val="24"/>
        </w:rPr>
        <w:tab/>
        <w:t>The specific frequency for each information collection activity within this request is shown in Table 2</w:t>
      </w:r>
      <w:r w:rsidR="00CA46DC" w:rsidRPr="00C7625A">
        <w:rPr>
          <w:sz w:val="24"/>
          <w:szCs w:val="24"/>
        </w:rPr>
        <w:t xml:space="preserve"> </w:t>
      </w:r>
      <w:r w:rsidR="00BA243C" w:rsidRPr="00C7625A">
        <w:rPr>
          <w:sz w:val="24"/>
          <w:szCs w:val="24"/>
        </w:rPr>
        <w:t xml:space="preserve">for the </w:t>
      </w:r>
      <w:r w:rsidR="00F25858">
        <w:rPr>
          <w:sz w:val="24"/>
          <w:szCs w:val="24"/>
        </w:rPr>
        <w:t xml:space="preserve">Wood Furniture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6</w:t>
      </w:r>
      <w:r w:rsidR="005F45FC">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F25858">
      <w:pPr>
        <w:widowControl/>
        <w:spacing w:line="360" w:lineRule="auto"/>
        <w:rPr>
          <w:sz w:val="24"/>
          <w:szCs w:val="24"/>
        </w:rPr>
      </w:pPr>
      <w:r w:rsidRPr="00BD4412">
        <w:rPr>
          <w:sz w:val="24"/>
          <w:szCs w:val="24"/>
        </w:rPr>
        <w:tab/>
        <w:t xml:space="preserve">The annual burden estimates for the </w:t>
      </w:r>
      <w:r w:rsidR="00BD4412">
        <w:rPr>
          <w:sz w:val="24"/>
          <w:szCs w:val="24"/>
        </w:rPr>
        <w:t xml:space="preserve">amendments to the </w:t>
      </w:r>
      <w:r w:rsidR="00F25858">
        <w:rPr>
          <w:sz w:val="24"/>
          <w:szCs w:val="24"/>
        </w:rPr>
        <w:t xml:space="preserve">Wood Furniture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Table 2</w:t>
      </w:r>
      <w:r w:rsidR="005F45FC">
        <w:rPr>
          <w:sz w:val="24"/>
          <w:szCs w:val="24"/>
        </w:rPr>
        <w:t xml:space="preserve">. </w:t>
      </w:r>
      <w:r w:rsidRPr="00BD4412">
        <w:rPr>
          <w:sz w:val="24"/>
          <w:szCs w:val="24"/>
        </w:rPr>
        <w:t>These numbers were derived from estimates based on EPA’s experience with other standards</w:t>
      </w:r>
      <w:r w:rsidR="005F45FC">
        <w:rPr>
          <w:sz w:val="24"/>
          <w:szCs w:val="24"/>
        </w:rPr>
        <w:t xml:space="preserve">. </w:t>
      </w:r>
      <w:r w:rsidR="006A68D7" w:rsidRPr="00BD4412">
        <w:rPr>
          <w:sz w:val="24"/>
          <w:szCs w:val="24"/>
        </w:rPr>
        <w:t xml:space="preserve">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during the 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F25858">
      <w:pPr>
        <w:widowControl/>
        <w:spacing w:line="360" w:lineRule="auto"/>
        <w:rPr>
          <w:sz w:val="24"/>
          <w:szCs w:val="24"/>
        </w:rPr>
      </w:pPr>
      <w:r w:rsidRPr="00A563B4">
        <w:rPr>
          <w:sz w:val="24"/>
          <w:szCs w:val="24"/>
        </w:rPr>
        <w:tab/>
        <w:t xml:space="preserve">The information collection activities for the </w:t>
      </w:r>
      <w:r w:rsidR="00A563B4" w:rsidRPr="00A563B4">
        <w:rPr>
          <w:sz w:val="24"/>
          <w:szCs w:val="24"/>
        </w:rPr>
        <w:t xml:space="preserve">amendments to the </w:t>
      </w:r>
      <w:r w:rsidR="00F25858">
        <w:rPr>
          <w:sz w:val="24"/>
          <w:szCs w:val="24"/>
        </w:rPr>
        <w:t xml:space="preserve">Wood Furniture </w:t>
      </w:r>
      <w:r w:rsidR="005325C7" w:rsidRPr="00A563B4">
        <w:rPr>
          <w:sz w:val="24"/>
          <w:szCs w:val="24"/>
        </w:rPr>
        <w:t>NESHAP</w:t>
      </w:r>
      <w:r w:rsidR="00BA243C" w:rsidRPr="00A563B4">
        <w:rPr>
          <w:sz w:val="24"/>
          <w:szCs w:val="24"/>
        </w:rPr>
        <w:t xml:space="preserve"> </w:t>
      </w:r>
      <w:r w:rsidRPr="00A563B4">
        <w:rPr>
          <w:sz w:val="24"/>
          <w:szCs w:val="24"/>
        </w:rPr>
        <w:t>are presented in Table 2</w:t>
      </w:r>
      <w:r w:rsidR="005F45FC">
        <w:rPr>
          <w:sz w:val="24"/>
          <w:szCs w:val="24"/>
        </w:rPr>
        <w:t xml:space="preserve">. </w:t>
      </w:r>
      <w:r w:rsidRPr="00A563B4">
        <w:rPr>
          <w:sz w:val="24"/>
          <w:szCs w:val="24"/>
        </w:rPr>
        <w:t xml:space="preserve">Because the data are already collected by respondents as </w:t>
      </w:r>
      <w:r w:rsidR="000D30EF" w:rsidRPr="00A563B4">
        <w:rPr>
          <w:sz w:val="24"/>
          <w:szCs w:val="24"/>
        </w:rPr>
        <w:t>part of normal operations</w:t>
      </w:r>
      <w:r w:rsidR="00554ACC" w:rsidRPr="00A563B4">
        <w:rPr>
          <w:sz w:val="24"/>
          <w:szCs w:val="24"/>
        </w:rPr>
        <w:t>,</w:t>
      </w:r>
      <w:r w:rsidR="004C1EE7" w:rsidRPr="00A563B4">
        <w:rPr>
          <w:sz w:val="24"/>
          <w:szCs w:val="24"/>
        </w:rPr>
        <w:t xml:space="preserve"> no </w:t>
      </w:r>
      <w:r w:rsidRPr="00A563B4">
        <w:rPr>
          <w:sz w:val="24"/>
          <w:szCs w:val="24"/>
        </w:rPr>
        <w:t>respondent development costs are associated with the information collection activities.</w:t>
      </w:r>
    </w:p>
    <w:p w:rsidR="00B1351A" w:rsidRPr="008E6889" w:rsidRDefault="00B1351A" w:rsidP="00476BC3">
      <w:pPr>
        <w:widowControl/>
        <w:spacing w:line="360" w:lineRule="auto"/>
        <w:ind w:firstLine="720"/>
        <w:rPr>
          <w:sz w:val="24"/>
          <w:szCs w:val="24"/>
        </w:rPr>
      </w:pPr>
      <w:r w:rsidRPr="008E6889">
        <w:rPr>
          <w:sz w:val="24"/>
          <w:szCs w:val="24"/>
        </w:rPr>
        <w:t xml:space="preserve">(i)  </w:t>
      </w:r>
      <w:r w:rsidRPr="008E6889">
        <w:rPr>
          <w:i/>
          <w:iCs/>
          <w:sz w:val="24"/>
          <w:szCs w:val="24"/>
        </w:rPr>
        <w:t>Estimating Labor Costs</w:t>
      </w:r>
      <w:r w:rsidR="005F45FC">
        <w:rPr>
          <w:sz w:val="24"/>
          <w:szCs w:val="24"/>
        </w:rPr>
        <w:t xml:space="preserve">. </w:t>
      </w:r>
      <w:r w:rsidRPr="008E6889">
        <w:rPr>
          <w:sz w:val="24"/>
          <w:szCs w:val="24"/>
        </w:rPr>
        <w:t xml:space="preserve">Labor rates and associated costs are based on Bureau </w:t>
      </w:r>
      <w:r w:rsidR="006A68D7" w:rsidRPr="008E6889">
        <w:rPr>
          <w:sz w:val="24"/>
          <w:szCs w:val="24"/>
        </w:rPr>
        <w:t>of Labor Statistics (BLS) data</w:t>
      </w:r>
      <w:r w:rsidR="005F45FC">
        <w:rPr>
          <w:sz w:val="24"/>
          <w:szCs w:val="24"/>
        </w:rPr>
        <w:t xml:space="preserve">. </w:t>
      </w:r>
      <w:r w:rsidRPr="008E6889">
        <w:rPr>
          <w:sz w:val="24"/>
          <w:szCs w:val="24"/>
        </w:rPr>
        <w:t xml:space="preserve">Technical, management, and clerical average hourly rates for private industry workers were taken from the United States Department of Labor, Bureau of Labor Statistics, </w:t>
      </w:r>
      <w:r w:rsidR="008E6889">
        <w:rPr>
          <w:sz w:val="24"/>
          <w:szCs w:val="24"/>
        </w:rPr>
        <w:t xml:space="preserve">Occupational Employment and Wages, </w:t>
      </w:r>
      <w:r w:rsidR="008E6889" w:rsidRPr="00476BC3">
        <w:rPr>
          <w:sz w:val="24"/>
          <w:szCs w:val="24"/>
          <w:shd w:val="clear" w:color="auto" w:fill="FFFFFF"/>
        </w:rPr>
        <w:t>Ma</w:t>
      </w:r>
      <w:r w:rsidR="00016E32" w:rsidRPr="00476BC3">
        <w:rPr>
          <w:sz w:val="24"/>
          <w:szCs w:val="24"/>
          <w:shd w:val="clear" w:color="auto" w:fill="FFFFFF"/>
        </w:rPr>
        <w:t>rch</w:t>
      </w:r>
      <w:r w:rsidR="008E6889" w:rsidRPr="00476BC3">
        <w:rPr>
          <w:sz w:val="24"/>
          <w:szCs w:val="24"/>
          <w:shd w:val="clear" w:color="auto" w:fill="FFFFFF"/>
        </w:rPr>
        <w:t xml:space="preserve"> 2009</w:t>
      </w:r>
      <w:r w:rsidR="008E325E" w:rsidRPr="00476BC3">
        <w:rPr>
          <w:sz w:val="24"/>
          <w:szCs w:val="24"/>
          <w:shd w:val="clear" w:color="auto" w:fill="FFFFFF"/>
        </w:rPr>
        <w:t xml:space="preserve"> </w:t>
      </w:r>
      <w:r w:rsidRPr="00476BC3">
        <w:rPr>
          <w:sz w:val="24"/>
          <w:szCs w:val="24"/>
          <w:shd w:val="clear" w:color="auto" w:fill="FFFFFF"/>
        </w:rPr>
        <w:t xml:space="preserve">available at </w:t>
      </w:r>
      <w:hyperlink r:id="rId8" w:history="1">
        <w:r w:rsidR="00476BC3" w:rsidRPr="00476BC3">
          <w:rPr>
            <w:rStyle w:val="Hyperlink"/>
            <w:sz w:val="24"/>
            <w:szCs w:val="24"/>
            <w:shd w:val="clear" w:color="auto" w:fill="FFFFFF"/>
          </w:rPr>
          <w:t>http://www.bls.gov/news.release/archives/ecec_06102009.htm</w:t>
        </w:r>
      </w:hyperlink>
      <w:r w:rsidR="005F45FC">
        <w:rPr>
          <w:sz w:val="24"/>
          <w:szCs w:val="24"/>
          <w:shd w:val="clear" w:color="auto" w:fill="FFFFFF"/>
        </w:rPr>
        <w:t xml:space="preserve">. </w:t>
      </w:r>
      <w:r w:rsidRPr="00476BC3">
        <w:rPr>
          <w:sz w:val="24"/>
          <w:szCs w:val="24"/>
          <w:shd w:val="clear" w:color="auto" w:fill="FFFFFF"/>
        </w:rPr>
        <w:t xml:space="preserve"> </w:t>
      </w:r>
      <w:r w:rsidR="004E3B65" w:rsidRPr="00476BC3">
        <w:rPr>
          <w:sz w:val="24"/>
          <w:szCs w:val="24"/>
          <w:shd w:val="clear" w:color="auto" w:fill="FFFFFF"/>
        </w:rPr>
        <w:t>Wages for technical labor are based on "</w:t>
      </w:r>
      <w:r w:rsidR="00964C42" w:rsidRPr="00476BC3">
        <w:rPr>
          <w:sz w:val="24"/>
          <w:szCs w:val="24"/>
          <w:shd w:val="clear" w:color="auto" w:fill="FFFFFF"/>
        </w:rPr>
        <w:t>Civilian workers – professional and related</w:t>
      </w:r>
      <w:r w:rsidR="00CD1B68" w:rsidRPr="00476BC3">
        <w:rPr>
          <w:sz w:val="24"/>
          <w:szCs w:val="24"/>
          <w:shd w:val="clear" w:color="auto" w:fill="FFFFFF"/>
        </w:rPr>
        <w:t>,</w:t>
      </w:r>
      <w:r w:rsidR="004E3B65" w:rsidRPr="00476BC3">
        <w:rPr>
          <w:sz w:val="24"/>
          <w:szCs w:val="24"/>
          <w:shd w:val="clear" w:color="auto" w:fill="FFFFFF"/>
        </w:rPr>
        <w:t>" with a total compensation of $</w:t>
      </w:r>
      <w:r w:rsidR="009E2DC6" w:rsidRPr="00476BC3">
        <w:rPr>
          <w:sz w:val="24"/>
          <w:szCs w:val="24"/>
          <w:shd w:val="clear" w:color="auto" w:fill="FFFFFF"/>
        </w:rPr>
        <w:t>46.47</w:t>
      </w:r>
      <w:r w:rsidR="004E3B65" w:rsidRPr="00476BC3">
        <w:rPr>
          <w:sz w:val="24"/>
          <w:szCs w:val="24"/>
          <w:shd w:val="clear" w:color="auto" w:fill="FFFFFF"/>
        </w:rPr>
        <w:t>/hour</w:t>
      </w:r>
      <w:r w:rsidR="005F45FC">
        <w:rPr>
          <w:sz w:val="24"/>
          <w:szCs w:val="24"/>
          <w:shd w:val="clear" w:color="auto" w:fill="FFFFFF"/>
        </w:rPr>
        <w:t xml:space="preserve">. </w:t>
      </w:r>
      <w:r w:rsidR="004E3B65" w:rsidRPr="00476BC3">
        <w:rPr>
          <w:sz w:val="24"/>
          <w:szCs w:val="24"/>
          <w:shd w:val="clear" w:color="auto" w:fill="FFFFFF"/>
        </w:rPr>
        <w:t>Wages for management labor are taken from "</w:t>
      </w:r>
      <w:r w:rsidR="009E2DC6" w:rsidRPr="00476BC3">
        <w:rPr>
          <w:sz w:val="24"/>
          <w:szCs w:val="24"/>
          <w:shd w:val="clear" w:color="auto" w:fill="FFFFFF"/>
        </w:rPr>
        <w:t>Civilian workers – management, business, and financial</w:t>
      </w:r>
      <w:r w:rsidR="00CD1B68" w:rsidRPr="00476BC3">
        <w:rPr>
          <w:sz w:val="24"/>
          <w:szCs w:val="24"/>
          <w:shd w:val="clear" w:color="auto" w:fill="FFFFFF"/>
        </w:rPr>
        <w:t>,</w:t>
      </w:r>
      <w:r w:rsidR="004E3B65" w:rsidRPr="00476BC3">
        <w:rPr>
          <w:sz w:val="24"/>
          <w:szCs w:val="24"/>
          <w:shd w:val="clear" w:color="auto" w:fill="FFFFFF"/>
        </w:rPr>
        <w:t>" with a total compensation of $</w:t>
      </w:r>
      <w:r w:rsidR="009E2DC6" w:rsidRPr="00476BC3">
        <w:rPr>
          <w:sz w:val="24"/>
          <w:szCs w:val="24"/>
          <w:shd w:val="clear" w:color="auto" w:fill="FFFFFF"/>
        </w:rPr>
        <w:t>54.65</w:t>
      </w:r>
      <w:r w:rsidR="004E3B65" w:rsidRPr="00476BC3">
        <w:rPr>
          <w:sz w:val="24"/>
          <w:szCs w:val="24"/>
          <w:shd w:val="clear" w:color="auto" w:fill="FFFFFF"/>
        </w:rPr>
        <w:t>/hour</w:t>
      </w:r>
      <w:r w:rsidR="005F45FC">
        <w:rPr>
          <w:sz w:val="24"/>
          <w:szCs w:val="24"/>
          <w:shd w:val="clear" w:color="auto" w:fill="FFFFFF"/>
        </w:rPr>
        <w:t xml:space="preserve">. </w:t>
      </w:r>
      <w:r w:rsidR="004E3B65" w:rsidRPr="00476BC3">
        <w:rPr>
          <w:sz w:val="24"/>
          <w:szCs w:val="24"/>
          <w:shd w:val="clear" w:color="auto" w:fill="FFFFFF"/>
        </w:rPr>
        <w:t xml:space="preserve"> Wages for clerical labor are </w:t>
      </w:r>
      <w:r w:rsidR="004E3B65" w:rsidRPr="00476BC3">
        <w:rPr>
          <w:sz w:val="24"/>
          <w:szCs w:val="24"/>
          <w:shd w:val="clear" w:color="auto" w:fill="FFFFFF"/>
        </w:rPr>
        <w:lastRenderedPageBreak/>
        <w:t>based on "</w:t>
      </w:r>
      <w:r w:rsidR="009E2DC6" w:rsidRPr="00476BC3">
        <w:rPr>
          <w:sz w:val="24"/>
          <w:szCs w:val="24"/>
          <w:shd w:val="clear" w:color="auto" w:fill="FFFFFF"/>
        </w:rPr>
        <w:t>Civilian workers – office and administrative support</w:t>
      </w:r>
      <w:r w:rsidR="00CD1B68" w:rsidRPr="00476BC3">
        <w:rPr>
          <w:sz w:val="24"/>
          <w:szCs w:val="24"/>
          <w:shd w:val="clear" w:color="auto" w:fill="FFFFFF"/>
        </w:rPr>
        <w:t>,</w:t>
      </w:r>
      <w:r w:rsidR="004E3B65" w:rsidRPr="00476BC3">
        <w:rPr>
          <w:sz w:val="24"/>
          <w:szCs w:val="24"/>
          <w:shd w:val="clear" w:color="auto" w:fill="FFFFFF"/>
        </w:rPr>
        <w:t xml:space="preserve">" with a total compensation of </w:t>
      </w:r>
      <w:r w:rsidRPr="00476BC3">
        <w:rPr>
          <w:sz w:val="24"/>
          <w:szCs w:val="24"/>
          <w:shd w:val="clear" w:color="auto" w:fill="FFFFFF"/>
        </w:rPr>
        <w:t>$</w:t>
      </w:r>
      <w:r w:rsidR="009E2DC6" w:rsidRPr="00476BC3">
        <w:rPr>
          <w:sz w:val="24"/>
          <w:szCs w:val="24"/>
          <w:shd w:val="clear" w:color="auto" w:fill="FFFFFF"/>
        </w:rPr>
        <w:t>22.98</w:t>
      </w:r>
      <w:r w:rsidRPr="00476BC3">
        <w:rPr>
          <w:sz w:val="24"/>
          <w:szCs w:val="24"/>
          <w:shd w:val="clear" w:color="auto" w:fill="FFFFFF"/>
        </w:rPr>
        <w:t>/hour</w:t>
      </w:r>
      <w:r w:rsidR="005F45FC">
        <w:rPr>
          <w:sz w:val="24"/>
          <w:szCs w:val="24"/>
          <w:shd w:val="clear" w:color="auto" w:fill="FFFFFF"/>
        </w:rPr>
        <w:t xml:space="preserve">. </w:t>
      </w:r>
      <w:r w:rsidRPr="00476BC3">
        <w:rPr>
          <w:sz w:val="24"/>
          <w:szCs w:val="24"/>
        </w:rPr>
        <w:t>These rates represent salaries plus fringe benefits and do not include the cost of overhead</w:t>
      </w:r>
      <w:r w:rsidR="005F45FC">
        <w:rPr>
          <w:sz w:val="24"/>
          <w:szCs w:val="24"/>
        </w:rPr>
        <w:t xml:space="preserve">. </w:t>
      </w:r>
      <w:r w:rsidRPr="00476BC3">
        <w:rPr>
          <w:sz w:val="24"/>
          <w:szCs w:val="24"/>
        </w:rPr>
        <w:t>An overhead rate of 110 percent is used to account for these costs</w:t>
      </w:r>
      <w:r w:rsidR="005F45FC">
        <w:rPr>
          <w:sz w:val="24"/>
          <w:szCs w:val="24"/>
        </w:rPr>
        <w:t xml:space="preserve">. </w:t>
      </w:r>
      <w:r w:rsidRPr="00476BC3">
        <w:rPr>
          <w:sz w:val="24"/>
          <w:szCs w:val="24"/>
        </w:rPr>
        <w:t>The fully-burdened hourly wage rates used to represent respondent la</w:t>
      </w:r>
      <w:r w:rsidR="00085D37" w:rsidRPr="00476BC3">
        <w:rPr>
          <w:sz w:val="24"/>
          <w:szCs w:val="24"/>
        </w:rPr>
        <w:t xml:space="preserve">bor costs are:  technical at </w:t>
      </w:r>
      <w:r w:rsidR="00016E32" w:rsidRPr="00476BC3">
        <w:rPr>
          <w:sz w:val="24"/>
          <w:szCs w:val="24"/>
        </w:rPr>
        <w:t xml:space="preserve">$97.59 </w:t>
      </w:r>
      <w:r w:rsidR="00CD1B68" w:rsidRPr="00476BC3">
        <w:rPr>
          <w:sz w:val="24"/>
          <w:szCs w:val="24"/>
        </w:rPr>
        <w:t>/hour</w:t>
      </w:r>
      <w:r w:rsidRPr="00476BC3">
        <w:rPr>
          <w:sz w:val="24"/>
          <w:szCs w:val="24"/>
        </w:rPr>
        <w:t xml:space="preserve">, management at </w:t>
      </w:r>
      <w:r w:rsidR="00016E32" w:rsidRPr="00476BC3">
        <w:rPr>
          <w:sz w:val="24"/>
          <w:szCs w:val="24"/>
        </w:rPr>
        <w:t xml:space="preserve">$114.77 </w:t>
      </w:r>
      <w:r w:rsidR="00CD1B68" w:rsidRPr="00476BC3">
        <w:rPr>
          <w:sz w:val="24"/>
          <w:szCs w:val="24"/>
        </w:rPr>
        <w:t>/hour</w:t>
      </w:r>
      <w:r w:rsidRPr="00476BC3">
        <w:rPr>
          <w:sz w:val="24"/>
          <w:szCs w:val="24"/>
        </w:rPr>
        <w:t xml:space="preserve">, and clerical at </w:t>
      </w:r>
      <w:r w:rsidR="00016E32" w:rsidRPr="00476BC3">
        <w:rPr>
          <w:sz w:val="24"/>
          <w:szCs w:val="24"/>
        </w:rPr>
        <w:t xml:space="preserve">$48.26 </w:t>
      </w:r>
      <w:r w:rsidR="00CD1B68" w:rsidRPr="00476BC3">
        <w:rPr>
          <w:sz w:val="24"/>
          <w:szCs w:val="24"/>
        </w:rPr>
        <w:t>/hour</w:t>
      </w:r>
      <w:r w:rsidRPr="00476BC3">
        <w:rPr>
          <w:sz w:val="24"/>
          <w:szCs w:val="24"/>
        </w:rPr>
        <w:t>.</w:t>
      </w:r>
    </w:p>
    <w:p w:rsidR="00282482" w:rsidRDefault="00B1351A" w:rsidP="00282482">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005F45FC">
        <w:rPr>
          <w:sz w:val="24"/>
          <w:szCs w:val="24"/>
        </w:rPr>
        <w:t xml:space="preserve">. </w:t>
      </w:r>
      <w:r w:rsidR="00CF0317" w:rsidRPr="00CF0317">
        <w:rPr>
          <w:sz w:val="24"/>
          <w:szCs w:val="24"/>
        </w:rPr>
        <w:t xml:space="preserve">No </w:t>
      </w:r>
      <w:r w:rsidR="0006580C" w:rsidRPr="00CF0317">
        <w:rPr>
          <w:sz w:val="24"/>
          <w:szCs w:val="24"/>
        </w:rPr>
        <w:t xml:space="preserve">capital costs </w:t>
      </w:r>
      <w:r w:rsidR="00282482">
        <w:rPr>
          <w:sz w:val="24"/>
          <w:szCs w:val="24"/>
        </w:rPr>
        <w:t xml:space="preserve">or O &amp; M costs </w:t>
      </w:r>
      <w:r w:rsidR="0004658A">
        <w:rPr>
          <w:sz w:val="24"/>
          <w:szCs w:val="24"/>
        </w:rPr>
        <w:t xml:space="preserve">are </w:t>
      </w:r>
      <w:r w:rsidR="0006580C" w:rsidRPr="00CF0317">
        <w:rPr>
          <w:sz w:val="24"/>
          <w:szCs w:val="24"/>
        </w:rPr>
        <w:t xml:space="preserve">associated with the information collection requirements of the </w:t>
      </w:r>
      <w:r w:rsidR="00CF0317">
        <w:rPr>
          <w:sz w:val="24"/>
          <w:szCs w:val="24"/>
        </w:rPr>
        <w:t xml:space="preserve">amendments to the </w:t>
      </w:r>
      <w:r w:rsidR="003C3074">
        <w:rPr>
          <w:sz w:val="24"/>
          <w:szCs w:val="24"/>
        </w:rPr>
        <w:t xml:space="preserve">Wood Furniture </w:t>
      </w:r>
      <w:r w:rsidR="0006580C" w:rsidRPr="00CF0317">
        <w:rPr>
          <w:sz w:val="24"/>
          <w:szCs w:val="24"/>
        </w:rPr>
        <w:t>NESHAP</w:t>
      </w:r>
      <w:r w:rsidR="005F45FC">
        <w:rPr>
          <w:sz w:val="24"/>
          <w:szCs w:val="24"/>
        </w:rPr>
        <w:t xml:space="preserve">. </w:t>
      </w:r>
      <w:r w:rsidR="00F4077D">
        <w:rPr>
          <w:sz w:val="24"/>
          <w:szCs w:val="24"/>
        </w:rPr>
        <w:t xml:space="preserve">The </w:t>
      </w:r>
      <w:r w:rsidR="00CF0317">
        <w:rPr>
          <w:sz w:val="24"/>
          <w:szCs w:val="24"/>
        </w:rPr>
        <w:t xml:space="preserve">amendments </w:t>
      </w:r>
      <w:r w:rsidR="00B47473" w:rsidRPr="00CF0317">
        <w:rPr>
          <w:sz w:val="24"/>
          <w:szCs w:val="24"/>
        </w:rPr>
        <w:t>w</w:t>
      </w:r>
      <w:r w:rsidR="00CF0317">
        <w:rPr>
          <w:sz w:val="24"/>
          <w:szCs w:val="24"/>
        </w:rPr>
        <w:t>ould</w:t>
      </w:r>
      <w:r w:rsidR="00F52134" w:rsidRPr="00CF0317">
        <w:rPr>
          <w:sz w:val="24"/>
          <w:szCs w:val="24"/>
        </w:rPr>
        <w:t xml:space="preserve"> not require affected facilities to purchase </w:t>
      </w:r>
      <w:r w:rsidR="00CF0317">
        <w:rPr>
          <w:sz w:val="24"/>
          <w:szCs w:val="24"/>
        </w:rPr>
        <w:t xml:space="preserve">new </w:t>
      </w:r>
      <w:r w:rsidR="00F52134" w:rsidRPr="00CF0317">
        <w:rPr>
          <w:sz w:val="24"/>
          <w:szCs w:val="24"/>
        </w:rPr>
        <w:t>m</w:t>
      </w:r>
      <w:r w:rsidR="004F0D32" w:rsidRPr="00CF0317">
        <w:rPr>
          <w:sz w:val="24"/>
          <w:szCs w:val="24"/>
        </w:rPr>
        <w:t>onitoring systems</w:t>
      </w:r>
      <w:r w:rsidR="00F52134" w:rsidRPr="00CF0317">
        <w:rPr>
          <w:sz w:val="24"/>
          <w:szCs w:val="24"/>
        </w:rPr>
        <w:t xml:space="preserve"> o</w:t>
      </w:r>
      <w:r w:rsidR="00853E95" w:rsidRPr="00CF0317">
        <w:rPr>
          <w:sz w:val="24"/>
          <w:szCs w:val="24"/>
        </w:rPr>
        <w:t>r conduct</w:t>
      </w:r>
      <w:r w:rsidR="00CF0317">
        <w:rPr>
          <w:sz w:val="24"/>
          <w:szCs w:val="24"/>
        </w:rPr>
        <w:t xml:space="preserve"> new</w:t>
      </w:r>
      <w:r w:rsidR="00853E95" w:rsidRPr="00CF0317">
        <w:rPr>
          <w:sz w:val="24"/>
          <w:szCs w:val="24"/>
        </w:rPr>
        <w:t xml:space="preserve"> performance testing</w:t>
      </w:r>
      <w:r w:rsidR="005F45FC">
        <w:rPr>
          <w:sz w:val="24"/>
          <w:szCs w:val="24"/>
        </w:rPr>
        <w:t xml:space="preserve">. </w:t>
      </w:r>
    </w:p>
    <w:p w:rsidR="0006580C" w:rsidRDefault="00B1351A" w:rsidP="00282482">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5F45FC">
        <w:rPr>
          <w:sz w:val="24"/>
          <w:szCs w:val="24"/>
        </w:rPr>
        <w:t xml:space="preserve">. </w:t>
      </w:r>
      <w:r w:rsidR="00CF0317" w:rsidRPr="00CF0317">
        <w:rPr>
          <w:sz w:val="24"/>
          <w:szCs w:val="24"/>
        </w:rPr>
        <w:t>No capital costs associated with the information collecti</w:t>
      </w:r>
      <w:r w:rsidR="00F4077D">
        <w:rPr>
          <w:sz w:val="24"/>
          <w:szCs w:val="24"/>
        </w:rPr>
        <w:t xml:space="preserve">on requirements of the </w:t>
      </w:r>
      <w:r w:rsidR="00CF0317">
        <w:rPr>
          <w:sz w:val="24"/>
          <w:szCs w:val="24"/>
        </w:rPr>
        <w:t xml:space="preserve">amendments to the </w:t>
      </w:r>
      <w:r w:rsidR="003C3074">
        <w:rPr>
          <w:sz w:val="24"/>
          <w:szCs w:val="24"/>
        </w:rPr>
        <w:t xml:space="preserve">Wood Furniture </w:t>
      </w:r>
      <w:r w:rsidR="00CF0317" w:rsidRPr="00CF0317">
        <w:rPr>
          <w:sz w:val="24"/>
          <w:szCs w:val="24"/>
        </w:rPr>
        <w:t>NESHAP</w:t>
      </w:r>
      <w:r w:rsidR="005F45FC">
        <w:rPr>
          <w:sz w:val="24"/>
          <w:szCs w:val="24"/>
        </w:rPr>
        <w:t xml:space="preserve">. </w:t>
      </w:r>
    </w:p>
    <w:p w:rsidR="001F594F" w:rsidRDefault="001F594F" w:rsidP="001F594F">
      <w:pPr>
        <w:widowControl/>
        <w:spacing w:line="360" w:lineRule="auto"/>
        <w:ind w:firstLine="720"/>
        <w:rPr>
          <w:sz w:val="24"/>
          <w:szCs w:val="24"/>
        </w:rPr>
      </w:pPr>
      <w:r w:rsidRPr="001F594F">
        <w:rPr>
          <w:i/>
          <w:iCs/>
          <w:sz w:val="24"/>
          <w:szCs w:val="24"/>
        </w:rPr>
        <w:t>(iv)  Affirmative Defense/Root Cause Analysis/Malfunction Costs</w:t>
      </w:r>
      <w:r>
        <w:rPr>
          <w:i/>
          <w:iCs/>
          <w:sz w:val="24"/>
          <w:szCs w:val="24"/>
        </w:rPr>
        <w:t xml:space="preserve">. </w:t>
      </w:r>
      <w:r w:rsidRPr="001F594F">
        <w:rPr>
          <w:sz w:val="24"/>
          <w:szCs w:val="24"/>
        </w:rPr>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rsidR="001F594F" w:rsidRDefault="001F594F" w:rsidP="001F594F">
      <w:pPr>
        <w:widowControl/>
        <w:spacing w:line="360" w:lineRule="auto"/>
        <w:ind w:firstLine="720"/>
        <w:rPr>
          <w:sz w:val="24"/>
          <w:szCs w:val="24"/>
        </w:rPr>
      </w:pPr>
    </w:p>
    <w:p w:rsidR="001F594F" w:rsidRPr="001F594F" w:rsidRDefault="001F594F" w:rsidP="001F594F">
      <w:pPr>
        <w:widowControl/>
        <w:spacing w:line="360" w:lineRule="auto"/>
        <w:rPr>
          <w:b/>
          <w:bCs/>
          <w:sz w:val="22"/>
          <w:szCs w:val="22"/>
        </w:rPr>
      </w:pPr>
      <w:r w:rsidRPr="001F594F">
        <w:rPr>
          <w:b/>
          <w:bCs/>
          <w:sz w:val="22"/>
          <w:szCs w:val="22"/>
        </w:rPr>
        <w:t xml:space="preserve">TABLE 2. BURDEN ASSOCIATED WITH PERFORMING AN AFFIRMATIVE DEFENSE </w:t>
      </w:r>
    </w:p>
    <w:tbl>
      <w:tblPr>
        <w:tblW w:w="9555" w:type="dxa"/>
        <w:tblInd w:w="93" w:type="dxa"/>
        <w:tblLook w:val="04A0"/>
      </w:tblPr>
      <w:tblGrid>
        <w:gridCol w:w="2161"/>
        <w:gridCol w:w="1454"/>
        <w:gridCol w:w="1649"/>
        <w:gridCol w:w="1231"/>
        <w:gridCol w:w="1620"/>
        <w:gridCol w:w="1440"/>
      </w:tblGrid>
      <w:tr w:rsidR="001F594F" w:rsidRPr="00876536" w:rsidTr="001F594F">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594F" w:rsidRPr="00876536" w:rsidRDefault="001F594F" w:rsidP="001F594F">
            <w:pPr>
              <w:rPr>
                <w:rFonts w:ascii="Calibri" w:hAnsi="Calibri"/>
                <w:b/>
                <w:bCs/>
                <w:color w:val="FF0000"/>
                <w:szCs w:val="22"/>
              </w:rPr>
            </w:pPr>
            <w:r w:rsidRPr="00876536">
              <w:rPr>
                <w:rFonts w:ascii="Calibri" w:hAnsi="Calibri"/>
                <w:b/>
                <w:bCs/>
                <w:color w:val="FF0000"/>
                <w:szCs w:val="22"/>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b/>
                <w:bCs/>
                <w:color w:val="FF0000"/>
                <w:szCs w:val="22"/>
              </w:rPr>
            </w:pPr>
            <w:r w:rsidRPr="00876536">
              <w:rPr>
                <w:rFonts w:ascii="Calibri" w:hAnsi="Calibri"/>
                <w:b/>
                <w:bCs/>
                <w:color w:val="FF0000"/>
                <w:szCs w:val="22"/>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b/>
                <w:bCs/>
                <w:color w:val="FF0000"/>
                <w:szCs w:val="22"/>
              </w:rPr>
            </w:pPr>
            <w:r w:rsidRPr="00876536">
              <w:rPr>
                <w:rFonts w:ascii="Calibri" w:hAnsi="Calibri"/>
                <w:b/>
                <w:bCs/>
                <w:color w:val="FF0000"/>
                <w:szCs w:val="22"/>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b/>
                <w:bCs/>
                <w:color w:val="FF0000"/>
                <w:szCs w:val="22"/>
              </w:rPr>
            </w:pPr>
            <w:r w:rsidRPr="00876536">
              <w:rPr>
                <w:rFonts w:ascii="Calibri" w:hAnsi="Calibri"/>
                <w:b/>
                <w:bCs/>
                <w:color w:val="FF0000"/>
                <w:szCs w:val="22"/>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b/>
                <w:bCs/>
                <w:color w:val="FF0000"/>
                <w:szCs w:val="22"/>
              </w:rPr>
            </w:pPr>
            <w:r w:rsidRPr="00876536">
              <w:rPr>
                <w:rFonts w:ascii="Calibri" w:hAnsi="Calibri"/>
                <w:b/>
                <w:bCs/>
                <w:color w:val="FF0000"/>
                <w:szCs w:val="22"/>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b/>
                <w:bCs/>
                <w:color w:val="FF0000"/>
                <w:szCs w:val="22"/>
              </w:rPr>
            </w:pPr>
            <w:r w:rsidRPr="00876536">
              <w:rPr>
                <w:rFonts w:ascii="Calibri" w:hAnsi="Calibri"/>
                <w:b/>
                <w:bCs/>
                <w:color w:val="FF0000"/>
                <w:szCs w:val="22"/>
              </w:rPr>
              <w:t>Total</w:t>
            </w:r>
          </w:p>
        </w:tc>
      </w:tr>
      <w:tr w:rsidR="001F594F" w:rsidRPr="00876536" w:rsidTr="001F594F">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rPr>
                <w:rFonts w:ascii="Calibri" w:hAnsi="Calibri"/>
                <w:color w:val="FF0000"/>
                <w:szCs w:val="22"/>
              </w:rPr>
            </w:pPr>
            <w:r w:rsidRPr="00876536">
              <w:rPr>
                <w:rFonts w:ascii="Calibri" w:hAnsi="Calibri"/>
                <w:color w:val="FF0000"/>
                <w:szCs w:val="22"/>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3</w:t>
            </w:r>
          </w:p>
        </w:tc>
        <w:tc>
          <w:tcPr>
            <w:tcW w:w="1649"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18</w:t>
            </w:r>
          </w:p>
        </w:tc>
        <w:tc>
          <w:tcPr>
            <w:tcW w:w="1620" w:type="dxa"/>
            <w:tcBorders>
              <w:top w:val="nil"/>
              <w:left w:val="nil"/>
              <w:bottom w:val="single" w:sz="4" w:space="0" w:color="auto"/>
              <w:right w:val="single" w:sz="4" w:space="0" w:color="auto"/>
            </w:tcBorders>
            <w:shd w:val="clear" w:color="auto" w:fill="auto"/>
            <w:noWrap/>
            <w:vAlign w:val="center"/>
            <w:hideMark/>
          </w:tcPr>
          <w:p w:rsidR="001F594F" w:rsidRPr="00876536" w:rsidRDefault="001F594F" w:rsidP="00900A76">
            <w:pPr>
              <w:jc w:val="center"/>
              <w:rPr>
                <w:rFonts w:ascii="Calibri" w:hAnsi="Calibri"/>
                <w:color w:val="FF0000"/>
                <w:szCs w:val="22"/>
              </w:rPr>
            </w:pPr>
            <w:r w:rsidRPr="00876536">
              <w:rPr>
                <w:rFonts w:ascii="Calibri" w:hAnsi="Calibri"/>
                <w:color w:val="FF0000"/>
                <w:szCs w:val="22"/>
              </w:rPr>
              <w:t>9</w:t>
            </w:r>
            <w:r w:rsidR="00900A76">
              <w:rPr>
                <w:rFonts w:ascii="Calibri" w:hAnsi="Calibri"/>
                <w:color w:val="FF0000"/>
                <w:szCs w:val="22"/>
              </w:rPr>
              <w:t>7.59</w:t>
            </w:r>
          </w:p>
        </w:tc>
        <w:tc>
          <w:tcPr>
            <w:tcW w:w="1440"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900A76">
            <w:pPr>
              <w:rPr>
                <w:rFonts w:ascii="Calibri" w:hAnsi="Calibri"/>
                <w:color w:val="FF0000"/>
                <w:szCs w:val="22"/>
              </w:rPr>
            </w:pPr>
            <w:r w:rsidRPr="00876536">
              <w:rPr>
                <w:rFonts w:ascii="Calibri" w:hAnsi="Calibri"/>
                <w:color w:val="FF0000"/>
                <w:sz w:val="22"/>
                <w:szCs w:val="22"/>
              </w:rPr>
              <w:t>$   1,7</w:t>
            </w:r>
            <w:r w:rsidR="00900A76">
              <w:rPr>
                <w:rFonts w:ascii="Calibri" w:hAnsi="Calibri"/>
                <w:color w:val="FF0000"/>
                <w:sz w:val="22"/>
                <w:szCs w:val="22"/>
              </w:rPr>
              <w:t>57</w:t>
            </w:r>
          </w:p>
        </w:tc>
      </w:tr>
      <w:tr w:rsidR="001F594F" w:rsidRPr="00876536" w:rsidTr="001F594F">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rPr>
                <w:rFonts w:ascii="Calibri" w:hAnsi="Calibri"/>
                <w:color w:val="FF0000"/>
                <w:szCs w:val="22"/>
              </w:rPr>
            </w:pPr>
            <w:r w:rsidRPr="00876536">
              <w:rPr>
                <w:rFonts w:ascii="Calibri" w:hAnsi="Calibri"/>
                <w:color w:val="FF0000"/>
                <w:szCs w:val="22"/>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2</w:t>
            </w:r>
          </w:p>
        </w:tc>
        <w:tc>
          <w:tcPr>
            <w:tcW w:w="1649"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rsidR="001F594F" w:rsidRPr="00876536" w:rsidRDefault="001F594F" w:rsidP="00900A76">
            <w:pPr>
              <w:widowControl/>
              <w:autoSpaceDE/>
              <w:autoSpaceDN/>
              <w:adjustRightInd/>
              <w:jc w:val="center"/>
              <w:rPr>
                <w:rFonts w:ascii="Calibri" w:hAnsi="Calibri"/>
                <w:color w:val="FF0000"/>
                <w:szCs w:val="22"/>
              </w:rPr>
            </w:pPr>
            <w:r w:rsidRPr="00876536">
              <w:rPr>
                <w:rFonts w:ascii="Calibri" w:hAnsi="Calibri"/>
                <w:color w:val="FF0000"/>
                <w:szCs w:val="22"/>
              </w:rPr>
              <w:t>114.</w:t>
            </w:r>
            <w:r w:rsidR="00900A76">
              <w:rPr>
                <w:rFonts w:ascii="Calibri" w:hAnsi="Calibri"/>
                <w:color w:val="FF0000"/>
                <w:szCs w:val="22"/>
              </w:rPr>
              <w:t>77</w:t>
            </w:r>
          </w:p>
        </w:tc>
        <w:tc>
          <w:tcPr>
            <w:tcW w:w="1440"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900A76">
            <w:pPr>
              <w:rPr>
                <w:rFonts w:ascii="Calibri" w:hAnsi="Calibri"/>
                <w:color w:val="FF0000"/>
                <w:szCs w:val="22"/>
              </w:rPr>
            </w:pPr>
            <w:r w:rsidRPr="00876536">
              <w:rPr>
                <w:rFonts w:ascii="Calibri" w:hAnsi="Calibri"/>
                <w:color w:val="FF0000"/>
                <w:sz w:val="22"/>
                <w:szCs w:val="22"/>
              </w:rPr>
              <w:t>$   1,37</w:t>
            </w:r>
            <w:r w:rsidR="00900A76">
              <w:rPr>
                <w:rFonts w:ascii="Calibri" w:hAnsi="Calibri"/>
                <w:color w:val="FF0000"/>
                <w:sz w:val="22"/>
                <w:szCs w:val="22"/>
              </w:rPr>
              <w:t>7</w:t>
            </w:r>
          </w:p>
        </w:tc>
      </w:tr>
      <w:tr w:rsidR="001F594F" w:rsidRPr="00876536" w:rsidTr="001F594F">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rPr>
                <w:rFonts w:ascii="Calibri" w:hAnsi="Calibri"/>
                <w:color w:val="FF0000"/>
                <w:szCs w:val="22"/>
              </w:rPr>
            </w:pPr>
            <w:r w:rsidRPr="00876536">
              <w:rPr>
                <w:rFonts w:ascii="Calibri" w:hAnsi="Calibri"/>
                <w:color w:val="FF0000"/>
                <w:szCs w:val="22"/>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5</w:t>
            </w:r>
          </w:p>
        </w:tc>
        <w:tc>
          <w:tcPr>
            <w:tcW w:w="1649"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rPr>
                <w:rFonts w:ascii="Calibri" w:hAnsi="Calibri"/>
                <w:color w:val="FF0000"/>
                <w:szCs w:val="22"/>
              </w:rPr>
            </w:pPr>
            <w:r w:rsidRPr="00876536">
              <w:rPr>
                <w:rFonts w:ascii="Calibri" w:hAnsi="Calibri"/>
                <w:color w:val="FF0000"/>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1F594F">
            <w:pPr>
              <w:widowControl/>
              <w:autoSpaceDE/>
              <w:autoSpaceDN/>
              <w:adjustRightInd/>
              <w:jc w:val="center"/>
              <w:rPr>
                <w:rFonts w:ascii="Calibri" w:hAnsi="Calibri"/>
                <w:color w:val="FF0000"/>
                <w:szCs w:val="22"/>
              </w:rPr>
            </w:pPr>
            <w:r w:rsidRPr="00876536">
              <w:rPr>
                <w:rFonts w:ascii="Calibri" w:hAnsi="Calibri"/>
                <w:color w:val="FF0000"/>
                <w:szCs w:val="22"/>
              </w:rPr>
              <w:t>30</w:t>
            </w:r>
          </w:p>
        </w:tc>
        <w:tc>
          <w:tcPr>
            <w:tcW w:w="1620" w:type="dxa"/>
            <w:tcBorders>
              <w:top w:val="nil"/>
              <w:left w:val="nil"/>
              <w:bottom w:val="single" w:sz="4" w:space="0" w:color="auto"/>
              <w:right w:val="single" w:sz="4" w:space="0" w:color="auto"/>
            </w:tcBorders>
            <w:shd w:val="clear" w:color="auto" w:fill="auto"/>
            <w:noWrap/>
            <w:vAlign w:val="center"/>
            <w:hideMark/>
          </w:tcPr>
          <w:p w:rsidR="001F594F" w:rsidRPr="00876536" w:rsidRDefault="001F594F" w:rsidP="001F594F">
            <w:pPr>
              <w:widowControl/>
              <w:autoSpaceDE/>
              <w:autoSpaceDN/>
              <w:adjustRightInd/>
              <w:jc w:val="center"/>
              <w:rPr>
                <w:rFonts w:ascii="Calibri" w:hAnsi="Calibri"/>
                <w:color w:val="FF0000"/>
                <w:szCs w:val="22"/>
              </w:rPr>
            </w:pPr>
          </w:p>
        </w:tc>
        <w:tc>
          <w:tcPr>
            <w:tcW w:w="1440" w:type="dxa"/>
            <w:tcBorders>
              <w:top w:val="nil"/>
              <w:left w:val="nil"/>
              <w:bottom w:val="single" w:sz="4" w:space="0" w:color="auto"/>
              <w:right w:val="single" w:sz="4" w:space="0" w:color="auto"/>
            </w:tcBorders>
            <w:shd w:val="clear" w:color="auto" w:fill="auto"/>
            <w:noWrap/>
            <w:vAlign w:val="bottom"/>
            <w:hideMark/>
          </w:tcPr>
          <w:p w:rsidR="001F594F" w:rsidRPr="00876536" w:rsidRDefault="001F594F" w:rsidP="00900A76">
            <w:pPr>
              <w:rPr>
                <w:rFonts w:ascii="Calibri" w:hAnsi="Calibri"/>
                <w:color w:val="FF0000"/>
                <w:szCs w:val="22"/>
              </w:rPr>
            </w:pPr>
            <w:r w:rsidRPr="00876536">
              <w:rPr>
                <w:rFonts w:ascii="Calibri" w:hAnsi="Calibri"/>
                <w:color w:val="FF0000"/>
                <w:szCs w:val="22"/>
              </w:rPr>
              <w:t xml:space="preserve"> </w:t>
            </w:r>
            <w:r w:rsidRPr="00876536">
              <w:rPr>
                <w:rFonts w:ascii="Calibri" w:hAnsi="Calibri"/>
                <w:color w:val="FF0000"/>
                <w:sz w:val="22"/>
                <w:szCs w:val="22"/>
              </w:rPr>
              <w:t>$   3,1</w:t>
            </w:r>
            <w:r w:rsidR="00900A76">
              <w:rPr>
                <w:rFonts w:ascii="Calibri" w:hAnsi="Calibri"/>
                <w:color w:val="FF0000"/>
                <w:sz w:val="22"/>
                <w:szCs w:val="22"/>
              </w:rPr>
              <w:t>3</w:t>
            </w:r>
            <w:r w:rsidRPr="00876536">
              <w:rPr>
                <w:rFonts w:ascii="Calibri" w:hAnsi="Calibri"/>
                <w:color w:val="FF0000"/>
                <w:sz w:val="22"/>
                <w:szCs w:val="22"/>
              </w:rPr>
              <w:t>4</w:t>
            </w:r>
          </w:p>
        </w:tc>
      </w:tr>
    </w:tbl>
    <w:p w:rsidR="001F594F" w:rsidRPr="001F594F" w:rsidRDefault="001F594F" w:rsidP="001F594F">
      <w:pPr>
        <w:widowControl/>
        <w:spacing w:line="360" w:lineRule="auto"/>
        <w:ind w:firstLine="720"/>
        <w:rPr>
          <w:sz w:val="24"/>
          <w:szCs w:val="24"/>
        </w:rPr>
      </w:pPr>
    </w:p>
    <w:p w:rsidR="00B1351A" w:rsidRPr="00CF0317" w:rsidRDefault="001F594F" w:rsidP="001C5BC0">
      <w:pPr>
        <w:widowControl/>
        <w:spacing w:line="360" w:lineRule="auto"/>
        <w:rPr>
          <w:sz w:val="24"/>
          <w:szCs w:val="24"/>
        </w:rPr>
      </w:pPr>
      <w:r w:rsidRPr="00CF0317" w:rsidDel="001F594F">
        <w:rPr>
          <w:sz w:val="24"/>
          <w:szCs w:val="24"/>
        </w:rPr>
        <w:t xml:space="preserve"> </w:t>
      </w:r>
      <w:r w:rsidR="00B1351A" w:rsidRPr="00CF0317">
        <w:rPr>
          <w:i/>
          <w:iCs/>
          <w:sz w:val="24"/>
          <w:szCs w:val="24"/>
        </w:rPr>
        <w:t xml:space="preserve">(c)  </w:t>
      </w:r>
      <w:r w:rsidR="00DC4234" w:rsidRPr="00CF0317">
        <w:rPr>
          <w:i/>
          <w:iCs/>
          <w:sz w:val="24"/>
          <w:szCs w:val="24"/>
        </w:rPr>
        <w:tab/>
      </w:r>
      <w:r w:rsidR="00B1351A" w:rsidRPr="00CF0317">
        <w:rPr>
          <w:i/>
          <w:iCs/>
          <w:sz w:val="24"/>
          <w:szCs w:val="24"/>
        </w:rPr>
        <w:t>Estimating Agency Burden and Cost</w:t>
      </w:r>
      <w:r w:rsidR="00B1351A" w:rsidRPr="00CF0317">
        <w:rPr>
          <w:sz w:val="24"/>
          <w:szCs w:val="24"/>
        </w:rPr>
        <w:t>.</w:t>
      </w:r>
    </w:p>
    <w:p w:rsidR="00B1351A" w:rsidRPr="00CF0317" w:rsidRDefault="00B1351A" w:rsidP="007E7E52">
      <w:pPr>
        <w:widowControl/>
        <w:spacing w:line="360" w:lineRule="auto"/>
        <w:rPr>
          <w:sz w:val="24"/>
          <w:szCs w:val="24"/>
        </w:rPr>
      </w:pPr>
      <w:r w:rsidRPr="00CF0317">
        <w:rPr>
          <w:sz w:val="24"/>
          <w:szCs w:val="24"/>
        </w:rPr>
        <w:tab/>
        <w:t>Because the information collection requirements were developed as an incidental part of standards development, no costs can be attributed to the development of the information collection requirements</w:t>
      </w:r>
      <w:r w:rsidR="005F45FC">
        <w:rPr>
          <w:sz w:val="24"/>
          <w:szCs w:val="24"/>
        </w:rPr>
        <w:t xml:space="preserve">. </w:t>
      </w:r>
      <w:r w:rsidRPr="00CF0317">
        <w:rPr>
          <w:sz w:val="24"/>
          <w:szCs w:val="24"/>
        </w:rPr>
        <w:t xml:space="preserve">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w:t>
      </w:r>
      <w:r w:rsidR="00AC11D0" w:rsidRPr="00CF0317">
        <w:rPr>
          <w:sz w:val="24"/>
          <w:szCs w:val="24"/>
        </w:rPr>
        <w:lastRenderedPageBreak/>
        <w:t xml:space="preserve">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Government</w:t>
      </w:r>
      <w:r w:rsidR="005F45FC">
        <w:rPr>
          <w:sz w:val="24"/>
          <w:szCs w:val="24"/>
        </w:rPr>
        <w:t xml:space="preserve">. </w:t>
      </w:r>
      <w:r w:rsidRPr="00CF0317">
        <w:rPr>
          <w:sz w:val="24"/>
          <w:szCs w:val="24"/>
        </w:rPr>
        <w:t>Publication and distribution of the information are part of the Compliance Data System, with the result that no Federal costs can be directly attributed to the ICR</w:t>
      </w:r>
      <w:r w:rsidR="005F45FC">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ces that is part of EPA’</w:t>
      </w:r>
      <w:r w:rsidRPr="00CF0317">
        <w:rPr>
          <w:sz w:val="24"/>
          <w:szCs w:val="24"/>
        </w:rPr>
        <w:t>s overall compliance and enforcement program, and, therefore, is not attributable to the ICR</w:t>
      </w:r>
      <w:r w:rsidR="005F45FC">
        <w:rPr>
          <w:sz w:val="24"/>
          <w:szCs w:val="24"/>
        </w:rPr>
        <w:t xml:space="preserve">. </w:t>
      </w:r>
      <w:r w:rsidRPr="00CF0317">
        <w:rPr>
          <w:sz w:val="24"/>
          <w:szCs w:val="24"/>
        </w:rPr>
        <w:t>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Pr="00CF0317">
        <w:rPr>
          <w:sz w:val="24"/>
          <w:szCs w:val="24"/>
        </w:rPr>
        <w:t>3</w:t>
      </w:r>
      <w:r w:rsidR="00A45132" w:rsidRPr="00CF0317">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w:t>
      </w:r>
      <w:r w:rsidR="005F45FC">
        <w:rPr>
          <w:sz w:val="24"/>
          <w:szCs w:val="24"/>
        </w:rPr>
        <w:t xml:space="preserve">. </w:t>
      </w:r>
      <w:r w:rsidR="00CF0317" w:rsidRPr="00451AED">
        <w:rPr>
          <w:sz w:val="24"/>
          <w:szCs w:val="24"/>
        </w:rPr>
        <w:t>These rates can be obtained from Salary Table 20</w:t>
      </w:r>
      <w:r w:rsidR="00CF0317">
        <w:rPr>
          <w:sz w:val="24"/>
          <w:szCs w:val="24"/>
        </w:rPr>
        <w:t>10</w:t>
      </w:r>
      <w:r w:rsidR="00CF0317" w:rsidRPr="00451AED">
        <w:rPr>
          <w:sz w:val="24"/>
          <w:szCs w:val="24"/>
        </w:rPr>
        <w:t xml:space="preserve">-GS available on the OPM website, </w:t>
      </w:r>
      <w:hyperlink r:id="rId9" w:history="1">
        <w:r w:rsidR="00CF0317" w:rsidRPr="005D53F5">
          <w:rPr>
            <w:rStyle w:val="Hyperlink"/>
            <w:sz w:val="24"/>
            <w:szCs w:val="24"/>
          </w:rPr>
          <w:t>http://www.opm.gov/oca/10tables/pdf/gs_h.pdf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w:t>
      </w:r>
      <w:r w:rsidR="005F45FC">
        <w:rPr>
          <w:sz w:val="24"/>
          <w:szCs w:val="24"/>
        </w:rPr>
        <w:t xml:space="preserve">. </w:t>
      </w:r>
      <w:r w:rsidR="00CF0317" w:rsidRPr="00451AED">
        <w:rPr>
          <w:sz w:val="24"/>
          <w:szCs w:val="24"/>
        </w:rPr>
        <w:t>These rates were increased by 60 percent to include fringe benefits and overhead</w:t>
      </w:r>
      <w:r w:rsidR="005F45FC">
        <w:rPr>
          <w:sz w:val="24"/>
          <w:szCs w:val="24"/>
        </w:rPr>
        <w:t xml:space="preserve">. </w:t>
      </w:r>
      <w:r w:rsidR="00CF0317" w:rsidRPr="00451AED">
        <w:rPr>
          <w:sz w:val="24"/>
          <w:szCs w:val="24"/>
        </w:rPr>
        <w:t>The fully-burdened wage rates used to represent Agency labor costs are:  clerical at $</w:t>
      </w:r>
      <w:r w:rsidR="00CF0317">
        <w:rPr>
          <w:sz w:val="24"/>
          <w:szCs w:val="24"/>
        </w:rPr>
        <w:t>25.01</w:t>
      </w:r>
      <w:r w:rsidR="000B4288">
        <w:rPr>
          <w:sz w:val="24"/>
          <w:szCs w:val="24"/>
        </w:rPr>
        <w:t>/hour</w:t>
      </w:r>
      <w:r w:rsidR="00CF0317" w:rsidRPr="00451AED">
        <w:rPr>
          <w:sz w:val="24"/>
          <w:szCs w:val="24"/>
        </w:rPr>
        <w:t>; technical at $</w:t>
      </w:r>
      <w:r w:rsidR="00CF0317">
        <w:rPr>
          <w:sz w:val="24"/>
          <w:szCs w:val="24"/>
        </w:rPr>
        <w:t>46.21</w:t>
      </w:r>
      <w:r w:rsidR="000B4288">
        <w:rPr>
          <w:sz w:val="24"/>
          <w:szCs w:val="24"/>
        </w:rPr>
        <w:t>/hour</w:t>
      </w:r>
      <w:r w:rsidR="00CF0317" w:rsidRPr="00451AED">
        <w:rPr>
          <w:sz w:val="24"/>
          <w:szCs w:val="24"/>
        </w:rPr>
        <w:t>, and management at $</w:t>
      </w:r>
      <w:r w:rsidR="00CF0317">
        <w:rPr>
          <w:sz w:val="24"/>
          <w:szCs w:val="24"/>
        </w:rPr>
        <w:t>62.27</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282482">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282482" w:rsidRPr="00476BC3">
        <w:rPr>
          <w:sz w:val="24"/>
          <w:szCs w:val="24"/>
        </w:rPr>
        <w:t xml:space="preserve">406 </w:t>
      </w:r>
      <w:r w:rsidR="001F7E95" w:rsidRPr="00476BC3">
        <w:rPr>
          <w:sz w:val="24"/>
          <w:szCs w:val="24"/>
        </w:rPr>
        <w:t xml:space="preserve">existing </w:t>
      </w:r>
      <w:r w:rsidR="005F6ED5" w:rsidRPr="00476BC3">
        <w:rPr>
          <w:sz w:val="24"/>
          <w:szCs w:val="24"/>
        </w:rPr>
        <w:t xml:space="preserve">facilities </w:t>
      </w:r>
      <w:r w:rsidR="00853E95" w:rsidRPr="00476BC3">
        <w:rPr>
          <w:sz w:val="24"/>
          <w:szCs w:val="24"/>
        </w:rPr>
        <w:t xml:space="preserve">that </w:t>
      </w:r>
      <w:r w:rsidR="005726F8" w:rsidRPr="00476BC3">
        <w:rPr>
          <w:sz w:val="24"/>
          <w:szCs w:val="24"/>
        </w:rPr>
        <w:t>are</w:t>
      </w:r>
      <w:r w:rsidR="00853E95" w:rsidRPr="00476BC3">
        <w:rPr>
          <w:sz w:val="24"/>
          <w:szCs w:val="24"/>
        </w:rPr>
        <w:t xml:space="preserve"> </w:t>
      </w:r>
      <w:r w:rsidR="005F6ED5" w:rsidRPr="00476BC3">
        <w:rPr>
          <w:sz w:val="24"/>
          <w:szCs w:val="24"/>
        </w:rPr>
        <w:t xml:space="preserve">subject to the </w:t>
      </w:r>
      <w:r w:rsidR="003C3074" w:rsidRPr="00476BC3">
        <w:rPr>
          <w:sz w:val="24"/>
          <w:szCs w:val="24"/>
        </w:rPr>
        <w:t xml:space="preserve">Wood Furniture </w:t>
      </w:r>
      <w:r w:rsidR="00853E95" w:rsidRPr="00476BC3">
        <w:rPr>
          <w:sz w:val="24"/>
          <w:szCs w:val="24"/>
        </w:rPr>
        <w:t>N</w:t>
      </w:r>
      <w:r w:rsidR="005F6ED5" w:rsidRPr="00476BC3">
        <w:rPr>
          <w:sz w:val="24"/>
          <w:szCs w:val="24"/>
        </w:rPr>
        <w:t>ESHAP</w:t>
      </w:r>
      <w:r w:rsidR="005F45FC">
        <w:rPr>
          <w:sz w:val="24"/>
          <w:szCs w:val="24"/>
        </w:rPr>
        <w:t xml:space="preserve">. </w:t>
      </w:r>
      <w:r w:rsidRPr="00476BC3">
        <w:rPr>
          <w:sz w:val="24"/>
          <w:szCs w:val="24"/>
        </w:rPr>
        <w:t>No new sources are expected during the next 3 years</w:t>
      </w:r>
      <w:r w:rsidR="005F45FC">
        <w:rPr>
          <w:sz w:val="24"/>
          <w:szCs w:val="24"/>
        </w:rPr>
        <w:t xml:space="preserve">. </w:t>
      </w:r>
      <w:r w:rsidRPr="00476BC3">
        <w:rPr>
          <w:sz w:val="24"/>
          <w:szCs w:val="24"/>
        </w:rPr>
        <w:t xml:space="preserve">Consequently, the average number of </w:t>
      </w:r>
      <w:r w:rsidR="003C3074" w:rsidRPr="00476BC3">
        <w:rPr>
          <w:sz w:val="24"/>
          <w:szCs w:val="24"/>
        </w:rPr>
        <w:t xml:space="preserve">wood furniture </w:t>
      </w:r>
      <w:r w:rsidR="005726F8" w:rsidRPr="00476BC3">
        <w:rPr>
          <w:sz w:val="24"/>
          <w:szCs w:val="24"/>
        </w:rPr>
        <w:t>respondents during</w:t>
      </w:r>
      <w:r w:rsidR="00853E95" w:rsidRPr="00476BC3">
        <w:rPr>
          <w:sz w:val="24"/>
          <w:szCs w:val="24"/>
        </w:rPr>
        <w:t xml:space="preserve"> </w:t>
      </w:r>
      <w:r w:rsidRPr="00476BC3">
        <w:rPr>
          <w:sz w:val="24"/>
          <w:szCs w:val="24"/>
        </w:rPr>
        <w:t>the 3</w:t>
      </w:r>
      <w:r w:rsidR="001D08CE" w:rsidRPr="00476BC3">
        <w:rPr>
          <w:sz w:val="24"/>
          <w:szCs w:val="24"/>
        </w:rPr>
        <w:t>-</w:t>
      </w:r>
      <w:r w:rsidRPr="00476BC3">
        <w:rPr>
          <w:sz w:val="24"/>
          <w:szCs w:val="24"/>
        </w:rPr>
        <w:t xml:space="preserve">year period of this ICR is </w:t>
      </w:r>
      <w:r w:rsidR="00282482" w:rsidRPr="00476BC3">
        <w:rPr>
          <w:sz w:val="24"/>
          <w:szCs w:val="24"/>
        </w:rPr>
        <w:t>135</w:t>
      </w:r>
      <w:r w:rsidRPr="00476BC3">
        <w:rPr>
          <w:sz w:val="24"/>
          <w:szCs w:val="24"/>
        </w:rPr>
        <w:t>.</w:t>
      </w:r>
      <w:r w:rsidR="00853E95" w:rsidRPr="00476BC3">
        <w:rPr>
          <w:sz w:val="24"/>
          <w:szCs w:val="24"/>
        </w:rPr>
        <w:t xml:space="preserve"> </w:t>
      </w:r>
    </w:p>
    <w:p w:rsidR="00466BEE" w:rsidRPr="00476BC3" w:rsidRDefault="001646D0" w:rsidP="002358B6">
      <w:pPr>
        <w:widowControl/>
        <w:spacing w:line="360" w:lineRule="auto"/>
        <w:ind w:firstLine="720"/>
        <w:rPr>
          <w:sz w:val="24"/>
          <w:szCs w:val="24"/>
        </w:rPr>
      </w:pPr>
      <w:r w:rsidRPr="00476BC3">
        <w:rPr>
          <w:sz w:val="24"/>
          <w:szCs w:val="24"/>
        </w:rPr>
        <w:t xml:space="preserve">For the </w:t>
      </w:r>
      <w:r w:rsidR="002330BE" w:rsidRPr="00476BC3">
        <w:rPr>
          <w:sz w:val="24"/>
          <w:szCs w:val="24"/>
        </w:rPr>
        <w:t xml:space="preserve">amendments to the </w:t>
      </w:r>
      <w:r w:rsidR="003C3074" w:rsidRPr="00476BC3">
        <w:rPr>
          <w:sz w:val="24"/>
          <w:szCs w:val="24"/>
        </w:rPr>
        <w:t xml:space="preserve">Wood Furniture </w:t>
      </w:r>
      <w:r w:rsidR="00BF3B19" w:rsidRPr="00476BC3">
        <w:rPr>
          <w:sz w:val="24"/>
          <w:szCs w:val="24"/>
        </w:rPr>
        <w:t>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4A6B5B" w:rsidRPr="00476BC3">
        <w:rPr>
          <w:sz w:val="24"/>
          <w:szCs w:val="24"/>
        </w:rPr>
        <w:t>;</w:t>
      </w:r>
      <w:r w:rsidR="00CB6CC7" w:rsidRPr="00476BC3">
        <w:rPr>
          <w:sz w:val="24"/>
          <w:szCs w:val="24"/>
        </w:rPr>
        <w:t xml:space="preserve"> </w:t>
      </w:r>
      <w:r w:rsidR="004A6B5B" w:rsidRPr="00476BC3">
        <w:rPr>
          <w:sz w:val="24"/>
          <w:szCs w:val="24"/>
        </w:rPr>
        <w:t xml:space="preserve">collecting coating usage information and calculating formaldehyde emissions </w:t>
      </w:r>
      <w:r w:rsidR="002358B6">
        <w:rPr>
          <w:sz w:val="24"/>
          <w:szCs w:val="24"/>
        </w:rPr>
        <w:t>or usage</w:t>
      </w:r>
      <w:r w:rsidR="004A6B5B" w:rsidRPr="00476BC3">
        <w:rPr>
          <w:sz w:val="24"/>
          <w:szCs w:val="24"/>
        </w:rPr>
        <w:t>; and reporting those formaldehyde emissions on an annual basis</w:t>
      </w:r>
      <w:r w:rsidR="00CB6CC7" w:rsidRPr="00476BC3">
        <w:rPr>
          <w:sz w:val="24"/>
          <w:szCs w:val="24"/>
        </w:rPr>
        <w:t>; all other recordkeeping and reporting activities are already accounted for in the ICR for the NESHAP.</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8B15B2" w:rsidRPr="00476BC3" w:rsidRDefault="00B1351A" w:rsidP="00282482">
      <w:pPr>
        <w:widowControl/>
        <w:spacing w:line="360" w:lineRule="auto"/>
        <w:ind w:firstLine="720"/>
        <w:rPr>
          <w:sz w:val="24"/>
          <w:szCs w:val="24"/>
        </w:rPr>
      </w:pPr>
      <w:r w:rsidRPr="00476BC3">
        <w:rPr>
          <w:i/>
          <w:iCs/>
          <w:sz w:val="24"/>
          <w:szCs w:val="24"/>
        </w:rPr>
        <w:t>(i)  Respondent tally</w:t>
      </w:r>
      <w:r w:rsidR="005F45FC">
        <w:rPr>
          <w:i/>
          <w:iCs/>
          <w:sz w:val="24"/>
          <w:szCs w:val="24"/>
        </w:rPr>
        <w:t xml:space="preserve">. </w:t>
      </w:r>
      <w:r w:rsidRPr="00476BC3">
        <w:rPr>
          <w:sz w:val="24"/>
          <w:szCs w:val="24"/>
        </w:rPr>
        <w:t>The bottom line respondent burden hours and costs, presented in Table 2</w:t>
      </w:r>
      <w:r w:rsidR="00F42FB2" w:rsidRPr="00476BC3">
        <w:rPr>
          <w:sz w:val="24"/>
          <w:szCs w:val="24"/>
        </w:rPr>
        <w:t xml:space="preserve"> </w:t>
      </w:r>
      <w:r w:rsidRPr="00476BC3">
        <w:rPr>
          <w:sz w:val="24"/>
          <w:szCs w:val="24"/>
        </w:rPr>
        <w:t>are calculated by adding person-hours per year down each column for technical, managerial, and clerical staff, and by adding down the cost column</w:t>
      </w:r>
      <w:r w:rsidR="005F45FC">
        <w:rPr>
          <w:sz w:val="24"/>
          <w:szCs w:val="24"/>
        </w:rPr>
        <w:t xml:space="preserve">. </w:t>
      </w:r>
      <w:r w:rsidRPr="00476BC3">
        <w:rPr>
          <w:sz w:val="24"/>
          <w:szCs w:val="24"/>
        </w:rPr>
        <w:t xml:space="preserve">The average annual burden for the recordkeeping and reporting requirements in </w:t>
      </w:r>
      <w:r w:rsidR="00C368ED" w:rsidRPr="00476BC3">
        <w:rPr>
          <w:sz w:val="24"/>
          <w:szCs w:val="24"/>
        </w:rPr>
        <w:t xml:space="preserve">the amendments to </w:t>
      </w:r>
      <w:r w:rsidR="00552CF0" w:rsidRPr="00476BC3">
        <w:rPr>
          <w:sz w:val="24"/>
          <w:szCs w:val="24"/>
        </w:rPr>
        <w:t xml:space="preserve">subpart </w:t>
      </w:r>
      <w:r w:rsidR="00083394" w:rsidRPr="00476BC3">
        <w:rPr>
          <w:sz w:val="24"/>
          <w:szCs w:val="24"/>
        </w:rPr>
        <w:t>JJ</w:t>
      </w:r>
      <w:r w:rsidR="00C368ED" w:rsidRPr="00476BC3">
        <w:rPr>
          <w:sz w:val="24"/>
          <w:szCs w:val="24"/>
        </w:rPr>
        <w:t xml:space="preserve"> </w:t>
      </w:r>
      <w:r w:rsidR="00552CF0" w:rsidRPr="00476BC3">
        <w:rPr>
          <w:sz w:val="24"/>
          <w:szCs w:val="24"/>
        </w:rPr>
        <w:t xml:space="preserve">for </w:t>
      </w:r>
      <w:r w:rsidR="002C5DA3" w:rsidRPr="00476BC3">
        <w:rPr>
          <w:sz w:val="24"/>
          <w:szCs w:val="24"/>
        </w:rPr>
        <w:t xml:space="preserve">the </w:t>
      </w:r>
      <w:r w:rsidR="00282482" w:rsidRPr="00476BC3">
        <w:rPr>
          <w:sz w:val="24"/>
          <w:szCs w:val="24"/>
        </w:rPr>
        <w:t>406</w:t>
      </w:r>
      <w:r w:rsidR="00B53ABC" w:rsidRPr="00476BC3">
        <w:rPr>
          <w:sz w:val="24"/>
          <w:szCs w:val="24"/>
        </w:rPr>
        <w:t xml:space="preserve"> </w:t>
      </w:r>
      <w:r w:rsidR="00CF07BB" w:rsidRPr="00476BC3">
        <w:rPr>
          <w:sz w:val="24"/>
          <w:szCs w:val="24"/>
        </w:rPr>
        <w:lastRenderedPageBreak/>
        <w:t xml:space="preserve">existing </w:t>
      </w:r>
      <w:r w:rsidR="005F6ED5" w:rsidRPr="00476BC3">
        <w:rPr>
          <w:sz w:val="24"/>
          <w:szCs w:val="24"/>
        </w:rPr>
        <w:t xml:space="preserve">facilities </w:t>
      </w:r>
      <w:r w:rsidR="00B53ABC" w:rsidRPr="00476BC3">
        <w:rPr>
          <w:sz w:val="24"/>
          <w:szCs w:val="24"/>
        </w:rPr>
        <w:t xml:space="preserve">that </w:t>
      </w:r>
      <w:r w:rsidR="00C368ED" w:rsidRPr="00476BC3">
        <w:rPr>
          <w:sz w:val="24"/>
          <w:szCs w:val="24"/>
        </w:rPr>
        <w:t xml:space="preserve">are </w:t>
      </w:r>
      <w:r w:rsidR="005F6ED5" w:rsidRPr="00476BC3">
        <w:rPr>
          <w:sz w:val="24"/>
          <w:szCs w:val="24"/>
        </w:rPr>
        <w:t xml:space="preserve">subject to the </w:t>
      </w:r>
      <w:r w:rsidR="00EC2688" w:rsidRPr="00476BC3">
        <w:rPr>
          <w:sz w:val="24"/>
          <w:szCs w:val="24"/>
        </w:rPr>
        <w:t>Wood Furniture</w:t>
      </w:r>
      <w:r w:rsidR="00B47473" w:rsidRPr="00476BC3">
        <w:rPr>
          <w:sz w:val="24"/>
          <w:szCs w:val="24"/>
        </w:rPr>
        <w:t xml:space="preserve"> </w:t>
      </w:r>
      <w:r w:rsidR="005F6ED5" w:rsidRPr="00476BC3">
        <w:rPr>
          <w:sz w:val="24"/>
          <w:szCs w:val="24"/>
        </w:rPr>
        <w:t>NESHAP</w:t>
      </w:r>
      <w:r w:rsidR="002C5DA3" w:rsidRPr="00476BC3">
        <w:rPr>
          <w:sz w:val="24"/>
          <w:szCs w:val="24"/>
        </w:rPr>
        <w:t xml:space="preserve"> </w:t>
      </w:r>
      <w:r w:rsidR="00E4173F" w:rsidRPr="00476BC3">
        <w:rPr>
          <w:sz w:val="24"/>
          <w:szCs w:val="24"/>
        </w:rPr>
        <w:t xml:space="preserve">is </w:t>
      </w:r>
      <w:r w:rsidR="00282482" w:rsidRPr="00476BC3">
        <w:rPr>
          <w:sz w:val="24"/>
          <w:szCs w:val="24"/>
        </w:rPr>
        <w:t>2,001</w:t>
      </w:r>
      <w:r w:rsidR="000B4288" w:rsidRPr="00476BC3">
        <w:rPr>
          <w:sz w:val="24"/>
          <w:szCs w:val="24"/>
        </w:rPr>
        <w:t> </w:t>
      </w:r>
      <w:r w:rsidRPr="00476BC3">
        <w:rPr>
          <w:sz w:val="24"/>
          <w:szCs w:val="24"/>
        </w:rPr>
        <w:t>person</w:t>
      </w:r>
      <w:r w:rsidR="00AC678A" w:rsidRPr="00476BC3">
        <w:rPr>
          <w:sz w:val="24"/>
          <w:szCs w:val="24"/>
        </w:rPr>
        <w:t>-</w:t>
      </w:r>
      <w:r w:rsidRPr="00476BC3">
        <w:rPr>
          <w:sz w:val="24"/>
          <w:szCs w:val="24"/>
        </w:rPr>
        <w:t>hours</w:t>
      </w:r>
      <w:r w:rsidR="0011196D" w:rsidRPr="00476BC3">
        <w:rPr>
          <w:sz w:val="24"/>
          <w:szCs w:val="24"/>
        </w:rPr>
        <w:t>,</w:t>
      </w:r>
      <w:r w:rsidRPr="00476BC3">
        <w:rPr>
          <w:sz w:val="24"/>
          <w:szCs w:val="24"/>
        </w:rPr>
        <w:t xml:space="preserve"> with an annual average cost of </w:t>
      </w:r>
      <w:r w:rsidR="006370D6" w:rsidRPr="00476BC3">
        <w:rPr>
          <w:sz w:val="24"/>
          <w:szCs w:val="24"/>
        </w:rPr>
        <w:t>$</w:t>
      </w:r>
      <w:r w:rsidR="000B4288" w:rsidRPr="00476BC3">
        <w:rPr>
          <w:sz w:val="24"/>
          <w:szCs w:val="24"/>
        </w:rPr>
        <w:t>1</w:t>
      </w:r>
      <w:r w:rsidR="00282482" w:rsidRPr="00476BC3">
        <w:rPr>
          <w:sz w:val="24"/>
          <w:szCs w:val="24"/>
        </w:rPr>
        <w:t>88</w:t>
      </w:r>
      <w:r w:rsidR="000B4288" w:rsidRPr="00476BC3">
        <w:rPr>
          <w:sz w:val="24"/>
          <w:szCs w:val="24"/>
        </w:rPr>
        <w:t>,</w:t>
      </w:r>
      <w:r w:rsidR="00282482" w:rsidRPr="00476BC3">
        <w:rPr>
          <w:sz w:val="24"/>
          <w:szCs w:val="24"/>
        </w:rPr>
        <w:t>188</w:t>
      </w:r>
      <w:r w:rsidR="005F45FC">
        <w:rPr>
          <w:sz w:val="24"/>
          <w:szCs w:val="24"/>
        </w:rPr>
        <w:t xml:space="preserve">. </w:t>
      </w:r>
      <w:r w:rsidR="00C368ED" w:rsidRPr="00476BC3">
        <w:rPr>
          <w:sz w:val="24"/>
          <w:szCs w:val="24"/>
        </w:rPr>
        <w:t>No capital costs</w:t>
      </w:r>
      <w:r w:rsidR="00E4173F" w:rsidRPr="00476BC3">
        <w:rPr>
          <w:sz w:val="24"/>
          <w:szCs w:val="24"/>
        </w:rPr>
        <w:t xml:space="preserve"> </w:t>
      </w:r>
      <w:r w:rsidR="00C368ED" w:rsidRPr="00476BC3">
        <w:rPr>
          <w:sz w:val="24"/>
          <w:szCs w:val="24"/>
        </w:rPr>
        <w:t>would be expected</w:t>
      </w:r>
      <w:r w:rsidR="00282482" w:rsidRPr="00476BC3">
        <w:rPr>
          <w:sz w:val="24"/>
          <w:szCs w:val="24"/>
        </w:rPr>
        <w:t xml:space="preserve"> for the amendments</w:t>
      </w:r>
      <w:r w:rsidR="00E71D0C" w:rsidRPr="00476BC3">
        <w:rPr>
          <w:sz w:val="24"/>
          <w:szCs w:val="24"/>
        </w:rPr>
        <w:t>.</w:t>
      </w:r>
    </w:p>
    <w:p w:rsidR="00B1351A" w:rsidRPr="00C368ED" w:rsidRDefault="00B1351A" w:rsidP="00282482">
      <w:pPr>
        <w:widowControl/>
        <w:spacing w:line="360" w:lineRule="auto"/>
        <w:rPr>
          <w:sz w:val="24"/>
          <w:szCs w:val="24"/>
        </w:rPr>
      </w:pPr>
      <w:r w:rsidRPr="00476BC3">
        <w:rPr>
          <w:sz w:val="24"/>
          <w:szCs w:val="24"/>
        </w:rPr>
        <w:tab/>
      </w:r>
      <w:r w:rsidRPr="00476BC3">
        <w:rPr>
          <w:i/>
          <w:iCs/>
          <w:sz w:val="24"/>
          <w:szCs w:val="24"/>
        </w:rPr>
        <w:t>(ii)  The Agency tally</w:t>
      </w:r>
      <w:r w:rsidR="005F45FC">
        <w:rPr>
          <w:i/>
          <w:iCs/>
          <w:sz w:val="24"/>
          <w:szCs w:val="24"/>
        </w:rPr>
        <w:t xml:space="preserve">. </w:t>
      </w:r>
      <w:r w:rsidRPr="00476BC3">
        <w:rPr>
          <w:sz w:val="24"/>
          <w:szCs w:val="24"/>
        </w:rPr>
        <w:t xml:space="preserve">The </w:t>
      </w:r>
      <w:r w:rsidR="006944FE" w:rsidRPr="00476BC3">
        <w:rPr>
          <w:sz w:val="24"/>
          <w:szCs w:val="24"/>
        </w:rPr>
        <w:t>average</w:t>
      </w:r>
      <w:r w:rsidR="004F7032" w:rsidRPr="00476BC3">
        <w:rPr>
          <w:sz w:val="24"/>
          <w:szCs w:val="24"/>
        </w:rPr>
        <w:t xml:space="preserve"> </w:t>
      </w:r>
      <w:r w:rsidRPr="00476BC3">
        <w:rPr>
          <w:sz w:val="24"/>
          <w:szCs w:val="24"/>
        </w:rPr>
        <w:t>annual Federal Go</w:t>
      </w:r>
      <w:r w:rsidR="003E305D" w:rsidRPr="00476BC3">
        <w:rPr>
          <w:sz w:val="24"/>
          <w:szCs w:val="24"/>
        </w:rPr>
        <w:t>vernment cost is $</w:t>
      </w:r>
      <w:r w:rsidR="00282482" w:rsidRPr="00476BC3">
        <w:rPr>
          <w:sz w:val="24"/>
          <w:szCs w:val="24"/>
        </w:rPr>
        <w:t>5,182</w:t>
      </w:r>
      <w:r w:rsidR="0027747A" w:rsidRPr="00476BC3">
        <w:rPr>
          <w:sz w:val="24"/>
          <w:szCs w:val="24"/>
        </w:rPr>
        <w:t xml:space="preserve"> </w:t>
      </w:r>
      <w:r w:rsidR="003E305D" w:rsidRPr="00476BC3">
        <w:rPr>
          <w:sz w:val="24"/>
          <w:szCs w:val="24"/>
        </w:rPr>
        <w:t xml:space="preserve">for </w:t>
      </w:r>
      <w:r w:rsidR="00586EDE" w:rsidRPr="00476BC3">
        <w:rPr>
          <w:sz w:val="24"/>
          <w:szCs w:val="24"/>
        </w:rPr>
        <w:t>1</w:t>
      </w:r>
      <w:r w:rsidR="00282482" w:rsidRPr="00476BC3">
        <w:rPr>
          <w:sz w:val="24"/>
          <w:szCs w:val="24"/>
        </w:rPr>
        <w:t>1</w:t>
      </w:r>
      <w:r w:rsidR="00586EDE" w:rsidRPr="00476BC3">
        <w:rPr>
          <w:sz w:val="24"/>
          <w:szCs w:val="24"/>
        </w:rPr>
        <w:t>5</w:t>
      </w:r>
      <w:r w:rsidR="003D3685" w:rsidRPr="00476BC3">
        <w:rPr>
          <w:sz w:val="24"/>
          <w:szCs w:val="24"/>
        </w:rPr>
        <w:t> </w:t>
      </w:r>
      <w:r w:rsidRPr="00476BC3">
        <w:rPr>
          <w:sz w:val="24"/>
          <w:szCs w:val="24"/>
        </w:rPr>
        <w:t>hours</w:t>
      </w:r>
      <w:r w:rsidR="006944FE" w:rsidRPr="00476BC3">
        <w:rPr>
          <w:sz w:val="24"/>
          <w:szCs w:val="24"/>
        </w:rPr>
        <w:t xml:space="preserve"> for </w:t>
      </w:r>
      <w:r w:rsidR="00586EDE" w:rsidRPr="00476BC3">
        <w:rPr>
          <w:sz w:val="24"/>
          <w:szCs w:val="24"/>
        </w:rPr>
        <w:t xml:space="preserve">the amendments to </w:t>
      </w:r>
      <w:r w:rsidR="006944FE" w:rsidRPr="00476BC3">
        <w:rPr>
          <w:sz w:val="24"/>
          <w:szCs w:val="24"/>
        </w:rPr>
        <w:t xml:space="preserve">subpart </w:t>
      </w:r>
      <w:r w:rsidR="00083394" w:rsidRPr="00476BC3">
        <w:rPr>
          <w:sz w:val="24"/>
          <w:szCs w:val="24"/>
        </w:rPr>
        <w:t>JJ</w:t>
      </w:r>
      <w:r w:rsidR="005F45FC">
        <w:rPr>
          <w:sz w:val="24"/>
          <w:szCs w:val="24"/>
        </w:rPr>
        <w:t xml:space="preserve">. </w:t>
      </w:r>
      <w:r w:rsidRPr="00476BC3">
        <w:rPr>
          <w:sz w:val="24"/>
          <w:szCs w:val="24"/>
        </w:rPr>
        <w:t>The bottom line Agency burden hours</w:t>
      </w:r>
      <w:r w:rsidRPr="00C368ED">
        <w:rPr>
          <w:sz w:val="24"/>
          <w:szCs w:val="24"/>
        </w:rPr>
        <w:t xml:space="preserve"> and costs presented in Table 3</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Pr="00C368ED"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005F45FC">
        <w:rPr>
          <w:i/>
          <w:iCs/>
          <w:sz w:val="24"/>
          <w:szCs w:val="24"/>
        </w:rPr>
        <w:t xml:space="preserve">. </w:t>
      </w:r>
      <w:r w:rsidRPr="00C368ED">
        <w:rPr>
          <w:sz w:val="24"/>
          <w:szCs w:val="24"/>
        </w:rPr>
        <w:t>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1F594F" w:rsidRPr="001F594F" w:rsidRDefault="00552CF0" w:rsidP="00900A76">
      <w:pPr>
        <w:widowControl/>
        <w:spacing w:line="360" w:lineRule="auto"/>
        <w:rPr>
          <w:sz w:val="24"/>
          <w:szCs w:val="24"/>
        </w:rPr>
      </w:pPr>
      <w:r w:rsidRPr="00C368ED">
        <w:rPr>
          <w:sz w:val="24"/>
          <w:szCs w:val="24"/>
        </w:rPr>
        <w:tab/>
      </w:r>
      <w:r w:rsidR="001F594F" w:rsidRPr="001F594F">
        <w:rPr>
          <w:sz w:val="24"/>
          <w:szCs w:val="24"/>
        </w:rPr>
        <w:t>EPA provides an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w:t>
      </w:r>
      <w:r w:rsidR="00D03764">
        <w:rPr>
          <w:sz w:val="24"/>
          <w:szCs w:val="24"/>
        </w:rPr>
        <w:t xml:space="preserve">ident totals approximately </w:t>
      </w:r>
      <w:r w:rsidR="001F594F" w:rsidRPr="001F594F">
        <w:rPr>
          <w:sz w:val="24"/>
          <w:szCs w:val="24"/>
        </w:rPr>
        <w:t>$3,1</w:t>
      </w:r>
      <w:r w:rsidR="00900A76">
        <w:rPr>
          <w:sz w:val="24"/>
          <w:szCs w:val="24"/>
        </w:rPr>
        <w:t>34</w:t>
      </w:r>
      <w:r w:rsidR="001F594F" w:rsidRPr="001F594F">
        <w:rPr>
          <w:sz w:val="24"/>
          <w:szCs w:val="24"/>
        </w:rPr>
        <w:t xml:space="preserve">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w:t>
      </w:r>
    </w:p>
    <w:p w:rsidR="00D03764" w:rsidRDefault="001F594F" w:rsidP="00D03764">
      <w:pPr>
        <w:widowControl/>
        <w:spacing w:line="360" w:lineRule="auto"/>
        <w:ind w:firstLine="720"/>
        <w:rPr>
          <w:i/>
          <w:iCs/>
          <w:sz w:val="24"/>
          <w:szCs w:val="24"/>
        </w:rPr>
      </w:pPr>
      <w:r w:rsidRPr="001F594F">
        <w:rPr>
          <w:sz w:val="24"/>
          <w:szCs w:val="24"/>
        </w:rPr>
        <w:t>For the purpose of estimating the annual burden in this category, EPA is attributing no instances of affir</w:t>
      </w:r>
      <w:r w:rsidR="009211FA">
        <w:rPr>
          <w:sz w:val="24"/>
          <w:szCs w:val="24"/>
        </w:rPr>
        <w:t xml:space="preserve">mative defense. The costs </w:t>
      </w:r>
      <w:r w:rsidRPr="001F594F">
        <w:rPr>
          <w:sz w:val="24"/>
          <w:szCs w:val="24"/>
        </w:rPr>
        <w:t>are illustrative of affirmative defense, which we see sources having no need for, given the technical reasons explained in the FRN.</w:t>
      </w:r>
    </w:p>
    <w:p w:rsidR="002179D0" w:rsidRPr="00F64D9D" w:rsidRDefault="00552CF0" w:rsidP="00D03764">
      <w:pPr>
        <w:widowControl/>
        <w:spacing w:line="360" w:lineRule="auto"/>
        <w:rPr>
          <w:i/>
          <w:iCs/>
          <w:sz w:val="24"/>
          <w:szCs w:val="24"/>
        </w:rPr>
      </w:pPr>
      <w:r w:rsidRPr="00F64D9D">
        <w:rPr>
          <w:i/>
          <w:iCs/>
          <w:sz w:val="24"/>
          <w:szCs w:val="24"/>
        </w:rPr>
        <w:t xml:space="preserve"> </w:t>
      </w:r>
      <w:r w:rsidR="00B1351A" w:rsidRPr="00F64D9D">
        <w:rPr>
          <w:i/>
          <w:iCs/>
          <w:sz w:val="24"/>
          <w:szCs w:val="24"/>
        </w:rPr>
        <w:t xml:space="preserve">(g)  </w:t>
      </w:r>
      <w:r w:rsidR="00DC4234" w:rsidRPr="00F64D9D">
        <w:rPr>
          <w:i/>
          <w:iCs/>
          <w:sz w:val="24"/>
          <w:szCs w:val="24"/>
        </w:rPr>
        <w:tab/>
      </w:r>
      <w:r w:rsidR="00B1351A" w:rsidRPr="00F64D9D">
        <w:rPr>
          <w:i/>
          <w:iCs/>
          <w:sz w:val="24"/>
          <w:szCs w:val="24"/>
        </w:rPr>
        <w:t>Burden Statement</w:t>
      </w:r>
    </w:p>
    <w:p w:rsidR="009D0C20" w:rsidRPr="00F64D9D" w:rsidRDefault="00B1351A" w:rsidP="00282482">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F64D9D" w:rsidRPr="00476BC3">
        <w:rPr>
          <w:sz w:val="24"/>
          <w:szCs w:val="24"/>
        </w:rPr>
        <w:t xml:space="preserve">amendments to the </w:t>
      </w:r>
      <w:r w:rsidR="00083394" w:rsidRPr="00476BC3">
        <w:rPr>
          <w:sz w:val="24"/>
          <w:szCs w:val="24"/>
        </w:rPr>
        <w:t xml:space="preserve">Wood Furniture </w:t>
      </w:r>
      <w:r w:rsidR="00552CF0" w:rsidRPr="00476BC3">
        <w:rPr>
          <w:sz w:val="24"/>
          <w:szCs w:val="24"/>
        </w:rPr>
        <w:t xml:space="preserve">NESHAP </w:t>
      </w:r>
      <w:r w:rsidRPr="00476BC3">
        <w:rPr>
          <w:sz w:val="24"/>
          <w:szCs w:val="24"/>
        </w:rPr>
        <w:t>is estimated at</w:t>
      </w:r>
      <w:r w:rsidR="00586EDE" w:rsidRPr="00476BC3">
        <w:rPr>
          <w:sz w:val="24"/>
          <w:szCs w:val="24"/>
        </w:rPr>
        <w:t xml:space="preserve"> </w:t>
      </w:r>
      <w:r w:rsidR="002034F4">
        <w:rPr>
          <w:sz w:val="24"/>
          <w:szCs w:val="24"/>
        </w:rPr>
        <w:t>5</w:t>
      </w:r>
      <w:r w:rsidR="00282482" w:rsidRPr="00476BC3">
        <w:rPr>
          <w:sz w:val="24"/>
          <w:szCs w:val="24"/>
        </w:rPr>
        <w:t xml:space="preserve"> </w:t>
      </w:r>
      <w:r w:rsidRPr="00476BC3">
        <w:rPr>
          <w:sz w:val="24"/>
          <w:szCs w:val="24"/>
        </w:rPr>
        <w:t>hours</w:t>
      </w:r>
      <w:r w:rsidR="006E490B" w:rsidRPr="00476BC3">
        <w:rPr>
          <w:sz w:val="24"/>
          <w:szCs w:val="24"/>
        </w:rPr>
        <w:t xml:space="preserve"> per</w:t>
      </w:r>
      <w:r w:rsidR="006E490B">
        <w:rPr>
          <w:sz w:val="24"/>
          <w:szCs w:val="24"/>
        </w:rPr>
        <w:t xml:space="preserve"> facility</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w:t>
      </w:r>
      <w:r w:rsidR="005F45FC">
        <w:rPr>
          <w:sz w:val="24"/>
          <w:szCs w:val="24"/>
        </w:rPr>
        <w:t xml:space="preserve">. </w:t>
      </w:r>
      <w:r w:rsidRPr="00F64D9D">
        <w:rPr>
          <w:sz w:val="24"/>
          <w:szCs w:val="24"/>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w:t>
      </w:r>
      <w:r w:rsidRPr="00F64D9D">
        <w:rPr>
          <w:sz w:val="24"/>
          <w:szCs w:val="24"/>
        </w:rPr>
        <w:lastRenderedPageBreak/>
        <w:t>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w:t>
      </w:r>
      <w:r w:rsidR="005F45FC">
        <w:rPr>
          <w:sz w:val="24"/>
          <w:szCs w:val="24"/>
        </w:rPr>
        <w:t xml:space="preserve">. </w:t>
      </w:r>
      <w:r w:rsidRPr="00F64D9D">
        <w:rPr>
          <w:sz w:val="24"/>
          <w:szCs w:val="24"/>
        </w:rPr>
        <w:t>The OMB control numbers for EPA</w:t>
      </w:r>
      <w:r w:rsidR="00072C20" w:rsidRPr="00F64D9D">
        <w:rPr>
          <w:sz w:val="24"/>
          <w:szCs w:val="24"/>
        </w:rPr>
        <w:t>’</w:t>
      </w:r>
      <w:r w:rsidRPr="00F64D9D">
        <w:rPr>
          <w:sz w:val="24"/>
          <w:szCs w:val="24"/>
        </w:rPr>
        <w:t>s regulations in 40 CFR part 63 are listed in 40 CFR part 9.</w:t>
      </w:r>
    </w:p>
    <w:p w:rsidR="00B51173" w:rsidRPr="00F64D9D" w:rsidRDefault="00B1351A" w:rsidP="00083394">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083394" w:rsidRPr="00083394">
        <w:rPr>
          <w:sz w:val="24"/>
          <w:szCs w:val="24"/>
        </w:rPr>
        <w:t>EPA-HQ-OAR-2010-0786</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10"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viewing at the Air and Radiation Docket and Information Center in the EPA Docket Center (EPA/DC), EP</w:t>
      </w:r>
      <w:r w:rsidR="003108F1">
        <w:rPr>
          <w:sz w:val="24"/>
          <w:szCs w:val="24"/>
        </w:rPr>
        <w:t>A West, Room 3334</w:t>
      </w:r>
      <w:r w:rsidRPr="00F64D9D">
        <w:rPr>
          <w:sz w:val="24"/>
          <w:szCs w:val="24"/>
        </w:rPr>
        <w:t>, 1301 Constitution Ave., NW, Washington, DC</w:t>
      </w:r>
      <w:r w:rsidR="005F45FC">
        <w:rPr>
          <w:sz w:val="24"/>
          <w:szCs w:val="24"/>
        </w:rPr>
        <w:t xml:space="preserve">. </w:t>
      </w:r>
      <w:r w:rsidRPr="00F64D9D">
        <w:rPr>
          <w:sz w:val="24"/>
          <w:szCs w:val="24"/>
        </w:rPr>
        <w:t xml:space="preserve">The EPA Docket Center Public Reading Room is open from </w:t>
      </w:r>
      <w:smartTag w:uri="urn:schemas-microsoft-com:office:smarttags" w:element="time">
        <w:smartTagPr>
          <w:attr w:name="Hour" w:val="8"/>
          <w:attr w:name="Minute" w:val="30"/>
        </w:smartTagPr>
        <w:r w:rsidRPr="00F64D9D">
          <w:rPr>
            <w:sz w:val="24"/>
            <w:szCs w:val="24"/>
          </w:rPr>
          <w:t>8:30 a.m.</w:t>
        </w:r>
      </w:smartTag>
      <w:r w:rsidRPr="00F64D9D">
        <w:rPr>
          <w:sz w:val="24"/>
          <w:szCs w:val="24"/>
        </w:rPr>
        <w:t xml:space="preserve"> to </w:t>
      </w:r>
      <w:smartTag w:uri="urn:schemas-microsoft-com:office:smarttags" w:element="time">
        <w:smartTagPr>
          <w:attr w:name="Hour" w:val="16"/>
          <w:attr w:name="Minute" w:val="30"/>
        </w:smartTagPr>
        <w:r w:rsidRPr="00F64D9D">
          <w:rPr>
            <w:sz w:val="24"/>
            <w:szCs w:val="24"/>
          </w:rPr>
          <w:t>4:30 p.m.</w:t>
        </w:r>
      </w:smartTag>
      <w:r w:rsidRPr="00F64D9D">
        <w:rPr>
          <w:sz w:val="24"/>
          <w:szCs w:val="24"/>
        </w:rPr>
        <w:t>, Monday through Friday, excluding legal holidays</w:t>
      </w:r>
      <w:r w:rsidR="005F45FC">
        <w:rPr>
          <w:sz w:val="24"/>
          <w:szCs w:val="24"/>
        </w:rPr>
        <w:t xml:space="preserve">. </w:t>
      </w:r>
      <w:r w:rsidRPr="00F64D9D">
        <w:rPr>
          <w:sz w:val="24"/>
          <w:szCs w:val="24"/>
        </w:rPr>
        <w:t>The telephone number for the Reading Room is (202) 566-1744, and the telephone number for the Air Docket is (202) 566-</w:t>
      </w:r>
      <w:r w:rsidR="003108F1">
        <w:rPr>
          <w:sz w:val="24"/>
          <w:szCs w:val="24"/>
        </w:rPr>
        <w:t>1742</w:t>
      </w:r>
      <w:r w:rsidR="005F45FC">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1"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This site can be used to submit or view public comments, access the index listing of the contents of the public docket, and to access those documents in the public docket that are available electronically</w:t>
      </w:r>
      <w:r w:rsidR="005F45FC">
        <w:rPr>
          <w:color w:val="0F0F0F"/>
          <w:sz w:val="24"/>
          <w:szCs w:val="24"/>
        </w:rPr>
        <w:t xml:space="preserve">. </w:t>
      </w:r>
      <w:r w:rsidR="00B51173" w:rsidRPr="00F64D9D">
        <w:rPr>
          <w:color w:val="0F0F0F"/>
          <w:sz w:val="24"/>
          <w:szCs w:val="24"/>
        </w:rPr>
        <w:t>When in the system, select “search,” then key in the Docket ID Number identified above</w:t>
      </w:r>
      <w:r w:rsidR="005F45FC">
        <w:rPr>
          <w:color w:val="0F0F0F"/>
          <w:sz w:val="24"/>
          <w:szCs w:val="24"/>
        </w:rPr>
        <w:t xml:space="preser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Attention Desk Officer for EPA</w:t>
      </w:r>
      <w:r w:rsidR="005F45FC">
        <w:rPr>
          <w:sz w:val="24"/>
          <w:szCs w:val="24"/>
        </w:rPr>
        <w:t xml:space="preserve">. </w:t>
      </w:r>
      <w:r w:rsidRPr="00F64D9D">
        <w:rPr>
          <w:sz w:val="24"/>
          <w:szCs w:val="24"/>
        </w:rPr>
        <w:t xml:space="preserve">Please include the </w:t>
      </w:r>
      <w:r w:rsidR="00FC51F8" w:rsidRPr="00F64D9D">
        <w:rPr>
          <w:sz w:val="24"/>
          <w:szCs w:val="24"/>
        </w:rPr>
        <w:t xml:space="preserve">relevant </w:t>
      </w:r>
      <w:r w:rsidRPr="00F64D9D">
        <w:rPr>
          <w:sz w:val="24"/>
          <w:szCs w:val="24"/>
        </w:rPr>
        <w:t xml:space="preserve">Docket ID </w:t>
      </w:r>
      <w:r w:rsidR="00FC51F8" w:rsidRPr="00F64D9D">
        <w:rPr>
          <w:sz w:val="24"/>
          <w:szCs w:val="24"/>
        </w:rPr>
        <w:t xml:space="preserve">Number </w:t>
      </w:r>
      <w:r w:rsidR="001B6E9C" w:rsidRPr="00F64D9D">
        <w:rPr>
          <w:sz w:val="24"/>
          <w:szCs w:val="24"/>
        </w:rPr>
        <w:t>(</w:t>
      </w:r>
      <w:r w:rsidR="00083394" w:rsidRPr="00083394">
        <w:rPr>
          <w:sz w:val="24"/>
          <w:szCs w:val="24"/>
        </w:rPr>
        <w:t>EPA-HQ-OAR-2010-0786</w:t>
      </w:r>
      <w:r w:rsidR="00FC51F8" w:rsidRPr="00F64D9D">
        <w:rPr>
          <w:sz w:val="24"/>
        </w:rPr>
        <w:t>)</w:t>
      </w:r>
      <w:r w:rsidR="008151E9" w:rsidRPr="00F64D9D">
        <w:rPr>
          <w:sz w:val="24"/>
        </w:rPr>
        <w:t xml:space="preserve"> </w:t>
      </w:r>
      <w:r w:rsidR="003108F1">
        <w:rPr>
          <w:sz w:val="24"/>
        </w:rPr>
        <w:t xml:space="preserve">and OMB Control Number (2060-0324)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Pr="00F64D9D" w:rsidRDefault="00B1351A">
      <w:pPr>
        <w:widowControl/>
        <w:spacing w:line="360" w:lineRule="auto"/>
        <w:rPr>
          <w:sz w:val="24"/>
          <w:szCs w:val="24"/>
        </w:rPr>
        <w:sectPr w:rsidR="00456FA3" w:rsidRPr="00F64D9D" w:rsidSect="002179D0">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034F3C" w:rsidRPr="00F64D9D">
        <w:rPr>
          <w:sz w:val="24"/>
          <w:szCs w:val="24"/>
        </w:rPr>
        <w:t>rule</w:t>
      </w:r>
      <w:r w:rsidRPr="00F64D9D">
        <w:rPr>
          <w:sz w:val="24"/>
          <w:szCs w:val="24"/>
        </w:rPr>
        <w:t>.</w:t>
      </w:r>
    </w:p>
    <w:p w:rsidR="00B1351A" w:rsidRPr="00F64D9D" w:rsidRDefault="009F2CCA" w:rsidP="00EC2688">
      <w:pPr>
        <w:widowControl/>
        <w:jc w:val="center"/>
        <w:rPr>
          <w:b/>
        </w:rPr>
      </w:pPr>
      <w:r w:rsidRPr="00F64D9D">
        <w:rPr>
          <w:b/>
        </w:rPr>
        <w:lastRenderedPageBreak/>
        <w:t>TABLE 2</w:t>
      </w:r>
      <w:r w:rsidR="005F45FC">
        <w:rPr>
          <w:b/>
        </w:rPr>
        <w:t xml:space="preserve">. </w:t>
      </w:r>
      <w:r w:rsidR="00492F0C" w:rsidRPr="00F64D9D">
        <w:rPr>
          <w:b/>
        </w:rPr>
        <w:t>ANNUAL RESPONDENT BURDEN AND COST</w:t>
      </w:r>
      <w:r w:rsidR="00D7245C" w:rsidRPr="00F64D9D">
        <w:rPr>
          <w:b/>
        </w:rPr>
        <w:t>--</w:t>
      </w:r>
      <w:r w:rsidR="00F64D9D" w:rsidRPr="00F64D9D">
        <w:rPr>
          <w:b/>
        </w:rPr>
        <w:t xml:space="preserve">AMENDMENTS TO </w:t>
      </w:r>
      <w:r w:rsidR="00EC2688">
        <w:rPr>
          <w:b/>
        </w:rPr>
        <w:t>WOOD FURNITURE MANUFACTURING</w:t>
      </w:r>
      <w:r w:rsidR="00F64D9D" w:rsidRPr="00F64D9D">
        <w:rPr>
          <w:b/>
        </w:rPr>
        <w:t xml:space="preserve"> </w:t>
      </w:r>
      <w:r w:rsidR="00492F0C" w:rsidRPr="00F64D9D">
        <w:rPr>
          <w:b/>
        </w:rPr>
        <w:t>NESHAP</w:t>
      </w:r>
    </w:p>
    <w:tbl>
      <w:tblPr>
        <w:tblW w:w="13080" w:type="dxa"/>
        <w:tblLayout w:type="fixed"/>
        <w:tblCellMar>
          <w:left w:w="30" w:type="dxa"/>
          <w:right w:w="30" w:type="dxa"/>
        </w:tblCellMar>
        <w:tblLook w:val="0000"/>
      </w:tblPr>
      <w:tblGrid>
        <w:gridCol w:w="4170"/>
        <w:gridCol w:w="1080"/>
        <w:gridCol w:w="990"/>
        <w:gridCol w:w="1170"/>
        <w:gridCol w:w="1080"/>
        <w:gridCol w:w="1170"/>
        <w:gridCol w:w="1350"/>
        <w:gridCol w:w="1080"/>
        <w:gridCol w:w="990"/>
      </w:tblGrid>
      <w:tr w:rsidR="00B1351A" w:rsidRPr="00F64D9D" w:rsidTr="006529F3">
        <w:trPr>
          <w:trHeight w:val="238"/>
          <w:tblHeader/>
        </w:trPr>
        <w:tc>
          <w:tcPr>
            <w:tcW w:w="4170" w:type="dxa"/>
            <w:tcBorders>
              <w:top w:val="double" w:sz="6" w:space="0" w:color="auto"/>
              <w:left w:val="double" w:sz="6" w:space="0" w:color="auto"/>
              <w:bottom w:val="single" w:sz="2" w:space="0" w:color="auto"/>
              <w:right w:val="single" w:sz="2" w:space="0" w:color="auto"/>
            </w:tcBorders>
            <w:vAlign w:val="bottom"/>
          </w:tcPr>
          <w:p w:rsidR="00B1351A" w:rsidRPr="00F64D9D" w:rsidRDefault="00B1351A" w:rsidP="00E648D9">
            <w:pPr>
              <w:widowControl/>
              <w:jc w:val="center"/>
              <w:rPr>
                <w:b/>
                <w:bCs/>
                <w:color w:val="000000"/>
                <w:sz w:val="18"/>
                <w:szCs w:val="18"/>
              </w:rPr>
            </w:pPr>
            <w:r w:rsidRPr="00F64D9D">
              <w:rPr>
                <w:b/>
                <w:bCs/>
                <w:color w:val="000000"/>
                <w:sz w:val="18"/>
                <w:szCs w:val="18"/>
              </w:rPr>
              <w:t>Burden item</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(A) </w:t>
            </w:r>
          </w:p>
          <w:p w:rsidR="00B1351A" w:rsidRPr="00F64D9D" w:rsidRDefault="00B1351A">
            <w:pPr>
              <w:widowControl/>
              <w:jc w:val="center"/>
              <w:rPr>
                <w:b/>
                <w:bCs/>
                <w:color w:val="000000"/>
                <w:sz w:val="18"/>
                <w:szCs w:val="18"/>
              </w:rPr>
            </w:pPr>
            <w:r w:rsidRPr="00F64D9D">
              <w:rPr>
                <w:b/>
                <w:bCs/>
                <w:color w:val="000000"/>
                <w:sz w:val="18"/>
                <w:szCs w:val="18"/>
              </w:rPr>
              <w:t>Person-hours per occurrence</w:t>
            </w:r>
          </w:p>
        </w:tc>
        <w:tc>
          <w:tcPr>
            <w:tcW w:w="99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(B)  </w:t>
            </w:r>
          </w:p>
          <w:p w:rsidR="00B1351A" w:rsidRPr="00F64D9D" w:rsidRDefault="00B1351A">
            <w:pPr>
              <w:widowControl/>
              <w:jc w:val="center"/>
              <w:rPr>
                <w:b/>
                <w:bCs/>
                <w:color w:val="000000"/>
                <w:sz w:val="18"/>
                <w:szCs w:val="18"/>
              </w:rPr>
            </w:pPr>
            <w:r w:rsidRPr="00F64D9D">
              <w:rPr>
                <w:b/>
                <w:bCs/>
                <w:color w:val="000000"/>
                <w:sz w:val="18"/>
                <w:szCs w:val="18"/>
              </w:rPr>
              <w:t xml:space="preserve">No. of </w:t>
            </w:r>
            <w:r w:rsidR="00DA5FD7" w:rsidRPr="00F64D9D">
              <w:rPr>
                <w:b/>
                <w:bCs/>
                <w:color w:val="000000"/>
                <w:sz w:val="18"/>
                <w:szCs w:val="18"/>
              </w:rPr>
              <w:t>occurrences per</w:t>
            </w:r>
            <w:r w:rsidRPr="00F64D9D">
              <w:rPr>
                <w:b/>
                <w:bCs/>
                <w:color w:val="000000"/>
                <w:sz w:val="18"/>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(C) </w:t>
            </w:r>
          </w:p>
          <w:p w:rsidR="00B1351A" w:rsidRPr="00F64D9D" w:rsidRDefault="00B1351A">
            <w:pPr>
              <w:widowControl/>
              <w:jc w:val="center"/>
              <w:rPr>
                <w:b/>
                <w:bCs/>
                <w:color w:val="000000"/>
                <w:sz w:val="18"/>
                <w:szCs w:val="18"/>
              </w:rPr>
            </w:pPr>
            <w:r w:rsidRPr="00F64D9D">
              <w:rPr>
                <w:b/>
                <w:bCs/>
                <w:color w:val="000000"/>
                <w:sz w:val="18"/>
                <w:szCs w:val="18"/>
              </w:rPr>
              <w:t>Person-hours per respondent (C=A*B)</w:t>
            </w:r>
          </w:p>
        </w:tc>
        <w:tc>
          <w:tcPr>
            <w:tcW w:w="1080" w:type="dxa"/>
            <w:tcBorders>
              <w:top w:val="double" w:sz="6" w:space="0" w:color="auto"/>
              <w:left w:val="single" w:sz="2" w:space="0" w:color="auto"/>
              <w:bottom w:val="single" w:sz="2" w:space="0" w:color="auto"/>
              <w:right w:val="single" w:sz="2" w:space="0" w:color="auto"/>
            </w:tcBorders>
            <w:vAlign w:val="bottom"/>
          </w:tcPr>
          <w:p w:rsidR="00B1351A" w:rsidRPr="00F64D9D" w:rsidRDefault="00B1351A">
            <w:pPr>
              <w:widowControl/>
              <w:jc w:val="center"/>
              <w:rPr>
                <w:b/>
                <w:bCs/>
                <w:color w:val="000000"/>
                <w:sz w:val="18"/>
                <w:szCs w:val="18"/>
              </w:rPr>
            </w:pPr>
            <w:r w:rsidRPr="00F64D9D">
              <w:rPr>
                <w:b/>
                <w:bCs/>
                <w:color w:val="000000"/>
                <w:sz w:val="18"/>
                <w:szCs w:val="18"/>
              </w:rPr>
              <w:t>(D) Respondents per year</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(E) </w:t>
            </w:r>
          </w:p>
          <w:p w:rsidR="00B1351A" w:rsidRPr="00F64D9D" w:rsidRDefault="00B1351A">
            <w:pPr>
              <w:widowControl/>
              <w:jc w:val="center"/>
              <w:rPr>
                <w:b/>
                <w:bCs/>
                <w:color w:val="000000"/>
                <w:sz w:val="18"/>
                <w:szCs w:val="18"/>
              </w:rPr>
            </w:pPr>
            <w:r w:rsidRPr="00F64D9D">
              <w:rPr>
                <w:b/>
                <w:bCs/>
                <w:color w:val="000000"/>
                <w:sz w:val="18"/>
                <w:szCs w:val="18"/>
              </w:rPr>
              <w:t>Technical person-hours per year (E=C*D)</w:t>
            </w:r>
          </w:p>
        </w:tc>
        <w:tc>
          <w:tcPr>
            <w:tcW w:w="135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(F) </w:t>
            </w:r>
          </w:p>
          <w:p w:rsidR="00B1351A" w:rsidRPr="00F64D9D" w:rsidRDefault="00B1351A">
            <w:pPr>
              <w:widowControl/>
              <w:jc w:val="center"/>
              <w:rPr>
                <w:b/>
                <w:bCs/>
                <w:color w:val="000000"/>
                <w:sz w:val="18"/>
                <w:szCs w:val="18"/>
              </w:rPr>
            </w:pPr>
            <w:r w:rsidRPr="00F64D9D">
              <w:rPr>
                <w:b/>
                <w:bCs/>
                <w:color w:val="000000"/>
                <w:sz w:val="18"/>
                <w:szCs w:val="18"/>
              </w:rPr>
              <w:t>Management person-hours per year</w:t>
            </w:r>
          </w:p>
          <w:p w:rsidR="00B1351A" w:rsidRPr="00F64D9D" w:rsidRDefault="00B1351A">
            <w:pPr>
              <w:widowControl/>
              <w:jc w:val="center"/>
              <w:rPr>
                <w:b/>
                <w:bCs/>
                <w:color w:val="000000"/>
                <w:sz w:val="18"/>
                <w:szCs w:val="18"/>
              </w:rPr>
            </w:pPr>
            <w:r w:rsidRPr="00F64D9D">
              <w:rPr>
                <w:b/>
                <w:bCs/>
                <w:color w:val="000000"/>
                <w:sz w:val="18"/>
                <w:szCs w:val="18"/>
              </w:rPr>
              <w:t xml:space="preserve"> (E*0.05)</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(G) </w:t>
            </w:r>
          </w:p>
          <w:p w:rsidR="00B1351A" w:rsidRPr="00F64D9D" w:rsidRDefault="00B1351A">
            <w:pPr>
              <w:widowControl/>
              <w:jc w:val="center"/>
              <w:rPr>
                <w:b/>
                <w:bCs/>
                <w:color w:val="000000"/>
                <w:sz w:val="18"/>
                <w:szCs w:val="18"/>
              </w:rPr>
            </w:pPr>
            <w:r w:rsidRPr="00F64D9D">
              <w:rPr>
                <w:b/>
                <w:bCs/>
                <w:color w:val="000000"/>
                <w:sz w:val="18"/>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vAlign w:val="bottom"/>
          </w:tcPr>
          <w:p w:rsidR="009C542F" w:rsidRDefault="00B1351A">
            <w:pPr>
              <w:widowControl/>
              <w:ind w:right="-30"/>
              <w:jc w:val="center"/>
              <w:rPr>
                <w:b/>
                <w:bCs/>
                <w:color w:val="000000"/>
                <w:sz w:val="18"/>
                <w:szCs w:val="18"/>
              </w:rPr>
            </w:pPr>
            <w:r w:rsidRPr="00F64D9D">
              <w:rPr>
                <w:b/>
                <w:bCs/>
                <w:color w:val="000000"/>
                <w:sz w:val="18"/>
                <w:szCs w:val="18"/>
              </w:rPr>
              <w:t xml:space="preserve">(H) </w:t>
            </w:r>
          </w:p>
          <w:p w:rsidR="00B1351A" w:rsidRPr="00F64D9D" w:rsidRDefault="00B1351A">
            <w:pPr>
              <w:widowControl/>
              <w:ind w:right="-30"/>
              <w:jc w:val="center"/>
              <w:rPr>
                <w:b/>
                <w:bCs/>
                <w:color w:val="000000"/>
                <w:sz w:val="18"/>
                <w:szCs w:val="18"/>
              </w:rPr>
            </w:pPr>
            <w:r w:rsidRPr="00F64D9D">
              <w:rPr>
                <w:b/>
                <w:bCs/>
                <w:color w:val="000000"/>
                <w:sz w:val="18"/>
                <w:szCs w:val="18"/>
              </w:rPr>
              <w:t>Cost</w:t>
            </w:r>
            <w:r w:rsidR="005F05FD" w:rsidRPr="00F64D9D">
              <w:rPr>
                <w:b/>
                <w:bCs/>
                <w:color w:val="000000"/>
                <w:sz w:val="18"/>
                <w:szCs w:val="18"/>
                <w:vertAlign w:val="superscript"/>
              </w:rPr>
              <w:t>a</w:t>
            </w:r>
            <w:r w:rsidRPr="00F64D9D">
              <w:rPr>
                <w:b/>
                <w:bCs/>
                <w:color w:val="000000"/>
                <w:sz w:val="18"/>
                <w:szCs w:val="18"/>
              </w:rPr>
              <w:t xml:space="preserve">, $ </w:t>
            </w: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1</w:t>
            </w:r>
            <w:r w:rsidR="005F45FC">
              <w:rPr>
                <w:color w:val="000000"/>
                <w:sz w:val="18"/>
                <w:szCs w:val="18"/>
              </w:rPr>
              <w:t xml:space="preserve">. </w:t>
            </w:r>
            <w:r w:rsidRPr="00F64D9D">
              <w:rPr>
                <w:color w:val="000000"/>
                <w:sz w:val="18"/>
                <w:szCs w:val="18"/>
              </w:rPr>
              <w:t>Applications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2</w:t>
            </w:r>
            <w:r w:rsidR="005F45FC">
              <w:rPr>
                <w:color w:val="000000"/>
                <w:sz w:val="18"/>
                <w:szCs w:val="18"/>
              </w:rPr>
              <w:t xml:space="preserve">. </w:t>
            </w:r>
            <w:r w:rsidRPr="00F64D9D">
              <w:rPr>
                <w:color w:val="000000"/>
                <w:sz w:val="18"/>
                <w:szCs w:val="18"/>
              </w:rPr>
              <w:t>Surveys and Studies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6529F3">
            <w:pPr>
              <w:widowControl/>
              <w:rPr>
                <w:color w:val="000000"/>
                <w:sz w:val="18"/>
                <w:szCs w:val="18"/>
              </w:rPr>
            </w:pPr>
            <w:r w:rsidRPr="00F64D9D">
              <w:rPr>
                <w:color w:val="000000"/>
                <w:sz w:val="18"/>
                <w:szCs w:val="18"/>
              </w:rPr>
              <w:t>3</w:t>
            </w:r>
            <w:r w:rsidR="005F45FC">
              <w:rPr>
                <w:color w:val="000000"/>
                <w:sz w:val="18"/>
                <w:szCs w:val="18"/>
              </w:rPr>
              <w:t xml:space="preserve">. </w:t>
            </w:r>
            <w:r w:rsidRPr="00F64D9D">
              <w:rPr>
                <w:color w:val="000000"/>
                <w:sz w:val="18"/>
                <w:szCs w:val="18"/>
              </w:rPr>
              <w:t>Acquisition, Installation, and Utilization of Technology and Systems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235A9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4</w:t>
            </w:r>
            <w:r w:rsidR="005F45FC">
              <w:rPr>
                <w:color w:val="000000"/>
                <w:sz w:val="18"/>
                <w:szCs w:val="18"/>
              </w:rPr>
              <w:t xml:space="preserve">. </w:t>
            </w:r>
            <w:r w:rsidRPr="00F64D9D">
              <w:rPr>
                <w:color w:val="000000"/>
                <w:sz w:val="18"/>
                <w:szCs w:val="18"/>
              </w:rPr>
              <w:t>Reporting Requirements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A</w:t>
            </w:r>
            <w:r w:rsidR="005F45FC">
              <w:rPr>
                <w:color w:val="000000"/>
                <w:sz w:val="18"/>
                <w:szCs w:val="18"/>
              </w:rPr>
              <w:t xml:space="preserve">. </w:t>
            </w:r>
            <w:r w:rsidRPr="00F64D9D">
              <w:rPr>
                <w:color w:val="000000"/>
                <w:sz w:val="18"/>
                <w:szCs w:val="18"/>
              </w:rPr>
              <w:t>Read instructions</w:t>
            </w:r>
            <w:r w:rsidR="005F05FD" w:rsidRPr="00F64D9D">
              <w:rPr>
                <w:color w:val="000000"/>
                <w:sz w:val="18"/>
                <w:szCs w:val="18"/>
                <w:vertAlign w:val="superscript"/>
              </w:rPr>
              <w:t>b</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81784F">
            <w:pPr>
              <w:widowControl/>
              <w:jc w:val="center"/>
              <w:rPr>
                <w:color w:val="000000"/>
                <w:sz w:val="18"/>
                <w:szCs w:val="18"/>
              </w:rPr>
            </w:pPr>
            <w:r>
              <w:rPr>
                <w:color w:val="000000"/>
                <w:sz w:val="18"/>
                <w:szCs w:val="18"/>
              </w:rPr>
              <w:t>4</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81784F">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81784F">
            <w:pPr>
              <w:jc w:val="center"/>
              <w:rPr>
                <w:color w:val="000000"/>
                <w:sz w:val="18"/>
                <w:szCs w:val="18"/>
              </w:rPr>
            </w:pPr>
            <w:r>
              <w:rPr>
                <w:color w:val="000000"/>
                <w:sz w:val="18"/>
                <w:szCs w:val="18"/>
              </w:rPr>
              <w:t>4</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536637" w:rsidP="00536637">
            <w:pPr>
              <w:jc w:val="center"/>
              <w:rPr>
                <w:color w:val="000000"/>
                <w:sz w:val="18"/>
                <w:szCs w:val="18"/>
              </w:rPr>
            </w:pPr>
            <w:r>
              <w:rPr>
                <w:color w:val="000000"/>
                <w:sz w:val="18"/>
                <w:szCs w:val="18"/>
              </w:rPr>
              <w:t>135</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741706" w:rsidP="00741706">
            <w:pPr>
              <w:jc w:val="center"/>
              <w:rPr>
                <w:color w:val="000000"/>
                <w:sz w:val="18"/>
                <w:szCs w:val="18"/>
              </w:rPr>
            </w:pPr>
            <w:r>
              <w:rPr>
                <w:color w:val="000000"/>
                <w:sz w:val="18"/>
                <w:szCs w:val="18"/>
              </w:rPr>
              <w:t>540</w:t>
            </w: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741706" w:rsidP="00741706">
            <w:pPr>
              <w:jc w:val="center"/>
              <w:rPr>
                <w:color w:val="000000"/>
                <w:sz w:val="18"/>
                <w:szCs w:val="18"/>
              </w:rPr>
            </w:pPr>
            <w:r>
              <w:rPr>
                <w:color w:val="000000"/>
                <w:sz w:val="18"/>
                <w:szCs w:val="18"/>
              </w:rPr>
              <w:t>27</w:t>
            </w:r>
          </w:p>
        </w:tc>
        <w:tc>
          <w:tcPr>
            <w:tcW w:w="1080" w:type="dxa"/>
            <w:tcBorders>
              <w:top w:val="single" w:sz="2" w:space="0" w:color="auto"/>
              <w:left w:val="single" w:sz="2" w:space="0" w:color="auto"/>
              <w:bottom w:val="single" w:sz="2" w:space="0" w:color="auto"/>
              <w:right w:val="single" w:sz="2" w:space="0" w:color="auto"/>
            </w:tcBorders>
          </w:tcPr>
          <w:p w:rsidR="00910ECB" w:rsidRPr="00F64D9D" w:rsidRDefault="00741706" w:rsidP="00741706">
            <w:pPr>
              <w:jc w:val="center"/>
              <w:rPr>
                <w:color w:val="000000"/>
                <w:sz w:val="18"/>
                <w:szCs w:val="18"/>
              </w:rPr>
            </w:pPr>
            <w:r>
              <w:rPr>
                <w:color w:val="000000"/>
                <w:sz w:val="18"/>
                <w:szCs w:val="18"/>
              </w:rPr>
              <w:t>54</w:t>
            </w:r>
          </w:p>
        </w:tc>
        <w:tc>
          <w:tcPr>
            <w:tcW w:w="990" w:type="dxa"/>
            <w:tcBorders>
              <w:top w:val="single" w:sz="2" w:space="0" w:color="auto"/>
              <w:left w:val="single" w:sz="2" w:space="0" w:color="auto"/>
              <w:bottom w:val="single" w:sz="2" w:space="0" w:color="auto"/>
              <w:right w:val="double" w:sz="6" w:space="0" w:color="auto"/>
            </w:tcBorders>
          </w:tcPr>
          <w:p w:rsidR="00B1351A" w:rsidRPr="00D720BF" w:rsidRDefault="0081784F" w:rsidP="003C3802">
            <w:pPr>
              <w:jc w:val="center"/>
              <w:rPr>
                <w:color w:val="000000"/>
                <w:sz w:val="18"/>
                <w:szCs w:val="18"/>
              </w:rPr>
            </w:pPr>
            <w:r w:rsidRPr="00D720BF">
              <w:rPr>
                <w:color w:val="000000"/>
                <w:sz w:val="18"/>
                <w:szCs w:val="18"/>
              </w:rPr>
              <w:t>$</w:t>
            </w:r>
            <w:r w:rsidR="003C3802" w:rsidRPr="00D720BF">
              <w:rPr>
                <w:color w:val="000000"/>
                <w:sz w:val="18"/>
                <w:szCs w:val="18"/>
              </w:rPr>
              <w:t>58</w:t>
            </w:r>
            <w:r w:rsidRPr="00D720BF">
              <w:rPr>
                <w:color w:val="000000"/>
                <w:sz w:val="18"/>
                <w:szCs w:val="18"/>
              </w:rPr>
              <w:t>,</w:t>
            </w:r>
            <w:r w:rsidR="003C3802" w:rsidRPr="00D720BF">
              <w:rPr>
                <w:color w:val="000000"/>
                <w:sz w:val="18"/>
                <w:szCs w:val="18"/>
              </w:rPr>
              <w:t>403</w:t>
            </w: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pPr>
              <w:widowControl/>
              <w:rPr>
                <w:color w:val="000000"/>
                <w:sz w:val="18"/>
                <w:szCs w:val="18"/>
              </w:rPr>
            </w:pPr>
            <w:r w:rsidRPr="00F64D9D">
              <w:rPr>
                <w:color w:val="000000"/>
                <w:sz w:val="18"/>
                <w:szCs w:val="18"/>
              </w:rPr>
              <w:t>B</w:t>
            </w:r>
            <w:r w:rsidR="005F45FC">
              <w:rPr>
                <w:color w:val="000000"/>
                <w:sz w:val="18"/>
                <w:szCs w:val="18"/>
              </w:rPr>
              <w:t xml:space="preserve">. </w:t>
            </w:r>
            <w:r w:rsidRPr="00F64D9D">
              <w:rPr>
                <w:color w:val="000000"/>
                <w:sz w:val="18"/>
                <w:szCs w:val="18"/>
              </w:rPr>
              <w:t>Required activities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C</w:t>
            </w:r>
            <w:r w:rsidR="005F45FC">
              <w:rPr>
                <w:color w:val="000000"/>
                <w:sz w:val="18"/>
                <w:szCs w:val="18"/>
              </w:rPr>
              <w:t xml:space="preserve">. </w:t>
            </w:r>
            <w:r w:rsidRPr="00F64D9D">
              <w:rPr>
                <w:color w:val="000000"/>
                <w:sz w:val="18"/>
                <w:szCs w:val="18"/>
              </w:rPr>
              <w:t>Create information</w:t>
            </w:r>
            <w:r w:rsidR="00741706" w:rsidRPr="002742BC">
              <w:rPr>
                <w:color w:val="000000"/>
                <w:sz w:val="18"/>
                <w:szCs w:val="18"/>
                <w:vertAlign w:val="superscript"/>
              </w:rPr>
              <w:t>c</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741706" w:rsidP="00741706">
            <w:pPr>
              <w:widowControl/>
              <w:jc w:val="center"/>
              <w:rPr>
                <w:color w:val="000000"/>
                <w:sz w:val="18"/>
                <w:szCs w:val="18"/>
              </w:rPr>
            </w:pPr>
            <w:r>
              <w:rPr>
                <w:color w:val="000000"/>
                <w:sz w:val="18"/>
                <w:szCs w:val="18"/>
              </w:rPr>
              <w:t>2</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45492C">
            <w:pPr>
              <w:jc w:val="center"/>
              <w:rPr>
                <w:color w:val="000000"/>
                <w:sz w:val="18"/>
                <w:szCs w:val="18"/>
              </w:rPr>
            </w:pPr>
            <w:r>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45492C">
            <w:pPr>
              <w:jc w:val="center"/>
              <w:rPr>
                <w:color w:val="000000"/>
                <w:sz w:val="18"/>
                <w:szCs w:val="18"/>
              </w:rPr>
            </w:pPr>
            <w:r>
              <w:rPr>
                <w:color w:val="000000"/>
                <w:sz w:val="18"/>
                <w:szCs w:val="18"/>
              </w:rPr>
              <w:t>24</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45492C">
            <w:pPr>
              <w:jc w:val="center"/>
              <w:rPr>
                <w:color w:val="000000"/>
                <w:sz w:val="18"/>
                <w:szCs w:val="18"/>
              </w:rPr>
            </w:pPr>
            <w:r>
              <w:rPr>
                <w:color w:val="000000"/>
                <w:sz w:val="18"/>
                <w:szCs w:val="18"/>
              </w:rPr>
              <w:t>50</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741706">
            <w:pPr>
              <w:jc w:val="center"/>
              <w:rPr>
                <w:color w:val="000000"/>
                <w:sz w:val="18"/>
                <w:szCs w:val="18"/>
              </w:rPr>
            </w:pPr>
            <w:r>
              <w:rPr>
                <w:color w:val="000000"/>
                <w:sz w:val="18"/>
                <w:szCs w:val="18"/>
              </w:rPr>
              <w:t>1,200</w:t>
            </w: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741706">
            <w:pPr>
              <w:jc w:val="center"/>
              <w:rPr>
                <w:color w:val="000000"/>
                <w:sz w:val="18"/>
                <w:szCs w:val="18"/>
              </w:rPr>
            </w:pPr>
            <w:r>
              <w:rPr>
                <w:color w:val="000000"/>
                <w:sz w:val="18"/>
                <w:szCs w:val="18"/>
              </w:rPr>
              <w:t>60</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741706">
            <w:pPr>
              <w:jc w:val="center"/>
              <w:rPr>
                <w:color w:val="000000"/>
                <w:sz w:val="18"/>
                <w:szCs w:val="18"/>
              </w:rPr>
            </w:pPr>
            <w:r>
              <w:rPr>
                <w:color w:val="000000"/>
                <w:sz w:val="18"/>
                <w:szCs w:val="18"/>
              </w:rPr>
              <w:t>120</w:t>
            </w: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3C3802" w:rsidP="003B62F8">
            <w:pPr>
              <w:jc w:val="center"/>
              <w:rPr>
                <w:color w:val="000000"/>
                <w:sz w:val="18"/>
                <w:szCs w:val="18"/>
              </w:rPr>
            </w:pPr>
            <w:r w:rsidRPr="00D720BF">
              <w:rPr>
                <w:color w:val="000000"/>
                <w:sz w:val="18"/>
                <w:szCs w:val="18"/>
              </w:rPr>
              <w:t>$129,785</w:t>
            </w: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D</w:t>
            </w:r>
            <w:r w:rsidR="005F45FC">
              <w:rPr>
                <w:color w:val="000000"/>
                <w:sz w:val="18"/>
                <w:szCs w:val="18"/>
              </w:rPr>
              <w:t xml:space="preserve">. </w:t>
            </w:r>
            <w:r w:rsidRPr="00F64D9D">
              <w:rPr>
                <w:color w:val="000000"/>
                <w:sz w:val="18"/>
                <w:szCs w:val="18"/>
              </w:rPr>
              <w:t>Gather existing information</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pPr>
              <w:widowControl/>
              <w:rPr>
                <w:color w:val="000000"/>
                <w:sz w:val="18"/>
                <w:szCs w:val="18"/>
              </w:rPr>
            </w:pPr>
            <w:r w:rsidRPr="00F64D9D">
              <w:rPr>
                <w:color w:val="000000"/>
                <w:sz w:val="18"/>
                <w:szCs w:val="18"/>
              </w:rPr>
              <w:t>E</w:t>
            </w:r>
            <w:r w:rsidR="005F45FC">
              <w:rPr>
                <w:color w:val="000000"/>
                <w:sz w:val="18"/>
                <w:szCs w:val="18"/>
              </w:rPr>
              <w:t xml:space="preserve">. </w:t>
            </w:r>
            <w:r w:rsidRPr="00F64D9D">
              <w:rPr>
                <w:color w:val="000000"/>
                <w:sz w:val="18"/>
                <w:szCs w:val="18"/>
              </w:rPr>
              <w:t>Write report</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B3478F">
            <w:pPr>
              <w:widowControl/>
              <w:rPr>
                <w:color w:val="000000"/>
                <w:sz w:val="18"/>
                <w:szCs w:val="18"/>
              </w:rPr>
            </w:pPr>
            <w:r w:rsidRPr="00F64D9D">
              <w:rPr>
                <w:color w:val="000000"/>
                <w:sz w:val="18"/>
                <w:szCs w:val="18"/>
              </w:rPr>
              <w:t>5</w:t>
            </w:r>
            <w:r w:rsidR="005F45FC">
              <w:rPr>
                <w:color w:val="000000"/>
                <w:sz w:val="18"/>
                <w:szCs w:val="18"/>
              </w:rPr>
              <w:t xml:space="preserve">. </w:t>
            </w:r>
            <w:r w:rsidRPr="00F64D9D">
              <w:rPr>
                <w:color w:val="000000"/>
                <w:sz w:val="18"/>
                <w:szCs w:val="18"/>
              </w:rPr>
              <w:t xml:space="preserve">Recordkeeping Requirements </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A</w:t>
            </w:r>
            <w:r w:rsidR="005F45FC">
              <w:rPr>
                <w:color w:val="000000"/>
                <w:sz w:val="18"/>
                <w:szCs w:val="18"/>
              </w:rPr>
              <w:t xml:space="preserve">. </w:t>
            </w:r>
            <w:r w:rsidRPr="00F64D9D">
              <w:rPr>
                <w:color w:val="000000"/>
                <w:sz w:val="18"/>
                <w:szCs w:val="18"/>
              </w:rPr>
              <w:t>Read instructions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widowControl/>
              <w:jc w:val="center"/>
              <w:rPr>
                <w:color w:val="000000"/>
                <w:sz w:val="18"/>
                <w:szCs w:val="18"/>
              </w:rPr>
            </w:pPr>
            <w:r>
              <w:rPr>
                <w:color w:val="000000"/>
                <w:sz w:val="18"/>
                <w:szCs w:val="18"/>
              </w:rPr>
              <w:t>See 4A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B</w:t>
            </w:r>
            <w:r w:rsidR="005F45FC">
              <w:rPr>
                <w:color w:val="000000"/>
                <w:sz w:val="18"/>
                <w:szCs w:val="18"/>
              </w:rPr>
              <w:t xml:space="preserve">. </w:t>
            </w:r>
            <w:r w:rsidRPr="00F64D9D">
              <w:rPr>
                <w:color w:val="000000"/>
                <w:sz w:val="18"/>
                <w:szCs w:val="18"/>
              </w:rPr>
              <w:t>Plan activities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C</w:t>
            </w:r>
            <w:r w:rsidR="005F45FC">
              <w:rPr>
                <w:color w:val="000000"/>
                <w:sz w:val="18"/>
                <w:szCs w:val="18"/>
              </w:rPr>
              <w:t xml:space="preserve">. </w:t>
            </w:r>
            <w:r w:rsidRPr="00F64D9D">
              <w:rPr>
                <w:color w:val="000000"/>
                <w:sz w:val="18"/>
                <w:szCs w:val="18"/>
              </w:rPr>
              <w:t>Implement activities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D</w:t>
            </w:r>
            <w:r w:rsidR="005F45FC">
              <w:rPr>
                <w:color w:val="000000"/>
                <w:sz w:val="18"/>
                <w:szCs w:val="18"/>
              </w:rPr>
              <w:t xml:space="preserve">. </w:t>
            </w:r>
            <w:r w:rsidRPr="00F64D9D">
              <w:rPr>
                <w:color w:val="000000"/>
                <w:sz w:val="18"/>
                <w:szCs w:val="18"/>
              </w:rPr>
              <w:t>Develop record system</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B3478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741706">
            <w:pPr>
              <w:widowControl/>
              <w:rPr>
                <w:color w:val="000000"/>
                <w:sz w:val="18"/>
                <w:szCs w:val="18"/>
              </w:rPr>
            </w:pPr>
            <w:r w:rsidRPr="00F64D9D">
              <w:rPr>
                <w:color w:val="000000"/>
                <w:sz w:val="18"/>
                <w:szCs w:val="18"/>
              </w:rPr>
              <w:t>E</w:t>
            </w:r>
            <w:r w:rsidR="005F45FC">
              <w:rPr>
                <w:color w:val="000000"/>
                <w:sz w:val="18"/>
                <w:szCs w:val="18"/>
              </w:rPr>
              <w:t xml:space="preserve">. </w:t>
            </w:r>
            <w:r w:rsidRPr="00F64D9D">
              <w:rPr>
                <w:color w:val="000000"/>
                <w:sz w:val="18"/>
                <w:szCs w:val="18"/>
              </w:rPr>
              <w:t>Time to enter information</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widowControl/>
              <w:jc w:val="center"/>
              <w:rPr>
                <w:color w:val="000000"/>
                <w:sz w:val="18"/>
                <w:szCs w:val="18"/>
              </w:rPr>
            </w:pPr>
            <w:r>
              <w:rPr>
                <w:color w:val="000000"/>
                <w:sz w:val="18"/>
                <w:szCs w:val="18"/>
              </w:rPr>
              <w:t>See 4C</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B3478F">
            <w:pPr>
              <w:jc w:val="center"/>
              <w:rPr>
                <w:color w:val="000000"/>
                <w:sz w:val="18"/>
                <w:szCs w:val="18"/>
              </w:rPr>
            </w:pPr>
          </w:p>
        </w:tc>
      </w:tr>
      <w:tr w:rsidR="00B3478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color w:val="000000"/>
                <w:sz w:val="18"/>
                <w:szCs w:val="18"/>
              </w:rPr>
              <w:t>F</w:t>
            </w:r>
            <w:r w:rsidR="005F45FC">
              <w:rPr>
                <w:color w:val="000000"/>
                <w:sz w:val="18"/>
                <w:szCs w:val="18"/>
              </w:rPr>
              <w:t xml:space="preserve">. </w:t>
            </w:r>
            <w:r w:rsidRPr="00F64D9D">
              <w:rPr>
                <w:color w:val="000000"/>
                <w:sz w:val="18"/>
                <w:szCs w:val="18"/>
              </w:rPr>
              <w:t>Time to train personnel</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536637">
            <w:pPr>
              <w:widowControl/>
              <w:rPr>
                <w:color w:val="000000"/>
                <w:sz w:val="18"/>
                <w:szCs w:val="18"/>
              </w:rPr>
            </w:pPr>
            <w:r w:rsidRPr="00F64D9D">
              <w:rPr>
                <w:color w:val="000000"/>
                <w:sz w:val="18"/>
                <w:szCs w:val="18"/>
              </w:rPr>
              <w:t>G</w:t>
            </w:r>
            <w:r w:rsidR="005F45FC">
              <w:rPr>
                <w:color w:val="000000"/>
                <w:sz w:val="18"/>
                <w:szCs w:val="18"/>
              </w:rPr>
              <w:t xml:space="preserve">. </w:t>
            </w:r>
            <w:r w:rsidRPr="00F64D9D">
              <w:rPr>
                <w:color w:val="000000"/>
                <w:sz w:val="18"/>
                <w:szCs w:val="18"/>
              </w:rPr>
              <w:t>Time to adjust existing ways to comply with previously</w:t>
            </w:r>
            <w:r>
              <w:rPr>
                <w:color w:val="000000"/>
                <w:sz w:val="18"/>
                <w:szCs w:val="18"/>
              </w:rPr>
              <w:t xml:space="preserve"> </w:t>
            </w:r>
            <w:r w:rsidRPr="00F64D9D">
              <w:rPr>
                <w:color w:val="000000"/>
                <w:sz w:val="18"/>
                <w:szCs w:val="18"/>
              </w:rPr>
              <w:t>applicable requirements</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9C542F" w:rsidRDefault="00B3478F" w:rsidP="001F1CC9">
            <w:pPr>
              <w:widowControl/>
              <w:rPr>
                <w:color w:val="000000"/>
                <w:sz w:val="18"/>
                <w:szCs w:val="18"/>
              </w:rPr>
            </w:pPr>
            <w:r w:rsidRPr="00F64D9D">
              <w:rPr>
                <w:color w:val="000000"/>
                <w:sz w:val="18"/>
                <w:szCs w:val="18"/>
              </w:rPr>
              <w:t>H</w:t>
            </w:r>
            <w:r w:rsidR="005F45FC">
              <w:rPr>
                <w:color w:val="000000"/>
                <w:sz w:val="18"/>
                <w:szCs w:val="18"/>
              </w:rPr>
              <w:t xml:space="preserve">. </w:t>
            </w:r>
            <w:r w:rsidRPr="00F64D9D">
              <w:rPr>
                <w:color w:val="000000"/>
                <w:sz w:val="18"/>
                <w:szCs w:val="18"/>
              </w:rPr>
              <w:t>Time to transmit or disclose information</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D15E82">
            <w:pPr>
              <w:widowControl/>
              <w:rPr>
                <w:color w:val="000000"/>
                <w:sz w:val="18"/>
                <w:szCs w:val="18"/>
              </w:rPr>
            </w:pPr>
            <w:r w:rsidRPr="00F64D9D">
              <w:rPr>
                <w:color w:val="000000"/>
                <w:sz w:val="18"/>
                <w:szCs w:val="18"/>
              </w:rPr>
              <w:t>I</w:t>
            </w:r>
            <w:r w:rsidR="005F45FC">
              <w:rPr>
                <w:color w:val="000000"/>
                <w:sz w:val="18"/>
                <w:szCs w:val="18"/>
              </w:rPr>
              <w:t xml:space="preserve">. </w:t>
            </w:r>
            <w:r w:rsidRPr="00F64D9D">
              <w:rPr>
                <w:color w:val="000000"/>
                <w:sz w:val="18"/>
                <w:szCs w:val="18"/>
              </w:rPr>
              <w:t>Time for audits</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b/>
                <w:bCs/>
                <w:color w:val="000000"/>
                <w:sz w:val="16"/>
                <w:szCs w:val="16"/>
              </w:rPr>
              <w:t>TOTAL LABOR BURDEN AND COST (SALARY)</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jc w:val="center"/>
              <w:rPr>
                <w:color w:val="000000"/>
                <w:sz w:val="18"/>
                <w:szCs w:val="18"/>
              </w:rPr>
            </w:pPr>
            <w:r>
              <w:rPr>
                <w:color w:val="000000"/>
                <w:sz w:val="18"/>
                <w:szCs w:val="18"/>
              </w:rPr>
              <w:t>1,740</w:t>
            </w: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jc w:val="center"/>
              <w:rPr>
                <w:color w:val="000000"/>
                <w:sz w:val="18"/>
                <w:szCs w:val="18"/>
              </w:rPr>
            </w:pPr>
            <w:r>
              <w:rPr>
                <w:color w:val="000000"/>
                <w:sz w:val="18"/>
                <w:szCs w:val="18"/>
              </w:rPr>
              <w:t>87</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jc w:val="center"/>
              <w:rPr>
                <w:color w:val="000000"/>
                <w:sz w:val="18"/>
                <w:szCs w:val="18"/>
              </w:rPr>
            </w:pPr>
            <w:r>
              <w:rPr>
                <w:color w:val="000000"/>
                <w:sz w:val="18"/>
                <w:szCs w:val="18"/>
              </w:rPr>
              <w:t>174</w:t>
            </w: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DE1924">
            <w:pPr>
              <w:jc w:val="center"/>
              <w:rPr>
                <w:color w:val="000000"/>
                <w:sz w:val="18"/>
                <w:szCs w:val="18"/>
              </w:rPr>
            </w:pPr>
            <w:r w:rsidRPr="00D720BF">
              <w:rPr>
                <w:color w:val="000000"/>
                <w:sz w:val="18"/>
                <w:szCs w:val="18"/>
              </w:rPr>
              <w:t>$1</w:t>
            </w:r>
            <w:r w:rsidR="00DE1924" w:rsidRPr="00D720BF">
              <w:rPr>
                <w:color w:val="000000"/>
                <w:sz w:val="18"/>
                <w:szCs w:val="18"/>
              </w:rPr>
              <w:t>88</w:t>
            </w:r>
            <w:r w:rsidRPr="00D720BF">
              <w:rPr>
                <w:color w:val="000000"/>
                <w:sz w:val="18"/>
                <w:szCs w:val="18"/>
              </w:rPr>
              <w:t>,</w:t>
            </w:r>
            <w:r w:rsidR="00DE1924" w:rsidRPr="00D720BF">
              <w:rPr>
                <w:color w:val="000000"/>
                <w:sz w:val="18"/>
                <w:szCs w:val="18"/>
              </w:rPr>
              <w:t>188</w:t>
            </w:r>
          </w:p>
        </w:tc>
      </w:tr>
      <w:tr w:rsidR="00B3478F" w:rsidRPr="00F64D9D" w:rsidTr="00536637">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color w:val="000000"/>
                <w:sz w:val="18"/>
                <w:szCs w:val="18"/>
              </w:rPr>
              <w:t>TOTAL NUMBER OF ANNUAL RESPONSES</w:t>
            </w:r>
          </w:p>
        </w:tc>
        <w:tc>
          <w:tcPr>
            <w:tcW w:w="8910" w:type="dxa"/>
            <w:gridSpan w:val="8"/>
            <w:tcBorders>
              <w:top w:val="single" w:sz="2" w:space="0" w:color="auto"/>
              <w:left w:val="single" w:sz="2" w:space="0" w:color="auto"/>
              <w:bottom w:val="single" w:sz="2" w:space="0" w:color="auto"/>
              <w:right w:val="double" w:sz="6" w:space="0" w:color="auto"/>
            </w:tcBorders>
          </w:tcPr>
          <w:p w:rsidR="00B3478F" w:rsidRPr="00D720BF" w:rsidRDefault="00282482" w:rsidP="00282482">
            <w:pPr>
              <w:jc w:val="center"/>
              <w:rPr>
                <w:color w:val="000000"/>
                <w:sz w:val="18"/>
                <w:szCs w:val="18"/>
              </w:rPr>
            </w:pPr>
            <w:r w:rsidRPr="00D720BF">
              <w:rPr>
                <w:color w:val="000000"/>
                <w:sz w:val="18"/>
                <w:szCs w:val="18"/>
              </w:rPr>
              <w:t>406</w:t>
            </w:r>
          </w:p>
        </w:tc>
      </w:tr>
      <w:tr w:rsidR="00B3478F" w:rsidRPr="00F64D9D" w:rsidTr="00536637">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color w:val="000000"/>
                <w:sz w:val="18"/>
                <w:szCs w:val="18"/>
              </w:rPr>
              <w:t>ANNUAL CAPITAL COSTS</w:t>
            </w:r>
            <w:r w:rsidR="00D720BF">
              <w:rPr>
                <w:color w:val="000000"/>
                <w:sz w:val="18"/>
                <w:szCs w:val="18"/>
                <w:vertAlign w:val="superscript"/>
              </w:rPr>
              <w:t>d</w:t>
            </w:r>
          </w:p>
        </w:tc>
        <w:tc>
          <w:tcPr>
            <w:tcW w:w="8910" w:type="dxa"/>
            <w:gridSpan w:val="8"/>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536637">
        <w:trPr>
          <w:trHeight w:val="223"/>
        </w:trPr>
        <w:tc>
          <w:tcPr>
            <w:tcW w:w="4170" w:type="dxa"/>
            <w:tcBorders>
              <w:top w:val="single" w:sz="2" w:space="0" w:color="auto"/>
              <w:left w:val="double" w:sz="6" w:space="0" w:color="auto"/>
              <w:bottom w:val="double" w:sz="6" w:space="0" w:color="auto"/>
              <w:right w:val="single" w:sz="2" w:space="0" w:color="auto"/>
            </w:tcBorders>
          </w:tcPr>
          <w:p w:rsidR="00B3478F" w:rsidRPr="00F64D9D" w:rsidRDefault="00B3478F" w:rsidP="001F1CC9">
            <w:pPr>
              <w:widowControl/>
              <w:rPr>
                <w:b/>
                <w:color w:val="000000"/>
                <w:sz w:val="18"/>
                <w:szCs w:val="18"/>
              </w:rPr>
            </w:pPr>
            <w:r w:rsidRPr="00F64D9D">
              <w:rPr>
                <w:b/>
                <w:color w:val="000000"/>
                <w:sz w:val="18"/>
                <w:szCs w:val="18"/>
              </w:rPr>
              <w:t>TOTAL ANNUALIZED COSTS</w:t>
            </w:r>
          </w:p>
        </w:tc>
        <w:tc>
          <w:tcPr>
            <w:tcW w:w="7920" w:type="dxa"/>
            <w:gridSpan w:val="7"/>
            <w:tcBorders>
              <w:top w:val="single" w:sz="2" w:space="0" w:color="auto"/>
              <w:left w:val="single" w:sz="2" w:space="0" w:color="auto"/>
              <w:bottom w:val="double" w:sz="6"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double" w:sz="6" w:space="0" w:color="auto"/>
              <w:right w:val="double" w:sz="6" w:space="0" w:color="auto"/>
            </w:tcBorders>
          </w:tcPr>
          <w:p w:rsidR="00B3478F" w:rsidRPr="00D720BF" w:rsidRDefault="00B3478F" w:rsidP="003C3802">
            <w:pPr>
              <w:jc w:val="center"/>
              <w:rPr>
                <w:color w:val="000000"/>
                <w:sz w:val="18"/>
                <w:szCs w:val="18"/>
              </w:rPr>
            </w:pPr>
            <w:r w:rsidRPr="00D720BF">
              <w:rPr>
                <w:color w:val="000000"/>
                <w:sz w:val="18"/>
                <w:szCs w:val="18"/>
              </w:rPr>
              <w:t>$</w:t>
            </w:r>
            <w:r w:rsidR="003C3802" w:rsidRPr="00D720BF">
              <w:rPr>
                <w:color w:val="000000"/>
                <w:sz w:val="18"/>
                <w:szCs w:val="18"/>
              </w:rPr>
              <w:t>188,188</w:t>
            </w:r>
          </w:p>
        </w:tc>
      </w:tr>
    </w:tbl>
    <w:p w:rsidR="00235A9F" w:rsidRPr="0081784F" w:rsidRDefault="00235A9F" w:rsidP="00DB6B8D">
      <w:pPr>
        <w:widowControl/>
        <w:rPr>
          <w:sz w:val="18"/>
          <w:szCs w:val="18"/>
        </w:rPr>
      </w:pPr>
      <w:r w:rsidRPr="0081784F">
        <w:rPr>
          <w:sz w:val="18"/>
          <w:szCs w:val="18"/>
        </w:rPr>
        <w:t>N/A = not applicable.</w:t>
      </w:r>
    </w:p>
    <w:p w:rsidR="009F2CCA" w:rsidRPr="0081784F" w:rsidRDefault="005F05FD" w:rsidP="005920D6">
      <w:pPr>
        <w:widowControl/>
        <w:rPr>
          <w:bCs/>
          <w:sz w:val="18"/>
          <w:szCs w:val="18"/>
        </w:rPr>
      </w:pPr>
      <w:r w:rsidRPr="0081784F">
        <w:rPr>
          <w:bCs/>
          <w:sz w:val="18"/>
          <w:szCs w:val="18"/>
          <w:vertAlign w:val="superscript"/>
        </w:rPr>
        <w:t>a</w:t>
      </w:r>
      <w:r w:rsidR="00FE1041" w:rsidRPr="0081784F">
        <w:rPr>
          <w:bCs/>
          <w:sz w:val="18"/>
          <w:szCs w:val="18"/>
        </w:rPr>
        <w:t xml:space="preserve">  T</w:t>
      </w:r>
      <w:r w:rsidR="009F2CCA" w:rsidRPr="0081784F">
        <w:rPr>
          <w:bCs/>
          <w:sz w:val="18"/>
          <w:szCs w:val="18"/>
        </w:rPr>
        <w:t>his ICR uses the following labor rates</w:t>
      </w:r>
      <w:r w:rsidR="009F2CCA" w:rsidRPr="00D720BF">
        <w:rPr>
          <w:bCs/>
          <w:sz w:val="18"/>
          <w:szCs w:val="18"/>
        </w:rPr>
        <w:t xml:space="preserve">: </w:t>
      </w:r>
      <w:r w:rsidRPr="00D720BF">
        <w:rPr>
          <w:bCs/>
          <w:sz w:val="18"/>
          <w:szCs w:val="18"/>
        </w:rPr>
        <w:t xml:space="preserve"> </w:t>
      </w:r>
      <w:r w:rsidR="009F2CCA" w:rsidRPr="00D720BF">
        <w:rPr>
          <w:bCs/>
          <w:sz w:val="18"/>
          <w:szCs w:val="18"/>
        </w:rPr>
        <w:t>$</w:t>
      </w:r>
      <w:r w:rsidR="00741706" w:rsidRPr="00D720BF">
        <w:rPr>
          <w:bCs/>
          <w:sz w:val="18"/>
          <w:szCs w:val="18"/>
        </w:rPr>
        <w:t xml:space="preserve">114.77 </w:t>
      </w:r>
      <w:r w:rsidR="009F2CCA" w:rsidRPr="00D720BF">
        <w:rPr>
          <w:bCs/>
          <w:sz w:val="18"/>
          <w:szCs w:val="18"/>
        </w:rPr>
        <w:t xml:space="preserve">for managerial labor, </w:t>
      </w:r>
      <w:r w:rsidR="00741706" w:rsidRPr="00D720BF">
        <w:rPr>
          <w:bCs/>
          <w:sz w:val="18"/>
          <w:szCs w:val="18"/>
        </w:rPr>
        <w:t xml:space="preserve">$97.59 </w:t>
      </w:r>
      <w:r w:rsidR="009F2CCA" w:rsidRPr="00D720BF">
        <w:rPr>
          <w:bCs/>
          <w:sz w:val="18"/>
          <w:szCs w:val="18"/>
        </w:rPr>
        <w:t xml:space="preserve">for technical labor, and </w:t>
      </w:r>
      <w:r w:rsidR="00741706" w:rsidRPr="00D720BF">
        <w:rPr>
          <w:bCs/>
          <w:sz w:val="18"/>
          <w:szCs w:val="18"/>
        </w:rPr>
        <w:t xml:space="preserve">$48.26 </w:t>
      </w:r>
      <w:r w:rsidR="009F2CCA" w:rsidRPr="00D720BF">
        <w:rPr>
          <w:bCs/>
          <w:sz w:val="18"/>
          <w:szCs w:val="18"/>
        </w:rPr>
        <w:t>for clerical labor</w:t>
      </w:r>
      <w:r w:rsidR="005F45FC">
        <w:rPr>
          <w:bCs/>
          <w:sz w:val="18"/>
          <w:szCs w:val="18"/>
        </w:rPr>
        <w:t xml:space="preserve">. </w:t>
      </w:r>
      <w:r w:rsidR="009F2CCA" w:rsidRPr="00D720BF">
        <w:rPr>
          <w:bCs/>
          <w:sz w:val="18"/>
          <w:szCs w:val="18"/>
        </w:rPr>
        <w:t xml:space="preserve">These rates are </w:t>
      </w:r>
      <w:r w:rsidR="00946FDD" w:rsidRPr="00D720BF">
        <w:rPr>
          <w:bCs/>
          <w:sz w:val="18"/>
          <w:szCs w:val="18"/>
        </w:rPr>
        <w:t xml:space="preserve">based on </w:t>
      </w:r>
      <w:r w:rsidR="009F2CCA" w:rsidRPr="00D720BF">
        <w:rPr>
          <w:bCs/>
          <w:sz w:val="18"/>
          <w:szCs w:val="18"/>
        </w:rPr>
        <w:t>the U.S. Department of Labor, Bureau of Labor</w:t>
      </w:r>
      <w:r w:rsidR="0081784F" w:rsidRPr="00D720BF">
        <w:rPr>
          <w:bCs/>
          <w:sz w:val="18"/>
          <w:szCs w:val="18"/>
        </w:rPr>
        <w:t xml:space="preserve"> Statistics, Occupational Employment and Wages, Ma</w:t>
      </w:r>
      <w:r w:rsidR="00741706" w:rsidRPr="00D720BF">
        <w:rPr>
          <w:bCs/>
          <w:sz w:val="18"/>
          <w:szCs w:val="18"/>
        </w:rPr>
        <w:t>rch</w:t>
      </w:r>
      <w:r w:rsidR="0081784F" w:rsidRPr="00D720BF">
        <w:rPr>
          <w:bCs/>
          <w:sz w:val="18"/>
          <w:szCs w:val="18"/>
        </w:rPr>
        <w:t xml:space="preserve"> 2009.</w:t>
      </w:r>
    </w:p>
    <w:p w:rsidR="009B2C09" w:rsidRPr="0081784F" w:rsidRDefault="009B0A88" w:rsidP="00D720BF">
      <w:pPr>
        <w:widowControl/>
        <w:rPr>
          <w:bCs/>
          <w:sz w:val="18"/>
          <w:szCs w:val="18"/>
        </w:rPr>
      </w:pPr>
      <w:r w:rsidRPr="0081784F">
        <w:rPr>
          <w:bCs/>
          <w:sz w:val="18"/>
          <w:szCs w:val="18"/>
          <w:vertAlign w:val="superscript"/>
        </w:rPr>
        <w:t>b</w:t>
      </w:r>
      <w:r w:rsidR="00FE1041" w:rsidRPr="0081784F">
        <w:rPr>
          <w:bCs/>
          <w:sz w:val="18"/>
          <w:szCs w:val="18"/>
          <w:vertAlign w:val="superscript"/>
        </w:rPr>
        <w:t xml:space="preserve">  </w:t>
      </w:r>
      <w:r w:rsidR="0081784F" w:rsidRPr="0081784F">
        <w:rPr>
          <w:bCs/>
          <w:sz w:val="18"/>
          <w:szCs w:val="18"/>
        </w:rPr>
        <w:t xml:space="preserve">There are an estimated </w:t>
      </w:r>
      <w:r w:rsidR="00536637">
        <w:rPr>
          <w:bCs/>
          <w:sz w:val="18"/>
          <w:szCs w:val="18"/>
        </w:rPr>
        <w:t>406</w:t>
      </w:r>
      <w:r w:rsidR="0081784F" w:rsidRPr="0081784F">
        <w:rPr>
          <w:bCs/>
          <w:sz w:val="18"/>
          <w:szCs w:val="18"/>
        </w:rPr>
        <w:t xml:space="preserve"> existing </w:t>
      </w:r>
      <w:r w:rsidR="009C542F">
        <w:rPr>
          <w:bCs/>
          <w:sz w:val="18"/>
          <w:szCs w:val="18"/>
        </w:rPr>
        <w:t>facilities;</w:t>
      </w:r>
      <w:r w:rsidR="0081784F" w:rsidRPr="0081784F">
        <w:rPr>
          <w:bCs/>
          <w:sz w:val="18"/>
          <w:szCs w:val="18"/>
        </w:rPr>
        <w:t xml:space="preserve"> no new facilities are expected; the average number expected to read the rule during the 3-yr </w:t>
      </w:r>
      <w:r w:rsidR="00D720BF">
        <w:rPr>
          <w:bCs/>
          <w:sz w:val="18"/>
          <w:szCs w:val="18"/>
        </w:rPr>
        <w:t>compliance</w:t>
      </w:r>
      <w:r w:rsidR="0081784F" w:rsidRPr="0081784F">
        <w:rPr>
          <w:bCs/>
          <w:sz w:val="18"/>
          <w:szCs w:val="18"/>
        </w:rPr>
        <w:t xml:space="preserve"> period is </w:t>
      </w:r>
      <w:r w:rsidR="00536637">
        <w:rPr>
          <w:bCs/>
          <w:sz w:val="18"/>
          <w:szCs w:val="18"/>
        </w:rPr>
        <w:t>406</w:t>
      </w:r>
      <w:r w:rsidR="0081784F" w:rsidRPr="0081784F">
        <w:rPr>
          <w:bCs/>
          <w:sz w:val="18"/>
          <w:szCs w:val="18"/>
        </w:rPr>
        <w:t xml:space="preserve">/3 = </w:t>
      </w:r>
      <w:r w:rsidR="00536637">
        <w:rPr>
          <w:bCs/>
          <w:sz w:val="18"/>
          <w:szCs w:val="18"/>
        </w:rPr>
        <w:t>135</w:t>
      </w:r>
      <w:r w:rsidR="009B2C09" w:rsidRPr="0081784F">
        <w:rPr>
          <w:bCs/>
          <w:sz w:val="18"/>
          <w:szCs w:val="18"/>
        </w:rPr>
        <w:t>.</w:t>
      </w:r>
    </w:p>
    <w:p w:rsidR="009C542F" w:rsidRPr="009C542F" w:rsidRDefault="009C542F" w:rsidP="00D720BF">
      <w:pPr>
        <w:widowControl/>
        <w:rPr>
          <w:bCs/>
          <w:sz w:val="18"/>
          <w:szCs w:val="18"/>
        </w:rPr>
      </w:pPr>
      <w:r w:rsidRPr="009C542F">
        <w:rPr>
          <w:bCs/>
          <w:sz w:val="18"/>
          <w:szCs w:val="18"/>
          <w:vertAlign w:val="superscript"/>
        </w:rPr>
        <w:t>c</w:t>
      </w:r>
      <w:r w:rsidRPr="009C542F">
        <w:rPr>
          <w:bCs/>
          <w:sz w:val="18"/>
          <w:szCs w:val="18"/>
        </w:rPr>
        <w:t xml:space="preserve"> </w:t>
      </w:r>
      <w:r>
        <w:rPr>
          <w:bCs/>
          <w:sz w:val="18"/>
          <w:szCs w:val="18"/>
        </w:rPr>
        <w:t xml:space="preserve"> </w:t>
      </w:r>
      <w:r w:rsidR="006529F3" w:rsidRPr="0081784F">
        <w:rPr>
          <w:bCs/>
          <w:sz w:val="18"/>
          <w:szCs w:val="18"/>
        </w:rPr>
        <w:t xml:space="preserve">There are an estimated </w:t>
      </w:r>
      <w:r w:rsidR="006529F3">
        <w:rPr>
          <w:bCs/>
          <w:sz w:val="18"/>
          <w:szCs w:val="18"/>
        </w:rPr>
        <w:t>150</w:t>
      </w:r>
      <w:r w:rsidR="006529F3" w:rsidRPr="0081784F">
        <w:rPr>
          <w:bCs/>
          <w:sz w:val="18"/>
          <w:szCs w:val="18"/>
        </w:rPr>
        <w:t xml:space="preserve"> existing </w:t>
      </w:r>
      <w:r w:rsidR="006529F3">
        <w:rPr>
          <w:bCs/>
          <w:sz w:val="18"/>
          <w:szCs w:val="18"/>
        </w:rPr>
        <w:t>facilities using coatings containing formaldehyde;</w:t>
      </w:r>
      <w:r w:rsidR="006529F3" w:rsidRPr="0081784F">
        <w:rPr>
          <w:bCs/>
          <w:sz w:val="18"/>
          <w:szCs w:val="18"/>
        </w:rPr>
        <w:t xml:space="preserve"> the average number expected to </w:t>
      </w:r>
      <w:r w:rsidR="006529F3">
        <w:rPr>
          <w:bCs/>
          <w:sz w:val="18"/>
          <w:szCs w:val="18"/>
        </w:rPr>
        <w:t xml:space="preserve">comply with the formaldehyde limit </w:t>
      </w:r>
      <w:r w:rsidR="006529F3" w:rsidRPr="0081784F">
        <w:rPr>
          <w:bCs/>
          <w:sz w:val="18"/>
          <w:szCs w:val="18"/>
        </w:rPr>
        <w:t xml:space="preserve">during the 3-yr </w:t>
      </w:r>
      <w:r w:rsidR="00D720BF">
        <w:rPr>
          <w:bCs/>
          <w:sz w:val="18"/>
          <w:szCs w:val="18"/>
        </w:rPr>
        <w:t>compliance</w:t>
      </w:r>
      <w:r w:rsidR="006529F3" w:rsidRPr="0081784F">
        <w:rPr>
          <w:bCs/>
          <w:sz w:val="18"/>
          <w:szCs w:val="18"/>
        </w:rPr>
        <w:t xml:space="preserve"> period is </w:t>
      </w:r>
      <w:r w:rsidR="006529F3">
        <w:rPr>
          <w:bCs/>
          <w:sz w:val="18"/>
          <w:szCs w:val="18"/>
        </w:rPr>
        <w:t>150</w:t>
      </w:r>
      <w:r w:rsidR="006529F3" w:rsidRPr="0081784F">
        <w:rPr>
          <w:bCs/>
          <w:sz w:val="18"/>
          <w:szCs w:val="18"/>
        </w:rPr>
        <w:t xml:space="preserve">/3 = </w:t>
      </w:r>
      <w:r w:rsidR="006529F3">
        <w:rPr>
          <w:bCs/>
          <w:sz w:val="18"/>
          <w:szCs w:val="18"/>
        </w:rPr>
        <w:t>50</w:t>
      </w:r>
      <w:r w:rsidR="005F45FC">
        <w:rPr>
          <w:bCs/>
          <w:sz w:val="18"/>
          <w:szCs w:val="18"/>
        </w:rPr>
        <w:t xml:space="preserve">. </w:t>
      </w:r>
    </w:p>
    <w:p w:rsidR="0026286B" w:rsidRPr="00741706" w:rsidRDefault="00D720BF" w:rsidP="00741706">
      <w:pPr>
        <w:widowControl/>
        <w:rPr>
          <w:bCs/>
          <w:sz w:val="18"/>
          <w:szCs w:val="18"/>
        </w:rPr>
      </w:pPr>
      <w:r>
        <w:rPr>
          <w:bCs/>
          <w:sz w:val="18"/>
          <w:szCs w:val="18"/>
          <w:vertAlign w:val="superscript"/>
        </w:rPr>
        <w:t>d</w:t>
      </w:r>
      <w:r w:rsidR="009C542F" w:rsidRPr="009C542F">
        <w:rPr>
          <w:bCs/>
          <w:sz w:val="18"/>
          <w:szCs w:val="18"/>
        </w:rPr>
        <w:t xml:space="preserve">  There would be no capital costs associated with the reporting and recordkeeping requirements of the amendments</w:t>
      </w:r>
      <w:r w:rsidR="009C542F">
        <w:rPr>
          <w:bCs/>
          <w:sz w:val="18"/>
          <w:szCs w:val="18"/>
        </w:rPr>
        <w:t>.</w:t>
      </w:r>
    </w:p>
    <w:p w:rsidR="00B1351A" w:rsidRPr="009C542F" w:rsidRDefault="00897A68" w:rsidP="00EC2688">
      <w:pPr>
        <w:widowControl/>
        <w:rPr>
          <w:b/>
        </w:rPr>
      </w:pPr>
      <w:r w:rsidRPr="0074385D">
        <w:rPr>
          <w:bCs/>
          <w:sz w:val="18"/>
          <w:szCs w:val="18"/>
          <w:highlight w:val="yellow"/>
        </w:rPr>
        <w:br w:type="page"/>
      </w:r>
      <w:r w:rsidR="00A0364B" w:rsidRPr="009C542F">
        <w:rPr>
          <w:b/>
          <w:bCs/>
        </w:rPr>
        <w:lastRenderedPageBreak/>
        <w:t xml:space="preserve"> </w:t>
      </w:r>
      <w:r w:rsidR="004A1F14" w:rsidRPr="009C542F">
        <w:rPr>
          <w:b/>
          <w:bCs/>
        </w:rPr>
        <w:t>3</w:t>
      </w:r>
      <w:r w:rsidR="005F45FC">
        <w:rPr>
          <w:b/>
          <w:bCs/>
        </w:rPr>
        <w:t xml:space="preserve">. </w:t>
      </w:r>
      <w:r w:rsidR="00B1351A" w:rsidRPr="009C542F">
        <w:rPr>
          <w:b/>
          <w:bCs/>
        </w:rPr>
        <w:t xml:space="preserve">ANNUAL BURDEN AND COST TO THE </w:t>
      </w:r>
      <w:r w:rsidR="00A0364B" w:rsidRPr="009C542F">
        <w:rPr>
          <w:b/>
          <w:bCs/>
        </w:rPr>
        <w:t>AGENCY</w:t>
      </w:r>
      <w:r w:rsidR="00D7245C" w:rsidRPr="009C542F">
        <w:rPr>
          <w:b/>
          <w:bCs/>
        </w:rPr>
        <w:t>--</w:t>
      </w:r>
      <w:r w:rsidR="0081784F" w:rsidRPr="009C542F">
        <w:rPr>
          <w:b/>
        </w:rPr>
        <w:t xml:space="preserve">--AMENDMENTS TO </w:t>
      </w:r>
      <w:r w:rsidR="00EC2688">
        <w:rPr>
          <w:b/>
        </w:rPr>
        <w:t>WOOD FURNITURE MANUFACTURING</w:t>
      </w:r>
      <w:r w:rsidR="0081784F" w:rsidRPr="009C542F">
        <w:rPr>
          <w:b/>
        </w:rPr>
        <w:t xml:space="preserve"> NESHAP</w:t>
      </w:r>
      <w:r w:rsidR="0081784F" w:rsidRPr="009C542F">
        <w:rPr>
          <w:b/>
          <w:bCs/>
        </w:rPr>
        <w:t xml:space="preserve"> </w:t>
      </w:r>
    </w:p>
    <w:tbl>
      <w:tblPr>
        <w:tblW w:w="13080" w:type="dxa"/>
        <w:tblLayout w:type="fixed"/>
        <w:tblCellMar>
          <w:left w:w="30" w:type="dxa"/>
          <w:right w:w="30" w:type="dxa"/>
        </w:tblCellMar>
        <w:tblLook w:val="0000"/>
      </w:tblPr>
      <w:tblGrid>
        <w:gridCol w:w="3180"/>
        <w:gridCol w:w="1260"/>
        <w:gridCol w:w="1260"/>
        <w:gridCol w:w="1260"/>
        <w:gridCol w:w="990"/>
        <w:gridCol w:w="1440"/>
        <w:gridCol w:w="1530"/>
        <w:gridCol w:w="1350"/>
        <w:gridCol w:w="810"/>
      </w:tblGrid>
      <w:tr w:rsidR="00570406" w:rsidRPr="009C542F" w:rsidTr="0004658A">
        <w:trPr>
          <w:trHeight w:val="711"/>
        </w:trPr>
        <w:tc>
          <w:tcPr>
            <w:tcW w:w="3180" w:type="dxa"/>
            <w:tcBorders>
              <w:top w:val="double" w:sz="6" w:space="0" w:color="auto"/>
              <w:left w:val="double" w:sz="6" w:space="0" w:color="auto"/>
              <w:bottom w:val="single" w:sz="6" w:space="0" w:color="auto"/>
              <w:right w:val="single" w:sz="6" w:space="0" w:color="auto"/>
            </w:tcBorders>
            <w:vAlign w:val="bottom"/>
          </w:tcPr>
          <w:p w:rsidR="00570406" w:rsidRPr="009C542F" w:rsidRDefault="00570406" w:rsidP="0011196D">
            <w:pPr>
              <w:widowControl/>
              <w:jc w:val="center"/>
              <w:rPr>
                <w:b/>
                <w:bCs/>
                <w:color w:val="000000"/>
                <w:sz w:val="18"/>
                <w:szCs w:val="18"/>
              </w:rPr>
            </w:pPr>
            <w:r w:rsidRPr="009C542F">
              <w:rPr>
                <w:b/>
                <w:bCs/>
                <w:color w:val="000000"/>
                <w:sz w:val="18"/>
                <w:szCs w:val="18"/>
              </w:rPr>
              <w:t>Burden item</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(A) </w:t>
            </w:r>
          </w:p>
          <w:p w:rsidR="00570406" w:rsidRPr="009C542F" w:rsidRDefault="00570406">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vAlign w:val="bottom"/>
          </w:tcPr>
          <w:p w:rsidR="00570406" w:rsidRPr="009C542F" w:rsidRDefault="00570406">
            <w:pPr>
              <w:widowControl/>
              <w:jc w:val="center"/>
              <w:rPr>
                <w:b/>
                <w:bCs/>
                <w:color w:val="000000"/>
                <w:sz w:val="18"/>
                <w:szCs w:val="18"/>
              </w:rPr>
            </w:pPr>
            <w:r w:rsidRPr="009C542F">
              <w:rPr>
                <w:b/>
                <w:bCs/>
                <w:color w:val="000000"/>
                <w:sz w:val="18"/>
                <w:szCs w:val="18"/>
              </w:rPr>
              <w:t>(B) Occurrences per respondent</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rsidP="004C1937">
            <w:pPr>
              <w:widowControl/>
              <w:jc w:val="center"/>
              <w:rPr>
                <w:b/>
                <w:bCs/>
                <w:color w:val="000000"/>
                <w:sz w:val="18"/>
                <w:szCs w:val="18"/>
              </w:rPr>
            </w:pPr>
            <w:r w:rsidRPr="009C542F">
              <w:rPr>
                <w:b/>
                <w:bCs/>
                <w:color w:val="000000"/>
                <w:sz w:val="18"/>
                <w:szCs w:val="18"/>
              </w:rPr>
              <w:t xml:space="preserve">(C) </w:t>
            </w:r>
          </w:p>
          <w:p w:rsidR="00570406" w:rsidRPr="009C542F" w:rsidRDefault="00570406" w:rsidP="004C1937">
            <w:pPr>
              <w:widowControl/>
              <w:jc w:val="center"/>
              <w:rPr>
                <w:b/>
                <w:bCs/>
                <w:color w:val="000000"/>
                <w:sz w:val="18"/>
                <w:szCs w:val="18"/>
              </w:rPr>
            </w:pPr>
            <w:r w:rsidRPr="009C542F">
              <w:rPr>
                <w:b/>
                <w:bCs/>
                <w:color w:val="000000"/>
                <w:sz w:val="18"/>
                <w:szCs w:val="18"/>
              </w:rPr>
              <w:t>EPA person-hours/year (C=A*B)</w:t>
            </w:r>
          </w:p>
        </w:tc>
        <w:tc>
          <w:tcPr>
            <w:tcW w:w="99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(D) </w:t>
            </w:r>
          </w:p>
          <w:p w:rsidR="00570406" w:rsidRPr="009C542F" w:rsidRDefault="00570406">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(E) </w:t>
            </w:r>
          </w:p>
          <w:p w:rsidR="00570406" w:rsidRPr="009C542F" w:rsidRDefault="00570406" w:rsidP="006F602E">
            <w:pPr>
              <w:widowControl/>
              <w:jc w:val="center"/>
              <w:rPr>
                <w:b/>
                <w:bCs/>
                <w:color w:val="000000"/>
                <w:sz w:val="18"/>
                <w:szCs w:val="18"/>
              </w:rPr>
            </w:pPr>
            <w:r w:rsidRPr="009C542F">
              <w:rPr>
                <w:b/>
                <w:bCs/>
                <w:color w:val="000000"/>
                <w:sz w:val="18"/>
                <w:szCs w:val="18"/>
              </w:rPr>
              <w:t>Technical person-hours/year (</w:t>
            </w:r>
            <w:r w:rsidR="006F602E">
              <w:rPr>
                <w:b/>
                <w:bCs/>
                <w:color w:val="000000"/>
                <w:sz w:val="18"/>
                <w:szCs w:val="18"/>
              </w:rPr>
              <w:t>E</w:t>
            </w:r>
            <w:r w:rsidRPr="009C542F">
              <w:rPr>
                <w:b/>
                <w:bCs/>
                <w:color w:val="000000"/>
                <w:sz w:val="18"/>
                <w:szCs w:val="18"/>
              </w:rPr>
              <w:t>=</w:t>
            </w:r>
            <w:r w:rsidR="006F602E">
              <w:rPr>
                <w:b/>
                <w:bCs/>
                <w:color w:val="000000"/>
                <w:sz w:val="18"/>
                <w:szCs w:val="18"/>
              </w:rPr>
              <w:t>C</w:t>
            </w:r>
            <w:r w:rsidRPr="009C542F">
              <w:rPr>
                <w:b/>
                <w:bCs/>
                <w:color w:val="000000"/>
                <w:sz w:val="18"/>
                <w:szCs w:val="18"/>
              </w:rPr>
              <w:t>*</w:t>
            </w:r>
            <w:r w:rsidR="006F602E">
              <w:rPr>
                <w:b/>
                <w:bCs/>
                <w:color w:val="000000"/>
                <w:sz w:val="18"/>
                <w:szCs w:val="18"/>
              </w:rPr>
              <w:t>D</w:t>
            </w:r>
            <w:r w:rsidRPr="009C542F">
              <w:rPr>
                <w:b/>
                <w:bCs/>
                <w:color w:val="000000"/>
                <w:sz w:val="18"/>
                <w:szCs w:val="18"/>
              </w:rPr>
              <w:t>)</w:t>
            </w:r>
          </w:p>
        </w:tc>
        <w:tc>
          <w:tcPr>
            <w:tcW w:w="153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(F) </w:t>
            </w:r>
          </w:p>
          <w:p w:rsidR="00570406" w:rsidRPr="009C542F" w:rsidRDefault="00570406" w:rsidP="006F602E">
            <w:pPr>
              <w:widowControl/>
              <w:jc w:val="center"/>
              <w:rPr>
                <w:b/>
                <w:bCs/>
                <w:color w:val="000000"/>
                <w:sz w:val="18"/>
                <w:szCs w:val="18"/>
              </w:rPr>
            </w:pPr>
            <w:r w:rsidRPr="009C542F">
              <w:rPr>
                <w:b/>
                <w:bCs/>
                <w:color w:val="000000"/>
                <w:sz w:val="18"/>
                <w:szCs w:val="18"/>
              </w:rPr>
              <w:t>Management   person-hours/year (</w:t>
            </w:r>
            <w:r w:rsidR="006F602E">
              <w:rPr>
                <w:b/>
                <w:bCs/>
                <w:color w:val="000000"/>
                <w:sz w:val="18"/>
                <w:szCs w:val="18"/>
              </w:rPr>
              <w:t>F</w:t>
            </w:r>
            <w:r w:rsidRPr="009C542F">
              <w:rPr>
                <w:b/>
                <w:bCs/>
                <w:color w:val="000000"/>
                <w:sz w:val="18"/>
                <w:szCs w:val="18"/>
              </w:rPr>
              <w:t>=0.05*</w:t>
            </w:r>
            <w:r w:rsidR="006F602E">
              <w:rPr>
                <w:b/>
                <w:bCs/>
                <w:color w:val="000000"/>
                <w:sz w:val="18"/>
                <w:szCs w:val="18"/>
              </w:rPr>
              <w:t>E</w:t>
            </w:r>
            <w:r w:rsidRPr="009C542F">
              <w:rPr>
                <w:b/>
                <w:bCs/>
                <w:color w:val="000000"/>
                <w:sz w:val="18"/>
                <w:szCs w:val="18"/>
              </w:rPr>
              <w:t>)</w:t>
            </w:r>
          </w:p>
        </w:tc>
        <w:tc>
          <w:tcPr>
            <w:tcW w:w="135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(G) </w:t>
            </w:r>
          </w:p>
          <w:p w:rsidR="00570406" w:rsidRPr="009C542F" w:rsidRDefault="00570406" w:rsidP="006F602E">
            <w:pPr>
              <w:widowControl/>
              <w:jc w:val="center"/>
              <w:rPr>
                <w:b/>
                <w:bCs/>
                <w:color w:val="000000"/>
                <w:sz w:val="18"/>
                <w:szCs w:val="18"/>
              </w:rPr>
            </w:pPr>
            <w:r w:rsidRPr="009C542F">
              <w:rPr>
                <w:b/>
                <w:bCs/>
                <w:color w:val="000000"/>
                <w:sz w:val="18"/>
                <w:szCs w:val="18"/>
              </w:rPr>
              <w:t>Clerical person-hours/year (</w:t>
            </w:r>
            <w:r w:rsidR="006F602E">
              <w:rPr>
                <w:b/>
                <w:bCs/>
                <w:color w:val="000000"/>
                <w:sz w:val="18"/>
                <w:szCs w:val="18"/>
              </w:rPr>
              <w:t>G</w:t>
            </w:r>
            <w:r w:rsidRPr="009C542F">
              <w:rPr>
                <w:b/>
                <w:bCs/>
                <w:color w:val="000000"/>
                <w:sz w:val="18"/>
                <w:szCs w:val="18"/>
              </w:rPr>
              <w:t>=0.1*</w:t>
            </w:r>
            <w:r w:rsidR="006F602E">
              <w:rPr>
                <w:b/>
                <w:bCs/>
                <w:color w:val="000000"/>
                <w:sz w:val="18"/>
                <w:szCs w:val="18"/>
              </w:rPr>
              <w:t>E</w:t>
            </w:r>
            <w:r w:rsidRPr="009C542F">
              <w:rPr>
                <w:b/>
                <w:bCs/>
                <w:color w:val="000000"/>
                <w:sz w:val="18"/>
                <w:szCs w:val="18"/>
              </w:rPr>
              <w:t>)</w:t>
            </w:r>
          </w:p>
        </w:tc>
        <w:tc>
          <w:tcPr>
            <w:tcW w:w="810" w:type="dxa"/>
            <w:tcBorders>
              <w:top w:val="double" w:sz="6" w:space="0" w:color="auto"/>
              <w:left w:val="single" w:sz="6" w:space="0" w:color="auto"/>
              <w:bottom w:val="single" w:sz="6" w:space="0" w:color="auto"/>
              <w:right w:val="double" w:sz="6" w:space="0" w:color="auto"/>
            </w:tcBorders>
            <w:vAlign w:val="bottom"/>
          </w:tcPr>
          <w:p w:rsidR="00E84CC2" w:rsidRDefault="00570406" w:rsidP="00E84CC2">
            <w:pPr>
              <w:widowControl/>
              <w:jc w:val="center"/>
              <w:rPr>
                <w:b/>
                <w:bCs/>
                <w:color w:val="000000"/>
                <w:sz w:val="18"/>
                <w:szCs w:val="18"/>
              </w:rPr>
            </w:pPr>
            <w:r w:rsidRPr="009C542F">
              <w:rPr>
                <w:b/>
                <w:bCs/>
                <w:color w:val="000000"/>
                <w:sz w:val="18"/>
                <w:szCs w:val="18"/>
              </w:rPr>
              <w:t>(H)</w:t>
            </w:r>
          </w:p>
          <w:p w:rsidR="00570406" w:rsidRPr="009C542F" w:rsidRDefault="00570406" w:rsidP="00E84CC2">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570406" w:rsidRPr="009C542F" w:rsidTr="0004658A">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pPr>
              <w:widowControl/>
              <w:rPr>
                <w:color w:val="000000"/>
                <w:sz w:val="18"/>
                <w:szCs w:val="18"/>
              </w:rPr>
            </w:pPr>
            <w:r w:rsidRPr="009C542F">
              <w:rPr>
                <w:color w:val="000000"/>
                <w:sz w:val="18"/>
                <w:szCs w:val="18"/>
              </w:rPr>
              <w:t>Report Review:</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99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810" w:type="dxa"/>
            <w:tcBorders>
              <w:top w:val="single" w:sz="6" w:space="0" w:color="auto"/>
              <w:left w:val="single" w:sz="6" w:space="0" w:color="auto"/>
              <w:bottom w:val="single" w:sz="6" w:space="0" w:color="auto"/>
              <w:right w:val="double" w:sz="6" w:space="0" w:color="auto"/>
            </w:tcBorders>
          </w:tcPr>
          <w:p w:rsidR="00570406" w:rsidRPr="009C542F" w:rsidRDefault="00570406">
            <w:pPr>
              <w:widowControl/>
              <w:jc w:val="right"/>
              <w:rPr>
                <w:color w:val="000000"/>
                <w:sz w:val="18"/>
                <w:szCs w:val="18"/>
              </w:rPr>
            </w:pPr>
          </w:p>
        </w:tc>
      </w:tr>
      <w:tr w:rsidR="00570406" w:rsidRPr="009C542F" w:rsidTr="0004658A">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rsidP="002358B6">
            <w:pPr>
              <w:widowControl/>
              <w:rPr>
                <w:color w:val="000000"/>
                <w:sz w:val="18"/>
                <w:szCs w:val="18"/>
              </w:rPr>
            </w:pPr>
            <w:r w:rsidRPr="009C542F">
              <w:rPr>
                <w:color w:val="000000"/>
                <w:sz w:val="18"/>
                <w:szCs w:val="18"/>
              </w:rPr>
              <w:t xml:space="preserve">   </w:t>
            </w:r>
            <w:r w:rsidR="00E84CC2">
              <w:rPr>
                <w:color w:val="000000"/>
                <w:sz w:val="18"/>
                <w:szCs w:val="18"/>
              </w:rPr>
              <w:t xml:space="preserve">Plant records of  </w:t>
            </w:r>
            <w:r w:rsidR="006F602E">
              <w:rPr>
                <w:color w:val="000000"/>
                <w:sz w:val="18"/>
                <w:szCs w:val="18"/>
              </w:rPr>
              <w:t xml:space="preserve">annual </w:t>
            </w:r>
            <w:r w:rsidR="00E84CC2">
              <w:rPr>
                <w:color w:val="000000"/>
                <w:sz w:val="18"/>
                <w:szCs w:val="18"/>
              </w:rPr>
              <w:t>f</w:t>
            </w:r>
            <w:r w:rsidR="006F602E">
              <w:rPr>
                <w:color w:val="000000"/>
                <w:sz w:val="18"/>
                <w:szCs w:val="18"/>
              </w:rPr>
              <w:t xml:space="preserve">ormaldehyde emissions </w:t>
            </w:r>
            <w:r w:rsidR="002358B6">
              <w:rPr>
                <w:color w:val="000000"/>
                <w:sz w:val="18"/>
                <w:szCs w:val="18"/>
              </w:rPr>
              <w:t>or usage</w:t>
            </w:r>
            <w:r w:rsidR="006F602E">
              <w:rPr>
                <w:color w:val="000000"/>
                <w:sz w:val="18"/>
                <w:szCs w:val="18"/>
                <w:vertAlign w:val="superscript"/>
              </w:rPr>
              <w:t>b</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E84CC2">
            <w:pPr>
              <w:widowControl/>
              <w:jc w:val="center"/>
              <w:rPr>
                <w:color w:val="000000"/>
                <w:sz w:val="18"/>
                <w:szCs w:val="18"/>
              </w:rPr>
            </w:pPr>
            <w:r>
              <w:rPr>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E84CC2">
            <w:pPr>
              <w:widowControl/>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E84CC2" w:rsidP="004C1937">
            <w:pPr>
              <w:widowControl/>
              <w:jc w:val="center"/>
              <w:rPr>
                <w:color w:val="000000"/>
                <w:sz w:val="18"/>
                <w:szCs w:val="18"/>
              </w:rPr>
            </w:pPr>
            <w:r>
              <w:rPr>
                <w:color w:val="000000"/>
                <w:sz w:val="18"/>
                <w:szCs w:val="18"/>
              </w:rPr>
              <w:t>2</w:t>
            </w:r>
          </w:p>
        </w:tc>
        <w:tc>
          <w:tcPr>
            <w:tcW w:w="990" w:type="dxa"/>
            <w:tcBorders>
              <w:top w:val="single" w:sz="6" w:space="0" w:color="auto"/>
              <w:left w:val="single" w:sz="6" w:space="0" w:color="auto"/>
              <w:bottom w:val="single" w:sz="6" w:space="0" w:color="auto"/>
              <w:right w:val="single" w:sz="6" w:space="0" w:color="auto"/>
            </w:tcBorders>
          </w:tcPr>
          <w:p w:rsidR="00570406" w:rsidRPr="009C542F" w:rsidRDefault="006F602E" w:rsidP="006F602E">
            <w:pPr>
              <w:widowControl/>
              <w:jc w:val="center"/>
              <w:rPr>
                <w:color w:val="000000"/>
                <w:sz w:val="18"/>
                <w:szCs w:val="18"/>
              </w:rPr>
            </w:pPr>
            <w:r>
              <w:rPr>
                <w:color w:val="000000"/>
                <w:sz w:val="18"/>
                <w:szCs w:val="18"/>
              </w:rPr>
              <w:t>50</w:t>
            </w: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6F602E" w:rsidP="006F602E">
            <w:pPr>
              <w:widowControl/>
              <w:jc w:val="center"/>
              <w:rPr>
                <w:color w:val="000000"/>
                <w:sz w:val="18"/>
                <w:szCs w:val="18"/>
              </w:rPr>
            </w:pPr>
            <w:r>
              <w:rPr>
                <w:color w:val="000000"/>
                <w:sz w:val="18"/>
                <w:szCs w:val="18"/>
              </w:rPr>
              <w:t>100</w:t>
            </w: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6F602E" w:rsidP="006F602E">
            <w:pPr>
              <w:widowControl/>
              <w:jc w:val="center"/>
              <w:rPr>
                <w:color w:val="000000"/>
                <w:sz w:val="18"/>
                <w:szCs w:val="18"/>
              </w:rPr>
            </w:pPr>
            <w:r>
              <w:rPr>
                <w:color w:val="000000"/>
                <w:sz w:val="18"/>
                <w:szCs w:val="18"/>
              </w:rPr>
              <w:t>5</w:t>
            </w: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E84CC2">
            <w:pPr>
              <w:widowControl/>
              <w:jc w:val="center"/>
              <w:rPr>
                <w:color w:val="000000"/>
                <w:sz w:val="18"/>
                <w:szCs w:val="18"/>
              </w:rPr>
            </w:pPr>
            <w:r>
              <w:rPr>
                <w:color w:val="000000"/>
                <w:sz w:val="18"/>
                <w:szCs w:val="18"/>
              </w:rPr>
              <w:t>10</w:t>
            </w:r>
          </w:p>
        </w:tc>
        <w:tc>
          <w:tcPr>
            <w:tcW w:w="810" w:type="dxa"/>
            <w:tcBorders>
              <w:top w:val="single" w:sz="6" w:space="0" w:color="auto"/>
              <w:left w:val="single" w:sz="6" w:space="0" w:color="auto"/>
              <w:bottom w:val="single" w:sz="6" w:space="0" w:color="auto"/>
              <w:right w:val="double" w:sz="6" w:space="0" w:color="auto"/>
            </w:tcBorders>
          </w:tcPr>
          <w:p w:rsidR="00570406" w:rsidRPr="009C542F" w:rsidRDefault="00E84CC2" w:rsidP="006F602E">
            <w:pPr>
              <w:widowControl/>
              <w:jc w:val="center"/>
              <w:rPr>
                <w:color w:val="000000"/>
                <w:sz w:val="18"/>
                <w:szCs w:val="18"/>
              </w:rPr>
            </w:pPr>
            <w:r>
              <w:rPr>
                <w:color w:val="000000"/>
                <w:sz w:val="18"/>
                <w:szCs w:val="18"/>
              </w:rPr>
              <w:t>$</w:t>
            </w:r>
            <w:r w:rsidR="006F602E">
              <w:rPr>
                <w:color w:val="000000"/>
                <w:sz w:val="18"/>
                <w:szCs w:val="18"/>
              </w:rPr>
              <w:t>5,182</w:t>
            </w:r>
          </w:p>
        </w:tc>
      </w:tr>
      <w:tr w:rsidR="00570406" w:rsidRPr="009C542F" w:rsidTr="0004658A">
        <w:trPr>
          <w:cantSplit/>
          <w:trHeight w:val="238"/>
        </w:trPr>
        <w:tc>
          <w:tcPr>
            <w:tcW w:w="3180" w:type="dxa"/>
            <w:tcBorders>
              <w:top w:val="single" w:sz="6" w:space="0" w:color="auto"/>
              <w:left w:val="double" w:sz="6" w:space="0" w:color="auto"/>
              <w:bottom w:val="double" w:sz="6" w:space="0" w:color="auto"/>
              <w:right w:val="single" w:sz="6" w:space="0" w:color="auto"/>
            </w:tcBorders>
          </w:tcPr>
          <w:p w:rsidR="00570406" w:rsidRPr="009C542F" w:rsidRDefault="00570406">
            <w:pPr>
              <w:widowControl/>
              <w:rPr>
                <w:b/>
                <w:bCs/>
                <w:color w:val="000000"/>
                <w:sz w:val="18"/>
                <w:szCs w:val="18"/>
              </w:rPr>
            </w:pPr>
            <w:r w:rsidRPr="009C542F">
              <w:rPr>
                <w:b/>
                <w:bCs/>
                <w:color w:val="000000"/>
                <w:sz w:val="18"/>
                <w:szCs w:val="18"/>
              </w:rPr>
              <w:t>TOTAL BURDEN AND COST</w:t>
            </w: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99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4320" w:type="dxa"/>
            <w:gridSpan w:val="3"/>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810" w:type="dxa"/>
            <w:tcBorders>
              <w:top w:val="single" w:sz="6" w:space="0" w:color="auto"/>
              <w:left w:val="single" w:sz="6" w:space="0" w:color="auto"/>
              <w:bottom w:val="double" w:sz="6" w:space="0" w:color="auto"/>
              <w:right w:val="double" w:sz="6" w:space="0" w:color="auto"/>
            </w:tcBorders>
          </w:tcPr>
          <w:p w:rsidR="00570406" w:rsidRPr="009C542F" w:rsidRDefault="0004658A" w:rsidP="006F602E">
            <w:pPr>
              <w:widowControl/>
              <w:jc w:val="center"/>
              <w:rPr>
                <w:b/>
                <w:bCs/>
                <w:color w:val="000000"/>
                <w:sz w:val="18"/>
                <w:szCs w:val="18"/>
              </w:rPr>
            </w:pPr>
            <w:r>
              <w:rPr>
                <w:b/>
                <w:bCs/>
                <w:color w:val="000000"/>
                <w:sz w:val="18"/>
                <w:szCs w:val="18"/>
              </w:rPr>
              <w:t>$</w:t>
            </w:r>
            <w:r w:rsidR="006F602E">
              <w:rPr>
                <w:b/>
                <w:bCs/>
                <w:color w:val="000000"/>
                <w:sz w:val="18"/>
                <w:szCs w:val="18"/>
              </w:rPr>
              <w:t>5,182</w:t>
            </w:r>
          </w:p>
        </w:tc>
      </w:tr>
    </w:tbl>
    <w:p w:rsidR="009C0965" w:rsidRPr="00E84CC2" w:rsidRDefault="00B1351A" w:rsidP="00570406">
      <w:pPr>
        <w:keepNext/>
        <w:keepLines/>
        <w:widowControl/>
        <w:rPr>
          <w:sz w:val="18"/>
          <w:szCs w:val="18"/>
        </w:rPr>
      </w:pPr>
      <w:r w:rsidRPr="009C542F">
        <w:rPr>
          <w:sz w:val="18"/>
          <w:szCs w:val="18"/>
          <w:vertAlign w:val="superscript"/>
        </w:rPr>
        <w:t>a</w:t>
      </w:r>
      <w:r w:rsidRPr="009C542F">
        <w:rPr>
          <w:sz w:val="18"/>
          <w:szCs w:val="18"/>
        </w:rPr>
        <w:t xml:space="preserve">  </w:t>
      </w:r>
      <w:r w:rsidRPr="00E84CC2">
        <w:rPr>
          <w:sz w:val="18"/>
          <w:szCs w:val="18"/>
          <w:vertAlign w:val="superscript"/>
        </w:rPr>
        <w:t xml:space="preserve"> </w:t>
      </w:r>
      <w:r w:rsidRPr="00E84CC2">
        <w:rPr>
          <w:sz w:val="18"/>
          <w:szCs w:val="18"/>
        </w:rPr>
        <w:t>This ICR uses the followin</w:t>
      </w:r>
      <w:r w:rsidR="00E04F28" w:rsidRPr="00E84CC2">
        <w:rPr>
          <w:sz w:val="18"/>
          <w:szCs w:val="18"/>
        </w:rPr>
        <w:t xml:space="preserve">g average hourly labor rates: </w:t>
      </w:r>
      <w:r w:rsidR="005F14D5" w:rsidRPr="00E84CC2">
        <w:rPr>
          <w:sz w:val="18"/>
          <w:szCs w:val="18"/>
        </w:rPr>
        <w:t>$</w:t>
      </w:r>
      <w:r w:rsidR="00E84CC2" w:rsidRPr="00E84CC2">
        <w:rPr>
          <w:sz w:val="18"/>
          <w:szCs w:val="18"/>
        </w:rPr>
        <w:t>62.27</w:t>
      </w:r>
      <w:r w:rsidRPr="00E84CC2">
        <w:rPr>
          <w:sz w:val="18"/>
          <w:szCs w:val="18"/>
        </w:rPr>
        <w:t xml:space="preserve"> for </w:t>
      </w:r>
      <w:r w:rsidR="00E04F28" w:rsidRPr="00E84CC2">
        <w:rPr>
          <w:sz w:val="18"/>
          <w:szCs w:val="18"/>
        </w:rPr>
        <w:t>m</w:t>
      </w:r>
      <w:r w:rsidRPr="00E84CC2">
        <w:rPr>
          <w:sz w:val="18"/>
          <w:szCs w:val="18"/>
        </w:rPr>
        <w:t>anagerial (GS-13, Step 5), $4</w:t>
      </w:r>
      <w:r w:rsidR="00E84CC2" w:rsidRPr="00E84CC2">
        <w:rPr>
          <w:sz w:val="18"/>
          <w:szCs w:val="18"/>
        </w:rPr>
        <w:t>6.21</w:t>
      </w:r>
      <w:r w:rsidRPr="00E84CC2">
        <w:rPr>
          <w:sz w:val="18"/>
          <w:szCs w:val="18"/>
        </w:rPr>
        <w:t xml:space="preserve"> (GS-12, Step 1</w:t>
      </w:r>
      <w:r w:rsidR="00E04F28" w:rsidRPr="00E84CC2">
        <w:rPr>
          <w:sz w:val="18"/>
          <w:szCs w:val="18"/>
        </w:rPr>
        <w:t>) for technical</w:t>
      </w:r>
      <w:r w:rsidR="00E84CC2" w:rsidRPr="00E84CC2">
        <w:rPr>
          <w:sz w:val="18"/>
          <w:szCs w:val="18"/>
        </w:rPr>
        <w:t>,</w:t>
      </w:r>
      <w:r w:rsidR="00E04F28" w:rsidRPr="00E84CC2">
        <w:rPr>
          <w:sz w:val="18"/>
          <w:szCs w:val="18"/>
        </w:rPr>
        <w:t xml:space="preserve"> and $2</w:t>
      </w:r>
      <w:r w:rsidR="00E84CC2" w:rsidRPr="00E84CC2">
        <w:rPr>
          <w:sz w:val="18"/>
          <w:szCs w:val="18"/>
        </w:rPr>
        <w:t>5.01</w:t>
      </w:r>
      <w:r w:rsidRPr="00E84CC2">
        <w:rPr>
          <w:sz w:val="18"/>
          <w:szCs w:val="18"/>
        </w:rPr>
        <w:t xml:space="preserve"> (G</w:t>
      </w:r>
      <w:r w:rsidR="00E04F28" w:rsidRPr="00E84CC2">
        <w:rPr>
          <w:sz w:val="18"/>
          <w:szCs w:val="18"/>
        </w:rPr>
        <w:t>S-6, Step 3) for c</w:t>
      </w:r>
      <w:r w:rsidRPr="00E84CC2">
        <w:rPr>
          <w:sz w:val="18"/>
          <w:szCs w:val="18"/>
        </w:rPr>
        <w:t>lerical</w:t>
      </w:r>
      <w:r w:rsidR="005F45FC">
        <w:rPr>
          <w:sz w:val="18"/>
          <w:szCs w:val="18"/>
        </w:rPr>
        <w:t xml:space="preserve">. </w:t>
      </w:r>
      <w:r w:rsidRPr="00E84CC2">
        <w:rPr>
          <w:sz w:val="18"/>
          <w:szCs w:val="18"/>
        </w:rPr>
        <w:t xml:space="preserve">These rates are from the Office of Personnel Management (OPM) </w:t>
      </w:r>
      <w:r w:rsidR="00E04F28" w:rsidRPr="00E84CC2">
        <w:rPr>
          <w:sz w:val="18"/>
          <w:szCs w:val="18"/>
        </w:rPr>
        <w:t>20</w:t>
      </w:r>
      <w:r w:rsidR="00E84CC2" w:rsidRPr="00E84CC2">
        <w:rPr>
          <w:sz w:val="18"/>
          <w:szCs w:val="18"/>
        </w:rPr>
        <w:t>1</w:t>
      </w:r>
      <w:r w:rsidR="00E04F28" w:rsidRPr="00E84CC2">
        <w:rPr>
          <w:sz w:val="18"/>
          <w:szCs w:val="18"/>
        </w:rPr>
        <w:t>0</w:t>
      </w:r>
      <w:r w:rsidRPr="00E84CC2">
        <w:rPr>
          <w:sz w:val="18"/>
          <w:szCs w:val="18"/>
        </w:rPr>
        <w:t xml:space="preserve"> General Schedule</w:t>
      </w:r>
      <w:r w:rsidR="00571C8A" w:rsidRPr="00E84CC2">
        <w:rPr>
          <w:sz w:val="18"/>
          <w:szCs w:val="18"/>
        </w:rPr>
        <w:t>,</w:t>
      </w:r>
      <w:r w:rsidRPr="00E84CC2">
        <w:rPr>
          <w:sz w:val="18"/>
          <w:szCs w:val="18"/>
        </w:rPr>
        <w:t xml:space="preserve"> which excludes locality rates of pay</w:t>
      </w:r>
      <w:r w:rsidR="009C0965" w:rsidRPr="00E84CC2">
        <w:rPr>
          <w:sz w:val="18"/>
          <w:szCs w:val="18"/>
        </w:rPr>
        <w:t>.</w:t>
      </w:r>
    </w:p>
    <w:p w:rsidR="00765573" w:rsidRPr="006F602E" w:rsidRDefault="00E84CC2" w:rsidP="002358B6">
      <w:pPr>
        <w:widowControl/>
        <w:ind w:right="-90"/>
        <w:rPr>
          <w:sz w:val="18"/>
          <w:szCs w:val="18"/>
        </w:rPr>
      </w:pPr>
      <w:r w:rsidRPr="00E84CC2">
        <w:rPr>
          <w:sz w:val="18"/>
          <w:szCs w:val="18"/>
          <w:vertAlign w:val="superscript"/>
        </w:rPr>
        <w:t>b</w:t>
      </w:r>
      <w:r w:rsidRPr="00E84CC2">
        <w:rPr>
          <w:sz w:val="18"/>
          <w:szCs w:val="18"/>
        </w:rPr>
        <w:t xml:space="preserve"> Assumes Agency will review </w:t>
      </w:r>
      <w:r w:rsidR="006F602E">
        <w:rPr>
          <w:sz w:val="18"/>
          <w:szCs w:val="18"/>
        </w:rPr>
        <w:t xml:space="preserve">all of the annual reports  - including the formaldehyde emissions </w:t>
      </w:r>
      <w:r w:rsidR="002358B6">
        <w:rPr>
          <w:sz w:val="18"/>
          <w:szCs w:val="18"/>
        </w:rPr>
        <w:t>or usage</w:t>
      </w:r>
      <w:r w:rsidRPr="00E84CC2">
        <w:rPr>
          <w:sz w:val="18"/>
          <w:szCs w:val="18"/>
        </w:rPr>
        <w:t>.</w:t>
      </w:r>
      <w:r w:rsidR="008027B4" w:rsidRPr="00E84CC2">
        <w:rPr>
          <w:sz w:val="18"/>
          <w:szCs w:val="18"/>
        </w:rPr>
        <w:br w:type="page"/>
      </w:r>
      <w:r w:rsidR="00765573" w:rsidRPr="00B4111D">
        <w:rPr>
          <w:b/>
        </w:rPr>
        <w:lastRenderedPageBreak/>
        <w:t>ATTACHMENT 1</w:t>
      </w:r>
      <w:r w:rsidR="005F45FC">
        <w:rPr>
          <w:b/>
        </w:rPr>
        <w:t xml:space="preserve">. </w:t>
      </w:r>
      <w:r w:rsidR="00765573" w:rsidRPr="00B4111D">
        <w:rPr>
          <w:b/>
        </w:rPr>
        <w:t>INFORMATION REQUIREMENTS--</w:t>
      </w:r>
      <w:r w:rsidR="0081784F" w:rsidRPr="00F64D9D">
        <w:rPr>
          <w:b/>
        </w:rPr>
        <w:t xml:space="preserve">--AMENDMENTS TO </w:t>
      </w:r>
      <w:r w:rsidR="00EC2688">
        <w:rPr>
          <w:b/>
        </w:rPr>
        <w:t>WOOD FURNITURE MANUFACTURING</w:t>
      </w:r>
      <w:r w:rsidR="0081784F"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765573" w:rsidRPr="006A5C85" w:rsidTr="0016114B">
        <w:tc>
          <w:tcPr>
            <w:tcW w:w="3798" w:type="dxa"/>
            <w:vAlign w:val="bottom"/>
          </w:tcPr>
          <w:p w:rsidR="00765573" w:rsidRPr="006A5C85" w:rsidRDefault="00765573" w:rsidP="0016114B">
            <w:pPr>
              <w:widowControl/>
              <w:ind w:right="-90"/>
              <w:jc w:val="center"/>
              <w:rPr>
                <w:b/>
              </w:rPr>
            </w:pPr>
            <w:r w:rsidRPr="006A5C85">
              <w:rPr>
                <w:b/>
              </w:rPr>
              <w:t>Requirement</w:t>
            </w:r>
          </w:p>
        </w:tc>
        <w:tc>
          <w:tcPr>
            <w:tcW w:w="306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2639A0" w:rsidRPr="006A5C85" w:rsidTr="0016114B">
        <w:tc>
          <w:tcPr>
            <w:tcW w:w="3798" w:type="dxa"/>
          </w:tcPr>
          <w:p w:rsidR="002639A0" w:rsidRPr="006A5C85" w:rsidRDefault="002639A0" w:rsidP="008304F4">
            <w:pPr>
              <w:widowControl/>
              <w:ind w:right="-90"/>
              <w:rPr>
                <w:b/>
                <w:i/>
              </w:rPr>
            </w:pPr>
            <w:r>
              <w:rPr>
                <w:b/>
                <w:i/>
              </w:rPr>
              <w:t>Formaldehyde limit</w:t>
            </w:r>
          </w:p>
        </w:tc>
        <w:tc>
          <w:tcPr>
            <w:tcW w:w="3060" w:type="dxa"/>
          </w:tcPr>
          <w:p w:rsidR="002639A0" w:rsidRPr="006A5C85" w:rsidRDefault="002639A0" w:rsidP="002639A0">
            <w:pPr>
              <w:widowControl/>
              <w:ind w:right="-90"/>
              <w:rPr>
                <w:bCs/>
              </w:rPr>
            </w:pPr>
            <w:r w:rsidRPr="006A5C85">
              <w:rPr>
                <w:bCs/>
              </w:rPr>
              <w:t>§ 63.</w:t>
            </w:r>
            <w:r>
              <w:rPr>
                <w:bCs/>
              </w:rPr>
              <w:t>80</w:t>
            </w:r>
            <w:r w:rsidR="00310247">
              <w:rPr>
                <w:bCs/>
              </w:rPr>
              <w:t>2(a)(4)</w:t>
            </w:r>
          </w:p>
        </w:tc>
        <w:tc>
          <w:tcPr>
            <w:tcW w:w="2880" w:type="dxa"/>
          </w:tcPr>
          <w:p w:rsidR="002639A0" w:rsidRPr="006A5C85" w:rsidRDefault="002639A0" w:rsidP="00310247">
            <w:pPr>
              <w:widowControl/>
              <w:ind w:right="-90"/>
              <w:rPr>
                <w:bCs/>
              </w:rPr>
            </w:pPr>
            <w:r w:rsidRPr="006A5C85">
              <w:rPr>
                <w:bCs/>
              </w:rPr>
              <w:t>§ 63.</w:t>
            </w:r>
            <w:r>
              <w:rPr>
                <w:bCs/>
              </w:rPr>
              <w:t>80</w:t>
            </w:r>
            <w:r w:rsidR="00310247">
              <w:rPr>
                <w:bCs/>
              </w:rPr>
              <w:t>2(b)(4)</w:t>
            </w:r>
          </w:p>
        </w:tc>
        <w:tc>
          <w:tcPr>
            <w:tcW w:w="2970" w:type="dxa"/>
          </w:tcPr>
          <w:p w:rsidR="002639A0" w:rsidRPr="006A5C85" w:rsidRDefault="002639A0" w:rsidP="0016114B">
            <w:pPr>
              <w:widowControl/>
              <w:ind w:right="-90"/>
            </w:pPr>
          </w:p>
        </w:tc>
      </w:tr>
      <w:tr w:rsidR="002639A0" w:rsidRPr="006A5C85" w:rsidTr="0016114B">
        <w:tc>
          <w:tcPr>
            <w:tcW w:w="3798" w:type="dxa"/>
          </w:tcPr>
          <w:p w:rsidR="002639A0" w:rsidRPr="006A5C85" w:rsidRDefault="002639A0" w:rsidP="008304F4">
            <w:pPr>
              <w:widowControl/>
              <w:ind w:right="-90"/>
              <w:rPr>
                <w:b/>
                <w:i/>
              </w:rPr>
            </w:pPr>
            <w:r>
              <w:rPr>
                <w:b/>
                <w:i/>
              </w:rPr>
              <w:t>Prohibit Conventional Spray Guns</w:t>
            </w:r>
          </w:p>
        </w:tc>
        <w:tc>
          <w:tcPr>
            <w:tcW w:w="3060" w:type="dxa"/>
          </w:tcPr>
          <w:p w:rsidR="002639A0" w:rsidRPr="006A5C85" w:rsidRDefault="002639A0" w:rsidP="00310247">
            <w:pPr>
              <w:widowControl/>
              <w:ind w:right="-90"/>
              <w:rPr>
                <w:bCs/>
              </w:rPr>
            </w:pPr>
            <w:r w:rsidRPr="006A5C85">
              <w:rPr>
                <w:bCs/>
              </w:rPr>
              <w:t>§ 63.</w:t>
            </w:r>
            <w:r w:rsidR="00E07755">
              <w:rPr>
                <w:bCs/>
              </w:rPr>
              <w:t>80</w:t>
            </w:r>
            <w:r w:rsidR="00310247">
              <w:rPr>
                <w:bCs/>
              </w:rPr>
              <w:t>3(h)</w:t>
            </w:r>
          </w:p>
        </w:tc>
        <w:tc>
          <w:tcPr>
            <w:tcW w:w="2880" w:type="dxa"/>
          </w:tcPr>
          <w:p w:rsidR="002639A0" w:rsidRPr="006A5C85" w:rsidRDefault="002639A0" w:rsidP="00E07755">
            <w:pPr>
              <w:widowControl/>
              <w:ind w:right="-90"/>
              <w:rPr>
                <w:bCs/>
              </w:rPr>
            </w:pPr>
            <w:r w:rsidRPr="006A5C85">
              <w:rPr>
                <w:bCs/>
              </w:rPr>
              <w:t>§ 63.</w:t>
            </w:r>
            <w:r w:rsidR="00E07755">
              <w:rPr>
                <w:bCs/>
              </w:rPr>
              <w:t>80</w:t>
            </w:r>
            <w:r w:rsidR="00310247">
              <w:rPr>
                <w:bCs/>
              </w:rPr>
              <w:t>3(h)</w:t>
            </w:r>
          </w:p>
        </w:tc>
        <w:tc>
          <w:tcPr>
            <w:tcW w:w="2970" w:type="dxa"/>
          </w:tcPr>
          <w:p w:rsidR="002639A0" w:rsidRPr="006A5C85" w:rsidRDefault="002639A0" w:rsidP="0016114B">
            <w:pPr>
              <w:widowControl/>
              <w:ind w:right="-90"/>
            </w:pPr>
          </w:p>
        </w:tc>
      </w:tr>
      <w:tr w:rsidR="006A5C85" w:rsidRPr="006A5C85" w:rsidTr="0016114B">
        <w:tc>
          <w:tcPr>
            <w:tcW w:w="3798" w:type="dxa"/>
          </w:tcPr>
          <w:p w:rsidR="006A5C85" w:rsidRPr="006A5C85" w:rsidRDefault="006A5C85" w:rsidP="008304F4">
            <w:pPr>
              <w:widowControl/>
              <w:ind w:right="-90"/>
              <w:rPr>
                <w:b/>
                <w:i/>
              </w:rPr>
            </w:pPr>
            <w:r w:rsidRPr="006A5C85">
              <w:rPr>
                <w:b/>
                <w:i/>
              </w:rPr>
              <w:t>Monitoring</w:t>
            </w:r>
          </w:p>
        </w:tc>
        <w:tc>
          <w:tcPr>
            <w:tcW w:w="3060" w:type="dxa"/>
          </w:tcPr>
          <w:p w:rsidR="006A5C85" w:rsidRPr="006A5C85" w:rsidRDefault="006A5C85" w:rsidP="00310247">
            <w:pPr>
              <w:widowControl/>
              <w:ind w:right="-90"/>
            </w:pPr>
            <w:r w:rsidRPr="006A5C85">
              <w:rPr>
                <w:bCs/>
              </w:rPr>
              <w:t>§ 63.</w:t>
            </w:r>
            <w:r w:rsidR="00310247">
              <w:rPr>
                <w:bCs/>
              </w:rPr>
              <w:t>804(h)</w:t>
            </w:r>
          </w:p>
        </w:tc>
        <w:tc>
          <w:tcPr>
            <w:tcW w:w="2880" w:type="dxa"/>
          </w:tcPr>
          <w:p w:rsidR="006A5C85" w:rsidRPr="006A5C85" w:rsidRDefault="006A5C85" w:rsidP="00310247">
            <w:pPr>
              <w:widowControl/>
              <w:ind w:right="-90"/>
            </w:pPr>
            <w:r w:rsidRPr="006A5C85">
              <w:rPr>
                <w:bCs/>
              </w:rPr>
              <w:t>§ 63.</w:t>
            </w:r>
            <w:r w:rsidR="00310247">
              <w:rPr>
                <w:bCs/>
              </w:rPr>
              <w:t>804(h)</w:t>
            </w:r>
          </w:p>
        </w:tc>
        <w:tc>
          <w:tcPr>
            <w:tcW w:w="2970" w:type="dxa"/>
          </w:tcPr>
          <w:p w:rsidR="006A5C85" w:rsidRPr="006A5C85" w:rsidRDefault="006A5C85" w:rsidP="0016114B">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Notifications</w:t>
            </w:r>
          </w:p>
        </w:tc>
        <w:tc>
          <w:tcPr>
            <w:tcW w:w="3060" w:type="dxa"/>
          </w:tcPr>
          <w:p w:rsidR="006A5C85" w:rsidRPr="006A5C85" w:rsidRDefault="006A5C85" w:rsidP="00E84CC2">
            <w:pPr>
              <w:widowControl/>
              <w:ind w:right="-90"/>
            </w:pPr>
            <w:r w:rsidRPr="006A5C85">
              <w:t>N/A</w:t>
            </w:r>
          </w:p>
        </w:tc>
        <w:tc>
          <w:tcPr>
            <w:tcW w:w="2880" w:type="dxa"/>
          </w:tcPr>
          <w:p w:rsidR="006A5C85" w:rsidRPr="006A5C85" w:rsidRDefault="006A5C85" w:rsidP="00E84CC2">
            <w:pPr>
              <w:widowControl/>
              <w:ind w:right="-90"/>
            </w:pPr>
            <w:r w:rsidRPr="006A5C85">
              <w:t>N/A</w:t>
            </w:r>
          </w:p>
        </w:tc>
        <w:tc>
          <w:tcPr>
            <w:tcW w:w="2970" w:type="dxa"/>
          </w:tcPr>
          <w:p w:rsidR="006A5C85" w:rsidRPr="006A5C85" w:rsidRDefault="006A5C85" w:rsidP="00E84CC2">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Plans</w:t>
            </w:r>
          </w:p>
        </w:tc>
        <w:tc>
          <w:tcPr>
            <w:tcW w:w="3060" w:type="dxa"/>
          </w:tcPr>
          <w:p w:rsidR="006A5C85" w:rsidRPr="006A5C85" w:rsidRDefault="006A5C85" w:rsidP="0016114B">
            <w:pPr>
              <w:widowControl/>
              <w:ind w:right="-90"/>
            </w:pPr>
          </w:p>
        </w:tc>
        <w:tc>
          <w:tcPr>
            <w:tcW w:w="2880" w:type="dxa"/>
          </w:tcPr>
          <w:p w:rsidR="006A5C85" w:rsidRPr="006A5C85" w:rsidRDefault="006A5C85" w:rsidP="0016114B">
            <w:pPr>
              <w:widowControl/>
              <w:ind w:right="-90"/>
            </w:pPr>
          </w:p>
        </w:tc>
        <w:tc>
          <w:tcPr>
            <w:tcW w:w="2970" w:type="dxa"/>
          </w:tcPr>
          <w:p w:rsidR="006A5C85" w:rsidRPr="006A5C85" w:rsidRDefault="006A5C85" w:rsidP="0016114B">
            <w:pPr>
              <w:widowControl/>
              <w:ind w:right="-90"/>
            </w:pPr>
          </w:p>
        </w:tc>
      </w:tr>
      <w:tr w:rsidR="006A5C85" w:rsidRPr="006A5C85" w:rsidTr="0016114B">
        <w:tc>
          <w:tcPr>
            <w:tcW w:w="3798" w:type="dxa"/>
          </w:tcPr>
          <w:p w:rsidR="006A5C85" w:rsidRPr="006A5C85" w:rsidRDefault="00C70B61" w:rsidP="008304F4">
            <w:pPr>
              <w:widowControl/>
              <w:ind w:right="-90"/>
            </w:pPr>
            <w:r>
              <w:t xml:space="preserve">    </w:t>
            </w:r>
            <w:r w:rsidR="006A5C85" w:rsidRPr="006A5C85">
              <w:t>Operation and Maintenance Plan</w:t>
            </w:r>
          </w:p>
        </w:tc>
        <w:tc>
          <w:tcPr>
            <w:tcW w:w="3060" w:type="dxa"/>
          </w:tcPr>
          <w:p w:rsidR="006A5C85" w:rsidRPr="006A5C85" w:rsidRDefault="00310247" w:rsidP="00310247">
            <w:pPr>
              <w:widowControl/>
              <w:ind w:right="-90"/>
            </w:pPr>
            <w:r w:rsidRPr="00310247">
              <w:rPr>
                <w:bCs/>
              </w:rPr>
              <w:t>N/A</w:t>
            </w:r>
          </w:p>
        </w:tc>
        <w:tc>
          <w:tcPr>
            <w:tcW w:w="2880" w:type="dxa"/>
          </w:tcPr>
          <w:p w:rsidR="006A5C85" w:rsidRPr="006A5C85" w:rsidRDefault="00310247" w:rsidP="00310247">
            <w:pPr>
              <w:widowControl/>
              <w:ind w:right="-90"/>
            </w:pPr>
            <w:r w:rsidRPr="00310247">
              <w:rPr>
                <w:bCs/>
              </w:rPr>
              <w:t>N/A</w:t>
            </w:r>
          </w:p>
        </w:tc>
        <w:tc>
          <w:tcPr>
            <w:tcW w:w="2970" w:type="dxa"/>
          </w:tcPr>
          <w:p w:rsidR="006A5C85" w:rsidRPr="006A5C85" w:rsidRDefault="006A5C85" w:rsidP="006A5C85">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Records</w:t>
            </w:r>
          </w:p>
        </w:tc>
        <w:tc>
          <w:tcPr>
            <w:tcW w:w="3060" w:type="dxa"/>
          </w:tcPr>
          <w:p w:rsidR="006A5C85" w:rsidRPr="006A5C85" w:rsidRDefault="006A5C85" w:rsidP="0016114B">
            <w:pPr>
              <w:widowControl/>
              <w:ind w:right="-90"/>
            </w:pPr>
          </w:p>
        </w:tc>
        <w:tc>
          <w:tcPr>
            <w:tcW w:w="2880" w:type="dxa"/>
          </w:tcPr>
          <w:p w:rsidR="006A5C85" w:rsidRPr="006A5C85" w:rsidRDefault="006A5C85" w:rsidP="0016114B">
            <w:pPr>
              <w:widowControl/>
              <w:ind w:right="-90"/>
            </w:pPr>
          </w:p>
        </w:tc>
        <w:tc>
          <w:tcPr>
            <w:tcW w:w="2970" w:type="dxa"/>
          </w:tcPr>
          <w:p w:rsidR="006A5C85" w:rsidRPr="006A5C85" w:rsidRDefault="006A5C85" w:rsidP="00310247">
            <w:pPr>
              <w:widowControl/>
              <w:ind w:right="-90"/>
            </w:pPr>
          </w:p>
        </w:tc>
      </w:tr>
      <w:tr w:rsidR="00C70B61" w:rsidRPr="006A5C85" w:rsidTr="0016114B">
        <w:tc>
          <w:tcPr>
            <w:tcW w:w="3798" w:type="dxa"/>
          </w:tcPr>
          <w:p w:rsidR="00C70B61" w:rsidRPr="006A5C85" w:rsidRDefault="00C70B61" w:rsidP="008304F4">
            <w:pPr>
              <w:widowControl/>
              <w:ind w:right="-90"/>
            </w:pPr>
            <w:r>
              <w:t xml:space="preserve">    </w:t>
            </w:r>
            <w:r w:rsidRPr="006A5C85">
              <w:t>Monitoring/inspection information</w:t>
            </w:r>
          </w:p>
        </w:tc>
        <w:tc>
          <w:tcPr>
            <w:tcW w:w="3060" w:type="dxa"/>
          </w:tcPr>
          <w:p w:rsidR="00C70B61" w:rsidRPr="006A5C85" w:rsidRDefault="00C70B61" w:rsidP="00310247">
            <w:pPr>
              <w:widowControl/>
              <w:ind w:right="-90"/>
            </w:pPr>
            <w:r w:rsidRPr="006A5C85">
              <w:rPr>
                <w:bCs/>
              </w:rPr>
              <w:t>§ 63.</w:t>
            </w:r>
            <w:r w:rsidR="00310247">
              <w:rPr>
                <w:bCs/>
              </w:rPr>
              <w:t>80</w:t>
            </w:r>
            <w:r>
              <w:rPr>
                <w:bCs/>
              </w:rPr>
              <w:t>6</w:t>
            </w:r>
            <w:r w:rsidRPr="006A5C85">
              <w:rPr>
                <w:bCs/>
              </w:rPr>
              <w:t>(</w:t>
            </w:r>
            <w:r>
              <w:rPr>
                <w:bCs/>
              </w:rPr>
              <w:t>b</w:t>
            </w:r>
            <w:r w:rsidRPr="006A5C85">
              <w:rPr>
                <w:bCs/>
              </w:rPr>
              <w:t>)</w:t>
            </w:r>
            <w:r w:rsidR="00310247">
              <w:rPr>
                <w:bCs/>
              </w:rPr>
              <w:t>(4)</w:t>
            </w:r>
          </w:p>
        </w:tc>
        <w:tc>
          <w:tcPr>
            <w:tcW w:w="2880" w:type="dxa"/>
          </w:tcPr>
          <w:p w:rsidR="00C70B61" w:rsidRPr="006A5C85" w:rsidRDefault="00C70B61" w:rsidP="00310247">
            <w:pPr>
              <w:widowControl/>
              <w:ind w:right="-90"/>
            </w:pPr>
            <w:r w:rsidRPr="006A5C85">
              <w:rPr>
                <w:bCs/>
              </w:rPr>
              <w:t>§ 63.</w:t>
            </w:r>
            <w:r w:rsidR="00310247">
              <w:rPr>
                <w:bCs/>
              </w:rPr>
              <w:t>80</w:t>
            </w:r>
            <w:r>
              <w:rPr>
                <w:bCs/>
              </w:rPr>
              <w:t>6</w:t>
            </w:r>
            <w:r w:rsidRPr="006A5C85">
              <w:rPr>
                <w:bCs/>
              </w:rPr>
              <w:t>(</w:t>
            </w:r>
            <w:r>
              <w:rPr>
                <w:bCs/>
              </w:rPr>
              <w:t>b</w:t>
            </w:r>
            <w:r w:rsidRPr="006A5C85">
              <w:rPr>
                <w:bCs/>
              </w:rPr>
              <w:t>)</w:t>
            </w:r>
            <w:r w:rsidR="00310247">
              <w:rPr>
                <w:bCs/>
              </w:rPr>
              <w:t>(4)</w:t>
            </w:r>
          </w:p>
        </w:tc>
        <w:tc>
          <w:tcPr>
            <w:tcW w:w="2970" w:type="dxa"/>
          </w:tcPr>
          <w:p w:rsidR="00C70B61" w:rsidRPr="006A5C85" w:rsidRDefault="00310247" w:rsidP="00310247">
            <w:pPr>
              <w:widowControl/>
              <w:ind w:right="-90"/>
            </w:pPr>
            <w:r w:rsidRPr="00310247">
              <w:t>N/A</w:t>
            </w:r>
          </w:p>
        </w:tc>
      </w:tr>
      <w:tr w:rsidR="00C70B61" w:rsidRPr="006A5C85" w:rsidTr="0016114B">
        <w:tc>
          <w:tcPr>
            <w:tcW w:w="3798" w:type="dxa"/>
          </w:tcPr>
          <w:p w:rsidR="00C70B61" w:rsidRPr="006A5C85" w:rsidRDefault="00C70B61" w:rsidP="008304F4">
            <w:pPr>
              <w:widowControl/>
              <w:ind w:right="-90"/>
              <w:rPr>
                <w:b/>
                <w:i/>
              </w:rPr>
            </w:pPr>
            <w:r w:rsidRPr="006A5C85">
              <w:rPr>
                <w:b/>
                <w:i/>
              </w:rPr>
              <w:t>Reports</w:t>
            </w:r>
          </w:p>
        </w:tc>
        <w:tc>
          <w:tcPr>
            <w:tcW w:w="3060" w:type="dxa"/>
          </w:tcPr>
          <w:p w:rsidR="00C70B61" w:rsidRPr="006A5C85" w:rsidRDefault="00E8747C" w:rsidP="00E8747C">
            <w:pPr>
              <w:widowControl/>
              <w:ind w:right="-90"/>
            </w:pPr>
            <w:r w:rsidRPr="00E8747C">
              <w:rPr>
                <w:bCs/>
              </w:rPr>
              <w:t>§ 63.80</w:t>
            </w:r>
            <w:r>
              <w:rPr>
                <w:bCs/>
              </w:rPr>
              <w:t>7</w:t>
            </w:r>
            <w:r w:rsidRPr="00E8747C">
              <w:rPr>
                <w:bCs/>
              </w:rPr>
              <w:t>(</w:t>
            </w:r>
            <w:r>
              <w:rPr>
                <w:bCs/>
              </w:rPr>
              <w:t>c</w:t>
            </w:r>
            <w:r w:rsidRPr="00E8747C">
              <w:rPr>
                <w:bCs/>
              </w:rPr>
              <w:t>)(</w:t>
            </w:r>
            <w:r>
              <w:rPr>
                <w:bCs/>
              </w:rPr>
              <w:t>3</w:t>
            </w:r>
            <w:r w:rsidRPr="00E8747C">
              <w:rPr>
                <w:bCs/>
              </w:rPr>
              <w:t>)</w:t>
            </w:r>
          </w:p>
        </w:tc>
        <w:tc>
          <w:tcPr>
            <w:tcW w:w="2880" w:type="dxa"/>
          </w:tcPr>
          <w:p w:rsidR="00C70B61" w:rsidRPr="006A5C85" w:rsidRDefault="00E8747C" w:rsidP="00E8747C">
            <w:pPr>
              <w:widowControl/>
              <w:ind w:right="-90"/>
            </w:pPr>
            <w:r w:rsidRPr="00E8747C">
              <w:rPr>
                <w:bCs/>
              </w:rPr>
              <w:t>§ 63.80</w:t>
            </w:r>
            <w:r>
              <w:rPr>
                <w:bCs/>
              </w:rPr>
              <w:t>7</w:t>
            </w:r>
            <w:r w:rsidRPr="00E8747C">
              <w:rPr>
                <w:bCs/>
              </w:rPr>
              <w:t>(</w:t>
            </w:r>
            <w:r>
              <w:rPr>
                <w:bCs/>
              </w:rPr>
              <w:t>c</w:t>
            </w:r>
            <w:r w:rsidRPr="00E8747C">
              <w:rPr>
                <w:bCs/>
              </w:rPr>
              <w:t>)(</w:t>
            </w:r>
            <w:r>
              <w:rPr>
                <w:bCs/>
              </w:rPr>
              <w:t>3</w:t>
            </w:r>
            <w:r w:rsidRPr="00E8747C">
              <w:rPr>
                <w:bCs/>
              </w:rPr>
              <w:t>)</w:t>
            </w:r>
          </w:p>
        </w:tc>
        <w:tc>
          <w:tcPr>
            <w:tcW w:w="2970" w:type="dxa"/>
          </w:tcPr>
          <w:p w:rsidR="00C70B61" w:rsidRPr="006A5C85" w:rsidRDefault="00310247" w:rsidP="00310247">
            <w:pPr>
              <w:widowControl/>
              <w:ind w:right="-90"/>
            </w:pPr>
            <w:r w:rsidRPr="00310247">
              <w:t>40 CFR 63.10</w:t>
            </w:r>
            <w:r>
              <w:t>(e)</w:t>
            </w:r>
          </w:p>
        </w:tc>
      </w:tr>
    </w:tbl>
    <w:p w:rsidR="004B437A" w:rsidRDefault="004B437A" w:rsidP="001B6E9C">
      <w:pPr>
        <w:widowControl/>
        <w:ind w:right="-90"/>
        <w:jc w:val="center"/>
      </w:pPr>
      <w:r>
        <w:t xml:space="preserve"> </w:t>
      </w:r>
    </w:p>
    <w:sectPr w:rsidR="004B437A" w:rsidSect="00AD7806">
      <w:footerReference w:type="default" r:id="rId15"/>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A68" w:rsidRDefault="00904A68">
      <w:r>
        <w:separator/>
      </w:r>
    </w:p>
  </w:endnote>
  <w:endnote w:type="continuationSeparator" w:id="0">
    <w:p w:rsidR="00904A68" w:rsidRDefault="00904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64" w:rsidRDefault="00370005" w:rsidP="004A1F14">
    <w:pPr>
      <w:pStyle w:val="Footer"/>
      <w:framePr w:wrap="around" w:vAnchor="text" w:hAnchor="margin" w:xAlign="center" w:y="1"/>
      <w:rPr>
        <w:rStyle w:val="PageNumber"/>
      </w:rPr>
    </w:pPr>
    <w:r>
      <w:rPr>
        <w:rStyle w:val="PageNumber"/>
      </w:rPr>
      <w:fldChar w:fldCharType="begin"/>
    </w:r>
    <w:r w:rsidR="00D03764">
      <w:rPr>
        <w:rStyle w:val="PageNumber"/>
      </w:rPr>
      <w:instrText xml:space="preserve">PAGE  </w:instrText>
    </w:r>
    <w:r>
      <w:rPr>
        <w:rStyle w:val="PageNumber"/>
      </w:rPr>
      <w:fldChar w:fldCharType="end"/>
    </w:r>
  </w:p>
  <w:p w:rsidR="00D03764" w:rsidRDefault="00D037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64" w:rsidRDefault="00D03764">
    <w:pPr>
      <w:spacing w:line="240" w:lineRule="exact"/>
    </w:pPr>
  </w:p>
  <w:p w:rsidR="00D03764" w:rsidRPr="00113107" w:rsidRDefault="00370005" w:rsidP="00995BFD">
    <w:pPr>
      <w:framePr w:wrap="around" w:vAnchor="text" w:hAnchor="margin" w:xAlign="center" w:y="1"/>
      <w:jc w:val="center"/>
      <w:rPr>
        <w:sz w:val="24"/>
        <w:szCs w:val="24"/>
      </w:rPr>
    </w:pPr>
    <w:r w:rsidRPr="00113107">
      <w:rPr>
        <w:sz w:val="24"/>
        <w:szCs w:val="24"/>
      </w:rPr>
      <w:fldChar w:fldCharType="begin"/>
    </w:r>
    <w:r w:rsidR="00D03764" w:rsidRPr="00113107">
      <w:rPr>
        <w:sz w:val="24"/>
        <w:szCs w:val="24"/>
      </w:rPr>
      <w:instrText xml:space="preserve">PAGE </w:instrText>
    </w:r>
    <w:r w:rsidRPr="00113107">
      <w:rPr>
        <w:sz w:val="24"/>
        <w:szCs w:val="24"/>
      </w:rPr>
      <w:fldChar w:fldCharType="separate"/>
    </w:r>
    <w:r w:rsidR="002034F4">
      <w:rPr>
        <w:noProof/>
        <w:sz w:val="24"/>
        <w:szCs w:val="24"/>
      </w:rPr>
      <w:t>11</w:t>
    </w:r>
    <w:r w:rsidRPr="00113107">
      <w:rPr>
        <w:sz w:val="24"/>
        <w:szCs w:val="24"/>
      </w:rPr>
      <w:fldChar w:fldCharType="end"/>
    </w:r>
  </w:p>
  <w:p w:rsidR="00D03764" w:rsidRDefault="00D03764">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64" w:rsidRPr="00113107" w:rsidRDefault="00370005" w:rsidP="00113107">
    <w:pPr>
      <w:pStyle w:val="Footer"/>
      <w:jc w:val="center"/>
      <w:rPr>
        <w:sz w:val="24"/>
        <w:szCs w:val="24"/>
      </w:rPr>
    </w:pPr>
    <w:r w:rsidRPr="00113107">
      <w:rPr>
        <w:rStyle w:val="PageNumber"/>
        <w:sz w:val="24"/>
        <w:szCs w:val="24"/>
      </w:rPr>
      <w:fldChar w:fldCharType="begin"/>
    </w:r>
    <w:r w:rsidR="00D03764" w:rsidRPr="00113107">
      <w:rPr>
        <w:rStyle w:val="PageNumber"/>
        <w:sz w:val="24"/>
        <w:szCs w:val="24"/>
      </w:rPr>
      <w:instrText xml:space="preserve"> PAGE </w:instrText>
    </w:r>
    <w:r w:rsidRPr="00113107">
      <w:rPr>
        <w:rStyle w:val="PageNumber"/>
        <w:sz w:val="24"/>
        <w:szCs w:val="24"/>
      </w:rPr>
      <w:fldChar w:fldCharType="separate"/>
    </w:r>
    <w:r w:rsidR="002034F4">
      <w:rPr>
        <w:rStyle w:val="PageNumber"/>
        <w:noProof/>
        <w:sz w:val="24"/>
        <w:szCs w:val="24"/>
      </w:rPr>
      <w:t>13</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64" w:rsidRDefault="00370005">
    <w:pPr>
      <w:framePr w:wrap="notBeside" w:hAnchor="text" w:xAlign="center"/>
      <w:widowControl/>
      <w:rPr>
        <w:sz w:val="24"/>
        <w:szCs w:val="24"/>
      </w:rPr>
    </w:pPr>
    <w:r>
      <w:rPr>
        <w:sz w:val="24"/>
        <w:szCs w:val="24"/>
      </w:rPr>
      <w:fldChar w:fldCharType="begin"/>
    </w:r>
    <w:r w:rsidR="00D03764">
      <w:rPr>
        <w:sz w:val="24"/>
        <w:szCs w:val="24"/>
      </w:rPr>
      <w:instrText xml:space="preserve"> PAGE  </w:instrText>
    </w:r>
    <w:r>
      <w:rPr>
        <w:sz w:val="24"/>
        <w:szCs w:val="24"/>
      </w:rPr>
      <w:fldChar w:fldCharType="separate"/>
    </w:r>
    <w:r w:rsidR="002034F4">
      <w:rPr>
        <w:noProof/>
        <w:sz w:val="24"/>
        <w:szCs w:val="24"/>
      </w:rPr>
      <w:t>15</w:t>
    </w:r>
    <w:r>
      <w:rPr>
        <w:sz w:val="24"/>
        <w:szCs w:val="24"/>
      </w:rPr>
      <w:fldChar w:fldCharType="end"/>
    </w:r>
  </w:p>
  <w:p w:rsidR="00D03764" w:rsidRDefault="00D03764">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A68" w:rsidRDefault="00904A68">
      <w:r>
        <w:separator/>
      </w:r>
    </w:p>
  </w:footnote>
  <w:footnote w:type="continuationSeparator" w:id="0">
    <w:p w:rsidR="00904A68" w:rsidRDefault="00904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402D6"/>
    <w:rsid w:val="000414DE"/>
    <w:rsid w:val="00041EB2"/>
    <w:rsid w:val="00043114"/>
    <w:rsid w:val="000434CC"/>
    <w:rsid w:val="0004375C"/>
    <w:rsid w:val="00045A80"/>
    <w:rsid w:val="0004658A"/>
    <w:rsid w:val="00047BA5"/>
    <w:rsid w:val="00053A89"/>
    <w:rsid w:val="00053AF3"/>
    <w:rsid w:val="00053C3C"/>
    <w:rsid w:val="00056629"/>
    <w:rsid w:val="0005666C"/>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C20"/>
    <w:rsid w:val="00073241"/>
    <w:rsid w:val="00073B9C"/>
    <w:rsid w:val="000742C5"/>
    <w:rsid w:val="00077133"/>
    <w:rsid w:val="00083394"/>
    <w:rsid w:val="00084141"/>
    <w:rsid w:val="0008449E"/>
    <w:rsid w:val="000854B5"/>
    <w:rsid w:val="00085D37"/>
    <w:rsid w:val="00087908"/>
    <w:rsid w:val="00091880"/>
    <w:rsid w:val="00091EA0"/>
    <w:rsid w:val="000923FE"/>
    <w:rsid w:val="00097AA6"/>
    <w:rsid w:val="00097D10"/>
    <w:rsid w:val="000A295C"/>
    <w:rsid w:val="000A4216"/>
    <w:rsid w:val="000A6143"/>
    <w:rsid w:val="000B3A70"/>
    <w:rsid w:val="000B4288"/>
    <w:rsid w:val="000B552F"/>
    <w:rsid w:val="000B66AC"/>
    <w:rsid w:val="000B7551"/>
    <w:rsid w:val="000C1F43"/>
    <w:rsid w:val="000C3B9C"/>
    <w:rsid w:val="000C5540"/>
    <w:rsid w:val="000C60F1"/>
    <w:rsid w:val="000C7EA5"/>
    <w:rsid w:val="000D12CC"/>
    <w:rsid w:val="000D30EF"/>
    <w:rsid w:val="000D4569"/>
    <w:rsid w:val="000E0093"/>
    <w:rsid w:val="000E5208"/>
    <w:rsid w:val="000E6EF0"/>
    <w:rsid w:val="000E77FC"/>
    <w:rsid w:val="000F279A"/>
    <w:rsid w:val="000F2895"/>
    <w:rsid w:val="000F2E6E"/>
    <w:rsid w:val="000F2FC5"/>
    <w:rsid w:val="000F62E0"/>
    <w:rsid w:val="00100121"/>
    <w:rsid w:val="0010072D"/>
    <w:rsid w:val="0010701D"/>
    <w:rsid w:val="00107BEC"/>
    <w:rsid w:val="0011196D"/>
    <w:rsid w:val="00113107"/>
    <w:rsid w:val="001133AE"/>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2F39"/>
    <w:rsid w:val="0014348C"/>
    <w:rsid w:val="0014403D"/>
    <w:rsid w:val="00145905"/>
    <w:rsid w:val="00146F0E"/>
    <w:rsid w:val="00151344"/>
    <w:rsid w:val="00153D7B"/>
    <w:rsid w:val="00154E9E"/>
    <w:rsid w:val="00155EC6"/>
    <w:rsid w:val="0016114B"/>
    <w:rsid w:val="00161F58"/>
    <w:rsid w:val="00162A70"/>
    <w:rsid w:val="00164194"/>
    <w:rsid w:val="001646D0"/>
    <w:rsid w:val="001717C2"/>
    <w:rsid w:val="00174CAF"/>
    <w:rsid w:val="0017590E"/>
    <w:rsid w:val="00176584"/>
    <w:rsid w:val="00176615"/>
    <w:rsid w:val="00180148"/>
    <w:rsid w:val="0018203E"/>
    <w:rsid w:val="001826BD"/>
    <w:rsid w:val="00183697"/>
    <w:rsid w:val="00186BDE"/>
    <w:rsid w:val="001902E6"/>
    <w:rsid w:val="00191CDD"/>
    <w:rsid w:val="00191DBD"/>
    <w:rsid w:val="001966FA"/>
    <w:rsid w:val="00196B8B"/>
    <w:rsid w:val="001A1439"/>
    <w:rsid w:val="001A157C"/>
    <w:rsid w:val="001B2579"/>
    <w:rsid w:val="001B380B"/>
    <w:rsid w:val="001B3E33"/>
    <w:rsid w:val="001B535C"/>
    <w:rsid w:val="001B6837"/>
    <w:rsid w:val="001B6CCA"/>
    <w:rsid w:val="001B6E9C"/>
    <w:rsid w:val="001B6FE2"/>
    <w:rsid w:val="001C0F58"/>
    <w:rsid w:val="001C15C1"/>
    <w:rsid w:val="001C25E1"/>
    <w:rsid w:val="001C2973"/>
    <w:rsid w:val="001C5BC0"/>
    <w:rsid w:val="001D08CE"/>
    <w:rsid w:val="001D0CA6"/>
    <w:rsid w:val="001D1F9A"/>
    <w:rsid w:val="001D2A40"/>
    <w:rsid w:val="001D4352"/>
    <w:rsid w:val="001D4EAC"/>
    <w:rsid w:val="001D6AC5"/>
    <w:rsid w:val="001D7ADE"/>
    <w:rsid w:val="001E079A"/>
    <w:rsid w:val="001E0944"/>
    <w:rsid w:val="001E1183"/>
    <w:rsid w:val="001E4CF7"/>
    <w:rsid w:val="001E79D4"/>
    <w:rsid w:val="001F1CC9"/>
    <w:rsid w:val="001F351E"/>
    <w:rsid w:val="001F594F"/>
    <w:rsid w:val="001F6E53"/>
    <w:rsid w:val="001F7D1B"/>
    <w:rsid w:val="001F7E95"/>
    <w:rsid w:val="0020115C"/>
    <w:rsid w:val="0020244E"/>
    <w:rsid w:val="002034F4"/>
    <w:rsid w:val="00206C0F"/>
    <w:rsid w:val="0021648C"/>
    <w:rsid w:val="002179D0"/>
    <w:rsid w:val="00222001"/>
    <w:rsid w:val="00224B92"/>
    <w:rsid w:val="00224C87"/>
    <w:rsid w:val="00224FCA"/>
    <w:rsid w:val="00226399"/>
    <w:rsid w:val="002330BE"/>
    <w:rsid w:val="00233D13"/>
    <w:rsid w:val="002358B6"/>
    <w:rsid w:val="00235A9F"/>
    <w:rsid w:val="00236945"/>
    <w:rsid w:val="002379F4"/>
    <w:rsid w:val="00241223"/>
    <w:rsid w:val="002412BB"/>
    <w:rsid w:val="002445F2"/>
    <w:rsid w:val="002451E7"/>
    <w:rsid w:val="00247306"/>
    <w:rsid w:val="002528C8"/>
    <w:rsid w:val="00260AD8"/>
    <w:rsid w:val="0026255D"/>
    <w:rsid w:val="0026286B"/>
    <w:rsid w:val="002639A0"/>
    <w:rsid w:val="00263F30"/>
    <w:rsid w:val="002648AC"/>
    <w:rsid w:val="00267CBF"/>
    <w:rsid w:val="002726ED"/>
    <w:rsid w:val="00272FCA"/>
    <w:rsid w:val="002742BC"/>
    <w:rsid w:val="00277299"/>
    <w:rsid w:val="0027747A"/>
    <w:rsid w:val="00277705"/>
    <w:rsid w:val="002818D5"/>
    <w:rsid w:val="002823B3"/>
    <w:rsid w:val="00282482"/>
    <w:rsid w:val="00283659"/>
    <w:rsid w:val="00284E0D"/>
    <w:rsid w:val="00285215"/>
    <w:rsid w:val="00285BEC"/>
    <w:rsid w:val="00290013"/>
    <w:rsid w:val="002904F5"/>
    <w:rsid w:val="002920B7"/>
    <w:rsid w:val="00293F1D"/>
    <w:rsid w:val="002A08C9"/>
    <w:rsid w:val="002A25E2"/>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0247"/>
    <w:rsid w:val="003108F1"/>
    <w:rsid w:val="0031307B"/>
    <w:rsid w:val="00314D67"/>
    <w:rsid w:val="00316CB8"/>
    <w:rsid w:val="00324740"/>
    <w:rsid w:val="003255A3"/>
    <w:rsid w:val="003256B4"/>
    <w:rsid w:val="00327684"/>
    <w:rsid w:val="003305D5"/>
    <w:rsid w:val="003335DB"/>
    <w:rsid w:val="0033361B"/>
    <w:rsid w:val="00336216"/>
    <w:rsid w:val="003408AB"/>
    <w:rsid w:val="00340928"/>
    <w:rsid w:val="0034108E"/>
    <w:rsid w:val="0034370D"/>
    <w:rsid w:val="00343B4F"/>
    <w:rsid w:val="0034664A"/>
    <w:rsid w:val="00347017"/>
    <w:rsid w:val="003502AC"/>
    <w:rsid w:val="00352368"/>
    <w:rsid w:val="0035349A"/>
    <w:rsid w:val="003541C8"/>
    <w:rsid w:val="00355013"/>
    <w:rsid w:val="0035655C"/>
    <w:rsid w:val="003649C2"/>
    <w:rsid w:val="00365C7E"/>
    <w:rsid w:val="00370005"/>
    <w:rsid w:val="003719D2"/>
    <w:rsid w:val="00371BE1"/>
    <w:rsid w:val="003747E1"/>
    <w:rsid w:val="003841CE"/>
    <w:rsid w:val="00393D6E"/>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C152B"/>
    <w:rsid w:val="003C2FB7"/>
    <w:rsid w:val="003C3074"/>
    <w:rsid w:val="003C3802"/>
    <w:rsid w:val="003C42FB"/>
    <w:rsid w:val="003D3685"/>
    <w:rsid w:val="003D3C88"/>
    <w:rsid w:val="003D4106"/>
    <w:rsid w:val="003E305D"/>
    <w:rsid w:val="003E6C0D"/>
    <w:rsid w:val="003F2E98"/>
    <w:rsid w:val="003F3833"/>
    <w:rsid w:val="003F495A"/>
    <w:rsid w:val="003F523A"/>
    <w:rsid w:val="004000BC"/>
    <w:rsid w:val="004107C1"/>
    <w:rsid w:val="00411CAB"/>
    <w:rsid w:val="004120C5"/>
    <w:rsid w:val="00412393"/>
    <w:rsid w:val="004132C2"/>
    <w:rsid w:val="0041368F"/>
    <w:rsid w:val="004162DC"/>
    <w:rsid w:val="004167B4"/>
    <w:rsid w:val="004206E1"/>
    <w:rsid w:val="004209C0"/>
    <w:rsid w:val="0042177C"/>
    <w:rsid w:val="00431B8B"/>
    <w:rsid w:val="00432747"/>
    <w:rsid w:val="0043583F"/>
    <w:rsid w:val="00435EBF"/>
    <w:rsid w:val="00437198"/>
    <w:rsid w:val="00437660"/>
    <w:rsid w:val="00443EF9"/>
    <w:rsid w:val="00445F67"/>
    <w:rsid w:val="004502FC"/>
    <w:rsid w:val="00451123"/>
    <w:rsid w:val="00452185"/>
    <w:rsid w:val="00453A1C"/>
    <w:rsid w:val="00453E4A"/>
    <w:rsid w:val="0045449E"/>
    <w:rsid w:val="0045492C"/>
    <w:rsid w:val="0045553D"/>
    <w:rsid w:val="00456FA3"/>
    <w:rsid w:val="00461212"/>
    <w:rsid w:val="00466BEE"/>
    <w:rsid w:val="004675BC"/>
    <w:rsid w:val="00472F03"/>
    <w:rsid w:val="00473634"/>
    <w:rsid w:val="0047471D"/>
    <w:rsid w:val="00476479"/>
    <w:rsid w:val="00476BC3"/>
    <w:rsid w:val="00481723"/>
    <w:rsid w:val="004822CC"/>
    <w:rsid w:val="004907BC"/>
    <w:rsid w:val="0049142D"/>
    <w:rsid w:val="00492D43"/>
    <w:rsid w:val="00492F0C"/>
    <w:rsid w:val="00493D59"/>
    <w:rsid w:val="00495A74"/>
    <w:rsid w:val="004A0A60"/>
    <w:rsid w:val="004A1B23"/>
    <w:rsid w:val="004A1F14"/>
    <w:rsid w:val="004A29ED"/>
    <w:rsid w:val="004A34BC"/>
    <w:rsid w:val="004A4971"/>
    <w:rsid w:val="004A6632"/>
    <w:rsid w:val="004A6B5B"/>
    <w:rsid w:val="004B06E8"/>
    <w:rsid w:val="004B25F7"/>
    <w:rsid w:val="004B3619"/>
    <w:rsid w:val="004B3D7F"/>
    <w:rsid w:val="004B437A"/>
    <w:rsid w:val="004B5814"/>
    <w:rsid w:val="004B7536"/>
    <w:rsid w:val="004C18EE"/>
    <w:rsid w:val="004C1937"/>
    <w:rsid w:val="004C1EE7"/>
    <w:rsid w:val="004C3B7A"/>
    <w:rsid w:val="004C4B7D"/>
    <w:rsid w:val="004D0811"/>
    <w:rsid w:val="004D1B07"/>
    <w:rsid w:val="004D5F49"/>
    <w:rsid w:val="004D6A7E"/>
    <w:rsid w:val="004D6C42"/>
    <w:rsid w:val="004E38A3"/>
    <w:rsid w:val="004E3B65"/>
    <w:rsid w:val="004E5819"/>
    <w:rsid w:val="004F0D32"/>
    <w:rsid w:val="004F1E12"/>
    <w:rsid w:val="004F25B7"/>
    <w:rsid w:val="004F54F4"/>
    <w:rsid w:val="004F627F"/>
    <w:rsid w:val="004F7032"/>
    <w:rsid w:val="00502D10"/>
    <w:rsid w:val="00502F01"/>
    <w:rsid w:val="00503C8A"/>
    <w:rsid w:val="00503FE1"/>
    <w:rsid w:val="00505151"/>
    <w:rsid w:val="0051060D"/>
    <w:rsid w:val="00512E0E"/>
    <w:rsid w:val="00514B4C"/>
    <w:rsid w:val="00515FFE"/>
    <w:rsid w:val="00516849"/>
    <w:rsid w:val="00522875"/>
    <w:rsid w:val="00530A1E"/>
    <w:rsid w:val="00530DAF"/>
    <w:rsid w:val="0053228A"/>
    <w:rsid w:val="005322BE"/>
    <w:rsid w:val="00532416"/>
    <w:rsid w:val="005325C7"/>
    <w:rsid w:val="00535DAE"/>
    <w:rsid w:val="00536637"/>
    <w:rsid w:val="00537F4D"/>
    <w:rsid w:val="00540AD1"/>
    <w:rsid w:val="00545201"/>
    <w:rsid w:val="005477AA"/>
    <w:rsid w:val="00551C75"/>
    <w:rsid w:val="00552CF0"/>
    <w:rsid w:val="00554ACC"/>
    <w:rsid w:val="00555977"/>
    <w:rsid w:val="00556743"/>
    <w:rsid w:val="00562646"/>
    <w:rsid w:val="00563E25"/>
    <w:rsid w:val="00565B84"/>
    <w:rsid w:val="00566BC9"/>
    <w:rsid w:val="00570406"/>
    <w:rsid w:val="00571C8A"/>
    <w:rsid w:val="005726F8"/>
    <w:rsid w:val="0057300A"/>
    <w:rsid w:val="005738C7"/>
    <w:rsid w:val="00580D00"/>
    <w:rsid w:val="00580F46"/>
    <w:rsid w:val="00581858"/>
    <w:rsid w:val="00586EDE"/>
    <w:rsid w:val="005920D6"/>
    <w:rsid w:val="00593E83"/>
    <w:rsid w:val="005972BC"/>
    <w:rsid w:val="005A2021"/>
    <w:rsid w:val="005A24EA"/>
    <w:rsid w:val="005A4552"/>
    <w:rsid w:val="005A5A00"/>
    <w:rsid w:val="005A7367"/>
    <w:rsid w:val="005B0FD0"/>
    <w:rsid w:val="005B2089"/>
    <w:rsid w:val="005B445F"/>
    <w:rsid w:val="005C4CE6"/>
    <w:rsid w:val="005C4D37"/>
    <w:rsid w:val="005C7003"/>
    <w:rsid w:val="005D0CDA"/>
    <w:rsid w:val="005D3226"/>
    <w:rsid w:val="005D7431"/>
    <w:rsid w:val="005D7E2D"/>
    <w:rsid w:val="005E370B"/>
    <w:rsid w:val="005E4416"/>
    <w:rsid w:val="005E77C8"/>
    <w:rsid w:val="005F05FD"/>
    <w:rsid w:val="005F1058"/>
    <w:rsid w:val="005F14D5"/>
    <w:rsid w:val="005F34CC"/>
    <w:rsid w:val="005F42EE"/>
    <w:rsid w:val="005F45FC"/>
    <w:rsid w:val="005F5017"/>
    <w:rsid w:val="005F6ED5"/>
    <w:rsid w:val="006017B7"/>
    <w:rsid w:val="006019DF"/>
    <w:rsid w:val="0060384D"/>
    <w:rsid w:val="006067D4"/>
    <w:rsid w:val="00610536"/>
    <w:rsid w:val="0061083F"/>
    <w:rsid w:val="00610F2A"/>
    <w:rsid w:val="00611998"/>
    <w:rsid w:val="0061332F"/>
    <w:rsid w:val="00615802"/>
    <w:rsid w:val="00616A1B"/>
    <w:rsid w:val="0061784F"/>
    <w:rsid w:val="006211CC"/>
    <w:rsid w:val="00623206"/>
    <w:rsid w:val="006246F3"/>
    <w:rsid w:val="00624838"/>
    <w:rsid w:val="006248FA"/>
    <w:rsid w:val="00626201"/>
    <w:rsid w:val="006262F7"/>
    <w:rsid w:val="00626A54"/>
    <w:rsid w:val="00630D43"/>
    <w:rsid w:val="0063264F"/>
    <w:rsid w:val="006341F3"/>
    <w:rsid w:val="00636564"/>
    <w:rsid w:val="00636996"/>
    <w:rsid w:val="00636CC2"/>
    <w:rsid w:val="006370D6"/>
    <w:rsid w:val="00640165"/>
    <w:rsid w:val="006417BC"/>
    <w:rsid w:val="00642B2D"/>
    <w:rsid w:val="006434F0"/>
    <w:rsid w:val="006448C3"/>
    <w:rsid w:val="00646850"/>
    <w:rsid w:val="0065029C"/>
    <w:rsid w:val="006520D1"/>
    <w:rsid w:val="006529F3"/>
    <w:rsid w:val="006533A1"/>
    <w:rsid w:val="0065363E"/>
    <w:rsid w:val="0065477A"/>
    <w:rsid w:val="006568AF"/>
    <w:rsid w:val="00657AD8"/>
    <w:rsid w:val="00664BA0"/>
    <w:rsid w:val="006662EE"/>
    <w:rsid w:val="00670128"/>
    <w:rsid w:val="00670D51"/>
    <w:rsid w:val="00675E70"/>
    <w:rsid w:val="00680628"/>
    <w:rsid w:val="0068500F"/>
    <w:rsid w:val="006861DF"/>
    <w:rsid w:val="00691C71"/>
    <w:rsid w:val="00693977"/>
    <w:rsid w:val="006944FE"/>
    <w:rsid w:val="006A272E"/>
    <w:rsid w:val="006A4F53"/>
    <w:rsid w:val="006A5ACE"/>
    <w:rsid w:val="006A5C85"/>
    <w:rsid w:val="006A68D7"/>
    <w:rsid w:val="006A743A"/>
    <w:rsid w:val="006A78C3"/>
    <w:rsid w:val="006B0A74"/>
    <w:rsid w:val="006B15AD"/>
    <w:rsid w:val="006B488B"/>
    <w:rsid w:val="006C1F11"/>
    <w:rsid w:val="006C2AA0"/>
    <w:rsid w:val="006C2FC2"/>
    <w:rsid w:val="006C4365"/>
    <w:rsid w:val="006D013F"/>
    <w:rsid w:val="006D28CE"/>
    <w:rsid w:val="006D2FD8"/>
    <w:rsid w:val="006D41E2"/>
    <w:rsid w:val="006D53FE"/>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7031C4"/>
    <w:rsid w:val="00705601"/>
    <w:rsid w:val="00707563"/>
    <w:rsid w:val="00707617"/>
    <w:rsid w:val="00707C9F"/>
    <w:rsid w:val="00707E70"/>
    <w:rsid w:val="0071527B"/>
    <w:rsid w:val="0071599C"/>
    <w:rsid w:val="0071656A"/>
    <w:rsid w:val="00716721"/>
    <w:rsid w:val="007201E3"/>
    <w:rsid w:val="00721C26"/>
    <w:rsid w:val="00723664"/>
    <w:rsid w:val="00724FA8"/>
    <w:rsid w:val="00730127"/>
    <w:rsid w:val="007304DF"/>
    <w:rsid w:val="00730E31"/>
    <w:rsid w:val="00734BB3"/>
    <w:rsid w:val="00741706"/>
    <w:rsid w:val="00741BC1"/>
    <w:rsid w:val="00742371"/>
    <w:rsid w:val="00742F04"/>
    <w:rsid w:val="0074385D"/>
    <w:rsid w:val="00743A57"/>
    <w:rsid w:val="007468B5"/>
    <w:rsid w:val="007469E2"/>
    <w:rsid w:val="00746A53"/>
    <w:rsid w:val="0074739F"/>
    <w:rsid w:val="00750C24"/>
    <w:rsid w:val="00753118"/>
    <w:rsid w:val="00757084"/>
    <w:rsid w:val="007600B6"/>
    <w:rsid w:val="00761749"/>
    <w:rsid w:val="00764D73"/>
    <w:rsid w:val="00765573"/>
    <w:rsid w:val="007655F2"/>
    <w:rsid w:val="00770217"/>
    <w:rsid w:val="00772E9D"/>
    <w:rsid w:val="00777675"/>
    <w:rsid w:val="00781B86"/>
    <w:rsid w:val="0078323B"/>
    <w:rsid w:val="00783D31"/>
    <w:rsid w:val="00785C78"/>
    <w:rsid w:val="0078775E"/>
    <w:rsid w:val="007938C8"/>
    <w:rsid w:val="007941DD"/>
    <w:rsid w:val="00795ABD"/>
    <w:rsid w:val="00797928"/>
    <w:rsid w:val="007A34F0"/>
    <w:rsid w:val="007A389F"/>
    <w:rsid w:val="007A4CA8"/>
    <w:rsid w:val="007A518F"/>
    <w:rsid w:val="007B1B22"/>
    <w:rsid w:val="007B1EA6"/>
    <w:rsid w:val="007B2569"/>
    <w:rsid w:val="007B357E"/>
    <w:rsid w:val="007B3B98"/>
    <w:rsid w:val="007C0470"/>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33D2"/>
    <w:rsid w:val="00814259"/>
    <w:rsid w:val="008151E9"/>
    <w:rsid w:val="0081784F"/>
    <w:rsid w:val="008219C1"/>
    <w:rsid w:val="00821FF1"/>
    <w:rsid w:val="00822BB0"/>
    <w:rsid w:val="00827586"/>
    <w:rsid w:val="008304F4"/>
    <w:rsid w:val="00831568"/>
    <w:rsid w:val="00832724"/>
    <w:rsid w:val="00837FF2"/>
    <w:rsid w:val="00841059"/>
    <w:rsid w:val="00844FAA"/>
    <w:rsid w:val="0084593C"/>
    <w:rsid w:val="0085277B"/>
    <w:rsid w:val="00852D2B"/>
    <w:rsid w:val="00853E95"/>
    <w:rsid w:val="008540B6"/>
    <w:rsid w:val="00854D06"/>
    <w:rsid w:val="008556DF"/>
    <w:rsid w:val="008573EC"/>
    <w:rsid w:val="008606B1"/>
    <w:rsid w:val="0086143A"/>
    <w:rsid w:val="00864056"/>
    <w:rsid w:val="00881ECA"/>
    <w:rsid w:val="0088244E"/>
    <w:rsid w:val="008840D8"/>
    <w:rsid w:val="0089126B"/>
    <w:rsid w:val="008922DE"/>
    <w:rsid w:val="00893D8F"/>
    <w:rsid w:val="00895D49"/>
    <w:rsid w:val="00896560"/>
    <w:rsid w:val="00897A68"/>
    <w:rsid w:val="008A299D"/>
    <w:rsid w:val="008A2B67"/>
    <w:rsid w:val="008A5BDA"/>
    <w:rsid w:val="008A7DBB"/>
    <w:rsid w:val="008B15B2"/>
    <w:rsid w:val="008B1B0A"/>
    <w:rsid w:val="008B460A"/>
    <w:rsid w:val="008C2CCF"/>
    <w:rsid w:val="008C3BA3"/>
    <w:rsid w:val="008C50D0"/>
    <w:rsid w:val="008C621A"/>
    <w:rsid w:val="008D57BC"/>
    <w:rsid w:val="008D5869"/>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0A76"/>
    <w:rsid w:val="00901E09"/>
    <w:rsid w:val="00904A68"/>
    <w:rsid w:val="00907DE1"/>
    <w:rsid w:val="00910ECB"/>
    <w:rsid w:val="00911D02"/>
    <w:rsid w:val="0091241D"/>
    <w:rsid w:val="0091519C"/>
    <w:rsid w:val="00916688"/>
    <w:rsid w:val="009211FA"/>
    <w:rsid w:val="00926859"/>
    <w:rsid w:val="009368AD"/>
    <w:rsid w:val="009401FD"/>
    <w:rsid w:val="00943BD8"/>
    <w:rsid w:val="00946FDD"/>
    <w:rsid w:val="009479DE"/>
    <w:rsid w:val="00953C37"/>
    <w:rsid w:val="00955C77"/>
    <w:rsid w:val="009568C4"/>
    <w:rsid w:val="00956C0E"/>
    <w:rsid w:val="00956F75"/>
    <w:rsid w:val="00957578"/>
    <w:rsid w:val="00960D6D"/>
    <w:rsid w:val="00961C5D"/>
    <w:rsid w:val="0096303F"/>
    <w:rsid w:val="0096323E"/>
    <w:rsid w:val="00964C42"/>
    <w:rsid w:val="0096551A"/>
    <w:rsid w:val="00966ED5"/>
    <w:rsid w:val="00967F36"/>
    <w:rsid w:val="00970368"/>
    <w:rsid w:val="00971966"/>
    <w:rsid w:val="00971DF3"/>
    <w:rsid w:val="00972A8D"/>
    <w:rsid w:val="009752DD"/>
    <w:rsid w:val="0097549E"/>
    <w:rsid w:val="00982349"/>
    <w:rsid w:val="0098297D"/>
    <w:rsid w:val="00985202"/>
    <w:rsid w:val="0098627C"/>
    <w:rsid w:val="00986D1D"/>
    <w:rsid w:val="00990042"/>
    <w:rsid w:val="00990762"/>
    <w:rsid w:val="009940E3"/>
    <w:rsid w:val="00994D60"/>
    <w:rsid w:val="00995BFD"/>
    <w:rsid w:val="00996476"/>
    <w:rsid w:val="00996655"/>
    <w:rsid w:val="00997168"/>
    <w:rsid w:val="009A04BC"/>
    <w:rsid w:val="009A3EC5"/>
    <w:rsid w:val="009A434B"/>
    <w:rsid w:val="009B0A88"/>
    <w:rsid w:val="009B1649"/>
    <w:rsid w:val="009B27DB"/>
    <w:rsid w:val="009B2C09"/>
    <w:rsid w:val="009B4ADD"/>
    <w:rsid w:val="009B51A2"/>
    <w:rsid w:val="009B61A6"/>
    <w:rsid w:val="009B6B30"/>
    <w:rsid w:val="009C0965"/>
    <w:rsid w:val="009C542F"/>
    <w:rsid w:val="009D0C20"/>
    <w:rsid w:val="009D29E4"/>
    <w:rsid w:val="009D3150"/>
    <w:rsid w:val="009E2DC6"/>
    <w:rsid w:val="009E3399"/>
    <w:rsid w:val="009E39F9"/>
    <w:rsid w:val="009E3E20"/>
    <w:rsid w:val="009E5198"/>
    <w:rsid w:val="009E5321"/>
    <w:rsid w:val="009E7791"/>
    <w:rsid w:val="009F0308"/>
    <w:rsid w:val="009F0A90"/>
    <w:rsid w:val="009F15D1"/>
    <w:rsid w:val="009F2CCA"/>
    <w:rsid w:val="009F4A88"/>
    <w:rsid w:val="009F5D85"/>
    <w:rsid w:val="00A011E5"/>
    <w:rsid w:val="00A0364B"/>
    <w:rsid w:val="00A03B0A"/>
    <w:rsid w:val="00A042D5"/>
    <w:rsid w:val="00A10716"/>
    <w:rsid w:val="00A215E6"/>
    <w:rsid w:val="00A21D56"/>
    <w:rsid w:val="00A25125"/>
    <w:rsid w:val="00A27934"/>
    <w:rsid w:val="00A30C5E"/>
    <w:rsid w:val="00A31ED1"/>
    <w:rsid w:val="00A33BDD"/>
    <w:rsid w:val="00A36B4F"/>
    <w:rsid w:val="00A41724"/>
    <w:rsid w:val="00A417EA"/>
    <w:rsid w:val="00A422CB"/>
    <w:rsid w:val="00A42E8E"/>
    <w:rsid w:val="00A4439D"/>
    <w:rsid w:val="00A45132"/>
    <w:rsid w:val="00A51DBB"/>
    <w:rsid w:val="00A563B4"/>
    <w:rsid w:val="00A609B9"/>
    <w:rsid w:val="00A610C0"/>
    <w:rsid w:val="00A62797"/>
    <w:rsid w:val="00A635F5"/>
    <w:rsid w:val="00A64B8E"/>
    <w:rsid w:val="00A64CD2"/>
    <w:rsid w:val="00A6557C"/>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E0775"/>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A2B"/>
    <w:rsid w:val="00B134EB"/>
    <w:rsid w:val="00B1351A"/>
    <w:rsid w:val="00B1382C"/>
    <w:rsid w:val="00B14026"/>
    <w:rsid w:val="00B14A23"/>
    <w:rsid w:val="00B17385"/>
    <w:rsid w:val="00B17A05"/>
    <w:rsid w:val="00B20863"/>
    <w:rsid w:val="00B21A5B"/>
    <w:rsid w:val="00B3478F"/>
    <w:rsid w:val="00B358F6"/>
    <w:rsid w:val="00B35B70"/>
    <w:rsid w:val="00B35E55"/>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67F81"/>
    <w:rsid w:val="00B71F89"/>
    <w:rsid w:val="00B72906"/>
    <w:rsid w:val="00B72B63"/>
    <w:rsid w:val="00B77940"/>
    <w:rsid w:val="00B83A7C"/>
    <w:rsid w:val="00B83AB7"/>
    <w:rsid w:val="00B852D0"/>
    <w:rsid w:val="00B85A39"/>
    <w:rsid w:val="00B861FD"/>
    <w:rsid w:val="00B8681D"/>
    <w:rsid w:val="00B87560"/>
    <w:rsid w:val="00B926CC"/>
    <w:rsid w:val="00B93322"/>
    <w:rsid w:val="00B93C00"/>
    <w:rsid w:val="00B96876"/>
    <w:rsid w:val="00BA243C"/>
    <w:rsid w:val="00BA4703"/>
    <w:rsid w:val="00BA5B01"/>
    <w:rsid w:val="00BA6990"/>
    <w:rsid w:val="00BA7EEF"/>
    <w:rsid w:val="00BB0F5A"/>
    <w:rsid w:val="00BB186F"/>
    <w:rsid w:val="00BB2E14"/>
    <w:rsid w:val="00BB35C4"/>
    <w:rsid w:val="00BC05A5"/>
    <w:rsid w:val="00BC2A81"/>
    <w:rsid w:val="00BD174A"/>
    <w:rsid w:val="00BD4412"/>
    <w:rsid w:val="00BE064E"/>
    <w:rsid w:val="00BE4456"/>
    <w:rsid w:val="00BE69BF"/>
    <w:rsid w:val="00BF0021"/>
    <w:rsid w:val="00BF089B"/>
    <w:rsid w:val="00BF3B19"/>
    <w:rsid w:val="00C025B5"/>
    <w:rsid w:val="00C0383A"/>
    <w:rsid w:val="00C05436"/>
    <w:rsid w:val="00C0770E"/>
    <w:rsid w:val="00C077C5"/>
    <w:rsid w:val="00C13F4A"/>
    <w:rsid w:val="00C1509B"/>
    <w:rsid w:val="00C216E6"/>
    <w:rsid w:val="00C26D59"/>
    <w:rsid w:val="00C303BB"/>
    <w:rsid w:val="00C309A3"/>
    <w:rsid w:val="00C30E79"/>
    <w:rsid w:val="00C3427A"/>
    <w:rsid w:val="00C3474C"/>
    <w:rsid w:val="00C368ED"/>
    <w:rsid w:val="00C4180C"/>
    <w:rsid w:val="00C422FD"/>
    <w:rsid w:val="00C478C1"/>
    <w:rsid w:val="00C50D65"/>
    <w:rsid w:val="00C52602"/>
    <w:rsid w:val="00C57FBA"/>
    <w:rsid w:val="00C64D04"/>
    <w:rsid w:val="00C70B61"/>
    <w:rsid w:val="00C72CC0"/>
    <w:rsid w:val="00C75C90"/>
    <w:rsid w:val="00C7625A"/>
    <w:rsid w:val="00C83CC9"/>
    <w:rsid w:val="00C83ECF"/>
    <w:rsid w:val="00C9276F"/>
    <w:rsid w:val="00C93CFD"/>
    <w:rsid w:val="00C93FE4"/>
    <w:rsid w:val="00C9494C"/>
    <w:rsid w:val="00C97E0F"/>
    <w:rsid w:val="00CA3D6B"/>
    <w:rsid w:val="00CA46DC"/>
    <w:rsid w:val="00CA56CA"/>
    <w:rsid w:val="00CA5A1C"/>
    <w:rsid w:val="00CA7E4F"/>
    <w:rsid w:val="00CB1BEA"/>
    <w:rsid w:val="00CB1BF8"/>
    <w:rsid w:val="00CB5C93"/>
    <w:rsid w:val="00CB6189"/>
    <w:rsid w:val="00CB6CC7"/>
    <w:rsid w:val="00CC101C"/>
    <w:rsid w:val="00CC68EA"/>
    <w:rsid w:val="00CD1B68"/>
    <w:rsid w:val="00CD503D"/>
    <w:rsid w:val="00CE1688"/>
    <w:rsid w:val="00CE7B15"/>
    <w:rsid w:val="00CF0317"/>
    <w:rsid w:val="00CF07BB"/>
    <w:rsid w:val="00CF2BC1"/>
    <w:rsid w:val="00CF3362"/>
    <w:rsid w:val="00CF5B5C"/>
    <w:rsid w:val="00D0069D"/>
    <w:rsid w:val="00D03764"/>
    <w:rsid w:val="00D072BD"/>
    <w:rsid w:val="00D10F6D"/>
    <w:rsid w:val="00D15E82"/>
    <w:rsid w:val="00D22F13"/>
    <w:rsid w:val="00D24F5C"/>
    <w:rsid w:val="00D26D5D"/>
    <w:rsid w:val="00D330A9"/>
    <w:rsid w:val="00D379A7"/>
    <w:rsid w:val="00D40F57"/>
    <w:rsid w:val="00D416F0"/>
    <w:rsid w:val="00D43488"/>
    <w:rsid w:val="00D45773"/>
    <w:rsid w:val="00D46860"/>
    <w:rsid w:val="00D52263"/>
    <w:rsid w:val="00D524F0"/>
    <w:rsid w:val="00D53932"/>
    <w:rsid w:val="00D55026"/>
    <w:rsid w:val="00D564EB"/>
    <w:rsid w:val="00D57826"/>
    <w:rsid w:val="00D602FF"/>
    <w:rsid w:val="00D61092"/>
    <w:rsid w:val="00D626E3"/>
    <w:rsid w:val="00D63BEE"/>
    <w:rsid w:val="00D65A2C"/>
    <w:rsid w:val="00D720BF"/>
    <w:rsid w:val="00D7245C"/>
    <w:rsid w:val="00D741D9"/>
    <w:rsid w:val="00D75F90"/>
    <w:rsid w:val="00D772E5"/>
    <w:rsid w:val="00D77691"/>
    <w:rsid w:val="00D77BE6"/>
    <w:rsid w:val="00D81617"/>
    <w:rsid w:val="00D834C5"/>
    <w:rsid w:val="00D85131"/>
    <w:rsid w:val="00D86F6D"/>
    <w:rsid w:val="00DA0C66"/>
    <w:rsid w:val="00DA5FD7"/>
    <w:rsid w:val="00DA745C"/>
    <w:rsid w:val="00DB0C99"/>
    <w:rsid w:val="00DB6B8D"/>
    <w:rsid w:val="00DB7B5B"/>
    <w:rsid w:val="00DB7E17"/>
    <w:rsid w:val="00DC408C"/>
    <w:rsid w:val="00DC4234"/>
    <w:rsid w:val="00DC482B"/>
    <w:rsid w:val="00DC76A4"/>
    <w:rsid w:val="00DD105F"/>
    <w:rsid w:val="00DD2378"/>
    <w:rsid w:val="00DD28E1"/>
    <w:rsid w:val="00DE09C3"/>
    <w:rsid w:val="00DE1924"/>
    <w:rsid w:val="00DE5032"/>
    <w:rsid w:val="00DE5CB3"/>
    <w:rsid w:val="00DE72EE"/>
    <w:rsid w:val="00DE7A9F"/>
    <w:rsid w:val="00DF1ECA"/>
    <w:rsid w:val="00E00045"/>
    <w:rsid w:val="00E00728"/>
    <w:rsid w:val="00E00EC8"/>
    <w:rsid w:val="00E01B5E"/>
    <w:rsid w:val="00E04F28"/>
    <w:rsid w:val="00E07085"/>
    <w:rsid w:val="00E07755"/>
    <w:rsid w:val="00E11B69"/>
    <w:rsid w:val="00E14BA7"/>
    <w:rsid w:val="00E17DE0"/>
    <w:rsid w:val="00E23386"/>
    <w:rsid w:val="00E23EE6"/>
    <w:rsid w:val="00E2714E"/>
    <w:rsid w:val="00E27DC4"/>
    <w:rsid w:val="00E30F33"/>
    <w:rsid w:val="00E3465D"/>
    <w:rsid w:val="00E351AB"/>
    <w:rsid w:val="00E37074"/>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30EA"/>
    <w:rsid w:val="00E75061"/>
    <w:rsid w:val="00E75105"/>
    <w:rsid w:val="00E760C6"/>
    <w:rsid w:val="00E81F7A"/>
    <w:rsid w:val="00E827D0"/>
    <w:rsid w:val="00E82891"/>
    <w:rsid w:val="00E82D67"/>
    <w:rsid w:val="00E846A7"/>
    <w:rsid w:val="00E84CC2"/>
    <w:rsid w:val="00E85289"/>
    <w:rsid w:val="00E86173"/>
    <w:rsid w:val="00E8747C"/>
    <w:rsid w:val="00E90C48"/>
    <w:rsid w:val="00E9204A"/>
    <w:rsid w:val="00E94638"/>
    <w:rsid w:val="00E94D64"/>
    <w:rsid w:val="00E94DC5"/>
    <w:rsid w:val="00E962F4"/>
    <w:rsid w:val="00E97ECC"/>
    <w:rsid w:val="00EA6A61"/>
    <w:rsid w:val="00EB0653"/>
    <w:rsid w:val="00EB190A"/>
    <w:rsid w:val="00EB19E0"/>
    <w:rsid w:val="00EB6B78"/>
    <w:rsid w:val="00EC0B4F"/>
    <w:rsid w:val="00EC2688"/>
    <w:rsid w:val="00EC5C30"/>
    <w:rsid w:val="00EC62A4"/>
    <w:rsid w:val="00EC7A8A"/>
    <w:rsid w:val="00ED2E4A"/>
    <w:rsid w:val="00ED55AB"/>
    <w:rsid w:val="00EE216B"/>
    <w:rsid w:val="00EE3B37"/>
    <w:rsid w:val="00EE474A"/>
    <w:rsid w:val="00EE57A9"/>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858"/>
    <w:rsid w:val="00F31543"/>
    <w:rsid w:val="00F32482"/>
    <w:rsid w:val="00F32504"/>
    <w:rsid w:val="00F4077D"/>
    <w:rsid w:val="00F4174C"/>
    <w:rsid w:val="00F42FB2"/>
    <w:rsid w:val="00F43F47"/>
    <w:rsid w:val="00F471C4"/>
    <w:rsid w:val="00F52005"/>
    <w:rsid w:val="00F52134"/>
    <w:rsid w:val="00F538F7"/>
    <w:rsid w:val="00F55D18"/>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914F8"/>
    <w:rsid w:val="00F93BB0"/>
    <w:rsid w:val="00F954D9"/>
    <w:rsid w:val="00FA4D54"/>
    <w:rsid w:val="00FB1D51"/>
    <w:rsid w:val="00FC49F7"/>
    <w:rsid w:val="00FC51F8"/>
    <w:rsid w:val="00FD2478"/>
    <w:rsid w:val="00FD551D"/>
    <w:rsid w:val="00FD6560"/>
    <w:rsid w:val="00FD6796"/>
    <w:rsid w:val="00FE094F"/>
    <w:rsid w:val="00FE1041"/>
    <w:rsid w:val="00FE1F51"/>
    <w:rsid w:val="00FE2458"/>
    <w:rsid w:val="00FE44DC"/>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56C0E"/>
    <w:rPr>
      <w:color w:val="0000FF"/>
      <w:u w:val="single"/>
    </w:rPr>
  </w:style>
  <w:style w:type="paragraph" w:styleId="Footer">
    <w:name w:val="footer"/>
    <w:basedOn w:val="Normal"/>
    <w:rsid w:val="00956C0E"/>
    <w:pPr>
      <w:tabs>
        <w:tab w:val="center" w:pos="4320"/>
        <w:tab w:val="right" w:pos="8640"/>
      </w:tabs>
    </w:pPr>
  </w:style>
  <w:style w:type="character" w:styleId="PageNumber">
    <w:name w:val="page number"/>
    <w:basedOn w:val="DefaultParagraphFont"/>
    <w:rsid w:val="00956C0E"/>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cec_06102009.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0tables/pdf/gs_h.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BEEB-03CA-4261-8363-0034CE9A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28007</CharactersWithSpaces>
  <SharedDoc>false</SharedDoc>
  <HLinks>
    <vt:vector size="24" baseType="variant">
      <vt:variant>
        <vt:i4>262217</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1900584</vt:i4>
      </vt:variant>
      <vt:variant>
        <vt:i4>5</vt:i4>
      </vt:variant>
      <vt:variant>
        <vt:i4>0</vt:i4>
      </vt:variant>
      <vt:variant>
        <vt:i4>5</vt:i4>
      </vt:variant>
      <vt:variant>
        <vt:lpwstr>http://www.opm.gov/oca/10tables/pdf/gs_h.pdf</vt:lpwstr>
      </vt:variant>
      <vt:variant>
        <vt:lpwstr/>
      </vt:variant>
      <vt:variant>
        <vt:i4>655398</vt:i4>
      </vt:variant>
      <vt:variant>
        <vt:i4>2</vt:i4>
      </vt:variant>
      <vt:variant>
        <vt:i4>0</vt:i4>
      </vt:variant>
      <vt:variant>
        <vt:i4>5</vt:i4>
      </vt:variant>
      <vt:variant>
        <vt:lpwstr>http://www.bls.gov/news.release/archives/ecec_06102009.htm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ckerwin</cp:lastModifiedBy>
  <cp:revision>5</cp:revision>
  <cp:lastPrinted>2010-09-24T15:25:00Z</cp:lastPrinted>
  <dcterms:created xsi:type="dcterms:W3CDTF">2011-09-29T16:42:00Z</dcterms:created>
  <dcterms:modified xsi:type="dcterms:W3CDTF">2011-09-29T18:36:00Z</dcterms:modified>
</cp:coreProperties>
</file>