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Default Extension="wmf" ContentType="image/x-wm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DEA" w:rsidRPr="006875D7" w:rsidRDefault="00B05DEA" w:rsidP="00293A48">
      <w:pPr>
        <w:rPr>
          <w:b/>
          <w:sz w:val="28"/>
          <w:szCs w:val="28"/>
        </w:rPr>
      </w:pPr>
      <w:r w:rsidRPr="006875D7">
        <w:rPr>
          <w:b/>
          <w:sz w:val="28"/>
          <w:szCs w:val="28"/>
        </w:rPr>
        <w:t>NCSES’ Response to Brian A. Harris-Kojetin, OMB</w:t>
      </w:r>
      <w:r w:rsidR="006875D7" w:rsidRPr="006875D7">
        <w:rPr>
          <w:b/>
          <w:sz w:val="28"/>
          <w:szCs w:val="28"/>
        </w:rPr>
        <w:t xml:space="preserve"> on Generic Clearance Request</w:t>
      </w:r>
    </w:p>
    <w:p w:rsidR="00937F25" w:rsidRDefault="00293A48" w:rsidP="00293A48">
      <w:pPr>
        <w:pStyle w:val="ListParagraph"/>
        <w:numPr>
          <w:ilvl w:val="0"/>
          <w:numId w:val="1"/>
        </w:numPr>
        <w:rPr>
          <w:sz w:val="24"/>
          <w:szCs w:val="24"/>
        </w:rPr>
      </w:pPr>
      <w:r w:rsidRPr="0084640D">
        <w:rPr>
          <w:sz w:val="24"/>
          <w:szCs w:val="24"/>
        </w:rPr>
        <w:t>Question on the expanding power analysis:  What is the minimum detectable eff</w:t>
      </w:r>
      <w:r w:rsidR="00B05DEA">
        <w:rPr>
          <w:sz w:val="24"/>
          <w:szCs w:val="24"/>
        </w:rPr>
        <w:t>ect</w:t>
      </w:r>
      <w:r w:rsidRPr="0084640D">
        <w:rPr>
          <w:sz w:val="24"/>
          <w:szCs w:val="24"/>
        </w:rPr>
        <w:t xml:space="preserve"> to justify the sample size?</w:t>
      </w:r>
    </w:p>
    <w:p w:rsidR="0084640D" w:rsidRPr="0084640D" w:rsidRDefault="0084640D" w:rsidP="0084640D">
      <w:pPr>
        <w:pStyle w:val="ListParagraph"/>
        <w:ind w:left="360"/>
        <w:rPr>
          <w:sz w:val="24"/>
          <w:szCs w:val="24"/>
        </w:rPr>
      </w:pPr>
    </w:p>
    <w:p w:rsidR="0084640D" w:rsidRPr="0084640D" w:rsidRDefault="0084640D" w:rsidP="00675E9B">
      <w:pPr>
        <w:pStyle w:val="ListParagraph"/>
        <w:ind w:left="360"/>
        <w:rPr>
          <w:color w:val="1F497D"/>
          <w:sz w:val="24"/>
          <w:szCs w:val="24"/>
        </w:rPr>
      </w:pPr>
      <w:r w:rsidRPr="0084640D">
        <w:rPr>
          <w:color w:val="1F497D"/>
          <w:sz w:val="24"/>
          <w:szCs w:val="24"/>
        </w:rPr>
        <w:t>The minimum detectable effect is 5% at 80% power</w:t>
      </w:r>
      <w:r w:rsidR="00DB4403">
        <w:rPr>
          <w:color w:val="1F497D"/>
          <w:sz w:val="24"/>
          <w:szCs w:val="24"/>
        </w:rPr>
        <w:t>,</w:t>
      </w:r>
      <w:r w:rsidRPr="0084640D">
        <w:rPr>
          <w:color w:val="1F497D"/>
          <w:sz w:val="24"/>
          <w:szCs w:val="24"/>
        </w:rPr>
        <w:t xml:space="preserve"> an alpha level of 0.05</w:t>
      </w:r>
      <w:r w:rsidR="00DB4403">
        <w:rPr>
          <w:color w:val="1F497D"/>
          <w:sz w:val="24"/>
          <w:szCs w:val="24"/>
        </w:rPr>
        <w:t>,</w:t>
      </w:r>
      <w:r w:rsidRPr="0084640D">
        <w:rPr>
          <w:color w:val="1F497D"/>
          <w:sz w:val="24"/>
          <w:szCs w:val="24"/>
        </w:rPr>
        <w:t xml:space="preserve"> and an overall response rate between </w:t>
      </w:r>
      <w:r w:rsidR="00DB4403">
        <w:rPr>
          <w:color w:val="1F497D"/>
          <w:sz w:val="24"/>
          <w:szCs w:val="24"/>
        </w:rPr>
        <w:t>75</w:t>
      </w:r>
      <w:r w:rsidR="00B05DEA">
        <w:rPr>
          <w:color w:val="1F497D"/>
          <w:sz w:val="24"/>
          <w:szCs w:val="24"/>
        </w:rPr>
        <w:t>%</w:t>
      </w:r>
      <w:r w:rsidRPr="0084640D">
        <w:rPr>
          <w:color w:val="1F497D"/>
          <w:sz w:val="24"/>
          <w:szCs w:val="24"/>
        </w:rPr>
        <w:t xml:space="preserve"> and </w:t>
      </w:r>
      <w:r w:rsidR="00DB4403">
        <w:rPr>
          <w:color w:val="1F497D"/>
          <w:sz w:val="24"/>
          <w:szCs w:val="24"/>
        </w:rPr>
        <w:t>80</w:t>
      </w:r>
      <w:r w:rsidRPr="0084640D">
        <w:rPr>
          <w:color w:val="1F497D"/>
          <w:sz w:val="24"/>
          <w:szCs w:val="24"/>
        </w:rPr>
        <w:t>%.  As seen in the table</w:t>
      </w:r>
      <w:r w:rsidR="00DB4403">
        <w:rPr>
          <w:color w:val="1F497D"/>
          <w:sz w:val="24"/>
          <w:szCs w:val="24"/>
        </w:rPr>
        <w:t xml:space="preserve"> and graph</w:t>
      </w:r>
      <w:r w:rsidRPr="0084640D">
        <w:rPr>
          <w:color w:val="1F497D"/>
          <w:sz w:val="24"/>
          <w:szCs w:val="24"/>
        </w:rPr>
        <w:t xml:space="preserve"> below, we considered other configurations of institutions and ECDs per institution, but several factors moved us toward the current design, of which the 5% discernible effect is just one, albeit an important one. First, as the goal of the methodological pilot is to test our frame creation and contact strategies, it is imperative that we sample a wide variety of institutions. Second, for experimental validity, it is important that the response burden for each institution in the pilot reflect </w:t>
      </w:r>
      <w:r w:rsidR="00C2775D">
        <w:rPr>
          <w:color w:val="1F497D"/>
          <w:sz w:val="24"/>
          <w:szCs w:val="24"/>
        </w:rPr>
        <w:t>the</w:t>
      </w:r>
      <w:r w:rsidRPr="0084640D">
        <w:rPr>
          <w:color w:val="1F497D"/>
          <w:sz w:val="24"/>
          <w:szCs w:val="24"/>
        </w:rPr>
        <w:t xml:space="preserve"> likely </w:t>
      </w:r>
      <w:r w:rsidR="00C2775D">
        <w:rPr>
          <w:color w:val="1F497D"/>
          <w:sz w:val="24"/>
          <w:szCs w:val="24"/>
        </w:rPr>
        <w:t xml:space="preserve">burden </w:t>
      </w:r>
      <w:r w:rsidRPr="0084640D">
        <w:rPr>
          <w:color w:val="1F497D"/>
          <w:sz w:val="24"/>
          <w:szCs w:val="24"/>
        </w:rPr>
        <w:t>in the future full-scale data collection. Third, for the experiment to be meaningful, we need enough ECDs to have a reasonable chance at detecting a difference in response rate within each experimental group. Sampling 80 institutions rather than 60 will ensure that we get sufficient variation across the institutional respondents, and sampling 40 ECDs per institution will ensure experimental validity. The overall sample size of 3,280 yields a minimum detectible difference</w:t>
      </w:r>
      <w:r w:rsidR="00675E9B">
        <w:rPr>
          <w:color w:val="1F497D"/>
          <w:sz w:val="24"/>
          <w:szCs w:val="24"/>
        </w:rPr>
        <w:t xml:space="preserve"> close to 5% starting at an overall response rate of 75% and provides the best opportunity to achieve </w:t>
      </w:r>
      <w:r w:rsidRPr="0084640D">
        <w:rPr>
          <w:color w:val="1F497D"/>
          <w:sz w:val="24"/>
          <w:szCs w:val="24"/>
        </w:rPr>
        <w:t xml:space="preserve">a meaningful and reasonable result, namely that if the difference in response rates in less than 5% the ECD contact strategies will be deemed equivalent. </w:t>
      </w:r>
    </w:p>
    <w:p w:rsidR="0084640D" w:rsidRPr="0084640D" w:rsidRDefault="0084640D" w:rsidP="0084640D">
      <w:pPr>
        <w:pStyle w:val="ListParagraph"/>
        <w:ind w:left="360"/>
        <w:rPr>
          <w:color w:val="1F497D"/>
          <w:sz w:val="24"/>
          <w:szCs w:val="24"/>
        </w:rPr>
      </w:pPr>
    </w:p>
    <w:tbl>
      <w:tblPr>
        <w:tblW w:w="9530" w:type="dxa"/>
        <w:tblInd w:w="-21" w:type="dxa"/>
        <w:tblCellMar>
          <w:left w:w="0" w:type="dxa"/>
          <w:right w:w="0" w:type="dxa"/>
        </w:tblCellMar>
        <w:tblLook w:val="04A0"/>
      </w:tblPr>
      <w:tblGrid>
        <w:gridCol w:w="4269"/>
        <w:gridCol w:w="1080"/>
        <w:gridCol w:w="1350"/>
        <w:gridCol w:w="1440"/>
        <w:gridCol w:w="1391"/>
      </w:tblGrid>
      <w:tr w:rsidR="0084640D" w:rsidRPr="0084640D">
        <w:trPr>
          <w:trHeight w:val="430"/>
        </w:trPr>
        <w:tc>
          <w:tcPr>
            <w:tcW w:w="426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84640D" w:rsidRPr="0084640D" w:rsidRDefault="0084640D">
            <w:pPr>
              <w:rPr>
                <w:b/>
                <w:bCs/>
                <w:color w:val="1F497D"/>
                <w:sz w:val="24"/>
                <w:szCs w:val="24"/>
              </w:rPr>
            </w:pPr>
            <w:r w:rsidRPr="0084640D">
              <w:rPr>
                <w:b/>
                <w:bCs/>
                <w:color w:val="1F497D"/>
                <w:sz w:val="24"/>
                <w:szCs w:val="24"/>
              </w:rPr>
              <w:t>Possible sampling designs</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640D" w:rsidRPr="0084640D" w:rsidRDefault="0084640D">
            <w:pPr>
              <w:jc w:val="center"/>
              <w:rPr>
                <w:b/>
                <w:bCs/>
                <w:color w:val="1F497D"/>
                <w:sz w:val="24"/>
                <w:szCs w:val="24"/>
              </w:rPr>
            </w:pPr>
            <w:r w:rsidRPr="0084640D">
              <w:rPr>
                <w:b/>
                <w:bCs/>
                <w:color w:val="1F497D"/>
                <w:sz w:val="24"/>
                <w:szCs w:val="24"/>
              </w:rPr>
              <w:t>Selected</w:t>
            </w:r>
          </w:p>
        </w:tc>
        <w:tc>
          <w:tcPr>
            <w:tcW w:w="13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640D" w:rsidRPr="0084640D" w:rsidRDefault="0084640D">
            <w:pPr>
              <w:jc w:val="center"/>
              <w:rPr>
                <w:b/>
                <w:bCs/>
                <w:color w:val="1F497D"/>
                <w:sz w:val="24"/>
                <w:szCs w:val="24"/>
              </w:rPr>
            </w:pPr>
            <w:r w:rsidRPr="0084640D">
              <w:rPr>
                <w:b/>
                <w:bCs/>
                <w:color w:val="1F497D"/>
                <w:sz w:val="24"/>
                <w:szCs w:val="24"/>
              </w:rPr>
              <w:t>Alternate 1</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640D" w:rsidRPr="0084640D" w:rsidRDefault="0084640D">
            <w:pPr>
              <w:jc w:val="center"/>
              <w:rPr>
                <w:b/>
                <w:bCs/>
                <w:color w:val="1F497D"/>
                <w:sz w:val="24"/>
                <w:szCs w:val="24"/>
              </w:rPr>
            </w:pPr>
            <w:r w:rsidRPr="0084640D">
              <w:rPr>
                <w:b/>
                <w:bCs/>
                <w:color w:val="1F497D"/>
                <w:sz w:val="24"/>
                <w:szCs w:val="24"/>
              </w:rPr>
              <w:t>Alternate 2</w:t>
            </w:r>
          </w:p>
        </w:tc>
        <w:tc>
          <w:tcPr>
            <w:tcW w:w="13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640D" w:rsidRPr="0084640D" w:rsidRDefault="0084640D">
            <w:pPr>
              <w:jc w:val="center"/>
              <w:rPr>
                <w:b/>
                <w:bCs/>
                <w:color w:val="1F497D"/>
                <w:sz w:val="24"/>
                <w:szCs w:val="24"/>
              </w:rPr>
            </w:pPr>
            <w:r w:rsidRPr="0084640D">
              <w:rPr>
                <w:b/>
                <w:bCs/>
                <w:color w:val="1F497D"/>
                <w:sz w:val="24"/>
                <w:szCs w:val="24"/>
              </w:rPr>
              <w:t>Alternate 3</w:t>
            </w:r>
          </w:p>
        </w:tc>
      </w:tr>
      <w:tr w:rsidR="0084640D" w:rsidRPr="0084640D">
        <w:trPr>
          <w:trHeight w:val="294"/>
        </w:trPr>
        <w:tc>
          <w:tcPr>
            <w:tcW w:w="426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84640D" w:rsidRPr="0084640D" w:rsidRDefault="0084640D">
            <w:pPr>
              <w:rPr>
                <w:color w:val="1F497D"/>
                <w:sz w:val="24"/>
                <w:szCs w:val="24"/>
              </w:rPr>
            </w:pPr>
            <w:r w:rsidRPr="0084640D">
              <w:rPr>
                <w:color w:val="1F497D"/>
                <w:sz w:val="24"/>
                <w:szCs w:val="24"/>
              </w:rPr>
              <w:t>Number of GSS + FFRDC Institutions</w:t>
            </w:r>
          </w:p>
        </w:tc>
        <w:tc>
          <w:tcPr>
            <w:tcW w:w="1080" w:type="dxa"/>
            <w:tcBorders>
              <w:top w:val="nil"/>
              <w:left w:val="nil"/>
              <w:bottom w:val="nil"/>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80</w:t>
            </w:r>
          </w:p>
        </w:tc>
        <w:tc>
          <w:tcPr>
            <w:tcW w:w="1350" w:type="dxa"/>
            <w:tcBorders>
              <w:top w:val="nil"/>
              <w:left w:val="nil"/>
              <w:bottom w:val="nil"/>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80</w:t>
            </w:r>
          </w:p>
        </w:tc>
        <w:tc>
          <w:tcPr>
            <w:tcW w:w="1440" w:type="dxa"/>
            <w:tcBorders>
              <w:top w:val="nil"/>
              <w:left w:val="nil"/>
              <w:bottom w:val="nil"/>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60</w:t>
            </w:r>
          </w:p>
        </w:tc>
        <w:tc>
          <w:tcPr>
            <w:tcW w:w="1391" w:type="dxa"/>
            <w:tcBorders>
              <w:top w:val="nil"/>
              <w:left w:val="nil"/>
              <w:bottom w:val="nil"/>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60</w:t>
            </w:r>
          </w:p>
        </w:tc>
      </w:tr>
      <w:tr w:rsidR="0084640D" w:rsidRPr="0084640D">
        <w:trPr>
          <w:trHeight w:val="294"/>
        </w:trPr>
        <w:tc>
          <w:tcPr>
            <w:tcW w:w="426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84640D" w:rsidRPr="0084640D" w:rsidRDefault="0084640D">
            <w:pPr>
              <w:rPr>
                <w:color w:val="1F497D"/>
                <w:sz w:val="24"/>
                <w:szCs w:val="24"/>
              </w:rPr>
            </w:pPr>
            <w:r w:rsidRPr="0084640D">
              <w:rPr>
                <w:color w:val="1F497D"/>
                <w:sz w:val="24"/>
                <w:szCs w:val="24"/>
              </w:rPr>
              <w:t>Number of ECDs per GSS + FFRDC Institution</w:t>
            </w:r>
          </w:p>
        </w:tc>
        <w:tc>
          <w:tcPr>
            <w:tcW w:w="1080" w:type="dxa"/>
            <w:tcBorders>
              <w:top w:val="nil"/>
              <w:left w:val="nil"/>
              <w:bottom w:val="nil"/>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40</w:t>
            </w:r>
          </w:p>
        </w:tc>
        <w:tc>
          <w:tcPr>
            <w:tcW w:w="1350" w:type="dxa"/>
            <w:tcBorders>
              <w:top w:val="nil"/>
              <w:left w:val="nil"/>
              <w:bottom w:val="nil"/>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30</w:t>
            </w:r>
          </w:p>
        </w:tc>
        <w:tc>
          <w:tcPr>
            <w:tcW w:w="1440" w:type="dxa"/>
            <w:tcBorders>
              <w:top w:val="nil"/>
              <w:left w:val="nil"/>
              <w:bottom w:val="nil"/>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40</w:t>
            </w:r>
          </w:p>
        </w:tc>
        <w:tc>
          <w:tcPr>
            <w:tcW w:w="1391" w:type="dxa"/>
            <w:tcBorders>
              <w:top w:val="nil"/>
              <w:left w:val="nil"/>
              <w:bottom w:val="nil"/>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30</w:t>
            </w:r>
          </w:p>
        </w:tc>
      </w:tr>
      <w:tr w:rsidR="0084640D" w:rsidRPr="0084640D">
        <w:trPr>
          <w:trHeight w:val="294"/>
        </w:trPr>
        <w:tc>
          <w:tcPr>
            <w:tcW w:w="4269" w:type="dxa"/>
            <w:tcBorders>
              <w:top w:val="nil"/>
              <w:left w:val="single" w:sz="8" w:space="0" w:color="auto"/>
              <w:bottom w:val="dashed" w:sz="8" w:space="0" w:color="auto"/>
              <w:right w:val="single" w:sz="8" w:space="0" w:color="auto"/>
            </w:tcBorders>
            <w:noWrap/>
            <w:tcMar>
              <w:top w:w="0" w:type="dxa"/>
              <w:left w:w="108" w:type="dxa"/>
              <w:bottom w:w="0" w:type="dxa"/>
              <w:right w:w="108" w:type="dxa"/>
            </w:tcMar>
            <w:vAlign w:val="bottom"/>
          </w:tcPr>
          <w:p w:rsidR="0084640D" w:rsidRPr="0084640D" w:rsidRDefault="0084640D">
            <w:pPr>
              <w:rPr>
                <w:color w:val="1F497D"/>
                <w:sz w:val="24"/>
                <w:szCs w:val="24"/>
              </w:rPr>
            </w:pPr>
            <w:r w:rsidRPr="0084640D">
              <w:rPr>
                <w:color w:val="1F497D"/>
                <w:sz w:val="24"/>
                <w:szCs w:val="24"/>
              </w:rPr>
              <w:t>Number of ECDs from the NIH IRP</w:t>
            </w:r>
          </w:p>
        </w:tc>
        <w:tc>
          <w:tcPr>
            <w:tcW w:w="1080" w:type="dxa"/>
            <w:tcBorders>
              <w:top w:val="nil"/>
              <w:left w:val="nil"/>
              <w:bottom w:val="dashed" w:sz="8" w:space="0" w:color="auto"/>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80</w:t>
            </w:r>
          </w:p>
        </w:tc>
        <w:tc>
          <w:tcPr>
            <w:tcW w:w="1350" w:type="dxa"/>
            <w:tcBorders>
              <w:top w:val="nil"/>
              <w:left w:val="nil"/>
              <w:bottom w:val="dashed" w:sz="8" w:space="0" w:color="auto"/>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60</w:t>
            </w:r>
          </w:p>
        </w:tc>
        <w:tc>
          <w:tcPr>
            <w:tcW w:w="1440" w:type="dxa"/>
            <w:tcBorders>
              <w:top w:val="nil"/>
              <w:left w:val="nil"/>
              <w:bottom w:val="dashed" w:sz="8" w:space="0" w:color="auto"/>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80</w:t>
            </w:r>
          </w:p>
        </w:tc>
        <w:tc>
          <w:tcPr>
            <w:tcW w:w="1391" w:type="dxa"/>
            <w:tcBorders>
              <w:top w:val="nil"/>
              <w:left w:val="nil"/>
              <w:bottom w:val="dashed" w:sz="8" w:space="0" w:color="auto"/>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60</w:t>
            </w:r>
          </w:p>
        </w:tc>
      </w:tr>
      <w:tr w:rsidR="0084640D" w:rsidRPr="0084640D">
        <w:trPr>
          <w:trHeight w:val="294"/>
        </w:trPr>
        <w:tc>
          <w:tcPr>
            <w:tcW w:w="426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84640D" w:rsidRPr="0084640D" w:rsidRDefault="0084640D">
            <w:pPr>
              <w:rPr>
                <w:color w:val="1F497D"/>
                <w:sz w:val="24"/>
                <w:szCs w:val="24"/>
              </w:rPr>
            </w:pPr>
            <w:r w:rsidRPr="0084640D">
              <w:rPr>
                <w:color w:val="1F497D"/>
                <w:sz w:val="24"/>
                <w:szCs w:val="24"/>
              </w:rPr>
              <w:t>Total Institutions</w:t>
            </w:r>
          </w:p>
        </w:tc>
        <w:tc>
          <w:tcPr>
            <w:tcW w:w="1080" w:type="dxa"/>
            <w:tcBorders>
              <w:top w:val="nil"/>
              <w:left w:val="nil"/>
              <w:bottom w:val="nil"/>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81</w:t>
            </w:r>
          </w:p>
        </w:tc>
        <w:tc>
          <w:tcPr>
            <w:tcW w:w="1350" w:type="dxa"/>
            <w:tcBorders>
              <w:top w:val="nil"/>
              <w:left w:val="nil"/>
              <w:bottom w:val="nil"/>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81</w:t>
            </w:r>
          </w:p>
        </w:tc>
        <w:tc>
          <w:tcPr>
            <w:tcW w:w="1440" w:type="dxa"/>
            <w:tcBorders>
              <w:top w:val="nil"/>
              <w:left w:val="nil"/>
              <w:bottom w:val="nil"/>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61</w:t>
            </w:r>
          </w:p>
        </w:tc>
        <w:tc>
          <w:tcPr>
            <w:tcW w:w="1391" w:type="dxa"/>
            <w:tcBorders>
              <w:top w:val="nil"/>
              <w:left w:val="nil"/>
              <w:bottom w:val="nil"/>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61</w:t>
            </w:r>
          </w:p>
        </w:tc>
      </w:tr>
      <w:tr w:rsidR="0084640D" w:rsidRPr="0084640D">
        <w:trPr>
          <w:trHeight w:val="326"/>
        </w:trPr>
        <w:tc>
          <w:tcPr>
            <w:tcW w:w="4269" w:type="dxa"/>
            <w:tcBorders>
              <w:top w:val="nil"/>
              <w:left w:val="single" w:sz="8" w:space="0" w:color="auto"/>
              <w:bottom w:val="dashed" w:sz="8" w:space="0" w:color="auto"/>
              <w:right w:val="single" w:sz="8" w:space="0" w:color="auto"/>
            </w:tcBorders>
            <w:noWrap/>
            <w:tcMar>
              <w:top w:w="0" w:type="dxa"/>
              <w:left w:w="108" w:type="dxa"/>
              <w:bottom w:w="0" w:type="dxa"/>
              <w:right w:w="108" w:type="dxa"/>
            </w:tcMar>
            <w:vAlign w:val="bottom"/>
          </w:tcPr>
          <w:p w:rsidR="0084640D" w:rsidRPr="0084640D" w:rsidRDefault="0084640D">
            <w:pPr>
              <w:rPr>
                <w:color w:val="1F497D"/>
                <w:sz w:val="24"/>
                <w:szCs w:val="24"/>
              </w:rPr>
            </w:pPr>
            <w:r w:rsidRPr="0084640D">
              <w:rPr>
                <w:color w:val="1F497D"/>
                <w:sz w:val="24"/>
                <w:szCs w:val="24"/>
              </w:rPr>
              <w:t>Total ECDs</w:t>
            </w:r>
          </w:p>
        </w:tc>
        <w:tc>
          <w:tcPr>
            <w:tcW w:w="1080" w:type="dxa"/>
            <w:tcBorders>
              <w:top w:val="nil"/>
              <w:left w:val="nil"/>
              <w:bottom w:val="dashed" w:sz="8" w:space="0" w:color="auto"/>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3,280</w:t>
            </w:r>
          </w:p>
        </w:tc>
        <w:tc>
          <w:tcPr>
            <w:tcW w:w="1350" w:type="dxa"/>
            <w:tcBorders>
              <w:top w:val="nil"/>
              <w:left w:val="nil"/>
              <w:bottom w:val="dashed" w:sz="8" w:space="0" w:color="auto"/>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2,460</w:t>
            </w:r>
          </w:p>
        </w:tc>
        <w:tc>
          <w:tcPr>
            <w:tcW w:w="1440" w:type="dxa"/>
            <w:tcBorders>
              <w:top w:val="nil"/>
              <w:left w:val="nil"/>
              <w:bottom w:val="dashed" w:sz="8" w:space="0" w:color="auto"/>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2,480</w:t>
            </w:r>
          </w:p>
        </w:tc>
        <w:tc>
          <w:tcPr>
            <w:tcW w:w="1391" w:type="dxa"/>
            <w:tcBorders>
              <w:top w:val="nil"/>
              <w:left w:val="nil"/>
              <w:bottom w:val="dashed" w:sz="8" w:space="0" w:color="auto"/>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1,860</w:t>
            </w:r>
          </w:p>
        </w:tc>
      </w:tr>
      <w:tr w:rsidR="0084640D" w:rsidRPr="0084640D">
        <w:trPr>
          <w:trHeight w:val="294"/>
        </w:trPr>
        <w:tc>
          <w:tcPr>
            <w:tcW w:w="4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4640D" w:rsidRPr="0084640D" w:rsidRDefault="0084640D">
            <w:pPr>
              <w:rPr>
                <w:color w:val="1F497D"/>
                <w:sz w:val="24"/>
                <w:szCs w:val="24"/>
              </w:rPr>
            </w:pPr>
            <w:r w:rsidRPr="0084640D">
              <w:rPr>
                <w:color w:val="1F497D"/>
                <w:sz w:val="24"/>
                <w:szCs w:val="24"/>
              </w:rPr>
              <w:t>Detectable Difference in Response Rates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5.0%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5.5%</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5.5%</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4640D" w:rsidRPr="0084640D" w:rsidRDefault="0084640D">
            <w:pPr>
              <w:jc w:val="right"/>
              <w:rPr>
                <w:color w:val="1F497D"/>
                <w:sz w:val="24"/>
                <w:szCs w:val="24"/>
              </w:rPr>
            </w:pPr>
            <w:r w:rsidRPr="0084640D">
              <w:rPr>
                <w:color w:val="1F497D"/>
                <w:sz w:val="24"/>
                <w:szCs w:val="24"/>
              </w:rPr>
              <w:t>6.0%</w:t>
            </w:r>
          </w:p>
        </w:tc>
      </w:tr>
    </w:tbl>
    <w:p w:rsidR="0084640D" w:rsidRPr="0084640D" w:rsidRDefault="0084640D" w:rsidP="0084640D">
      <w:pPr>
        <w:pStyle w:val="ListParagraph"/>
        <w:ind w:left="360"/>
        <w:rPr>
          <w:sz w:val="24"/>
          <w:szCs w:val="24"/>
        </w:rPr>
      </w:pPr>
    </w:p>
    <w:p w:rsidR="0017070B" w:rsidRDefault="0023759C">
      <w:pPr>
        <w:rPr>
          <w:sz w:val="24"/>
          <w:szCs w:val="24"/>
        </w:rPr>
      </w:pPr>
      <w:r>
        <w:rPr>
          <w:noProof/>
          <w:szCs w:val="24"/>
        </w:rPr>
        <w:drawing>
          <wp:inline distT="0" distB="0" distL="0" distR="0">
            <wp:extent cx="5943600" cy="35017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3501733"/>
                    </a:xfrm>
                    <a:prstGeom prst="rect">
                      <a:avLst/>
                    </a:prstGeom>
                    <a:noFill/>
                    <a:ln w="9525">
                      <a:noFill/>
                      <a:miter lim="800000"/>
                      <a:headEnd/>
                      <a:tailEnd/>
                    </a:ln>
                  </pic:spPr>
                </pic:pic>
              </a:graphicData>
            </a:graphic>
          </wp:inline>
        </w:drawing>
      </w:r>
    </w:p>
    <w:p w:rsidR="00293A48" w:rsidRPr="0084640D" w:rsidRDefault="00293A48" w:rsidP="00293A48">
      <w:pPr>
        <w:pStyle w:val="ListParagraph"/>
        <w:numPr>
          <w:ilvl w:val="0"/>
          <w:numId w:val="1"/>
        </w:numPr>
        <w:rPr>
          <w:sz w:val="24"/>
          <w:szCs w:val="24"/>
        </w:rPr>
      </w:pPr>
      <w:r w:rsidRPr="0084640D">
        <w:rPr>
          <w:sz w:val="24"/>
          <w:szCs w:val="24"/>
        </w:rPr>
        <w:t xml:space="preserve">Attachments A.8 – Initial and A.9:  Whose </w:t>
      </w:r>
      <w:r w:rsidR="00F22B2C">
        <w:rPr>
          <w:sz w:val="24"/>
          <w:szCs w:val="24"/>
        </w:rPr>
        <w:t>email</w:t>
      </w:r>
      <w:r w:rsidRPr="0084640D">
        <w:rPr>
          <w:sz w:val="24"/>
          <w:szCs w:val="24"/>
        </w:rPr>
        <w:t xml:space="preserve"> (HA or RTI) will be show</w:t>
      </w:r>
      <w:r w:rsidR="00F22B2C">
        <w:rPr>
          <w:sz w:val="24"/>
          <w:szCs w:val="24"/>
        </w:rPr>
        <w:t>n</w:t>
      </w:r>
      <w:r w:rsidRPr="0084640D">
        <w:rPr>
          <w:sz w:val="24"/>
          <w:szCs w:val="24"/>
        </w:rPr>
        <w:t xml:space="preserve"> to respondents in the initial and final appeal e</w:t>
      </w:r>
      <w:r w:rsidR="00512164">
        <w:rPr>
          <w:sz w:val="24"/>
          <w:szCs w:val="24"/>
        </w:rPr>
        <w:t>-</w:t>
      </w:r>
      <w:r w:rsidRPr="0084640D">
        <w:rPr>
          <w:sz w:val="24"/>
          <w:szCs w:val="24"/>
        </w:rPr>
        <w:t xml:space="preserve">mails from the institutional HA?  </w:t>
      </w:r>
    </w:p>
    <w:p w:rsidR="00293A48" w:rsidRPr="0084640D" w:rsidRDefault="00293A48" w:rsidP="00293A48">
      <w:pPr>
        <w:pStyle w:val="ListParagraph"/>
        <w:ind w:left="360"/>
        <w:rPr>
          <w:sz w:val="24"/>
          <w:szCs w:val="24"/>
        </w:rPr>
      </w:pPr>
    </w:p>
    <w:p w:rsidR="00293A48" w:rsidRPr="00661080" w:rsidRDefault="00293A48" w:rsidP="00293A48">
      <w:pPr>
        <w:pStyle w:val="ListParagraph"/>
        <w:ind w:left="360"/>
        <w:rPr>
          <w:color w:val="1F497D" w:themeColor="text2"/>
          <w:sz w:val="24"/>
          <w:szCs w:val="24"/>
        </w:rPr>
      </w:pPr>
      <w:r w:rsidRPr="00661080">
        <w:rPr>
          <w:color w:val="1F497D" w:themeColor="text2"/>
          <w:sz w:val="24"/>
          <w:szCs w:val="24"/>
        </w:rPr>
        <w:t>Both the initial and final appeal e</w:t>
      </w:r>
      <w:r w:rsidR="00512164">
        <w:rPr>
          <w:color w:val="1F497D" w:themeColor="text2"/>
          <w:sz w:val="24"/>
          <w:szCs w:val="24"/>
        </w:rPr>
        <w:t>-</w:t>
      </w:r>
      <w:r w:rsidRPr="00661080">
        <w:rPr>
          <w:color w:val="1F497D" w:themeColor="text2"/>
          <w:sz w:val="24"/>
          <w:szCs w:val="24"/>
        </w:rPr>
        <w:t xml:space="preserve">mails to the respondents (ECDs) will come from the institutional HA.  So the ECDs will see the </w:t>
      </w:r>
      <w:r w:rsidR="00F22B2C">
        <w:rPr>
          <w:color w:val="1F497D" w:themeColor="text2"/>
          <w:sz w:val="24"/>
          <w:szCs w:val="24"/>
        </w:rPr>
        <w:t>e</w:t>
      </w:r>
      <w:r w:rsidR="00512164">
        <w:rPr>
          <w:color w:val="1F497D" w:themeColor="text2"/>
          <w:sz w:val="24"/>
          <w:szCs w:val="24"/>
        </w:rPr>
        <w:t>-</w:t>
      </w:r>
      <w:r w:rsidR="00F22B2C">
        <w:rPr>
          <w:color w:val="1F497D" w:themeColor="text2"/>
          <w:sz w:val="24"/>
          <w:szCs w:val="24"/>
        </w:rPr>
        <w:t xml:space="preserve">mail address from </w:t>
      </w:r>
      <w:r w:rsidRPr="00661080">
        <w:rPr>
          <w:color w:val="1F497D" w:themeColor="text2"/>
          <w:sz w:val="24"/>
          <w:szCs w:val="24"/>
        </w:rPr>
        <w:t>the institution.</w:t>
      </w:r>
    </w:p>
    <w:p w:rsidR="0084640D" w:rsidRDefault="0084640D" w:rsidP="0084640D">
      <w:pPr>
        <w:pStyle w:val="ListParagraph"/>
        <w:ind w:left="360"/>
        <w:rPr>
          <w:sz w:val="24"/>
          <w:szCs w:val="24"/>
        </w:rPr>
      </w:pPr>
    </w:p>
    <w:p w:rsidR="00661080" w:rsidRDefault="00B05DEA" w:rsidP="0084640D">
      <w:pPr>
        <w:pStyle w:val="ListParagraph"/>
        <w:numPr>
          <w:ilvl w:val="0"/>
          <w:numId w:val="1"/>
        </w:numPr>
        <w:rPr>
          <w:sz w:val="24"/>
          <w:szCs w:val="24"/>
        </w:rPr>
      </w:pPr>
      <w:r>
        <w:rPr>
          <w:sz w:val="24"/>
          <w:szCs w:val="24"/>
        </w:rPr>
        <w:t xml:space="preserve">Check on how non-respondents will be contacted in the final appeal from the institution HA.  </w:t>
      </w:r>
      <w:r w:rsidR="00661080">
        <w:rPr>
          <w:sz w:val="24"/>
          <w:szCs w:val="24"/>
        </w:rPr>
        <w:t>Will NSF be providing a list of the non-respondents to the institutions?</w:t>
      </w:r>
    </w:p>
    <w:p w:rsidR="00661080" w:rsidRDefault="00661080" w:rsidP="00661080">
      <w:pPr>
        <w:pStyle w:val="ListParagraph"/>
        <w:ind w:left="360"/>
        <w:rPr>
          <w:sz w:val="24"/>
          <w:szCs w:val="24"/>
        </w:rPr>
      </w:pPr>
    </w:p>
    <w:p w:rsidR="00293A48" w:rsidRPr="00661080" w:rsidRDefault="00661080" w:rsidP="00661080">
      <w:pPr>
        <w:pStyle w:val="ListParagraph"/>
        <w:ind w:left="360"/>
        <w:rPr>
          <w:color w:val="1F497D" w:themeColor="text2"/>
          <w:sz w:val="24"/>
          <w:szCs w:val="24"/>
        </w:rPr>
      </w:pPr>
      <w:r w:rsidRPr="00661080">
        <w:rPr>
          <w:color w:val="1F497D" w:themeColor="text2"/>
          <w:sz w:val="24"/>
          <w:szCs w:val="24"/>
        </w:rPr>
        <w:t>We considered providing the list of non-respondents to the institutions, but decided that due to confidentiality concerns, it would be better to ask each institution to send the final appeal message to each respondent.  The final appeal e-mail will be revised such that the second sentence in the first paragraph (Attachment B.6 ECD</w:t>
      </w:r>
      <w:r w:rsidR="0084640D" w:rsidRPr="00661080">
        <w:rPr>
          <w:color w:val="1F497D" w:themeColor="text2"/>
          <w:sz w:val="24"/>
          <w:szCs w:val="24"/>
        </w:rPr>
        <w:t xml:space="preserve"> Contact Final Appeal E-mail – HA Group</w:t>
      </w:r>
      <w:r w:rsidRPr="00661080">
        <w:rPr>
          <w:color w:val="1F497D" w:themeColor="text2"/>
          <w:sz w:val="24"/>
          <w:szCs w:val="24"/>
        </w:rPr>
        <w:t>) will be replaced with:  “If you have already responded to this survey, thank you.  If you have not yet responded, I urge you to do so now.”</w:t>
      </w:r>
    </w:p>
    <w:p w:rsidR="00661080" w:rsidRPr="00BE039B" w:rsidRDefault="00661080" w:rsidP="00661080">
      <w:pPr>
        <w:pStyle w:val="ListParagraph"/>
        <w:ind w:left="360"/>
        <w:rPr>
          <w:sz w:val="24"/>
          <w:szCs w:val="24"/>
        </w:rPr>
      </w:pPr>
    </w:p>
    <w:p w:rsidR="00BE039B" w:rsidRDefault="00BE039B" w:rsidP="00661080">
      <w:pPr>
        <w:pStyle w:val="ListParagraph"/>
        <w:ind w:left="360"/>
        <w:rPr>
          <w:color w:val="1F497D"/>
          <w:sz w:val="24"/>
          <w:szCs w:val="24"/>
        </w:rPr>
      </w:pPr>
      <w:r w:rsidRPr="00BE039B">
        <w:rPr>
          <w:color w:val="1F497D"/>
          <w:sz w:val="24"/>
          <w:szCs w:val="24"/>
        </w:rPr>
        <w:t>The estimated stage 2 burden of one hour per HA or designee reflects half-an-hour each to send 40 emails for the initial notification and for the final appeal.  We believe this is a good estimate of the burden as we have developed a tool that will automatically generate each component of the email</w:t>
      </w:r>
      <w:r>
        <w:rPr>
          <w:color w:val="1F497D"/>
          <w:sz w:val="24"/>
          <w:szCs w:val="24"/>
        </w:rPr>
        <w:t>.</w:t>
      </w:r>
    </w:p>
    <w:p w:rsidR="006F20F3" w:rsidRPr="00BE039B" w:rsidRDefault="006F20F3" w:rsidP="00661080">
      <w:pPr>
        <w:pStyle w:val="ListParagraph"/>
        <w:ind w:left="360"/>
        <w:rPr>
          <w:sz w:val="24"/>
          <w:szCs w:val="24"/>
        </w:rPr>
      </w:pPr>
    </w:p>
    <w:p w:rsidR="00661080" w:rsidRDefault="00661080" w:rsidP="00661080">
      <w:pPr>
        <w:pStyle w:val="ListParagraph"/>
        <w:numPr>
          <w:ilvl w:val="0"/>
          <w:numId w:val="1"/>
        </w:numPr>
        <w:rPr>
          <w:sz w:val="24"/>
          <w:szCs w:val="24"/>
        </w:rPr>
      </w:pPr>
      <w:r>
        <w:rPr>
          <w:sz w:val="24"/>
          <w:szCs w:val="24"/>
        </w:rPr>
        <w:t xml:space="preserve">Check to make sure that all burden estimates are included in the total burden estimates.  </w:t>
      </w:r>
    </w:p>
    <w:p w:rsidR="00661080" w:rsidRDefault="00661080" w:rsidP="00661080">
      <w:pPr>
        <w:pStyle w:val="ListParagraph"/>
        <w:ind w:left="360"/>
        <w:rPr>
          <w:sz w:val="24"/>
          <w:szCs w:val="24"/>
        </w:rPr>
      </w:pPr>
    </w:p>
    <w:p w:rsidR="00661080" w:rsidRDefault="00661080" w:rsidP="00661080">
      <w:pPr>
        <w:pStyle w:val="ListParagraph"/>
        <w:ind w:left="360"/>
        <w:rPr>
          <w:color w:val="1F497D" w:themeColor="text2"/>
          <w:sz w:val="24"/>
          <w:szCs w:val="24"/>
        </w:rPr>
      </w:pPr>
      <w:r>
        <w:rPr>
          <w:color w:val="1F497D" w:themeColor="text2"/>
          <w:sz w:val="24"/>
          <w:szCs w:val="24"/>
        </w:rPr>
        <w:t>All burden estimates have been included in the calculation of the total burden estimates of 1,754 as shown on Table 2 of the OMB cover memo.</w:t>
      </w:r>
    </w:p>
    <w:p w:rsidR="00B01F83" w:rsidRDefault="00661080" w:rsidP="00B01F83">
      <w:pPr>
        <w:pStyle w:val="ListParagraph"/>
        <w:numPr>
          <w:ilvl w:val="0"/>
          <w:numId w:val="1"/>
        </w:numPr>
        <w:rPr>
          <w:sz w:val="24"/>
          <w:szCs w:val="24"/>
        </w:rPr>
      </w:pPr>
      <w:r w:rsidRPr="00B01F83">
        <w:rPr>
          <w:sz w:val="24"/>
          <w:szCs w:val="24"/>
        </w:rPr>
        <w:t>We need to include the boilerplate language from the NCSES’ generic clearance authorization (OMB control number and expiration date)</w:t>
      </w:r>
      <w:r w:rsidR="00B01F83" w:rsidRPr="00B01F83">
        <w:rPr>
          <w:sz w:val="24"/>
          <w:szCs w:val="24"/>
        </w:rPr>
        <w:t xml:space="preserve"> and its appropriate burden hour estimate</w:t>
      </w:r>
      <w:r w:rsidRPr="00B01F83">
        <w:rPr>
          <w:sz w:val="24"/>
          <w:szCs w:val="24"/>
        </w:rPr>
        <w:t xml:space="preserve">.  This must be included on the </w:t>
      </w:r>
      <w:r w:rsidR="00B01F83" w:rsidRPr="00B01F83">
        <w:rPr>
          <w:sz w:val="24"/>
          <w:szCs w:val="24"/>
        </w:rPr>
        <w:t>(1) participation agreement form (Attachment A.1), (2) list of data elements and description (Attachment A.4); and</w:t>
      </w:r>
      <w:r w:rsidR="00B01F83">
        <w:rPr>
          <w:sz w:val="24"/>
          <w:szCs w:val="24"/>
        </w:rPr>
        <w:t xml:space="preserve"> </w:t>
      </w:r>
      <w:r w:rsidRPr="00B01F83">
        <w:rPr>
          <w:sz w:val="24"/>
          <w:szCs w:val="24"/>
        </w:rPr>
        <w:t>(</w:t>
      </w:r>
      <w:r w:rsidR="00B01F83">
        <w:rPr>
          <w:sz w:val="24"/>
          <w:szCs w:val="24"/>
        </w:rPr>
        <w:t>3</w:t>
      </w:r>
      <w:r w:rsidRPr="00B01F83">
        <w:rPr>
          <w:sz w:val="24"/>
          <w:szCs w:val="24"/>
        </w:rPr>
        <w:t>) web questionnaire (questionnaire specs)</w:t>
      </w:r>
      <w:r w:rsidR="00B01F83">
        <w:rPr>
          <w:sz w:val="24"/>
          <w:szCs w:val="24"/>
        </w:rPr>
        <w:t>.</w:t>
      </w:r>
    </w:p>
    <w:p w:rsidR="00B01F83" w:rsidRPr="00B01F83" w:rsidRDefault="00B01F83" w:rsidP="00B01F83">
      <w:pPr>
        <w:pStyle w:val="ListParagraph"/>
        <w:ind w:left="360"/>
        <w:rPr>
          <w:sz w:val="24"/>
          <w:szCs w:val="24"/>
        </w:rPr>
      </w:pPr>
    </w:p>
    <w:p w:rsidR="00B01F83" w:rsidRDefault="00B01F83" w:rsidP="00B01F83">
      <w:pPr>
        <w:pStyle w:val="ListParagraph"/>
        <w:spacing w:after="0"/>
        <w:ind w:left="360"/>
        <w:rPr>
          <w:sz w:val="24"/>
          <w:szCs w:val="24"/>
        </w:rPr>
      </w:pPr>
      <w:r>
        <w:rPr>
          <w:sz w:val="24"/>
          <w:szCs w:val="24"/>
        </w:rPr>
        <w:t xml:space="preserve">Boilerplate language:  </w:t>
      </w:r>
    </w:p>
    <w:p w:rsidR="00B01F83" w:rsidRDefault="00B01F83" w:rsidP="00B01F83">
      <w:pPr>
        <w:ind w:left="360"/>
        <w:rPr>
          <w:color w:val="1F497D" w:themeColor="text2"/>
          <w:sz w:val="24"/>
          <w:szCs w:val="24"/>
        </w:rPr>
      </w:pPr>
      <w:r w:rsidRPr="00B01F83">
        <w:rPr>
          <w:color w:val="1F497D" w:themeColor="text2"/>
          <w:sz w:val="24"/>
          <w:szCs w:val="24"/>
        </w:rPr>
        <w:t xml:space="preserve">Pursuant to 5 CFR 1320.5(b), an agency may not conduct or sponsor, and a person is not required to respond to an information collection unless it displays a valid OMB control number.  The OMB control number for this collection is 3145-0174 (Exp. 5/31/2013).  Public reporting burden for this collection of information is estimated to average </w:t>
      </w:r>
      <w:r w:rsidRPr="00512164">
        <w:rPr>
          <w:color w:val="1F497D" w:themeColor="text2"/>
          <w:sz w:val="24"/>
          <w:szCs w:val="24"/>
          <w:highlight w:val="yellow"/>
        </w:rPr>
        <w:t xml:space="preserve">xx minutes/hours </w:t>
      </w:r>
      <w:r w:rsidR="00512164">
        <w:rPr>
          <w:color w:val="1F497D" w:themeColor="text2"/>
          <w:sz w:val="24"/>
          <w:szCs w:val="24"/>
        </w:rPr>
        <w:t>[</w:t>
      </w:r>
      <w:r w:rsidR="00512164" w:rsidRPr="00512164">
        <w:rPr>
          <w:color w:val="1F497D" w:themeColor="text2"/>
          <w:sz w:val="24"/>
          <w:szCs w:val="24"/>
          <w:highlight w:val="yellow"/>
        </w:rPr>
        <w:t>NOTE:  see attachment</w:t>
      </w:r>
      <w:r w:rsidR="00EF2FE0">
        <w:rPr>
          <w:color w:val="1F497D" w:themeColor="text2"/>
          <w:sz w:val="24"/>
          <w:szCs w:val="24"/>
          <w:highlight w:val="yellow"/>
        </w:rPr>
        <w:t>s</w:t>
      </w:r>
      <w:r w:rsidR="00512164" w:rsidRPr="00512164">
        <w:rPr>
          <w:color w:val="1F497D" w:themeColor="text2"/>
          <w:sz w:val="24"/>
          <w:szCs w:val="24"/>
          <w:highlight w:val="yellow"/>
        </w:rPr>
        <w:t xml:space="preserve"> and below for specifics</w:t>
      </w:r>
      <w:r w:rsidR="00512164">
        <w:rPr>
          <w:color w:val="1F497D" w:themeColor="text2"/>
          <w:sz w:val="24"/>
          <w:szCs w:val="24"/>
        </w:rPr>
        <w:t xml:space="preserve">] </w:t>
      </w:r>
      <w:r w:rsidRPr="00B01F83">
        <w:rPr>
          <w:color w:val="1F497D" w:themeColor="text2"/>
          <w:sz w:val="24"/>
          <w:szCs w:val="24"/>
        </w:rPr>
        <w:t>per response, including the time for reviewing instructions.  Send comments regarding this burden estimate and any other aspect of this collection of information, including suggestions for reducing this burden, to:  Suzanne Plimpton, Reports Clearance Officer, Facilities and Operations Branch, Division of Administrative Services, National Science Foundation, Arlington, VA  22230.</w:t>
      </w:r>
    </w:p>
    <w:p w:rsidR="00512164" w:rsidRDefault="00512164" w:rsidP="00512164">
      <w:pPr>
        <w:pStyle w:val="ListParagraph"/>
        <w:rPr>
          <w:color w:val="1F497D" w:themeColor="text2"/>
          <w:sz w:val="24"/>
          <w:szCs w:val="24"/>
        </w:rPr>
      </w:pPr>
      <w:r>
        <w:rPr>
          <w:color w:val="1F497D" w:themeColor="text2"/>
          <w:sz w:val="24"/>
          <w:szCs w:val="24"/>
        </w:rPr>
        <w:t>Note for each of the attachments requiring this boilerplate language we indicated the estimate time required in the respective attachment and provided a brief detail as follow:</w:t>
      </w:r>
      <w:r w:rsidDel="00512164">
        <w:rPr>
          <w:color w:val="1F497D" w:themeColor="text2"/>
          <w:sz w:val="24"/>
          <w:szCs w:val="24"/>
        </w:rPr>
        <w:t xml:space="preserve"> </w:t>
      </w:r>
    </w:p>
    <w:p w:rsidR="00B01F83" w:rsidRDefault="00B01F83" w:rsidP="00512164">
      <w:pPr>
        <w:pStyle w:val="ListParagraph"/>
        <w:numPr>
          <w:ilvl w:val="0"/>
          <w:numId w:val="4"/>
        </w:numPr>
        <w:rPr>
          <w:color w:val="1F497D" w:themeColor="text2"/>
          <w:sz w:val="24"/>
          <w:szCs w:val="24"/>
        </w:rPr>
      </w:pPr>
      <w:r>
        <w:rPr>
          <w:color w:val="1F497D" w:themeColor="text2"/>
          <w:sz w:val="24"/>
          <w:szCs w:val="24"/>
        </w:rPr>
        <w:t>Attachment A.1 – Study Participation Form (page 5 and 7 of attachment A) with an estimate time of 1 hour.</w:t>
      </w:r>
    </w:p>
    <w:p w:rsidR="00B01F83" w:rsidRDefault="00B01F83" w:rsidP="00B01F83">
      <w:pPr>
        <w:pStyle w:val="ListParagraph"/>
        <w:numPr>
          <w:ilvl w:val="0"/>
          <w:numId w:val="4"/>
        </w:numPr>
        <w:rPr>
          <w:color w:val="1F497D" w:themeColor="text2"/>
          <w:sz w:val="24"/>
          <w:szCs w:val="24"/>
        </w:rPr>
      </w:pPr>
      <w:r>
        <w:rPr>
          <w:color w:val="1F497D" w:themeColor="text2"/>
          <w:sz w:val="24"/>
          <w:szCs w:val="24"/>
        </w:rPr>
        <w:t>Attachment A.4 – Description of Data Field (page 17 of attachment A) with an estimate time of 6 hours.</w:t>
      </w:r>
    </w:p>
    <w:p w:rsidR="00B01F83" w:rsidRDefault="00B01F83" w:rsidP="00B01F83">
      <w:pPr>
        <w:pStyle w:val="ListParagraph"/>
        <w:numPr>
          <w:ilvl w:val="0"/>
          <w:numId w:val="4"/>
        </w:numPr>
        <w:rPr>
          <w:color w:val="1F497D" w:themeColor="text2"/>
          <w:sz w:val="24"/>
          <w:szCs w:val="24"/>
        </w:rPr>
      </w:pPr>
      <w:r>
        <w:rPr>
          <w:color w:val="1F497D" w:themeColor="text2"/>
          <w:sz w:val="24"/>
          <w:szCs w:val="24"/>
        </w:rPr>
        <w:t>Attachment C – ECD Questionnaire Specs (page 2 of attachment C) with an estimate time of 30 minutes.</w:t>
      </w:r>
    </w:p>
    <w:p w:rsidR="00661080" w:rsidRDefault="00661080" w:rsidP="00661080">
      <w:pPr>
        <w:pStyle w:val="ListParagraph"/>
        <w:ind w:left="360"/>
        <w:rPr>
          <w:sz w:val="24"/>
          <w:szCs w:val="24"/>
        </w:rPr>
      </w:pPr>
    </w:p>
    <w:p w:rsidR="00B05DEA" w:rsidRDefault="00B01F83" w:rsidP="00661080">
      <w:pPr>
        <w:pStyle w:val="ListParagraph"/>
        <w:numPr>
          <w:ilvl w:val="0"/>
          <w:numId w:val="1"/>
        </w:numPr>
        <w:rPr>
          <w:sz w:val="24"/>
          <w:szCs w:val="24"/>
        </w:rPr>
      </w:pPr>
      <w:r w:rsidRPr="00B05DEA">
        <w:rPr>
          <w:sz w:val="24"/>
          <w:szCs w:val="24"/>
        </w:rPr>
        <w:t>Race question and response option</w:t>
      </w:r>
      <w:r w:rsidR="00B05DEA" w:rsidRPr="00B05DEA">
        <w:rPr>
          <w:sz w:val="24"/>
          <w:szCs w:val="24"/>
        </w:rPr>
        <w:t xml:space="preserve"> in Q6.o is not acceptable category and should be deleted.</w:t>
      </w:r>
    </w:p>
    <w:p w:rsidR="00661080" w:rsidRDefault="00661080" w:rsidP="00B05DEA">
      <w:pPr>
        <w:pStyle w:val="ListParagraph"/>
        <w:ind w:left="360"/>
        <w:rPr>
          <w:sz w:val="24"/>
          <w:szCs w:val="24"/>
        </w:rPr>
      </w:pPr>
    </w:p>
    <w:p w:rsidR="00B05DEA" w:rsidRDefault="00B05DEA" w:rsidP="00B05DEA">
      <w:pPr>
        <w:pStyle w:val="ListParagraph"/>
        <w:ind w:left="360"/>
        <w:rPr>
          <w:color w:val="1F497D" w:themeColor="text2"/>
          <w:sz w:val="24"/>
          <w:szCs w:val="24"/>
        </w:rPr>
      </w:pPr>
      <w:r w:rsidRPr="00B05DEA">
        <w:rPr>
          <w:color w:val="1F497D" w:themeColor="text2"/>
          <w:sz w:val="24"/>
          <w:szCs w:val="24"/>
        </w:rPr>
        <w:t>The following were deleted and the corrections are reflected on page 63 of Attachment C – ECD Questionnaire Specs:</w:t>
      </w:r>
    </w:p>
    <w:p w:rsidR="00B05DEA" w:rsidRPr="00B05DEA" w:rsidRDefault="00B05DEA" w:rsidP="006875D7">
      <w:pPr>
        <w:pStyle w:val="ListParagraph"/>
        <w:numPr>
          <w:ilvl w:val="0"/>
          <w:numId w:val="5"/>
        </w:numPr>
        <w:rPr>
          <w:color w:val="1F497D" w:themeColor="text2"/>
          <w:sz w:val="24"/>
          <w:szCs w:val="24"/>
        </w:rPr>
      </w:pPr>
      <w:r w:rsidRPr="00B05DEA">
        <w:rPr>
          <w:color w:val="1F497D" w:themeColor="text2"/>
          <w:sz w:val="24"/>
          <w:szCs w:val="24"/>
        </w:rPr>
        <w:t>Deleted:  Item Q6.o (Item wordings:  Some other race)</w:t>
      </w:r>
    </w:p>
    <w:p w:rsidR="00B05DEA" w:rsidRPr="00B05DEA" w:rsidRDefault="00B05DEA" w:rsidP="006875D7">
      <w:pPr>
        <w:pStyle w:val="ListParagraph"/>
        <w:numPr>
          <w:ilvl w:val="0"/>
          <w:numId w:val="5"/>
        </w:numPr>
        <w:rPr>
          <w:color w:val="1F497D" w:themeColor="text2"/>
          <w:sz w:val="24"/>
          <w:szCs w:val="24"/>
        </w:rPr>
      </w:pPr>
      <w:r w:rsidRPr="00B05DEA">
        <w:rPr>
          <w:color w:val="1F497D" w:themeColor="text2"/>
          <w:sz w:val="24"/>
          <w:szCs w:val="24"/>
        </w:rPr>
        <w:t>Deleted:  Item Q6.o_OTHER (Item wordings:  Please specify:)</w:t>
      </w:r>
    </w:p>
    <w:p w:rsidR="00B05DEA" w:rsidRDefault="00B05DEA" w:rsidP="006875D7">
      <w:pPr>
        <w:rPr>
          <w:sz w:val="24"/>
          <w:szCs w:val="24"/>
        </w:rPr>
      </w:pPr>
    </w:p>
    <w:p w:rsidR="006875D7" w:rsidRPr="006875D7" w:rsidRDefault="006875D7" w:rsidP="006875D7">
      <w:pPr>
        <w:rPr>
          <w:sz w:val="24"/>
          <w:szCs w:val="24"/>
        </w:rPr>
      </w:pPr>
    </w:p>
    <w:p w:rsidR="0084640D" w:rsidRPr="0084640D" w:rsidRDefault="0084640D" w:rsidP="0084640D">
      <w:pPr>
        <w:ind w:left="360"/>
        <w:rPr>
          <w:sz w:val="24"/>
          <w:szCs w:val="24"/>
        </w:rPr>
      </w:pPr>
    </w:p>
    <w:sectPr w:rsidR="0084640D" w:rsidRPr="0084640D" w:rsidSect="00937F2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C38E7"/>
    <w:multiLevelType w:val="hybridMultilevel"/>
    <w:tmpl w:val="40429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40E6A"/>
    <w:multiLevelType w:val="hybridMultilevel"/>
    <w:tmpl w:val="3304A0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4414EF7"/>
    <w:multiLevelType w:val="hybridMultilevel"/>
    <w:tmpl w:val="1062DD54"/>
    <w:lvl w:ilvl="0" w:tplc="654ECCE6">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E45840"/>
    <w:multiLevelType w:val="hybridMultilevel"/>
    <w:tmpl w:val="6EC4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3D7197"/>
    <w:multiLevelType w:val="hybridMultilevel"/>
    <w:tmpl w:val="06D0C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trackRevisions/>
  <w:doNotTrackMoves/>
  <w:defaultTabStop w:val="720"/>
  <w:characterSpacingControl w:val="doNotCompress"/>
  <w:compat/>
  <w:rsids>
    <w:rsidRoot w:val="00293A48"/>
    <w:rsid w:val="00002CC4"/>
    <w:rsid w:val="000B6679"/>
    <w:rsid w:val="000F7E9F"/>
    <w:rsid w:val="0017070B"/>
    <w:rsid w:val="0023759C"/>
    <w:rsid w:val="00243982"/>
    <w:rsid w:val="00293A48"/>
    <w:rsid w:val="00306BF6"/>
    <w:rsid w:val="003E7D92"/>
    <w:rsid w:val="00411C03"/>
    <w:rsid w:val="004D1B85"/>
    <w:rsid w:val="00512164"/>
    <w:rsid w:val="00661080"/>
    <w:rsid w:val="00675E9B"/>
    <w:rsid w:val="006875D7"/>
    <w:rsid w:val="006F20F3"/>
    <w:rsid w:val="007C500E"/>
    <w:rsid w:val="008126A8"/>
    <w:rsid w:val="0084640D"/>
    <w:rsid w:val="008F1A09"/>
    <w:rsid w:val="00931D57"/>
    <w:rsid w:val="00937F25"/>
    <w:rsid w:val="00947FF7"/>
    <w:rsid w:val="00950BC9"/>
    <w:rsid w:val="00982C12"/>
    <w:rsid w:val="00AE31F4"/>
    <w:rsid w:val="00B01F83"/>
    <w:rsid w:val="00B05DEA"/>
    <w:rsid w:val="00B74355"/>
    <w:rsid w:val="00BE039B"/>
    <w:rsid w:val="00C2775D"/>
    <w:rsid w:val="00C42A54"/>
    <w:rsid w:val="00C615B8"/>
    <w:rsid w:val="00CD1667"/>
    <w:rsid w:val="00CF1838"/>
    <w:rsid w:val="00DB4403"/>
    <w:rsid w:val="00E267A9"/>
    <w:rsid w:val="00E33047"/>
    <w:rsid w:val="00E5335A"/>
    <w:rsid w:val="00E65814"/>
    <w:rsid w:val="00EA5C2A"/>
    <w:rsid w:val="00EF2FE0"/>
    <w:rsid w:val="00F22B2C"/>
    <w:rsid w:val="00F84420"/>
  </w:rsids>
  <m:mathPr>
    <m:mathFont m:val="Consolas"/>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2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93A48"/>
    <w:pPr>
      <w:ind w:left="720"/>
      <w:contextualSpacing/>
    </w:pPr>
  </w:style>
  <w:style w:type="paragraph" w:styleId="BalloonText">
    <w:name w:val="Balloon Text"/>
    <w:basedOn w:val="Normal"/>
    <w:link w:val="BalloonTextChar"/>
    <w:uiPriority w:val="99"/>
    <w:semiHidden/>
    <w:unhideWhenUsed/>
    <w:rsid w:val="00DB4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403"/>
    <w:rPr>
      <w:rFonts w:ascii="Tahoma" w:hAnsi="Tahoma" w:cs="Tahoma"/>
      <w:sz w:val="16"/>
      <w:szCs w:val="16"/>
    </w:rPr>
  </w:style>
  <w:style w:type="character" w:styleId="CommentReference">
    <w:name w:val="annotation reference"/>
    <w:basedOn w:val="DefaultParagraphFont"/>
    <w:uiPriority w:val="99"/>
    <w:semiHidden/>
    <w:unhideWhenUsed/>
    <w:rsid w:val="00243982"/>
    <w:rPr>
      <w:sz w:val="16"/>
      <w:szCs w:val="16"/>
    </w:rPr>
  </w:style>
  <w:style w:type="paragraph" w:styleId="CommentText">
    <w:name w:val="annotation text"/>
    <w:basedOn w:val="Normal"/>
    <w:link w:val="CommentTextChar"/>
    <w:uiPriority w:val="99"/>
    <w:semiHidden/>
    <w:unhideWhenUsed/>
    <w:rsid w:val="00243982"/>
    <w:pPr>
      <w:spacing w:line="240" w:lineRule="auto"/>
    </w:pPr>
    <w:rPr>
      <w:sz w:val="20"/>
      <w:szCs w:val="20"/>
    </w:rPr>
  </w:style>
  <w:style w:type="character" w:customStyle="1" w:styleId="CommentTextChar">
    <w:name w:val="Comment Text Char"/>
    <w:basedOn w:val="DefaultParagraphFont"/>
    <w:link w:val="CommentText"/>
    <w:uiPriority w:val="99"/>
    <w:semiHidden/>
    <w:rsid w:val="00243982"/>
    <w:rPr>
      <w:sz w:val="20"/>
      <w:szCs w:val="20"/>
    </w:rPr>
  </w:style>
  <w:style w:type="paragraph" w:styleId="CommentSubject">
    <w:name w:val="annotation subject"/>
    <w:basedOn w:val="CommentText"/>
    <w:next w:val="CommentText"/>
    <w:link w:val="CommentSubjectChar"/>
    <w:uiPriority w:val="99"/>
    <w:semiHidden/>
    <w:unhideWhenUsed/>
    <w:rsid w:val="00243982"/>
    <w:rPr>
      <w:b/>
      <w:bCs/>
    </w:rPr>
  </w:style>
  <w:style w:type="character" w:customStyle="1" w:styleId="CommentSubjectChar">
    <w:name w:val="Comment Subject Char"/>
    <w:basedOn w:val="CommentTextChar"/>
    <w:link w:val="CommentSubject"/>
    <w:uiPriority w:val="99"/>
    <w:semiHidden/>
    <w:rsid w:val="00243982"/>
    <w:rPr>
      <w:b/>
      <w:bCs/>
    </w:rPr>
  </w:style>
</w:styles>
</file>

<file path=word/webSettings.xml><?xml version="1.0" encoding="utf-8"?>
<w:webSettings xmlns:r="http://schemas.openxmlformats.org/officeDocument/2006/relationships" xmlns:w="http://schemas.openxmlformats.org/wordprocessingml/2006/main">
  <w:divs>
    <w:div w:id="100225378">
      <w:bodyDiv w:val="1"/>
      <w:marLeft w:val="0"/>
      <w:marRight w:val="0"/>
      <w:marTop w:val="0"/>
      <w:marBottom w:val="0"/>
      <w:divBdr>
        <w:top w:val="none" w:sz="0" w:space="0" w:color="auto"/>
        <w:left w:val="none" w:sz="0" w:space="0" w:color="auto"/>
        <w:bottom w:val="none" w:sz="0" w:space="0" w:color="auto"/>
        <w:right w:val="none" w:sz="0" w:space="0" w:color="auto"/>
      </w:divBdr>
    </w:div>
    <w:div w:id="1240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4519</Characters>
  <Application>Microsoft Macintosh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kphou</dc:creator>
  <cp:keywords/>
  <dc:description/>
  <cp:lastModifiedBy>Suzanne Plimpton</cp:lastModifiedBy>
  <cp:revision>2</cp:revision>
  <dcterms:created xsi:type="dcterms:W3CDTF">2012-06-21T02:04:00Z</dcterms:created>
  <dcterms:modified xsi:type="dcterms:W3CDTF">2012-06-21T02:04:00Z</dcterms:modified>
</cp:coreProperties>
</file>