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A69C1" w:rsidRPr="00202188" w:rsidRDefault="003A69C1" w:rsidP="003A69C1">
      <w:pPr>
        <w:pStyle w:val="CM12"/>
        <w:spacing w:line="276" w:lineRule="atLeast"/>
        <w:jc w:val="center"/>
        <w:rPr>
          <w:b/>
          <w:bCs/>
          <w:color w:val="000000"/>
        </w:rPr>
      </w:pPr>
      <w:r w:rsidRPr="00202188">
        <w:rPr>
          <w:b/>
          <w:bCs/>
          <w:color w:val="000000"/>
        </w:rPr>
        <w:t>CONSUMER FINANCIAL PROTECTION BUREAU</w:t>
      </w:r>
    </w:p>
    <w:p w:rsidR="003A69C1" w:rsidRPr="00202188" w:rsidRDefault="003A69C1" w:rsidP="003A69C1">
      <w:pPr>
        <w:pStyle w:val="CM12"/>
        <w:spacing w:line="276" w:lineRule="atLeast"/>
        <w:jc w:val="center"/>
        <w:rPr>
          <w:b/>
          <w:bCs/>
          <w:color w:val="000000"/>
        </w:rPr>
      </w:pPr>
      <w:r w:rsidRPr="00202188">
        <w:rPr>
          <w:b/>
          <w:bCs/>
          <w:color w:val="000000"/>
        </w:rPr>
        <w:t>REQUEST FOR EMERGENCY PROCESSING AND APPROVAL</w:t>
      </w:r>
    </w:p>
    <w:p w:rsidR="003A69C1" w:rsidRDefault="003A69C1" w:rsidP="003A69C1">
      <w:pPr>
        <w:pStyle w:val="Default"/>
        <w:jc w:val="center"/>
        <w:rPr>
          <w:b/>
          <w:bCs/>
        </w:rPr>
      </w:pPr>
      <w:r>
        <w:rPr>
          <w:b/>
          <w:bCs/>
        </w:rPr>
        <w:t>FAIR CREDIT REPORTING ACT (REGULATION V) 12 CFR 1022</w:t>
      </w:r>
    </w:p>
    <w:p w:rsidR="003A69C1" w:rsidRDefault="003A69C1" w:rsidP="003A69C1">
      <w:pPr>
        <w:pStyle w:val="Default"/>
        <w:rPr>
          <w:b/>
          <w:bCs/>
        </w:rPr>
      </w:pPr>
    </w:p>
    <w:p w:rsidR="00061133" w:rsidRDefault="00061133" w:rsidP="003A69C1">
      <w:pPr>
        <w:pStyle w:val="Default"/>
        <w:rPr>
          <w:b/>
          <w:bCs/>
        </w:rPr>
      </w:pPr>
    </w:p>
    <w:p w:rsidR="003A69C1" w:rsidRPr="00202188" w:rsidRDefault="003A69C1" w:rsidP="003A69C1">
      <w:pPr>
        <w:pStyle w:val="Default"/>
        <w:rPr>
          <w:b/>
          <w:bCs/>
          <w:u w:val="single"/>
        </w:rPr>
      </w:pPr>
      <w:r w:rsidRPr="00202188">
        <w:rPr>
          <w:b/>
          <w:bCs/>
          <w:u w:val="single"/>
        </w:rPr>
        <w:t xml:space="preserve">EMERGENCY JUSTIFICATION </w:t>
      </w:r>
    </w:p>
    <w:p w:rsidR="003A69C1" w:rsidRPr="00202188" w:rsidRDefault="003A69C1" w:rsidP="003A69C1">
      <w:pPr>
        <w:pStyle w:val="Default"/>
        <w:rPr>
          <w:b/>
          <w:bCs/>
        </w:rPr>
      </w:pPr>
    </w:p>
    <w:p w:rsidR="003A69C1" w:rsidRPr="00202188" w:rsidRDefault="003A69C1" w:rsidP="003A69C1">
      <w:pPr>
        <w:pStyle w:val="Default"/>
        <w:ind w:firstLine="720"/>
      </w:pPr>
      <w:r w:rsidRPr="00202188">
        <w:t xml:space="preserve">The Bureau of Consumer Financial Protection (CFPB) respectfully requests emergency processing and approval of the collection of information discussed below because the use of normal clearance procedures is reasonably likely to prevent and disrupt an existing collection of information.  </w:t>
      </w:r>
    </w:p>
    <w:p w:rsidR="003A69C1" w:rsidRPr="00202188" w:rsidRDefault="003A69C1" w:rsidP="003A69C1">
      <w:pPr>
        <w:pStyle w:val="Default"/>
      </w:pPr>
    </w:p>
    <w:p w:rsidR="003A69C1" w:rsidRDefault="003A69C1" w:rsidP="003A69C1">
      <w:pPr>
        <w:pStyle w:val="Default"/>
        <w:ind w:firstLine="720"/>
      </w:pPr>
      <w:r>
        <w:t xml:space="preserve">Under the Dodd-Frank Wall Street Reform and Consumer Protection Act (Dodd-Frank Act), rulemaking authority for the Fair Credit Reporting Act (FCRA), 15 U.S.C. 1681 </w:t>
      </w:r>
      <w:r w:rsidRPr="003A69C1">
        <w:rPr>
          <w:i/>
        </w:rPr>
        <w:t>et seq</w:t>
      </w:r>
      <w:r>
        <w:t xml:space="preserve">., transferred from the Board of Governors of the Federal Reserve System </w:t>
      </w:r>
      <w:r w:rsidR="00742DFF">
        <w:t xml:space="preserve">(Board), the Federal Deposit Insurance Corporation (FDIC), the National Credit Union Administration (NCUA), the Office of the Comptroller of the Currency (OCC), the Office of Thrift Supervision (OTS), and the Federal Trade Commission (FTC), </w:t>
      </w:r>
      <w:r>
        <w:t xml:space="preserve">to the CFPB on July 21, 2011.  In addition to the transfer of rulemaking authority under the Dodd-Frank Act, the CFPB received certain enforcement authorities </w:t>
      </w:r>
      <w:r w:rsidR="003E58CC">
        <w:t>with respect to the FCRA</w:t>
      </w:r>
      <w:r>
        <w:t xml:space="preserve">.  </w:t>
      </w:r>
      <w:r w:rsidRPr="00202188">
        <w:t>The CFPB is in</w:t>
      </w:r>
      <w:r>
        <w:t xml:space="preserve"> the process of </w:t>
      </w:r>
      <w:r w:rsidRPr="00202188">
        <w:t xml:space="preserve">publishing </w:t>
      </w:r>
      <w:r>
        <w:t xml:space="preserve">for public comment an interim final rule establishing a new regulation </w:t>
      </w:r>
      <w:r w:rsidR="008C2114">
        <w:t xml:space="preserve">in </w:t>
      </w:r>
      <w:r>
        <w:t xml:space="preserve">12 CFR Part 1022 (Regulation V).  This interim final rule </w:t>
      </w:r>
      <w:r w:rsidR="00784BB2">
        <w:t xml:space="preserve">substantially replicates the </w:t>
      </w:r>
      <w:r w:rsidR="00742DFF">
        <w:t>FCRA rules of the transferor agencies</w:t>
      </w:r>
      <w:r w:rsidR="00784BB2">
        <w:t xml:space="preserve">, and </w:t>
      </w:r>
      <w:r>
        <w:t xml:space="preserve">will not impose any new substantive obligations on regulated entities </w:t>
      </w:r>
      <w:r w:rsidR="00784BB2">
        <w:t xml:space="preserve">or </w:t>
      </w:r>
      <w:r>
        <w:t xml:space="preserve">any new information collection requirements.  </w:t>
      </w:r>
    </w:p>
    <w:p w:rsidR="003A69C1" w:rsidRDefault="003A69C1" w:rsidP="003A69C1">
      <w:pPr>
        <w:pStyle w:val="Default"/>
        <w:ind w:firstLine="720"/>
      </w:pPr>
    </w:p>
    <w:p w:rsidR="003A69C1" w:rsidRPr="00202188" w:rsidRDefault="003A69C1" w:rsidP="003A69C1">
      <w:pPr>
        <w:pStyle w:val="Default"/>
        <w:ind w:firstLine="720"/>
      </w:pPr>
      <w:r>
        <w:t xml:space="preserve">As the CFPB now has enforcement authority over certain populations that have been under the jurisdiction of other agencies, the CFPB is requesting approval of a new OMB control number for its collection activities under Regulation V.  </w:t>
      </w:r>
      <w:r w:rsidR="00784BB2">
        <w:t>To prevent disruption</w:t>
      </w:r>
      <w:r w:rsidR="00AE058B">
        <w:t>s</w:t>
      </w:r>
      <w:r w:rsidR="00784BB2">
        <w:t xml:space="preserve"> of approved information collection</w:t>
      </w:r>
      <w:r w:rsidR="00AE058B">
        <w:t>s</w:t>
      </w:r>
      <w:r w:rsidR="00784BB2">
        <w:t>,</w:t>
      </w:r>
      <w:r w:rsidR="00AE058B">
        <w:t xml:space="preserve"> </w:t>
      </w:r>
      <w:r>
        <w:t xml:space="preserve">the CFPB is requesting emergency processing and approval of the following information collection request.  </w:t>
      </w:r>
      <w:r w:rsidR="00AE058B">
        <w:t xml:space="preserve">Upon receipt of emergency approval from </w:t>
      </w:r>
      <w:r w:rsidR="00AC0EB7" w:rsidRPr="00AC0EB7">
        <w:t>the Office of Management and Budget</w:t>
      </w:r>
      <w:r w:rsidR="00AE058B">
        <w:t xml:space="preserve">, the CFPB will begin a standard approval process for this collection and will seek public input at that time.  </w:t>
      </w:r>
    </w:p>
    <w:p w:rsidR="003A69C1" w:rsidRDefault="003A69C1" w:rsidP="003A69C1">
      <w:pPr>
        <w:pStyle w:val="Default"/>
        <w:jc w:val="center"/>
        <w:rPr>
          <w:b/>
          <w:bCs/>
        </w:rPr>
      </w:pPr>
    </w:p>
    <w:p w:rsidR="003A69C1" w:rsidRPr="00202188" w:rsidRDefault="003A69C1" w:rsidP="003A69C1">
      <w:pPr>
        <w:pStyle w:val="CM12"/>
        <w:spacing w:line="276" w:lineRule="atLeast"/>
        <w:jc w:val="center"/>
        <w:rPr>
          <w:b/>
          <w:bCs/>
          <w:color w:val="000000"/>
        </w:rPr>
      </w:pPr>
      <w:r>
        <w:rPr>
          <w:b/>
          <w:bCs/>
        </w:rPr>
        <w:br w:type="page"/>
      </w:r>
      <w:r w:rsidRPr="00202188">
        <w:rPr>
          <w:b/>
          <w:bCs/>
          <w:color w:val="000000"/>
        </w:rPr>
        <w:lastRenderedPageBreak/>
        <w:t>CONSUMER FINANCIAL PROTECTION BUREAU</w:t>
      </w:r>
    </w:p>
    <w:p w:rsidR="003A69C1" w:rsidRPr="00202188" w:rsidRDefault="003A69C1" w:rsidP="003A69C1">
      <w:pPr>
        <w:pStyle w:val="CM12"/>
        <w:spacing w:line="276" w:lineRule="atLeast"/>
        <w:jc w:val="center"/>
        <w:rPr>
          <w:b/>
          <w:bCs/>
          <w:color w:val="000000"/>
        </w:rPr>
      </w:pPr>
      <w:r w:rsidRPr="00202188">
        <w:rPr>
          <w:b/>
          <w:bCs/>
          <w:color w:val="000000"/>
        </w:rPr>
        <w:t xml:space="preserve">INFORMATION COLLECTION </w:t>
      </w:r>
      <w:r w:rsidR="00703D3C" w:rsidRPr="00202188">
        <w:rPr>
          <w:b/>
          <w:bCs/>
          <w:color w:val="000000"/>
        </w:rPr>
        <w:t>REQUEST</w:t>
      </w:r>
      <w:r w:rsidR="00703D3C">
        <w:rPr>
          <w:b/>
          <w:bCs/>
          <w:color w:val="000000"/>
        </w:rPr>
        <w:t xml:space="preserve"> – SUPPORTING STATEMENT</w:t>
      </w:r>
    </w:p>
    <w:p w:rsidR="003A69C1" w:rsidRPr="00202188" w:rsidRDefault="003A69C1" w:rsidP="003A69C1">
      <w:pPr>
        <w:pStyle w:val="CM12"/>
        <w:spacing w:line="276" w:lineRule="atLeast"/>
        <w:jc w:val="center"/>
        <w:rPr>
          <w:b/>
          <w:bCs/>
          <w:color w:val="000000"/>
        </w:rPr>
      </w:pPr>
      <w:r>
        <w:rPr>
          <w:b/>
          <w:bCs/>
          <w:color w:val="000000"/>
        </w:rPr>
        <w:t>FAIR CREDIT REPORTING ACT (REGULATION V) 12 CFR 1022</w:t>
      </w:r>
    </w:p>
    <w:p w:rsidR="003A69C1" w:rsidRPr="00202188" w:rsidRDefault="003A69C1" w:rsidP="003A69C1">
      <w:pPr>
        <w:pStyle w:val="CM12"/>
        <w:spacing w:line="276" w:lineRule="atLeast"/>
        <w:jc w:val="center"/>
        <w:rPr>
          <w:color w:val="000000"/>
        </w:rPr>
      </w:pPr>
      <w:r w:rsidRPr="00202188">
        <w:rPr>
          <w:b/>
          <w:bCs/>
          <w:color w:val="000000"/>
        </w:rPr>
        <w:t xml:space="preserve">(OMB CONTROL NUMBER: 3170-XXXX) </w:t>
      </w:r>
    </w:p>
    <w:p w:rsidR="003A69C1" w:rsidRPr="00202188" w:rsidRDefault="003A69C1" w:rsidP="003A69C1">
      <w:pPr>
        <w:pStyle w:val="Default"/>
        <w:jc w:val="center"/>
        <w:rPr>
          <w:b/>
          <w:bCs/>
        </w:rPr>
      </w:pPr>
    </w:p>
    <w:p w:rsidR="003A69C1" w:rsidRDefault="003A69C1" w:rsidP="003A69C1">
      <w:pPr>
        <w:pStyle w:val="Default"/>
      </w:pPr>
    </w:p>
    <w:p w:rsidR="003A69C1" w:rsidRPr="000C23E7" w:rsidRDefault="003A69C1" w:rsidP="003A69C1">
      <w:pPr>
        <w:pStyle w:val="Default"/>
        <w:rPr>
          <w:b/>
          <w:u w:val="single"/>
        </w:rPr>
      </w:pPr>
      <w:r w:rsidRPr="000C23E7">
        <w:rPr>
          <w:b/>
          <w:u w:val="single"/>
        </w:rPr>
        <w:t>A.  JUSTIFICATION</w:t>
      </w:r>
    </w:p>
    <w:p w:rsidR="003A69C1" w:rsidRPr="00202188" w:rsidRDefault="003A69C1" w:rsidP="003A69C1">
      <w:pPr>
        <w:pStyle w:val="Default"/>
      </w:pPr>
    </w:p>
    <w:p w:rsidR="003A69C1" w:rsidRPr="00202188" w:rsidRDefault="003A69C1" w:rsidP="003A69C1">
      <w:pPr>
        <w:pStyle w:val="CM12"/>
        <w:rPr>
          <w:color w:val="000000"/>
        </w:rPr>
      </w:pPr>
      <w:r w:rsidRPr="00202188">
        <w:rPr>
          <w:b/>
          <w:bCs/>
          <w:color w:val="000000"/>
        </w:rPr>
        <w:t>1.</w:t>
      </w:r>
      <w:r>
        <w:rPr>
          <w:b/>
          <w:bCs/>
          <w:color w:val="000000"/>
        </w:rPr>
        <w:t xml:space="preserve">  </w:t>
      </w:r>
      <w:r w:rsidRPr="00202188">
        <w:rPr>
          <w:b/>
          <w:bCs/>
          <w:color w:val="000000"/>
          <w:u w:val="single"/>
        </w:rPr>
        <w:t>Circumstances Necessitating the Data Collection</w:t>
      </w:r>
    </w:p>
    <w:p w:rsidR="00412BC5" w:rsidRDefault="00412BC5" w:rsidP="008C2F8C">
      <w:pPr>
        <w:rPr>
          <w:b/>
        </w:rPr>
      </w:pPr>
    </w:p>
    <w:p w:rsidR="00E640CA" w:rsidRDefault="00E640CA" w:rsidP="00E640CA">
      <w:pPr>
        <w:pStyle w:val="HTMLPreformatted"/>
        <w:rPr>
          <w:rFonts w:ascii="Times New Roman" w:hAnsi="Times New Roman" w:cs="Times New Roman"/>
          <w:sz w:val="24"/>
          <w:szCs w:val="24"/>
        </w:rPr>
      </w:pPr>
      <w:r>
        <w:rPr>
          <w:rFonts w:ascii="Times New Roman" w:hAnsi="Times New Roman" w:cs="Times New Roman"/>
          <w:bCs/>
          <w:sz w:val="24"/>
          <w:szCs w:val="24"/>
        </w:rPr>
        <w:tab/>
        <w:t xml:space="preserve">On July 21, 2010, President Barack Obama signed into law the Dodd-Frank Wall Street Reform and Consumer Protection Act, </w:t>
      </w:r>
      <w:r>
        <w:rPr>
          <w:rFonts w:ascii="Times New Roman" w:hAnsi="Times New Roman" w:cs="Times New Roman"/>
          <w:sz w:val="24"/>
          <w:szCs w:val="24"/>
        </w:rPr>
        <w:t>P.L. 111-203</w:t>
      </w:r>
      <w:r>
        <w:rPr>
          <w:rFonts w:ascii="Times New Roman" w:hAnsi="Times New Roman" w:cs="Times New Roman"/>
          <w:sz w:val="24"/>
          <w:szCs w:val="24"/>
          <w:lang w:eastAsia="ja-JP"/>
        </w:rPr>
        <w:t xml:space="preserve">, 124 Stat. 1376 (2010) </w:t>
      </w:r>
      <w:r>
        <w:rPr>
          <w:rFonts w:ascii="Times New Roman" w:hAnsi="Times New Roman" w:cs="Times New Roman"/>
          <w:bCs/>
          <w:sz w:val="24"/>
          <w:szCs w:val="24"/>
        </w:rPr>
        <w:t>(Dodd-Frank Act)</w:t>
      </w:r>
      <w:r>
        <w:rPr>
          <w:rFonts w:ascii="Times New Roman" w:hAnsi="Times New Roman" w:cs="Times New Roman"/>
          <w:sz w:val="24"/>
          <w:szCs w:val="24"/>
        </w:rPr>
        <w:t xml:space="preserve">. </w:t>
      </w:r>
      <w:r>
        <w:rPr>
          <w:rFonts w:ascii="Times New Roman" w:hAnsi="Times New Roman" w:cs="Times New Roman"/>
          <w:bCs/>
          <w:sz w:val="24"/>
          <w:szCs w:val="24"/>
        </w:rPr>
        <w:t xml:space="preserve"> In addition to a</w:t>
      </w:r>
      <w:r>
        <w:rPr>
          <w:rFonts w:ascii="Times New Roman" w:hAnsi="Times New Roman" w:cs="Times New Roman"/>
          <w:sz w:val="24"/>
          <w:szCs w:val="24"/>
        </w:rPr>
        <w:t xml:space="preserve"> comprehensive package of financial regulatory reform measures, the Dodd-Frank Act </w:t>
      </w:r>
      <w:r w:rsidRPr="00E640CA">
        <w:rPr>
          <w:rFonts w:ascii="Times New Roman" w:hAnsi="Times New Roman" w:cs="Times New Roman"/>
          <w:sz w:val="24"/>
          <w:szCs w:val="24"/>
        </w:rPr>
        <w:t xml:space="preserve">transferred rulemaking authority for most provisions of the </w:t>
      </w:r>
      <w:r w:rsidR="00E55B35">
        <w:rPr>
          <w:rFonts w:ascii="Times New Roman" w:hAnsi="Times New Roman" w:cs="Times New Roman"/>
          <w:sz w:val="24"/>
          <w:szCs w:val="24"/>
        </w:rPr>
        <w:t>Fair Credit Reporting Act t</w:t>
      </w:r>
      <w:r w:rsidRPr="00E640CA">
        <w:rPr>
          <w:rFonts w:ascii="Times New Roman" w:hAnsi="Times New Roman" w:cs="Times New Roman"/>
          <w:sz w:val="24"/>
          <w:szCs w:val="24"/>
        </w:rPr>
        <w:t>o the Bureau of Consumer Financial Protection (</w:t>
      </w:r>
      <w:r w:rsidR="008F7E11">
        <w:rPr>
          <w:rFonts w:ascii="Times New Roman" w:hAnsi="Times New Roman" w:cs="Times New Roman"/>
          <w:sz w:val="24"/>
          <w:szCs w:val="24"/>
        </w:rPr>
        <w:t>CFPB</w:t>
      </w:r>
      <w:r w:rsidRPr="00E640CA">
        <w:rPr>
          <w:rFonts w:ascii="Times New Roman" w:hAnsi="Times New Roman" w:cs="Times New Roman"/>
          <w:sz w:val="24"/>
          <w:szCs w:val="24"/>
        </w:rPr>
        <w:t>), effective July 21, 2011</w:t>
      </w:r>
      <w:r>
        <w:rPr>
          <w:rFonts w:ascii="Times New Roman" w:hAnsi="Times New Roman" w:cs="Times New Roman"/>
          <w:sz w:val="24"/>
          <w:szCs w:val="24"/>
        </w:rPr>
        <w:t>.</w:t>
      </w:r>
      <w:r>
        <w:rPr>
          <w:rStyle w:val="FootnoteReference"/>
          <w:rFonts w:ascii="Times New Roman" w:hAnsi="Times New Roman" w:cs="Times New Roman"/>
          <w:sz w:val="24"/>
          <w:szCs w:val="24"/>
        </w:rPr>
        <w:footnoteReference w:id="1"/>
      </w:r>
      <w:r>
        <w:rPr>
          <w:rFonts w:ascii="Times New Roman" w:hAnsi="Times New Roman" w:cs="Times New Roman"/>
          <w:sz w:val="24"/>
          <w:szCs w:val="24"/>
        </w:rPr>
        <w:t xml:space="preserve">  </w:t>
      </w:r>
    </w:p>
    <w:p w:rsidR="006E4125" w:rsidRDefault="006E4125" w:rsidP="00AB3059">
      <w:pPr>
        <w:rPr>
          <w:b/>
          <w:u w:val="single"/>
        </w:rPr>
      </w:pPr>
    </w:p>
    <w:p w:rsidR="00E55B35" w:rsidRDefault="00B94F05" w:rsidP="00B94F05">
      <w:r>
        <w:tab/>
        <w:t>Section</w:t>
      </w:r>
      <w:r w:rsidR="00E55B35">
        <w:t xml:space="preserve"> 1088 of the Dodd-Frank Act, read in combination of Section 1061, </w:t>
      </w:r>
      <w:r>
        <w:t>amend</w:t>
      </w:r>
      <w:r w:rsidR="00E55B35">
        <w:t xml:space="preserve">s </w:t>
      </w:r>
      <w:r w:rsidR="004B705E">
        <w:t>the</w:t>
      </w:r>
      <w:r w:rsidR="00E55B35">
        <w:t xml:space="preserve"> </w:t>
      </w:r>
      <w:r>
        <w:t xml:space="preserve">Fair Credit Reporting Act of 1970 (FCRA), </w:t>
      </w:r>
      <w:smartTag w:uri="schemas-westgroup-com/westlawcitation" w:element="typecases">
        <w:smartTagPr>
          <w:attr w:name="TagPropertiesCategory" w:val="1"/>
          <w:attr w:name="TagPropertiesJuris" w:val="1"/>
          <w:attr w:name="TagPropertiesShortForm" w:val="15 USCA 1681"/>
          <w:attr w:name="TagPropertiesLongForm" w:val="15 U.S.C. 1681"/>
          <w:attr w:name="TagPropertiesForm" w:val="0"/>
          <w:attr w:name="TagPropertiesKey_Link" w:val="15 USCA 1681"/>
        </w:smartTagPr>
        <w:smartTag w:uri="schemas-westgroup-com/westlawcitation" w:element="typestatutes">
          <w:smartTagPr>
            <w:attr w:name="TagPropertiesKey_Link" w:val="15 USCA 1681"/>
            <w:attr w:name="TagPropertiesForm" w:val="0"/>
            <w:attr w:name="TagPropertiesLongForm" w:val="15 U.S.C. 1681"/>
            <w:attr w:name="TagPropertiesShortForm" w:val="15 USCA 1681"/>
            <w:attr w:name="TagPropertiesJuris" w:val="1"/>
            <w:attr w:name="TagPropertiesCategory" w:val="1"/>
          </w:smartTagPr>
          <w:r>
            <w:t>15 U.S.C. 1681</w:t>
          </w:r>
        </w:smartTag>
      </w:smartTag>
      <w:r>
        <w:t xml:space="preserve"> </w:t>
      </w:r>
      <w:r w:rsidRPr="00AB3059">
        <w:rPr>
          <w:i/>
        </w:rPr>
        <w:t>et seq.</w:t>
      </w:r>
      <w:r>
        <w:t xml:space="preserve">, to </w:t>
      </w:r>
      <w:r w:rsidR="00E55B35">
        <w:t xml:space="preserve">vest the </w:t>
      </w:r>
      <w:r w:rsidR="003A69C1">
        <w:t>CFPB</w:t>
      </w:r>
      <w:r w:rsidR="004B705E">
        <w:t xml:space="preserve"> </w:t>
      </w:r>
      <w:r w:rsidR="00E55B35">
        <w:t>with rulemaking authority over most provisions</w:t>
      </w:r>
      <w:r w:rsidR="00AC0EB7">
        <w:t xml:space="preserve"> of the FCRA</w:t>
      </w:r>
      <w:r w:rsidR="00E55B35">
        <w:t xml:space="preserve">, excepting providing rulemaking authority over </w:t>
      </w:r>
      <w:r w:rsidR="00E30DBB">
        <w:t xml:space="preserve">certain </w:t>
      </w:r>
      <w:r w:rsidR="00E55B35">
        <w:t>motor vehicle dealers engaged primarily in the sale and servicing of motor vehicles, the leasing and servicing of motor vehicles, or both.</w:t>
      </w:r>
      <w:r w:rsidR="00C82058">
        <w:t xml:space="preserve">  The Dodd-Frank Act also provide</w:t>
      </w:r>
      <w:r w:rsidR="00AE058B">
        <w:t>d</w:t>
      </w:r>
      <w:r w:rsidR="00C82058">
        <w:t xml:space="preserve"> the CFPB with enforcement authority over certain institutions that have been under the jurisdiction of other agencies.  </w:t>
      </w:r>
    </w:p>
    <w:p w:rsidR="00E55B35" w:rsidRDefault="00E55B35" w:rsidP="00B94F05">
      <w:r>
        <w:t xml:space="preserve"> </w:t>
      </w:r>
    </w:p>
    <w:p w:rsidR="00FC69E9" w:rsidRDefault="00E55B35" w:rsidP="00FC69E9">
      <w:pPr>
        <w:ind w:firstLine="720"/>
      </w:pPr>
      <w:r>
        <w:t>S</w:t>
      </w:r>
      <w:r w:rsidR="0059701C">
        <w:t>ection 1</w:t>
      </w:r>
      <w:r w:rsidR="008F7E11">
        <w:t>088 of the Dodd-Frank Act</w:t>
      </w:r>
      <w:r w:rsidR="0059701C">
        <w:t xml:space="preserve"> </w:t>
      </w:r>
      <w:r>
        <w:t xml:space="preserve">states that the </w:t>
      </w:r>
      <w:r w:rsidR="003A69C1">
        <w:t>CFPB</w:t>
      </w:r>
      <w:r w:rsidR="004B705E">
        <w:t xml:space="preserve"> </w:t>
      </w:r>
      <w:r>
        <w:t>“</w:t>
      </w:r>
      <w:r w:rsidRPr="00E55B35">
        <w:t>shall prescribe such regulations as are necessary to carry out the purposes of this title</w:t>
      </w:r>
      <w:r>
        <w:t xml:space="preserve">, </w:t>
      </w:r>
      <w:r w:rsidRPr="00E55B35">
        <w:t>except with respect to sections 615(e) and 628</w:t>
      </w:r>
      <w:r w:rsidR="008F7E11">
        <w:t xml:space="preserve"> [of the FCRA]</w:t>
      </w:r>
      <w:r>
        <w:t xml:space="preserve">,” and therefore the </w:t>
      </w:r>
      <w:r w:rsidR="003A69C1">
        <w:t>CFPB</w:t>
      </w:r>
      <w:r w:rsidR="004B705E">
        <w:t xml:space="preserve"> </w:t>
      </w:r>
      <w:r>
        <w:t xml:space="preserve">is issuing </w:t>
      </w:r>
      <w:r w:rsidRPr="00E55B35">
        <w:t>for public comment an interim final rule establishing a new Regulation V</w:t>
      </w:r>
      <w:r w:rsidR="00FC69E9">
        <w:t>.</w:t>
      </w:r>
      <w:r w:rsidR="00F456CA" w:rsidRPr="00F456CA">
        <w:t xml:space="preserve">  </w:t>
      </w:r>
      <w:r w:rsidR="00F456CA">
        <w:t>T</w:t>
      </w:r>
      <w:r w:rsidR="00F456CA" w:rsidRPr="00F456CA">
        <w:t xml:space="preserve">he </w:t>
      </w:r>
      <w:r w:rsidR="008F7E11">
        <w:t>new Regulation V as</w:t>
      </w:r>
      <w:r w:rsidR="00FC69E9">
        <w:t>semble</w:t>
      </w:r>
      <w:r w:rsidR="008F7E11">
        <w:t>s</w:t>
      </w:r>
      <w:r w:rsidR="00FC69E9">
        <w:t xml:space="preserve"> app</w:t>
      </w:r>
      <w:r w:rsidR="008F7E11">
        <w:t xml:space="preserve">licable regulations, commentary, and </w:t>
      </w:r>
      <w:r w:rsidR="00FC69E9">
        <w:t xml:space="preserve">model notices formerly promulgated by the </w:t>
      </w:r>
      <w:r w:rsidR="00F00502">
        <w:rPr>
          <w:color w:val="000000"/>
        </w:rPr>
        <w:t>transferor agencies</w:t>
      </w:r>
      <w:r w:rsidR="00FC69E9">
        <w:t>, with minor revisions to reflect accurate references and contact information.</w:t>
      </w:r>
    </w:p>
    <w:p w:rsidR="00B94F05" w:rsidRDefault="00B94F05" w:rsidP="008D0AC3">
      <w:pPr>
        <w:ind w:firstLine="720"/>
      </w:pPr>
    </w:p>
    <w:p w:rsidR="000F61F2" w:rsidRDefault="003D35BD" w:rsidP="008D0AC3">
      <w:pPr>
        <w:ind w:firstLine="720"/>
      </w:pPr>
      <w:r w:rsidRPr="00AC0EB7">
        <w:t>Accordingly, t</w:t>
      </w:r>
      <w:r w:rsidR="00AB3059" w:rsidRPr="00AC0EB7">
        <w:t>he</w:t>
      </w:r>
      <w:r w:rsidR="00FC69E9" w:rsidRPr="00AC0EB7">
        <w:t xml:space="preserve"> </w:t>
      </w:r>
      <w:r w:rsidR="003A69C1" w:rsidRPr="00AC0EB7">
        <w:t>CFPB</w:t>
      </w:r>
      <w:r w:rsidR="004B705E" w:rsidRPr="00AC0EB7">
        <w:t xml:space="preserve"> </w:t>
      </w:r>
      <w:r w:rsidR="00AB3059" w:rsidRPr="00AC0EB7">
        <w:t xml:space="preserve">requests approval from the Office of Management and Budget (OMB) </w:t>
      </w:r>
      <w:r w:rsidR="00714839">
        <w:t>to collect information</w:t>
      </w:r>
      <w:r w:rsidR="00C82058" w:rsidRPr="00AC0EB7">
        <w:t xml:space="preserve"> </w:t>
      </w:r>
      <w:r w:rsidR="00714839">
        <w:t xml:space="preserve">described within Regulation V from certain populations over which the CFPB now has enforcement authority.  </w:t>
      </w:r>
    </w:p>
    <w:p w:rsidR="000F61F2" w:rsidRDefault="000F61F2" w:rsidP="008D0AC3">
      <w:pPr>
        <w:ind w:firstLine="720"/>
      </w:pPr>
    </w:p>
    <w:p w:rsidR="003A69C1" w:rsidRPr="00202188" w:rsidRDefault="003A69C1" w:rsidP="003A69C1">
      <w:pPr>
        <w:pStyle w:val="CM12"/>
        <w:spacing w:line="276" w:lineRule="atLeast"/>
      </w:pPr>
      <w:r w:rsidRPr="00202188">
        <w:rPr>
          <w:b/>
          <w:bCs/>
        </w:rPr>
        <w:t xml:space="preserve">2. </w:t>
      </w:r>
      <w:r>
        <w:rPr>
          <w:b/>
          <w:bCs/>
        </w:rPr>
        <w:t xml:space="preserve"> </w:t>
      </w:r>
      <w:r w:rsidRPr="00202188">
        <w:rPr>
          <w:b/>
          <w:bCs/>
          <w:u w:val="single"/>
        </w:rPr>
        <w:t>Use of the Information</w:t>
      </w:r>
    </w:p>
    <w:p w:rsidR="00BD45AA" w:rsidRDefault="00BD45AA" w:rsidP="00BD45AA">
      <w:pPr>
        <w:rPr>
          <w:b/>
          <w:u w:val="single"/>
        </w:rPr>
      </w:pPr>
    </w:p>
    <w:p w:rsidR="00BD45AA" w:rsidRPr="00BD45AA" w:rsidRDefault="00C430BA" w:rsidP="00ED57FA">
      <w:pPr>
        <w:ind w:firstLine="720"/>
      </w:pPr>
      <w:r>
        <w:t xml:space="preserve">The consumer disclosures </w:t>
      </w:r>
      <w:r w:rsidR="00C82058">
        <w:t>included in Regulation V</w:t>
      </w:r>
      <w:r>
        <w:t xml:space="preserve"> are </w:t>
      </w:r>
      <w:r w:rsidR="00C82058">
        <w:t>designed</w:t>
      </w:r>
      <w:r>
        <w:t xml:space="preserve"> alert consumers that</w:t>
      </w:r>
      <w:r w:rsidR="00002110">
        <w:t xml:space="preserve"> </w:t>
      </w:r>
      <w:r w:rsidR="00213406">
        <w:t xml:space="preserve">a financial institution furnished negative information about them to a consumer reporting agency, that </w:t>
      </w:r>
      <w:r w:rsidR="00002110">
        <w:t>the</w:t>
      </w:r>
      <w:r w:rsidR="00902E76">
        <w:t xml:space="preserve">y have a right to opt out of receiving marketing materials and credit </w:t>
      </w:r>
      <w:r w:rsidR="00213406">
        <w:t>or insurance offers, that their</w:t>
      </w:r>
      <w:r w:rsidR="00002110">
        <w:t xml:space="preserve"> </w:t>
      </w:r>
      <w:r w:rsidR="00213406">
        <w:t xml:space="preserve">credit report </w:t>
      </w:r>
      <w:r w:rsidR="00002110">
        <w:t xml:space="preserve">was used in setting the </w:t>
      </w:r>
      <w:r w:rsidR="00213406">
        <w:t>material</w:t>
      </w:r>
      <w:r w:rsidR="00002110">
        <w:t xml:space="preserve"> terms</w:t>
      </w:r>
      <w:r w:rsidR="00E17B1D">
        <w:t xml:space="preserve"> </w:t>
      </w:r>
      <w:r w:rsidR="00213406">
        <w:t xml:space="preserve">of credit </w:t>
      </w:r>
      <w:r w:rsidR="00E17B1D">
        <w:t>that</w:t>
      </w:r>
      <w:r w:rsidR="00002110">
        <w:t xml:space="preserve"> may be less favorable tha</w:t>
      </w:r>
      <w:r w:rsidR="00E17B1D">
        <w:t>n</w:t>
      </w:r>
      <w:r w:rsidR="00002110">
        <w:t xml:space="preserve"> the terms offered to consumers with better credit histories</w:t>
      </w:r>
      <w:r w:rsidR="00ED57FA">
        <w:t xml:space="preserve">, that they maintain certain rights with respect to a theft of their identity that they </w:t>
      </w:r>
      <w:r w:rsidR="00ED57FA">
        <w:lastRenderedPageBreak/>
        <w:t xml:space="preserve">reported to a consumer reporting agency, that they maintain rights with respect to knowing what is in their consumer reporting agency file, that they can request a free credit report, and that they can report a theft of their identity to the </w:t>
      </w:r>
      <w:r w:rsidR="003A69C1">
        <w:t>CFPB</w:t>
      </w:r>
      <w:r w:rsidR="00ED57FA">
        <w:t xml:space="preserve">.  </w:t>
      </w:r>
      <w:r w:rsidR="00BD45AA">
        <w:t xml:space="preserve">Consumers </w:t>
      </w:r>
      <w:r w:rsidR="00452818">
        <w:t xml:space="preserve">then </w:t>
      </w:r>
      <w:r w:rsidR="00A33D4A">
        <w:t xml:space="preserve">can </w:t>
      </w:r>
      <w:r w:rsidR="00BD45AA">
        <w:t xml:space="preserve">use the information </w:t>
      </w:r>
      <w:r w:rsidR="0030237F">
        <w:t xml:space="preserve">provided </w:t>
      </w:r>
      <w:r w:rsidR="00BD45AA">
        <w:t xml:space="preserve">to </w:t>
      </w:r>
      <w:r w:rsidR="0030237F">
        <w:t xml:space="preserve">consider </w:t>
      </w:r>
      <w:r w:rsidR="00ED57FA">
        <w:t xml:space="preserve">how and when to check and use </w:t>
      </w:r>
      <w:r w:rsidR="00BD45AA">
        <w:t>their credit report</w:t>
      </w:r>
      <w:r w:rsidR="00ED57FA">
        <w:t>s</w:t>
      </w:r>
      <w:r w:rsidR="00BD45AA">
        <w:t>.</w:t>
      </w:r>
      <w:r w:rsidR="00DD41E0">
        <w:t xml:space="preserve">  These disclosures are substantially the same as those previously provided b</w:t>
      </w:r>
      <w:r w:rsidR="00E30DBB">
        <w:t xml:space="preserve">y model forms </w:t>
      </w:r>
      <w:r w:rsidR="004F28EB">
        <w:t xml:space="preserve">promulgated </w:t>
      </w:r>
      <w:r w:rsidR="00E30DBB">
        <w:t xml:space="preserve">by the </w:t>
      </w:r>
      <w:r w:rsidR="003A69C1">
        <w:rPr>
          <w:color w:val="000000"/>
        </w:rPr>
        <w:t>Board</w:t>
      </w:r>
      <w:r w:rsidR="00E30DBB">
        <w:rPr>
          <w:color w:val="000000"/>
        </w:rPr>
        <w:t xml:space="preserve">, the </w:t>
      </w:r>
      <w:r w:rsidR="003A69C1">
        <w:rPr>
          <w:color w:val="000000"/>
        </w:rPr>
        <w:t>FDIC</w:t>
      </w:r>
      <w:r w:rsidR="00E30DBB">
        <w:rPr>
          <w:color w:val="000000"/>
        </w:rPr>
        <w:t xml:space="preserve">, the </w:t>
      </w:r>
      <w:r w:rsidR="003A69C1">
        <w:rPr>
          <w:color w:val="000000"/>
        </w:rPr>
        <w:t>NCUA</w:t>
      </w:r>
      <w:r w:rsidR="00E30DBB">
        <w:rPr>
          <w:color w:val="000000"/>
        </w:rPr>
        <w:t xml:space="preserve">, the </w:t>
      </w:r>
      <w:r w:rsidR="003A69C1">
        <w:rPr>
          <w:color w:val="000000"/>
        </w:rPr>
        <w:t>OCC</w:t>
      </w:r>
      <w:r w:rsidR="00E30DBB">
        <w:rPr>
          <w:color w:val="000000"/>
        </w:rPr>
        <w:t xml:space="preserve">, the </w:t>
      </w:r>
      <w:r w:rsidR="003A69C1">
        <w:rPr>
          <w:color w:val="000000"/>
        </w:rPr>
        <w:t>OTS</w:t>
      </w:r>
      <w:r w:rsidR="00B57CF4">
        <w:rPr>
          <w:color w:val="000000"/>
        </w:rPr>
        <w:t xml:space="preserve"> and the FTC</w:t>
      </w:r>
      <w:r w:rsidR="00DD41E0">
        <w:t>.</w:t>
      </w:r>
    </w:p>
    <w:p w:rsidR="00412BC5" w:rsidRDefault="00412BC5" w:rsidP="00A31526"/>
    <w:p w:rsidR="003A69C1" w:rsidRPr="00202188" w:rsidRDefault="003A69C1" w:rsidP="003A69C1">
      <w:pPr>
        <w:pStyle w:val="Default"/>
        <w:rPr>
          <w:color w:val="auto"/>
        </w:rPr>
      </w:pPr>
      <w:r w:rsidRPr="00202188">
        <w:rPr>
          <w:b/>
          <w:bCs/>
        </w:rPr>
        <w:t xml:space="preserve">3. </w:t>
      </w:r>
      <w:r>
        <w:rPr>
          <w:b/>
          <w:bCs/>
        </w:rPr>
        <w:t xml:space="preserve"> </w:t>
      </w:r>
      <w:r w:rsidRPr="00202188">
        <w:rPr>
          <w:b/>
          <w:bCs/>
          <w:u w:val="single"/>
        </w:rPr>
        <w:t>Use of Information Technology</w:t>
      </w:r>
    </w:p>
    <w:p w:rsidR="00BD45AA" w:rsidRDefault="00BD45AA" w:rsidP="00BD45AA">
      <w:pPr>
        <w:rPr>
          <w:b/>
          <w:u w:val="single"/>
        </w:rPr>
      </w:pPr>
    </w:p>
    <w:p w:rsidR="00877ACB" w:rsidRDefault="00BD45AA" w:rsidP="00877ACB">
      <w:pPr>
        <w:ind w:firstLine="720"/>
      </w:pPr>
      <w:proofErr w:type="gramStart"/>
      <w:r>
        <w:t xml:space="preserve">Consistent with the aims of the </w:t>
      </w:r>
      <w:smartTag w:uri="schemas-westgroup-com/westlawcitation" w:element="typestatutes">
        <w:smartTagPr>
          <w:attr w:name="TagPropertiesKey_Link" w:val="Title XVII, 112 Stat 2681-749, 44"/>
          <w:attr w:name="TagPropertiesForm" w:val="0"/>
          <w:attr w:name="TagPropertiesLongForm" w:val="Government Paperwork Elimination Act, Pub. L. 105-277, Title XVII, 112 Stat. 2681-749, 44"/>
          <w:attr w:name="TagPropertiesShortForm" w:val="Title XVII, 112 Stat 2681-749, 44"/>
          <w:attr w:name="TagPropertiesJuris" w:val="1"/>
          <w:attr w:name="TagPropertiesCategory" w:val="1"/>
        </w:smartTagPr>
        <w:smartTag w:uri="schemas-westgroup-com/westlawcitation" w:element="typestatutes">
          <w:smartTagPr>
            <w:attr w:name="TagPropertiesCategory" w:val="1"/>
            <w:attr w:name="TagPropertiesJuris" w:val="1"/>
            <w:attr w:name="TagPropertiesShortForm" w:val="Title XVII, 112 Stat 2681-749"/>
            <w:attr w:name="TagPropertiesLongForm" w:val="Government Paperwork Elimination Act, Pub. L. 105-277, Title XVII, 112 Stat. 2681-749"/>
            <w:attr w:name="TagPropertiesForm" w:val="0"/>
            <w:attr w:name="TagPropertiesKey_Link" w:val="Title XVII, 112 Stat 2681-749"/>
          </w:smartTagPr>
          <w:r>
            <w:t xml:space="preserve">Government Paperwork Elimination Act, </w:t>
          </w:r>
          <w:smartTag w:uri="schemas-westgroup-com/westlawcitation" w:element="typecases">
            <w:smartTagPr>
              <w:attr w:name="TagPropertiesCategory" w:val="1"/>
              <w:attr w:name="TagPropertiesJuris" w:val="1"/>
              <w:attr w:name="TagPropertiesShortForm" w:val="PL 105-277"/>
              <w:attr w:name="TagPropertiesLongForm" w:val="Pub. L. 105-277"/>
              <w:attr w:name="TagPropertiesForm" w:val="0"/>
              <w:attr w:name="TagPropertiesKey_Link" w:val="PL 105-277"/>
            </w:smartTagPr>
            <w:r>
              <w:t>Pub.</w:t>
            </w:r>
            <w:proofErr w:type="gramEnd"/>
            <w:r>
              <w:t xml:space="preserve"> L. 105-277</w:t>
            </w:r>
          </w:smartTag>
          <w:r w:rsidR="00CA58A4">
            <w:t xml:space="preserve">, Title XVII, </w:t>
          </w:r>
          <w:smartTag w:uri="schemas-westgroup-com/westlawcitation" w:element="typecases">
            <w:smartTagPr>
              <w:attr w:name="TagPropertiesCategory" w:val="1"/>
              <w:attr w:name="TagPropertiesJuris" w:val="1"/>
              <w:attr w:name="TagPropertiesShortForm" w:val="112 Stat 2681-749"/>
              <w:attr w:name="TagPropertiesLongForm" w:val="112 Stat. 2681-749"/>
              <w:attr w:name="TagPropertiesForm" w:val="0"/>
              <w:attr w:name="TagPropertiesKey_Link" w:val="112 Stat 2681-749"/>
            </w:smartTagPr>
            <w:r w:rsidR="00CA58A4">
              <w:t>112 Stat. 2681-749</w:t>
            </w:r>
          </w:smartTag>
        </w:smartTag>
        <w:r w:rsidR="00CA58A4">
          <w:t xml:space="preserve">, </w:t>
        </w:r>
        <w:smartTag w:uri="schemas-westgroup-com/westlawcitation" w:element="typecases">
          <w:smartTagPr>
            <w:attr w:name="TagPropertiesCategory" w:val="1"/>
            <w:attr w:name="TagPropertiesJuris" w:val="1"/>
            <w:attr w:name="TagPropertiesShortForm" w:val="44 USCA ﾧ 3504"/>
            <w:attr w:name="TagPropertiesLongForm" w:val="44 U.S.C. ﾧ 3504"/>
            <w:attr w:name="TagPropertiesForm" w:val="0"/>
            <w:attr w:name="TagPropertiesKey_Link" w:val="44 USCA ﾧ 3504"/>
          </w:smartTagPr>
          <w:r w:rsidR="00CA58A4">
            <w:t>44</w:t>
          </w:r>
        </w:smartTag>
      </w:smartTag>
      <w:r w:rsidR="00CA58A4">
        <w:t xml:space="preserve"> </w:t>
      </w:r>
      <w:smartTag w:uri="schemas-westgroup-com/westlawcitation" w:element="typestatutes">
        <w:smartTagPr>
          <w:attr w:name="TagPropertiesKey_Link" w:val="USCA ﾧ 3504"/>
          <w:attr w:name="TagPropertiesForm" w:val="0"/>
          <w:attr w:name="TagPropertiesLongForm" w:val="U.S.C. ﾧ 3504"/>
          <w:attr w:name="TagPropertiesShortForm" w:val="USCA ﾧ 3504"/>
          <w:attr w:name="TagPropertiesJuris" w:val="1"/>
          <w:attr w:name="TagPropertiesCategory" w:val="1"/>
        </w:smartTagPr>
        <w:r w:rsidR="00CA58A4">
          <w:t>U.S.C. § 3504</w:t>
        </w:r>
      </w:smartTag>
      <w:r w:rsidR="00CA58A4">
        <w:t xml:space="preserve"> note, </w:t>
      </w:r>
      <w:r w:rsidR="00002110">
        <w:t xml:space="preserve">the </w:t>
      </w:r>
      <w:r w:rsidR="00ED57FA">
        <w:t>forms</w:t>
      </w:r>
      <w:r w:rsidR="0030237F">
        <w:t xml:space="preserve"> allow</w:t>
      </w:r>
      <w:r w:rsidR="00CA58A4">
        <w:t xml:space="preserve"> creditors </w:t>
      </w:r>
      <w:r w:rsidR="0030237F">
        <w:t xml:space="preserve">to </w:t>
      </w:r>
      <w:r w:rsidR="00CA58A4">
        <w:t>us</w:t>
      </w:r>
      <w:r w:rsidR="0030237F">
        <w:t xml:space="preserve">e applicable </w:t>
      </w:r>
      <w:r w:rsidR="00CA58A4">
        <w:t>technologies t</w:t>
      </w:r>
      <w:r w:rsidR="0073272D">
        <w:t xml:space="preserve">o reduce compliance costs.  </w:t>
      </w:r>
      <w:r w:rsidR="00F00502">
        <w:t>Financial institutions</w:t>
      </w:r>
      <w:r w:rsidR="00877ACB">
        <w:t xml:space="preserve"> may use any existing technology relevant to producing the notice, obtaining the consumer opt out determination, and maintaining records of the notice and opt out determination.</w:t>
      </w:r>
    </w:p>
    <w:p w:rsidR="00412BC5" w:rsidRDefault="00412BC5" w:rsidP="00A31526"/>
    <w:p w:rsidR="003A69C1" w:rsidRPr="00202188" w:rsidRDefault="003A69C1" w:rsidP="003A69C1">
      <w:pPr>
        <w:pStyle w:val="CM12"/>
        <w:spacing w:line="276" w:lineRule="atLeast"/>
      </w:pPr>
      <w:r w:rsidRPr="00202188">
        <w:rPr>
          <w:b/>
          <w:bCs/>
        </w:rPr>
        <w:t xml:space="preserve">4. </w:t>
      </w:r>
      <w:r>
        <w:rPr>
          <w:b/>
          <w:bCs/>
        </w:rPr>
        <w:t xml:space="preserve"> </w:t>
      </w:r>
      <w:r w:rsidRPr="00202188">
        <w:rPr>
          <w:b/>
          <w:bCs/>
          <w:u w:val="single"/>
        </w:rPr>
        <w:t>Efforts to Identify Duplication</w:t>
      </w:r>
    </w:p>
    <w:p w:rsidR="0073272D" w:rsidRDefault="0073272D" w:rsidP="0073272D">
      <w:pPr>
        <w:rPr>
          <w:b/>
          <w:u w:val="single"/>
        </w:rPr>
      </w:pPr>
    </w:p>
    <w:p w:rsidR="00B57CF4" w:rsidRDefault="00877ACB" w:rsidP="00F00502">
      <w:pPr>
        <w:ind w:firstLine="720"/>
      </w:pPr>
      <w:r>
        <w:t>There is no duplication.  The information is not available from any other source.</w:t>
      </w:r>
    </w:p>
    <w:p w:rsidR="00EE09E2" w:rsidRDefault="00877ACB" w:rsidP="00EE09E2">
      <w:r>
        <w:t xml:space="preserve">  </w:t>
      </w:r>
    </w:p>
    <w:p w:rsidR="00412BC5" w:rsidRPr="003A69C1" w:rsidRDefault="003A69C1" w:rsidP="003A69C1">
      <w:pPr>
        <w:pStyle w:val="CM12"/>
        <w:spacing w:line="276" w:lineRule="atLeast"/>
      </w:pPr>
      <w:r w:rsidRPr="00202188">
        <w:rPr>
          <w:b/>
          <w:bCs/>
        </w:rPr>
        <w:t xml:space="preserve">5. </w:t>
      </w:r>
      <w:r>
        <w:rPr>
          <w:b/>
          <w:bCs/>
        </w:rPr>
        <w:t xml:space="preserve"> </w:t>
      </w:r>
      <w:r w:rsidRPr="00202188">
        <w:rPr>
          <w:b/>
          <w:bCs/>
          <w:u w:val="single"/>
        </w:rPr>
        <w:t>Efforts to Minimize Burdens on Small Entities</w:t>
      </w:r>
    </w:p>
    <w:p w:rsidR="0073272D" w:rsidRDefault="0073272D" w:rsidP="0073272D">
      <w:pPr>
        <w:rPr>
          <w:b/>
          <w:u w:val="single"/>
        </w:rPr>
      </w:pPr>
    </w:p>
    <w:p w:rsidR="0073272D" w:rsidRPr="0073272D" w:rsidRDefault="00877ACB" w:rsidP="00C40071">
      <w:pPr>
        <w:ind w:firstLine="720"/>
      </w:pPr>
      <w:r>
        <w:t>Regulation V</w:t>
      </w:r>
      <w:r w:rsidR="00714A50" w:rsidRPr="00877ACB">
        <w:t xml:space="preserve"> include</w:t>
      </w:r>
      <w:r>
        <w:t>s</w:t>
      </w:r>
      <w:r w:rsidR="00714A50" w:rsidRPr="00877ACB">
        <w:t xml:space="preserve"> model notice</w:t>
      </w:r>
      <w:r w:rsidR="00DD41E0" w:rsidRPr="00877ACB">
        <w:t>s that</w:t>
      </w:r>
      <w:r w:rsidR="00714A50" w:rsidRPr="00877ACB">
        <w:t xml:space="preserve"> businesses may use to comply with </w:t>
      </w:r>
      <w:r w:rsidR="00DD41E0" w:rsidRPr="00877ACB">
        <w:t xml:space="preserve">regulatory </w:t>
      </w:r>
      <w:r w:rsidR="00714A50" w:rsidRPr="00877ACB">
        <w:t>requirement</w:t>
      </w:r>
      <w:r w:rsidR="00DD41E0" w:rsidRPr="00877ACB">
        <w:t>s</w:t>
      </w:r>
      <w:r w:rsidR="00690391" w:rsidRPr="00877ACB">
        <w:t xml:space="preserve">, </w:t>
      </w:r>
      <w:r w:rsidR="00DD41E0" w:rsidRPr="00877ACB">
        <w:t xml:space="preserve">and </w:t>
      </w:r>
      <w:r w:rsidR="00690391" w:rsidRPr="00877ACB">
        <w:t xml:space="preserve">which are very similar or identical to previous model notices circulated by </w:t>
      </w:r>
      <w:r w:rsidR="00E30DBB" w:rsidRPr="00877ACB">
        <w:t xml:space="preserve">the </w:t>
      </w:r>
      <w:r w:rsidR="00E30DBB" w:rsidRPr="00877ACB">
        <w:rPr>
          <w:color w:val="000000"/>
        </w:rPr>
        <w:t xml:space="preserve">Board, the </w:t>
      </w:r>
      <w:r w:rsidR="003A69C1" w:rsidRPr="00877ACB">
        <w:rPr>
          <w:color w:val="000000"/>
        </w:rPr>
        <w:t>FDIC</w:t>
      </w:r>
      <w:r w:rsidR="00E30DBB" w:rsidRPr="00877ACB">
        <w:rPr>
          <w:color w:val="000000"/>
        </w:rPr>
        <w:t xml:space="preserve">, the </w:t>
      </w:r>
      <w:r w:rsidR="003A69C1" w:rsidRPr="00877ACB">
        <w:rPr>
          <w:color w:val="000000"/>
        </w:rPr>
        <w:t>NCUA</w:t>
      </w:r>
      <w:r w:rsidR="00E30DBB" w:rsidRPr="00877ACB">
        <w:rPr>
          <w:color w:val="000000"/>
        </w:rPr>
        <w:t xml:space="preserve">, the </w:t>
      </w:r>
      <w:r w:rsidR="003A69C1" w:rsidRPr="00877ACB">
        <w:rPr>
          <w:color w:val="000000"/>
        </w:rPr>
        <w:t>OCC</w:t>
      </w:r>
      <w:r w:rsidR="00E30DBB" w:rsidRPr="00877ACB">
        <w:rPr>
          <w:color w:val="000000"/>
        </w:rPr>
        <w:t xml:space="preserve">, the </w:t>
      </w:r>
      <w:r w:rsidR="003A69C1" w:rsidRPr="00877ACB">
        <w:rPr>
          <w:color w:val="000000"/>
        </w:rPr>
        <w:t>OTS</w:t>
      </w:r>
      <w:r w:rsidR="00E30DBB" w:rsidRPr="00877ACB">
        <w:rPr>
          <w:color w:val="000000"/>
        </w:rPr>
        <w:t xml:space="preserve">, </w:t>
      </w:r>
      <w:r w:rsidR="00E30DBB" w:rsidRPr="00877ACB">
        <w:t xml:space="preserve">and the </w:t>
      </w:r>
      <w:r w:rsidR="003A69C1" w:rsidRPr="00877ACB">
        <w:t>FTC.</w:t>
      </w:r>
      <w:r w:rsidR="00714A50" w:rsidRPr="00877ACB">
        <w:t xml:space="preserve">  By </w:t>
      </w:r>
      <w:r w:rsidR="00A814BA" w:rsidRPr="00877ACB">
        <w:t xml:space="preserve">minimizing the proposed alterations to model forms, </w:t>
      </w:r>
      <w:r w:rsidR="00714A50" w:rsidRPr="00877ACB">
        <w:t xml:space="preserve">the </w:t>
      </w:r>
      <w:r w:rsidR="003A69C1" w:rsidRPr="00877ACB">
        <w:t>CFPB</w:t>
      </w:r>
      <w:r w:rsidR="004B705E" w:rsidRPr="00877ACB">
        <w:t xml:space="preserve"> </w:t>
      </w:r>
      <w:r w:rsidR="00714A50" w:rsidRPr="00877ACB">
        <w:t>ha</w:t>
      </w:r>
      <w:r w:rsidR="00690391" w:rsidRPr="00877ACB">
        <w:t>s</w:t>
      </w:r>
      <w:r w:rsidR="00714A50" w:rsidRPr="00877ACB">
        <w:t xml:space="preserve"> sought to help businesses of all sizes reduce the burden or inconvenience of complying with the amendments to the </w:t>
      </w:r>
      <w:r w:rsidR="00215147" w:rsidRPr="00877ACB">
        <w:t>regulations</w:t>
      </w:r>
      <w:r w:rsidR="00714A50" w:rsidRPr="00877ACB">
        <w:t>.</w:t>
      </w:r>
    </w:p>
    <w:p w:rsidR="00412BC5" w:rsidRDefault="00412BC5" w:rsidP="00A31526">
      <w:pPr>
        <w:rPr>
          <w:u w:val="single"/>
        </w:rPr>
      </w:pPr>
    </w:p>
    <w:p w:rsidR="00412BC5" w:rsidRPr="003A69C1" w:rsidRDefault="003A69C1" w:rsidP="003A69C1">
      <w:pPr>
        <w:pStyle w:val="CM12"/>
        <w:spacing w:line="276" w:lineRule="atLeast"/>
      </w:pPr>
      <w:r w:rsidRPr="00202188">
        <w:rPr>
          <w:b/>
          <w:bCs/>
        </w:rPr>
        <w:t xml:space="preserve">6. </w:t>
      </w:r>
      <w:r>
        <w:rPr>
          <w:b/>
          <w:bCs/>
        </w:rPr>
        <w:t xml:space="preserve"> </w:t>
      </w:r>
      <w:r w:rsidRPr="00202188">
        <w:rPr>
          <w:b/>
          <w:bCs/>
          <w:u w:val="single"/>
        </w:rPr>
        <w:t>Consequences of Less Frequent Collection and Obstacles to Burden Reduction</w:t>
      </w:r>
    </w:p>
    <w:p w:rsidR="006057E6" w:rsidRDefault="006057E6" w:rsidP="004E6A36"/>
    <w:p w:rsidR="0029268C" w:rsidRDefault="00877ACB" w:rsidP="00DA62D0">
      <w:pPr>
        <w:ind w:firstLine="720"/>
      </w:pPr>
      <w:r>
        <w:t xml:space="preserve">The CFPB’s new regulation V </w:t>
      </w:r>
      <w:r w:rsidR="00213406">
        <w:t>do</w:t>
      </w:r>
      <w:r>
        <w:t>es</w:t>
      </w:r>
      <w:r w:rsidR="00A814BA">
        <w:t xml:space="preserve"> not affect the previous requirements of FCRA, which included requiring </w:t>
      </w:r>
      <w:r w:rsidR="00213406">
        <w:t xml:space="preserve">covered persons, as applicable, to alert consumers that a financial institution furnished negative information about them to a consumer reporting agency, that they have a right to opt out of receiving marketing materials and credit or insurance offers, that their consumer report was used in setting the material terms of credit that may be less favorable than the terms offered to consumers with better credit histories, that they maintain certain rights with respect to a theft of their identity that they reported to a consumer reporting agency, that they maintain rights with respect to knowing what is in their consumer reporting agency file, that they can request a free credit report, and that they can report a theft of their identity to the </w:t>
      </w:r>
      <w:r w:rsidR="003A69C1">
        <w:t>CFPB</w:t>
      </w:r>
      <w:r w:rsidR="00213406">
        <w:t xml:space="preserve">.  </w:t>
      </w:r>
      <w:r w:rsidR="00DD294E">
        <w:t>Since c</w:t>
      </w:r>
      <w:r w:rsidR="00DA62D0" w:rsidRPr="00A33EDF">
        <w:t>reditors</w:t>
      </w:r>
      <w:r w:rsidR="00DD294E">
        <w:t xml:space="preserve"> are already required to provide </w:t>
      </w:r>
      <w:r w:rsidR="00213406">
        <w:t>the relevant</w:t>
      </w:r>
      <w:r w:rsidR="00DD294E">
        <w:t xml:space="preserve"> notices, the burden of updating notices to include </w:t>
      </w:r>
      <w:r w:rsidR="00F00502">
        <w:t>references to the CFPB where applicable</w:t>
      </w:r>
      <w:r w:rsidR="00DD294E">
        <w:t xml:space="preserve"> is minimal.</w:t>
      </w:r>
      <w:r w:rsidR="0052337B" w:rsidRPr="00A33EDF">
        <w:t xml:space="preserve"> </w:t>
      </w:r>
      <w:r w:rsidR="006912D3">
        <w:t xml:space="preserve"> </w:t>
      </w:r>
      <w:r w:rsidR="0052337B" w:rsidRPr="00A33EDF">
        <w:t xml:space="preserve">The burden </w:t>
      </w:r>
      <w:r w:rsidR="00D23278">
        <w:t xml:space="preserve">of complying is </w:t>
      </w:r>
      <w:r w:rsidR="00DD294E">
        <w:t xml:space="preserve">further diminished by the provision of model </w:t>
      </w:r>
      <w:r w:rsidR="002119E8">
        <w:t>notices</w:t>
      </w:r>
      <w:r w:rsidR="00DD294E">
        <w:t xml:space="preserve"> </w:t>
      </w:r>
      <w:r w:rsidR="00521A17">
        <w:t>that</w:t>
      </w:r>
      <w:r w:rsidR="00DD294E">
        <w:t xml:space="preserve"> creditors may </w:t>
      </w:r>
      <w:r w:rsidR="00F00502">
        <w:t xml:space="preserve">continue to </w:t>
      </w:r>
      <w:r w:rsidR="00DD294E">
        <w:t>use</w:t>
      </w:r>
      <w:r w:rsidR="00797237" w:rsidRPr="00A33EDF">
        <w:t>.</w:t>
      </w:r>
      <w:r w:rsidR="00677976">
        <w:t xml:space="preserve">  </w:t>
      </w:r>
    </w:p>
    <w:p w:rsidR="00F247F5" w:rsidRDefault="00F247F5" w:rsidP="00F247F5">
      <w:pPr>
        <w:rPr>
          <w:u w:val="single"/>
        </w:rPr>
      </w:pPr>
    </w:p>
    <w:p w:rsidR="003A69C1" w:rsidRPr="00202188" w:rsidRDefault="003A69C1" w:rsidP="003A69C1">
      <w:pPr>
        <w:pStyle w:val="Default"/>
        <w:rPr>
          <w:b/>
          <w:bCs/>
          <w:u w:val="single"/>
        </w:rPr>
      </w:pPr>
      <w:r w:rsidRPr="00202188">
        <w:rPr>
          <w:b/>
          <w:bCs/>
        </w:rPr>
        <w:lastRenderedPageBreak/>
        <w:t xml:space="preserve">7. </w:t>
      </w:r>
      <w:r>
        <w:rPr>
          <w:b/>
          <w:bCs/>
        </w:rPr>
        <w:t xml:space="preserve"> </w:t>
      </w:r>
      <w:r w:rsidRPr="00202188">
        <w:rPr>
          <w:b/>
          <w:bCs/>
          <w:u w:val="single"/>
        </w:rPr>
        <w:t>Circumstances Requiring Special Information Collection</w:t>
      </w:r>
    </w:p>
    <w:p w:rsidR="00B432EF" w:rsidRDefault="00B432EF" w:rsidP="00B432EF">
      <w:pPr>
        <w:rPr>
          <w:u w:val="single"/>
        </w:rPr>
      </w:pPr>
    </w:p>
    <w:p w:rsidR="00B432EF" w:rsidRDefault="00B432EF" w:rsidP="00F247F5">
      <w:pPr>
        <w:ind w:firstLine="720"/>
      </w:pPr>
      <w:r>
        <w:t>The collection</w:t>
      </w:r>
      <w:r w:rsidR="003E5194">
        <w:t>s</w:t>
      </w:r>
      <w:r>
        <w:t xml:space="preserve"> of information in </w:t>
      </w:r>
      <w:r w:rsidR="00877ACB">
        <w:t>Regulation V</w:t>
      </w:r>
      <w:r>
        <w:t xml:space="preserve"> </w:t>
      </w:r>
      <w:r w:rsidR="003E5194">
        <w:t xml:space="preserve">are </w:t>
      </w:r>
      <w:r>
        <w:t xml:space="preserve">consistent with </w:t>
      </w:r>
      <w:r w:rsidR="00703D3C">
        <w:t xml:space="preserve">the </w:t>
      </w:r>
      <w:r>
        <w:t xml:space="preserve">applicable guidelines contained in 5 </w:t>
      </w:r>
      <w:r w:rsidR="003E5194">
        <w:t>CFR</w:t>
      </w:r>
      <w:r>
        <w:t xml:space="preserve"> 1320.5(d</w:t>
      </w:r>
      <w:proofErr w:type="gramStart"/>
      <w:r>
        <w:t>)(</w:t>
      </w:r>
      <w:proofErr w:type="gramEnd"/>
      <w:r>
        <w:t>2).</w:t>
      </w:r>
    </w:p>
    <w:p w:rsidR="005C6AF6" w:rsidRPr="00B432EF" w:rsidRDefault="005C6AF6" w:rsidP="005C6AF6"/>
    <w:p w:rsidR="003A69C1" w:rsidRPr="00202188" w:rsidRDefault="003A69C1" w:rsidP="003A69C1">
      <w:pPr>
        <w:pStyle w:val="CM12"/>
        <w:spacing w:line="276" w:lineRule="atLeast"/>
        <w:rPr>
          <w:b/>
          <w:bCs/>
          <w:u w:val="single"/>
        </w:rPr>
      </w:pPr>
      <w:r w:rsidRPr="00202188">
        <w:rPr>
          <w:b/>
          <w:bCs/>
        </w:rPr>
        <w:t xml:space="preserve">8. </w:t>
      </w:r>
      <w:r>
        <w:rPr>
          <w:b/>
          <w:bCs/>
        </w:rPr>
        <w:t xml:space="preserve"> </w:t>
      </w:r>
      <w:r>
        <w:rPr>
          <w:b/>
          <w:bCs/>
          <w:u w:val="single"/>
        </w:rPr>
        <w:t xml:space="preserve">Consultation </w:t>
      </w:r>
      <w:proofErr w:type="gramStart"/>
      <w:r>
        <w:rPr>
          <w:b/>
          <w:bCs/>
          <w:u w:val="single"/>
        </w:rPr>
        <w:t>Outside</w:t>
      </w:r>
      <w:proofErr w:type="gramEnd"/>
      <w:r>
        <w:rPr>
          <w:b/>
          <w:bCs/>
          <w:u w:val="single"/>
        </w:rPr>
        <w:t xml:space="preserve"> the Agency</w:t>
      </w:r>
    </w:p>
    <w:p w:rsidR="00B432EF" w:rsidRDefault="00B432EF" w:rsidP="00B432EF">
      <w:pPr>
        <w:rPr>
          <w:b/>
          <w:u w:val="single"/>
        </w:rPr>
      </w:pPr>
    </w:p>
    <w:p w:rsidR="00230DF5" w:rsidRDefault="00C32735" w:rsidP="003A69C1">
      <w:pPr>
        <w:ind w:firstLine="360"/>
      </w:pPr>
      <w:r>
        <w:t xml:space="preserve">This Supporting Statement is based on </w:t>
      </w:r>
      <w:r w:rsidR="003E5194">
        <w:t xml:space="preserve">the </w:t>
      </w:r>
      <w:r w:rsidR="002B42D5">
        <w:t>FTC</w:t>
      </w:r>
      <w:r>
        <w:t xml:space="preserve">’s most recent Supporting Statement </w:t>
      </w:r>
      <w:r w:rsidR="002B42D5">
        <w:t>for OMB Control Number 3084-0145</w:t>
      </w:r>
      <w:r>
        <w:t xml:space="preserve"> (Supporting Statement for Information Colle</w:t>
      </w:r>
      <w:r w:rsidR="002B42D5">
        <w:t>ction Provisions of Regulation V (Fair Credit Reporting Act</w:t>
      </w:r>
      <w:r>
        <w:t>)).  The CFPB has consulted with the FTC with respect to burden allocations.  As this is a request for emergency processing and approval of the transfer of certain burdens from existing information collections to the CFPB, the CFPB has not sought public comment on this information collection request.  Upon receipt of OMB’s emergency approval, the CFPB will begin the standard approval process and will seek public input</w:t>
      </w:r>
      <w:r w:rsidR="003E58CC">
        <w:t xml:space="preserve"> and input from other agencies</w:t>
      </w:r>
      <w:r>
        <w:t xml:space="preserve"> at that time.</w:t>
      </w:r>
    </w:p>
    <w:p w:rsidR="00C32735" w:rsidRPr="002A56AD" w:rsidRDefault="00C32735" w:rsidP="00230DF5"/>
    <w:p w:rsidR="003A69C1" w:rsidRPr="00202188" w:rsidRDefault="003A69C1" w:rsidP="003A69C1">
      <w:pPr>
        <w:pStyle w:val="Default"/>
        <w:tabs>
          <w:tab w:val="left" w:pos="720"/>
        </w:tabs>
        <w:rPr>
          <w:color w:val="auto"/>
        </w:rPr>
      </w:pPr>
      <w:r w:rsidRPr="00202188">
        <w:rPr>
          <w:b/>
          <w:bCs/>
          <w:color w:val="auto"/>
        </w:rPr>
        <w:t>9.</w:t>
      </w:r>
      <w:r>
        <w:rPr>
          <w:b/>
          <w:bCs/>
          <w:color w:val="auto"/>
        </w:rPr>
        <w:t xml:space="preserve"> </w:t>
      </w:r>
      <w:r w:rsidRPr="00202188">
        <w:rPr>
          <w:b/>
          <w:bCs/>
          <w:color w:val="auto"/>
          <w:u w:val="single"/>
        </w:rPr>
        <w:t xml:space="preserve"> Payments or Gifts to Respondents</w:t>
      </w:r>
    </w:p>
    <w:p w:rsidR="005D26B6" w:rsidRDefault="005D26B6" w:rsidP="00527ACB"/>
    <w:p w:rsidR="00770CF1" w:rsidRDefault="00770CF1" w:rsidP="00770CF1">
      <w:pPr>
        <w:ind w:left="360" w:firstLine="360"/>
      </w:pPr>
      <w:r>
        <w:t>Not applicable.</w:t>
      </w:r>
    </w:p>
    <w:p w:rsidR="00EE09E2" w:rsidRPr="00770CF1" w:rsidRDefault="00EE09E2" w:rsidP="00EE09E2"/>
    <w:p w:rsidR="003A69C1" w:rsidRPr="00202188" w:rsidRDefault="003A69C1" w:rsidP="003A69C1">
      <w:pPr>
        <w:pStyle w:val="Default"/>
        <w:rPr>
          <w:color w:val="auto"/>
        </w:rPr>
      </w:pPr>
      <w:proofErr w:type="gramStart"/>
      <w:r w:rsidRPr="00202188">
        <w:rPr>
          <w:b/>
          <w:bCs/>
          <w:color w:val="auto"/>
        </w:rPr>
        <w:t>10. &amp; 11.</w:t>
      </w:r>
      <w:proofErr w:type="gramEnd"/>
      <w:r w:rsidRPr="00202188">
        <w:rPr>
          <w:b/>
          <w:bCs/>
          <w:color w:val="auto"/>
        </w:rPr>
        <w:t xml:space="preserve"> </w:t>
      </w:r>
      <w:r>
        <w:rPr>
          <w:b/>
          <w:bCs/>
          <w:color w:val="auto"/>
        </w:rPr>
        <w:t xml:space="preserve"> </w:t>
      </w:r>
      <w:r w:rsidRPr="00202188">
        <w:rPr>
          <w:b/>
          <w:bCs/>
          <w:color w:val="auto"/>
          <w:u w:val="single"/>
        </w:rPr>
        <w:t xml:space="preserve">Assurances of Confidentiality/Justification </w:t>
      </w:r>
      <w:r>
        <w:rPr>
          <w:b/>
          <w:bCs/>
          <w:color w:val="auto"/>
          <w:u w:val="single"/>
        </w:rPr>
        <w:t>for</w:t>
      </w:r>
      <w:r w:rsidRPr="00202188">
        <w:rPr>
          <w:b/>
          <w:bCs/>
          <w:color w:val="auto"/>
          <w:u w:val="single"/>
        </w:rPr>
        <w:t xml:space="preserve"> Sensitive Questions</w:t>
      </w:r>
    </w:p>
    <w:p w:rsidR="006345D5" w:rsidRDefault="006345D5" w:rsidP="006345D5">
      <w:pPr>
        <w:rPr>
          <w:b/>
        </w:rPr>
      </w:pPr>
    </w:p>
    <w:p w:rsidR="000210CD" w:rsidRDefault="006345D5" w:rsidP="00DA2F9B">
      <w:pPr>
        <w:ind w:firstLine="720"/>
      </w:pPr>
      <w:r>
        <w:t xml:space="preserve">No assurance of confidentiality is necessary because the </w:t>
      </w:r>
      <w:r w:rsidR="003E58CC">
        <w:t xml:space="preserve">information collections </w:t>
      </w:r>
      <w:r w:rsidR="00EE09E2">
        <w:t>do</w:t>
      </w:r>
      <w:r>
        <w:t xml:space="preserve"> not require creditors to register or file an</w:t>
      </w:r>
      <w:r w:rsidR="00062729">
        <w:t xml:space="preserve">y documents with the </w:t>
      </w:r>
      <w:r w:rsidR="003A69C1">
        <w:t>CFPB</w:t>
      </w:r>
      <w:r w:rsidR="00062729" w:rsidRPr="00F00502">
        <w:t>.</w:t>
      </w:r>
      <w:r w:rsidR="00760BE9" w:rsidRPr="00F00502">
        <w:t xml:space="preserve">  No sensitive questions are posed in the </w:t>
      </w:r>
      <w:r w:rsidR="003E58CC" w:rsidRPr="00F00502">
        <w:t>information collection.</w:t>
      </w:r>
    </w:p>
    <w:p w:rsidR="00E206F8" w:rsidRDefault="00E206F8" w:rsidP="00DA2F9B">
      <w:pPr>
        <w:ind w:firstLine="720"/>
        <w:rPr>
          <w:u w:val="single"/>
        </w:rPr>
      </w:pPr>
    </w:p>
    <w:p w:rsidR="003A69C1" w:rsidRDefault="003A69C1" w:rsidP="003A69C1">
      <w:pPr>
        <w:pStyle w:val="Default"/>
      </w:pPr>
      <w:r w:rsidRPr="00202188">
        <w:rPr>
          <w:b/>
          <w:bCs/>
        </w:rPr>
        <w:t xml:space="preserve">12. </w:t>
      </w:r>
      <w:r>
        <w:rPr>
          <w:b/>
          <w:bCs/>
        </w:rPr>
        <w:t xml:space="preserve"> </w:t>
      </w:r>
      <w:r w:rsidRPr="00202188">
        <w:rPr>
          <w:b/>
          <w:bCs/>
          <w:u w:val="single"/>
        </w:rPr>
        <w:t xml:space="preserve">Estimated </w:t>
      </w:r>
      <w:r>
        <w:rPr>
          <w:b/>
          <w:bCs/>
          <w:u w:val="single"/>
        </w:rPr>
        <w:t>Burden of Information Collection</w:t>
      </w:r>
    </w:p>
    <w:p w:rsidR="00381F66" w:rsidRDefault="00381F66" w:rsidP="00381F66">
      <w:pPr>
        <w:tabs>
          <w:tab w:val="num" w:pos="1440"/>
        </w:tabs>
        <w:rPr>
          <w:b/>
          <w:u w:val="single"/>
        </w:rPr>
      </w:pPr>
    </w:p>
    <w:p w:rsidR="002B42D5" w:rsidRPr="00C37575" w:rsidRDefault="002B42D5" w:rsidP="002B42D5">
      <w:pPr>
        <w:pStyle w:val="Default"/>
      </w:pPr>
      <w:r w:rsidRPr="00C37575">
        <w:rPr>
          <w:u w:val="single"/>
        </w:rPr>
        <w:t>Hours:</w:t>
      </w:r>
      <w:r>
        <w:t xml:space="preserve"> </w:t>
      </w:r>
      <w:r w:rsidR="003F6CD3">
        <w:t>4,7</w:t>
      </w:r>
      <w:r w:rsidR="003C18C7">
        <w:t>37</w:t>
      </w:r>
      <w:r w:rsidR="003F6CD3">
        <w:t>,000</w:t>
      </w:r>
    </w:p>
    <w:p w:rsidR="002B42D5" w:rsidRPr="00C37575" w:rsidRDefault="002B42D5" w:rsidP="002B42D5">
      <w:pPr>
        <w:pStyle w:val="CM12"/>
        <w:spacing w:line="276" w:lineRule="atLeast"/>
      </w:pPr>
    </w:p>
    <w:p w:rsidR="00B57CF4" w:rsidRDefault="00B57CF4" w:rsidP="002B42D5">
      <w:pPr>
        <w:pStyle w:val="CM13"/>
        <w:spacing w:line="276" w:lineRule="atLeast"/>
        <w:ind w:right="410" w:firstLine="720"/>
      </w:pPr>
      <w:r w:rsidRPr="00C37575">
        <w:t xml:space="preserve">CFPB’s estimate of </w:t>
      </w:r>
      <w:r>
        <w:t xml:space="preserve">the </w:t>
      </w:r>
      <w:r w:rsidRPr="00C37575">
        <w:t>burden for ongoing recordkeeping and disclosure</w:t>
      </w:r>
      <w:r>
        <w:t xml:space="preserve"> requirements under Regulation V</w:t>
      </w:r>
      <w:r w:rsidRPr="00C37575">
        <w:t xml:space="preserve"> is based on the assumption that the </w:t>
      </w:r>
      <w:r>
        <w:t xml:space="preserve">total </w:t>
      </w:r>
      <w:r w:rsidRPr="00C37575">
        <w:t>ongoing burden for this regulation</w:t>
      </w:r>
      <w:r>
        <w:t>, across all agencies,</w:t>
      </w:r>
      <w:r w:rsidRPr="00C37575">
        <w:t xml:space="preserve"> remains the same as it was before the regulation was restated by the CFPB.  Prior to the passage of the Dodd-Frank Act, the ongoing recordkeeping and disclosure burdens for Regulation </w:t>
      </w:r>
      <w:r>
        <w:t>V</w:t>
      </w:r>
      <w:r w:rsidRPr="00C37575">
        <w:t xml:space="preserve"> allocated to the prudential regulators and the FTC w</w:t>
      </w:r>
      <w:r>
        <w:t>ere approximately</w:t>
      </w:r>
      <w:r w:rsidR="00455FBA">
        <w:t xml:space="preserve"> </w:t>
      </w:r>
      <w:r w:rsidR="005D6854">
        <w:t>19,017,</w:t>
      </w:r>
      <w:r w:rsidR="00727F5E">
        <w:t xml:space="preserve">000 </w:t>
      </w:r>
      <w:r w:rsidRPr="00C37575">
        <w:t>hours.</w:t>
      </w:r>
      <w:r>
        <w:rPr>
          <w:rStyle w:val="FootnoteReference"/>
        </w:rPr>
        <w:footnoteReference w:id="2"/>
      </w:r>
      <w:r w:rsidRPr="00C37575">
        <w:t xml:space="preserve">  In light of </w:t>
      </w:r>
      <w:r w:rsidRPr="00C37575">
        <w:lastRenderedPageBreak/>
        <w:t xml:space="preserve">the changes made by the Dodd-Frank Act, </w:t>
      </w:r>
      <w:r w:rsidR="005D6854">
        <w:t>roughly 4,</w:t>
      </w:r>
      <w:r w:rsidR="00727F5E">
        <w:t>1</w:t>
      </w:r>
      <w:r w:rsidR="003C18C7">
        <w:t>57</w:t>
      </w:r>
      <w:r w:rsidR="005D6854">
        <w:t>,</w:t>
      </w:r>
      <w:r w:rsidR="00727F5E">
        <w:t>000</w:t>
      </w:r>
      <w:r w:rsidR="00727F5E" w:rsidRPr="00C37575">
        <w:t xml:space="preserve"> </w:t>
      </w:r>
      <w:r w:rsidRPr="00C37575">
        <w:t xml:space="preserve">hours of that burden is being reallocated to the CFPB.  </w:t>
      </w:r>
      <w:r>
        <w:t xml:space="preserve">Specifically, CPPB is being allocated burden </w:t>
      </w:r>
      <w:r w:rsidRPr="00C37575">
        <w:t xml:space="preserve">for 180 </w:t>
      </w:r>
      <w:r>
        <w:t xml:space="preserve">depository institutions </w:t>
      </w:r>
      <w:r w:rsidR="00727F5E">
        <w:t>(</w:t>
      </w:r>
      <w:r>
        <w:t xml:space="preserve">comprising </w:t>
      </w:r>
      <w:r w:rsidRPr="00C37575">
        <w:t xml:space="preserve">depository institutions </w:t>
      </w:r>
      <w:r>
        <w:t xml:space="preserve">with total assets of more than $10 billion </w:t>
      </w:r>
      <w:r w:rsidRPr="00C37575">
        <w:t>and their depository affiliates</w:t>
      </w:r>
      <w:r w:rsidR="00727F5E">
        <w:t xml:space="preserve">) </w:t>
      </w:r>
      <w:r w:rsidRPr="00C37575">
        <w:t xml:space="preserve">which is the approximate number of such depository entities that the CFPB now has primary enforcement authority for with respect to </w:t>
      </w:r>
      <w:r>
        <w:t xml:space="preserve">Regulation </w:t>
      </w:r>
      <w:r w:rsidR="005D6854">
        <w:t>V</w:t>
      </w:r>
      <w:r>
        <w:t>.</w:t>
      </w:r>
      <w:r w:rsidR="00727F5E">
        <w:rPr>
          <w:rStyle w:val="FootnoteReference"/>
        </w:rPr>
        <w:footnoteReference w:id="3"/>
      </w:r>
      <w:r>
        <w:t xml:space="preserve">  The CFPB is also being allocated half of the Federal Trade Commission (FTC) burden amount after subtracting the burden which the FTC has attributed to itself for motor vehicle dealers.</w:t>
      </w:r>
      <w:r>
        <w:rPr>
          <w:rStyle w:val="FootnoteReference"/>
        </w:rPr>
        <w:footnoteReference w:id="4"/>
      </w:r>
    </w:p>
    <w:p w:rsidR="00B57CF4" w:rsidRDefault="00B57CF4" w:rsidP="002B42D5">
      <w:pPr>
        <w:pStyle w:val="CM13"/>
        <w:spacing w:line="276" w:lineRule="atLeast"/>
        <w:ind w:right="410" w:firstLine="720"/>
      </w:pPr>
    </w:p>
    <w:p w:rsidR="002B42D5" w:rsidRPr="00C37575" w:rsidRDefault="002B42D5" w:rsidP="002B42D5">
      <w:pPr>
        <w:pStyle w:val="Default"/>
        <w:ind w:firstLine="720"/>
        <w:rPr>
          <w:color w:val="auto"/>
        </w:rPr>
      </w:pPr>
      <w:r w:rsidRPr="00C37575">
        <w:rPr>
          <w:color w:val="auto"/>
        </w:rPr>
        <w:t xml:space="preserve">In addition to the ongoing burden, the </w:t>
      </w:r>
      <w:proofErr w:type="spellStart"/>
      <w:r w:rsidRPr="00C37575">
        <w:rPr>
          <w:color w:val="auto"/>
        </w:rPr>
        <w:t>recodified</w:t>
      </w:r>
      <w:proofErr w:type="spellEnd"/>
      <w:r w:rsidRPr="00C37575">
        <w:rPr>
          <w:color w:val="auto"/>
        </w:rPr>
        <w:t xml:space="preserve"> </w:t>
      </w:r>
      <w:r>
        <w:rPr>
          <w:color w:val="auto"/>
        </w:rPr>
        <w:t>Regulation V</w:t>
      </w:r>
      <w:r w:rsidRPr="00C37575">
        <w:rPr>
          <w:color w:val="auto"/>
        </w:rPr>
        <w:t xml:space="preserve"> will imp</w:t>
      </w:r>
      <w:r>
        <w:rPr>
          <w:color w:val="auto"/>
        </w:rPr>
        <w:t xml:space="preserve">ose a one-time burden on creditors </w:t>
      </w:r>
      <w:r w:rsidRPr="00C37575">
        <w:rPr>
          <w:color w:val="auto"/>
        </w:rPr>
        <w:t>th</w:t>
      </w:r>
      <w:r>
        <w:rPr>
          <w:color w:val="auto"/>
        </w:rPr>
        <w:t xml:space="preserve">at need to update </w:t>
      </w:r>
      <w:r w:rsidR="009950E5">
        <w:rPr>
          <w:color w:val="auto"/>
        </w:rPr>
        <w:t xml:space="preserve">some or all of </w:t>
      </w:r>
      <w:r>
        <w:rPr>
          <w:color w:val="auto"/>
        </w:rPr>
        <w:t xml:space="preserve">eleven separate forms with references to the CFPB, among other changes.  </w:t>
      </w:r>
      <w:r w:rsidRPr="00C37575">
        <w:t>For the purposes of calculating the burden hours allocated to the CFPB</w:t>
      </w:r>
      <w:r w:rsidR="00703D3C">
        <w:t xml:space="preserve"> in light of the CFPB’s enforcement authority</w:t>
      </w:r>
      <w:r w:rsidRPr="00C37575">
        <w:t xml:space="preserve">, the CFPB estimates that the approximate total burden to make these one-time changes is </w:t>
      </w:r>
      <w:r w:rsidR="003F6CD3">
        <w:t>580,000</w:t>
      </w:r>
      <w:r w:rsidRPr="00C37575">
        <w:rPr>
          <w:color w:val="auto"/>
        </w:rPr>
        <w:t xml:space="preserve"> hours.  This</w:t>
      </w:r>
      <w:r>
        <w:rPr>
          <w:color w:val="auto"/>
        </w:rPr>
        <w:t xml:space="preserve"> estimate assumes that there will be a fair amount of increased efficiency with upda</w:t>
      </w:r>
      <w:r w:rsidR="009950E5">
        <w:rPr>
          <w:color w:val="auto"/>
        </w:rPr>
        <w:t xml:space="preserve">ting so many forms in a similar </w:t>
      </w:r>
      <w:r>
        <w:rPr>
          <w:color w:val="auto"/>
        </w:rPr>
        <w:t xml:space="preserve">manner, and so it </w:t>
      </w:r>
      <w:r w:rsidR="00211488">
        <w:rPr>
          <w:color w:val="auto"/>
        </w:rPr>
        <w:t>should</w:t>
      </w:r>
      <w:r>
        <w:rPr>
          <w:color w:val="auto"/>
        </w:rPr>
        <w:t xml:space="preserve"> take 2</w:t>
      </w:r>
      <w:r w:rsidRPr="00C37575">
        <w:rPr>
          <w:color w:val="auto"/>
        </w:rPr>
        <w:t xml:space="preserve"> hours </w:t>
      </w:r>
      <w:r>
        <w:rPr>
          <w:color w:val="auto"/>
        </w:rPr>
        <w:t>per form,</w:t>
      </w:r>
      <w:r w:rsidRPr="00C37575">
        <w:rPr>
          <w:color w:val="auto"/>
        </w:rPr>
        <w:t xml:space="preserve"> </w:t>
      </w:r>
      <w:r w:rsidR="009950E5">
        <w:rPr>
          <w:color w:val="auto"/>
        </w:rPr>
        <w:t xml:space="preserve">per firm, </w:t>
      </w:r>
      <w:r w:rsidRPr="00C37575">
        <w:rPr>
          <w:color w:val="auto"/>
        </w:rPr>
        <w:t>to make the</w:t>
      </w:r>
      <w:r>
        <w:rPr>
          <w:color w:val="auto"/>
        </w:rPr>
        <w:t xml:space="preserve"> necessary, yet simple,</w:t>
      </w:r>
      <w:r w:rsidRPr="00C37575">
        <w:rPr>
          <w:color w:val="auto"/>
        </w:rPr>
        <w:t xml:space="preserve"> form changes</w:t>
      </w:r>
      <w:r w:rsidR="00A448CC">
        <w:t>; the precise number of form changes varies with the type of affected firm</w:t>
      </w:r>
      <w:r w:rsidRPr="00C37575">
        <w:rPr>
          <w:color w:val="auto"/>
        </w:rPr>
        <w:t xml:space="preserve">.  </w:t>
      </w:r>
      <w:r w:rsidR="00F33277">
        <w:rPr>
          <w:color w:val="auto"/>
        </w:rPr>
        <w:t xml:space="preserve">Since the CFPB and the FTC are </w:t>
      </w:r>
      <w:r w:rsidR="003F6CD3">
        <w:rPr>
          <w:color w:val="auto"/>
        </w:rPr>
        <w:t xml:space="preserve">roughly </w:t>
      </w:r>
      <w:r w:rsidR="00F33277">
        <w:rPr>
          <w:color w:val="auto"/>
        </w:rPr>
        <w:t xml:space="preserve">splitting the burden associated with firms under the enforcement authority of both agencies, the CFPB is only </w:t>
      </w:r>
      <w:r w:rsidR="00C92068">
        <w:rPr>
          <w:color w:val="auto"/>
        </w:rPr>
        <w:t xml:space="preserve">being allocated </w:t>
      </w:r>
      <w:r w:rsidR="00F33277">
        <w:rPr>
          <w:color w:val="auto"/>
        </w:rPr>
        <w:t>one of the two hours estimated for each of the non-depository creditors.</w:t>
      </w:r>
      <w:r w:rsidR="00F33277" w:rsidRPr="00C37575">
        <w:rPr>
          <w:color w:val="auto"/>
        </w:rPr>
        <w:t xml:space="preserve"> </w:t>
      </w:r>
      <w:r w:rsidRPr="00C37575">
        <w:rPr>
          <w:color w:val="auto"/>
        </w:rPr>
        <w:t xml:space="preserve">This burden may be overstated to the extent that multiple firms use the same software vendors, </w:t>
      </w:r>
      <w:r w:rsidR="005D6854">
        <w:rPr>
          <w:color w:val="auto"/>
        </w:rPr>
        <w:t>who are able to spread any required burden over all of their affected clients</w:t>
      </w:r>
      <w:r w:rsidRPr="00C37575">
        <w:rPr>
          <w:color w:val="auto"/>
        </w:rPr>
        <w:t>.</w:t>
      </w:r>
      <w:r w:rsidR="00F33277">
        <w:rPr>
          <w:color w:val="auto"/>
        </w:rPr>
        <w:t xml:space="preserve">    </w:t>
      </w:r>
      <w:r w:rsidR="00F33277" w:rsidRPr="00CF49E9">
        <w:rPr>
          <w:color w:val="auto"/>
        </w:rPr>
        <w:t>These estimates may also be overstated because the Bureau is giving creditors one year to effect the changes, thus allowing creditors to include the changes in routine, scheduled systems updates during the next year</w:t>
      </w:r>
      <w:r w:rsidR="00F33277">
        <w:rPr>
          <w:color w:val="auto"/>
        </w:rPr>
        <w:t>.</w:t>
      </w:r>
    </w:p>
    <w:p w:rsidR="002B42D5" w:rsidRPr="00C37575" w:rsidRDefault="002B42D5" w:rsidP="002B42D5">
      <w:pPr>
        <w:pStyle w:val="Default"/>
        <w:rPr>
          <w:color w:val="auto"/>
        </w:rPr>
      </w:pPr>
    </w:p>
    <w:p w:rsidR="002B42D5" w:rsidRPr="00C37575" w:rsidRDefault="002B42D5" w:rsidP="002B42D5">
      <w:pPr>
        <w:pStyle w:val="Default"/>
        <w:rPr>
          <w:color w:val="auto"/>
        </w:rPr>
      </w:pPr>
      <w:r w:rsidRPr="00C37575">
        <w:rPr>
          <w:color w:val="auto"/>
          <w:u w:val="single"/>
        </w:rPr>
        <w:t>Associated Labor Costs:</w:t>
      </w:r>
      <w:r w:rsidR="00211488">
        <w:rPr>
          <w:color w:val="auto"/>
        </w:rPr>
        <w:t xml:space="preserve">  $ </w:t>
      </w:r>
      <w:r w:rsidR="003F6CD3">
        <w:rPr>
          <w:color w:val="auto"/>
        </w:rPr>
        <w:t>110,2</w:t>
      </w:r>
      <w:r w:rsidR="003C18C7">
        <w:rPr>
          <w:color w:val="auto"/>
        </w:rPr>
        <w:t>58</w:t>
      </w:r>
      <w:r w:rsidR="003F6CD3">
        <w:rPr>
          <w:color w:val="auto"/>
        </w:rPr>
        <w:t>,000</w:t>
      </w:r>
    </w:p>
    <w:p w:rsidR="002B42D5" w:rsidRPr="00C37575" w:rsidRDefault="002B42D5" w:rsidP="002B42D5">
      <w:pPr>
        <w:pStyle w:val="Default"/>
        <w:rPr>
          <w:color w:val="auto"/>
        </w:rPr>
      </w:pPr>
    </w:p>
    <w:p w:rsidR="002B42D5" w:rsidRPr="00C37575" w:rsidRDefault="002B42D5" w:rsidP="002B42D5">
      <w:pPr>
        <w:pStyle w:val="Default"/>
        <w:ind w:firstLine="720"/>
        <w:rPr>
          <w:color w:val="auto"/>
        </w:rPr>
      </w:pPr>
      <w:r w:rsidRPr="00C37575">
        <w:rPr>
          <w:color w:val="auto"/>
        </w:rPr>
        <w:t xml:space="preserve">The CFPB calculated labor costs by applying appropriate hourly cost figures to the burden hours described above.  The hourly rates used are those associated with the burden hours </w:t>
      </w:r>
      <w:r>
        <w:rPr>
          <w:color w:val="auto"/>
        </w:rPr>
        <w:t>assumed</w:t>
      </w:r>
      <w:r w:rsidRPr="00C37575">
        <w:rPr>
          <w:color w:val="auto"/>
        </w:rPr>
        <w:t xml:space="preserve"> from the other regulatory agencies, which differ by agency.</w:t>
      </w:r>
    </w:p>
    <w:p w:rsidR="002B42D5" w:rsidRPr="00C37575" w:rsidRDefault="002B42D5" w:rsidP="002B42D5">
      <w:pPr>
        <w:pStyle w:val="Default"/>
        <w:rPr>
          <w:color w:val="auto"/>
        </w:rPr>
      </w:pPr>
    </w:p>
    <w:p w:rsidR="002B42D5" w:rsidRPr="00C37575" w:rsidRDefault="002B42D5" w:rsidP="002B42D5">
      <w:pPr>
        <w:pStyle w:val="Default"/>
        <w:ind w:firstLine="720"/>
        <w:rPr>
          <w:color w:val="auto"/>
        </w:rPr>
      </w:pPr>
      <w:r w:rsidRPr="00C37575">
        <w:rPr>
          <w:color w:val="auto"/>
        </w:rPr>
        <w:t>The CFPB estimates that the ongoing recordkeeping and disclosure costs</w:t>
      </w:r>
      <w:r w:rsidR="00703D3C">
        <w:rPr>
          <w:color w:val="auto"/>
        </w:rPr>
        <w:t xml:space="preserve"> allocated to the CFPB</w:t>
      </w:r>
      <w:r w:rsidRPr="00C37575">
        <w:rPr>
          <w:color w:val="auto"/>
        </w:rPr>
        <w:t xml:space="preserve"> un</w:t>
      </w:r>
      <w:r>
        <w:rPr>
          <w:color w:val="auto"/>
        </w:rPr>
        <w:t>der Regulation V</w:t>
      </w:r>
      <w:r w:rsidR="00211488">
        <w:rPr>
          <w:color w:val="auto"/>
        </w:rPr>
        <w:t xml:space="preserve"> are $</w:t>
      </w:r>
      <w:r w:rsidR="00094093">
        <w:rPr>
          <w:color w:val="auto"/>
        </w:rPr>
        <w:t>92,1</w:t>
      </w:r>
      <w:r w:rsidR="003C18C7">
        <w:rPr>
          <w:color w:val="auto"/>
        </w:rPr>
        <w:t>76</w:t>
      </w:r>
      <w:r w:rsidR="00094093">
        <w:rPr>
          <w:color w:val="auto"/>
        </w:rPr>
        <w:t>,</w:t>
      </w:r>
      <w:r w:rsidR="00727F5E">
        <w:rPr>
          <w:color w:val="auto"/>
        </w:rPr>
        <w:t>000</w:t>
      </w:r>
      <w:r w:rsidRPr="00C37575">
        <w:rPr>
          <w:color w:val="auto"/>
        </w:rPr>
        <w:t xml:space="preserve">.  This estimate was calculated by summing the CFPB’s share of costs from the supporting statements of the other agencies, following each agency’s own cost analysis. For a detailed breakdown of the cost analysis, please reference the other agencies’ supporting statements for </w:t>
      </w:r>
      <w:r>
        <w:rPr>
          <w:color w:val="auto"/>
        </w:rPr>
        <w:t>Regulation V</w:t>
      </w:r>
      <w:r w:rsidRPr="00C37575">
        <w:rPr>
          <w:color w:val="auto"/>
        </w:rPr>
        <w:t>.</w:t>
      </w:r>
    </w:p>
    <w:p w:rsidR="002B42D5" w:rsidRPr="00C37575" w:rsidRDefault="002B42D5" w:rsidP="002B42D5">
      <w:pPr>
        <w:pStyle w:val="Default"/>
        <w:rPr>
          <w:color w:val="auto"/>
        </w:rPr>
      </w:pPr>
    </w:p>
    <w:p w:rsidR="0029356B" w:rsidRPr="00036061" w:rsidRDefault="002B42D5" w:rsidP="003A69C1">
      <w:pPr>
        <w:ind w:firstLine="720"/>
      </w:pPr>
      <w:r w:rsidRPr="00C37575">
        <w:lastRenderedPageBreak/>
        <w:t xml:space="preserve">For the purposes of calculating the </w:t>
      </w:r>
      <w:r w:rsidR="00082345">
        <w:t>costs</w:t>
      </w:r>
      <w:r w:rsidRPr="00C37575">
        <w:t xml:space="preserve"> allocated to the CFPB</w:t>
      </w:r>
      <w:r w:rsidR="00703D3C">
        <w:t xml:space="preserve"> in light of the CFPB’s enforcement authority</w:t>
      </w:r>
      <w:r w:rsidRPr="00C37575">
        <w:t>, for the one-time revisions t</w:t>
      </w:r>
      <w:r w:rsidR="00211488">
        <w:t>o the forms described above</w:t>
      </w:r>
      <w:r w:rsidRPr="00C37575">
        <w:t xml:space="preserve">, the CFPB estimates that the total one-time cost for these changes is </w:t>
      </w:r>
      <w:r w:rsidR="00211488">
        <w:t>$</w:t>
      </w:r>
      <w:r w:rsidR="003F6CD3">
        <w:t>18,082,000</w:t>
      </w:r>
      <w:r w:rsidRPr="00C37575">
        <w:t xml:space="preserve">.  These </w:t>
      </w:r>
      <w:r w:rsidR="00703D3C">
        <w:t>estimates</w:t>
      </w:r>
      <w:r w:rsidR="00703D3C" w:rsidRPr="00C37575">
        <w:t xml:space="preserve"> </w:t>
      </w:r>
      <w:r w:rsidRPr="00C37575">
        <w:t xml:space="preserve">may be overstated to the extent that multiple firms use the same software vendors, </w:t>
      </w:r>
      <w:r w:rsidR="005D6854">
        <w:t>who are able to spread any required burden over all of their affected clients</w:t>
      </w:r>
      <w:r w:rsidRPr="00C37575">
        <w:t>.</w:t>
      </w:r>
      <w:r w:rsidR="000C26B6">
        <w:t xml:space="preserve"> </w:t>
      </w:r>
      <w:r w:rsidR="000C26B6" w:rsidRPr="00CF49E9">
        <w:t xml:space="preserve">These estimates may also be overstated because the </w:t>
      </w:r>
      <w:r w:rsidR="00C92068">
        <w:t>CFP</w:t>
      </w:r>
      <w:r w:rsidR="000C26B6" w:rsidRPr="00CF49E9">
        <w:t>B is giving creditors one year to effect the changes, thus allowing creditors to include the changes in routine, scheduled systems updates during the next year</w:t>
      </w:r>
      <w:r w:rsidR="000C26B6">
        <w:t>.</w:t>
      </w:r>
    </w:p>
    <w:p w:rsidR="00CF0C54" w:rsidRDefault="00CF0C54" w:rsidP="00CF0C54"/>
    <w:p w:rsidR="003A69C1" w:rsidRPr="00202188" w:rsidRDefault="003A69C1" w:rsidP="003A69C1">
      <w:pPr>
        <w:pStyle w:val="CM12"/>
        <w:spacing w:line="276" w:lineRule="atLeast"/>
      </w:pPr>
      <w:r w:rsidRPr="00202188">
        <w:rPr>
          <w:b/>
          <w:bCs/>
        </w:rPr>
        <w:t xml:space="preserve">13. </w:t>
      </w:r>
      <w:r>
        <w:rPr>
          <w:b/>
          <w:bCs/>
        </w:rPr>
        <w:t xml:space="preserve"> </w:t>
      </w:r>
      <w:r w:rsidRPr="00202188">
        <w:rPr>
          <w:b/>
          <w:bCs/>
          <w:u w:val="single"/>
        </w:rPr>
        <w:t xml:space="preserve">Estimated Total Annual Cost Burden to </w:t>
      </w:r>
      <w:r>
        <w:rPr>
          <w:b/>
          <w:bCs/>
          <w:u w:val="single"/>
        </w:rPr>
        <w:t xml:space="preserve">Respondents or </w:t>
      </w:r>
      <w:proofErr w:type="spellStart"/>
      <w:r>
        <w:rPr>
          <w:b/>
          <w:bCs/>
          <w:u w:val="single"/>
        </w:rPr>
        <w:t>Recordkeepers</w:t>
      </w:r>
      <w:proofErr w:type="spellEnd"/>
      <w:r w:rsidRPr="00202188">
        <w:rPr>
          <w:b/>
          <w:bCs/>
          <w:u w:val="single"/>
        </w:rPr>
        <w:t xml:space="preserve"> </w:t>
      </w:r>
    </w:p>
    <w:p w:rsidR="0003680D" w:rsidRPr="00F226AA" w:rsidRDefault="0003680D" w:rsidP="0003680D">
      <w:pPr>
        <w:rPr>
          <w:u w:val="single"/>
        </w:rPr>
      </w:pPr>
    </w:p>
    <w:p w:rsidR="000210CD" w:rsidRDefault="00CB568C" w:rsidP="00827B06">
      <w:pPr>
        <w:ind w:firstLine="720"/>
      </w:pPr>
      <w:r>
        <w:t>The CFPB estimates that the total capital and non-labor costs associated with the assumed burden hours are $4,195,000.  This estimate com</w:t>
      </w:r>
      <w:r w:rsidR="00F11F7C">
        <w:t>es from the FTC’s calculations of $8,390,000 for total capital and non-labor costs, of which the CFPB assumes half.  For a complete discussion of the capital and non-labor cost analysis, please reference the FTC’s supporting statements for Regulation V.</w:t>
      </w:r>
    </w:p>
    <w:p w:rsidR="0029034A" w:rsidRDefault="0029034A" w:rsidP="00827B06">
      <w:pPr>
        <w:ind w:firstLine="720"/>
        <w:rPr>
          <w:u w:val="single"/>
        </w:rPr>
      </w:pPr>
    </w:p>
    <w:p w:rsidR="003A69C1" w:rsidRPr="00202188" w:rsidRDefault="003A69C1" w:rsidP="003A69C1">
      <w:pPr>
        <w:pStyle w:val="CM12"/>
        <w:spacing w:line="276" w:lineRule="atLeast"/>
      </w:pPr>
      <w:r w:rsidRPr="00202188">
        <w:rPr>
          <w:b/>
          <w:bCs/>
        </w:rPr>
        <w:t>14.</w:t>
      </w:r>
      <w:r>
        <w:rPr>
          <w:b/>
          <w:bCs/>
        </w:rPr>
        <w:t xml:space="preserve"> </w:t>
      </w:r>
      <w:r w:rsidRPr="00202188">
        <w:rPr>
          <w:b/>
          <w:bCs/>
        </w:rPr>
        <w:t xml:space="preserve"> </w:t>
      </w:r>
      <w:r w:rsidRPr="00202188">
        <w:rPr>
          <w:b/>
          <w:bCs/>
          <w:u w:val="single"/>
        </w:rPr>
        <w:t>Estimated Cost to the Federal Government</w:t>
      </w:r>
    </w:p>
    <w:p w:rsidR="00F226AA" w:rsidRDefault="00F226AA" w:rsidP="00F226AA">
      <w:pPr>
        <w:rPr>
          <w:u w:val="single"/>
        </w:rPr>
      </w:pPr>
    </w:p>
    <w:p w:rsidR="006A0F4D" w:rsidRDefault="000701D1" w:rsidP="003A69C1">
      <w:pPr>
        <w:ind w:firstLine="720"/>
      </w:pPr>
      <w:r>
        <w:t>As</w:t>
      </w:r>
      <w:r w:rsidRPr="00B84AF6">
        <w:t xml:space="preserve"> the CFPB does not collect any information, the cost to the CFPB is negligible</w:t>
      </w:r>
      <w:r>
        <w:t>.</w:t>
      </w:r>
      <w:bookmarkStart w:id="0" w:name="_GoBack"/>
      <w:bookmarkEnd w:id="0"/>
    </w:p>
    <w:p w:rsidR="00F226AA" w:rsidRPr="00F226AA" w:rsidRDefault="00F226AA" w:rsidP="00C0729E"/>
    <w:p w:rsidR="003A69C1" w:rsidRPr="00202188" w:rsidRDefault="003A69C1" w:rsidP="003A69C1">
      <w:pPr>
        <w:pStyle w:val="Default"/>
        <w:rPr>
          <w:b/>
          <w:bCs/>
          <w:sz w:val="23"/>
          <w:szCs w:val="23"/>
          <w:u w:val="single"/>
        </w:rPr>
      </w:pPr>
      <w:r w:rsidRPr="00202188">
        <w:rPr>
          <w:b/>
          <w:bCs/>
        </w:rPr>
        <w:t xml:space="preserve">15. </w:t>
      </w:r>
      <w:r>
        <w:rPr>
          <w:b/>
          <w:bCs/>
        </w:rPr>
        <w:t xml:space="preserve"> </w:t>
      </w:r>
      <w:r w:rsidRPr="00202188">
        <w:rPr>
          <w:b/>
          <w:bCs/>
          <w:u w:val="single"/>
        </w:rPr>
        <w:t>Program Changes or Adjustments</w:t>
      </w:r>
    </w:p>
    <w:p w:rsidR="00E264DB" w:rsidRPr="00DB4112" w:rsidRDefault="00E264DB" w:rsidP="00E264DB">
      <w:pPr>
        <w:rPr>
          <w:u w:val="single"/>
        </w:rPr>
      </w:pPr>
    </w:p>
    <w:p w:rsidR="00DB4112" w:rsidRPr="00DB4112" w:rsidRDefault="00DB4112" w:rsidP="00DB4112">
      <w:pPr>
        <w:pStyle w:val="Default"/>
        <w:ind w:firstLine="720"/>
      </w:pPr>
      <w:r w:rsidRPr="00DB4112">
        <w:t>As detailed in section 12, there is a one-time increase in the bur</w:t>
      </w:r>
      <w:r>
        <w:t>den associated with Regulation V</w:t>
      </w:r>
      <w:r w:rsidRPr="00DB4112">
        <w:t xml:space="preserve"> of </w:t>
      </w:r>
      <w:r w:rsidR="003F6CD3">
        <w:t>580,000</w:t>
      </w:r>
      <w:r w:rsidR="00727F5E">
        <w:t xml:space="preserve"> </w:t>
      </w:r>
      <w:r>
        <w:t>h</w:t>
      </w:r>
      <w:r w:rsidRPr="00DB4112">
        <w:t>ours, with an associated cost of $</w:t>
      </w:r>
      <w:r w:rsidR="003F6CD3">
        <w:t>18,082,000</w:t>
      </w:r>
      <w:r w:rsidRPr="00DB4112">
        <w:t>.</w:t>
      </w:r>
    </w:p>
    <w:p w:rsidR="00245307" w:rsidRDefault="00245307" w:rsidP="007C1919">
      <w:pPr>
        <w:ind w:firstLine="720"/>
      </w:pPr>
    </w:p>
    <w:p w:rsidR="003A69C1" w:rsidRPr="00202188" w:rsidRDefault="003A69C1" w:rsidP="003A69C1">
      <w:pPr>
        <w:pStyle w:val="CM12"/>
        <w:spacing w:line="276" w:lineRule="atLeast"/>
        <w:rPr>
          <w:sz w:val="23"/>
          <w:szCs w:val="23"/>
        </w:rPr>
      </w:pPr>
      <w:r w:rsidRPr="00202188">
        <w:rPr>
          <w:b/>
          <w:bCs/>
          <w:sz w:val="23"/>
          <w:szCs w:val="23"/>
        </w:rPr>
        <w:t>16</w:t>
      </w:r>
      <w:r w:rsidRPr="006A7905">
        <w:rPr>
          <w:b/>
          <w:bCs/>
          <w:sz w:val="23"/>
          <w:szCs w:val="23"/>
        </w:rPr>
        <w:t>.</w:t>
      </w:r>
      <w:r w:rsidRPr="00202188">
        <w:rPr>
          <w:b/>
          <w:bCs/>
          <w:sz w:val="23"/>
          <w:szCs w:val="23"/>
        </w:rPr>
        <w:t xml:space="preserve"> </w:t>
      </w:r>
      <w:r w:rsidRPr="006A7905">
        <w:rPr>
          <w:b/>
          <w:bCs/>
          <w:sz w:val="23"/>
          <w:szCs w:val="23"/>
        </w:rPr>
        <w:t xml:space="preserve"> </w:t>
      </w:r>
      <w:r w:rsidRPr="00202188">
        <w:rPr>
          <w:b/>
          <w:bCs/>
          <w:sz w:val="23"/>
          <w:szCs w:val="23"/>
          <w:u w:val="single"/>
        </w:rPr>
        <w:t xml:space="preserve">Plans for Tabulation, Statistical Analysis, and Publication </w:t>
      </w:r>
    </w:p>
    <w:p w:rsidR="006E330F" w:rsidRDefault="006E330F" w:rsidP="006E330F">
      <w:pPr>
        <w:rPr>
          <w:u w:val="single"/>
        </w:rPr>
      </w:pPr>
    </w:p>
    <w:p w:rsidR="00EC5725" w:rsidRDefault="00877ACB" w:rsidP="00A7594D">
      <w:pPr>
        <w:ind w:left="360" w:firstLine="360"/>
      </w:pPr>
      <w:r>
        <w:t>Not applicable.</w:t>
      </w:r>
    </w:p>
    <w:p w:rsidR="005F1074" w:rsidRDefault="005F1074" w:rsidP="005F1074"/>
    <w:p w:rsidR="003A69C1" w:rsidRPr="00202188" w:rsidRDefault="003A69C1" w:rsidP="003A69C1">
      <w:pPr>
        <w:pStyle w:val="Default"/>
        <w:rPr>
          <w:b/>
          <w:bCs/>
          <w:color w:val="auto"/>
          <w:sz w:val="23"/>
          <w:szCs w:val="23"/>
          <w:u w:val="single"/>
        </w:rPr>
      </w:pPr>
      <w:r w:rsidRPr="00202188">
        <w:rPr>
          <w:b/>
          <w:bCs/>
          <w:color w:val="auto"/>
          <w:sz w:val="23"/>
          <w:szCs w:val="23"/>
        </w:rPr>
        <w:t>17.</w:t>
      </w:r>
      <w:r w:rsidRPr="00202188">
        <w:rPr>
          <w:b/>
          <w:bCs/>
          <w:color w:val="auto"/>
          <w:sz w:val="23"/>
          <w:szCs w:val="23"/>
          <w:u w:val="single"/>
        </w:rPr>
        <w:t xml:space="preserve"> </w:t>
      </w:r>
      <w:r>
        <w:rPr>
          <w:b/>
          <w:bCs/>
          <w:color w:val="auto"/>
          <w:sz w:val="23"/>
          <w:szCs w:val="23"/>
          <w:u w:val="single"/>
        </w:rPr>
        <w:t xml:space="preserve"> Display of Expiration Date</w:t>
      </w:r>
    </w:p>
    <w:p w:rsidR="006E330F" w:rsidRDefault="006E330F" w:rsidP="006E330F">
      <w:pPr>
        <w:ind w:left="360"/>
        <w:rPr>
          <w:b/>
          <w:u w:val="single"/>
        </w:rPr>
      </w:pPr>
    </w:p>
    <w:p w:rsidR="00B81501" w:rsidRDefault="0066786C" w:rsidP="003A69C1">
      <w:pPr>
        <w:ind w:firstLine="720"/>
      </w:pPr>
      <w:r>
        <w:t xml:space="preserve">Not applicable.  </w:t>
      </w:r>
    </w:p>
    <w:p w:rsidR="00EC5725" w:rsidRDefault="00EC5725" w:rsidP="00EC5725">
      <w:pPr>
        <w:rPr>
          <w:u w:val="single"/>
        </w:rPr>
      </w:pPr>
    </w:p>
    <w:p w:rsidR="003A69C1" w:rsidRPr="00202188" w:rsidRDefault="003A69C1" w:rsidP="003A69C1">
      <w:pPr>
        <w:pStyle w:val="Default"/>
        <w:rPr>
          <w:sz w:val="23"/>
          <w:szCs w:val="23"/>
        </w:rPr>
      </w:pPr>
      <w:r w:rsidRPr="00202188">
        <w:rPr>
          <w:b/>
          <w:bCs/>
          <w:color w:val="auto"/>
          <w:sz w:val="23"/>
          <w:szCs w:val="23"/>
        </w:rPr>
        <w:t xml:space="preserve">18. </w:t>
      </w:r>
      <w:r w:rsidRPr="00202188">
        <w:rPr>
          <w:b/>
          <w:bCs/>
          <w:color w:val="auto"/>
          <w:sz w:val="23"/>
          <w:szCs w:val="23"/>
          <w:u w:val="single"/>
        </w:rPr>
        <w:t>Exceptions to the Certification Requirement</w:t>
      </w:r>
    </w:p>
    <w:p w:rsidR="006E330F" w:rsidRDefault="006E330F" w:rsidP="006E330F">
      <w:pPr>
        <w:rPr>
          <w:b/>
          <w:u w:val="single"/>
        </w:rPr>
      </w:pPr>
    </w:p>
    <w:p w:rsidR="00412BC5" w:rsidRDefault="003A69C1" w:rsidP="00A31526">
      <w:pPr>
        <w:ind w:left="720"/>
      </w:pPr>
      <w:proofErr w:type="gramStart"/>
      <w:r>
        <w:t>None.</w:t>
      </w:r>
      <w:proofErr w:type="gramEnd"/>
    </w:p>
    <w:p w:rsidR="003A69C1" w:rsidRDefault="003A69C1" w:rsidP="003A69C1">
      <w:pPr>
        <w:rPr>
          <w:sz w:val="23"/>
          <w:szCs w:val="23"/>
        </w:rPr>
      </w:pPr>
    </w:p>
    <w:p w:rsidR="003A69C1" w:rsidRPr="000C23E7" w:rsidRDefault="003A69C1" w:rsidP="003A69C1">
      <w:pPr>
        <w:rPr>
          <w:b/>
          <w:sz w:val="23"/>
          <w:szCs w:val="23"/>
          <w:u w:val="single"/>
        </w:rPr>
      </w:pPr>
      <w:r w:rsidRPr="000C23E7">
        <w:rPr>
          <w:b/>
          <w:sz w:val="23"/>
          <w:szCs w:val="23"/>
          <w:u w:val="single"/>
        </w:rPr>
        <w:t>B.  COLLECTIONS OF INFORMATION EMPLOYING STATISTICAL METHODS</w:t>
      </w:r>
    </w:p>
    <w:p w:rsidR="003A69C1" w:rsidRDefault="003A69C1" w:rsidP="003A69C1">
      <w:pPr>
        <w:rPr>
          <w:sz w:val="23"/>
          <w:szCs w:val="23"/>
        </w:rPr>
      </w:pPr>
    </w:p>
    <w:p w:rsidR="003A69C1" w:rsidRPr="00202188" w:rsidRDefault="003A69C1" w:rsidP="003A69C1">
      <w:pPr>
        <w:ind w:firstLine="720"/>
        <w:rPr>
          <w:sz w:val="23"/>
          <w:szCs w:val="23"/>
        </w:rPr>
      </w:pPr>
      <w:r>
        <w:rPr>
          <w:sz w:val="23"/>
          <w:szCs w:val="23"/>
        </w:rPr>
        <w:t>Not applicable.</w:t>
      </w:r>
    </w:p>
    <w:p w:rsidR="003A69C1" w:rsidRPr="00412BC5" w:rsidRDefault="003A69C1" w:rsidP="00A31526">
      <w:pPr>
        <w:ind w:left="720"/>
      </w:pPr>
    </w:p>
    <w:sectPr w:rsidR="003A69C1" w:rsidRPr="00412BC5" w:rsidSect="00FB1100">
      <w:headerReference w:type="even" r:id="rId8"/>
      <w:headerReference w:type="default" r:id="rId9"/>
      <w:footerReference w:type="even" r:id="rId10"/>
      <w:footerReference w:type="default" r:id="rId11"/>
      <w:headerReference w:type="first" r:id="rId12"/>
      <w:footerReference w:type="first" r:id="rId13"/>
      <w:pgSz w:w="12240" w:h="15840"/>
      <w:pgMar w:top="1440" w:right="1800" w:bottom="1440" w:left="180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268A0" w:rsidRDefault="002268A0">
      <w:r>
        <w:separator/>
      </w:r>
    </w:p>
  </w:endnote>
  <w:endnote w:type="continuationSeparator" w:id="0">
    <w:p w:rsidR="002268A0" w:rsidRDefault="002268A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48CC" w:rsidRDefault="00685CF6" w:rsidP="00FB1100">
    <w:pPr>
      <w:pStyle w:val="Footer"/>
      <w:framePr w:wrap="around" w:vAnchor="text" w:hAnchor="margin" w:xAlign="center" w:y="1"/>
      <w:rPr>
        <w:rStyle w:val="PageNumber"/>
      </w:rPr>
    </w:pPr>
    <w:r>
      <w:rPr>
        <w:rStyle w:val="PageNumber"/>
      </w:rPr>
      <w:fldChar w:fldCharType="begin"/>
    </w:r>
    <w:r w:rsidR="00A448CC">
      <w:rPr>
        <w:rStyle w:val="PageNumber"/>
      </w:rPr>
      <w:instrText xml:space="preserve">PAGE  </w:instrText>
    </w:r>
    <w:r>
      <w:rPr>
        <w:rStyle w:val="PageNumber"/>
      </w:rPr>
      <w:fldChar w:fldCharType="end"/>
    </w:r>
  </w:p>
  <w:p w:rsidR="00A448CC" w:rsidRDefault="00A448C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48CC" w:rsidRDefault="00685CF6" w:rsidP="00FB1100">
    <w:pPr>
      <w:pStyle w:val="Footer"/>
      <w:framePr w:wrap="around" w:vAnchor="text" w:hAnchor="margin" w:xAlign="center" w:y="1"/>
      <w:rPr>
        <w:rStyle w:val="PageNumber"/>
      </w:rPr>
    </w:pPr>
    <w:r>
      <w:rPr>
        <w:rStyle w:val="PageNumber"/>
      </w:rPr>
      <w:fldChar w:fldCharType="begin"/>
    </w:r>
    <w:r w:rsidR="00A448CC">
      <w:rPr>
        <w:rStyle w:val="PageNumber"/>
      </w:rPr>
      <w:instrText xml:space="preserve">PAGE  </w:instrText>
    </w:r>
    <w:r>
      <w:rPr>
        <w:rStyle w:val="PageNumber"/>
      </w:rPr>
      <w:fldChar w:fldCharType="separate"/>
    </w:r>
    <w:r w:rsidR="008C333C">
      <w:rPr>
        <w:rStyle w:val="PageNumber"/>
        <w:noProof/>
      </w:rPr>
      <w:t>2</w:t>
    </w:r>
    <w:r>
      <w:rPr>
        <w:rStyle w:val="PageNumber"/>
      </w:rPr>
      <w:fldChar w:fldCharType="end"/>
    </w:r>
  </w:p>
  <w:p w:rsidR="00A448CC" w:rsidRDefault="00A448CC">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48CC" w:rsidRDefault="00A448C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268A0" w:rsidRDefault="002268A0">
      <w:r>
        <w:separator/>
      </w:r>
    </w:p>
  </w:footnote>
  <w:footnote w:type="continuationSeparator" w:id="0">
    <w:p w:rsidR="002268A0" w:rsidRDefault="002268A0">
      <w:r>
        <w:continuationSeparator/>
      </w:r>
    </w:p>
  </w:footnote>
  <w:footnote w:id="1">
    <w:p w:rsidR="00A448CC" w:rsidRPr="003E58CC" w:rsidRDefault="00A448CC">
      <w:pPr>
        <w:pStyle w:val="FootnoteText"/>
        <w:rPr>
          <w:sz w:val="20"/>
          <w:szCs w:val="20"/>
        </w:rPr>
      </w:pPr>
      <w:r w:rsidRPr="003E58CC">
        <w:rPr>
          <w:rStyle w:val="FootnoteReference"/>
          <w:sz w:val="20"/>
          <w:szCs w:val="20"/>
        </w:rPr>
        <w:footnoteRef/>
      </w:r>
      <w:r>
        <w:rPr>
          <w:sz w:val="20"/>
          <w:szCs w:val="20"/>
        </w:rPr>
        <w:t xml:space="preserve"> </w:t>
      </w:r>
      <w:r w:rsidRPr="003E58CC">
        <w:rPr>
          <w:sz w:val="20"/>
          <w:szCs w:val="20"/>
        </w:rPr>
        <w:t xml:space="preserve"> </w:t>
      </w:r>
      <w:r w:rsidRPr="003E58CC">
        <w:rPr>
          <w:i/>
          <w:sz w:val="20"/>
          <w:szCs w:val="20"/>
        </w:rPr>
        <w:t>See</w:t>
      </w:r>
      <w:r w:rsidRPr="003E58CC">
        <w:rPr>
          <w:sz w:val="20"/>
          <w:szCs w:val="20"/>
        </w:rPr>
        <w:t xml:space="preserve"> Sections 1061 and 1088 of the Dodd-Frank Act.</w:t>
      </w:r>
    </w:p>
  </w:footnote>
  <w:footnote w:id="2">
    <w:p w:rsidR="00A448CC" w:rsidRPr="008A05D0" w:rsidRDefault="00A448CC" w:rsidP="00B57CF4">
      <w:pPr>
        <w:pStyle w:val="FootnoteText"/>
      </w:pPr>
      <w:r w:rsidRPr="00B43AF1">
        <w:rPr>
          <w:rStyle w:val="FootnoteReference"/>
        </w:rPr>
        <w:footnoteRef/>
      </w:r>
      <w:r w:rsidRPr="00B43AF1">
        <w:t xml:space="preserve"> </w:t>
      </w:r>
      <w:r>
        <w:t xml:space="preserve"> </w:t>
      </w:r>
      <w:r w:rsidRPr="00455FBA">
        <w:rPr>
          <w:sz w:val="20"/>
          <w:szCs w:val="20"/>
        </w:rPr>
        <w:t xml:space="preserve">For purposes of the current request for emergency review and approval, the CFPB has relied on the estimates previously developed by the Board, OCC, OTS, FDIC, NCUA, and FTC concerning the number of entities subject to Regulation V and the hours of paperwork burden under the statute (For a detailed breakdown of the burden estimates of the prudential regulators and the FTC, please reference the other agencies’ supporting statements for Regulation V which can be found at www.reginfo.gov).  </w:t>
      </w:r>
      <w:r w:rsidR="00A058C1" w:rsidRPr="00A058C1">
        <w:rPr>
          <w:sz w:val="20"/>
          <w:szCs w:val="20"/>
        </w:rPr>
        <w:t>CFPB’s enforcement authority is not necessarily limited to the entities covered by these agencies’ estimates</w:t>
      </w:r>
      <w:r w:rsidR="00A058C1">
        <w:rPr>
          <w:sz w:val="20"/>
          <w:szCs w:val="20"/>
        </w:rPr>
        <w:t>.</w:t>
      </w:r>
      <w:r w:rsidRPr="00455FBA">
        <w:rPr>
          <w:sz w:val="20"/>
          <w:szCs w:val="20"/>
        </w:rPr>
        <w:t xml:space="preserve"> In some instances, information regarding actual burden hours or dollar costs, or breakdowns of these hours or costs was not available from the other agencies.  In these cases, CFPB has estimated the relevant figures based on data provided by the OCC and in some cases by the Board.  The CFPB will conduct a more detailed review of burden allocations and provide more detailed estimates in its follow-up application to OMB for a standard approval of this information collection.</w:t>
      </w:r>
    </w:p>
  </w:footnote>
  <w:footnote w:id="3">
    <w:p w:rsidR="00A448CC" w:rsidRDefault="00A448CC">
      <w:pPr>
        <w:pStyle w:val="FootnoteText"/>
      </w:pPr>
      <w:r>
        <w:rPr>
          <w:rStyle w:val="FootnoteReference"/>
        </w:rPr>
        <w:footnoteRef/>
      </w:r>
      <w:r>
        <w:t xml:space="preserve">  </w:t>
      </w:r>
      <w:r w:rsidRPr="00727F5E">
        <w:rPr>
          <w:sz w:val="20"/>
          <w:szCs w:val="20"/>
        </w:rPr>
        <w:t>These include 27 from the Board, 70 from the OCC, 24 from the OTS, 3 from the NCUA, and 56 from the FDIC.</w:t>
      </w:r>
    </w:p>
  </w:footnote>
  <w:footnote w:id="4">
    <w:p w:rsidR="00A448CC" w:rsidRPr="00B00A08" w:rsidRDefault="00A448CC" w:rsidP="00B57CF4">
      <w:pPr>
        <w:pStyle w:val="FootnoteText"/>
      </w:pPr>
      <w:r w:rsidRPr="008A05D0">
        <w:rPr>
          <w:rStyle w:val="FootnoteReference"/>
        </w:rPr>
        <w:footnoteRef/>
      </w:r>
      <w:r w:rsidRPr="008A05D0">
        <w:t xml:space="preserve"> </w:t>
      </w:r>
      <w:r>
        <w:t xml:space="preserve"> </w:t>
      </w:r>
      <w:r w:rsidRPr="00727F5E">
        <w:rPr>
          <w:sz w:val="20"/>
          <w:szCs w:val="20"/>
        </w:rPr>
        <w:t xml:space="preserve">The Dodd-Frank Act exempts certain motor vehicle dealers from CFPB’s enforcement authority.  </w:t>
      </w:r>
      <w:r w:rsidRPr="00455FBA">
        <w:rPr>
          <w:sz w:val="20"/>
          <w:szCs w:val="20"/>
        </w:rPr>
        <w:t>However, due to the difficulty of making a reliable estimate of those dealers, the FTC has attributed to itself the PRA burden for all motor vehicle dealers.  This attribution does not change actual enforcement authority.</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48CC" w:rsidRDefault="00A448CC">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48CC" w:rsidRDefault="00A448CC">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48CC" w:rsidRDefault="00A448CC">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027551E"/>
    <w:multiLevelType w:val="hybridMultilevel"/>
    <w:tmpl w:val="ABAC86BE"/>
    <w:lvl w:ilvl="0" w:tplc="558A11C2">
      <w:start w:val="12"/>
      <w:numFmt w:val="decimal"/>
      <w:lvlText w:val="%1."/>
      <w:lvlJc w:val="left"/>
      <w:pPr>
        <w:tabs>
          <w:tab w:val="num" w:pos="1440"/>
        </w:tabs>
        <w:ind w:left="1440" w:hanging="360"/>
      </w:pPr>
      <w:rPr>
        <w:rFonts w:hint="default"/>
        <w:b/>
        <w:u w:val="none"/>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
    <w:nsid w:val="4EA84DAE"/>
    <w:multiLevelType w:val="hybridMultilevel"/>
    <w:tmpl w:val="02B88A44"/>
    <w:lvl w:ilvl="0" w:tplc="7C9E3B0E">
      <w:start w:val="1"/>
      <w:numFmt w:val="decimal"/>
      <w:lvlText w:val="%1."/>
      <w:lvlJc w:val="left"/>
      <w:pPr>
        <w:tabs>
          <w:tab w:val="num" w:pos="720"/>
        </w:tabs>
        <w:ind w:left="720" w:hanging="360"/>
      </w:pPr>
      <w:rPr>
        <w:rFonts w:hint="default"/>
        <w:b/>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761F4699"/>
    <w:multiLevelType w:val="hybridMultilevel"/>
    <w:tmpl w:val="E1647F4A"/>
    <w:lvl w:ilvl="0" w:tplc="ED4640B6">
      <w:start w:val="1"/>
      <w:numFmt w:val="decimal"/>
      <w:lvlText w:val="%1."/>
      <w:lvlJc w:val="left"/>
      <w:pPr>
        <w:tabs>
          <w:tab w:val="num" w:pos="1080"/>
        </w:tabs>
        <w:ind w:left="1080" w:hanging="72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writeProtection w:recommended="1"/>
  <w:zoom w:percent="100"/>
  <w:removePersonalInformation/>
  <w:removeDateAndTime/>
  <w:proofState w:spelling="clean" w:grammar="clean"/>
  <w:stylePaneFormatFilter w:val="3F01"/>
  <w:defaultTabStop w:val="720"/>
  <w:noPunctuationKerning/>
  <w:characterSpacingControl w:val="doNotCompress"/>
  <w:hdrShapeDefaults>
    <o:shapedefaults v:ext="edit" spidmax="18433"/>
  </w:hdrShapeDefaults>
  <w:footnotePr>
    <w:footnote w:id="-1"/>
    <w:footnote w:id="0"/>
  </w:footnotePr>
  <w:endnotePr>
    <w:endnote w:id="-1"/>
    <w:endnote w:id="0"/>
  </w:endnotePr>
  <w:compat/>
  <w:rsids>
    <w:rsidRoot w:val="00412BC5"/>
    <w:rsid w:val="00001821"/>
    <w:rsid w:val="00002110"/>
    <w:rsid w:val="0000540B"/>
    <w:rsid w:val="000210CD"/>
    <w:rsid w:val="000222AD"/>
    <w:rsid w:val="00025A51"/>
    <w:rsid w:val="0003121E"/>
    <w:rsid w:val="00032F94"/>
    <w:rsid w:val="0003667B"/>
    <w:rsid w:val="0003680D"/>
    <w:rsid w:val="00041B86"/>
    <w:rsid w:val="00046D16"/>
    <w:rsid w:val="000603B2"/>
    <w:rsid w:val="00061133"/>
    <w:rsid w:val="00062729"/>
    <w:rsid w:val="0006663C"/>
    <w:rsid w:val="000701D1"/>
    <w:rsid w:val="00077302"/>
    <w:rsid w:val="00077A21"/>
    <w:rsid w:val="00082345"/>
    <w:rsid w:val="000825D2"/>
    <w:rsid w:val="00082B87"/>
    <w:rsid w:val="00082CBC"/>
    <w:rsid w:val="00084504"/>
    <w:rsid w:val="000879D0"/>
    <w:rsid w:val="00094093"/>
    <w:rsid w:val="000B4300"/>
    <w:rsid w:val="000C26B6"/>
    <w:rsid w:val="000D13DF"/>
    <w:rsid w:val="000E3FBE"/>
    <w:rsid w:val="000F22E5"/>
    <w:rsid w:val="000F61F2"/>
    <w:rsid w:val="000F6256"/>
    <w:rsid w:val="0011573A"/>
    <w:rsid w:val="001175DC"/>
    <w:rsid w:val="00126ADA"/>
    <w:rsid w:val="00132106"/>
    <w:rsid w:val="00132108"/>
    <w:rsid w:val="00140B34"/>
    <w:rsid w:val="001470C5"/>
    <w:rsid w:val="00161569"/>
    <w:rsid w:val="00164E53"/>
    <w:rsid w:val="00165A6B"/>
    <w:rsid w:val="001761C8"/>
    <w:rsid w:val="001A1C2E"/>
    <w:rsid w:val="001A4DEE"/>
    <w:rsid w:val="001A5631"/>
    <w:rsid w:val="001B0FDD"/>
    <w:rsid w:val="001B1043"/>
    <w:rsid w:val="001C2252"/>
    <w:rsid w:val="001E389C"/>
    <w:rsid w:val="001E698F"/>
    <w:rsid w:val="001F3BE8"/>
    <w:rsid w:val="001F4239"/>
    <w:rsid w:val="001F6C77"/>
    <w:rsid w:val="00211488"/>
    <w:rsid w:val="002119E8"/>
    <w:rsid w:val="00213406"/>
    <w:rsid w:val="002141CB"/>
    <w:rsid w:val="00215147"/>
    <w:rsid w:val="002234DD"/>
    <w:rsid w:val="002268A0"/>
    <w:rsid w:val="00230DF5"/>
    <w:rsid w:val="00231246"/>
    <w:rsid w:val="00235A78"/>
    <w:rsid w:val="00245307"/>
    <w:rsid w:val="00250A17"/>
    <w:rsid w:val="00254C0A"/>
    <w:rsid w:val="002639E4"/>
    <w:rsid w:val="002703D7"/>
    <w:rsid w:val="00281693"/>
    <w:rsid w:val="002822B8"/>
    <w:rsid w:val="0029034A"/>
    <w:rsid w:val="00291658"/>
    <w:rsid w:val="0029268C"/>
    <w:rsid w:val="0029356B"/>
    <w:rsid w:val="002A48BB"/>
    <w:rsid w:val="002A56AD"/>
    <w:rsid w:val="002B273C"/>
    <w:rsid w:val="002B42D5"/>
    <w:rsid w:val="002B443E"/>
    <w:rsid w:val="002C2360"/>
    <w:rsid w:val="002C3C8B"/>
    <w:rsid w:val="002D0F06"/>
    <w:rsid w:val="002D5A26"/>
    <w:rsid w:val="002D648C"/>
    <w:rsid w:val="002E13EB"/>
    <w:rsid w:val="002E160C"/>
    <w:rsid w:val="002F1A48"/>
    <w:rsid w:val="002F4E59"/>
    <w:rsid w:val="0030237F"/>
    <w:rsid w:val="00305F01"/>
    <w:rsid w:val="00306A26"/>
    <w:rsid w:val="00310B01"/>
    <w:rsid w:val="00321A17"/>
    <w:rsid w:val="00322113"/>
    <w:rsid w:val="00330110"/>
    <w:rsid w:val="00336A00"/>
    <w:rsid w:val="003411DC"/>
    <w:rsid w:val="0034748E"/>
    <w:rsid w:val="00354754"/>
    <w:rsid w:val="00355C1C"/>
    <w:rsid w:val="0035607F"/>
    <w:rsid w:val="00360973"/>
    <w:rsid w:val="003618EC"/>
    <w:rsid w:val="00372EA9"/>
    <w:rsid w:val="00376F52"/>
    <w:rsid w:val="00381E7D"/>
    <w:rsid w:val="00381F66"/>
    <w:rsid w:val="003875FF"/>
    <w:rsid w:val="003933D6"/>
    <w:rsid w:val="00394A1E"/>
    <w:rsid w:val="003A42A9"/>
    <w:rsid w:val="003A69C1"/>
    <w:rsid w:val="003C18C7"/>
    <w:rsid w:val="003D35BD"/>
    <w:rsid w:val="003E5194"/>
    <w:rsid w:val="003E58CC"/>
    <w:rsid w:val="003F238E"/>
    <w:rsid w:val="003F5C91"/>
    <w:rsid w:val="003F6CD3"/>
    <w:rsid w:val="003F7275"/>
    <w:rsid w:val="00401971"/>
    <w:rsid w:val="0041243C"/>
    <w:rsid w:val="00412BC5"/>
    <w:rsid w:val="004203FF"/>
    <w:rsid w:val="0042643F"/>
    <w:rsid w:val="00452818"/>
    <w:rsid w:val="00455FBA"/>
    <w:rsid w:val="004663B2"/>
    <w:rsid w:val="004703E0"/>
    <w:rsid w:val="004704B5"/>
    <w:rsid w:val="00476B6B"/>
    <w:rsid w:val="0047745D"/>
    <w:rsid w:val="00481610"/>
    <w:rsid w:val="00483967"/>
    <w:rsid w:val="00492AAF"/>
    <w:rsid w:val="004971D4"/>
    <w:rsid w:val="00497279"/>
    <w:rsid w:val="004A6053"/>
    <w:rsid w:val="004B0541"/>
    <w:rsid w:val="004B613D"/>
    <w:rsid w:val="004B705E"/>
    <w:rsid w:val="004C1B80"/>
    <w:rsid w:val="004E3567"/>
    <w:rsid w:val="004E385F"/>
    <w:rsid w:val="004E6A36"/>
    <w:rsid w:val="004E765D"/>
    <w:rsid w:val="004F28EB"/>
    <w:rsid w:val="004F79D4"/>
    <w:rsid w:val="00502754"/>
    <w:rsid w:val="0050305B"/>
    <w:rsid w:val="0050690A"/>
    <w:rsid w:val="0050757A"/>
    <w:rsid w:val="00514D12"/>
    <w:rsid w:val="0051761D"/>
    <w:rsid w:val="00521A17"/>
    <w:rsid w:val="0052337B"/>
    <w:rsid w:val="00523DBF"/>
    <w:rsid w:val="00527ACB"/>
    <w:rsid w:val="00537A7E"/>
    <w:rsid w:val="00541371"/>
    <w:rsid w:val="005418D6"/>
    <w:rsid w:val="00555B3B"/>
    <w:rsid w:val="00557C32"/>
    <w:rsid w:val="00565C98"/>
    <w:rsid w:val="005806DF"/>
    <w:rsid w:val="00590526"/>
    <w:rsid w:val="0059701C"/>
    <w:rsid w:val="005A6AD2"/>
    <w:rsid w:val="005B0ECF"/>
    <w:rsid w:val="005B3322"/>
    <w:rsid w:val="005B5B47"/>
    <w:rsid w:val="005B62D0"/>
    <w:rsid w:val="005C2793"/>
    <w:rsid w:val="005C6102"/>
    <w:rsid w:val="005C6AF6"/>
    <w:rsid w:val="005D26B6"/>
    <w:rsid w:val="005D6854"/>
    <w:rsid w:val="005E6BA7"/>
    <w:rsid w:val="005F1074"/>
    <w:rsid w:val="005F11A5"/>
    <w:rsid w:val="005F31D2"/>
    <w:rsid w:val="006057E6"/>
    <w:rsid w:val="006121B0"/>
    <w:rsid w:val="00614143"/>
    <w:rsid w:val="00615FB0"/>
    <w:rsid w:val="00616056"/>
    <w:rsid w:val="006204B0"/>
    <w:rsid w:val="00620D12"/>
    <w:rsid w:val="006345D5"/>
    <w:rsid w:val="00642774"/>
    <w:rsid w:val="00651473"/>
    <w:rsid w:val="00661C8E"/>
    <w:rsid w:val="0066786C"/>
    <w:rsid w:val="0067565C"/>
    <w:rsid w:val="00677976"/>
    <w:rsid w:val="00685CF6"/>
    <w:rsid w:val="00690391"/>
    <w:rsid w:val="006912D3"/>
    <w:rsid w:val="00693E21"/>
    <w:rsid w:val="00697683"/>
    <w:rsid w:val="006A0F4D"/>
    <w:rsid w:val="006A2309"/>
    <w:rsid w:val="006B06DC"/>
    <w:rsid w:val="006B65B3"/>
    <w:rsid w:val="006D5E13"/>
    <w:rsid w:val="006E169C"/>
    <w:rsid w:val="006E330F"/>
    <w:rsid w:val="006E4125"/>
    <w:rsid w:val="006E5763"/>
    <w:rsid w:val="006E72DC"/>
    <w:rsid w:val="006F7E6D"/>
    <w:rsid w:val="00701A33"/>
    <w:rsid w:val="007020D3"/>
    <w:rsid w:val="00702383"/>
    <w:rsid w:val="00703D3C"/>
    <w:rsid w:val="00707343"/>
    <w:rsid w:val="00714839"/>
    <w:rsid w:val="00714A50"/>
    <w:rsid w:val="00722773"/>
    <w:rsid w:val="00727F5E"/>
    <w:rsid w:val="0073272D"/>
    <w:rsid w:val="00736863"/>
    <w:rsid w:val="00742DFF"/>
    <w:rsid w:val="00743B64"/>
    <w:rsid w:val="00746505"/>
    <w:rsid w:val="00746755"/>
    <w:rsid w:val="00760BE9"/>
    <w:rsid w:val="00770CF1"/>
    <w:rsid w:val="00774A98"/>
    <w:rsid w:val="00784BB2"/>
    <w:rsid w:val="00797237"/>
    <w:rsid w:val="007A0699"/>
    <w:rsid w:val="007A2F75"/>
    <w:rsid w:val="007B6125"/>
    <w:rsid w:val="007C0A2D"/>
    <w:rsid w:val="007C1919"/>
    <w:rsid w:val="007C1B0A"/>
    <w:rsid w:val="007D2E91"/>
    <w:rsid w:val="007D58B0"/>
    <w:rsid w:val="007E11D2"/>
    <w:rsid w:val="007E78AE"/>
    <w:rsid w:val="007F0BE7"/>
    <w:rsid w:val="007F7808"/>
    <w:rsid w:val="0080681B"/>
    <w:rsid w:val="00813C25"/>
    <w:rsid w:val="00824DBE"/>
    <w:rsid w:val="0082799D"/>
    <w:rsid w:val="00827B06"/>
    <w:rsid w:val="00827C5C"/>
    <w:rsid w:val="008338D6"/>
    <w:rsid w:val="00842017"/>
    <w:rsid w:val="00852811"/>
    <w:rsid w:val="0085524C"/>
    <w:rsid w:val="00863C3A"/>
    <w:rsid w:val="00871789"/>
    <w:rsid w:val="0087196C"/>
    <w:rsid w:val="00873A29"/>
    <w:rsid w:val="00877ACB"/>
    <w:rsid w:val="00877B4F"/>
    <w:rsid w:val="00881663"/>
    <w:rsid w:val="008A3938"/>
    <w:rsid w:val="008B0A91"/>
    <w:rsid w:val="008B2B2F"/>
    <w:rsid w:val="008B6DE1"/>
    <w:rsid w:val="008B7F2D"/>
    <w:rsid w:val="008C1540"/>
    <w:rsid w:val="008C2114"/>
    <w:rsid w:val="008C2F8C"/>
    <w:rsid w:val="008C333C"/>
    <w:rsid w:val="008D0AC3"/>
    <w:rsid w:val="008D174B"/>
    <w:rsid w:val="008D21A5"/>
    <w:rsid w:val="008E16E7"/>
    <w:rsid w:val="008F24DB"/>
    <w:rsid w:val="008F53D8"/>
    <w:rsid w:val="008F7E11"/>
    <w:rsid w:val="00902E76"/>
    <w:rsid w:val="0090335A"/>
    <w:rsid w:val="0092118F"/>
    <w:rsid w:val="00925CD4"/>
    <w:rsid w:val="0093023B"/>
    <w:rsid w:val="00934389"/>
    <w:rsid w:val="009348ED"/>
    <w:rsid w:val="00936F02"/>
    <w:rsid w:val="009433E8"/>
    <w:rsid w:val="009444CF"/>
    <w:rsid w:val="0095275D"/>
    <w:rsid w:val="00953291"/>
    <w:rsid w:val="0096225E"/>
    <w:rsid w:val="0096523D"/>
    <w:rsid w:val="0098386D"/>
    <w:rsid w:val="009950E5"/>
    <w:rsid w:val="009A7DE1"/>
    <w:rsid w:val="009C43CD"/>
    <w:rsid w:val="009C5963"/>
    <w:rsid w:val="009E5E0A"/>
    <w:rsid w:val="00A01BF6"/>
    <w:rsid w:val="00A02ACC"/>
    <w:rsid w:val="00A058C1"/>
    <w:rsid w:val="00A15317"/>
    <w:rsid w:val="00A301BF"/>
    <w:rsid w:val="00A31526"/>
    <w:rsid w:val="00A33D4A"/>
    <w:rsid w:val="00A33EDF"/>
    <w:rsid w:val="00A447DF"/>
    <w:rsid w:val="00A448CC"/>
    <w:rsid w:val="00A554A7"/>
    <w:rsid w:val="00A57A0B"/>
    <w:rsid w:val="00A71C1F"/>
    <w:rsid w:val="00A7594D"/>
    <w:rsid w:val="00A77DA2"/>
    <w:rsid w:val="00A814BA"/>
    <w:rsid w:val="00A969FA"/>
    <w:rsid w:val="00AA5708"/>
    <w:rsid w:val="00AB3059"/>
    <w:rsid w:val="00AB64A1"/>
    <w:rsid w:val="00AC0633"/>
    <w:rsid w:val="00AC0EB7"/>
    <w:rsid w:val="00AD6ECE"/>
    <w:rsid w:val="00AE058B"/>
    <w:rsid w:val="00AE1DC5"/>
    <w:rsid w:val="00AE60DA"/>
    <w:rsid w:val="00AF171F"/>
    <w:rsid w:val="00AF4C0E"/>
    <w:rsid w:val="00B026FD"/>
    <w:rsid w:val="00B10872"/>
    <w:rsid w:val="00B306C3"/>
    <w:rsid w:val="00B432EF"/>
    <w:rsid w:val="00B44511"/>
    <w:rsid w:val="00B45853"/>
    <w:rsid w:val="00B5093D"/>
    <w:rsid w:val="00B55AAE"/>
    <w:rsid w:val="00B56394"/>
    <w:rsid w:val="00B57CF4"/>
    <w:rsid w:val="00B72189"/>
    <w:rsid w:val="00B774B3"/>
    <w:rsid w:val="00B80940"/>
    <w:rsid w:val="00B81501"/>
    <w:rsid w:val="00B81BB2"/>
    <w:rsid w:val="00B8530B"/>
    <w:rsid w:val="00B853DF"/>
    <w:rsid w:val="00B91B98"/>
    <w:rsid w:val="00B94F05"/>
    <w:rsid w:val="00BA2DAC"/>
    <w:rsid w:val="00BD20A0"/>
    <w:rsid w:val="00BD45AA"/>
    <w:rsid w:val="00BD5BA4"/>
    <w:rsid w:val="00BE0CBC"/>
    <w:rsid w:val="00BE7679"/>
    <w:rsid w:val="00BF1015"/>
    <w:rsid w:val="00BF790D"/>
    <w:rsid w:val="00C035CB"/>
    <w:rsid w:val="00C06B1D"/>
    <w:rsid w:val="00C0729E"/>
    <w:rsid w:val="00C15BD6"/>
    <w:rsid w:val="00C32735"/>
    <w:rsid w:val="00C37935"/>
    <w:rsid w:val="00C40071"/>
    <w:rsid w:val="00C430BA"/>
    <w:rsid w:val="00C5091A"/>
    <w:rsid w:val="00C54DA6"/>
    <w:rsid w:val="00C654D8"/>
    <w:rsid w:val="00C67AF5"/>
    <w:rsid w:val="00C82058"/>
    <w:rsid w:val="00C92068"/>
    <w:rsid w:val="00CA58A4"/>
    <w:rsid w:val="00CB568C"/>
    <w:rsid w:val="00CC1146"/>
    <w:rsid w:val="00CF0C54"/>
    <w:rsid w:val="00CF509D"/>
    <w:rsid w:val="00CF7D7D"/>
    <w:rsid w:val="00CF7FB6"/>
    <w:rsid w:val="00D05E38"/>
    <w:rsid w:val="00D171D3"/>
    <w:rsid w:val="00D22D81"/>
    <w:rsid w:val="00D23278"/>
    <w:rsid w:val="00D30849"/>
    <w:rsid w:val="00D35E8C"/>
    <w:rsid w:val="00D5730B"/>
    <w:rsid w:val="00D6620D"/>
    <w:rsid w:val="00D70252"/>
    <w:rsid w:val="00D73B80"/>
    <w:rsid w:val="00D8304B"/>
    <w:rsid w:val="00D844E9"/>
    <w:rsid w:val="00D8572A"/>
    <w:rsid w:val="00D86F68"/>
    <w:rsid w:val="00D877A8"/>
    <w:rsid w:val="00D90096"/>
    <w:rsid w:val="00D9139C"/>
    <w:rsid w:val="00DA17BF"/>
    <w:rsid w:val="00DA2F9B"/>
    <w:rsid w:val="00DA433C"/>
    <w:rsid w:val="00DA62D0"/>
    <w:rsid w:val="00DB4112"/>
    <w:rsid w:val="00DC17FB"/>
    <w:rsid w:val="00DC473A"/>
    <w:rsid w:val="00DD03BA"/>
    <w:rsid w:val="00DD294E"/>
    <w:rsid w:val="00DD41E0"/>
    <w:rsid w:val="00DD4B49"/>
    <w:rsid w:val="00DE2AEC"/>
    <w:rsid w:val="00E01D82"/>
    <w:rsid w:val="00E14B52"/>
    <w:rsid w:val="00E16A07"/>
    <w:rsid w:val="00E17B1D"/>
    <w:rsid w:val="00E206F8"/>
    <w:rsid w:val="00E264DB"/>
    <w:rsid w:val="00E30DBB"/>
    <w:rsid w:val="00E349DB"/>
    <w:rsid w:val="00E47670"/>
    <w:rsid w:val="00E5560E"/>
    <w:rsid w:val="00E55B35"/>
    <w:rsid w:val="00E640CA"/>
    <w:rsid w:val="00E716DE"/>
    <w:rsid w:val="00E95955"/>
    <w:rsid w:val="00EB5F63"/>
    <w:rsid w:val="00EC5725"/>
    <w:rsid w:val="00ED57FA"/>
    <w:rsid w:val="00EE09E2"/>
    <w:rsid w:val="00F00502"/>
    <w:rsid w:val="00F02167"/>
    <w:rsid w:val="00F11F7C"/>
    <w:rsid w:val="00F22500"/>
    <w:rsid w:val="00F226AA"/>
    <w:rsid w:val="00F247F5"/>
    <w:rsid w:val="00F26C7D"/>
    <w:rsid w:val="00F271CD"/>
    <w:rsid w:val="00F313E3"/>
    <w:rsid w:val="00F33277"/>
    <w:rsid w:val="00F34097"/>
    <w:rsid w:val="00F456CA"/>
    <w:rsid w:val="00F46C92"/>
    <w:rsid w:val="00F57CA7"/>
    <w:rsid w:val="00F60B1F"/>
    <w:rsid w:val="00F65B73"/>
    <w:rsid w:val="00F954AD"/>
    <w:rsid w:val="00FA1E2A"/>
    <w:rsid w:val="00FA5EDD"/>
    <w:rsid w:val="00FB1100"/>
    <w:rsid w:val="00FB3CFC"/>
    <w:rsid w:val="00FC69E9"/>
    <w:rsid w:val="00FD1631"/>
    <w:rsid w:val="00FD41FC"/>
    <w:rsid w:val="00FE691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schemas-westgroup-com/westlawcitation" w:name="typecases"/>
  <w:smartTagType w:namespaceuri="schemas-westgroup-com/westlawcitation" w:name="typestatutes"/>
  <w:shapeDefaults>
    <o:shapedefaults v:ext="edit" spidmax="1843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171D3"/>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736863"/>
    <w:rPr>
      <w:rFonts w:ascii="Tahoma" w:hAnsi="Tahoma" w:cs="Tahoma"/>
      <w:sz w:val="16"/>
      <w:szCs w:val="16"/>
    </w:rPr>
  </w:style>
  <w:style w:type="paragraph" w:styleId="FootnoteText">
    <w:name w:val="footnote text"/>
    <w:aliases w:val="Footnote Text Char1,Footnote Text Char Char,Footnote Text Char"/>
    <w:basedOn w:val="Normal"/>
    <w:link w:val="FootnoteTextChar2"/>
    <w:rsid w:val="008B7F2D"/>
  </w:style>
  <w:style w:type="character" w:styleId="FootnoteReference">
    <w:name w:val="footnote reference"/>
    <w:uiPriority w:val="99"/>
    <w:rsid w:val="008B7F2D"/>
    <w:rPr>
      <w:vertAlign w:val="superscript"/>
    </w:rPr>
  </w:style>
  <w:style w:type="character" w:customStyle="1" w:styleId="FootnoteTextChar2">
    <w:name w:val="Footnote Text Char2"/>
    <w:aliases w:val="Footnote Text Char1 Char,Footnote Text Char Char Char,Footnote Text Char Char1"/>
    <w:link w:val="FootnoteText"/>
    <w:semiHidden/>
    <w:locked/>
    <w:rsid w:val="008B7F2D"/>
    <w:rPr>
      <w:sz w:val="24"/>
      <w:szCs w:val="24"/>
      <w:lang w:val="en-US" w:eastAsia="en-US" w:bidi="ar-SA"/>
    </w:rPr>
  </w:style>
  <w:style w:type="character" w:styleId="CommentReference">
    <w:name w:val="annotation reference"/>
    <w:semiHidden/>
    <w:rsid w:val="00497279"/>
    <w:rPr>
      <w:sz w:val="16"/>
      <w:szCs w:val="16"/>
    </w:rPr>
  </w:style>
  <w:style w:type="paragraph" w:styleId="CommentText">
    <w:name w:val="annotation text"/>
    <w:basedOn w:val="Normal"/>
    <w:semiHidden/>
    <w:rsid w:val="00497279"/>
    <w:rPr>
      <w:sz w:val="20"/>
      <w:szCs w:val="20"/>
    </w:rPr>
  </w:style>
  <w:style w:type="paragraph" w:styleId="CommentSubject">
    <w:name w:val="annotation subject"/>
    <w:basedOn w:val="CommentText"/>
    <w:next w:val="CommentText"/>
    <w:semiHidden/>
    <w:rsid w:val="00497279"/>
    <w:rPr>
      <w:b/>
      <w:bCs/>
    </w:rPr>
  </w:style>
  <w:style w:type="character" w:styleId="Hyperlink">
    <w:name w:val="Hyperlink"/>
    <w:rsid w:val="00523DBF"/>
    <w:rPr>
      <w:color w:val="0000FF"/>
      <w:u w:val="single"/>
    </w:rPr>
  </w:style>
  <w:style w:type="paragraph" w:styleId="Footer">
    <w:name w:val="footer"/>
    <w:basedOn w:val="Normal"/>
    <w:rsid w:val="00FB1100"/>
    <w:pPr>
      <w:tabs>
        <w:tab w:val="center" w:pos="4320"/>
        <w:tab w:val="right" w:pos="8640"/>
      </w:tabs>
    </w:pPr>
  </w:style>
  <w:style w:type="character" w:styleId="PageNumber">
    <w:name w:val="page number"/>
    <w:basedOn w:val="DefaultParagraphFont"/>
    <w:rsid w:val="00FB1100"/>
  </w:style>
  <w:style w:type="paragraph" w:styleId="HTMLPreformatted">
    <w:name w:val="HTML Preformatted"/>
    <w:basedOn w:val="Normal"/>
    <w:link w:val="HTMLPreformattedChar"/>
    <w:rsid w:val="003A42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link w:val="HTMLPreformatted"/>
    <w:locked/>
    <w:rsid w:val="003A42A9"/>
    <w:rPr>
      <w:rFonts w:ascii="Courier New" w:hAnsi="Courier New" w:cs="Courier New"/>
      <w:lang w:val="en-US" w:eastAsia="en-US" w:bidi="ar-SA"/>
    </w:rPr>
  </w:style>
  <w:style w:type="character" w:customStyle="1" w:styleId="FootnoteTextChar3">
    <w:name w:val="Footnote Text Char3"/>
    <w:aliases w:val="Footnote Text Char1 Char1,Footnote Text Char Char Char1,Footnote Text Char Char2"/>
    <w:semiHidden/>
    <w:locked/>
    <w:rsid w:val="00381F66"/>
    <w:rPr>
      <w:rFonts w:cs="Times New Roman"/>
      <w:lang w:val="en-US" w:eastAsia="en-US" w:bidi="ar-SA"/>
    </w:rPr>
  </w:style>
  <w:style w:type="character" w:customStyle="1" w:styleId="documentbody1">
    <w:name w:val="documentbody1"/>
    <w:rsid w:val="00381F66"/>
    <w:rPr>
      <w:rFonts w:ascii="Verdana" w:hAnsi="Verdana" w:cs="Times New Roman"/>
      <w:sz w:val="19"/>
      <w:szCs w:val="19"/>
    </w:rPr>
  </w:style>
  <w:style w:type="paragraph" w:styleId="Header">
    <w:name w:val="header"/>
    <w:basedOn w:val="Normal"/>
    <w:link w:val="HeaderChar"/>
    <w:rsid w:val="00355C1C"/>
    <w:pPr>
      <w:tabs>
        <w:tab w:val="center" w:pos="4680"/>
        <w:tab w:val="right" w:pos="9360"/>
      </w:tabs>
    </w:pPr>
  </w:style>
  <w:style w:type="character" w:customStyle="1" w:styleId="HeaderChar">
    <w:name w:val="Header Char"/>
    <w:link w:val="Header"/>
    <w:rsid w:val="00355C1C"/>
    <w:rPr>
      <w:sz w:val="24"/>
      <w:szCs w:val="24"/>
    </w:rPr>
  </w:style>
  <w:style w:type="paragraph" w:customStyle="1" w:styleId="Default">
    <w:name w:val="Default"/>
    <w:rsid w:val="002B42D5"/>
    <w:pPr>
      <w:widowControl w:val="0"/>
      <w:autoSpaceDE w:val="0"/>
      <w:autoSpaceDN w:val="0"/>
      <w:adjustRightInd w:val="0"/>
    </w:pPr>
    <w:rPr>
      <w:color w:val="000000"/>
      <w:sz w:val="24"/>
      <w:szCs w:val="24"/>
    </w:rPr>
  </w:style>
  <w:style w:type="paragraph" w:customStyle="1" w:styleId="CM12">
    <w:name w:val="CM12"/>
    <w:basedOn w:val="Default"/>
    <w:next w:val="Default"/>
    <w:uiPriority w:val="99"/>
    <w:rsid w:val="002B42D5"/>
    <w:rPr>
      <w:color w:val="auto"/>
    </w:rPr>
  </w:style>
  <w:style w:type="paragraph" w:customStyle="1" w:styleId="CM13">
    <w:name w:val="CM13"/>
    <w:basedOn w:val="Default"/>
    <w:next w:val="Default"/>
    <w:uiPriority w:val="99"/>
    <w:rsid w:val="002B42D5"/>
    <w:rPr>
      <w:color w:val="aut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8E673A-8A54-4C95-AE84-DB393D741A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2097</Words>
  <Characters>11639</Characters>
  <Application>Microsoft Office Word</Application>
  <DocSecurity>6</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13709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2011-10-21T13:33:00Z</dcterms:created>
  <dcterms:modified xsi:type="dcterms:W3CDTF">2011-10-21T13:33:00Z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ABAAVOAfoSrQoyzubSWisp0jMnwPxJNvSa7hVE0cM3TbF4IiGihZ90vpgbHd/YTqj4hp</vt:lpwstr>
  </property>
  <property fmtid="{D5CDD505-2E9C-101B-9397-08002B2CF9AE}" pid="3" name="MAIL_MSG_ID2">
    <vt:lpwstr>lD9SgPSkk4ID9dWQaJKCPtiv/T/9szrWllj60Nhh6/mFJIHjdqrPFxeHn/g_x000d_
KgMU87LPZvPjdzPy6LuRDuuZbjptHrAaNnd7JEZ9AhwMpSkW</vt:lpwstr>
  </property>
  <property fmtid="{D5CDD505-2E9C-101B-9397-08002B2CF9AE}" pid="4" name="RESPONSE_SENDER_NAME">
    <vt:lpwstr>gAAAdya76B99d4hLGUR1rQ+8TxTv0GGEPdix</vt:lpwstr>
  </property>
  <property fmtid="{D5CDD505-2E9C-101B-9397-08002B2CF9AE}" pid="5" name="EMAIL_OWNER_ADDRESS">
    <vt:lpwstr>4AAA4Lxe55UJ0C+qv/A3Qyj8uOyGUEhQDQ45i+OjI1ZefESoRfRLZbrXxQ==</vt:lpwstr>
  </property>
  <property fmtid="{D5CDD505-2E9C-101B-9397-08002B2CF9AE}" pid="6" name="WS_TRACKING_ID">
    <vt:lpwstr>6738b2b8-1d01-4d33-a7c3-2a6c683f52e8</vt:lpwstr>
  </property>
</Properties>
</file>