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D0C" w:rsidRPr="00202188" w:rsidRDefault="00A03E5D" w:rsidP="00A14A8C">
      <w:pPr>
        <w:pStyle w:val="CM12"/>
        <w:spacing w:line="276" w:lineRule="atLeast"/>
        <w:jc w:val="center"/>
        <w:rPr>
          <w:b/>
          <w:bCs/>
          <w:color w:val="000000"/>
        </w:rPr>
      </w:pPr>
      <w:r w:rsidRPr="00202188">
        <w:rPr>
          <w:b/>
          <w:bCs/>
          <w:color w:val="000000"/>
        </w:rPr>
        <w:t>CONSUMER FINANCIAL PROTECTION BUREAU</w:t>
      </w:r>
    </w:p>
    <w:p w:rsidR="00875D0C" w:rsidRPr="00202188" w:rsidRDefault="00A03E5D" w:rsidP="00A14A8C">
      <w:pPr>
        <w:pStyle w:val="CM12"/>
        <w:spacing w:line="276" w:lineRule="atLeast"/>
        <w:jc w:val="center"/>
        <w:rPr>
          <w:b/>
          <w:bCs/>
          <w:color w:val="000000"/>
        </w:rPr>
      </w:pPr>
      <w:r w:rsidRPr="00202188">
        <w:rPr>
          <w:b/>
          <w:bCs/>
          <w:color w:val="000000"/>
        </w:rPr>
        <w:t>REQUEST FOR EMERGENCY PROCESSING AND APPROVAL</w:t>
      </w:r>
    </w:p>
    <w:p w:rsidR="00A03E5D" w:rsidRPr="00202188" w:rsidRDefault="00A03E5D" w:rsidP="00A03E5D">
      <w:pPr>
        <w:pStyle w:val="Default"/>
        <w:jc w:val="center"/>
        <w:rPr>
          <w:b/>
          <w:bCs/>
        </w:rPr>
      </w:pPr>
      <w:r w:rsidRPr="00202188">
        <w:rPr>
          <w:b/>
          <w:bCs/>
        </w:rPr>
        <w:t xml:space="preserve">EQUAL CREDIT OPPORTUNITY </w:t>
      </w:r>
      <w:r w:rsidR="005424F0">
        <w:rPr>
          <w:b/>
          <w:bCs/>
        </w:rPr>
        <w:t xml:space="preserve">ACT </w:t>
      </w:r>
      <w:r w:rsidRPr="00202188">
        <w:rPr>
          <w:b/>
          <w:bCs/>
        </w:rPr>
        <w:t>(REGULATION B) 12 CFR 1002</w:t>
      </w:r>
    </w:p>
    <w:p w:rsidR="00A03E5D" w:rsidRPr="00202188" w:rsidRDefault="00A03E5D" w:rsidP="00A03E5D">
      <w:pPr>
        <w:pStyle w:val="Default"/>
        <w:jc w:val="center"/>
        <w:rPr>
          <w:b/>
          <w:bCs/>
        </w:rPr>
      </w:pPr>
    </w:p>
    <w:p w:rsidR="00A03E5D" w:rsidRPr="00202188" w:rsidRDefault="00A03E5D" w:rsidP="00A03E5D">
      <w:pPr>
        <w:pStyle w:val="Default"/>
        <w:jc w:val="center"/>
        <w:rPr>
          <w:b/>
          <w:bCs/>
        </w:rPr>
      </w:pPr>
    </w:p>
    <w:p w:rsidR="00A03E5D" w:rsidRPr="00202188" w:rsidRDefault="000C23E7" w:rsidP="00A03E5D">
      <w:pPr>
        <w:pStyle w:val="Default"/>
        <w:rPr>
          <w:b/>
          <w:bCs/>
          <w:u w:val="single"/>
        </w:rPr>
      </w:pPr>
      <w:r w:rsidRPr="00202188">
        <w:rPr>
          <w:b/>
          <w:bCs/>
          <w:u w:val="single"/>
        </w:rPr>
        <w:t xml:space="preserve">EMERGENCY JUSTIFICATION </w:t>
      </w:r>
    </w:p>
    <w:p w:rsidR="00A03E5D" w:rsidRPr="00202188" w:rsidRDefault="00A03E5D" w:rsidP="00202188">
      <w:pPr>
        <w:pStyle w:val="Default"/>
        <w:rPr>
          <w:b/>
          <w:bCs/>
        </w:rPr>
      </w:pPr>
    </w:p>
    <w:p w:rsidR="00A03E5D" w:rsidRPr="00202188" w:rsidRDefault="00A03E5D" w:rsidP="00202188">
      <w:pPr>
        <w:pStyle w:val="Default"/>
        <w:ind w:firstLine="720"/>
      </w:pPr>
      <w:r w:rsidRPr="00202188">
        <w:t xml:space="preserve">The </w:t>
      </w:r>
      <w:r w:rsidR="00D870F1" w:rsidRPr="00202188">
        <w:t>Bureau of Consumer Financial Protection</w:t>
      </w:r>
      <w:r w:rsidRPr="00202188">
        <w:t xml:space="preserve"> (CFPB) respectfully requests emergency processing and approval of the collection of information discussed below </w:t>
      </w:r>
      <w:r w:rsidR="008B6D5B" w:rsidRPr="00202188">
        <w:t>because</w:t>
      </w:r>
      <w:r w:rsidR="00D870F1" w:rsidRPr="00202188">
        <w:t xml:space="preserve"> the use of</w:t>
      </w:r>
      <w:r w:rsidRPr="00202188">
        <w:t xml:space="preserve"> normal clearance procedures </w:t>
      </w:r>
      <w:r w:rsidR="00D870F1" w:rsidRPr="00202188">
        <w:t>is</w:t>
      </w:r>
      <w:r w:rsidRPr="00202188">
        <w:t xml:space="preserve"> reasonably likely to </w:t>
      </w:r>
      <w:r w:rsidR="00D870F1" w:rsidRPr="00202188">
        <w:t xml:space="preserve">prevent and </w:t>
      </w:r>
      <w:r w:rsidR="00541ABC" w:rsidRPr="00202188">
        <w:t xml:space="preserve">disrupt an existing </w:t>
      </w:r>
      <w:r w:rsidRPr="00202188">
        <w:t xml:space="preserve">collection of information.  </w:t>
      </w:r>
    </w:p>
    <w:p w:rsidR="00A03E5D" w:rsidRPr="00202188" w:rsidRDefault="00A03E5D" w:rsidP="00202188">
      <w:pPr>
        <w:pStyle w:val="Default"/>
      </w:pPr>
    </w:p>
    <w:p w:rsidR="00F2643B" w:rsidRDefault="004B110D" w:rsidP="00F2643B">
      <w:pPr>
        <w:pStyle w:val="Default"/>
        <w:ind w:firstLine="720"/>
      </w:pPr>
      <w:r>
        <w:t xml:space="preserve">Under the Dodd-Frank Wall Street Reform and Consumer Protection Act (Dodd-Frank Act), rulemaking authority for the Equal Credit Opportunity Act (ECOA), 15 U.S.C. 1691 </w:t>
      </w:r>
      <w:r w:rsidRPr="009D1EB5">
        <w:rPr>
          <w:i/>
        </w:rPr>
        <w:t>et seq.</w:t>
      </w:r>
      <w:r>
        <w:t xml:space="preserve">, transferred from the Board of Governors of the Federal Reserve System </w:t>
      </w:r>
      <w:r w:rsidR="00F07E53">
        <w:t xml:space="preserve">(Board) </w:t>
      </w:r>
      <w:r>
        <w:t>to the CFPB on July 21, 2011.  In addition to the transfer of rulemaking authority</w:t>
      </w:r>
      <w:r w:rsidR="005E6269">
        <w:t xml:space="preserve"> under the Dodd-Frank Act</w:t>
      </w:r>
      <w:r>
        <w:t xml:space="preserve">, </w:t>
      </w:r>
      <w:r w:rsidR="005E6269">
        <w:t xml:space="preserve">the </w:t>
      </w:r>
      <w:r w:rsidR="005E7E5D">
        <w:t xml:space="preserve">CFPB </w:t>
      </w:r>
      <w:r w:rsidR="005E6269">
        <w:t xml:space="preserve">received </w:t>
      </w:r>
      <w:r>
        <w:t xml:space="preserve">certain enforcement authorities </w:t>
      </w:r>
      <w:r w:rsidR="00F4204F">
        <w:t>with respect</w:t>
      </w:r>
      <w:r w:rsidR="008658C0">
        <w:t xml:space="preserve"> to </w:t>
      </w:r>
      <w:r w:rsidR="003721DB">
        <w:t xml:space="preserve">the </w:t>
      </w:r>
      <w:r>
        <w:t>ECOA</w:t>
      </w:r>
      <w:r w:rsidRPr="00F07E53">
        <w:t xml:space="preserve">.  </w:t>
      </w:r>
      <w:r w:rsidR="00384C7C" w:rsidRPr="00F07E53">
        <w:t>The CFPB is in</w:t>
      </w:r>
      <w:r w:rsidR="005E6269" w:rsidRPr="00F07E53">
        <w:t xml:space="preserve"> the process of </w:t>
      </w:r>
      <w:r w:rsidR="00384C7C" w:rsidRPr="00F07E53">
        <w:t xml:space="preserve">publishing </w:t>
      </w:r>
      <w:r w:rsidRPr="00F07E53">
        <w:t xml:space="preserve">for public comment an interim final rule establishing a new </w:t>
      </w:r>
      <w:r w:rsidR="00F93C1F" w:rsidRPr="00F07E53">
        <w:t xml:space="preserve">regulation </w:t>
      </w:r>
      <w:r w:rsidR="00F4204F">
        <w:t>in</w:t>
      </w:r>
      <w:r w:rsidR="00F4204F" w:rsidRPr="00F07E53">
        <w:t xml:space="preserve"> </w:t>
      </w:r>
      <w:r w:rsidRPr="00F07E53">
        <w:t>12 CFR Part 1002</w:t>
      </w:r>
      <w:r w:rsidR="00F93C1F" w:rsidRPr="00F07E53">
        <w:t xml:space="preserve"> (Regulation B)</w:t>
      </w:r>
      <w:r w:rsidRPr="00F07E53">
        <w:t xml:space="preserve">.  This interim final rule </w:t>
      </w:r>
      <w:r w:rsidR="00F07E53">
        <w:t xml:space="preserve">substantially replicates the Board’s Regulation B, and </w:t>
      </w:r>
      <w:r w:rsidRPr="00F07E53">
        <w:t xml:space="preserve">will not impose any new substantive obligations </w:t>
      </w:r>
      <w:r w:rsidR="00F2643B" w:rsidRPr="00F07E53">
        <w:t xml:space="preserve">on regulated entities </w:t>
      </w:r>
      <w:r w:rsidR="00F07E53">
        <w:t xml:space="preserve">or </w:t>
      </w:r>
      <w:r w:rsidR="00F2643B" w:rsidRPr="00F07E53">
        <w:t>any new information collection requirements.</w:t>
      </w:r>
      <w:r w:rsidR="00F2643B">
        <w:t xml:space="preserve">  </w:t>
      </w:r>
    </w:p>
    <w:p w:rsidR="00F2643B" w:rsidRDefault="00F2643B" w:rsidP="00F2643B">
      <w:pPr>
        <w:pStyle w:val="Default"/>
        <w:ind w:firstLine="720"/>
      </w:pPr>
    </w:p>
    <w:p w:rsidR="004C37AA" w:rsidRPr="00202188" w:rsidRDefault="00F2643B" w:rsidP="00F2643B">
      <w:pPr>
        <w:pStyle w:val="Default"/>
        <w:ind w:firstLine="720"/>
      </w:pPr>
      <w:r>
        <w:t xml:space="preserve">As the CFPB now has enforcement authority over certain populations </w:t>
      </w:r>
      <w:r w:rsidR="007D750E">
        <w:t>that have been</w:t>
      </w:r>
      <w:r>
        <w:t xml:space="preserve"> under the jurisdiction of other agencies, the CFPB is requesting approval of a </w:t>
      </w:r>
      <w:r w:rsidR="00525B9C">
        <w:t>new OMB</w:t>
      </w:r>
      <w:r>
        <w:t xml:space="preserve"> control number for its collection activities under Regulation B.  </w:t>
      </w:r>
      <w:r w:rsidR="009648CD">
        <w:t xml:space="preserve">To prevent a disruption of an approved information collection, </w:t>
      </w:r>
      <w:r>
        <w:t xml:space="preserve">the CFPB is requesting emergency processing and approval of the following information collection request. </w:t>
      </w:r>
      <w:r w:rsidR="009348E2">
        <w:t xml:space="preserve"> </w:t>
      </w:r>
      <w:r w:rsidR="009648CD">
        <w:t xml:space="preserve">Upon receipt of emergency approval from </w:t>
      </w:r>
      <w:r w:rsidR="00525B9C">
        <w:t>the Office of Management and Budget</w:t>
      </w:r>
      <w:r w:rsidR="009648CD">
        <w:t>, the CFPB will begin a standard approval process for this collection and will seek public input at that time.</w:t>
      </w:r>
      <w:r>
        <w:t xml:space="preserve"> </w:t>
      </w:r>
    </w:p>
    <w:p w:rsidR="004C37AA" w:rsidRPr="00202188" w:rsidRDefault="004C37AA" w:rsidP="00A03E5D">
      <w:pPr>
        <w:pStyle w:val="Default"/>
        <w:jc w:val="both"/>
      </w:pPr>
    </w:p>
    <w:p w:rsidR="00A03E5D" w:rsidRPr="00202188" w:rsidRDefault="00A03E5D" w:rsidP="00A03E5D">
      <w:pPr>
        <w:pStyle w:val="Default"/>
        <w:jc w:val="both"/>
      </w:pPr>
    </w:p>
    <w:p w:rsidR="00875D0C" w:rsidRPr="00202188" w:rsidRDefault="00A03E5D" w:rsidP="00A14A8C">
      <w:pPr>
        <w:pStyle w:val="CM12"/>
        <w:spacing w:line="276" w:lineRule="atLeast"/>
        <w:jc w:val="center"/>
        <w:rPr>
          <w:b/>
          <w:bCs/>
          <w:color w:val="000000"/>
        </w:rPr>
      </w:pPr>
      <w:r w:rsidRPr="00202188">
        <w:rPr>
          <w:b/>
          <w:bCs/>
          <w:color w:val="000000"/>
        </w:rPr>
        <w:br w:type="page"/>
      </w:r>
      <w:r w:rsidRPr="00202188">
        <w:rPr>
          <w:b/>
          <w:bCs/>
          <w:color w:val="000000"/>
        </w:rPr>
        <w:lastRenderedPageBreak/>
        <w:t>CONSUMER FINANCIAL PROTECTION BUREAU</w:t>
      </w:r>
    </w:p>
    <w:p w:rsidR="00875D0C" w:rsidRPr="00202188" w:rsidRDefault="00A03E5D" w:rsidP="00A14A8C">
      <w:pPr>
        <w:pStyle w:val="CM12"/>
        <w:spacing w:line="276" w:lineRule="atLeast"/>
        <w:jc w:val="center"/>
        <w:rPr>
          <w:b/>
          <w:bCs/>
          <w:color w:val="000000"/>
        </w:rPr>
      </w:pPr>
      <w:r w:rsidRPr="00202188">
        <w:rPr>
          <w:b/>
          <w:bCs/>
          <w:color w:val="000000"/>
        </w:rPr>
        <w:t>INFORMATION COLLECTION REQUEST</w:t>
      </w:r>
      <w:r w:rsidR="0036718D">
        <w:rPr>
          <w:b/>
          <w:bCs/>
          <w:color w:val="000000"/>
        </w:rPr>
        <w:t xml:space="preserve"> - SUPPORTING STATEMENT</w:t>
      </w:r>
    </w:p>
    <w:p w:rsidR="00875D0C" w:rsidRPr="00202188" w:rsidRDefault="00A03E5D" w:rsidP="00A14A8C">
      <w:pPr>
        <w:pStyle w:val="CM12"/>
        <w:spacing w:line="276" w:lineRule="atLeast"/>
        <w:jc w:val="center"/>
        <w:rPr>
          <w:b/>
          <w:bCs/>
          <w:color w:val="000000"/>
        </w:rPr>
      </w:pPr>
      <w:r w:rsidRPr="00202188">
        <w:rPr>
          <w:b/>
          <w:bCs/>
          <w:color w:val="000000"/>
        </w:rPr>
        <w:t>EQUAL CREDIT OPPORTUNITY ACT (REGULATION B) 12 CFR 1002</w:t>
      </w:r>
    </w:p>
    <w:p w:rsidR="00A14A8C" w:rsidRPr="00202188" w:rsidRDefault="00A03E5D" w:rsidP="00A14A8C">
      <w:pPr>
        <w:pStyle w:val="CM12"/>
        <w:spacing w:line="276" w:lineRule="atLeast"/>
        <w:jc w:val="center"/>
        <w:rPr>
          <w:color w:val="000000"/>
        </w:rPr>
      </w:pPr>
      <w:r w:rsidRPr="00202188">
        <w:rPr>
          <w:b/>
          <w:bCs/>
          <w:color w:val="000000"/>
        </w:rPr>
        <w:t xml:space="preserve">(OMB CONTROL NUMBER: 3170-XXXX) </w:t>
      </w:r>
    </w:p>
    <w:p w:rsidR="009D1070" w:rsidRDefault="009D1070" w:rsidP="00A14A8C">
      <w:pPr>
        <w:pStyle w:val="Default"/>
      </w:pPr>
    </w:p>
    <w:p w:rsidR="00573046" w:rsidRDefault="00573046" w:rsidP="00A14A8C">
      <w:pPr>
        <w:pStyle w:val="Default"/>
      </w:pPr>
    </w:p>
    <w:p w:rsidR="00A14A8C" w:rsidRPr="000C23E7" w:rsidRDefault="009D1070" w:rsidP="009D1070">
      <w:pPr>
        <w:pStyle w:val="Default"/>
        <w:rPr>
          <w:b/>
          <w:u w:val="single"/>
        </w:rPr>
      </w:pPr>
      <w:r w:rsidRPr="000467EC">
        <w:rPr>
          <w:b/>
          <w:u w:val="single"/>
        </w:rPr>
        <w:t>A.</w:t>
      </w:r>
      <w:r w:rsidRPr="000C23E7">
        <w:rPr>
          <w:b/>
          <w:u w:val="single"/>
        </w:rPr>
        <w:t xml:space="preserve">  JUSTIFICATION</w:t>
      </w:r>
    </w:p>
    <w:p w:rsidR="009D1070" w:rsidRPr="00202188" w:rsidRDefault="009D1070" w:rsidP="00A14A8C">
      <w:pPr>
        <w:pStyle w:val="Default"/>
      </w:pPr>
    </w:p>
    <w:p w:rsidR="00A14A8C" w:rsidRPr="00202188" w:rsidRDefault="00A14A8C" w:rsidP="00A14A8C">
      <w:pPr>
        <w:pStyle w:val="CM12"/>
        <w:rPr>
          <w:color w:val="000000"/>
        </w:rPr>
      </w:pPr>
      <w:r w:rsidRPr="00202188">
        <w:rPr>
          <w:b/>
          <w:bCs/>
          <w:color w:val="000000"/>
        </w:rPr>
        <w:t>1.</w:t>
      </w:r>
      <w:r w:rsidR="00F93C1F">
        <w:rPr>
          <w:b/>
          <w:bCs/>
          <w:color w:val="000000"/>
        </w:rPr>
        <w:t xml:space="preserve">  </w:t>
      </w:r>
      <w:r w:rsidR="00875D0C" w:rsidRPr="00202188">
        <w:rPr>
          <w:b/>
          <w:bCs/>
          <w:color w:val="000000"/>
          <w:u w:val="single"/>
        </w:rPr>
        <w:t>Circumstances Necessitating the Data Collection</w:t>
      </w:r>
    </w:p>
    <w:p w:rsidR="00E40FFD" w:rsidRPr="00202188" w:rsidRDefault="00E40FFD" w:rsidP="00A14A8C">
      <w:pPr>
        <w:pStyle w:val="CM12"/>
        <w:spacing w:line="276" w:lineRule="atLeast"/>
        <w:ind w:right="187" w:firstLine="720"/>
        <w:rPr>
          <w:color w:val="000000"/>
        </w:rPr>
      </w:pPr>
    </w:p>
    <w:p w:rsidR="00E40FFD" w:rsidRPr="00202188" w:rsidRDefault="00A14A8C" w:rsidP="00205BE9">
      <w:pPr>
        <w:pStyle w:val="CM12"/>
        <w:spacing w:line="276" w:lineRule="atLeast"/>
        <w:ind w:right="187" w:firstLine="720"/>
        <w:rPr>
          <w:color w:val="000000"/>
        </w:rPr>
      </w:pPr>
      <w:r w:rsidRPr="00202188">
        <w:rPr>
          <w:color w:val="000000"/>
        </w:rPr>
        <w:t xml:space="preserve">The Equal Credit Opportunity Act (ECOA), 15 U.S.C. 1691 </w:t>
      </w:r>
      <w:r w:rsidRPr="00202188">
        <w:rPr>
          <w:i/>
          <w:iCs/>
          <w:color w:val="000000"/>
        </w:rPr>
        <w:t>et seq</w:t>
      </w:r>
      <w:r w:rsidRPr="00202188">
        <w:rPr>
          <w:color w:val="000000"/>
        </w:rPr>
        <w:t xml:space="preserve">., was enacted to ensure that credit is made available to all creditworthy applicants without discrimination on the basis of sex, marital status, race, color, religion, national origin, or age.  The ECOA also prohibits discrimination because an applicant's income is derived from a public assistance program, or because the applicant has in good faith exercised any right under the Consumer Credit Protection Act. </w:t>
      </w:r>
    </w:p>
    <w:p w:rsidR="00205BE9" w:rsidRPr="00202188" w:rsidRDefault="00205BE9" w:rsidP="00205BE9">
      <w:pPr>
        <w:pStyle w:val="Default"/>
      </w:pPr>
    </w:p>
    <w:p w:rsidR="00A14A8C" w:rsidRPr="00202188" w:rsidRDefault="00A14A8C" w:rsidP="00A14A8C">
      <w:pPr>
        <w:pStyle w:val="CM12"/>
        <w:spacing w:line="276" w:lineRule="atLeast"/>
        <w:ind w:firstLine="720"/>
        <w:rPr>
          <w:color w:val="000000"/>
        </w:rPr>
      </w:pPr>
      <w:r w:rsidRPr="00202188">
        <w:rPr>
          <w:color w:val="000000"/>
        </w:rPr>
        <w:t xml:space="preserve">The Bureau of </w:t>
      </w:r>
      <w:r w:rsidR="00BF30E5" w:rsidRPr="00202188">
        <w:rPr>
          <w:color w:val="000000"/>
        </w:rPr>
        <w:t>Consumer Financial Protection (</w:t>
      </w:r>
      <w:r w:rsidR="00664EDA" w:rsidRPr="00202188">
        <w:rPr>
          <w:color w:val="000000"/>
        </w:rPr>
        <w:t>CFPB</w:t>
      </w:r>
      <w:r w:rsidRPr="00202188">
        <w:rPr>
          <w:color w:val="000000"/>
        </w:rPr>
        <w:t xml:space="preserve">) is promulgating </w:t>
      </w:r>
      <w:r w:rsidR="00875D0C" w:rsidRPr="00202188">
        <w:rPr>
          <w:color w:val="000000"/>
        </w:rPr>
        <w:t>12 CFR 1002</w:t>
      </w:r>
      <w:r w:rsidR="00672586" w:rsidRPr="00202188">
        <w:rPr>
          <w:color w:val="000000"/>
        </w:rPr>
        <w:t xml:space="preserve"> </w:t>
      </w:r>
      <w:r w:rsidR="00875D0C" w:rsidRPr="00202188">
        <w:rPr>
          <w:color w:val="000000"/>
        </w:rPr>
        <w:t>(</w:t>
      </w:r>
      <w:r w:rsidRPr="00202188">
        <w:rPr>
          <w:color w:val="000000"/>
        </w:rPr>
        <w:t>Regulation B</w:t>
      </w:r>
      <w:r w:rsidR="00F93C1F">
        <w:rPr>
          <w:color w:val="000000"/>
        </w:rPr>
        <w:t>)</w:t>
      </w:r>
      <w:r w:rsidRPr="00202188">
        <w:rPr>
          <w:color w:val="000000"/>
        </w:rPr>
        <w:t xml:space="preserve"> to implement the ECOA, as required by the statute. </w:t>
      </w:r>
      <w:r w:rsidR="00A91EF1" w:rsidRPr="00202188">
        <w:rPr>
          <w:color w:val="000000"/>
        </w:rPr>
        <w:t xml:space="preserve"> </w:t>
      </w:r>
      <w:r w:rsidRPr="00202188">
        <w:rPr>
          <w:color w:val="000000"/>
        </w:rPr>
        <w:t>The ECOA applies to anyone who regularly extends or arranges for the extension of credit and to an assignee who participates in the decision to extend credit.</w:t>
      </w:r>
      <w:r w:rsidRPr="00202188">
        <w:rPr>
          <w:rStyle w:val="FootnoteReference"/>
          <w:color w:val="000000"/>
        </w:rPr>
        <w:footnoteReference w:id="1"/>
      </w:r>
      <w:r w:rsidR="00205BE9" w:rsidRPr="00202188">
        <w:rPr>
          <w:color w:val="000000"/>
        </w:rPr>
        <w:t xml:space="preserve">  </w:t>
      </w:r>
      <w:r w:rsidRPr="00202188">
        <w:rPr>
          <w:color w:val="000000"/>
        </w:rPr>
        <w:t xml:space="preserve">The </w:t>
      </w:r>
      <w:r w:rsidR="00BF30E5" w:rsidRPr="00202188">
        <w:rPr>
          <w:color w:val="000000"/>
        </w:rPr>
        <w:t>CFPB</w:t>
      </w:r>
      <w:r w:rsidRPr="00202188">
        <w:rPr>
          <w:color w:val="000000"/>
        </w:rPr>
        <w:t xml:space="preserve"> enforces the ECOA as to </w:t>
      </w:r>
      <w:r w:rsidR="00205BE9" w:rsidRPr="00202188">
        <w:rPr>
          <w:color w:val="000000"/>
        </w:rPr>
        <w:t>certain</w:t>
      </w:r>
      <w:r w:rsidRPr="00202188">
        <w:rPr>
          <w:color w:val="000000"/>
        </w:rPr>
        <w:t xml:space="preserve"> creditors</w:t>
      </w:r>
      <w:r w:rsidR="00205BE9" w:rsidRPr="00202188">
        <w:rPr>
          <w:color w:val="000000"/>
        </w:rPr>
        <w:t>.</w:t>
      </w:r>
      <w:r w:rsidRPr="00202188">
        <w:rPr>
          <w:color w:val="000000"/>
        </w:rPr>
        <w:t xml:space="preserve"> </w:t>
      </w:r>
      <w:r w:rsidR="00205BE9" w:rsidRPr="00202188">
        <w:rPr>
          <w:color w:val="000000"/>
        </w:rPr>
        <w:t xml:space="preserve"> </w:t>
      </w:r>
      <w:r w:rsidRPr="00202188">
        <w:rPr>
          <w:color w:val="000000"/>
        </w:rPr>
        <w:t>The ECOA also contains a private right of action for aggrieved applicants</w:t>
      </w:r>
      <w:r w:rsidR="007E5412">
        <w:rPr>
          <w:color w:val="000000"/>
        </w:rPr>
        <w:t>; the Dodd-Frank Act increased the statute of limitations on such actions from two years to five</w:t>
      </w:r>
      <w:r w:rsidRPr="00202188">
        <w:rPr>
          <w:color w:val="000000"/>
        </w:rPr>
        <w:t>.</w:t>
      </w:r>
    </w:p>
    <w:p w:rsidR="00E40FFD" w:rsidRPr="00202188" w:rsidRDefault="00E40FFD" w:rsidP="00A14A8C">
      <w:pPr>
        <w:pStyle w:val="CM12"/>
        <w:spacing w:line="276" w:lineRule="atLeast"/>
        <w:ind w:firstLine="720"/>
        <w:rPr>
          <w:color w:val="000000"/>
        </w:rPr>
      </w:pPr>
    </w:p>
    <w:p w:rsidR="00A14A8C" w:rsidRPr="00202188" w:rsidRDefault="00A14A8C" w:rsidP="00A14A8C">
      <w:pPr>
        <w:pStyle w:val="CM12"/>
        <w:spacing w:line="276" w:lineRule="atLeast"/>
        <w:ind w:firstLine="720"/>
        <w:rPr>
          <w:b/>
          <w:color w:val="000000"/>
        </w:rPr>
      </w:pPr>
      <w:r w:rsidRPr="00202188">
        <w:rPr>
          <w:b/>
          <w:color w:val="000000"/>
        </w:rPr>
        <w:t xml:space="preserve">Recordkeeping </w:t>
      </w:r>
    </w:p>
    <w:p w:rsidR="00E40FFD" w:rsidRPr="00202188" w:rsidRDefault="00E40FFD" w:rsidP="00A14A8C">
      <w:pPr>
        <w:pStyle w:val="CM4"/>
        <w:ind w:right="112" w:firstLine="720"/>
        <w:rPr>
          <w:color w:val="000000"/>
        </w:rPr>
      </w:pPr>
    </w:p>
    <w:p w:rsidR="00A14A8C" w:rsidRPr="00202188" w:rsidRDefault="00205BE9" w:rsidP="00A14A8C">
      <w:pPr>
        <w:pStyle w:val="CM4"/>
        <w:ind w:right="112" w:firstLine="720"/>
        <w:rPr>
          <w:color w:val="000000"/>
        </w:rPr>
      </w:pPr>
      <w:r w:rsidRPr="00202188">
        <w:rPr>
          <w:color w:val="000000"/>
        </w:rPr>
        <w:t>Section 1002.12(b)</w:t>
      </w:r>
      <w:r w:rsidR="00A14A8C" w:rsidRPr="00202188">
        <w:rPr>
          <w:color w:val="000000"/>
        </w:rPr>
        <w:t xml:space="preserve"> of Regulation B requires creditors to retain records relating to consumer credit applications for 25 months from the date that the applicant is notified of the action taken on the application or, where notice is not required, for 25 months from the date of the application. </w:t>
      </w:r>
      <w:r w:rsidR="00A91EF1" w:rsidRPr="00202188">
        <w:rPr>
          <w:color w:val="000000"/>
        </w:rPr>
        <w:t xml:space="preserve"> </w:t>
      </w:r>
      <w:r w:rsidR="00A14A8C" w:rsidRPr="00202188">
        <w:rPr>
          <w:color w:val="000000"/>
        </w:rPr>
        <w:t xml:space="preserve">When a creditor takes adverse action on an existing account, the creditor must retain records for 25 months after the applicant is notified of the action taken.  Records of business credit applications must be retained for comparable 12 month periods, with certain exceptions. </w:t>
      </w:r>
      <w:r w:rsidR="00A91EF1" w:rsidRPr="00202188">
        <w:rPr>
          <w:color w:val="000000"/>
        </w:rPr>
        <w:t xml:space="preserve"> </w:t>
      </w:r>
      <w:r w:rsidR="00A14A8C" w:rsidRPr="00202188">
        <w:rPr>
          <w:color w:val="000000"/>
        </w:rPr>
        <w:t xml:space="preserve">Regulation B also requires creditors who have been informed that they are the subject of an investigation by the </w:t>
      </w:r>
      <w:r w:rsidR="007D750E">
        <w:rPr>
          <w:color w:val="000000"/>
        </w:rPr>
        <w:t xml:space="preserve">CFPB </w:t>
      </w:r>
      <w:r w:rsidR="00A14A8C" w:rsidRPr="00202188">
        <w:rPr>
          <w:color w:val="000000"/>
        </w:rPr>
        <w:t>(or another agency) regarding their compliance with the ECOA to retain such records until the agency or a court informs the creditor that retention is no longer necessary.</w:t>
      </w:r>
      <w:r w:rsidR="00A91EF1" w:rsidRPr="00202188">
        <w:rPr>
          <w:color w:val="000000"/>
        </w:rPr>
        <w:t xml:space="preserve"> </w:t>
      </w:r>
      <w:r w:rsidR="00A14A8C" w:rsidRPr="00202188">
        <w:rPr>
          <w:color w:val="000000"/>
        </w:rPr>
        <w:t xml:space="preserve"> Moreover, Regulation B requires creditors to retain all written or recorded information about a self-test (including corrective </w:t>
      </w:r>
      <w:r w:rsidRPr="00202188">
        <w:rPr>
          <w:color w:val="000000"/>
        </w:rPr>
        <w:t>action), as defined in Section 10</w:t>
      </w:r>
      <w:r w:rsidR="00A14A8C" w:rsidRPr="00202188">
        <w:rPr>
          <w:color w:val="000000"/>
        </w:rPr>
        <w:t xml:space="preserve">02.15 of Regulation B, for 25 months after a self-test has been completed (and longer under some circumstances).  Regulation B also requires creditors to retain certain prescreened solicitation materials for 25 months after the date on which an offer of credit is made to potential customers </w:t>
      </w:r>
      <w:r w:rsidR="00A14A8C" w:rsidRPr="00202188">
        <w:lastRenderedPageBreak/>
        <w:t>(12 months for business credit, with certain exceptions).</w:t>
      </w:r>
      <w:r w:rsidR="00A14A8C" w:rsidRPr="00202188">
        <w:rPr>
          <w:rStyle w:val="FootnoteReference"/>
        </w:rPr>
        <w:footnoteReference w:id="2"/>
      </w:r>
      <w:r w:rsidR="00A14A8C" w:rsidRPr="00202188">
        <w:t xml:space="preserve">  The recordkeeping requirement ensures that</w:t>
      </w:r>
      <w:r w:rsidR="00A14A8C" w:rsidRPr="00202188">
        <w:rPr>
          <w:color w:val="000000"/>
        </w:rPr>
        <w:t xml:space="preserve"> records that might contain evidence of violations of the ECOA remain available to the </w:t>
      </w:r>
      <w:r w:rsidR="00F93C1F">
        <w:rPr>
          <w:color w:val="000000"/>
        </w:rPr>
        <w:t>CFPB</w:t>
      </w:r>
      <w:r w:rsidR="00A14A8C" w:rsidRPr="00202188">
        <w:rPr>
          <w:color w:val="000000"/>
        </w:rPr>
        <w:t xml:space="preserve">, other agencies, and private litigants. </w:t>
      </w:r>
    </w:p>
    <w:p w:rsidR="00A14A8C" w:rsidRPr="00202188" w:rsidRDefault="00A14A8C" w:rsidP="00A14A8C">
      <w:pPr>
        <w:pStyle w:val="CM4"/>
        <w:ind w:right="112" w:firstLine="720"/>
        <w:rPr>
          <w:color w:val="000000"/>
        </w:rPr>
      </w:pPr>
    </w:p>
    <w:p w:rsidR="00A14A8C" w:rsidRPr="00202188" w:rsidRDefault="00A14A8C" w:rsidP="00A14A8C">
      <w:pPr>
        <w:pStyle w:val="CM4"/>
        <w:ind w:right="112" w:firstLine="720"/>
        <w:rPr>
          <w:b/>
          <w:color w:val="000000"/>
        </w:rPr>
      </w:pPr>
      <w:r w:rsidRPr="00202188">
        <w:rPr>
          <w:b/>
          <w:color w:val="000000"/>
        </w:rPr>
        <w:t>Disclosure</w:t>
      </w:r>
      <w:r w:rsidRPr="00202188">
        <w:rPr>
          <w:rStyle w:val="FootnoteReference"/>
          <w:b/>
          <w:color w:val="000000"/>
        </w:rPr>
        <w:footnoteReference w:id="3"/>
      </w:r>
    </w:p>
    <w:p w:rsidR="00A14A8C" w:rsidRPr="00202188" w:rsidRDefault="00A14A8C" w:rsidP="00A14A8C">
      <w:pPr>
        <w:pStyle w:val="CM12"/>
        <w:spacing w:line="276" w:lineRule="atLeast"/>
        <w:ind w:right="112" w:firstLine="720"/>
        <w:rPr>
          <w:color w:val="000000"/>
        </w:rPr>
      </w:pPr>
    </w:p>
    <w:p w:rsidR="00A14A8C" w:rsidRPr="00202188" w:rsidRDefault="00BF30E5" w:rsidP="00A14A8C">
      <w:pPr>
        <w:pStyle w:val="CM12"/>
        <w:spacing w:line="276" w:lineRule="atLeast"/>
        <w:ind w:right="112" w:firstLine="720"/>
        <w:rPr>
          <w:color w:val="000000"/>
        </w:rPr>
      </w:pPr>
      <w:r w:rsidRPr="00202188">
        <w:rPr>
          <w:color w:val="000000"/>
        </w:rPr>
        <w:t>Section 10</w:t>
      </w:r>
      <w:r w:rsidR="00A14A8C" w:rsidRPr="00202188">
        <w:rPr>
          <w:color w:val="000000"/>
        </w:rPr>
        <w:t>02.9 of Regulation B requires creditors to provide notice (within specified time periods) to applicants for credit against whom adverse action is taken.</w:t>
      </w:r>
      <w:r w:rsidR="00A14A8C" w:rsidRPr="00202188">
        <w:rPr>
          <w:rStyle w:val="FootnoteReference"/>
          <w:color w:val="000000"/>
        </w:rPr>
        <w:footnoteReference w:id="4"/>
      </w:r>
      <w:r w:rsidR="00A14A8C" w:rsidRPr="00202188">
        <w:rPr>
          <w:color w:val="000000"/>
        </w:rPr>
        <w:t xml:space="preserve"> </w:t>
      </w:r>
      <w:r w:rsidR="00A91EF1" w:rsidRPr="00202188">
        <w:rPr>
          <w:color w:val="000000"/>
        </w:rPr>
        <w:t xml:space="preserve"> </w:t>
      </w:r>
      <w:r w:rsidR="00A14A8C" w:rsidRPr="00202188">
        <w:rPr>
          <w:color w:val="000000"/>
        </w:rPr>
        <w:t>Generally, the required notice must be in writing and contain: a statement of the action taken; the name and address of the creditor; a statement describing the anti-discrimination provisions of the ECOA; the name and address of the federal agency that administers compliance as to the creditor; and either a statement of specific reasons for the action taken or a notice of the applicant's right to obtain such a statement.</w:t>
      </w:r>
    </w:p>
    <w:p w:rsidR="00A14A8C" w:rsidRPr="00202188" w:rsidRDefault="00A14A8C" w:rsidP="00A14A8C">
      <w:pPr>
        <w:pStyle w:val="Default"/>
      </w:pPr>
    </w:p>
    <w:p w:rsidR="00A14A8C" w:rsidRPr="00202188" w:rsidRDefault="00205BE9" w:rsidP="00A14A8C">
      <w:pPr>
        <w:pStyle w:val="CM12"/>
        <w:spacing w:line="276" w:lineRule="atLeast"/>
        <w:ind w:firstLine="720"/>
        <w:rPr>
          <w:color w:val="000000"/>
        </w:rPr>
      </w:pPr>
      <w:r w:rsidRPr="00202188">
        <w:rPr>
          <w:color w:val="000000"/>
        </w:rPr>
        <w:t>Section 10</w:t>
      </w:r>
      <w:r w:rsidR="00A14A8C" w:rsidRPr="00202188">
        <w:rPr>
          <w:color w:val="000000"/>
        </w:rPr>
        <w:t xml:space="preserve">02.10 of Regulation B requires creditors that furnish credit information to consumer reporting agencies to designate accounts to reflect the participation of both spouses, if the applicant’s spouse is permitted to use or is contractually liable on the account. </w:t>
      </w:r>
    </w:p>
    <w:p w:rsidR="00E40FFD" w:rsidRPr="00202188" w:rsidRDefault="00E40FFD" w:rsidP="00A14A8C">
      <w:pPr>
        <w:pStyle w:val="CM12"/>
        <w:spacing w:line="276" w:lineRule="atLeast"/>
        <w:ind w:firstLine="720"/>
        <w:rPr>
          <w:color w:val="000000"/>
        </w:rPr>
      </w:pPr>
    </w:p>
    <w:p w:rsidR="00A14A8C" w:rsidRPr="00202188" w:rsidRDefault="00205BE9" w:rsidP="00A14A8C">
      <w:pPr>
        <w:pStyle w:val="CM12"/>
        <w:spacing w:line="276" w:lineRule="atLeast"/>
        <w:ind w:firstLine="720"/>
        <w:rPr>
          <w:color w:val="000000"/>
        </w:rPr>
      </w:pPr>
      <w:r w:rsidRPr="00202188">
        <w:rPr>
          <w:color w:val="000000"/>
        </w:rPr>
        <w:t>Section 10</w:t>
      </w:r>
      <w:r w:rsidR="00A14A8C" w:rsidRPr="00202188">
        <w:rPr>
          <w:color w:val="000000"/>
        </w:rPr>
        <w:t xml:space="preserve">02.13 of Regulation B requires that creditors who receive applications for certain mortgage credit request, as part of the application process, information about the applicant’s race/national origin, sex, marital status, and age.  The information may be requested on the application form or on a separate form that refers to the application.  The applicant is asked but not required to supply the information.  If the applicant chooses not to provide the information or any part of it, the creditor must note that fact on the form and must note, to the extent possible, the race/national origin and sex of the applicant on the basis of visual observation or surname.  The creditor is required to inform the applicant that the information is sought by the federal government to help monitor compliance with federal statutes that prohibit creditors from discriminating against applicants based on the above-noted factors.  An agency charged with the administrative enforcement of the ECOA, including the </w:t>
      </w:r>
      <w:r w:rsidR="00BF30E5" w:rsidRPr="00202188">
        <w:rPr>
          <w:color w:val="000000"/>
        </w:rPr>
        <w:t>CFPB</w:t>
      </w:r>
      <w:r w:rsidR="00A14A8C" w:rsidRPr="00202188">
        <w:rPr>
          <w:color w:val="000000"/>
        </w:rPr>
        <w:t>, may substitute its own monitoring p</w:t>
      </w:r>
      <w:r w:rsidRPr="00202188">
        <w:rPr>
          <w:color w:val="000000"/>
        </w:rPr>
        <w:t>rogram for that described in § 10</w:t>
      </w:r>
      <w:r w:rsidR="00A14A8C" w:rsidRPr="00202188">
        <w:rPr>
          <w:color w:val="000000"/>
        </w:rPr>
        <w:t xml:space="preserve">02.13 of Regulation B. </w:t>
      </w:r>
    </w:p>
    <w:p w:rsidR="00E40FFD" w:rsidRPr="00202188" w:rsidRDefault="00E40FFD" w:rsidP="00A14A8C">
      <w:pPr>
        <w:pStyle w:val="Default"/>
      </w:pPr>
    </w:p>
    <w:p w:rsidR="00A14A8C" w:rsidRPr="00202188" w:rsidRDefault="00205BE9" w:rsidP="00E40FFD">
      <w:pPr>
        <w:pStyle w:val="Default"/>
        <w:ind w:firstLine="720"/>
      </w:pPr>
      <w:r w:rsidRPr="00202188">
        <w:t>Section 10</w:t>
      </w:r>
      <w:r w:rsidR="00A14A8C" w:rsidRPr="00202188">
        <w:t>02.14 of Regulation B requires that creditors notify mortgage credit applicants of their right to receive a copy of the appraisal report prepared in connection with the application.</w:t>
      </w:r>
      <w:r w:rsidR="00A91EF1" w:rsidRPr="00202188">
        <w:t xml:space="preserve"> </w:t>
      </w:r>
      <w:r w:rsidR="00A14A8C" w:rsidRPr="00202188">
        <w:t xml:space="preserve"> The requirement that the creditor provide a copy of the appraisal report upon the applicant's request is statutorily mandated by </w:t>
      </w:r>
      <w:r w:rsidR="00764D28">
        <w:t>15 U.SC. 1691(e)</w:t>
      </w:r>
      <w:r w:rsidR="00A14A8C" w:rsidRPr="00202188">
        <w:t>.  The requirement that applicants be notified of this right is not specifically mandated by the ECOA.  Regulation B allows creditors to avoid the notice requirement by providing the appraisal report itself to all applicants for whom an appraisal is performed in the first instance.  Creditors may also avoid the burden of sending a separate notice by including the notice of the right to an appraisal in an adverse action notice or by placing the notice on the application form or other documents provided to the applicant.</w:t>
      </w:r>
    </w:p>
    <w:p w:rsidR="00A14A8C" w:rsidRPr="00202188" w:rsidRDefault="00A14A8C" w:rsidP="00A14A8C">
      <w:pPr>
        <w:pStyle w:val="CM12"/>
        <w:spacing w:line="276" w:lineRule="atLeast"/>
        <w:ind w:right="112" w:firstLine="720"/>
        <w:rPr>
          <w:color w:val="000000"/>
        </w:rPr>
      </w:pPr>
    </w:p>
    <w:p w:rsidR="00A14A8C" w:rsidRPr="00202188" w:rsidRDefault="00205BE9" w:rsidP="00A14A8C">
      <w:pPr>
        <w:pStyle w:val="CM12"/>
        <w:spacing w:line="276" w:lineRule="atLeast"/>
        <w:ind w:right="112" w:firstLine="720"/>
        <w:rPr>
          <w:color w:val="000000"/>
        </w:rPr>
      </w:pPr>
      <w:r w:rsidRPr="00202188">
        <w:rPr>
          <w:color w:val="000000"/>
        </w:rPr>
        <w:t>Under Sections 1002.5(b) and 10</w:t>
      </w:r>
      <w:r w:rsidR="00A14A8C" w:rsidRPr="00202188">
        <w:rPr>
          <w:color w:val="000000"/>
        </w:rPr>
        <w:t xml:space="preserve">02.15 of Regulation B, creditors that collect applicant characteristics for purposes of conducting a self-test under Regulation B must disclose, orally or in writing, that providing the information is optional, that the creditor will not take into account the information in any aspect of the credit transactions, and, if applicable, that the information will be noted by visual observation or surname, if the applicant chooses not to provide it. </w:t>
      </w:r>
    </w:p>
    <w:p w:rsidR="00E40FFD" w:rsidRPr="00202188" w:rsidRDefault="00E40FFD" w:rsidP="00A14A8C">
      <w:pPr>
        <w:pStyle w:val="CM12"/>
        <w:spacing w:line="276" w:lineRule="atLeast"/>
        <w:ind w:right="112" w:firstLine="720"/>
        <w:rPr>
          <w:color w:val="000000"/>
        </w:rPr>
      </w:pPr>
    </w:p>
    <w:p w:rsidR="00A14A8C" w:rsidRPr="00202188" w:rsidRDefault="00A14A8C" w:rsidP="00A14A8C">
      <w:pPr>
        <w:pStyle w:val="CM12"/>
        <w:spacing w:line="276" w:lineRule="atLeast"/>
        <w:ind w:right="112" w:firstLine="720"/>
        <w:rPr>
          <w:color w:val="000000"/>
        </w:rPr>
      </w:pPr>
      <w:r w:rsidRPr="00202188">
        <w:rPr>
          <w:color w:val="000000"/>
        </w:rPr>
        <w:t xml:space="preserve">The requirement that spousal credit history information on shared accounts be reported under both spouses’ names (if it is reported at all) is intended to ensure that each spouse has the benefit of that shared credit history from which to seek and obtain further credit.  The requirement that a notice of adverse action be provided assists applicants in detecting unlawful discrimination, correcting errors that may have occurred in the evaluation of their applications, and learning how to become more creditworthy.  The requirement that information about the race/national origin, sex, marital status, and age of applicants be collected helps </w:t>
      </w:r>
      <w:r w:rsidR="00BF30E5" w:rsidRPr="00202188">
        <w:rPr>
          <w:color w:val="000000"/>
        </w:rPr>
        <w:t>federal</w:t>
      </w:r>
      <w:r w:rsidRPr="00202188">
        <w:rPr>
          <w:color w:val="000000"/>
        </w:rPr>
        <w:t xml:space="preserve"> enforcement agencies and private litigants to determine whether creditors discriminated against applicants on those bases. </w:t>
      </w:r>
      <w:r w:rsidR="00A91EF1" w:rsidRPr="00202188">
        <w:rPr>
          <w:color w:val="000000"/>
        </w:rPr>
        <w:t xml:space="preserve"> </w:t>
      </w:r>
      <w:r w:rsidRPr="00202188">
        <w:rPr>
          <w:color w:val="000000"/>
        </w:rPr>
        <w:t xml:space="preserve">The collateral requirement that applicants be notified of the purpose for collecting this information helps to ensure that the information is provided.  The applicants' right to a copy of the appraisal allows applicants to determine the role that the appraisal played in the credit decision; the collateral requirement that applicants be informed of their right to obtain a copy of the appraisal helps applicants take advantage of this right. </w:t>
      </w:r>
      <w:r w:rsidR="00A91EF1" w:rsidRPr="00202188">
        <w:rPr>
          <w:color w:val="000000"/>
        </w:rPr>
        <w:t xml:space="preserve"> </w:t>
      </w:r>
      <w:r w:rsidRPr="00202188">
        <w:rPr>
          <w:color w:val="000000"/>
        </w:rPr>
        <w:t xml:space="preserve">The self-testing disclosure helps applicants understand the nature of the information collection process. </w:t>
      </w:r>
    </w:p>
    <w:p w:rsidR="00E40FFD" w:rsidRPr="00202188" w:rsidRDefault="00E40FFD" w:rsidP="00452363">
      <w:pPr>
        <w:pStyle w:val="CM12"/>
        <w:spacing w:line="276" w:lineRule="atLeast"/>
        <w:ind w:firstLine="720"/>
        <w:rPr>
          <w:color w:val="000000"/>
        </w:rPr>
      </w:pPr>
    </w:p>
    <w:p w:rsidR="00A14A8C" w:rsidRPr="00202188" w:rsidRDefault="00205BE9" w:rsidP="00452363">
      <w:pPr>
        <w:pStyle w:val="CM12"/>
        <w:spacing w:line="276" w:lineRule="atLeast"/>
        <w:ind w:firstLine="720"/>
        <w:rPr>
          <w:color w:val="000000"/>
        </w:rPr>
      </w:pPr>
      <w:r w:rsidRPr="00202188">
        <w:rPr>
          <w:color w:val="000000"/>
        </w:rPr>
        <w:t xml:space="preserve">Regulation B includes </w:t>
      </w:r>
      <w:r w:rsidR="00A14A8C" w:rsidRPr="00202188">
        <w:rPr>
          <w:color w:val="000000"/>
        </w:rPr>
        <w:t xml:space="preserve">model forms that may be used to comply with the notice requirements of the ECOA and Regulation B.  </w:t>
      </w:r>
      <w:r w:rsidR="00A14A8C" w:rsidRPr="00202188">
        <w:rPr>
          <w:i/>
          <w:iCs/>
          <w:color w:val="000000"/>
        </w:rPr>
        <w:t>See</w:t>
      </w:r>
      <w:r w:rsidR="00A14A8C" w:rsidRPr="00202188">
        <w:rPr>
          <w:color w:val="000000"/>
        </w:rPr>
        <w:t xml:space="preserve"> Appendices B and C to Regulation B. </w:t>
      </w:r>
      <w:r w:rsidR="00A91EF1" w:rsidRPr="00202188">
        <w:rPr>
          <w:color w:val="000000"/>
        </w:rPr>
        <w:t xml:space="preserve"> </w:t>
      </w:r>
      <w:r w:rsidR="00A14A8C" w:rsidRPr="00202188">
        <w:rPr>
          <w:color w:val="000000"/>
        </w:rPr>
        <w:t>Correct use of these model forms insulates creditors from liability for the respective requirements under the ECOA and Regulation B.</w:t>
      </w:r>
      <w:r w:rsidR="00EF719C">
        <w:rPr>
          <w:color w:val="000000"/>
        </w:rPr>
        <w:t xml:space="preserve"> </w:t>
      </w:r>
      <w:r w:rsidR="00A14A8C" w:rsidRPr="00202188">
        <w:rPr>
          <w:color w:val="000000"/>
        </w:rPr>
        <w:t xml:space="preserve"> </w:t>
      </w:r>
      <w:r w:rsidR="00A14A8C" w:rsidRPr="00202188">
        <w:rPr>
          <w:i/>
          <w:iCs/>
          <w:color w:val="000000"/>
        </w:rPr>
        <w:t>Id</w:t>
      </w:r>
      <w:r w:rsidR="00A14A8C" w:rsidRPr="00202188">
        <w:rPr>
          <w:color w:val="000000"/>
        </w:rPr>
        <w:t>.</w:t>
      </w:r>
    </w:p>
    <w:p w:rsidR="00E40FFD" w:rsidRPr="00202188" w:rsidRDefault="00E40FFD" w:rsidP="00A14A8C">
      <w:pPr>
        <w:pStyle w:val="CM12"/>
        <w:spacing w:line="276" w:lineRule="atLeast"/>
        <w:rPr>
          <w:b/>
          <w:bCs/>
        </w:rPr>
      </w:pPr>
    </w:p>
    <w:p w:rsidR="00A14A8C" w:rsidRPr="00202188" w:rsidRDefault="00A14A8C" w:rsidP="00A14A8C">
      <w:pPr>
        <w:pStyle w:val="CM12"/>
        <w:spacing w:line="276" w:lineRule="atLeast"/>
      </w:pPr>
      <w:r w:rsidRPr="00202188">
        <w:rPr>
          <w:b/>
          <w:bCs/>
        </w:rPr>
        <w:t xml:space="preserve">2. </w:t>
      </w:r>
      <w:r w:rsidR="00F93C1F">
        <w:rPr>
          <w:b/>
          <w:bCs/>
        </w:rPr>
        <w:t xml:space="preserve"> </w:t>
      </w:r>
      <w:r w:rsidRPr="00202188">
        <w:rPr>
          <w:b/>
          <w:bCs/>
          <w:u w:val="single"/>
        </w:rPr>
        <w:t>Use of the Information</w:t>
      </w:r>
    </w:p>
    <w:p w:rsidR="00E40FFD" w:rsidRPr="00202188" w:rsidRDefault="00E40FFD" w:rsidP="00A14A8C">
      <w:pPr>
        <w:pStyle w:val="CM12"/>
        <w:spacing w:line="276" w:lineRule="atLeast"/>
        <w:ind w:firstLine="720"/>
      </w:pPr>
    </w:p>
    <w:p w:rsidR="00A14A8C" w:rsidRPr="00202188" w:rsidRDefault="00205BE9" w:rsidP="00A14A8C">
      <w:pPr>
        <w:pStyle w:val="CM12"/>
        <w:spacing w:line="276" w:lineRule="atLeast"/>
        <w:ind w:firstLine="720"/>
      </w:pPr>
      <w:r w:rsidRPr="00202188">
        <w:t>Federal and state enforcement agencies</w:t>
      </w:r>
      <w:r w:rsidR="00A14A8C" w:rsidRPr="00202188">
        <w:t xml:space="preserve"> and private litigants use recordkeeping information to</w:t>
      </w:r>
      <w:r w:rsidR="00F4204F">
        <w:t>, for example,</w:t>
      </w:r>
      <w:r w:rsidR="00A14A8C" w:rsidRPr="00202188">
        <w:t xml:space="preserve"> compare accepted and rejected applicants </w:t>
      </w:r>
      <w:r w:rsidR="00F4204F">
        <w:t xml:space="preserve">or the terms and conditions of accepted applicants </w:t>
      </w:r>
      <w:r w:rsidR="00A14A8C" w:rsidRPr="00202188">
        <w:t xml:space="preserve">in order to determine whether applicants are treated less favorably on the basis of race, sex, age, or other prohibited bases under the ECOA. </w:t>
      </w:r>
      <w:r w:rsidR="00A91EF1" w:rsidRPr="00202188">
        <w:t xml:space="preserve"> </w:t>
      </w:r>
      <w:r w:rsidR="00A14A8C" w:rsidRPr="00202188">
        <w:t xml:space="preserve">Information derived from these records </w:t>
      </w:r>
      <w:r w:rsidRPr="00202188">
        <w:t xml:space="preserve">provides </w:t>
      </w:r>
      <w:r w:rsidR="00F4204F">
        <w:t>an important piece of</w:t>
      </w:r>
      <w:r w:rsidR="00A14A8C" w:rsidRPr="00202188">
        <w:t xml:space="preserve"> evidence of law violations in ECOA enforcement actions brought by </w:t>
      </w:r>
      <w:r w:rsidRPr="00202188">
        <w:t>federal agencies</w:t>
      </w:r>
      <w:r w:rsidR="00A14A8C" w:rsidRPr="00202188">
        <w:t xml:space="preserve">.  Self-testing records (including for corrective action) are used by creditors to identify potential violations and reflect their efforts to correct the problem.  Absent the Regulation B requirement that creditors retain monitoring information, the </w:t>
      </w:r>
      <w:r w:rsidR="00BF30E5" w:rsidRPr="00202188">
        <w:t>CFPB’s</w:t>
      </w:r>
      <w:r w:rsidR="007D750E">
        <w:t xml:space="preserve"> and other agencies’</w:t>
      </w:r>
      <w:r w:rsidR="00A14A8C" w:rsidRPr="00202188">
        <w:t xml:space="preserve"> ability to detect unlawful discrimination and enforce the ECOA would be significantly impaired.  </w:t>
      </w:r>
    </w:p>
    <w:p w:rsidR="00E40FFD" w:rsidRPr="00202188" w:rsidRDefault="00E40FFD" w:rsidP="00A14A8C">
      <w:pPr>
        <w:pStyle w:val="CM12"/>
        <w:spacing w:line="276" w:lineRule="atLeast"/>
        <w:ind w:firstLine="720"/>
      </w:pPr>
    </w:p>
    <w:p w:rsidR="00A14A8C" w:rsidRPr="00202188" w:rsidRDefault="00A14A8C" w:rsidP="00A14A8C">
      <w:pPr>
        <w:pStyle w:val="CM12"/>
        <w:spacing w:line="276" w:lineRule="atLeast"/>
        <w:ind w:firstLine="720"/>
      </w:pPr>
      <w:r w:rsidRPr="00202188">
        <w:t xml:space="preserve">The </w:t>
      </w:r>
      <w:r w:rsidR="00BF30E5" w:rsidRPr="00202188">
        <w:t>CFPB</w:t>
      </w:r>
      <w:r w:rsidRPr="00202188">
        <w:t>, other agencies, and private litigants use adverse action notices, appraisal reports, and other information in the application file to compare applicants in order to determine whether any applicants are discriminated against on the basis of race/national origin, sex, marital status, age, or other prohibited bases under the ECOA</w:t>
      </w:r>
      <w:r w:rsidR="00205BE9" w:rsidRPr="00202188">
        <w:t xml:space="preserve">.  </w:t>
      </w:r>
      <w:r w:rsidRPr="00202188">
        <w:t xml:space="preserve">The adverse action notice requirement apprises applicants of their rights under the ECOA and of the basis for a creditor's decision. </w:t>
      </w:r>
      <w:r w:rsidR="00A91EF1" w:rsidRPr="00202188">
        <w:t xml:space="preserve"> </w:t>
      </w:r>
      <w:r w:rsidRPr="00202188">
        <w:t xml:space="preserve">Applicants use their copy of the appraisal to review (and possibly challenge) the accuracy and/or </w:t>
      </w:r>
      <w:r w:rsidRPr="00202188">
        <w:lastRenderedPageBreak/>
        <w:t xml:space="preserve">fairness of the information contained within, and to determine the role that the appraisal played in the credit decision. </w:t>
      </w:r>
      <w:r w:rsidR="00A91EF1" w:rsidRPr="00202188">
        <w:t xml:space="preserve"> </w:t>
      </w:r>
      <w:r w:rsidRPr="00202188">
        <w:t xml:space="preserve">Applicants use the self-testing disclosure to facilitate understanding of creditors’ information collection, including its optionality. </w:t>
      </w:r>
    </w:p>
    <w:p w:rsidR="00E40FFD" w:rsidRPr="00202188" w:rsidRDefault="00E40FFD" w:rsidP="00A14A8C">
      <w:pPr>
        <w:pStyle w:val="Default"/>
        <w:rPr>
          <w:b/>
          <w:bCs/>
        </w:rPr>
      </w:pPr>
    </w:p>
    <w:p w:rsidR="00A14A8C" w:rsidRPr="00202188" w:rsidRDefault="00452363" w:rsidP="00A14A8C">
      <w:pPr>
        <w:pStyle w:val="Default"/>
        <w:rPr>
          <w:color w:val="auto"/>
        </w:rPr>
      </w:pPr>
      <w:r w:rsidRPr="00202188">
        <w:rPr>
          <w:b/>
          <w:bCs/>
        </w:rPr>
        <w:t xml:space="preserve">3. </w:t>
      </w:r>
      <w:r w:rsidR="00F93C1F">
        <w:rPr>
          <w:b/>
          <w:bCs/>
        </w:rPr>
        <w:t xml:space="preserve"> </w:t>
      </w:r>
      <w:r w:rsidRPr="00202188">
        <w:rPr>
          <w:b/>
          <w:bCs/>
          <w:u w:val="single"/>
        </w:rPr>
        <w:t>Use of Information Technology</w:t>
      </w:r>
    </w:p>
    <w:p w:rsidR="00452363" w:rsidRPr="00202188" w:rsidRDefault="00452363" w:rsidP="00A14A8C">
      <w:pPr>
        <w:pStyle w:val="CM12"/>
        <w:spacing w:line="276" w:lineRule="atLeast"/>
        <w:ind w:firstLine="720"/>
      </w:pPr>
    </w:p>
    <w:p w:rsidR="00A14A8C" w:rsidRPr="00202188" w:rsidRDefault="001320B6" w:rsidP="00A14A8C">
      <w:pPr>
        <w:pStyle w:val="CM12"/>
        <w:spacing w:line="276" w:lineRule="atLeast"/>
        <w:ind w:firstLine="720"/>
      </w:pPr>
      <w:r>
        <w:t xml:space="preserve">Regulation B provides </w:t>
      </w:r>
      <w:r w:rsidR="00A14A8C" w:rsidRPr="00202188">
        <w:t>rules to establish uniform standards for using electronic communication to deliver disclosures required under Regulation B, within the context of the Electronic Signatures in Global and National Commerce Act (ESIGN), 15 U.S.C. 7001</w:t>
      </w:r>
      <w:r w:rsidR="00A14A8C" w:rsidRPr="00202188">
        <w:rPr>
          <w:i/>
          <w:iCs/>
        </w:rPr>
        <w:t xml:space="preserve"> et seq.</w:t>
      </w:r>
      <w:r w:rsidR="00C83CC2">
        <w:rPr>
          <w:iCs/>
        </w:rPr>
        <w:t>,</w:t>
      </w:r>
      <w:r w:rsidR="00A14A8C" w:rsidRPr="00202188">
        <w:rPr>
          <w:i/>
          <w:iCs/>
        </w:rPr>
        <w:t xml:space="preserve"> </w:t>
      </w:r>
      <w:r w:rsidR="007E5412">
        <w:rPr>
          <w:iCs/>
        </w:rPr>
        <w:t>12 CFR 1002.4(d)(2).</w:t>
      </w:r>
      <w:r w:rsidR="00A14A8C" w:rsidRPr="00202188">
        <w:t xml:space="preserve"> </w:t>
      </w:r>
      <w:r w:rsidR="00A91EF1" w:rsidRPr="00202188">
        <w:t xml:space="preserve"> </w:t>
      </w:r>
      <w:r w:rsidR="00A14A8C" w:rsidRPr="00202188">
        <w:t xml:space="preserve">These rules enable businesses to utilize electronic disclosures and compliance, consistent with the requirements of ESIGN, which became effective on Oct. 1, 2000. </w:t>
      </w:r>
      <w:r w:rsidR="00A91EF1" w:rsidRPr="00202188">
        <w:t xml:space="preserve"> </w:t>
      </w:r>
      <w:r w:rsidR="00A14A8C" w:rsidRPr="00202188">
        <w:t>Use of such electronic communications is also consistent with the Government Paperwork Eliminat</w:t>
      </w:r>
      <w:r w:rsidR="00F93C1F">
        <w:t>ion Act (</w:t>
      </w:r>
      <w:r w:rsidR="00A14A8C" w:rsidRPr="00202188">
        <w:t xml:space="preserve">GPEA), Title XVII of Pub. L. 105-277, codified at 44 U.S.C. 3504 note. ESIGN and GPEA serve to reduce businesses’ compliance burden related to federal requirements, including Regulation B, by enabling creditors to utilize more efficient electronic media for disclosures and compliance. </w:t>
      </w:r>
    </w:p>
    <w:p w:rsidR="00E40FFD" w:rsidRPr="00202188" w:rsidRDefault="00E40FFD" w:rsidP="00A14A8C">
      <w:pPr>
        <w:pStyle w:val="CM12"/>
        <w:spacing w:line="276" w:lineRule="atLeast"/>
        <w:ind w:firstLine="720"/>
      </w:pPr>
    </w:p>
    <w:p w:rsidR="00A14A8C" w:rsidRPr="00202188" w:rsidRDefault="00A14A8C" w:rsidP="00A14A8C">
      <w:pPr>
        <w:pStyle w:val="CM12"/>
        <w:spacing w:line="276" w:lineRule="atLeast"/>
        <w:ind w:firstLine="720"/>
      </w:pPr>
      <w:r w:rsidRPr="00202188">
        <w:t xml:space="preserve">Regulation B also permits a creditor to retain records as “carbon copies, photocopies, microfilm or microfiche copies, or copies produced by any other accurate retrieval system, such as documents stored and reproduced by computer.”  </w:t>
      </w:r>
      <w:r w:rsidR="001320B6">
        <w:t xml:space="preserve">Comment </w:t>
      </w:r>
      <w:r w:rsidR="001320B6" w:rsidRPr="00202188">
        <w:t>12(b)-1.  In addition, Regulation B permits a creditor to record the information required for monitoring purposes “by recording on paper or by means of computer…</w:t>
      </w:r>
      <w:r w:rsidR="001320B6">
        <w:t xml:space="preserve">.”  Comment </w:t>
      </w:r>
      <w:r w:rsidR="001320B6" w:rsidRPr="00202188">
        <w:t>13(b)-2.</w:t>
      </w:r>
    </w:p>
    <w:p w:rsidR="00A14A8C" w:rsidRPr="00202188" w:rsidRDefault="00A14A8C" w:rsidP="00A14A8C">
      <w:pPr>
        <w:pStyle w:val="Default"/>
        <w:rPr>
          <w:color w:val="auto"/>
        </w:rPr>
      </w:pPr>
    </w:p>
    <w:p w:rsidR="00A14A8C" w:rsidRPr="00202188" w:rsidRDefault="00A14A8C" w:rsidP="00A14A8C">
      <w:pPr>
        <w:pStyle w:val="CM12"/>
        <w:spacing w:line="276" w:lineRule="atLeast"/>
      </w:pPr>
      <w:r w:rsidRPr="00202188">
        <w:rPr>
          <w:b/>
          <w:bCs/>
        </w:rPr>
        <w:t xml:space="preserve">4. </w:t>
      </w:r>
      <w:r w:rsidR="00F93C1F">
        <w:rPr>
          <w:b/>
          <w:bCs/>
        </w:rPr>
        <w:t xml:space="preserve"> </w:t>
      </w:r>
      <w:r w:rsidRPr="00202188">
        <w:rPr>
          <w:b/>
          <w:bCs/>
          <w:u w:val="single"/>
        </w:rPr>
        <w:t>Efforts to Identify Duplication</w:t>
      </w:r>
    </w:p>
    <w:p w:rsidR="00E40FFD" w:rsidRPr="00202188" w:rsidRDefault="00E40FFD" w:rsidP="00A14A8C">
      <w:pPr>
        <w:pStyle w:val="CM13"/>
        <w:spacing w:line="276" w:lineRule="atLeast"/>
        <w:ind w:right="112" w:firstLine="720"/>
      </w:pPr>
    </w:p>
    <w:p w:rsidR="00A14A8C" w:rsidRPr="00202188" w:rsidRDefault="00A14A8C" w:rsidP="00A14A8C">
      <w:pPr>
        <w:pStyle w:val="CM13"/>
        <w:spacing w:line="276" w:lineRule="atLeast"/>
        <w:ind w:right="112" w:firstLine="720"/>
      </w:pPr>
      <w:r w:rsidRPr="00202188">
        <w:t>The recordkeeping requirement of Regulation B preserves the information considered by the creditor in deciding whether to extend credit or terminate an existing credit account.  The creditor is the only source of this information, and no other federal law mandates its retention.</w:t>
      </w:r>
      <w:r w:rsidR="00A91EF1" w:rsidRPr="00202188">
        <w:t xml:space="preserve"> </w:t>
      </w:r>
      <w:r w:rsidRPr="00202188">
        <w:t xml:space="preserve"> State laws do not duplicate these requirements.</w:t>
      </w:r>
      <w:r w:rsidR="00452363" w:rsidRPr="00202188">
        <w:rPr>
          <w:rStyle w:val="FootnoteReference"/>
        </w:rPr>
        <w:footnoteReference w:id="5"/>
      </w:r>
      <w:r w:rsidRPr="00202188">
        <w:t xml:space="preserve">  Similarly, the creditor is the only source of the </w:t>
      </w:r>
      <w:r w:rsidR="00452363" w:rsidRPr="00202188">
        <w:t>information provided by appraisal reports, adverse action notices, and self-testing information</w:t>
      </w:r>
      <w:r w:rsidR="00C83CC2">
        <w:t>.</w:t>
      </w:r>
      <w:r w:rsidR="00452363" w:rsidRPr="00202188">
        <w:t xml:space="preserve"> </w:t>
      </w:r>
      <w:r w:rsidR="00F4204F">
        <w:t xml:space="preserve"> </w:t>
      </w:r>
      <w:r w:rsidR="00C83CC2">
        <w:t>N</w:t>
      </w:r>
      <w:r w:rsidR="00452363" w:rsidRPr="00202188">
        <w:t>o other federal law mandates their disclosure</w:t>
      </w:r>
      <w:r w:rsidR="00C83CC2">
        <w:t>,</w:t>
      </w:r>
      <w:r w:rsidR="00452363" w:rsidRPr="00202188">
        <w:t xml:space="preserve"> nor is </w:t>
      </w:r>
      <w:r w:rsidR="00202188" w:rsidRPr="00202188">
        <w:t xml:space="preserve">the CFPB </w:t>
      </w:r>
      <w:r w:rsidR="00452363" w:rsidRPr="00202188">
        <w:t>aware of any state law mandating their disclosure.</w:t>
      </w:r>
    </w:p>
    <w:p w:rsidR="00A14A8C" w:rsidRPr="00202188" w:rsidRDefault="00A14A8C" w:rsidP="00A14A8C">
      <w:pPr>
        <w:pStyle w:val="Default"/>
        <w:rPr>
          <w:color w:val="auto"/>
        </w:rPr>
      </w:pPr>
    </w:p>
    <w:p w:rsidR="00A14A8C" w:rsidRPr="00202188" w:rsidRDefault="00A14A8C" w:rsidP="00A14A8C">
      <w:pPr>
        <w:pStyle w:val="CM12"/>
        <w:spacing w:line="276" w:lineRule="atLeast"/>
      </w:pPr>
      <w:r w:rsidRPr="00202188">
        <w:rPr>
          <w:b/>
          <w:bCs/>
        </w:rPr>
        <w:t xml:space="preserve">5. </w:t>
      </w:r>
      <w:r w:rsidR="00F93C1F">
        <w:rPr>
          <w:b/>
          <w:bCs/>
        </w:rPr>
        <w:t xml:space="preserve"> </w:t>
      </w:r>
      <w:r w:rsidRPr="00202188">
        <w:rPr>
          <w:b/>
          <w:bCs/>
          <w:u w:val="single"/>
        </w:rPr>
        <w:t xml:space="preserve">Efforts to Minimize Burdens on Small </w:t>
      </w:r>
      <w:r w:rsidR="00875D0C" w:rsidRPr="00202188">
        <w:rPr>
          <w:b/>
          <w:bCs/>
          <w:u w:val="single"/>
        </w:rPr>
        <w:t xml:space="preserve">Entities </w:t>
      </w:r>
    </w:p>
    <w:p w:rsidR="00E40FFD" w:rsidRPr="00202188" w:rsidRDefault="00E40FFD" w:rsidP="00A14A8C">
      <w:pPr>
        <w:pStyle w:val="CM12"/>
        <w:spacing w:line="276" w:lineRule="atLeast"/>
        <w:ind w:firstLine="720"/>
      </w:pPr>
    </w:p>
    <w:p w:rsidR="00A14A8C" w:rsidRPr="00202188" w:rsidRDefault="00A14A8C" w:rsidP="00A14A8C">
      <w:pPr>
        <w:pStyle w:val="CM12"/>
        <w:spacing w:line="276" w:lineRule="atLeast"/>
        <w:ind w:firstLine="720"/>
      </w:pPr>
      <w:r w:rsidRPr="00202188">
        <w:t xml:space="preserve">The ECOA and Regulation B accord special treatment to creditors that receive fewer than 150 applications each year. </w:t>
      </w:r>
      <w:r w:rsidR="00E30434">
        <w:t xml:space="preserve"> </w:t>
      </w:r>
      <w:r w:rsidRPr="00202188">
        <w:t>Sect</w:t>
      </w:r>
      <w:r w:rsidR="00205BE9" w:rsidRPr="00202188">
        <w:t>ion 10</w:t>
      </w:r>
      <w:r w:rsidRPr="00202188">
        <w:t xml:space="preserve">02.9(d) of Regulation </w:t>
      </w:r>
      <w:r w:rsidR="00202188" w:rsidRPr="00202188">
        <w:t xml:space="preserve">B </w:t>
      </w:r>
      <w:r w:rsidRPr="00202188">
        <w:t>states that such creditors may provide required notices to rejected applicants orally rather than in writing.</w:t>
      </w:r>
      <w:r w:rsidR="00A91EF1" w:rsidRPr="00202188">
        <w:t xml:space="preserve"> </w:t>
      </w:r>
      <w:r w:rsidRPr="00202188">
        <w:t xml:space="preserve"> Where fewer written records are required to be created, the recordkeeping burden is correspondingly reduced.</w:t>
      </w:r>
      <w:r w:rsidR="00A91EF1" w:rsidRPr="00202188">
        <w:t xml:space="preserve"> </w:t>
      </w:r>
      <w:r w:rsidRPr="00202188">
        <w:t xml:space="preserve"> In a</w:t>
      </w:r>
      <w:r w:rsidR="00205BE9" w:rsidRPr="00202188">
        <w:t>ddition, Section 10</w:t>
      </w:r>
      <w:r w:rsidRPr="00202188">
        <w:t xml:space="preserve">02.3(c) of Regulation </w:t>
      </w:r>
      <w:r w:rsidR="00202188" w:rsidRPr="00202188">
        <w:t xml:space="preserve">B </w:t>
      </w:r>
      <w:r w:rsidRPr="00202188">
        <w:t xml:space="preserve">exempts providers of incidental credit, such as a </w:t>
      </w:r>
      <w:r w:rsidRPr="00202188">
        <w:lastRenderedPageBreak/>
        <w:t>doctor or lawyer who allows a patient or client to defer payment of a bill, from many requirements includi</w:t>
      </w:r>
      <w:r w:rsidR="00205BE9" w:rsidRPr="00202188">
        <w:t>ng notifications under Section 10</w:t>
      </w:r>
      <w:r w:rsidRPr="00202188">
        <w:t xml:space="preserve">02.9 of Regulation </w:t>
      </w:r>
      <w:r w:rsidR="00202188" w:rsidRPr="00202188">
        <w:t xml:space="preserve">B </w:t>
      </w:r>
      <w:r w:rsidRPr="00202188">
        <w:t xml:space="preserve">and recordkeeping. </w:t>
      </w:r>
      <w:r w:rsidR="00A91EF1" w:rsidRPr="00202188">
        <w:t xml:space="preserve"> </w:t>
      </w:r>
      <w:r w:rsidRPr="00202188">
        <w:t xml:space="preserve">The requirements to collect monitoring information and to provide a copy of the appraisal report apply to all creditors who extend applicable mortgage credit.  There is no exception based on creditor size. </w:t>
      </w:r>
    </w:p>
    <w:p w:rsidR="00E40FFD" w:rsidRPr="00202188" w:rsidRDefault="00E40FFD" w:rsidP="00A14A8C">
      <w:pPr>
        <w:pStyle w:val="CM12"/>
        <w:spacing w:line="276" w:lineRule="atLeast"/>
        <w:ind w:right="410" w:firstLine="720"/>
      </w:pPr>
    </w:p>
    <w:p w:rsidR="00A14A8C" w:rsidRPr="00202188" w:rsidRDefault="00A14A8C" w:rsidP="00A14A8C">
      <w:pPr>
        <w:pStyle w:val="CM12"/>
        <w:spacing w:line="276" w:lineRule="atLeast"/>
        <w:ind w:right="410" w:firstLine="720"/>
      </w:pPr>
      <w:r w:rsidRPr="00202188">
        <w:t>Most creditors today utilize some degree of computerization in their business, which further assists in facilitating compliance with Regulation</w:t>
      </w:r>
      <w:r w:rsidR="00202188" w:rsidRPr="00202188">
        <w:t xml:space="preserve"> B</w:t>
      </w:r>
      <w:r w:rsidRPr="00202188">
        <w:t xml:space="preserve">.  Additionally, as noted above, Regulation B provides model forms that may be used in compliance with its requirements. </w:t>
      </w:r>
      <w:r w:rsidR="00EF719C">
        <w:t xml:space="preserve"> </w:t>
      </w:r>
      <w:r w:rsidRPr="00202188">
        <w:t xml:space="preserve">Correct use of these forms insulates creditors from liability from the respective requirements. </w:t>
      </w:r>
    </w:p>
    <w:p w:rsidR="00A14A8C" w:rsidRPr="00202188" w:rsidRDefault="00A14A8C" w:rsidP="00A14A8C">
      <w:pPr>
        <w:pStyle w:val="Default"/>
        <w:rPr>
          <w:color w:val="auto"/>
        </w:rPr>
      </w:pPr>
    </w:p>
    <w:p w:rsidR="00A14A8C" w:rsidRPr="00202188" w:rsidRDefault="00A14A8C" w:rsidP="00A14A8C">
      <w:pPr>
        <w:pStyle w:val="CM12"/>
        <w:spacing w:line="276" w:lineRule="atLeast"/>
      </w:pPr>
      <w:r w:rsidRPr="00202188">
        <w:rPr>
          <w:b/>
          <w:bCs/>
        </w:rPr>
        <w:t xml:space="preserve">6. </w:t>
      </w:r>
      <w:r w:rsidR="00F93C1F">
        <w:rPr>
          <w:b/>
          <w:bCs/>
        </w:rPr>
        <w:t xml:space="preserve"> </w:t>
      </w:r>
      <w:r w:rsidRPr="00202188">
        <w:rPr>
          <w:b/>
          <w:bCs/>
          <w:u w:val="single"/>
        </w:rPr>
        <w:t xml:space="preserve">Consequences of </w:t>
      </w:r>
      <w:r w:rsidR="00875D0C" w:rsidRPr="00202188">
        <w:rPr>
          <w:b/>
          <w:bCs/>
          <w:u w:val="single"/>
        </w:rPr>
        <w:t>Less Frequent Collection and Obstacles to Burden Reduction</w:t>
      </w:r>
    </w:p>
    <w:p w:rsidR="00E40FFD" w:rsidRPr="00202188" w:rsidRDefault="00E40FFD" w:rsidP="00A14A8C">
      <w:pPr>
        <w:pStyle w:val="CM12"/>
        <w:spacing w:line="276" w:lineRule="atLeast"/>
        <w:ind w:firstLine="720"/>
      </w:pPr>
    </w:p>
    <w:p w:rsidR="00A14A8C" w:rsidRPr="00202188" w:rsidRDefault="00A14A8C" w:rsidP="00A14A8C">
      <w:pPr>
        <w:pStyle w:val="CM12"/>
        <w:spacing w:line="276" w:lineRule="atLeast"/>
        <w:ind w:firstLine="720"/>
      </w:pPr>
      <w:r w:rsidRPr="00202188">
        <w:t xml:space="preserve">If the </w:t>
      </w:r>
      <w:r w:rsidR="009A306B">
        <w:t xml:space="preserve">current </w:t>
      </w:r>
      <w:r w:rsidRPr="00202188">
        <w:t xml:space="preserve">retention period </w:t>
      </w:r>
      <w:r w:rsidR="009A306B">
        <w:t xml:space="preserve">of 25 months </w:t>
      </w:r>
      <w:r w:rsidRPr="00202188">
        <w:t>were shortened, applicants who sue under the ECOA, and administrative agencies that enforce the ECOA, might find that the records needed to prove ECOA violations no longer exist.</w:t>
      </w:r>
      <w:r w:rsidR="009A306B">
        <w:t xml:space="preserve"> </w:t>
      </w:r>
      <w:r w:rsidRPr="00202188">
        <w:t xml:space="preserve"> </w:t>
      </w:r>
    </w:p>
    <w:p w:rsidR="00E40FFD" w:rsidRPr="00202188" w:rsidRDefault="00E40FFD" w:rsidP="00A14A8C">
      <w:pPr>
        <w:pStyle w:val="CM12"/>
        <w:spacing w:line="276" w:lineRule="atLeast"/>
        <w:ind w:right="187" w:firstLine="720"/>
      </w:pPr>
    </w:p>
    <w:p w:rsidR="00A14A8C" w:rsidRPr="00202188" w:rsidRDefault="00A14A8C" w:rsidP="00A14A8C">
      <w:pPr>
        <w:pStyle w:val="CM12"/>
        <w:spacing w:line="276" w:lineRule="atLeast"/>
        <w:ind w:right="187" w:firstLine="720"/>
      </w:pPr>
      <w:r w:rsidRPr="00202188">
        <w:t xml:space="preserve">Were the requirement that creditors provide notice of adverse action eliminated, applicants could be deprived of the right to receive timely notice of the creditor's decision, the reasons for any adverse action by the creditor, and the applicants' rights under the ECOA. </w:t>
      </w:r>
      <w:r w:rsidR="00A91EF1" w:rsidRPr="00202188">
        <w:t xml:space="preserve"> </w:t>
      </w:r>
      <w:r w:rsidRPr="00202188">
        <w:t xml:space="preserve">Eliminating the requirement that creditors provide a copy of the appraisal report or notice of its availability would greatly impair applicants’ ability to assess the report’s impact on the creditor’s decision and to challenge it in timely fashion. </w:t>
      </w:r>
      <w:r w:rsidR="00A91EF1" w:rsidRPr="00202188">
        <w:t xml:space="preserve"> </w:t>
      </w:r>
      <w:r w:rsidRPr="00202188">
        <w:t xml:space="preserve">Were the requirement that creditors collect information about an applicant's race or national origin eliminated or changed, the creditor would still have access to this information when obtained through a face-to-face interview with the applicant and could use the information to discriminate.  However, the </w:t>
      </w:r>
      <w:r w:rsidR="00BF30E5" w:rsidRPr="00202188">
        <w:t>CFPB</w:t>
      </w:r>
      <w:r w:rsidRPr="00202188">
        <w:t xml:space="preserve"> and others seeking to enforce compliance with the ECOA would not have that information and would thereby be disadvantaged.</w:t>
      </w:r>
      <w:r w:rsidR="00A91EF1" w:rsidRPr="00202188">
        <w:t xml:space="preserve"> </w:t>
      </w:r>
      <w:r w:rsidRPr="00202188">
        <w:t xml:space="preserve"> Eliminating the self-test disclosure (which can be made orally or in writing) could disadvantage consumers who may then not understand the purpose of the information being collected, or their option not to provide it.  Finally, eliminating the credit history reporting requirement regarding spouses with shared accounts would undermine the goal of affording both spouses the benefit of that shared credit history in seeking further credit. </w:t>
      </w:r>
    </w:p>
    <w:p w:rsidR="00452363" w:rsidRPr="00202188" w:rsidRDefault="00452363" w:rsidP="00A14A8C">
      <w:pPr>
        <w:pStyle w:val="Default"/>
        <w:rPr>
          <w:b/>
          <w:bCs/>
        </w:rPr>
      </w:pPr>
    </w:p>
    <w:p w:rsidR="00A14A8C" w:rsidRPr="00202188" w:rsidRDefault="00452363" w:rsidP="00A14A8C">
      <w:pPr>
        <w:pStyle w:val="Default"/>
        <w:rPr>
          <w:b/>
          <w:bCs/>
          <w:u w:val="single"/>
        </w:rPr>
      </w:pPr>
      <w:r w:rsidRPr="00202188">
        <w:rPr>
          <w:b/>
          <w:bCs/>
        </w:rPr>
        <w:t xml:space="preserve">7. </w:t>
      </w:r>
      <w:r w:rsidR="00F93C1F">
        <w:rPr>
          <w:b/>
          <w:bCs/>
        </w:rPr>
        <w:t xml:space="preserve"> </w:t>
      </w:r>
      <w:r w:rsidRPr="00202188">
        <w:rPr>
          <w:b/>
          <w:bCs/>
          <w:u w:val="single"/>
        </w:rPr>
        <w:t xml:space="preserve">Circumstances Requiring </w:t>
      </w:r>
      <w:r w:rsidR="00875D0C" w:rsidRPr="00202188">
        <w:rPr>
          <w:b/>
          <w:bCs/>
          <w:u w:val="single"/>
        </w:rPr>
        <w:t>Special Information Collection</w:t>
      </w:r>
    </w:p>
    <w:p w:rsidR="00452363" w:rsidRPr="00202188" w:rsidRDefault="00452363" w:rsidP="00A14A8C">
      <w:pPr>
        <w:pStyle w:val="Default"/>
        <w:rPr>
          <w:color w:val="auto"/>
        </w:rPr>
      </w:pPr>
    </w:p>
    <w:p w:rsidR="00A14A8C" w:rsidRPr="00202188" w:rsidRDefault="00074AA7" w:rsidP="00A14A8C">
      <w:pPr>
        <w:pStyle w:val="CM12"/>
        <w:spacing w:line="276" w:lineRule="atLeast"/>
        <w:ind w:right="765" w:firstLine="720"/>
      </w:pPr>
      <w:r>
        <w:t xml:space="preserve">The collections of information in </w:t>
      </w:r>
      <w:r w:rsidR="00A14A8C" w:rsidRPr="00202188">
        <w:t xml:space="preserve">Regulation B are consistent with the </w:t>
      </w:r>
      <w:r w:rsidR="00525B9C">
        <w:t xml:space="preserve">applicable </w:t>
      </w:r>
      <w:r w:rsidR="00A14A8C" w:rsidRPr="00202188">
        <w:t>guidelines contained in 5 CFR 1320.</w:t>
      </w:r>
      <w:r w:rsidR="00B16A9B">
        <w:t>5(d)(2).</w:t>
      </w:r>
    </w:p>
    <w:p w:rsidR="00A14A8C" w:rsidRPr="00202188" w:rsidRDefault="00A14A8C" w:rsidP="00A14A8C">
      <w:pPr>
        <w:pStyle w:val="Default"/>
        <w:rPr>
          <w:color w:val="auto"/>
        </w:rPr>
      </w:pPr>
    </w:p>
    <w:p w:rsidR="00A14A8C" w:rsidRPr="00202188" w:rsidRDefault="00A14A8C" w:rsidP="00A14A8C">
      <w:pPr>
        <w:pStyle w:val="CM12"/>
        <w:spacing w:line="276" w:lineRule="atLeast"/>
        <w:rPr>
          <w:b/>
          <w:bCs/>
          <w:u w:val="single"/>
        </w:rPr>
      </w:pPr>
      <w:r w:rsidRPr="00202188">
        <w:rPr>
          <w:b/>
          <w:bCs/>
        </w:rPr>
        <w:t xml:space="preserve">8. </w:t>
      </w:r>
      <w:r w:rsidR="00F93C1F">
        <w:rPr>
          <w:b/>
          <w:bCs/>
        </w:rPr>
        <w:t xml:space="preserve"> </w:t>
      </w:r>
      <w:r w:rsidR="009D1EB5">
        <w:rPr>
          <w:b/>
          <w:bCs/>
          <w:u w:val="single"/>
        </w:rPr>
        <w:t>Consultation Outside the Agency</w:t>
      </w:r>
    </w:p>
    <w:p w:rsidR="00452363" w:rsidRPr="00202188" w:rsidRDefault="00452363" w:rsidP="00452363">
      <w:pPr>
        <w:pStyle w:val="Default"/>
      </w:pPr>
    </w:p>
    <w:p w:rsidR="005A1EEF" w:rsidRPr="00202188" w:rsidRDefault="00FF3ED4" w:rsidP="00A14A8C">
      <w:pPr>
        <w:pStyle w:val="CM12"/>
        <w:spacing w:line="276" w:lineRule="atLeast"/>
        <w:ind w:right="112" w:firstLine="720"/>
      </w:pPr>
      <w:r>
        <w:t xml:space="preserve">This Supporting Statement is </w:t>
      </w:r>
      <w:r w:rsidR="006D69CF">
        <w:t xml:space="preserve">based on </w:t>
      </w:r>
      <w:r>
        <w:t xml:space="preserve">the FTC’s most recent Supporting Statement for OMB Control Number 3084-0087 (Supporting Statement for Information Collection Provisions of Regulation B (Equal Credit Opportunity Act)).  The CFPB has consulted with the </w:t>
      </w:r>
      <w:r w:rsidR="00B16A9B">
        <w:t>Board</w:t>
      </w:r>
      <w:r>
        <w:t xml:space="preserve">, </w:t>
      </w:r>
      <w:r w:rsidR="00B16A9B">
        <w:t xml:space="preserve">the </w:t>
      </w:r>
      <w:r>
        <w:t xml:space="preserve">FDIC, </w:t>
      </w:r>
      <w:r w:rsidR="00B16A9B">
        <w:t>the</w:t>
      </w:r>
      <w:r>
        <w:t xml:space="preserve"> OCC, </w:t>
      </w:r>
      <w:r w:rsidR="00B16A9B">
        <w:t xml:space="preserve">the </w:t>
      </w:r>
      <w:r>
        <w:t>NCUA</w:t>
      </w:r>
      <w:r w:rsidR="00B16A9B">
        <w:t>,</w:t>
      </w:r>
      <w:r>
        <w:t xml:space="preserve"> </w:t>
      </w:r>
      <w:r w:rsidR="007C0DC1">
        <w:t>and the FTC</w:t>
      </w:r>
      <w:r>
        <w:t xml:space="preserve"> </w:t>
      </w:r>
      <w:r w:rsidR="00B16A9B">
        <w:t xml:space="preserve">with </w:t>
      </w:r>
      <w:r>
        <w:t xml:space="preserve">respect to burden allocations.  As this is a </w:t>
      </w:r>
      <w:r>
        <w:lastRenderedPageBreak/>
        <w:t>request for emergency processing and approval of the transfer o</w:t>
      </w:r>
      <w:r w:rsidR="006D69CF">
        <w:t xml:space="preserve">f certain burdens from existing information </w:t>
      </w:r>
      <w:r>
        <w:t>collections</w:t>
      </w:r>
      <w:r w:rsidR="006D69CF">
        <w:t xml:space="preserve"> to the CFPB</w:t>
      </w:r>
      <w:r>
        <w:t>, the CFPB has not sought public comment on this information collection request.  Upon receipt of OMB’s</w:t>
      </w:r>
      <w:r w:rsidR="006D69CF">
        <w:t xml:space="preserve"> emergency</w:t>
      </w:r>
      <w:r>
        <w:t xml:space="preserve"> approval, </w:t>
      </w:r>
      <w:r w:rsidR="006D69CF">
        <w:t xml:space="preserve">the CFPB will begin the standard approval process and will seek public input at that time. </w:t>
      </w:r>
      <w:r>
        <w:t xml:space="preserve"> </w:t>
      </w:r>
    </w:p>
    <w:p w:rsidR="00452363" w:rsidRPr="00202188" w:rsidRDefault="00452363" w:rsidP="00452363">
      <w:pPr>
        <w:pStyle w:val="Default"/>
      </w:pPr>
    </w:p>
    <w:p w:rsidR="00A14A8C" w:rsidRPr="00202188" w:rsidRDefault="00452363" w:rsidP="00452363">
      <w:pPr>
        <w:pStyle w:val="Default"/>
        <w:tabs>
          <w:tab w:val="left" w:pos="720"/>
        </w:tabs>
        <w:rPr>
          <w:color w:val="auto"/>
        </w:rPr>
      </w:pPr>
      <w:r w:rsidRPr="00202188">
        <w:rPr>
          <w:b/>
          <w:bCs/>
          <w:color w:val="auto"/>
        </w:rPr>
        <w:t>9.</w:t>
      </w:r>
      <w:r w:rsidR="00F93C1F" w:rsidRPr="000467EC">
        <w:rPr>
          <w:b/>
          <w:bCs/>
          <w:color w:val="auto"/>
        </w:rPr>
        <w:t xml:space="preserve"> </w:t>
      </w:r>
      <w:r w:rsidRPr="000467EC">
        <w:rPr>
          <w:b/>
          <w:bCs/>
          <w:color w:val="auto"/>
        </w:rPr>
        <w:t xml:space="preserve"> </w:t>
      </w:r>
      <w:r w:rsidR="00A14A8C" w:rsidRPr="00202188">
        <w:rPr>
          <w:b/>
          <w:bCs/>
          <w:color w:val="auto"/>
          <w:u w:val="single"/>
        </w:rPr>
        <w:t>Payments or Gifts to Respondents</w:t>
      </w:r>
    </w:p>
    <w:p w:rsidR="00452363" w:rsidRPr="00202188" w:rsidRDefault="00452363" w:rsidP="00452363">
      <w:pPr>
        <w:pStyle w:val="Default"/>
        <w:ind w:left="360"/>
        <w:rPr>
          <w:color w:val="auto"/>
        </w:rPr>
      </w:pPr>
    </w:p>
    <w:p w:rsidR="00452363" w:rsidRPr="00202188" w:rsidRDefault="00452363" w:rsidP="00452363">
      <w:pPr>
        <w:pStyle w:val="Default"/>
        <w:ind w:left="360"/>
        <w:rPr>
          <w:color w:val="auto"/>
        </w:rPr>
      </w:pPr>
      <w:r w:rsidRPr="00202188">
        <w:rPr>
          <w:color w:val="auto"/>
        </w:rPr>
        <w:t>Not applicable.</w:t>
      </w:r>
    </w:p>
    <w:p w:rsidR="00452363" w:rsidRPr="00202188" w:rsidRDefault="00452363" w:rsidP="00452363">
      <w:pPr>
        <w:pStyle w:val="Default"/>
        <w:ind w:left="360"/>
        <w:rPr>
          <w:color w:val="auto"/>
        </w:rPr>
      </w:pPr>
    </w:p>
    <w:p w:rsidR="00A14A8C" w:rsidRPr="00202188" w:rsidRDefault="00452363" w:rsidP="00452363">
      <w:pPr>
        <w:pStyle w:val="Default"/>
        <w:rPr>
          <w:color w:val="auto"/>
        </w:rPr>
      </w:pPr>
      <w:r w:rsidRPr="00202188">
        <w:rPr>
          <w:b/>
          <w:bCs/>
          <w:color w:val="auto"/>
        </w:rPr>
        <w:t xml:space="preserve">10. </w:t>
      </w:r>
      <w:r w:rsidR="00A14A8C" w:rsidRPr="00202188">
        <w:rPr>
          <w:b/>
          <w:bCs/>
          <w:color w:val="auto"/>
        </w:rPr>
        <w:t xml:space="preserve">&amp; 11. </w:t>
      </w:r>
      <w:r w:rsidR="00F93C1F">
        <w:rPr>
          <w:b/>
          <w:bCs/>
          <w:color w:val="auto"/>
        </w:rPr>
        <w:t xml:space="preserve"> </w:t>
      </w:r>
      <w:r w:rsidR="00A14A8C" w:rsidRPr="00202188">
        <w:rPr>
          <w:b/>
          <w:bCs/>
          <w:color w:val="auto"/>
          <w:u w:val="single"/>
        </w:rPr>
        <w:t>Assurances of Confidentiality/</w:t>
      </w:r>
      <w:r w:rsidR="00A03E5D" w:rsidRPr="00202188">
        <w:rPr>
          <w:b/>
          <w:bCs/>
          <w:color w:val="auto"/>
          <w:u w:val="single"/>
        </w:rPr>
        <w:t xml:space="preserve">Justification </w:t>
      </w:r>
      <w:r w:rsidR="00166194">
        <w:rPr>
          <w:b/>
          <w:bCs/>
          <w:color w:val="auto"/>
          <w:u w:val="single"/>
        </w:rPr>
        <w:t>for</w:t>
      </w:r>
      <w:r w:rsidR="00166194" w:rsidRPr="00202188">
        <w:rPr>
          <w:b/>
          <w:bCs/>
          <w:color w:val="auto"/>
          <w:u w:val="single"/>
        </w:rPr>
        <w:t xml:space="preserve"> </w:t>
      </w:r>
      <w:r w:rsidR="00A14A8C" w:rsidRPr="00202188">
        <w:rPr>
          <w:b/>
          <w:bCs/>
          <w:color w:val="auto"/>
          <w:u w:val="single"/>
        </w:rPr>
        <w:t xml:space="preserve">Sensitive </w:t>
      </w:r>
      <w:r w:rsidR="00A03E5D" w:rsidRPr="00202188">
        <w:rPr>
          <w:b/>
          <w:bCs/>
          <w:color w:val="auto"/>
          <w:u w:val="single"/>
        </w:rPr>
        <w:t>Questions</w:t>
      </w:r>
    </w:p>
    <w:p w:rsidR="00A14A8C" w:rsidRPr="00202188" w:rsidRDefault="00A14A8C" w:rsidP="00A14A8C">
      <w:pPr>
        <w:pStyle w:val="Default"/>
        <w:rPr>
          <w:color w:val="auto"/>
        </w:rPr>
      </w:pPr>
    </w:p>
    <w:p w:rsidR="00A14A8C" w:rsidRPr="00202188" w:rsidRDefault="00A14A8C" w:rsidP="00A14A8C">
      <w:pPr>
        <w:pStyle w:val="CM3"/>
        <w:ind w:firstLine="720"/>
      </w:pPr>
      <w:r w:rsidRPr="00202188">
        <w:t xml:space="preserve">The required recordkeeping and written disclosures contain private financial information about applicants for consumer credit.  Such information is protected by the Right to Financial Privacy Act, 12 U.S.C. 3401 </w:t>
      </w:r>
      <w:r w:rsidRPr="00202188">
        <w:rPr>
          <w:i/>
          <w:iCs/>
        </w:rPr>
        <w:t>et seq</w:t>
      </w:r>
      <w:r w:rsidRPr="00202188">
        <w:t xml:space="preserve">. </w:t>
      </w:r>
      <w:r w:rsidR="00A91EF1" w:rsidRPr="00202188">
        <w:t xml:space="preserve"> </w:t>
      </w:r>
      <w:r w:rsidRPr="00202188">
        <w:t xml:space="preserve">Such records may also constitute confidential customer lists. </w:t>
      </w:r>
      <w:r w:rsidR="00A91EF1" w:rsidRPr="00202188">
        <w:t xml:space="preserve"> </w:t>
      </w:r>
      <w:r w:rsidRPr="00202188">
        <w:t xml:space="preserve">Any of these records provided to the </w:t>
      </w:r>
      <w:r w:rsidR="00BF30E5" w:rsidRPr="00202188">
        <w:t>CFPB</w:t>
      </w:r>
      <w:r w:rsidRPr="00202188">
        <w:t xml:space="preserve"> would be covered by the protections of </w:t>
      </w:r>
      <w:r w:rsidR="00F5548D">
        <w:t xml:space="preserve">12 CFR 1070.40 </w:t>
      </w:r>
      <w:r w:rsidR="00F5548D" w:rsidRPr="00F5548D">
        <w:rPr>
          <w:i/>
        </w:rPr>
        <w:t>et seq</w:t>
      </w:r>
      <w:r w:rsidR="00F5548D">
        <w:t xml:space="preserve">., Section 1022(c) of the Dodd-Frank Act, </w:t>
      </w:r>
      <w:r w:rsidR="00F5548D" w:rsidRPr="00F5548D">
        <w:t>a</w:t>
      </w:r>
      <w:r w:rsidRPr="00202188">
        <w:t xml:space="preserve">nd by the exemptions of the Freedom of Information Act, 5 U.S.C. 552(b), as applicable. </w:t>
      </w:r>
    </w:p>
    <w:p w:rsidR="00E40FFD" w:rsidRPr="00202188" w:rsidRDefault="00E40FFD" w:rsidP="00E40FFD">
      <w:pPr>
        <w:pStyle w:val="Default"/>
      </w:pPr>
    </w:p>
    <w:p w:rsidR="00DD2F61" w:rsidRDefault="00DD2F61" w:rsidP="00DD2F61">
      <w:pPr>
        <w:pStyle w:val="Default"/>
      </w:pPr>
      <w:r w:rsidRPr="00202188">
        <w:rPr>
          <w:b/>
          <w:bCs/>
        </w:rPr>
        <w:t xml:space="preserve">12. </w:t>
      </w:r>
      <w:r>
        <w:rPr>
          <w:b/>
          <w:bCs/>
        </w:rPr>
        <w:t xml:space="preserve"> </w:t>
      </w:r>
      <w:r w:rsidRPr="00202188">
        <w:rPr>
          <w:b/>
          <w:bCs/>
          <w:u w:val="single"/>
        </w:rPr>
        <w:t xml:space="preserve">Estimated </w:t>
      </w:r>
      <w:r>
        <w:rPr>
          <w:b/>
          <w:bCs/>
          <w:u w:val="single"/>
        </w:rPr>
        <w:t>Burden of Information Collection</w:t>
      </w:r>
    </w:p>
    <w:p w:rsidR="00DD2F61" w:rsidRPr="00C37575" w:rsidRDefault="00DD2F61" w:rsidP="00DD2F61">
      <w:pPr>
        <w:pStyle w:val="CM12"/>
        <w:spacing w:line="276" w:lineRule="atLeast"/>
      </w:pPr>
    </w:p>
    <w:p w:rsidR="00DD2F61" w:rsidRPr="00B1135F" w:rsidRDefault="00DD2F61" w:rsidP="00DD2F61">
      <w:pPr>
        <w:pStyle w:val="CM12"/>
        <w:spacing w:line="276" w:lineRule="atLeast"/>
        <w:ind w:firstLine="720"/>
      </w:pPr>
      <w:r w:rsidRPr="00B1135F">
        <w:t>Regulation B requires that creditors (i.e., entities that regularly participate in the decision whether to extend credit) provide notices whenever they take adverse action.  It requires entities that extend various types of mortgage credit to provide a copy of the appraisal report to applicants or to notify them of their right to a copy of the report (and thereafter provide a copy of the report, upon the applicant’s request).  Regulation B also requires that for accounts which spouses may use or for which they are contractually liable, creditors who report credit history must do so in a manner reflecting both spouses’ participation.  Further, it requires creditors that collect applicant characteristics for purposes of conducting a self-test to disclose to those applicants that providing the information is optional, that the creditor will not take the information into account in any aspect of the credit transaction, and, if applicable, that the information will be noted by visual observation or surname if the applicant chooses not to provide it.</w:t>
      </w:r>
      <w:r w:rsidRPr="00B1135F">
        <w:rPr>
          <w:rStyle w:val="FootnoteReference"/>
        </w:rPr>
        <w:footnoteReference w:id="6"/>
      </w:r>
    </w:p>
    <w:p w:rsidR="00DD2F61" w:rsidRPr="00B1135F" w:rsidRDefault="00DD2F61" w:rsidP="00DD2F61">
      <w:pPr>
        <w:pStyle w:val="Default"/>
      </w:pPr>
    </w:p>
    <w:p w:rsidR="00DD2F61" w:rsidRPr="00B1135F" w:rsidRDefault="00DD2F61" w:rsidP="00DD2F61">
      <w:pPr>
        <w:pStyle w:val="Default"/>
      </w:pPr>
      <w:r w:rsidRPr="00B1135F">
        <w:rPr>
          <w:u w:val="single"/>
        </w:rPr>
        <w:t>Hours:</w:t>
      </w:r>
      <w:r w:rsidRPr="00B1135F">
        <w:t xml:space="preserve"> </w:t>
      </w:r>
      <w:r>
        <w:t>1,502,000</w:t>
      </w:r>
    </w:p>
    <w:p w:rsidR="00DD2F61" w:rsidRPr="00B1135F" w:rsidRDefault="00DD2F61" w:rsidP="00DD2F61">
      <w:pPr>
        <w:pStyle w:val="CM12"/>
        <w:spacing w:line="276" w:lineRule="atLeast"/>
      </w:pPr>
    </w:p>
    <w:p w:rsidR="00DD2F61" w:rsidRPr="00B1135F" w:rsidRDefault="00DD2F61" w:rsidP="00DD2F61">
      <w:pPr>
        <w:pStyle w:val="CM13"/>
        <w:spacing w:line="276" w:lineRule="atLeast"/>
        <w:ind w:right="410" w:firstLine="720"/>
      </w:pPr>
      <w:r w:rsidRPr="00B1135F">
        <w:t xml:space="preserve">CFPB’s estimate of the burden for ongoing recordkeeping and disclosure requirements under </w:t>
      </w:r>
      <w:r>
        <w:t>Regulation B</w:t>
      </w:r>
      <w:r w:rsidRPr="00B1135F">
        <w:t xml:space="preserve"> is based on the assumption that the total ongoing burden for this regulation, across all agencies, remains the same as it was before the regulation was restated by the CFPB.  Prior to the passage of the Dodd-Frank Act, the ongoing recordkeeping and disclosure burdens for </w:t>
      </w:r>
      <w:r>
        <w:t>Regulation B</w:t>
      </w:r>
      <w:r w:rsidRPr="00B1135F">
        <w:t xml:space="preserve"> allocated to the prudential regulators and the FTC were approximately </w:t>
      </w:r>
      <w:r>
        <w:t>5,812,000</w:t>
      </w:r>
      <w:r w:rsidRPr="00B1135F">
        <w:t xml:space="preserve"> hours.</w:t>
      </w:r>
      <w:r w:rsidRPr="00B1135F">
        <w:rPr>
          <w:rStyle w:val="FootnoteReference"/>
        </w:rPr>
        <w:footnoteReference w:id="7"/>
      </w:r>
      <w:r w:rsidRPr="00B1135F">
        <w:t xml:space="preserve">  In light of the changes made by the </w:t>
      </w:r>
      <w:r w:rsidRPr="00B1135F">
        <w:lastRenderedPageBreak/>
        <w:t xml:space="preserve">Dodd-Frank Act, </w:t>
      </w:r>
      <w:r>
        <w:t>roughly 1,501,000</w:t>
      </w:r>
      <w:r w:rsidRPr="00B1135F">
        <w:t xml:space="preserve"> hours of that burden is being reallocated to the CFPB.  Specifically, CPPB is being allocated burden for 180 depository institutions (comprising depository institutions with total assets of more than $10 billion and their depository affiliates) which is the approximate number of such depository entities that the CFPB now has primary enforcement authority for with respect to </w:t>
      </w:r>
      <w:r>
        <w:t>Regulation B</w:t>
      </w:r>
      <w:r w:rsidRPr="00B1135F">
        <w:t>.</w:t>
      </w:r>
      <w:r w:rsidRPr="00B1135F">
        <w:rPr>
          <w:rStyle w:val="FootnoteReference"/>
        </w:rPr>
        <w:footnoteReference w:id="8"/>
      </w:r>
      <w:r w:rsidRPr="00B1135F">
        <w:t xml:space="preserve">  The CFPB is also being allocated half of the Federal Trade Commission (FTC) burden amount after subtracting the burden which the FTC has attributed to itself for motor vehicle dealers.</w:t>
      </w:r>
      <w:r w:rsidRPr="00B1135F">
        <w:rPr>
          <w:rStyle w:val="FootnoteReference"/>
        </w:rPr>
        <w:footnoteReference w:id="9"/>
      </w:r>
    </w:p>
    <w:p w:rsidR="00DD2F61" w:rsidRPr="00B1135F" w:rsidRDefault="00DD2F61" w:rsidP="00DD2F61">
      <w:pPr>
        <w:pStyle w:val="CM13"/>
        <w:spacing w:line="276" w:lineRule="atLeast"/>
        <w:ind w:right="410" w:firstLine="720"/>
      </w:pPr>
    </w:p>
    <w:p w:rsidR="00DD2F61" w:rsidRPr="00B1135F" w:rsidRDefault="00DD2F61" w:rsidP="00DD2F61">
      <w:pPr>
        <w:pStyle w:val="Default"/>
        <w:ind w:firstLine="720"/>
        <w:rPr>
          <w:color w:val="auto"/>
        </w:rPr>
      </w:pPr>
      <w:r w:rsidRPr="00CF49E9">
        <w:rPr>
          <w:color w:val="auto"/>
        </w:rPr>
        <w:t xml:space="preserve">In addition to the ongoing burden, the </w:t>
      </w:r>
      <w:proofErr w:type="spellStart"/>
      <w:r w:rsidRPr="00CF49E9">
        <w:rPr>
          <w:color w:val="auto"/>
        </w:rPr>
        <w:t>recodified</w:t>
      </w:r>
      <w:proofErr w:type="spellEnd"/>
      <w:r w:rsidRPr="00CF49E9">
        <w:rPr>
          <w:color w:val="auto"/>
        </w:rPr>
        <w:t xml:space="preserve"> Regulation B will impose a one-time burden on credit</w:t>
      </w:r>
      <w:r>
        <w:rPr>
          <w:color w:val="auto"/>
        </w:rPr>
        <w:t>ors</w:t>
      </w:r>
      <w:r w:rsidRPr="00CF49E9">
        <w:rPr>
          <w:color w:val="auto"/>
        </w:rPr>
        <w:t xml:space="preserve"> that need to change forms </w:t>
      </w:r>
      <w:r>
        <w:rPr>
          <w:color w:val="auto"/>
        </w:rPr>
        <w:t xml:space="preserve">concerning adverse actions to identify a different agency in light of certain </w:t>
      </w:r>
      <w:r w:rsidRPr="00CF49E9">
        <w:rPr>
          <w:color w:val="auto"/>
        </w:rPr>
        <w:t xml:space="preserve">transfers of authority mandated by Dodd-Frank, </w:t>
      </w:r>
      <w:r>
        <w:rPr>
          <w:color w:val="auto"/>
        </w:rPr>
        <w:t>as specified</w:t>
      </w:r>
      <w:r w:rsidRPr="00CF49E9">
        <w:rPr>
          <w:color w:val="auto"/>
        </w:rPr>
        <w:t xml:space="preserve"> i</w:t>
      </w:r>
      <w:r w:rsidRPr="00EF2E7F">
        <w:rPr>
          <w:color w:val="auto"/>
        </w:rPr>
        <w:t>n Appendix A of Regulation B.</w:t>
      </w:r>
      <w:r w:rsidRPr="00B1135F">
        <w:rPr>
          <w:color w:val="auto"/>
        </w:rPr>
        <w:t xml:space="preserve">  </w:t>
      </w:r>
      <w:r w:rsidRPr="00B1135F">
        <w:t xml:space="preserve">For the purposes of calculating the burden hours allocated to the CFPB in light of the CFPB’s enforcement authority, the CFPB estimates that the approximate total burden to make these one-time changes is </w:t>
      </w:r>
      <w:r>
        <w:t>1,000</w:t>
      </w:r>
      <w:r w:rsidRPr="00B1135F">
        <w:rPr>
          <w:color w:val="auto"/>
        </w:rPr>
        <w:t xml:space="preserve"> hours.  This</w:t>
      </w:r>
      <w:r>
        <w:rPr>
          <w:color w:val="auto"/>
        </w:rPr>
        <w:t xml:space="preserve"> estimate assumes </w:t>
      </w:r>
      <w:r w:rsidRPr="00B1135F">
        <w:rPr>
          <w:color w:val="auto"/>
        </w:rPr>
        <w:t>it should</w:t>
      </w:r>
      <w:r>
        <w:rPr>
          <w:color w:val="auto"/>
        </w:rPr>
        <w:t xml:space="preserve"> take four</w:t>
      </w:r>
      <w:r w:rsidRPr="00B1135F">
        <w:rPr>
          <w:color w:val="auto"/>
        </w:rPr>
        <w:t xml:space="preserve"> hours per form, per firm, to make the necessary, yet simple, form changes.  Since the CFPB and the FTC are roughly splitting the burden associated with firms under the enforcement authority of both agencies, the CFPB is only being allocated </w:t>
      </w:r>
      <w:r>
        <w:rPr>
          <w:color w:val="auto"/>
        </w:rPr>
        <w:t>two</w:t>
      </w:r>
      <w:r w:rsidRPr="00B1135F">
        <w:rPr>
          <w:color w:val="auto"/>
        </w:rPr>
        <w:t xml:space="preserve"> of the </w:t>
      </w:r>
      <w:r>
        <w:rPr>
          <w:color w:val="auto"/>
        </w:rPr>
        <w:t>four</w:t>
      </w:r>
      <w:r w:rsidRPr="00B1135F">
        <w:rPr>
          <w:color w:val="auto"/>
        </w:rPr>
        <w:t xml:space="preserve"> hours estimated for each of the non-depository creditors. </w:t>
      </w:r>
      <w:r w:rsidR="00EF719C">
        <w:rPr>
          <w:color w:val="auto"/>
        </w:rPr>
        <w:t xml:space="preserve"> </w:t>
      </w:r>
      <w:r w:rsidRPr="00B1135F">
        <w:rPr>
          <w:color w:val="auto"/>
        </w:rPr>
        <w:t>This burden may be overstated to the extent that multiple firms use the same software vendors, who are able to spread any required burden over all of their affected clients.  These estimates may also be overstated because the Bureau is giving creditors one year to effect the changes, thus allowing creditors to include the changes in routine, scheduled systems updates during the next year.</w:t>
      </w:r>
    </w:p>
    <w:p w:rsidR="00DD2F61" w:rsidRPr="00B1135F" w:rsidRDefault="00DD2F61" w:rsidP="00DD2F61">
      <w:pPr>
        <w:pStyle w:val="Default"/>
        <w:rPr>
          <w:color w:val="auto"/>
        </w:rPr>
      </w:pPr>
    </w:p>
    <w:p w:rsidR="00DD2F61" w:rsidRPr="00B1135F" w:rsidRDefault="00DD2F61" w:rsidP="00DD2F61">
      <w:pPr>
        <w:pStyle w:val="Default"/>
        <w:rPr>
          <w:color w:val="auto"/>
        </w:rPr>
      </w:pPr>
      <w:r w:rsidRPr="00B1135F">
        <w:rPr>
          <w:color w:val="auto"/>
          <w:u w:val="single"/>
        </w:rPr>
        <w:t>Associated Labor Costs:</w:t>
      </w:r>
      <w:r w:rsidRPr="00B1135F">
        <w:rPr>
          <w:color w:val="auto"/>
        </w:rPr>
        <w:t xml:space="preserve">  $ </w:t>
      </w:r>
      <w:r>
        <w:rPr>
          <w:color w:val="auto"/>
        </w:rPr>
        <w:t>40,309,000</w:t>
      </w:r>
    </w:p>
    <w:p w:rsidR="00DD2F61" w:rsidRPr="00B1135F" w:rsidRDefault="00DD2F61" w:rsidP="00DD2F61">
      <w:pPr>
        <w:pStyle w:val="Default"/>
        <w:rPr>
          <w:color w:val="auto"/>
        </w:rPr>
      </w:pPr>
    </w:p>
    <w:p w:rsidR="00DD2F61" w:rsidRPr="00B1135F" w:rsidRDefault="00DD2F61" w:rsidP="00DD2F61">
      <w:pPr>
        <w:pStyle w:val="Default"/>
        <w:ind w:firstLine="720"/>
        <w:rPr>
          <w:color w:val="auto"/>
        </w:rPr>
      </w:pPr>
      <w:r w:rsidRPr="00B1135F">
        <w:rPr>
          <w:color w:val="auto"/>
        </w:rPr>
        <w:t>The CFPB calculated labor costs by applying appropriate hourly cost figures to the burden hours described above.  The hourly rates used are those associated with the burden hours assumed from the other regulatory agencies, which differ by agency.</w:t>
      </w:r>
    </w:p>
    <w:p w:rsidR="00DD2F61" w:rsidRPr="00B1135F" w:rsidRDefault="00DD2F61" w:rsidP="00DD2F61">
      <w:pPr>
        <w:pStyle w:val="Default"/>
        <w:rPr>
          <w:color w:val="auto"/>
        </w:rPr>
      </w:pPr>
    </w:p>
    <w:p w:rsidR="00DD2F61" w:rsidRPr="00B1135F" w:rsidRDefault="00DD2F61" w:rsidP="00DD2F61">
      <w:pPr>
        <w:pStyle w:val="Default"/>
        <w:ind w:firstLine="720"/>
        <w:rPr>
          <w:color w:val="auto"/>
        </w:rPr>
      </w:pPr>
      <w:r w:rsidRPr="00B1135F">
        <w:rPr>
          <w:color w:val="auto"/>
        </w:rPr>
        <w:t xml:space="preserve">The CFPB estimates that the ongoing recordkeeping and disclosure costs allocated to the CFPB under </w:t>
      </w:r>
      <w:r>
        <w:rPr>
          <w:color w:val="auto"/>
        </w:rPr>
        <w:t>Regulation B</w:t>
      </w:r>
      <w:r w:rsidRPr="00B1135F">
        <w:rPr>
          <w:color w:val="auto"/>
        </w:rPr>
        <w:t xml:space="preserve"> are $</w:t>
      </w:r>
      <w:r>
        <w:rPr>
          <w:color w:val="auto"/>
        </w:rPr>
        <w:t>40,278,000</w:t>
      </w:r>
      <w:r w:rsidRPr="00B1135F">
        <w:rPr>
          <w:color w:val="auto"/>
        </w:rPr>
        <w:t xml:space="preserve">.  This estimate was calculated by summing the CFPB’s share of costs from the supporting statements of the other agencies, following each agency’s own cost analysis. </w:t>
      </w:r>
      <w:r w:rsidR="00EF719C">
        <w:rPr>
          <w:color w:val="auto"/>
        </w:rPr>
        <w:t xml:space="preserve"> </w:t>
      </w:r>
      <w:r w:rsidRPr="00B1135F">
        <w:rPr>
          <w:color w:val="auto"/>
        </w:rPr>
        <w:t xml:space="preserve">For a detailed breakdown of the cost analysis, please reference the other agencies’ supporting statements for </w:t>
      </w:r>
      <w:r>
        <w:rPr>
          <w:color w:val="auto"/>
        </w:rPr>
        <w:t>Regulation B</w:t>
      </w:r>
      <w:r w:rsidRPr="00B1135F">
        <w:rPr>
          <w:color w:val="auto"/>
        </w:rPr>
        <w:t>.</w:t>
      </w:r>
    </w:p>
    <w:p w:rsidR="00DD2F61" w:rsidRPr="00B1135F" w:rsidRDefault="00DD2F61" w:rsidP="00DD2F61">
      <w:pPr>
        <w:pStyle w:val="Default"/>
        <w:rPr>
          <w:color w:val="auto"/>
        </w:rPr>
      </w:pPr>
    </w:p>
    <w:p w:rsidR="007E7FCA" w:rsidRPr="00DD2F61" w:rsidRDefault="00DD2F61" w:rsidP="00DD2F61">
      <w:pPr>
        <w:spacing w:after="0" w:line="240" w:lineRule="auto"/>
        <w:ind w:firstLine="720"/>
        <w:rPr>
          <w:rFonts w:ascii="Times New Roman" w:hAnsi="Times New Roman"/>
          <w:color w:val="000000"/>
          <w:sz w:val="24"/>
          <w:szCs w:val="24"/>
        </w:rPr>
      </w:pPr>
      <w:r w:rsidRPr="00DD2F61">
        <w:rPr>
          <w:rFonts w:ascii="Times New Roman" w:hAnsi="Times New Roman"/>
          <w:color w:val="000000"/>
          <w:sz w:val="24"/>
          <w:szCs w:val="24"/>
        </w:rPr>
        <w:lastRenderedPageBreak/>
        <w:t xml:space="preserve">For the purposes of calculating the costs allocated to the CFPB in light of the CFPB’s enforcement authority, for the one-time revisions to the forms described above, the CFPB estimates that the total one-time cost for these changes is $31,000.  These estimates may be overstated to the extent that multiple firms use the same software vendors, who are able to spread any required burden over all of their affected clients. </w:t>
      </w:r>
      <w:r w:rsidR="00EF719C">
        <w:rPr>
          <w:rFonts w:ascii="Times New Roman" w:hAnsi="Times New Roman"/>
          <w:color w:val="000000"/>
          <w:sz w:val="24"/>
          <w:szCs w:val="24"/>
        </w:rPr>
        <w:t xml:space="preserve"> </w:t>
      </w:r>
      <w:r w:rsidRPr="00DD2F61">
        <w:rPr>
          <w:rFonts w:ascii="Times New Roman" w:hAnsi="Times New Roman"/>
          <w:color w:val="000000"/>
          <w:sz w:val="24"/>
          <w:szCs w:val="24"/>
        </w:rPr>
        <w:t>These estimates may also be overstated because the CFPB is giving creditors one year to effect the changes, thus allowing creditors to include the changes in routine, scheduled systems updates during the next year.</w:t>
      </w:r>
    </w:p>
    <w:p w:rsidR="00E40FFD" w:rsidRPr="009E0227" w:rsidRDefault="00E40FFD" w:rsidP="009E0227">
      <w:pPr>
        <w:pStyle w:val="Default"/>
        <w:rPr>
          <w:color w:val="auto"/>
        </w:rPr>
      </w:pPr>
    </w:p>
    <w:p w:rsidR="00A14A8C" w:rsidRPr="00202188" w:rsidRDefault="00A14A8C" w:rsidP="00A14A8C">
      <w:pPr>
        <w:pStyle w:val="CM12"/>
        <w:spacing w:line="276" w:lineRule="atLeast"/>
      </w:pPr>
      <w:r w:rsidRPr="00202188">
        <w:rPr>
          <w:b/>
          <w:bCs/>
        </w:rPr>
        <w:t xml:space="preserve">13. </w:t>
      </w:r>
      <w:r w:rsidR="009743B0">
        <w:rPr>
          <w:b/>
          <w:bCs/>
        </w:rPr>
        <w:t xml:space="preserve"> </w:t>
      </w:r>
      <w:r w:rsidRPr="00202188">
        <w:rPr>
          <w:b/>
          <w:bCs/>
          <w:u w:val="single"/>
        </w:rPr>
        <w:t xml:space="preserve">Estimated </w:t>
      </w:r>
      <w:r w:rsidR="00A03E5D" w:rsidRPr="00202188">
        <w:rPr>
          <w:b/>
          <w:bCs/>
          <w:u w:val="single"/>
        </w:rPr>
        <w:t xml:space="preserve">Total Annual Cost Burden to </w:t>
      </w:r>
      <w:r w:rsidR="00166194">
        <w:rPr>
          <w:b/>
          <w:bCs/>
          <w:u w:val="single"/>
        </w:rPr>
        <w:t xml:space="preserve">Respondents or </w:t>
      </w:r>
      <w:proofErr w:type="spellStart"/>
      <w:r w:rsidR="00166194">
        <w:rPr>
          <w:b/>
          <w:bCs/>
          <w:u w:val="single"/>
        </w:rPr>
        <w:t>Recordkeepers</w:t>
      </w:r>
      <w:proofErr w:type="spellEnd"/>
    </w:p>
    <w:p w:rsidR="00E40FFD" w:rsidRPr="00202188" w:rsidRDefault="00E40FFD" w:rsidP="00A14A8C">
      <w:pPr>
        <w:pStyle w:val="CM12"/>
        <w:spacing w:line="276" w:lineRule="atLeast"/>
        <w:ind w:firstLine="720"/>
      </w:pPr>
    </w:p>
    <w:p w:rsidR="00A14A8C" w:rsidRPr="00202188" w:rsidRDefault="0055555A" w:rsidP="00A14A8C">
      <w:pPr>
        <w:pStyle w:val="CM12"/>
        <w:spacing w:line="276" w:lineRule="atLeast"/>
        <w:ind w:firstLine="720"/>
      </w:pPr>
      <w:r>
        <w:t>None.</w:t>
      </w:r>
      <w:r w:rsidR="00A14A8C" w:rsidRPr="00202188">
        <w:t xml:space="preserve"> </w:t>
      </w:r>
    </w:p>
    <w:p w:rsidR="00E40FFD" w:rsidRPr="00202188" w:rsidRDefault="006A46AC" w:rsidP="00A14A8C">
      <w:pPr>
        <w:pStyle w:val="CM12"/>
        <w:spacing w:line="276" w:lineRule="atLeast"/>
        <w:rPr>
          <w:b/>
          <w:bCs/>
        </w:rPr>
      </w:pPr>
      <w:r>
        <w:rPr>
          <w:b/>
          <w:bCs/>
        </w:rPr>
        <w:t xml:space="preserve"> </w:t>
      </w:r>
    </w:p>
    <w:p w:rsidR="00A14A8C" w:rsidRPr="00202188" w:rsidRDefault="00A14A8C" w:rsidP="00A14A8C">
      <w:pPr>
        <w:pStyle w:val="CM12"/>
        <w:spacing w:line="276" w:lineRule="atLeast"/>
      </w:pPr>
      <w:r w:rsidRPr="00202188">
        <w:rPr>
          <w:b/>
          <w:bCs/>
        </w:rPr>
        <w:t>14.</w:t>
      </w:r>
      <w:r w:rsidR="009743B0">
        <w:rPr>
          <w:b/>
          <w:bCs/>
        </w:rPr>
        <w:t xml:space="preserve"> </w:t>
      </w:r>
      <w:r w:rsidRPr="00202188">
        <w:rPr>
          <w:b/>
          <w:bCs/>
        </w:rPr>
        <w:t xml:space="preserve"> </w:t>
      </w:r>
      <w:r w:rsidRPr="00202188">
        <w:rPr>
          <w:b/>
          <w:bCs/>
          <w:u w:val="single"/>
        </w:rPr>
        <w:t>Estimated Cost to the Federal Government</w:t>
      </w:r>
    </w:p>
    <w:p w:rsidR="00E40FFD" w:rsidRPr="00202188" w:rsidRDefault="00E40FFD" w:rsidP="00A14A8C">
      <w:pPr>
        <w:pStyle w:val="CM12"/>
        <w:spacing w:line="276" w:lineRule="atLeast"/>
        <w:ind w:firstLine="720"/>
      </w:pPr>
    </w:p>
    <w:p w:rsidR="00E40FFD" w:rsidRPr="00202188" w:rsidRDefault="00E40FFD" w:rsidP="00E40FFD">
      <w:pPr>
        <w:pStyle w:val="Default"/>
      </w:pPr>
      <w:r w:rsidRPr="00202188">
        <w:tab/>
        <w:t>As the CFP</w:t>
      </w:r>
      <w:r w:rsidR="005A1EEF" w:rsidRPr="00202188">
        <w:t>B</w:t>
      </w:r>
      <w:r w:rsidRPr="00202188">
        <w:t xml:space="preserve"> does not collect an</w:t>
      </w:r>
      <w:r w:rsidR="003B076B" w:rsidRPr="00202188">
        <w:t>y</w:t>
      </w:r>
      <w:r w:rsidRPr="00202188">
        <w:t xml:space="preserve"> information, the cost to the agency is negligible.</w:t>
      </w:r>
    </w:p>
    <w:p w:rsidR="00E40FFD" w:rsidRPr="00202188" w:rsidRDefault="00E40FFD" w:rsidP="00E40FFD">
      <w:pPr>
        <w:pStyle w:val="Default"/>
      </w:pPr>
    </w:p>
    <w:p w:rsidR="00E40FFD" w:rsidRPr="00202188" w:rsidRDefault="00E40FFD" w:rsidP="00E40FFD">
      <w:pPr>
        <w:pStyle w:val="Default"/>
        <w:rPr>
          <w:b/>
          <w:bCs/>
          <w:sz w:val="23"/>
          <w:szCs w:val="23"/>
          <w:u w:val="single"/>
        </w:rPr>
      </w:pPr>
      <w:r w:rsidRPr="00202188">
        <w:rPr>
          <w:b/>
          <w:bCs/>
        </w:rPr>
        <w:t xml:space="preserve">15. </w:t>
      </w:r>
      <w:r w:rsidR="009743B0">
        <w:rPr>
          <w:b/>
          <w:bCs/>
        </w:rPr>
        <w:t xml:space="preserve"> </w:t>
      </w:r>
      <w:r w:rsidRPr="00202188">
        <w:rPr>
          <w:b/>
          <w:bCs/>
          <w:u w:val="single"/>
        </w:rPr>
        <w:t>Program Changes or Adjustments</w:t>
      </w:r>
    </w:p>
    <w:p w:rsidR="00E40FFD" w:rsidRPr="00202188" w:rsidRDefault="00E40FFD" w:rsidP="00E40FFD">
      <w:pPr>
        <w:pStyle w:val="Default"/>
        <w:ind w:firstLine="720"/>
        <w:rPr>
          <w:sz w:val="23"/>
          <w:szCs w:val="23"/>
        </w:rPr>
      </w:pPr>
    </w:p>
    <w:p w:rsidR="00E40FFD" w:rsidRPr="003D5836" w:rsidRDefault="009F3863" w:rsidP="00E40FFD">
      <w:pPr>
        <w:pStyle w:val="Default"/>
        <w:ind w:firstLine="720"/>
      </w:pPr>
      <w:r w:rsidRPr="003D5836">
        <w:t xml:space="preserve">As detailed in </w:t>
      </w:r>
      <w:r w:rsidR="007542DE" w:rsidRPr="003D5836">
        <w:t>section</w:t>
      </w:r>
      <w:r w:rsidR="007E2833" w:rsidRPr="003D5836">
        <w:t xml:space="preserve"> </w:t>
      </w:r>
      <w:r w:rsidRPr="003D5836">
        <w:t xml:space="preserve">12, there is a one-time increase in the burden associated with Regulation B of </w:t>
      </w:r>
      <w:r w:rsidR="0066130E">
        <w:t>1,000</w:t>
      </w:r>
      <w:r w:rsidRPr="003D5836">
        <w:t xml:space="preserve"> hours, with an associated cost of </w:t>
      </w:r>
      <w:r w:rsidR="0066130E">
        <w:t>$31,000</w:t>
      </w:r>
      <w:r w:rsidRPr="003D5836">
        <w:t>.</w:t>
      </w:r>
    </w:p>
    <w:p w:rsidR="009743B0" w:rsidRPr="003D5836" w:rsidRDefault="009743B0" w:rsidP="00E40FFD">
      <w:pPr>
        <w:pStyle w:val="Default"/>
        <w:ind w:firstLine="720"/>
      </w:pPr>
    </w:p>
    <w:p w:rsidR="00E40FFD" w:rsidRPr="003D5836" w:rsidRDefault="00E40FFD" w:rsidP="00E40FFD">
      <w:pPr>
        <w:pStyle w:val="CM12"/>
        <w:spacing w:line="276" w:lineRule="atLeast"/>
      </w:pPr>
      <w:r w:rsidRPr="003D5836">
        <w:rPr>
          <w:b/>
          <w:bCs/>
        </w:rPr>
        <w:t xml:space="preserve">16. </w:t>
      </w:r>
      <w:r w:rsidR="009743B0" w:rsidRPr="003D5836">
        <w:rPr>
          <w:b/>
          <w:bCs/>
        </w:rPr>
        <w:t xml:space="preserve"> </w:t>
      </w:r>
      <w:r w:rsidR="00A03E5D" w:rsidRPr="003D5836">
        <w:rPr>
          <w:b/>
          <w:bCs/>
          <w:u w:val="single"/>
        </w:rPr>
        <w:t>Plans for Tabulation, Statistical Analysis, and Publication</w:t>
      </w:r>
    </w:p>
    <w:p w:rsidR="00E40FFD" w:rsidRPr="003D5836" w:rsidRDefault="00E40FFD" w:rsidP="00E40FFD">
      <w:pPr>
        <w:pStyle w:val="CM12"/>
        <w:spacing w:line="276" w:lineRule="atLeast"/>
        <w:ind w:left="720"/>
      </w:pPr>
    </w:p>
    <w:p w:rsidR="00E40FFD" w:rsidRPr="003D5836" w:rsidRDefault="00E40FFD" w:rsidP="00E40FFD">
      <w:pPr>
        <w:pStyle w:val="CM12"/>
        <w:spacing w:line="276" w:lineRule="atLeast"/>
        <w:ind w:left="720"/>
      </w:pPr>
      <w:r w:rsidRPr="003D5836">
        <w:t xml:space="preserve">Not applicable. </w:t>
      </w:r>
    </w:p>
    <w:p w:rsidR="00E40FFD" w:rsidRPr="003D5836" w:rsidRDefault="00E40FFD" w:rsidP="00E40FFD">
      <w:pPr>
        <w:pStyle w:val="Default"/>
        <w:rPr>
          <w:b/>
          <w:bCs/>
          <w:color w:val="auto"/>
          <w:u w:val="single"/>
        </w:rPr>
      </w:pPr>
    </w:p>
    <w:p w:rsidR="00E40FFD" w:rsidRPr="003D5836" w:rsidRDefault="00E40FFD" w:rsidP="00E40FFD">
      <w:pPr>
        <w:pStyle w:val="Default"/>
        <w:rPr>
          <w:b/>
          <w:bCs/>
          <w:color w:val="auto"/>
          <w:u w:val="single"/>
        </w:rPr>
      </w:pPr>
      <w:r w:rsidRPr="003D5836">
        <w:rPr>
          <w:b/>
          <w:bCs/>
          <w:color w:val="auto"/>
        </w:rPr>
        <w:t xml:space="preserve">17. </w:t>
      </w:r>
      <w:r w:rsidR="009743B0" w:rsidRPr="003D5836">
        <w:rPr>
          <w:b/>
          <w:bCs/>
          <w:color w:val="auto"/>
        </w:rPr>
        <w:t xml:space="preserve"> </w:t>
      </w:r>
      <w:r w:rsidR="009D1EB5" w:rsidRPr="003D5836">
        <w:rPr>
          <w:b/>
          <w:bCs/>
          <w:color w:val="auto"/>
          <w:u w:val="single"/>
        </w:rPr>
        <w:t>Display of Expiration Date</w:t>
      </w:r>
    </w:p>
    <w:p w:rsidR="00E40FFD" w:rsidRPr="003D5836" w:rsidRDefault="00E40FFD" w:rsidP="00E40FFD">
      <w:pPr>
        <w:pStyle w:val="Default"/>
        <w:rPr>
          <w:b/>
          <w:bCs/>
          <w:color w:val="auto"/>
          <w:u w:val="single"/>
        </w:rPr>
      </w:pPr>
    </w:p>
    <w:p w:rsidR="00E40FFD" w:rsidRPr="003D5836" w:rsidRDefault="00E40FFD" w:rsidP="00E40FFD">
      <w:pPr>
        <w:pStyle w:val="CM12"/>
        <w:spacing w:line="276" w:lineRule="atLeast"/>
        <w:ind w:left="720"/>
      </w:pPr>
      <w:r w:rsidRPr="003D5836">
        <w:t xml:space="preserve">Not applicable. </w:t>
      </w:r>
    </w:p>
    <w:p w:rsidR="00E40FFD" w:rsidRPr="003D5836" w:rsidRDefault="00E40FFD" w:rsidP="00E40FFD">
      <w:pPr>
        <w:pStyle w:val="Default"/>
        <w:rPr>
          <w:color w:val="auto"/>
        </w:rPr>
      </w:pPr>
    </w:p>
    <w:p w:rsidR="00E40FFD" w:rsidRPr="003D5836" w:rsidRDefault="00E40FFD" w:rsidP="00E40FFD">
      <w:pPr>
        <w:pStyle w:val="Default"/>
      </w:pPr>
      <w:r w:rsidRPr="003D5836">
        <w:rPr>
          <w:b/>
          <w:bCs/>
          <w:color w:val="auto"/>
        </w:rPr>
        <w:t xml:space="preserve">18. </w:t>
      </w:r>
      <w:r w:rsidR="000467EC" w:rsidRPr="003D5836">
        <w:rPr>
          <w:b/>
          <w:bCs/>
          <w:color w:val="auto"/>
        </w:rPr>
        <w:t xml:space="preserve"> </w:t>
      </w:r>
      <w:r w:rsidRPr="003D5836">
        <w:rPr>
          <w:b/>
          <w:bCs/>
          <w:color w:val="auto"/>
          <w:u w:val="single"/>
        </w:rPr>
        <w:t xml:space="preserve">Exceptions to the Certification </w:t>
      </w:r>
      <w:r w:rsidR="00A03E5D" w:rsidRPr="003D5836">
        <w:rPr>
          <w:b/>
          <w:bCs/>
          <w:color w:val="auto"/>
          <w:u w:val="single"/>
        </w:rPr>
        <w:t>Requirement</w:t>
      </w:r>
    </w:p>
    <w:p w:rsidR="00210607" w:rsidRPr="003D5836" w:rsidRDefault="00210607" w:rsidP="00452363">
      <w:pPr>
        <w:spacing w:after="0"/>
        <w:rPr>
          <w:rFonts w:ascii="Times New Roman" w:hAnsi="Times New Roman"/>
          <w:sz w:val="24"/>
          <w:szCs w:val="24"/>
        </w:rPr>
      </w:pPr>
    </w:p>
    <w:p w:rsidR="00E40FFD" w:rsidRPr="003D5836" w:rsidRDefault="009D1070" w:rsidP="00E40FFD">
      <w:pPr>
        <w:spacing w:after="0"/>
        <w:ind w:firstLine="720"/>
        <w:rPr>
          <w:rFonts w:ascii="Times New Roman" w:hAnsi="Times New Roman"/>
          <w:sz w:val="24"/>
          <w:szCs w:val="24"/>
        </w:rPr>
      </w:pPr>
      <w:r w:rsidRPr="003D5836">
        <w:rPr>
          <w:rFonts w:ascii="Times New Roman" w:hAnsi="Times New Roman"/>
          <w:sz w:val="24"/>
          <w:szCs w:val="24"/>
        </w:rPr>
        <w:t>None.</w:t>
      </w:r>
    </w:p>
    <w:p w:rsidR="009D1070" w:rsidRDefault="009D1070" w:rsidP="009D1070">
      <w:pPr>
        <w:spacing w:after="0"/>
        <w:rPr>
          <w:rFonts w:ascii="Times New Roman" w:hAnsi="Times New Roman"/>
          <w:sz w:val="24"/>
          <w:szCs w:val="24"/>
        </w:rPr>
      </w:pPr>
    </w:p>
    <w:p w:rsidR="00074AA7" w:rsidRPr="003D5836" w:rsidRDefault="00074AA7" w:rsidP="009D1070">
      <w:pPr>
        <w:spacing w:after="0"/>
        <w:rPr>
          <w:rFonts w:ascii="Times New Roman" w:hAnsi="Times New Roman"/>
          <w:sz w:val="24"/>
          <w:szCs w:val="24"/>
        </w:rPr>
      </w:pPr>
    </w:p>
    <w:p w:rsidR="009D1070" w:rsidRPr="003D5836" w:rsidRDefault="009D1070" w:rsidP="009D1070">
      <w:pPr>
        <w:spacing w:after="0"/>
        <w:rPr>
          <w:rFonts w:ascii="Times New Roman" w:hAnsi="Times New Roman"/>
          <w:b/>
          <w:sz w:val="24"/>
          <w:szCs w:val="24"/>
          <w:u w:val="single"/>
        </w:rPr>
      </w:pPr>
      <w:r w:rsidRPr="003D5836">
        <w:rPr>
          <w:rFonts w:ascii="Times New Roman" w:hAnsi="Times New Roman"/>
          <w:b/>
          <w:sz w:val="24"/>
          <w:szCs w:val="24"/>
        </w:rPr>
        <w:t xml:space="preserve">B.  </w:t>
      </w:r>
      <w:r w:rsidRPr="003D5836">
        <w:rPr>
          <w:rFonts w:ascii="Times New Roman" w:hAnsi="Times New Roman"/>
          <w:b/>
          <w:sz w:val="24"/>
          <w:szCs w:val="24"/>
          <w:u w:val="single"/>
        </w:rPr>
        <w:t>COLLECTIONS OF INFORMATION EMPLOYING STATISTICAL METHODS</w:t>
      </w:r>
    </w:p>
    <w:p w:rsidR="009D1070" w:rsidRPr="003D5836" w:rsidRDefault="005B7B5F" w:rsidP="005B7B5F">
      <w:pPr>
        <w:tabs>
          <w:tab w:val="left" w:pos="954"/>
        </w:tabs>
        <w:spacing w:after="0"/>
        <w:rPr>
          <w:rFonts w:ascii="Times New Roman" w:hAnsi="Times New Roman"/>
          <w:sz w:val="24"/>
          <w:szCs w:val="24"/>
        </w:rPr>
      </w:pPr>
      <w:r w:rsidRPr="003D5836">
        <w:rPr>
          <w:rFonts w:ascii="Times New Roman" w:hAnsi="Times New Roman"/>
          <w:sz w:val="24"/>
          <w:szCs w:val="24"/>
        </w:rPr>
        <w:tab/>
      </w:r>
    </w:p>
    <w:p w:rsidR="009D1070" w:rsidRPr="003D5836" w:rsidRDefault="009D1070" w:rsidP="009D1070">
      <w:pPr>
        <w:spacing w:after="0"/>
        <w:ind w:firstLine="720"/>
        <w:rPr>
          <w:rFonts w:ascii="Times New Roman" w:hAnsi="Times New Roman"/>
          <w:sz w:val="24"/>
          <w:szCs w:val="24"/>
        </w:rPr>
      </w:pPr>
      <w:r w:rsidRPr="003D5836">
        <w:rPr>
          <w:rFonts w:ascii="Times New Roman" w:hAnsi="Times New Roman"/>
          <w:sz w:val="24"/>
          <w:szCs w:val="24"/>
        </w:rPr>
        <w:t>Not applicable.</w:t>
      </w:r>
    </w:p>
    <w:sectPr w:rsidR="009D1070" w:rsidRPr="003D5836" w:rsidSect="005A1EEF">
      <w:pgSz w:w="12240" w:h="15840" w:code="1"/>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DEF" w:rsidRDefault="00585DEF" w:rsidP="00A14A8C">
      <w:pPr>
        <w:spacing w:after="0" w:line="240" w:lineRule="auto"/>
      </w:pPr>
      <w:r>
        <w:separator/>
      </w:r>
    </w:p>
  </w:endnote>
  <w:endnote w:type="continuationSeparator" w:id="0">
    <w:p w:rsidR="00585DEF" w:rsidRDefault="00585DEF" w:rsidP="00A14A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DEF" w:rsidRDefault="00585DEF" w:rsidP="00A14A8C">
      <w:pPr>
        <w:spacing w:after="0" w:line="240" w:lineRule="auto"/>
      </w:pPr>
      <w:r>
        <w:separator/>
      </w:r>
    </w:p>
  </w:footnote>
  <w:footnote w:type="continuationSeparator" w:id="0">
    <w:p w:rsidR="00585DEF" w:rsidRDefault="00585DEF" w:rsidP="00A14A8C">
      <w:pPr>
        <w:spacing w:after="0" w:line="240" w:lineRule="auto"/>
      </w:pPr>
      <w:r>
        <w:continuationSeparator/>
      </w:r>
    </w:p>
  </w:footnote>
  <w:footnote w:id="1">
    <w:p w:rsidR="0062284F" w:rsidRPr="004743D5" w:rsidRDefault="0062284F" w:rsidP="00F5548D">
      <w:pPr>
        <w:pStyle w:val="FootnoteText"/>
        <w:spacing w:after="0" w:line="240" w:lineRule="auto"/>
        <w:rPr>
          <w:rFonts w:ascii="Times New Roman" w:hAnsi="Times New Roman"/>
        </w:rPr>
      </w:pPr>
      <w:r w:rsidRPr="004743D5">
        <w:rPr>
          <w:rStyle w:val="FootnoteReference"/>
          <w:rFonts w:ascii="Times New Roman" w:hAnsi="Times New Roman"/>
        </w:rPr>
        <w:footnoteRef/>
      </w:r>
      <w:r>
        <w:rPr>
          <w:rFonts w:ascii="Times New Roman" w:hAnsi="Times New Roman"/>
          <w:lang w:val="en-US"/>
        </w:rPr>
        <w:t xml:space="preserve"> </w:t>
      </w:r>
      <w:r w:rsidRPr="004743D5">
        <w:rPr>
          <w:rFonts w:ascii="Times New Roman" w:hAnsi="Times New Roman"/>
          <w:color w:val="000000"/>
        </w:rPr>
        <w:t xml:space="preserve">The law applies to a person who, in the ordinary course of business, regularly participates in a credit decision, including setting the terms of credit.  See Section 1002.2(l) of Regulation B.  </w:t>
      </w:r>
      <w:r w:rsidRPr="008658C0">
        <w:rPr>
          <w:rFonts w:ascii="Times New Roman" w:hAnsi="Times New Roman"/>
          <w:color w:val="000000"/>
        </w:rPr>
        <w:t>This may include an assignee or a potential purchaser of the obligation who influences the credit decision by indicating whether or not it will purchase the obligation if the transaction is c</w:t>
      </w:r>
      <w:r>
        <w:rPr>
          <w:rFonts w:ascii="Times New Roman" w:hAnsi="Times New Roman"/>
          <w:color w:val="000000"/>
        </w:rPr>
        <w:t xml:space="preserve">onsummated.  See </w:t>
      </w:r>
      <w:r>
        <w:rPr>
          <w:rFonts w:ascii="Times New Roman" w:hAnsi="Times New Roman"/>
          <w:color w:val="000000"/>
          <w:lang w:val="en-US"/>
        </w:rPr>
        <w:t>c</w:t>
      </w:r>
      <w:r>
        <w:rPr>
          <w:rFonts w:ascii="Times New Roman" w:hAnsi="Times New Roman"/>
          <w:color w:val="000000"/>
        </w:rPr>
        <w:t>omment 2(l)-1</w:t>
      </w:r>
      <w:r w:rsidRPr="004743D5">
        <w:rPr>
          <w:rFonts w:ascii="Times New Roman" w:hAnsi="Times New Roman"/>
          <w:color w:val="000000"/>
        </w:rPr>
        <w:t>.</w:t>
      </w:r>
    </w:p>
  </w:footnote>
  <w:footnote w:id="2">
    <w:p w:rsidR="0062284F" w:rsidRPr="004743D5" w:rsidRDefault="0062284F" w:rsidP="00F5548D">
      <w:pPr>
        <w:pStyle w:val="FootnoteText"/>
        <w:spacing w:after="0" w:line="240" w:lineRule="auto"/>
        <w:rPr>
          <w:rFonts w:ascii="Times New Roman" w:hAnsi="Times New Roman"/>
        </w:rPr>
      </w:pPr>
      <w:r w:rsidRPr="004743D5">
        <w:rPr>
          <w:rStyle w:val="FootnoteReference"/>
          <w:rFonts w:ascii="Times New Roman" w:hAnsi="Times New Roman"/>
        </w:rPr>
        <w:footnoteRef/>
      </w:r>
      <w:r w:rsidRPr="004743D5">
        <w:rPr>
          <w:rFonts w:ascii="Times New Roman" w:hAnsi="Times New Roman"/>
        </w:rPr>
        <w:t xml:space="preserve"> </w:t>
      </w:r>
      <w:r w:rsidRPr="004743D5">
        <w:rPr>
          <w:rFonts w:ascii="Times New Roman" w:hAnsi="Times New Roman"/>
          <w:color w:val="000000"/>
        </w:rPr>
        <w:t>The records are generally already retained by creditors in connection with their business operations in part due to the credit extension that will be made to responding applicants.</w:t>
      </w:r>
    </w:p>
  </w:footnote>
  <w:footnote w:id="3">
    <w:p w:rsidR="0062284F" w:rsidRPr="004743D5" w:rsidRDefault="0062284F" w:rsidP="00F5548D">
      <w:pPr>
        <w:pStyle w:val="FootnoteText"/>
        <w:spacing w:after="0" w:line="240" w:lineRule="auto"/>
        <w:rPr>
          <w:rFonts w:ascii="Times New Roman" w:hAnsi="Times New Roman"/>
        </w:rPr>
      </w:pPr>
      <w:r w:rsidRPr="004743D5">
        <w:rPr>
          <w:rStyle w:val="FootnoteReference"/>
          <w:rFonts w:ascii="Times New Roman" w:hAnsi="Times New Roman"/>
        </w:rPr>
        <w:footnoteRef/>
      </w:r>
      <w:r w:rsidRPr="004743D5">
        <w:rPr>
          <w:rFonts w:ascii="Times New Roman" w:hAnsi="Times New Roman"/>
        </w:rPr>
        <w:t xml:space="preserve"> </w:t>
      </w:r>
      <w:r w:rsidRPr="004743D5">
        <w:rPr>
          <w:rFonts w:ascii="Times New Roman" w:hAnsi="Times New Roman"/>
          <w:color w:val="000000"/>
        </w:rPr>
        <w:t xml:space="preserve">Regulation B permits many disclosures to be made orally.  Any required written disclosures must be made clearly and conspicuously and in a form the applicant can retain.  </w:t>
      </w:r>
    </w:p>
  </w:footnote>
  <w:footnote w:id="4">
    <w:p w:rsidR="0062284F" w:rsidRPr="004743D5" w:rsidRDefault="0062284F" w:rsidP="00F5548D">
      <w:pPr>
        <w:pStyle w:val="FootnoteText"/>
        <w:spacing w:after="0" w:line="240" w:lineRule="auto"/>
        <w:rPr>
          <w:rFonts w:ascii="Times New Roman" w:hAnsi="Times New Roman"/>
        </w:rPr>
      </w:pPr>
      <w:r w:rsidRPr="004743D5">
        <w:rPr>
          <w:rStyle w:val="FootnoteReference"/>
          <w:rFonts w:ascii="Times New Roman" w:hAnsi="Times New Roman"/>
        </w:rPr>
        <w:footnoteRef/>
      </w:r>
      <w:r w:rsidRPr="004743D5">
        <w:rPr>
          <w:rFonts w:ascii="Times New Roman" w:hAnsi="Times New Roman"/>
        </w:rPr>
        <w:t xml:space="preserve"> For incomplete applications, creditors may initially provide the adverse action notice or a notice of incompleteness.</w:t>
      </w:r>
    </w:p>
  </w:footnote>
  <w:footnote w:id="5">
    <w:p w:rsidR="0062284F" w:rsidRPr="004743D5" w:rsidRDefault="0062284F" w:rsidP="00F5548D">
      <w:pPr>
        <w:pStyle w:val="FootnoteText"/>
        <w:spacing w:after="0" w:line="240" w:lineRule="auto"/>
        <w:rPr>
          <w:rFonts w:ascii="Times New Roman" w:hAnsi="Times New Roman"/>
        </w:rPr>
      </w:pPr>
      <w:r w:rsidRPr="004743D5">
        <w:rPr>
          <w:rStyle w:val="FootnoteReference"/>
          <w:rFonts w:ascii="Times New Roman" w:hAnsi="Times New Roman"/>
        </w:rPr>
        <w:footnoteRef/>
      </w:r>
      <w:r w:rsidRPr="004743D5">
        <w:rPr>
          <w:rFonts w:ascii="Times New Roman" w:hAnsi="Times New Roman"/>
        </w:rPr>
        <w:t xml:space="preserve"> </w:t>
      </w:r>
      <w:r>
        <w:rPr>
          <w:rFonts w:ascii="Times New Roman" w:hAnsi="Times New Roman"/>
          <w:lang w:val="en-US"/>
        </w:rPr>
        <w:t xml:space="preserve"> </w:t>
      </w:r>
      <w:r w:rsidRPr="004743D5">
        <w:rPr>
          <w:rFonts w:ascii="Times New Roman" w:hAnsi="Times New Roman"/>
        </w:rPr>
        <w:t xml:space="preserve">Regarding prescreened solicitations, Section 615(d) of the Fair Credit Reporting Act (FCRA) requires retention of some, but not identical, information required by the ECOA.  Among other things, the FCRA requires persons who use information in consumer reports to select consumers to receive certain offers of credit to maintain the criteria used to select the consumer, for three years from the date the credit offer is made.  The ECOA focuses on creditors, includes certain business applicants, and also addresses the solicitation including the text and any related complaints. </w:t>
      </w:r>
      <w:r>
        <w:rPr>
          <w:rFonts w:ascii="Times New Roman" w:hAnsi="Times New Roman"/>
          <w:lang w:val="en-US"/>
        </w:rPr>
        <w:t>T</w:t>
      </w:r>
      <w:proofErr w:type="spellStart"/>
      <w:r w:rsidRPr="004743D5">
        <w:rPr>
          <w:rFonts w:ascii="Times New Roman" w:hAnsi="Times New Roman"/>
        </w:rPr>
        <w:t>hese</w:t>
      </w:r>
      <w:proofErr w:type="spellEnd"/>
      <w:r w:rsidRPr="004743D5">
        <w:rPr>
          <w:rFonts w:ascii="Times New Roman" w:hAnsi="Times New Roman"/>
        </w:rPr>
        <w:t xml:space="preserve"> rules </w:t>
      </w:r>
      <w:r>
        <w:rPr>
          <w:rFonts w:ascii="Times New Roman" w:hAnsi="Times New Roman"/>
          <w:lang w:val="en-US"/>
        </w:rPr>
        <w:t xml:space="preserve">were promulgated </w:t>
      </w:r>
      <w:r w:rsidRPr="004743D5">
        <w:rPr>
          <w:rFonts w:ascii="Times New Roman" w:hAnsi="Times New Roman"/>
        </w:rPr>
        <w:t>to ensure that creditors would retain all necessary information for enforcement and avoidance of circumvention of the ECOA.</w:t>
      </w:r>
    </w:p>
  </w:footnote>
  <w:footnote w:id="6">
    <w:p w:rsidR="00DD2F61" w:rsidRPr="00C72182" w:rsidRDefault="00DD2F61" w:rsidP="00DD2F61">
      <w:pPr>
        <w:pStyle w:val="FootnoteText"/>
        <w:spacing w:after="0" w:line="240" w:lineRule="auto"/>
        <w:rPr>
          <w:rFonts w:ascii="Times New Roman" w:hAnsi="Times New Roman"/>
        </w:rPr>
      </w:pPr>
      <w:r w:rsidRPr="004743D5">
        <w:rPr>
          <w:rStyle w:val="FootnoteReference"/>
          <w:rFonts w:ascii="Times New Roman" w:hAnsi="Times New Roman"/>
        </w:rPr>
        <w:footnoteRef/>
      </w:r>
      <w:r w:rsidRPr="004743D5">
        <w:rPr>
          <w:rFonts w:ascii="Times New Roman" w:hAnsi="Times New Roman"/>
        </w:rPr>
        <w:t xml:space="preserve"> </w:t>
      </w:r>
      <w:r w:rsidRPr="00C72182">
        <w:rPr>
          <w:rFonts w:ascii="Times New Roman" w:hAnsi="Times New Roman"/>
        </w:rPr>
        <w:t>The disclosure may be provided orally or in writing.  Regulation B provides a model form to assist creditors in providing the written disclosure.</w:t>
      </w:r>
    </w:p>
  </w:footnote>
  <w:footnote w:id="7">
    <w:p w:rsidR="00DD2F61" w:rsidRPr="00B1135F" w:rsidRDefault="00DD2F61" w:rsidP="00DD2F61">
      <w:pPr>
        <w:pStyle w:val="FootnoteText"/>
        <w:spacing w:after="0" w:line="240" w:lineRule="auto"/>
        <w:rPr>
          <w:rFonts w:ascii="Times New Roman" w:hAnsi="Times New Roman"/>
        </w:rPr>
      </w:pPr>
      <w:r w:rsidRPr="00B1135F">
        <w:rPr>
          <w:rStyle w:val="FootnoteReference"/>
          <w:rFonts w:ascii="Times New Roman" w:hAnsi="Times New Roman"/>
        </w:rPr>
        <w:footnoteRef/>
      </w:r>
      <w:r w:rsidRPr="00B1135F">
        <w:rPr>
          <w:rFonts w:ascii="Times New Roman" w:hAnsi="Times New Roman"/>
        </w:rPr>
        <w:t xml:space="preserve">  For purposes of the current request for emergency review and approval, the CFPB has relied on the estimates previously developed by the Board, OCC, OTS, FDIC, NCUA, and FTC concerning the number of entities subject to </w:t>
      </w:r>
      <w:r>
        <w:rPr>
          <w:rFonts w:ascii="Times New Roman" w:hAnsi="Times New Roman"/>
        </w:rPr>
        <w:t>Regulation B</w:t>
      </w:r>
      <w:r w:rsidRPr="00B1135F">
        <w:rPr>
          <w:rFonts w:ascii="Times New Roman" w:hAnsi="Times New Roman"/>
        </w:rPr>
        <w:t xml:space="preserve"> and the hours of paperwork burden under the statute</w:t>
      </w:r>
      <w:r w:rsidR="00EF719C">
        <w:rPr>
          <w:rFonts w:ascii="Times New Roman" w:hAnsi="Times New Roman"/>
          <w:lang w:val="en-US"/>
        </w:rPr>
        <w:t xml:space="preserve"> </w:t>
      </w:r>
      <w:r w:rsidR="00074AA7">
        <w:rPr>
          <w:rFonts w:ascii="Times New Roman" w:hAnsi="Times New Roman"/>
        </w:rPr>
        <w:t>(</w:t>
      </w:r>
      <w:r w:rsidR="00074AA7">
        <w:rPr>
          <w:rFonts w:ascii="Times New Roman" w:hAnsi="Times New Roman"/>
          <w:lang w:val="en-US"/>
        </w:rPr>
        <w:t>f</w:t>
      </w:r>
      <w:r w:rsidRPr="00B1135F">
        <w:rPr>
          <w:rFonts w:ascii="Times New Roman" w:hAnsi="Times New Roman"/>
        </w:rPr>
        <w:t xml:space="preserve">or a detailed breakdown of the burden estimates of the prudential regulators and the FTC, please reference the other agencies’ supporting statements for </w:t>
      </w:r>
      <w:r>
        <w:rPr>
          <w:rFonts w:ascii="Times New Roman" w:hAnsi="Times New Roman"/>
        </w:rPr>
        <w:t>Regulation B</w:t>
      </w:r>
      <w:r w:rsidRPr="00B1135F">
        <w:rPr>
          <w:rFonts w:ascii="Times New Roman" w:hAnsi="Times New Roman"/>
        </w:rPr>
        <w:t xml:space="preserve"> which can be found at www.reginfo.gov).  CFPB’s enforcement authority is not necessarily limited to the entities covered by these agencies’ estimates.</w:t>
      </w:r>
      <w:r w:rsidR="00EF719C">
        <w:rPr>
          <w:rFonts w:ascii="Times New Roman" w:hAnsi="Times New Roman"/>
          <w:lang w:val="en-US"/>
        </w:rPr>
        <w:t xml:space="preserve"> </w:t>
      </w:r>
      <w:r w:rsidRPr="00B1135F">
        <w:rPr>
          <w:rFonts w:ascii="Times New Roman" w:hAnsi="Times New Roman"/>
        </w:rPr>
        <w:t xml:space="preserve"> In some instances, information regarding actual burden hours or dollar costs, or breakdowns of these hours or costs was not available from the other agencies.  In these cases, CFPB has estimated the relevant figures based on data provided by the OCC and in some cases by the Board.  The CFPB will conduct a more detailed review of burden allocations and provide more detailed estimates in its follow-up application to OMB for a standard approval of this information collection.</w:t>
      </w:r>
    </w:p>
  </w:footnote>
  <w:footnote w:id="8">
    <w:p w:rsidR="00DD2F61" w:rsidRPr="00B1135F" w:rsidRDefault="00DD2F61" w:rsidP="00DD2F61">
      <w:pPr>
        <w:pStyle w:val="FootnoteText"/>
        <w:spacing w:after="0" w:line="240" w:lineRule="auto"/>
        <w:rPr>
          <w:rFonts w:ascii="Times New Roman" w:hAnsi="Times New Roman"/>
        </w:rPr>
      </w:pPr>
      <w:r w:rsidRPr="00B1135F">
        <w:rPr>
          <w:rStyle w:val="FootnoteReference"/>
          <w:rFonts w:ascii="Times New Roman" w:hAnsi="Times New Roman"/>
        </w:rPr>
        <w:footnoteRef/>
      </w:r>
      <w:r w:rsidRPr="00B1135F">
        <w:rPr>
          <w:rFonts w:ascii="Times New Roman" w:hAnsi="Times New Roman"/>
        </w:rPr>
        <w:t xml:space="preserve">  These include 27 from the Board, 70 from the OCC, 24 from the OTS, 3 from the NCUA, and 56 from the FDIC.</w:t>
      </w:r>
    </w:p>
  </w:footnote>
  <w:footnote w:id="9">
    <w:p w:rsidR="00DD2F61" w:rsidRPr="00B1135F" w:rsidRDefault="00DD2F61" w:rsidP="00DD2F61">
      <w:pPr>
        <w:pStyle w:val="FootnoteText"/>
        <w:spacing w:after="0" w:line="240" w:lineRule="auto"/>
        <w:rPr>
          <w:rFonts w:ascii="Times New Roman" w:hAnsi="Times New Roman"/>
        </w:rPr>
      </w:pPr>
      <w:r w:rsidRPr="00B1135F">
        <w:rPr>
          <w:rStyle w:val="FootnoteReference"/>
          <w:rFonts w:ascii="Times New Roman" w:hAnsi="Times New Roman"/>
        </w:rPr>
        <w:footnoteRef/>
      </w:r>
      <w:r w:rsidRPr="00B1135F">
        <w:rPr>
          <w:rFonts w:ascii="Times New Roman" w:hAnsi="Times New Roman"/>
        </w:rPr>
        <w:t xml:space="preserve">  The Dodd-Frank Act exempts certain motor vehicle dealers from CFPB’s enforcement authority.  However, due to the difficulty of making a reliable estimate of those dealers, the FTC has attributed to itself the PRA burden for all motor vehicle dealers.  This attribution does not change actual enforcement authority.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9FB7E8"/>
    <w:multiLevelType w:val="hybridMultilevel"/>
    <w:tmpl w:val="7F165BC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189C843"/>
    <w:multiLevelType w:val="hybridMultilevel"/>
    <w:tmpl w:val="32902A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60681B"/>
    <w:multiLevelType w:val="hybridMultilevel"/>
    <w:tmpl w:val="B192CCAE"/>
    <w:lvl w:ilvl="0" w:tplc="2FE0EE5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4142B"/>
    <w:multiLevelType w:val="hybridMultilevel"/>
    <w:tmpl w:val="FDC4F448"/>
    <w:lvl w:ilvl="0" w:tplc="E0ACD092">
      <w:start w:val="9"/>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297E5D"/>
    <w:multiLevelType w:val="hybridMultilevel"/>
    <w:tmpl w:val="61126710"/>
    <w:lvl w:ilvl="0" w:tplc="0C1AB2A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EB0FE6"/>
    <w:multiLevelType w:val="hybridMultilevel"/>
    <w:tmpl w:val="9952599E"/>
    <w:lvl w:ilvl="0" w:tplc="F5B01936">
      <w:start w:val="17"/>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985ABD"/>
    <w:multiLevelType w:val="hybridMultilevel"/>
    <w:tmpl w:val="60FACDA0"/>
    <w:lvl w:ilvl="0" w:tplc="370632A6">
      <w:start w:val="9"/>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4A8C"/>
    <w:rsid w:val="00023485"/>
    <w:rsid w:val="00044198"/>
    <w:rsid w:val="000467EC"/>
    <w:rsid w:val="00060384"/>
    <w:rsid w:val="00073902"/>
    <w:rsid w:val="00074AA7"/>
    <w:rsid w:val="00087F93"/>
    <w:rsid w:val="000A045F"/>
    <w:rsid w:val="000B4357"/>
    <w:rsid w:val="000C08CE"/>
    <w:rsid w:val="000C23E7"/>
    <w:rsid w:val="00107426"/>
    <w:rsid w:val="001235F0"/>
    <w:rsid w:val="00127188"/>
    <w:rsid w:val="001320B6"/>
    <w:rsid w:val="001327D9"/>
    <w:rsid w:val="00166194"/>
    <w:rsid w:val="00187EC5"/>
    <w:rsid w:val="00191C45"/>
    <w:rsid w:val="001B382C"/>
    <w:rsid w:val="001D0695"/>
    <w:rsid w:val="001F22A1"/>
    <w:rsid w:val="00202188"/>
    <w:rsid w:val="00205BE9"/>
    <w:rsid w:val="00210607"/>
    <w:rsid w:val="00216B7F"/>
    <w:rsid w:val="00224987"/>
    <w:rsid w:val="00266FB4"/>
    <w:rsid w:val="00294791"/>
    <w:rsid w:val="002D541C"/>
    <w:rsid w:val="002F08F0"/>
    <w:rsid w:val="00310814"/>
    <w:rsid w:val="00352C61"/>
    <w:rsid w:val="0036718D"/>
    <w:rsid w:val="003718DE"/>
    <w:rsid w:val="003721DB"/>
    <w:rsid w:val="00384C7C"/>
    <w:rsid w:val="003B076B"/>
    <w:rsid w:val="003B44C1"/>
    <w:rsid w:val="003C5763"/>
    <w:rsid w:val="003D5836"/>
    <w:rsid w:val="003E0063"/>
    <w:rsid w:val="00405F54"/>
    <w:rsid w:val="0040688A"/>
    <w:rsid w:val="00416406"/>
    <w:rsid w:val="0044061E"/>
    <w:rsid w:val="00452363"/>
    <w:rsid w:val="00462719"/>
    <w:rsid w:val="0046552A"/>
    <w:rsid w:val="004743D5"/>
    <w:rsid w:val="004B110D"/>
    <w:rsid w:val="004B55F2"/>
    <w:rsid w:val="004C37AA"/>
    <w:rsid w:val="004C4657"/>
    <w:rsid w:val="004D7260"/>
    <w:rsid w:val="004E3E5D"/>
    <w:rsid w:val="00525B9C"/>
    <w:rsid w:val="00531F5F"/>
    <w:rsid w:val="00533956"/>
    <w:rsid w:val="00541240"/>
    <w:rsid w:val="00541ABC"/>
    <w:rsid w:val="005424F0"/>
    <w:rsid w:val="005444A8"/>
    <w:rsid w:val="0055555A"/>
    <w:rsid w:val="00573046"/>
    <w:rsid w:val="00585DEF"/>
    <w:rsid w:val="005A13CE"/>
    <w:rsid w:val="005A1EEF"/>
    <w:rsid w:val="005B7B5F"/>
    <w:rsid w:val="005E51FE"/>
    <w:rsid w:val="005E6269"/>
    <w:rsid w:val="005E7E5D"/>
    <w:rsid w:val="005F49DC"/>
    <w:rsid w:val="005F62FF"/>
    <w:rsid w:val="005F6D47"/>
    <w:rsid w:val="0062284F"/>
    <w:rsid w:val="00645C31"/>
    <w:rsid w:val="0066130E"/>
    <w:rsid w:val="00664EDA"/>
    <w:rsid w:val="00672586"/>
    <w:rsid w:val="00683312"/>
    <w:rsid w:val="006865B8"/>
    <w:rsid w:val="00691D84"/>
    <w:rsid w:val="006942FA"/>
    <w:rsid w:val="006A0030"/>
    <w:rsid w:val="006A46AC"/>
    <w:rsid w:val="006A7905"/>
    <w:rsid w:val="006D6900"/>
    <w:rsid w:val="006D69CF"/>
    <w:rsid w:val="007229DF"/>
    <w:rsid w:val="00725A21"/>
    <w:rsid w:val="00740DB5"/>
    <w:rsid w:val="00743F29"/>
    <w:rsid w:val="007542DE"/>
    <w:rsid w:val="007546BA"/>
    <w:rsid w:val="00764D28"/>
    <w:rsid w:val="00765E84"/>
    <w:rsid w:val="00770747"/>
    <w:rsid w:val="00772CCF"/>
    <w:rsid w:val="00772DBB"/>
    <w:rsid w:val="007872AF"/>
    <w:rsid w:val="0079277B"/>
    <w:rsid w:val="007B5636"/>
    <w:rsid w:val="007C0DC1"/>
    <w:rsid w:val="007D5070"/>
    <w:rsid w:val="007D750E"/>
    <w:rsid w:val="007E2833"/>
    <w:rsid w:val="007E2E91"/>
    <w:rsid w:val="007E5412"/>
    <w:rsid w:val="007E600E"/>
    <w:rsid w:val="007E7FCA"/>
    <w:rsid w:val="00810A9E"/>
    <w:rsid w:val="0083204F"/>
    <w:rsid w:val="008658C0"/>
    <w:rsid w:val="00875D0C"/>
    <w:rsid w:val="008A05D0"/>
    <w:rsid w:val="008A0F35"/>
    <w:rsid w:val="008A2D2B"/>
    <w:rsid w:val="008A5C34"/>
    <w:rsid w:val="008B6D5B"/>
    <w:rsid w:val="008D1D04"/>
    <w:rsid w:val="008E1B13"/>
    <w:rsid w:val="008F7669"/>
    <w:rsid w:val="009158C5"/>
    <w:rsid w:val="009348E2"/>
    <w:rsid w:val="00952F12"/>
    <w:rsid w:val="009648CD"/>
    <w:rsid w:val="009743B0"/>
    <w:rsid w:val="009778D5"/>
    <w:rsid w:val="009860FA"/>
    <w:rsid w:val="00997EEB"/>
    <w:rsid w:val="009A306B"/>
    <w:rsid w:val="009A4E6E"/>
    <w:rsid w:val="009C5FB9"/>
    <w:rsid w:val="009D1070"/>
    <w:rsid w:val="009D1EB5"/>
    <w:rsid w:val="009D4FDC"/>
    <w:rsid w:val="009D559D"/>
    <w:rsid w:val="009E0227"/>
    <w:rsid w:val="009E1960"/>
    <w:rsid w:val="009E1B10"/>
    <w:rsid w:val="009F3863"/>
    <w:rsid w:val="00A03E5D"/>
    <w:rsid w:val="00A12ACA"/>
    <w:rsid w:val="00A14A8C"/>
    <w:rsid w:val="00A16813"/>
    <w:rsid w:val="00A468DA"/>
    <w:rsid w:val="00A70BE7"/>
    <w:rsid w:val="00A85B55"/>
    <w:rsid w:val="00A919ED"/>
    <w:rsid w:val="00A91EF1"/>
    <w:rsid w:val="00AB49DA"/>
    <w:rsid w:val="00AE1616"/>
    <w:rsid w:val="00B1135F"/>
    <w:rsid w:val="00B16A9B"/>
    <w:rsid w:val="00B25A17"/>
    <w:rsid w:val="00B36637"/>
    <w:rsid w:val="00B3681D"/>
    <w:rsid w:val="00B43AF1"/>
    <w:rsid w:val="00B46E73"/>
    <w:rsid w:val="00B81317"/>
    <w:rsid w:val="00BB5614"/>
    <w:rsid w:val="00BC4BA3"/>
    <w:rsid w:val="00BC6DB3"/>
    <w:rsid w:val="00BD5B29"/>
    <w:rsid w:val="00BE5B6E"/>
    <w:rsid w:val="00BE77B9"/>
    <w:rsid w:val="00BF30E5"/>
    <w:rsid w:val="00C0240F"/>
    <w:rsid w:val="00C11C45"/>
    <w:rsid w:val="00C20CF3"/>
    <w:rsid w:val="00C211FD"/>
    <w:rsid w:val="00C52509"/>
    <w:rsid w:val="00C63884"/>
    <w:rsid w:val="00C737D3"/>
    <w:rsid w:val="00C83CC2"/>
    <w:rsid w:val="00CC2C62"/>
    <w:rsid w:val="00CD2CB3"/>
    <w:rsid w:val="00CF49E9"/>
    <w:rsid w:val="00D04E10"/>
    <w:rsid w:val="00D21D31"/>
    <w:rsid w:val="00D32A9E"/>
    <w:rsid w:val="00D47B8B"/>
    <w:rsid w:val="00D6107A"/>
    <w:rsid w:val="00D71BE8"/>
    <w:rsid w:val="00D870F1"/>
    <w:rsid w:val="00D90B7F"/>
    <w:rsid w:val="00DD2F61"/>
    <w:rsid w:val="00E01FE6"/>
    <w:rsid w:val="00E30434"/>
    <w:rsid w:val="00E40FFD"/>
    <w:rsid w:val="00E43040"/>
    <w:rsid w:val="00E51E75"/>
    <w:rsid w:val="00EC2DA8"/>
    <w:rsid w:val="00EF2E7F"/>
    <w:rsid w:val="00EF719C"/>
    <w:rsid w:val="00F07E53"/>
    <w:rsid w:val="00F21064"/>
    <w:rsid w:val="00F2643B"/>
    <w:rsid w:val="00F41D36"/>
    <w:rsid w:val="00F4204F"/>
    <w:rsid w:val="00F5548D"/>
    <w:rsid w:val="00F55E42"/>
    <w:rsid w:val="00F575FB"/>
    <w:rsid w:val="00F57CA7"/>
    <w:rsid w:val="00F66799"/>
    <w:rsid w:val="00F72EA3"/>
    <w:rsid w:val="00F84D37"/>
    <w:rsid w:val="00F85C22"/>
    <w:rsid w:val="00F9098F"/>
    <w:rsid w:val="00F93C1F"/>
    <w:rsid w:val="00FB7D94"/>
    <w:rsid w:val="00FD07F5"/>
    <w:rsid w:val="00FF3ED4"/>
    <w:rsid w:val="00FF60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8C"/>
    <w:pPr>
      <w:spacing w:after="200" w:line="276" w:lineRule="auto"/>
    </w:pPr>
    <w:rPr>
      <w:rFonts w:ascii="Calibri" w:eastAsia="Times New Roman" w:hAnsi="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4A8C"/>
    <w:pPr>
      <w:widowControl w:val="0"/>
      <w:autoSpaceDE w:val="0"/>
      <w:autoSpaceDN w:val="0"/>
      <w:adjustRightInd w:val="0"/>
    </w:pPr>
    <w:rPr>
      <w:rFonts w:eastAsia="Times New Roman"/>
      <w:color w:val="000000"/>
      <w:sz w:val="24"/>
      <w:szCs w:val="24"/>
    </w:rPr>
  </w:style>
  <w:style w:type="paragraph" w:customStyle="1" w:styleId="CM12">
    <w:name w:val="CM12"/>
    <w:basedOn w:val="Default"/>
    <w:next w:val="Default"/>
    <w:uiPriority w:val="99"/>
    <w:rsid w:val="00A14A8C"/>
    <w:rPr>
      <w:color w:val="auto"/>
    </w:rPr>
  </w:style>
  <w:style w:type="paragraph" w:customStyle="1" w:styleId="CM1">
    <w:name w:val="CM1"/>
    <w:basedOn w:val="Default"/>
    <w:next w:val="Default"/>
    <w:uiPriority w:val="99"/>
    <w:rsid w:val="00A14A8C"/>
    <w:rPr>
      <w:color w:val="auto"/>
    </w:rPr>
  </w:style>
  <w:style w:type="paragraph" w:customStyle="1" w:styleId="CM3">
    <w:name w:val="CM3"/>
    <w:basedOn w:val="Default"/>
    <w:next w:val="Default"/>
    <w:uiPriority w:val="99"/>
    <w:rsid w:val="00A14A8C"/>
    <w:pPr>
      <w:spacing w:line="276" w:lineRule="atLeast"/>
    </w:pPr>
    <w:rPr>
      <w:color w:val="auto"/>
    </w:rPr>
  </w:style>
  <w:style w:type="paragraph" w:customStyle="1" w:styleId="CM4">
    <w:name w:val="CM4"/>
    <w:basedOn w:val="Default"/>
    <w:next w:val="Default"/>
    <w:uiPriority w:val="99"/>
    <w:rsid w:val="00A14A8C"/>
    <w:pPr>
      <w:spacing w:line="276" w:lineRule="atLeast"/>
    </w:pPr>
    <w:rPr>
      <w:color w:val="auto"/>
    </w:rPr>
  </w:style>
  <w:style w:type="paragraph" w:customStyle="1" w:styleId="CM5">
    <w:name w:val="CM5"/>
    <w:basedOn w:val="Default"/>
    <w:next w:val="Default"/>
    <w:uiPriority w:val="99"/>
    <w:rsid w:val="00A14A8C"/>
    <w:pPr>
      <w:spacing w:line="243" w:lineRule="atLeast"/>
    </w:pPr>
    <w:rPr>
      <w:color w:val="auto"/>
    </w:rPr>
  </w:style>
  <w:style w:type="paragraph" w:customStyle="1" w:styleId="CM13">
    <w:name w:val="CM13"/>
    <w:basedOn w:val="Default"/>
    <w:next w:val="Default"/>
    <w:uiPriority w:val="99"/>
    <w:rsid w:val="00A14A8C"/>
    <w:rPr>
      <w:color w:val="auto"/>
    </w:rPr>
  </w:style>
  <w:style w:type="paragraph" w:customStyle="1" w:styleId="CM10">
    <w:name w:val="CM10"/>
    <w:basedOn w:val="Default"/>
    <w:next w:val="Default"/>
    <w:uiPriority w:val="99"/>
    <w:rsid w:val="00A14A8C"/>
    <w:pPr>
      <w:spacing w:line="276" w:lineRule="atLeast"/>
    </w:pPr>
    <w:rPr>
      <w:color w:val="auto"/>
    </w:rPr>
  </w:style>
  <w:style w:type="paragraph" w:styleId="EndnoteText">
    <w:name w:val="endnote text"/>
    <w:basedOn w:val="Normal"/>
    <w:link w:val="EndnoteTextChar"/>
    <w:uiPriority w:val="99"/>
    <w:semiHidden/>
    <w:unhideWhenUsed/>
    <w:rsid w:val="00A14A8C"/>
    <w:rPr>
      <w:sz w:val="20"/>
      <w:szCs w:val="20"/>
      <w:lang/>
    </w:rPr>
  </w:style>
  <w:style w:type="character" w:customStyle="1" w:styleId="EndnoteTextChar">
    <w:name w:val="Endnote Text Char"/>
    <w:link w:val="EndnoteText"/>
    <w:uiPriority w:val="99"/>
    <w:semiHidden/>
    <w:rsid w:val="00A14A8C"/>
    <w:rPr>
      <w:rFonts w:ascii="Calibri" w:eastAsia="Times New Roman" w:hAnsi="Calibri"/>
      <w:sz w:val="20"/>
      <w:szCs w:val="20"/>
    </w:rPr>
  </w:style>
  <w:style w:type="character" w:styleId="EndnoteReference">
    <w:name w:val="endnote reference"/>
    <w:uiPriority w:val="99"/>
    <w:semiHidden/>
    <w:unhideWhenUsed/>
    <w:rsid w:val="00A14A8C"/>
    <w:rPr>
      <w:vertAlign w:val="superscript"/>
    </w:rPr>
  </w:style>
  <w:style w:type="paragraph" w:styleId="FootnoteText">
    <w:name w:val="footnote text"/>
    <w:aliases w:val="Footnote Text Char1,Footnote Text Char Char"/>
    <w:basedOn w:val="Normal"/>
    <w:link w:val="FootnoteTextChar"/>
    <w:unhideWhenUsed/>
    <w:rsid w:val="00A14A8C"/>
    <w:rPr>
      <w:sz w:val="20"/>
      <w:szCs w:val="20"/>
      <w:lang/>
    </w:rPr>
  </w:style>
  <w:style w:type="character" w:customStyle="1" w:styleId="FootnoteTextChar">
    <w:name w:val="Footnote Text Char"/>
    <w:link w:val="FootnoteText"/>
    <w:rsid w:val="00A14A8C"/>
    <w:rPr>
      <w:rFonts w:ascii="Calibri" w:eastAsia="Times New Roman" w:hAnsi="Calibri"/>
      <w:sz w:val="20"/>
      <w:szCs w:val="20"/>
    </w:rPr>
  </w:style>
  <w:style w:type="character" w:styleId="FootnoteReference">
    <w:name w:val="footnote reference"/>
    <w:uiPriority w:val="99"/>
    <w:unhideWhenUsed/>
    <w:rsid w:val="00A14A8C"/>
    <w:rPr>
      <w:vertAlign w:val="superscript"/>
    </w:rPr>
  </w:style>
  <w:style w:type="character" w:styleId="CommentReference">
    <w:name w:val="annotation reference"/>
    <w:uiPriority w:val="99"/>
    <w:semiHidden/>
    <w:unhideWhenUsed/>
    <w:rsid w:val="00875D0C"/>
    <w:rPr>
      <w:sz w:val="16"/>
      <w:szCs w:val="16"/>
    </w:rPr>
  </w:style>
  <w:style w:type="paragraph" w:styleId="CommentText">
    <w:name w:val="annotation text"/>
    <w:basedOn w:val="Normal"/>
    <w:link w:val="CommentTextChar"/>
    <w:uiPriority w:val="99"/>
    <w:semiHidden/>
    <w:unhideWhenUsed/>
    <w:rsid w:val="00875D0C"/>
    <w:rPr>
      <w:sz w:val="20"/>
      <w:szCs w:val="20"/>
      <w:lang/>
    </w:rPr>
  </w:style>
  <w:style w:type="character" w:customStyle="1" w:styleId="CommentTextChar">
    <w:name w:val="Comment Text Char"/>
    <w:link w:val="CommentText"/>
    <w:uiPriority w:val="99"/>
    <w:semiHidden/>
    <w:rsid w:val="00875D0C"/>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875D0C"/>
    <w:rPr>
      <w:b/>
      <w:bCs/>
    </w:rPr>
  </w:style>
  <w:style w:type="character" w:customStyle="1" w:styleId="CommentSubjectChar">
    <w:name w:val="Comment Subject Char"/>
    <w:link w:val="CommentSubject"/>
    <w:uiPriority w:val="99"/>
    <w:semiHidden/>
    <w:rsid w:val="00875D0C"/>
    <w:rPr>
      <w:rFonts w:ascii="Calibri" w:eastAsia="Times New Roman" w:hAnsi="Calibri"/>
      <w:b/>
      <w:bCs/>
    </w:rPr>
  </w:style>
  <w:style w:type="paragraph" w:styleId="BalloonText">
    <w:name w:val="Balloon Text"/>
    <w:basedOn w:val="Normal"/>
    <w:link w:val="BalloonTextChar"/>
    <w:uiPriority w:val="99"/>
    <w:semiHidden/>
    <w:unhideWhenUsed/>
    <w:rsid w:val="00875D0C"/>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875D0C"/>
    <w:rPr>
      <w:rFonts w:ascii="Tahoma" w:eastAsia="Times New Roman" w:hAnsi="Tahoma" w:cs="Tahoma"/>
      <w:sz w:val="16"/>
      <w:szCs w:val="16"/>
    </w:rPr>
  </w:style>
  <w:style w:type="table" w:styleId="TableGrid">
    <w:name w:val="Table Grid"/>
    <w:basedOn w:val="TableNormal"/>
    <w:rsid w:val="006D6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2">
    <w:name w:val="Footnote Text Char2"/>
    <w:aliases w:val="Footnote Text Char1 Char,Footnote Text Char Char Char,Footnote Text Char Char1"/>
    <w:semiHidden/>
    <w:locked/>
    <w:rsid w:val="009E022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19723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273DD-0060-45E0-B906-58F316ED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3494</Words>
  <Characters>19918</Characters>
  <Application>Microsoft Office Word</Application>
  <DocSecurity>0</DocSecurity>
  <Lines>165</Lines>
  <Paragraphs>46</Paragraphs>
  <ScaleCrop>false</ScaleCrop>
  <LinksUpToDate>false</LinksUpToDate>
  <CharactersWithSpaces>23366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2011-10-21T20:09:00Z</dcterms:created>
  <dcterms:modified xsi:type="dcterms:W3CDTF">2011-10-21T20:09:00Z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oFAAXzy6TWd89phKjH7v+0pqIyO3odeAxXSLY2So+d4mKpKXqLyIxqr2mw9z41kw4//uDH2wVDSxFhAc_x000d_
D7mNfOyLmI29XTPy6vG8iwbf1ws5Yxd2iALJLEK/UWWohgPqL4QvPaTBmdH0y+gazH0Nce1VFNHL_x000d_
6YsaAgBNd6E8t9DObMuiT3upc4RE2wpg25s9S4ROriClAHcHko9UUljKyOg0Y3e5C069k3jaQzs+_x000d_
wMqQ8Jz6qtiYJoMCc</vt:lpwstr>
  </property>
  <property fmtid="{D5CDD505-2E9C-101B-9397-08002B2CF9AE}" pid="3" name="MAIL_MSG_ID2">
    <vt:lpwstr>OKQRJiqbJhkbbK5QNS2wyIkWTnfbevTrqkJNyTaUFOLWIt9q53izzqFFCV1_x000d_
8y74v7LPZvPjdzPy6LuRDuuZbjptHrAaNnd7JEZ9AhwMpSkW</vt:lpwstr>
  </property>
  <property fmtid="{D5CDD505-2E9C-101B-9397-08002B2CF9AE}" pid="4" name="RESPONSE_SENDER_NAME">
    <vt:lpwstr>4AAA4Lxe55UJ0C/J9Ow+0+5+uBQdmjN0XWQmpGhaSPW1JmAqBKv4bj/ANA==</vt:lpwstr>
  </property>
  <property fmtid="{D5CDD505-2E9C-101B-9397-08002B2CF9AE}" pid="5" name="EMAIL_OWNER_ADDRESS">
    <vt:lpwstr>4AAA4Lxe55UJ0C+qv/A3Qyj8uOyGUEhQDQ45i+OjI1ZefESoRfRLZbrXxQ==</vt:lpwstr>
  </property>
  <property fmtid="{D5CDD505-2E9C-101B-9397-08002B2CF9AE}" pid="6" name="WS_TRACKING_ID">
    <vt:lpwstr>83f8bb3f-3eaf-4e29-baca-fef2f0f0c127</vt:lpwstr>
  </property>
</Properties>
</file>