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4E6" w:rsidRDefault="000704E6" w:rsidP="000704E6">
      <w:pPr>
        <w:tabs>
          <w:tab w:val="center" w:pos="4680"/>
        </w:tabs>
        <w:jc w:val="center"/>
        <w:rPr>
          <w:rFonts w:ascii="Times" w:hAnsi="Times" w:cs="Times"/>
          <w:b/>
          <w:bCs/>
        </w:rPr>
      </w:pPr>
      <w:r>
        <w:rPr>
          <w:rFonts w:ascii="Times" w:hAnsi="Times" w:cs="Times"/>
          <w:b/>
          <w:bCs/>
        </w:rPr>
        <w:t xml:space="preserve">Supporting Statement for the </w:t>
      </w:r>
    </w:p>
    <w:p w:rsidR="000704E6" w:rsidRDefault="000704E6" w:rsidP="000704E6">
      <w:pPr>
        <w:tabs>
          <w:tab w:val="center" w:pos="4680"/>
        </w:tabs>
        <w:jc w:val="center"/>
        <w:rPr>
          <w:rFonts w:ascii="Times" w:hAnsi="Times" w:cs="Times"/>
          <w:b/>
          <w:bCs/>
        </w:rPr>
      </w:pPr>
      <w:r>
        <w:rPr>
          <w:rFonts w:ascii="Times" w:hAnsi="Times" w:cs="Times"/>
          <w:b/>
          <w:bCs/>
        </w:rPr>
        <w:t>Report of Terms of Credit Card Plans</w:t>
      </w:r>
    </w:p>
    <w:p w:rsidR="000704E6" w:rsidRDefault="000704E6" w:rsidP="000704E6">
      <w:pPr>
        <w:tabs>
          <w:tab w:val="center" w:pos="4680"/>
        </w:tabs>
        <w:jc w:val="center"/>
        <w:rPr>
          <w:rFonts w:ascii="Times" w:hAnsi="Times" w:cs="Times"/>
        </w:rPr>
      </w:pPr>
      <w:r>
        <w:rPr>
          <w:rFonts w:ascii="Times" w:hAnsi="Times" w:cs="Times"/>
          <w:b/>
          <w:bCs/>
        </w:rPr>
        <w:t>(FR 2572; OMB No. 7100-0239)</w:t>
      </w:r>
    </w:p>
    <w:p w:rsidR="000704E6" w:rsidRDefault="000704E6" w:rsidP="000704E6">
      <w:pPr>
        <w:jc w:val="both"/>
        <w:rPr>
          <w:b/>
          <w:bCs/>
          <w:color w:val="000000"/>
          <w:szCs w:val="24"/>
        </w:rPr>
      </w:pPr>
    </w:p>
    <w:p w:rsidR="000704E6" w:rsidRPr="009B1FAF" w:rsidRDefault="000704E6" w:rsidP="000704E6">
      <w:pPr>
        <w:jc w:val="both"/>
        <w:rPr>
          <w:color w:val="000000"/>
          <w:szCs w:val="24"/>
        </w:rPr>
      </w:pPr>
      <w:r w:rsidRPr="009B1FAF">
        <w:rPr>
          <w:b/>
          <w:bCs/>
          <w:color w:val="000000"/>
          <w:szCs w:val="24"/>
        </w:rPr>
        <w:t>Summary</w:t>
      </w:r>
    </w:p>
    <w:p w:rsidR="000704E6" w:rsidRPr="009B1FAF" w:rsidRDefault="000704E6" w:rsidP="000704E6">
      <w:pPr>
        <w:jc w:val="both"/>
        <w:rPr>
          <w:color w:val="000000"/>
          <w:szCs w:val="24"/>
        </w:rPr>
      </w:pPr>
    </w:p>
    <w:p w:rsidR="00B433F8" w:rsidRPr="00621ACC" w:rsidRDefault="000704E6" w:rsidP="000704E6">
      <w:pPr>
        <w:pStyle w:val="BodyText"/>
        <w:ind w:firstLine="720"/>
        <w:jc w:val="left"/>
      </w:pPr>
      <w:r>
        <w:rPr>
          <w:rFonts w:ascii="Times" w:hAnsi="Times" w:cs="Times"/>
        </w:rPr>
        <w:t xml:space="preserve">The Board of Governors of the Federal Reserve System, under delegated authority from the Office of Management and Budget (OMB), </w:t>
      </w:r>
      <w:r>
        <w:t xml:space="preserve">proposes to extend for three years, </w:t>
      </w:r>
      <w:r>
        <w:rPr>
          <w:color w:val="auto"/>
        </w:rPr>
        <w:t xml:space="preserve">with </w:t>
      </w:r>
      <w:r w:rsidR="00C70194" w:rsidRPr="00621ACC">
        <w:rPr>
          <w:color w:val="auto"/>
        </w:rPr>
        <w:t>revision</w:t>
      </w:r>
      <w:r w:rsidR="00C70194" w:rsidRPr="00621ACC">
        <w:t>, the semiannual Report of Terms of Credit Card Plans (FR 2572</w:t>
      </w:r>
      <w:r w:rsidR="00645E4D" w:rsidRPr="00621ACC">
        <w:t xml:space="preserve">) and the </w:t>
      </w:r>
      <w:r w:rsidR="00CC2D18" w:rsidRPr="00621ACC">
        <w:rPr>
          <w:bCs/>
        </w:rPr>
        <w:t>Report of Terms of Credit Card Plans Supplemental Survey</w:t>
      </w:r>
      <w:r w:rsidR="00645E4D" w:rsidRPr="00621ACC">
        <w:t xml:space="preserve"> (FR 2572S) (</w:t>
      </w:r>
      <w:r w:rsidR="00C70194" w:rsidRPr="00621ACC">
        <w:t xml:space="preserve">OMB No. 7100-0239).   </w:t>
      </w:r>
      <w:r w:rsidR="008077D9" w:rsidRPr="00621ACC">
        <w:t xml:space="preserve">The FR 2572 </w:t>
      </w:r>
      <w:r w:rsidR="000D049A" w:rsidRPr="00621ACC">
        <w:t>collects data on credit card pricing and availability from a sample of at least 150 financial institutions that offer credit cards.  The information is reported to the Congress and made available to the public in order to promote competition within the industry</w:t>
      </w:r>
      <w:r w:rsidR="00BE02FF" w:rsidRPr="00621ACC">
        <w:t xml:space="preserve"> and to help consumers shop for a credit card</w:t>
      </w:r>
      <w:r w:rsidR="000D049A" w:rsidRPr="00621ACC">
        <w:t xml:space="preserve">.  </w:t>
      </w:r>
      <w:r w:rsidR="004F6B07" w:rsidRPr="00621ACC">
        <w:t>The FR 2572S is a one-time survey</w:t>
      </w:r>
      <w:r w:rsidR="00551ADB">
        <w:rPr>
          <w:rStyle w:val="FootnoteReference"/>
        </w:rPr>
        <w:footnoteReference w:id="1"/>
      </w:r>
      <w:r w:rsidR="004F6B07" w:rsidRPr="00621ACC">
        <w:t xml:space="preserve"> that was implemented in December 2009</w:t>
      </w:r>
      <w:r w:rsidR="00551ADB">
        <w:t>, under emergency clearance</w:t>
      </w:r>
      <w:r w:rsidR="00551ADB">
        <w:rPr>
          <w:rStyle w:val="FootnoteReference"/>
        </w:rPr>
        <w:footnoteReference w:id="2"/>
      </w:r>
      <w:r w:rsidR="00551ADB">
        <w:t>,</w:t>
      </w:r>
      <w:r w:rsidR="004F6B07" w:rsidRPr="00621ACC">
        <w:t xml:space="preserve"> and is scheduled to be completed by May 2010</w:t>
      </w:r>
      <w:r w:rsidR="00551ADB">
        <w:t xml:space="preserve">. </w:t>
      </w:r>
      <w:r w:rsidR="00DC2375">
        <w:t xml:space="preserve"> </w:t>
      </w:r>
      <w:r w:rsidR="00330C23">
        <w:t xml:space="preserve">The FR 2572 is collected by </w:t>
      </w:r>
      <w:r w:rsidR="00892B0A">
        <w:t xml:space="preserve">Federal </w:t>
      </w:r>
      <w:r w:rsidR="00330C23">
        <w:t xml:space="preserve">Reserve Bank staff and the FR 2572S is collected by </w:t>
      </w:r>
      <w:r w:rsidR="00892B0A">
        <w:t xml:space="preserve">Federal Reserve </w:t>
      </w:r>
      <w:r w:rsidR="00330C23">
        <w:t>Board staff.</w:t>
      </w:r>
    </w:p>
    <w:p w:rsidR="00B433F8" w:rsidRPr="00621ACC" w:rsidRDefault="00B433F8" w:rsidP="002D14D2">
      <w:pPr>
        <w:pStyle w:val="BodyText"/>
        <w:jc w:val="left"/>
      </w:pPr>
    </w:p>
    <w:p w:rsidR="003C457F" w:rsidRDefault="007F7DF5" w:rsidP="003C457F">
      <w:pPr>
        <w:autoSpaceDE w:val="0"/>
        <w:autoSpaceDN w:val="0"/>
        <w:adjustRightInd w:val="0"/>
        <w:rPr>
          <w:bCs/>
          <w:snapToGrid/>
          <w:color w:val="000000"/>
          <w:szCs w:val="24"/>
        </w:rPr>
      </w:pPr>
      <w:r w:rsidRPr="00621ACC">
        <w:tab/>
      </w:r>
      <w:r w:rsidR="00C248F9">
        <w:t>The Federal Reserve</w:t>
      </w:r>
      <w:r w:rsidR="00782465" w:rsidRPr="00621ACC">
        <w:t xml:space="preserve"> </w:t>
      </w:r>
      <w:r w:rsidRPr="00621ACC">
        <w:t xml:space="preserve">proposes </w:t>
      </w:r>
      <w:r w:rsidR="00267212" w:rsidRPr="00621ACC">
        <w:t xml:space="preserve">to </w:t>
      </w:r>
      <w:r w:rsidR="001D7147" w:rsidRPr="00621ACC">
        <w:t xml:space="preserve">revise the </w:t>
      </w:r>
      <w:r w:rsidR="009654B2" w:rsidRPr="00621ACC">
        <w:t>information collection</w:t>
      </w:r>
      <w:r w:rsidR="008A4A44" w:rsidRPr="00621ACC">
        <w:t xml:space="preserve"> to</w:t>
      </w:r>
      <w:r w:rsidR="001D7147" w:rsidRPr="00621ACC">
        <w:t xml:space="preserve"> </w:t>
      </w:r>
      <w:r w:rsidR="00782465" w:rsidRPr="00621ACC">
        <w:t>remove</w:t>
      </w:r>
      <w:r w:rsidR="00EC2650" w:rsidRPr="00621ACC">
        <w:t xml:space="preserve"> the </w:t>
      </w:r>
      <w:r w:rsidR="003C457F">
        <w:t>S</w:t>
      </w:r>
      <w:r w:rsidR="009B1FBC" w:rsidRPr="00621ACC">
        <w:t xml:space="preserve">upplemental </w:t>
      </w:r>
      <w:r w:rsidR="003C457F">
        <w:t>S</w:t>
      </w:r>
      <w:r w:rsidR="009B1FBC" w:rsidRPr="00621ACC">
        <w:t>urvey</w:t>
      </w:r>
      <w:r w:rsidR="008A4A44" w:rsidRPr="00621ACC">
        <w:t xml:space="preserve"> </w:t>
      </w:r>
      <w:r w:rsidR="00A7526C" w:rsidRPr="00621ACC">
        <w:t>(FR 2572S</w:t>
      </w:r>
      <w:r w:rsidR="009654B2" w:rsidRPr="00621ACC">
        <w:t>)</w:t>
      </w:r>
      <w:r w:rsidR="00782465" w:rsidRPr="00621ACC">
        <w:t xml:space="preserve"> that was mandated by Section 505 of the Credit Card Accountability Responsibility and Disclosure Act of 2009 (Credit Card Act).  </w:t>
      </w:r>
      <w:r w:rsidR="00196821" w:rsidRPr="00621ACC">
        <w:t>Section 505 of the Credit Card Act direct</w:t>
      </w:r>
      <w:r w:rsidR="004F6B07" w:rsidRPr="00621ACC">
        <w:t>ed</w:t>
      </w:r>
      <w:r w:rsidR="00196821" w:rsidRPr="00621ACC">
        <w:t xml:space="preserve"> the Federal Reserve Board to conduct a </w:t>
      </w:r>
      <w:r w:rsidR="00BE0E22" w:rsidRPr="00621ACC">
        <w:t>survey</w:t>
      </w:r>
      <w:r w:rsidR="004F6B07" w:rsidRPr="00621ACC">
        <w:t>, by May 2010, regarding</w:t>
      </w:r>
      <w:r w:rsidR="00196821" w:rsidRPr="00621ACC">
        <w:t xml:space="preserve"> the extent to which credit card issuers adjust consumer credit lines or interest rates based on certain factors.  Respondents comprised 25 of the largest bank credit card issuers and a nationally representative random sample of 150 additional card issuers.  </w:t>
      </w:r>
      <w:r w:rsidR="006B6412" w:rsidRPr="00621ACC">
        <w:t xml:space="preserve">The proposed revision would </w:t>
      </w:r>
      <w:r w:rsidR="00867997" w:rsidRPr="00621ACC">
        <w:t xml:space="preserve">decrease </w:t>
      </w:r>
      <w:r w:rsidR="006B6412" w:rsidRPr="00621ACC">
        <w:t xml:space="preserve">the estimated annual reporting burden for this information collection from </w:t>
      </w:r>
      <w:r w:rsidR="00867997" w:rsidRPr="00621ACC">
        <w:t xml:space="preserve">338 </w:t>
      </w:r>
      <w:r w:rsidR="006B6412" w:rsidRPr="00621ACC">
        <w:t xml:space="preserve">to </w:t>
      </w:r>
      <w:r w:rsidR="00867997" w:rsidRPr="00621ACC">
        <w:t xml:space="preserve">75 </w:t>
      </w:r>
      <w:r w:rsidR="006B6412" w:rsidRPr="00621ACC">
        <w:t>hours.</w:t>
      </w:r>
      <w:r w:rsidR="00655DA1">
        <w:t xml:space="preserve"> </w:t>
      </w:r>
    </w:p>
    <w:p w:rsidR="005F228B" w:rsidRPr="003C457F" w:rsidRDefault="005F228B" w:rsidP="003C457F">
      <w:pPr>
        <w:autoSpaceDE w:val="0"/>
        <w:autoSpaceDN w:val="0"/>
        <w:adjustRightInd w:val="0"/>
        <w:rPr>
          <w:bCs/>
          <w:snapToGrid/>
          <w:color w:val="000000"/>
          <w:szCs w:val="24"/>
        </w:rPr>
      </w:pPr>
    </w:p>
    <w:p w:rsidR="000D049A" w:rsidRPr="00621ACC" w:rsidRDefault="006B6412" w:rsidP="002D14D2">
      <w:pPr>
        <w:jc w:val="both"/>
        <w:rPr>
          <w:color w:val="000000"/>
          <w:szCs w:val="24"/>
        </w:rPr>
      </w:pPr>
      <w:r w:rsidRPr="00621ACC">
        <w:t xml:space="preserve">  </w:t>
      </w:r>
      <w:r w:rsidR="000D049A" w:rsidRPr="00621ACC">
        <w:rPr>
          <w:b/>
          <w:bCs/>
          <w:color w:val="000000"/>
          <w:szCs w:val="24"/>
        </w:rPr>
        <w:t>Background and Justification</w:t>
      </w:r>
    </w:p>
    <w:p w:rsidR="000D049A" w:rsidRPr="00621ACC" w:rsidRDefault="000D049A" w:rsidP="002D14D2">
      <w:pPr>
        <w:jc w:val="both"/>
        <w:rPr>
          <w:color w:val="000000"/>
          <w:szCs w:val="24"/>
        </w:rPr>
      </w:pPr>
    </w:p>
    <w:p w:rsidR="00E875F6" w:rsidRDefault="000D049A" w:rsidP="002D14D2">
      <w:pPr>
        <w:rPr>
          <w:color w:val="000000"/>
          <w:szCs w:val="24"/>
        </w:rPr>
      </w:pPr>
      <w:r w:rsidRPr="00621ACC">
        <w:rPr>
          <w:color w:val="000000"/>
          <w:szCs w:val="24"/>
        </w:rPr>
        <w:tab/>
      </w:r>
      <w:r w:rsidR="00E875F6" w:rsidRPr="00621ACC">
        <w:rPr>
          <w:color w:val="000000"/>
          <w:szCs w:val="24"/>
        </w:rPr>
        <w:t xml:space="preserve">The </w:t>
      </w:r>
      <w:r w:rsidR="00645E4D" w:rsidRPr="00621ACC">
        <w:rPr>
          <w:color w:val="000000"/>
          <w:szCs w:val="24"/>
        </w:rPr>
        <w:t>FR 2572</w:t>
      </w:r>
      <w:r w:rsidR="00E875F6" w:rsidRPr="00621ACC">
        <w:rPr>
          <w:color w:val="000000"/>
          <w:szCs w:val="24"/>
        </w:rPr>
        <w:t xml:space="preserve"> was implemented in February 1990 as required by Section 5 of the Fair Credit and Charge Card </w:t>
      </w:r>
      <w:r w:rsidR="001D70BC" w:rsidRPr="00621ACC">
        <w:rPr>
          <w:color w:val="000000"/>
          <w:szCs w:val="24"/>
        </w:rPr>
        <w:t xml:space="preserve">Disclosure </w:t>
      </w:r>
      <w:r w:rsidR="00E875F6" w:rsidRPr="00621ACC">
        <w:rPr>
          <w:color w:val="000000"/>
          <w:szCs w:val="24"/>
        </w:rPr>
        <w:t>Act (FCCCA) of 1988</w:t>
      </w:r>
      <w:r w:rsidR="00D13DD6" w:rsidRPr="00621ACC">
        <w:rPr>
          <w:color w:val="000000"/>
          <w:szCs w:val="24"/>
        </w:rPr>
        <w:t>.</w:t>
      </w:r>
      <w:r w:rsidR="00D13DD6" w:rsidRPr="00621ACC">
        <w:rPr>
          <w:rStyle w:val="FootnoteReference"/>
          <w:color w:val="000000"/>
          <w:szCs w:val="24"/>
        </w:rPr>
        <w:footnoteReference w:id="3"/>
      </w:r>
      <w:r w:rsidR="00D13DD6" w:rsidRPr="00621ACC">
        <w:rPr>
          <w:color w:val="000000"/>
          <w:szCs w:val="24"/>
        </w:rPr>
        <w:t xml:space="preserve">  </w:t>
      </w:r>
      <w:r w:rsidR="00012484" w:rsidRPr="00621ACC">
        <w:rPr>
          <w:color w:val="000000"/>
          <w:szCs w:val="24"/>
        </w:rPr>
        <w:t>Each r</w:t>
      </w:r>
      <w:r w:rsidR="00E875F6" w:rsidRPr="00621ACC">
        <w:rPr>
          <w:color w:val="000000"/>
          <w:szCs w:val="24"/>
        </w:rPr>
        <w:t>espondent</w:t>
      </w:r>
      <w:r w:rsidR="00E875F6" w:rsidRPr="009B1FAF">
        <w:rPr>
          <w:color w:val="000000"/>
          <w:szCs w:val="24"/>
        </w:rPr>
        <w:t xml:space="preserve"> </w:t>
      </w:r>
      <w:r w:rsidR="00E875F6" w:rsidRPr="009B1FAF">
        <w:rPr>
          <w:color w:val="000000"/>
          <w:szCs w:val="24"/>
        </w:rPr>
        <w:lastRenderedPageBreak/>
        <w:t>provide</w:t>
      </w:r>
      <w:r w:rsidR="00012484">
        <w:rPr>
          <w:color w:val="000000"/>
          <w:szCs w:val="24"/>
        </w:rPr>
        <w:t>s</w:t>
      </w:r>
      <w:r w:rsidR="00E875F6" w:rsidRPr="009B1FAF">
        <w:rPr>
          <w:color w:val="000000"/>
          <w:szCs w:val="24"/>
        </w:rPr>
        <w:t xml:space="preserve"> information about its credit card plan with the largest outstanding number of cards.  The FCCCA requires the </w:t>
      </w:r>
      <w:r w:rsidR="00992194">
        <w:rPr>
          <w:color w:val="000000"/>
          <w:szCs w:val="24"/>
        </w:rPr>
        <w:t>Federal Reserve</w:t>
      </w:r>
      <w:r w:rsidR="00E875F6" w:rsidRPr="009B1FAF">
        <w:rPr>
          <w:color w:val="000000"/>
          <w:szCs w:val="24"/>
        </w:rPr>
        <w:t xml:space="preserve"> to collect this information semiannually from the largest </w:t>
      </w:r>
      <w:r w:rsidR="0009586C">
        <w:rPr>
          <w:color w:val="000000"/>
          <w:szCs w:val="24"/>
        </w:rPr>
        <w:t xml:space="preserve">25 </w:t>
      </w:r>
      <w:r w:rsidR="00E875F6" w:rsidRPr="009B1FAF">
        <w:rPr>
          <w:color w:val="000000"/>
          <w:szCs w:val="24"/>
        </w:rPr>
        <w:t>issuers of credit cards and at least 125 additional institutions, in a manner that ensures both an equitable geographic distribution within the sample and representation of a wide</w:t>
      </w:r>
      <w:r w:rsidR="00992E64" w:rsidRPr="009B1FAF">
        <w:rPr>
          <w:color w:val="000000"/>
          <w:szCs w:val="24"/>
        </w:rPr>
        <w:t xml:space="preserve"> spectrum of institutions.  </w:t>
      </w:r>
      <w:r w:rsidR="00992194">
        <w:rPr>
          <w:color w:val="000000"/>
          <w:szCs w:val="24"/>
        </w:rPr>
        <w:t>The Federal Reserve</w:t>
      </w:r>
      <w:r w:rsidR="00992E64" w:rsidRPr="009B1FAF">
        <w:rPr>
          <w:color w:val="000000"/>
          <w:szCs w:val="24"/>
        </w:rPr>
        <w:t xml:space="preserve"> </w:t>
      </w:r>
      <w:r w:rsidR="00E875F6" w:rsidRPr="009B1FAF">
        <w:rPr>
          <w:color w:val="000000"/>
          <w:szCs w:val="24"/>
        </w:rPr>
        <w:t xml:space="preserve">is further directed to make the credit card price information for each institution available to the public upon request and to report the information semiannually to the Congress.  </w:t>
      </w:r>
      <w:r w:rsidR="00035BF8" w:rsidRPr="009B1FAF">
        <w:rPr>
          <w:color w:val="000000"/>
          <w:szCs w:val="24"/>
        </w:rPr>
        <w:t>The</w:t>
      </w:r>
      <w:r w:rsidR="00035BF8">
        <w:rPr>
          <w:color w:val="000000"/>
          <w:szCs w:val="24"/>
        </w:rPr>
        <w:t xml:space="preserve"> credit card plan information is </w:t>
      </w:r>
      <w:r w:rsidR="00BE02FF">
        <w:rPr>
          <w:color w:val="000000"/>
          <w:szCs w:val="24"/>
        </w:rPr>
        <w:t xml:space="preserve">made available </w:t>
      </w:r>
      <w:r w:rsidR="00A84E0E">
        <w:rPr>
          <w:color w:val="000000"/>
          <w:szCs w:val="24"/>
        </w:rPr>
        <w:t>at</w:t>
      </w:r>
      <w:r w:rsidR="00035BF8">
        <w:rPr>
          <w:color w:val="000000"/>
          <w:szCs w:val="24"/>
        </w:rPr>
        <w:t xml:space="preserve"> the </w:t>
      </w:r>
      <w:r w:rsidR="00992194">
        <w:rPr>
          <w:color w:val="000000"/>
          <w:szCs w:val="24"/>
        </w:rPr>
        <w:t xml:space="preserve">Federal Reserve </w:t>
      </w:r>
      <w:r w:rsidR="00035BF8">
        <w:rPr>
          <w:color w:val="000000"/>
          <w:szCs w:val="24"/>
        </w:rPr>
        <w:t>Board’s public web</w:t>
      </w:r>
      <w:r w:rsidR="00355EBA">
        <w:rPr>
          <w:color w:val="000000"/>
          <w:szCs w:val="24"/>
        </w:rPr>
        <w:t xml:space="preserve"> </w:t>
      </w:r>
      <w:r w:rsidR="00035BF8">
        <w:rPr>
          <w:color w:val="000000"/>
          <w:szCs w:val="24"/>
        </w:rPr>
        <w:t xml:space="preserve">site, </w:t>
      </w:r>
      <w:hyperlink r:id="rId8" w:history="1">
        <w:r w:rsidR="00035BF8" w:rsidRPr="00210EF4">
          <w:rPr>
            <w:rStyle w:val="Hyperlink"/>
            <w:szCs w:val="24"/>
          </w:rPr>
          <w:t>http://www.federalreserve.gov/pubs/shop/survey.htm</w:t>
        </w:r>
      </w:hyperlink>
      <w:r w:rsidR="00E875F6">
        <w:rPr>
          <w:color w:val="000000"/>
          <w:szCs w:val="24"/>
        </w:rPr>
        <w:t>.</w:t>
      </w:r>
      <w:r w:rsidR="004D2E2F">
        <w:rPr>
          <w:rStyle w:val="FootnoteReference"/>
          <w:color w:val="000000"/>
          <w:szCs w:val="24"/>
        </w:rPr>
        <w:footnoteReference w:id="4"/>
      </w:r>
      <w:r w:rsidR="004A0AF7">
        <w:rPr>
          <w:color w:val="000000"/>
          <w:szCs w:val="24"/>
        </w:rPr>
        <w:t xml:space="preserve">  </w:t>
      </w:r>
      <w:r w:rsidR="00035BF8">
        <w:rPr>
          <w:color w:val="000000"/>
          <w:szCs w:val="24"/>
        </w:rPr>
        <w:t>General consumer information about shopping for credit</w:t>
      </w:r>
      <w:r w:rsidR="00AA220C">
        <w:rPr>
          <w:color w:val="000000"/>
          <w:szCs w:val="24"/>
        </w:rPr>
        <w:t xml:space="preserve"> cards is </w:t>
      </w:r>
      <w:r w:rsidR="009A3722">
        <w:rPr>
          <w:color w:val="000000"/>
          <w:szCs w:val="24"/>
        </w:rPr>
        <w:t xml:space="preserve">also </w:t>
      </w:r>
      <w:r w:rsidR="00AA220C">
        <w:rPr>
          <w:color w:val="000000"/>
          <w:szCs w:val="24"/>
        </w:rPr>
        <w:t>available at this web</w:t>
      </w:r>
      <w:r w:rsidR="00355EBA">
        <w:rPr>
          <w:color w:val="000000"/>
          <w:szCs w:val="24"/>
        </w:rPr>
        <w:t xml:space="preserve"> </w:t>
      </w:r>
      <w:r w:rsidR="00035BF8">
        <w:rPr>
          <w:color w:val="000000"/>
          <w:szCs w:val="24"/>
        </w:rPr>
        <w:t>site</w:t>
      </w:r>
      <w:r w:rsidR="00AA220C">
        <w:rPr>
          <w:color w:val="000000"/>
          <w:szCs w:val="24"/>
        </w:rPr>
        <w:t>.</w:t>
      </w:r>
      <w:r w:rsidR="00035BF8">
        <w:rPr>
          <w:color w:val="000000"/>
          <w:szCs w:val="24"/>
        </w:rPr>
        <w:t xml:space="preserve">  </w:t>
      </w:r>
    </w:p>
    <w:p w:rsidR="00035BF8" w:rsidRDefault="00035BF8" w:rsidP="002D14D2">
      <w:pPr>
        <w:rPr>
          <w:color w:val="000000"/>
          <w:szCs w:val="24"/>
        </w:rPr>
      </w:pPr>
    </w:p>
    <w:p w:rsidR="00E875F6" w:rsidRDefault="00E875F6" w:rsidP="002D14D2">
      <w:pPr>
        <w:rPr>
          <w:color w:val="000000"/>
          <w:szCs w:val="24"/>
        </w:rPr>
      </w:pPr>
      <w:r>
        <w:rPr>
          <w:color w:val="000000"/>
          <w:szCs w:val="24"/>
        </w:rPr>
        <w:tab/>
        <w:t>Although the House and Senate Conference Report that accompanied the FCCCA did not explain specifically why the credit card reports are required, the legislative history suggests that the reports are intended to facilitate credit card shopping by consumers and thereby enhance competition.</w:t>
      </w:r>
      <w:r w:rsidR="004D2E2F">
        <w:rPr>
          <w:rStyle w:val="FootnoteReference"/>
          <w:color w:val="000000"/>
          <w:szCs w:val="24"/>
        </w:rPr>
        <w:footnoteReference w:id="5"/>
      </w:r>
      <w:r w:rsidR="006405DA">
        <w:rPr>
          <w:color w:val="000000"/>
          <w:szCs w:val="24"/>
        </w:rPr>
        <w:t xml:space="preserve">  </w:t>
      </w:r>
      <w:r>
        <w:rPr>
          <w:color w:val="000000"/>
          <w:szCs w:val="24"/>
        </w:rPr>
        <w:t>In this context, the credit card reports are similar to the Sho</w:t>
      </w:r>
      <w:r w:rsidR="00992E64">
        <w:rPr>
          <w:color w:val="000000"/>
          <w:szCs w:val="24"/>
        </w:rPr>
        <w:t xml:space="preserve">pper's Guide to Credit that </w:t>
      </w:r>
      <w:r w:rsidR="00992194">
        <w:rPr>
          <w:color w:val="000000"/>
          <w:szCs w:val="24"/>
        </w:rPr>
        <w:t xml:space="preserve">the Federal Reserve </w:t>
      </w:r>
      <w:r>
        <w:rPr>
          <w:color w:val="000000"/>
          <w:szCs w:val="24"/>
        </w:rPr>
        <w:t>prepared as required by law for the Annual Percentage Rate Demonstration Project in 1984 and 1985.</w:t>
      </w:r>
      <w:r w:rsidR="004D2E2F">
        <w:rPr>
          <w:rStyle w:val="FootnoteReference"/>
          <w:color w:val="000000"/>
          <w:szCs w:val="24"/>
        </w:rPr>
        <w:footnoteReference w:id="6"/>
      </w:r>
    </w:p>
    <w:p w:rsidR="00E875F6" w:rsidRDefault="00E875F6" w:rsidP="002D14D2">
      <w:pPr>
        <w:jc w:val="both"/>
        <w:rPr>
          <w:color w:val="000000"/>
          <w:szCs w:val="24"/>
        </w:rPr>
      </w:pPr>
    </w:p>
    <w:p w:rsidR="00E875F6" w:rsidRDefault="00E875F6" w:rsidP="002D14D2">
      <w:pPr>
        <w:pStyle w:val="BodyTextIndent"/>
        <w:jc w:val="left"/>
      </w:pPr>
      <w:r>
        <w:t xml:space="preserve">The report was discontinued prior to the July 2000 reporting date pursuant to the Federal Reports Elimination and Sunset Act of 1995 (Sunset Act) (PL 104-66).  In December 2000, the Congress approved the American Homeownership and Economic Opportunity Act of 2000 (Act) that restored the reporting of this information, along with </w:t>
      </w:r>
      <w:r w:rsidR="00104F9F">
        <w:t xml:space="preserve">40 </w:t>
      </w:r>
      <w:r>
        <w:t>other</w:t>
      </w:r>
      <w:r w:rsidR="00012484">
        <w:t xml:space="preserve"> collection</w:t>
      </w:r>
      <w:r>
        <w:t>s.  Title XI of the Act states that Section 3003(a</w:t>
      </w:r>
      <w:proofErr w:type="gramStart"/>
      <w:r>
        <w:t>)(</w:t>
      </w:r>
      <w:proofErr w:type="gramEnd"/>
      <w:r>
        <w:t xml:space="preserve">1) of the Sunset Act “shall not apply to any report required to be submitted under any of the following provisions of law: ... Section 8 of the </w:t>
      </w:r>
      <w:r w:rsidR="00104F9F">
        <w:t>FCCCA</w:t>
      </w:r>
      <w:r>
        <w:t xml:space="preserve"> (15 U.S.C. 1637 note); ...</w:t>
      </w:r>
      <w:proofErr w:type="gramStart"/>
      <w:r>
        <w:t>”.</w:t>
      </w:r>
      <w:proofErr w:type="gramEnd"/>
    </w:p>
    <w:p w:rsidR="00E875F6" w:rsidRDefault="00E875F6" w:rsidP="002D14D2">
      <w:pPr>
        <w:pStyle w:val="BodyText"/>
        <w:jc w:val="left"/>
      </w:pPr>
    </w:p>
    <w:p w:rsidR="00E875F6" w:rsidRDefault="00E875F6" w:rsidP="002D14D2">
      <w:pPr>
        <w:pStyle w:val="BodyText"/>
        <w:jc w:val="left"/>
      </w:pPr>
      <w:r>
        <w:tab/>
        <w:t>In 2001, the Congress approved legislation that amended Section 136(b</w:t>
      </w:r>
      <w:proofErr w:type="gramStart"/>
      <w:r>
        <w:t>)(</w:t>
      </w:r>
      <w:proofErr w:type="gramEnd"/>
      <w:r>
        <w:t xml:space="preserve">1) of the Truth in Lending Act (TILA) (15 U.S.C. 1646).  This amendment requires the Federal Reserve to collect, on a semiannual basis, from a broad sample of financial institutions that offer credit card services, further credit card price and availability information.  As a consequence of </w:t>
      </w:r>
      <w:r w:rsidR="00104F9F">
        <w:t xml:space="preserve">this </w:t>
      </w:r>
      <w:r>
        <w:t xml:space="preserve">2001 </w:t>
      </w:r>
      <w:r w:rsidR="00104F9F">
        <w:t>amendment</w:t>
      </w:r>
      <w:r>
        <w:t>, the report was reinstated in July 2002.</w:t>
      </w:r>
    </w:p>
    <w:p w:rsidR="000D049A" w:rsidRDefault="000D049A" w:rsidP="002D14D2">
      <w:pPr>
        <w:jc w:val="both"/>
        <w:rPr>
          <w:color w:val="FF0000"/>
          <w:szCs w:val="24"/>
        </w:rPr>
      </w:pPr>
    </w:p>
    <w:p w:rsidR="009654B2" w:rsidRDefault="00645E4D" w:rsidP="006C6C73">
      <w:r>
        <w:rPr>
          <w:color w:val="FF0000"/>
          <w:szCs w:val="24"/>
        </w:rPr>
        <w:tab/>
      </w:r>
      <w:r w:rsidR="00430382" w:rsidRPr="00A7526C">
        <w:rPr>
          <w:szCs w:val="24"/>
        </w:rPr>
        <w:t xml:space="preserve">In May 2009, Congress passed the Credit Card Act.  </w:t>
      </w:r>
      <w:r w:rsidR="00AB7544">
        <w:t>Section 505 of the Credit Card Act direct</w:t>
      </w:r>
      <w:r w:rsidR="009654B2">
        <w:t>ed</w:t>
      </w:r>
      <w:r w:rsidR="00AB7544">
        <w:t xml:space="preserve"> the Federal Reserve to conduct a </w:t>
      </w:r>
      <w:r w:rsidR="00BE0E22">
        <w:t xml:space="preserve">survey </w:t>
      </w:r>
      <w:r w:rsidR="00AB7544">
        <w:t>of the extent to which credit card issuers</w:t>
      </w:r>
      <w:r w:rsidR="00F92307">
        <w:t xml:space="preserve"> </w:t>
      </w:r>
      <w:r w:rsidR="00AB7544">
        <w:t xml:space="preserve">reduce credit lines or raise interest rates on open-end credit accounts issued </w:t>
      </w:r>
      <w:r w:rsidR="00AB7544">
        <w:lastRenderedPageBreak/>
        <w:t>to consumers based on certain specific factors (such as type of merchant the consumer transacts with or the type or price of items purchased).  The study call</w:t>
      </w:r>
      <w:r w:rsidR="009654B2">
        <w:t>ed</w:t>
      </w:r>
      <w:r w:rsidR="00AB7544">
        <w:t xml:space="preserve"> for a review of practices that may have been in place over the past three years.  The </w:t>
      </w:r>
      <w:r w:rsidR="00BE0E22">
        <w:t xml:space="preserve">survey </w:t>
      </w:r>
      <w:r w:rsidR="00AB7544">
        <w:t xml:space="preserve">is to include information on the number of creditors that have considered such factors and the extent to which the practices may have had an adverse effect on minority and low-income consumers.  </w:t>
      </w:r>
      <w:r w:rsidR="009654B2">
        <w:t xml:space="preserve">A </w:t>
      </w:r>
      <w:r w:rsidR="006C6C73">
        <w:t xml:space="preserve">report to Congress is due one year from enactment or May 22, 2010.  </w:t>
      </w:r>
    </w:p>
    <w:p w:rsidR="009654B2" w:rsidRPr="00A7526C" w:rsidRDefault="009654B2" w:rsidP="006C6C73">
      <w:pPr>
        <w:rPr>
          <w:szCs w:val="24"/>
        </w:rPr>
      </w:pPr>
    </w:p>
    <w:p w:rsidR="001266F0" w:rsidRDefault="00867997">
      <w:pPr>
        <w:ind w:firstLine="720"/>
        <w:rPr>
          <w:szCs w:val="24"/>
        </w:rPr>
      </w:pPr>
      <w:r>
        <w:t>In December 2009, the Federal Reserve approved</w:t>
      </w:r>
      <w:r w:rsidR="008A7FDE">
        <w:t>, under the emergency clearance process,</w:t>
      </w:r>
      <w:r>
        <w:t xml:space="preserve"> the</w:t>
      </w:r>
      <w:r w:rsidR="00A77B95">
        <w:t xml:space="preserve"> implementation of the FR 2572S</w:t>
      </w:r>
      <w:r w:rsidR="006C6C73">
        <w:t xml:space="preserve"> </w:t>
      </w:r>
      <w:r w:rsidR="00645E4D">
        <w:t>to</w:t>
      </w:r>
      <w:r w:rsidR="006C6C73">
        <w:t xml:space="preserve"> </w:t>
      </w:r>
      <w:r w:rsidR="00A77B95">
        <w:t>gather information on the number of creditors that have engaged in one or more of the practices identified in Section 505 of the Credit Card Act.  The survey address</w:t>
      </w:r>
      <w:r w:rsidR="006C6C73">
        <w:t>es</w:t>
      </w:r>
      <w:r w:rsidR="00A77B95">
        <w:t xml:space="preserve"> both current practices and practices that may have been in place over the past three years.  </w:t>
      </w:r>
      <w:r w:rsidR="008B7536" w:rsidRPr="00A7526C">
        <w:rPr>
          <w:szCs w:val="24"/>
        </w:rPr>
        <w:t>The Federal Reserve has no other source for obtaining this information.</w:t>
      </w:r>
    </w:p>
    <w:p w:rsidR="00267212" w:rsidRDefault="00267212" w:rsidP="002D14D2">
      <w:pPr>
        <w:jc w:val="both"/>
        <w:rPr>
          <w:color w:val="FF0000"/>
          <w:szCs w:val="24"/>
        </w:rPr>
      </w:pPr>
    </w:p>
    <w:p w:rsidR="000D049A" w:rsidRDefault="000D049A" w:rsidP="002D14D2">
      <w:pPr>
        <w:jc w:val="both"/>
        <w:rPr>
          <w:b/>
          <w:bCs/>
          <w:color w:val="000000"/>
          <w:szCs w:val="24"/>
        </w:rPr>
      </w:pPr>
      <w:r>
        <w:rPr>
          <w:b/>
          <w:bCs/>
          <w:color w:val="000000"/>
          <w:szCs w:val="24"/>
        </w:rPr>
        <w:t>Description of Information Collection</w:t>
      </w:r>
    </w:p>
    <w:p w:rsidR="008B7536" w:rsidRDefault="008B7536" w:rsidP="002D14D2">
      <w:pPr>
        <w:jc w:val="both"/>
        <w:rPr>
          <w:color w:val="000000"/>
          <w:szCs w:val="24"/>
        </w:rPr>
      </w:pPr>
    </w:p>
    <w:p w:rsidR="00B06BE9" w:rsidRDefault="000D049A">
      <w:pPr>
        <w:rPr>
          <w:color w:val="000000"/>
          <w:szCs w:val="24"/>
        </w:rPr>
      </w:pPr>
      <w:r>
        <w:rPr>
          <w:color w:val="000000"/>
          <w:szCs w:val="24"/>
        </w:rPr>
        <w:tab/>
        <w:t xml:space="preserve">Section 127(c) of the </w:t>
      </w:r>
      <w:r w:rsidR="00104F9F">
        <w:rPr>
          <w:color w:val="000000"/>
          <w:szCs w:val="24"/>
        </w:rPr>
        <w:t xml:space="preserve">TILA </w:t>
      </w:r>
      <w:r>
        <w:rPr>
          <w:color w:val="000000"/>
          <w:szCs w:val="24"/>
        </w:rPr>
        <w:t xml:space="preserve">(15 U.S.C. §1637), as amended by the FCCCA, is quite specific with respect to the credit term information that is to be included in the semiannual reports.  The following </w:t>
      </w:r>
      <w:r w:rsidR="005D568A">
        <w:rPr>
          <w:color w:val="000000"/>
          <w:szCs w:val="24"/>
        </w:rPr>
        <w:t xml:space="preserve">information </w:t>
      </w:r>
      <w:r>
        <w:rPr>
          <w:color w:val="000000"/>
          <w:szCs w:val="24"/>
        </w:rPr>
        <w:t>on pricing and fees must be collected:</w:t>
      </w:r>
    </w:p>
    <w:p w:rsidR="000D049A" w:rsidRDefault="000D049A" w:rsidP="002D14D2">
      <w:pPr>
        <w:numPr>
          <w:ilvl w:val="0"/>
          <w:numId w:val="2"/>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Pr>
          <w:color w:val="000000"/>
          <w:szCs w:val="24"/>
        </w:rPr>
        <w:t>annual percentage rate for purchases (must state if it is a variable rate)</w:t>
      </w:r>
    </w:p>
    <w:p w:rsidR="000D049A" w:rsidRDefault="000D049A" w:rsidP="002D14D2">
      <w:pPr>
        <w:numPr>
          <w:ilvl w:val="0"/>
          <w:numId w:val="2"/>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Pr>
          <w:color w:val="000000"/>
          <w:szCs w:val="24"/>
        </w:rPr>
        <w:t>length of the grace period</w:t>
      </w:r>
    </w:p>
    <w:p w:rsidR="000D049A" w:rsidRDefault="000D049A" w:rsidP="002D14D2">
      <w:pPr>
        <w:numPr>
          <w:ilvl w:val="0"/>
          <w:numId w:val="2"/>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Pr>
          <w:color w:val="000000"/>
          <w:szCs w:val="24"/>
        </w:rPr>
        <w:t>name or description of the balance computation method</w:t>
      </w:r>
    </w:p>
    <w:p w:rsidR="000D049A" w:rsidRDefault="000D049A" w:rsidP="002D14D2">
      <w:pPr>
        <w:numPr>
          <w:ilvl w:val="0"/>
          <w:numId w:val="2"/>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Pr>
          <w:color w:val="000000"/>
          <w:szCs w:val="24"/>
        </w:rPr>
        <w:t>minimum finance charge</w:t>
      </w:r>
    </w:p>
    <w:p w:rsidR="000D049A" w:rsidRDefault="000D049A" w:rsidP="002D14D2">
      <w:pPr>
        <w:numPr>
          <w:ilvl w:val="0"/>
          <w:numId w:val="2"/>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Pr>
          <w:color w:val="000000"/>
          <w:szCs w:val="24"/>
        </w:rPr>
        <w:t>fee for issuance or availability (membership fee)</w:t>
      </w:r>
    </w:p>
    <w:p w:rsidR="000D049A" w:rsidRDefault="000D049A" w:rsidP="002D14D2">
      <w:pPr>
        <w:numPr>
          <w:ilvl w:val="0"/>
          <w:numId w:val="2"/>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Pr>
          <w:color w:val="000000"/>
          <w:szCs w:val="24"/>
        </w:rPr>
        <w:t>fee for late payment</w:t>
      </w:r>
    </w:p>
    <w:p w:rsidR="000D049A" w:rsidRDefault="000D049A" w:rsidP="002D14D2">
      <w:pPr>
        <w:numPr>
          <w:ilvl w:val="0"/>
          <w:numId w:val="2"/>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Pr>
          <w:color w:val="000000"/>
          <w:szCs w:val="24"/>
        </w:rPr>
        <w:t>fee for exceeding credit limit</w:t>
      </w:r>
    </w:p>
    <w:p w:rsidR="000D049A" w:rsidRDefault="000D049A" w:rsidP="002D14D2">
      <w:pPr>
        <w:numPr>
          <w:ilvl w:val="0"/>
          <w:numId w:val="2"/>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Pr>
          <w:color w:val="000000"/>
          <w:szCs w:val="24"/>
        </w:rPr>
        <w:t>transaction fee for purchases</w:t>
      </w:r>
    </w:p>
    <w:p w:rsidR="000D049A" w:rsidRDefault="000D049A" w:rsidP="002D14D2">
      <w:pPr>
        <w:numPr>
          <w:ilvl w:val="0"/>
          <w:numId w:val="2"/>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Pr>
          <w:color w:val="000000"/>
          <w:szCs w:val="24"/>
        </w:rPr>
        <w:t>transaction fee for cash advances</w:t>
      </w: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color w:val="000000"/>
          <w:szCs w:val="24"/>
        </w:rPr>
        <w:tab/>
        <w:t xml:space="preserve">To report credit card availability information, respondents state whether the credit card plan is available to consumers nationally (in all </w:t>
      </w:r>
      <w:r w:rsidR="00104F9F">
        <w:rPr>
          <w:color w:val="000000"/>
          <w:szCs w:val="24"/>
        </w:rPr>
        <w:t xml:space="preserve">50 </w:t>
      </w:r>
      <w:r>
        <w:rPr>
          <w:color w:val="000000"/>
          <w:szCs w:val="24"/>
        </w:rPr>
        <w:t xml:space="preserve">states and the District of Columbia) or limited to consumers within a specific region or state (such as the issuer's home state). </w:t>
      </w:r>
      <w:r w:rsidR="006E6677">
        <w:rPr>
          <w:color w:val="000000"/>
          <w:szCs w:val="24"/>
        </w:rPr>
        <w:t xml:space="preserve"> Generally, r</w:t>
      </w:r>
      <w:r>
        <w:rPr>
          <w:color w:val="000000"/>
          <w:szCs w:val="24"/>
        </w:rPr>
        <w:t xml:space="preserve">espondents are not required to fill out each line (corresponding to the states); rather, respondents may fill out one line that describes the most common terms, and then circle the states in which those terms apply, or fill out the lines for states in which different terms are offered.  In practice, the majority of respondents offer national plans and fill out only one or two lines on the form.  The reporting form also collects information on credit card plan enhancements, name and address </w:t>
      </w:r>
      <w:r w:rsidR="005A3C8A">
        <w:rPr>
          <w:color w:val="000000"/>
          <w:szCs w:val="24"/>
        </w:rPr>
        <w:t xml:space="preserve">for consumers </w:t>
      </w:r>
      <w:r>
        <w:rPr>
          <w:color w:val="000000"/>
          <w:szCs w:val="24"/>
        </w:rPr>
        <w:t>to obtain a credit card application, and telephone number for consumer questions.</w:t>
      </w:r>
    </w:p>
    <w:p w:rsidR="00DD19A5" w:rsidRDefault="00DD19A5"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DD19A5" w:rsidRDefault="00DD19A5"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DD19A5" w:rsidRDefault="00DD19A5"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6405DA" w:rsidRDefault="00AD6728" w:rsidP="00AD6728">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Cs w:val="24"/>
        </w:rPr>
      </w:pPr>
      <w:r>
        <w:rPr>
          <w:b/>
          <w:color w:val="000000"/>
          <w:szCs w:val="24"/>
        </w:rPr>
        <w:tab/>
      </w:r>
    </w:p>
    <w:p w:rsidR="00655DA1" w:rsidRDefault="00655DA1">
      <w:pPr>
        <w:rPr>
          <w:b/>
          <w:color w:val="000000"/>
          <w:szCs w:val="24"/>
        </w:rPr>
      </w:pPr>
      <w:r>
        <w:rPr>
          <w:b/>
          <w:color w:val="000000"/>
          <w:szCs w:val="24"/>
        </w:rPr>
        <w:br w:type="page"/>
      </w:r>
    </w:p>
    <w:p w:rsidR="005C740D" w:rsidRPr="003C457F" w:rsidRDefault="001D7386" w:rsidP="00AF4273">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color w:val="000000"/>
          <w:szCs w:val="24"/>
        </w:rPr>
      </w:pPr>
      <w:r w:rsidRPr="001D7386">
        <w:rPr>
          <w:b/>
          <w:color w:val="000000"/>
          <w:szCs w:val="24"/>
        </w:rPr>
        <w:lastRenderedPageBreak/>
        <w:t>Proposed Revisions</w:t>
      </w:r>
    </w:p>
    <w:p w:rsidR="00AD6728" w:rsidRDefault="00AD6728" w:rsidP="00AD6728">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AD6728" w:rsidRPr="00AD6728" w:rsidRDefault="00AD6728" w:rsidP="00AD6728">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color w:val="000000"/>
          <w:szCs w:val="24"/>
        </w:rPr>
        <w:tab/>
      </w:r>
      <w:r w:rsidR="00C248F9">
        <w:rPr>
          <w:color w:val="000000"/>
          <w:szCs w:val="24"/>
        </w:rPr>
        <w:t>The Federal Reserve</w:t>
      </w:r>
      <w:r>
        <w:rPr>
          <w:color w:val="000000"/>
          <w:szCs w:val="24"/>
        </w:rPr>
        <w:t xml:space="preserve"> proposes </w:t>
      </w:r>
      <w:r>
        <w:t xml:space="preserve">to </w:t>
      </w:r>
      <w:r w:rsidR="008A7FDE">
        <w:t>discontinue collection of</w:t>
      </w:r>
      <w:r>
        <w:t xml:space="preserve"> the FR 2572S </w:t>
      </w:r>
      <w:r w:rsidR="008A7FDE">
        <w:t>data</w:t>
      </w:r>
      <w:r>
        <w:t xml:space="preserve">.  </w:t>
      </w:r>
      <w:r w:rsidR="008A7FDE">
        <w:t xml:space="preserve">As directed by the </w:t>
      </w:r>
      <w:r>
        <w:t>Section 505 of the Credit Card Act</w:t>
      </w:r>
      <w:r w:rsidR="00754751">
        <w:t>,</w:t>
      </w:r>
      <w:r>
        <w:t xml:space="preserve"> the Federal Reserve Board conduct</w:t>
      </w:r>
      <w:r w:rsidR="008A7FDE">
        <w:t>ed</w:t>
      </w:r>
      <w:r>
        <w:t xml:space="preserve"> a</w:t>
      </w:r>
      <w:r w:rsidR="008A7FDE">
        <w:t xml:space="preserve"> one-time</w:t>
      </w:r>
      <w:r>
        <w:t xml:space="preserve"> </w:t>
      </w:r>
      <w:r w:rsidR="00BE0E22">
        <w:t xml:space="preserve">survey </w:t>
      </w:r>
      <w:r w:rsidR="00754751">
        <w:t>regarding</w:t>
      </w:r>
      <w:r>
        <w:t xml:space="preserve"> the extent to which credit card issuers adjust consumer credit lines or interest rates based on certain factors.  </w:t>
      </w:r>
      <w:r w:rsidR="008A7FDE">
        <w:t xml:space="preserve">The Credit Card Act required the Federal Reserve Board to complete the </w:t>
      </w:r>
      <w:r w:rsidR="00BE0E22">
        <w:t>survey</w:t>
      </w:r>
      <w:r w:rsidR="008A7FDE">
        <w:t xml:space="preserve"> and submit a report to Congress by May 22, 2010.</w:t>
      </w:r>
      <w:r w:rsidR="00754751">
        <w:t xml:space="preserve">  For this reason, the Federal Reserve is proposing to discontinue the FR 2572S. </w:t>
      </w:r>
      <w:r w:rsidR="008A7FDE">
        <w:t xml:space="preserve">   </w:t>
      </w:r>
    </w:p>
    <w:p w:rsidR="005C740D" w:rsidRDefault="005C740D"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0D049A" w:rsidRDefault="00DB5D79"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b/>
          <w:bCs/>
          <w:color w:val="000000"/>
          <w:szCs w:val="24"/>
        </w:rPr>
        <w:tab/>
      </w:r>
      <w:r w:rsidR="000D049A">
        <w:rPr>
          <w:b/>
          <w:bCs/>
          <w:color w:val="000000"/>
          <w:szCs w:val="24"/>
        </w:rPr>
        <w:t>Reporting Panel</w:t>
      </w: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color w:val="000000"/>
          <w:szCs w:val="24"/>
        </w:rPr>
        <w:tab/>
        <w:t xml:space="preserve">The </w:t>
      </w:r>
      <w:r w:rsidR="00992194">
        <w:rPr>
          <w:color w:val="000000"/>
          <w:szCs w:val="24"/>
        </w:rPr>
        <w:t>Federal Reserve</w:t>
      </w:r>
      <w:r>
        <w:rPr>
          <w:color w:val="000000"/>
          <w:szCs w:val="24"/>
        </w:rPr>
        <w:t xml:space="preserve"> identifies the card issuers to which they will send the FR 2572, including the </w:t>
      </w:r>
      <w:r w:rsidR="00104F9F">
        <w:rPr>
          <w:color w:val="000000"/>
          <w:szCs w:val="24"/>
        </w:rPr>
        <w:t>25</w:t>
      </w:r>
      <w:r>
        <w:rPr>
          <w:color w:val="000000"/>
          <w:szCs w:val="24"/>
        </w:rPr>
        <w:t xml:space="preserve"> largest issuers, by analyzing data on the volume of outstanding credit card receivables </w:t>
      </w:r>
      <w:r w:rsidR="00DB5D79">
        <w:rPr>
          <w:color w:val="000000"/>
          <w:szCs w:val="24"/>
        </w:rPr>
        <w:t>that</w:t>
      </w:r>
      <w:r>
        <w:rPr>
          <w:color w:val="000000"/>
          <w:szCs w:val="24"/>
        </w:rPr>
        <w:t xml:space="preserve"> are reported on the Reports of Condition and Income for commercial banks</w:t>
      </w:r>
      <w:r w:rsidR="00104F9F">
        <w:rPr>
          <w:color w:val="000000"/>
          <w:szCs w:val="24"/>
        </w:rPr>
        <w:t xml:space="preserve"> </w:t>
      </w:r>
      <w:r w:rsidR="00A7526C">
        <w:rPr>
          <w:color w:val="000000"/>
          <w:szCs w:val="24"/>
        </w:rPr>
        <w:t>(</w:t>
      </w:r>
      <w:r w:rsidR="00104F9F">
        <w:rPr>
          <w:color w:val="000000"/>
          <w:szCs w:val="24"/>
        </w:rPr>
        <w:t>Call Reports)</w:t>
      </w:r>
      <w:r>
        <w:rPr>
          <w:color w:val="000000"/>
          <w:szCs w:val="24"/>
        </w:rPr>
        <w:t xml:space="preserve"> (FFIEC 031 and 041; </w:t>
      </w:r>
      <w:r w:rsidR="00104F9F" w:rsidRPr="00EB535A">
        <w:rPr>
          <w:szCs w:val="24"/>
        </w:rPr>
        <w:t xml:space="preserve">OMB No. 7100-0036) </w:t>
      </w:r>
      <w:r>
        <w:rPr>
          <w:color w:val="000000"/>
          <w:szCs w:val="24"/>
        </w:rPr>
        <w:t>and for thrift institutions (OTS Form 1313</w:t>
      </w:r>
      <w:r w:rsidR="00EB535A">
        <w:rPr>
          <w:color w:val="000000"/>
          <w:szCs w:val="24"/>
        </w:rPr>
        <w:t>; OMB No. 1550-023</w:t>
      </w:r>
      <w:r>
        <w:rPr>
          <w:color w:val="000000"/>
          <w:szCs w:val="24"/>
        </w:rPr>
        <w:t xml:space="preserve">).  Like the </w:t>
      </w:r>
      <w:r w:rsidR="00104F9F">
        <w:rPr>
          <w:color w:val="000000"/>
          <w:szCs w:val="24"/>
        </w:rPr>
        <w:t>25</w:t>
      </w:r>
      <w:r>
        <w:rPr>
          <w:color w:val="000000"/>
          <w:szCs w:val="24"/>
        </w:rPr>
        <w:t xml:space="preserve"> largest issuers, the other respondents are chosen by size, but only such that the required diversity of region and type of institution </w:t>
      </w:r>
      <w:r w:rsidR="00012484">
        <w:rPr>
          <w:color w:val="000000"/>
          <w:szCs w:val="24"/>
        </w:rPr>
        <w:t xml:space="preserve">is </w:t>
      </w:r>
      <w:r>
        <w:rPr>
          <w:color w:val="000000"/>
          <w:szCs w:val="24"/>
        </w:rPr>
        <w:t>achieved.  The dynamism of the card industry, with trading of card receivables portfolios and entry into and exit from the industry, ensures turnover in the panel.</w:t>
      </w: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color w:val="000000"/>
          <w:szCs w:val="24"/>
        </w:rPr>
        <w:tab/>
        <w:t xml:space="preserve">The Federal Reserve Banks distribute the FR 2572 reporting forms to approximately </w:t>
      </w:r>
      <w:r w:rsidR="003960EB">
        <w:rPr>
          <w:color w:val="000000"/>
          <w:szCs w:val="24"/>
        </w:rPr>
        <w:t>20</w:t>
      </w:r>
      <w:r>
        <w:rPr>
          <w:color w:val="000000"/>
          <w:szCs w:val="24"/>
        </w:rPr>
        <w:t>0 institutions each period, which has proven sufficient to generate at least 150 responses, as required.  The number of solicitations exceeds 150 because some institutions that do not issue cards are chosen on the basis of holding large portfolios of credit card receivables.  There is a lag of several months between the as-</w:t>
      </w:r>
      <w:proofErr w:type="spellStart"/>
      <w:r>
        <w:rPr>
          <w:color w:val="000000"/>
          <w:szCs w:val="24"/>
        </w:rPr>
        <w:t>of</w:t>
      </w:r>
      <w:proofErr w:type="spellEnd"/>
      <w:r>
        <w:rPr>
          <w:color w:val="000000"/>
          <w:szCs w:val="24"/>
        </w:rPr>
        <w:t xml:space="preserve"> date of the Call Report data used to choose the panel and the as-</w:t>
      </w:r>
      <w:proofErr w:type="spellStart"/>
      <w:r>
        <w:rPr>
          <w:color w:val="000000"/>
          <w:szCs w:val="24"/>
        </w:rPr>
        <w:t>of</w:t>
      </w:r>
      <w:proofErr w:type="spellEnd"/>
      <w:r>
        <w:rPr>
          <w:color w:val="000000"/>
          <w:szCs w:val="24"/>
        </w:rPr>
        <w:t xml:space="preserve"> date of the upcoming FR 2572, and an institution selected for the panel may have ceased issuing cards during that period.  In addition, the extra solicitations are needed because the panel may include a number of subsidiaries of the same parent bank, in which case the </w:t>
      </w:r>
      <w:r w:rsidR="00992194">
        <w:rPr>
          <w:color w:val="000000"/>
          <w:szCs w:val="24"/>
        </w:rPr>
        <w:t>Federal Reserve</w:t>
      </w:r>
      <w:r>
        <w:rPr>
          <w:color w:val="000000"/>
          <w:szCs w:val="24"/>
        </w:rPr>
        <w:t xml:space="preserve"> consolidates the data of these subsidiaries and counts them as only one response.  Also, the </w:t>
      </w:r>
      <w:r w:rsidR="00684A46">
        <w:rPr>
          <w:color w:val="000000"/>
          <w:szCs w:val="24"/>
        </w:rPr>
        <w:t>Federal Reserve</w:t>
      </w:r>
      <w:r>
        <w:rPr>
          <w:color w:val="000000"/>
          <w:szCs w:val="24"/>
        </w:rPr>
        <w:t xml:space="preserve"> on occasion adds banks that are offering particularly attractive deals</w:t>
      </w:r>
      <w:r w:rsidR="00BE02FF">
        <w:rPr>
          <w:color w:val="000000"/>
          <w:szCs w:val="24"/>
        </w:rPr>
        <w:t xml:space="preserve"> for consumers</w:t>
      </w:r>
      <w:r>
        <w:rPr>
          <w:color w:val="000000"/>
          <w:szCs w:val="24"/>
        </w:rPr>
        <w:t>, regardless of size, as long as the offer is national.</w:t>
      </w: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4A0AF7" w:rsidRDefault="00992194" w:rsidP="00AB6BA1">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color w:val="000000"/>
          <w:szCs w:val="24"/>
        </w:rPr>
        <w:tab/>
      </w:r>
      <w:r w:rsidR="004F5592">
        <w:rPr>
          <w:color w:val="000000"/>
          <w:szCs w:val="24"/>
        </w:rPr>
        <w:t xml:space="preserve"> </w:t>
      </w:r>
      <w:r w:rsidR="000D049A">
        <w:rPr>
          <w:color w:val="000000"/>
          <w:szCs w:val="24"/>
        </w:rPr>
        <w:t>Typically, about 90 percent of the responses come from commercial banks, with the remainder from savings banks, industrial banks, and savings and loans associations.</w:t>
      </w:r>
      <w:r w:rsidR="002C128D">
        <w:rPr>
          <w:rStyle w:val="FootnoteReference"/>
          <w:color w:val="000000"/>
          <w:szCs w:val="24"/>
        </w:rPr>
        <w:footnoteReference w:id="7"/>
      </w:r>
      <w:r w:rsidR="00BE02FF">
        <w:rPr>
          <w:color w:val="000000"/>
          <w:szCs w:val="24"/>
        </w:rPr>
        <w:t xml:space="preserve"> </w:t>
      </w:r>
      <w:r w:rsidR="0098622B">
        <w:rPr>
          <w:color w:val="000000"/>
          <w:szCs w:val="24"/>
        </w:rPr>
        <w:t>T</w:t>
      </w:r>
      <w:r w:rsidR="000D049A">
        <w:rPr>
          <w:color w:val="000000"/>
          <w:szCs w:val="24"/>
        </w:rPr>
        <w:t xml:space="preserve">he panel is consistent with the three criteria of the FCCCA:  a reasonable number of </w:t>
      </w:r>
      <w:r w:rsidR="000D049A" w:rsidRPr="00621ACC">
        <w:rPr>
          <w:color w:val="000000"/>
          <w:szCs w:val="24"/>
        </w:rPr>
        <w:lastRenderedPageBreak/>
        <w:t>creditors of each type, a significant geographic dispersion</w:t>
      </w:r>
      <w:r w:rsidR="00622C3B" w:rsidRPr="00621ACC">
        <w:rPr>
          <w:color w:val="000000"/>
          <w:szCs w:val="24"/>
        </w:rPr>
        <w:t xml:space="preserve">, </w:t>
      </w:r>
      <w:r w:rsidR="000D049A" w:rsidRPr="00621ACC">
        <w:rPr>
          <w:color w:val="000000"/>
          <w:szCs w:val="24"/>
        </w:rPr>
        <w:t xml:space="preserve">and at least 150 card issuers, including the </w:t>
      </w:r>
      <w:r w:rsidR="00104F9F" w:rsidRPr="00621ACC">
        <w:rPr>
          <w:color w:val="000000"/>
          <w:szCs w:val="24"/>
        </w:rPr>
        <w:t>25</w:t>
      </w:r>
      <w:r w:rsidR="000D049A" w:rsidRPr="00621ACC">
        <w:rPr>
          <w:color w:val="000000"/>
          <w:szCs w:val="24"/>
        </w:rPr>
        <w:t xml:space="preserve"> largest issuers.</w:t>
      </w:r>
    </w:p>
    <w:p w:rsidR="004A0AF7" w:rsidRPr="00621ACC" w:rsidRDefault="004A0AF7" w:rsidP="00AB6BA1">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0D049A" w:rsidRPr="00621ACC" w:rsidRDefault="000D049A" w:rsidP="00AB6BA1">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621ACC">
        <w:rPr>
          <w:b/>
          <w:bCs/>
          <w:color w:val="000000"/>
          <w:szCs w:val="24"/>
        </w:rPr>
        <w:t>Time Schedule for Information Collection and Publication</w:t>
      </w:r>
    </w:p>
    <w:p w:rsidR="000D049A" w:rsidRPr="00621ACC"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p>
    <w:p w:rsidR="00EF7B62" w:rsidRPr="00621ACC"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621ACC">
        <w:rPr>
          <w:color w:val="000000"/>
          <w:szCs w:val="24"/>
        </w:rPr>
        <w:tab/>
        <w:t>Twice a year, the Federal Reserve Banks collect credit card price and availability information from a sample of card issuers</w:t>
      </w:r>
      <w:r w:rsidR="00EF7B62" w:rsidRPr="00621ACC">
        <w:rPr>
          <w:color w:val="000000"/>
          <w:szCs w:val="24"/>
        </w:rPr>
        <w:t xml:space="preserve"> on the FR 2572</w:t>
      </w:r>
      <w:r w:rsidRPr="00621ACC">
        <w:rPr>
          <w:color w:val="000000"/>
          <w:szCs w:val="24"/>
        </w:rPr>
        <w:t xml:space="preserve">, as of January 31 and July 31.  Each respondent must send its data to the appropriate Reserve Bank within </w:t>
      </w:r>
      <w:r w:rsidR="008C7FD2" w:rsidRPr="00621ACC">
        <w:rPr>
          <w:color w:val="000000"/>
          <w:szCs w:val="24"/>
        </w:rPr>
        <w:t xml:space="preserve">10 </w:t>
      </w:r>
      <w:r w:rsidRPr="00621ACC">
        <w:rPr>
          <w:color w:val="000000"/>
          <w:szCs w:val="24"/>
        </w:rPr>
        <w:t>business days of the as-</w:t>
      </w:r>
      <w:proofErr w:type="spellStart"/>
      <w:r w:rsidRPr="00621ACC">
        <w:rPr>
          <w:color w:val="000000"/>
          <w:szCs w:val="24"/>
        </w:rPr>
        <w:t>of</w:t>
      </w:r>
      <w:proofErr w:type="spellEnd"/>
      <w:r w:rsidRPr="00621ACC">
        <w:rPr>
          <w:color w:val="000000"/>
          <w:szCs w:val="24"/>
        </w:rPr>
        <w:t xml:space="preserve"> date, and the Reserve Bank must edit and transmit the data to the </w:t>
      </w:r>
      <w:r w:rsidR="00992194" w:rsidRPr="00621ACC">
        <w:rPr>
          <w:color w:val="000000"/>
          <w:szCs w:val="24"/>
        </w:rPr>
        <w:t xml:space="preserve">Federal Reserve </w:t>
      </w:r>
      <w:r w:rsidRPr="00621ACC">
        <w:rPr>
          <w:color w:val="000000"/>
          <w:szCs w:val="24"/>
        </w:rPr>
        <w:t xml:space="preserve">Board within </w:t>
      </w:r>
      <w:r w:rsidR="008C7FD2" w:rsidRPr="00621ACC">
        <w:rPr>
          <w:color w:val="000000"/>
          <w:szCs w:val="24"/>
        </w:rPr>
        <w:t xml:space="preserve">20 </w:t>
      </w:r>
      <w:r w:rsidRPr="00621ACC">
        <w:rPr>
          <w:color w:val="000000"/>
          <w:szCs w:val="24"/>
        </w:rPr>
        <w:t>business days of the as-</w:t>
      </w:r>
      <w:proofErr w:type="spellStart"/>
      <w:r w:rsidRPr="00621ACC">
        <w:rPr>
          <w:color w:val="000000"/>
          <w:szCs w:val="24"/>
        </w:rPr>
        <w:t>of</w:t>
      </w:r>
      <w:proofErr w:type="spellEnd"/>
      <w:r w:rsidRPr="00621ACC">
        <w:rPr>
          <w:color w:val="000000"/>
          <w:szCs w:val="24"/>
        </w:rPr>
        <w:t xml:space="preserve"> date.  Individual respondent data are then published </w:t>
      </w:r>
      <w:r w:rsidR="00E76A69" w:rsidRPr="00621ACC">
        <w:rPr>
          <w:color w:val="000000"/>
          <w:szCs w:val="24"/>
        </w:rPr>
        <w:t xml:space="preserve">on the </w:t>
      </w:r>
      <w:r w:rsidR="00992194" w:rsidRPr="00621ACC">
        <w:rPr>
          <w:color w:val="000000"/>
          <w:szCs w:val="24"/>
        </w:rPr>
        <w:t xml:space="preserve">Federal Reserve </w:t>
      </w:r>
      <w:r w:rsidR="00E76A69" w:rsidRPr="00621ACC">
        <w:rPr>
          <w:color w:val="000000"/>
          <w:szCs w:val="24"/>
        </w:rPr>
        <w:t>Board’s public web</w:t>
      </w:r>
      <w:r w:rsidR="00355EBA" w:rsidRPr="00621ACC">
        <w:rPr>
          <w:color w:val="000000"/>
          <w:szCs w:val="24"/>
        </w:rPr>
        <w:t xml:space="preserve"> </w:t>
      </w:r>
      <w:r w:rsidR="00E76A69" w:rsidRPr="00621ACC">
        <w:rPr>
          <w:color w:val="000000"/>
          <w:szCs w:val="24"/>
        </w:rPr>
        <w:t>site.</w:t>
      </w:r>
      <w:r w:rsidR="00EF7B62" w:rsidRPr="00621ACC">
        <w:rPr>
          <w:color w:val="000000"/>
          <w:szCs w:val="24"/>
        </w:rPr>
        <w:tab/>
      </w:r>
      <w:r w:rsidR="005E5025" w:rsidRPr="00621ACC">
        <w:rPr>
          <w:color w:val="000000"/>
          <w:szCs w:val="24"/>
        </w:rPr>
        <w:t xml:space="preserve"> </w:t>
      </w:r>
    </w:p>
    <w:p w:rsidR="000D049A" w:rsidRPr="00621ACC"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p>
    <w:p w:rsidR="000D049A" w:rsidRPr="00621ACC"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r w:rsidRPr="00621ACC">
        <w:rPr>
          <w:b/>
          <w:bCs/>
          <w:color w:val="000000"/>
          <w:szCs w:val="24"/>
        </w:rPr>
        <w:t>Legal Status</w:t>
      </w:r>
    </w:p>
    <w:p w:rsidR="000D049A" w:rsidRPr="00621ACC"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Cs w:val="24"/>
        </w:rPr>
      </w:pPr>
    </w:p>
    <w:p w:rsidR="00AD6728" w:rsidRPr="00621ACC" w:rsidRDefault="000D049A" w:rsidP="002263EA">
      <w:pPr>
        <w:ind w:firstLine="720"/>
        <w:rPr>
          <w:color w:val="000000"/>
          <w:szCs w:val="24"/>
        </w:rPr>
      </w:pPr>
      <w:r w:rsidRPr="00621ACC">
        <w:rPr>
          <w:color w:val="000000"/>
          <w:szCs w:val="24"/>
        </w:rPr>
        <w:t xml:space="preserve">The </w:t>
      </w:r>
      <w:r w:rsidR="00992194" w:rsidRPr="00621ACC">
        <w:rPr>
          <w:color w:val="000000"/>
          <w:szCs w:val="24"/>
        </w:rPr>
        <w:t xml:space="preserve">Federal Reserve </w:t>
      </w:r>
      <w:r w:rsidRPr="00621ACC">
        <w:rPr>
          <w:color w:val="000000"/>
          <w:szCs w:val="24"/>
        </w:rPr>
        <w:t>Board's Legal Division has</w:t>
      </w:r>
      <w:r w:rsidR="004F5556" w:rsidRPr="00621ACC">
        <w:rPr>
          <w:color w:val="000000"/>
          <w:szCs w:val="24"/>
        </w:rPr>
        <w:t xml:space="preserve"> </w:t>
      </w:r>
      <w:r w:rsidRPr="00621ACC">
        <w:rPr>
          <w:color w:val="000000"/>
          <w:szCs w:val="24"/>
        </w:rPr>
        <w:t>determined that</w:t>
      </w:r>
      <w:r w:rsidR="003C041D">
        <w:rPr>
          <w:color w:val="000000"/>
          <w:szCs w:val="24"/>
        </w:rPr>
        <w:t xml:space="preserve"> Section 136(b) of the Truth in Lending Act, </w:t>
      </w:r>
      <w:r w:rsidRPr="00621ACC">
        <w:rPr>
          <w:color w:val="000000"/>
          <w:szCs w:val="24"/>
        </w:rPr>
        <w:t>15 U.S.C. §1646(b)</w:t>
      </w:r>
      <w:r w:rsidR="003C041D">
        <w:rPr>
          <w:color w:val="000000"/>
          <w:szCs w:val="24"/>
        </w:rPr>
        <w:t>,</w:t>
      </w:r>
      <w:r w:rsidRPr="00621ACC">
        <w:rPr>
          <w:color w:val="000000"/>
          <w:szCs w:val="24"/>
        </w:rPr>
        <w:t xml:space="preserve"> </w:t>
      </w:r>
      <w:r w:rsidR="003C041D">
        <w:rPr>
          <w:color w:val="000000"/>
          <w:szCs w:val="24"/>
        </w:rPr>
        <w:t xml:space="preserve">requires </w:t>
      </w:r>
      <w:r w:rsidRPr="00621ACC">
        <w:rPr>
          <w:color w:val="000000"/>
          <w:szCs w:val="24"/>
        </w:rPr>
        <w:t xml:space="preserve">the </w:t>
      </w:r>
      <w:r w:rsidR="00992194" w:rsidRPr="00621ACC">
        <w:rPr>
          <w:color w:val="000000"/>
          <w:szCs w:val="24"/>
        </w:rPr>
        <w:t>Federal Reserve</w:t>
      </w:r>
      <w:r w:rsidR="003C041D">
        <w:rPr>
          <w:color w:val="000000"/>
          <w:szCs w:val="24"/>
        </w:rPr>
        <w:t xml:space="preserve"> Board</w:t>
      </w:r>
      <w:r w:rsidRPr="00621ACC">
        <w:rPr>
          <w:color w:val="000000"/>
          <w:szCs w:val="24"/>
        </w:rPr>
        <w:t xml:space="preserve"> to collect</w:t>
      </w:r>
      <w:r w:rsidR="003C041D">
        <w:rPr>
          <w:color w:val="000000"/>
          <w:szCs w:val="24"/>
        </w:rPr>
        <w:t>, on a semiannual basis,</w:t>
      </w:r>
      <w:r w:rsidRPr="00621ACC">
        <w:rPr>
          <w:color w:val="000000"/>
          <w:szCs w:val="24"/>
        </w:rPr>
        <w:t xml:space="preserve"> </w:t>
      </w:r>
      <w:r w:rsidR="003C041D">
        <w:rPr>
          <w:color w:val="000000"/>
          <w:szCs w:val="24"/>
        </w:rPr>
        <w:t>the credit card price and availability information contained in the FR 2572 from a broad sample of financial institutions</w:t>
      </w:r>
      <w:r w:rsidRPr="00621ACC">
        <w:rPr>
          <w:color w:val="000000"/>
          <w:szCs w:val="24"/>
        </w:rPr>
        <w:t xml:space="preserve">.  </w:t>
      </w:r>
      <w:r w:rsidR="007C7726">
        <w:t xml:space="preserve">Participation is required of the 25 largest issuers; other financial institutions participate voluntarily.  </w:t>
      </w:r>
      <w:r w:rsidR="007C7726">
        <w:rPr>
          <w:color w:val="000000"/>
          <w:szCs w:val="24"/>
        </w:rPr>
        <w:t>T</w:t>
      </w:r>
      <w:r w:rsidRPr="00621ACC">
        <w:rPr>
          <w:color w:val="000000"/>
          <w:szCs w:val="24"/>
        </w:rPr>
        <w:t>he data are not considered confidential.</w:t>
      </w:r>
      <w:r w:rsidR="002263EA">
        <w:rPr>
          <w:color w:val="000000"/>
          <w:szCs w:val="24"/>
        </w:rPr>
        <w:t xml:space="preserve">  </w:t>
      </w:r>
    </w:p>
    <w:p w:rsidR="00AD6728" w:rsidRPr="00621ACC" w:rsidRDefault="00AD6728" w:rsidP="002D14D2">
      <w:pPr>
        <w:ind w:firstLine="720"/>
        <w:rPr>
          <w:color w:val="000000"/>
          <w:szCs w:val="24"/>
        </w:rPr>
      </w:pPr>
    </w:p>
    <w:p w:rsidR="000D049A" w:rsidRPr="00621ACC"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621ACC">
        <w:rPr>
          <w:b/>
          <w:bCs/>
          <w:color w:val="000000"/>
          <w:szCs w:val="24"/>
        </w:rPr>
        <w:t xml:space="preserve">Consultation </w:t>
      </w:r>
      <w:proofErr w:type="gramStart"/>
      <w:r w:rsidRPr="00621ACC">
        <w:rPr>
          <w:b/>
          <w:bCs/>
          <w:color w:val="000000"/>
          <w:szCs w:val="24"/>
        </w:rPr>
        <w:t>Outside</w:t>
      </w:r>
      <w:proofErr w:type="gramEnd"/>
      <w:r w:rsidRPr="00621ACC">
        <w:rPr>
          <w:b/>
          <w:bCs/>
          <w:color w:val="000000"/>
          <w:szCs w:val="24"/>
        </w:rPr>
        <w:t xml:space="preserve"> the Agency</w:t>
      </w:r>
    </w:p>
    <w:p w:rsidR="000D049A" w:rsidRPr="00621ACC"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A77B95" w:rsidRDefault="00F26112" w:rsidP="00F26112">
      <w:pPr>
        <w:autoSpaceDE w:val="0"/>
        <w:autoSpaceDN w:val="0"/>
        <w:adjustRightInd w:val="0"/>
        <w:ind w:firstLine="720"/>
        <w:rPr>
          <w:snapToGrid/>
          <w:szCs w:val="24"/>
        </w:rPr>
      </w:pPr>
      <w:r>
        <w:rPr>
          <w:snapToGrid/>
          <w:szCs w:val="24"/>
        </w:rPr>
        <w:t xml:space="preserve">On March 31, 2010, the Federal Reserve published a notice in the </w:t>
      </w:r>
      <w:r>
        <w:rPr>
          <w:i/>
          <w:iCs/>
          <w:snapToGrid/>
          <w:szCs w:val="24"/>
        </w:rPr>
        <w:t xml:space="preserve">Federal Register </w:t>
      </w:r>
      <w:r>
        <w:rPr>
          <w:snapToGrid/>
          <w:szCs w:val="24"/>
        </w:rPr>
        <w:t>(75 FR 16120) requesting public comment for 60 days on the extension, with revision of the FR 2572.  The comment period for this notice expires on June 1, 2010.</w:t>
      </w:r>
      <w:r w:rsidR="0032064B">
        <w:rPr>
          <w:snapToGrid/>
          <w:szCs w:val="24"/>
        </w:rPr>
        <w:t xml:space="preserve">  </w:t>
      </w:r>
      <w:r w:rsidR="0032064B" w:rsidRPr="00A61C73">
        <w:t>The Federal Reserve did not receive any comments</w:t>
      </w:r>
      <w:r w:rsidR="0032064B">
        <w:t xml:space="preserve"> </w:t>
      </w:r>
      <w:r w:rsidR="0032064B">
        <w:rPr>
          <w:snapToGrid/>
          <w:szCs w:val="24"/>
        </w:rPr>
        <w:t>on the extension, with revision</w:t>
      </w:r>
      <w:r w:rsidR="0032064B" w:rsidRPr="00A61C73">
        <w:t xml:space="preserve">.  On </w:t>
      </w:r>
      <w:r w:rsidR="0032064B">
        <w:t>June 15, 2010</w:t>
      </w:r>
      <w:r w:rsidR="0032064B" w:rsidRPr="00A61C73">
        <w:t xml:space="preserve">, the Federal Reserve published a final notice in the </w:t>
      </w:r>
      <w:r w:rsidR="0032064B" w:rsidRPr="00A61C73">
        <w:rPr>
          <w:i/>
          <w:iCs/>
        </w:rPr>
        <w:t xml:space="preserve">Federal Register </w:t>
      </w:r>
      <w:r w:rsidR="0032064B" w:rsidRPr="00A61C73">
        <w:t>(7</w:t>
      </w:r>
      <w:r w:rsidR="0032064B">
        <w:t>5</w:t>
      </w:r>
      <w:r w:rsidR="0032064B" w:rsidRPr="00A61C73">
        <w:t xml:space="preserve"> </w:t>
      </w:r>
      <w:r w:rsidR="0032064B" w:rsidRPr="00187C15">
        <w:t xml:space="preserve">FR </w:t>
      </w:r>
      <w:r w:rsidR="0032064B">
        <w:t>33807</w:t>
      </w:r>
      <w:r w:rsidR="0032064B" w:rsidRPr="00187C15">
        <w:t>).</w:t>
      </w:r>
    </w:p>
    <w:p w:rsidR="00F26112" w:rsidRPr="00621ACC" w:rsidRDefault="00F26112" w:rsidP="00F26112">
      <w:pPr>
        <w:autoSpaceDE w:val="0"/>
        <w:autoSpaceDN w:val="0"/>
        <w:adjustRightInd w:val="0"/>
        <w:rPr>
          <w:b/>
          <w:bCs/>
          <w:color w:val="000000"/>
          <w:szCs w:val="24"/>
        </w:rPr>
      </w:pPr>
    </w:p>
    <w:p w:rsidR="000D049A" w:rsidRPr="00621ACC"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621ACC">
        <w:rPr>
          <w:b/>
          <w:bCs/>
          <w:color w:val="000000"/>
          <w:szCs w:val="24"/>
        </w:rPr>
        <w:t>Estimate of Respondent Burden</w:t>
      </w:r>
    </w:p>
    <w:p w:rsidR="000D049A" w:rsidRPr="00621ACC"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032A0B" w:rsidRDefault="00FB3D3E" w:rsidP="00032A0B">
      <w:pPr>
        <w:autoSpaceDE w:val="0"/>
        <w:autoSpaceDN w:val="0"/>
        <w:adjustRightInd w:val="0"/>
        <w:ind w:firstLine="720"/>
        <w:rPr>
          <w:bCs/>
          <w:snapToGrid/>
          <w:color w:val="000000"/>
          <w:szCs w:val="24"/>
        </w:rPr>
      </w:pPr>
      <w:r w:rsidRPr="00621ACC">
        <w:rPr>
          <w:color w:val="000000"/>
          <w:szCs w:val="24"/>
        </w:rPr>
        <w:t>As shown in t</w:t>
      </w:r>
      <w:r w:rsidR="002D201F" w:rsidRPr="00621ACC">
        <w:rPr>
          <w:color w:val="000000"/>
          <w:szCs w:val="24"/>
        </w:rPr>
        <w:t>he following table</w:t>
      </w:r>
      <w:r w:rsidRPr="00621ACC">
        <w:rPr>
          <w:color w:val="000000"/>
          <w:szCs w:val="24"/>
        </w:rPr>
        <w:t>,</w:t>
      </w:r>
      <w:r w:rsidR="002D201F" w:rsidRPr="00621ACC">
        <w:rPr>
          <w:color w:val="000000"/>
          <w:szCs w:val="24"/>
        </w:rPr>
        <w:t xml:space="preserve"> the </w:t>
      </w:r>
      <w:r w:rsidR="00AD6728" w:rsidRPr="00621ACC">
        <w:rPr>
          <w:color w:val="000000"/>
          <w:szCs w:val="24"/>
        </w:rPr>
        <w:t xml:space="preserve">current </w:t>
      </w:r>
      <w:r w:rsidR="002D201F" w:rsidRPr="00621ACC">
        <w:rPr>
          <w:color w:val="000000"/>
          <w:szCs w:val="24"/>
        </w:rPr>
        <w:t xml:space="preserve">annual reporting burden for the </w:t>
      </w:r>
      <w:r w:rsidR="009654B2" w:rsidRPr="00621ACC">
        <w:rPr>
          <w:color w:val="000000"/>
          <w:szCs w:val="24"/>
        </w:rPr>
        <w:t xml:space="preserve">information collection </w:t>
      </w:r>
      <w:r w:rsidRPr="00621ACC">
        <w:rPr>
          <w:color w:val="000000"/>
          <w:szCs w:val="24"/>
        </w:rPr>
        <w:t xml:space="preserve">is estimated to be </w:t>
      </w:r>
      <w:r w:rsidR="006E0508" w:rsidRPr="00621ACC">
        <w:rPr>
          <w:color w:val="000000"/>
          <w:szCs w:val="24"/>
        </w:rPr>
        <w:t xml:space="preserve">338 </w:t>
      </w:r>
      <w:r w:rsidRPr="00621ACC">
        <w:rPr>
          <w:color w:val="000000"/>
          <w:szCs w:val="24"/>
        </w:rPr>
        <w:t>hours</w:t>
      </w:r>
      <w:r w:rsidR="002D201F" w:rsidRPr="00621ACC">
        <w:rPr>
          <w:color w:val="000000"/>
          <w:szCs w:val="24"/>
        </w:rPr>
        <w:t>.</w:t>
      </w:r>
      <w:r w:rsidR="0088101A" w:rsidRPr="00621ACC">
        <w:rPr>
          <w:color w:val="000000"/>
          <w:szCs w:val="24"/>
        </w:rPr>
        <w:t xml:space="preserve">  </w:t>
      </w:r>
      <w:r w:rsidR="006E0508" w:rsidRPr="00621ACC">
        <w:t xml:space="preserve">The </w:t>
      </w:r>
      <w:r w:rsidR="009654B2" w:rsidRPr="00621ACC">
        <w:t xml:space="preserve">proposed </w:t>
      </w:r>
      <w:r w:rsidR="006E0508" w:rsidRPr="00621ACC">
        <w:t xml:space="preserve">annual burden for the FR 2572 would be 75 hours, a decrease of 263 hours.  </w:t>
      </w:r>
      <w:r w:rsidR="006E0508" w:rsidRPr="00621ACC">
        <w:rPr>
          <w:szCs w:val="24"/>
        </w:rPr>
        <w:t>The burden decrease is attributed to the removal</w:t>
      </w:r>
      <w:r w:rsidR="006E0508" w:rsidRPr="00621ACC">
        <w:rPr>
          <w:color w:val="000000"/>
          <w:szCs w:val="24"/>
        </w:rPr>
        <w:t xml:space="preserve"> of the FR 2572S, which is a one-time supplementary survey.  </w:t>
      </w:r>
      <w:r w:rsidR="00EC2650" w:rsidRPr="00621ACC">
        <w:rPr>
          <w:color w:val="000000"/>
          <w:szCs w:val="24"/>
        </w:rPr>
        <w:t xml:space="preserve">The Federal Reserve is required to collect </w:t>
      </w:r>
      <w:r w:rsidR="006E0508" w:rsidRPr="00621ACC">
        <w:rPr>
          <w:color w:val="000000"/>
          <w:szCs w:val="24"/>
        </w:rPr>
        <w:t xml:space="preserve">the FR 2572 </w:t>
      </w:r>
      <w:r w:rsidR="00EC2650" w:rsidRPr="00621ACC">
        <w:rPr>
          <w:color w:val="000000"/>
          <w:szCs w:val="24"/>
        </w:rPr>
        <w:t>from at least 150 credit card issuers; typically the number of respondents fluctuates right around 150.  Since the information collected on the FR 2572 is in nearly all respects identical to information that card issuers are required to disclose in their credit card solicitations, the FR 2572 imposes little burden.</w:t>
      </w:r>
      <w:r w:rsidR="002263EA">
        <w:rPr>
          <w:color w:val="000000"/>
          <w:szCs w:val="24"/>
        </w:rPr>
        <w:t xml:space="preserve">  </w:t>
      </w:r>
      <w:r w:rsidR="00130BA9" w:rsidRPr="00130BA9">
        <w:rPr>
          <w:bCs/>
          <w:snapToGrid/>
          <w:szCs w:val="24"/>
        </w:rPr>
        <w:t>These reporting requirements</w:t>
      </w:r>
      <w:r w:rsidR="00130BA9" w:rsidRPr="003C457F">
        <w:rPr>
          <w:bCs/>
          <w:snapToGrid/>
          <w:color w:val="FF0000"/>
          <w:szCs w:val="24"/>
        </w:rPr>
        <w:t xml:space="preserve"> </w:t>
      </w:r>
      <w:r w:rsidR="00130BA9" w:rsidRPr="003C457F">
        <w:rPr>
          <w:bCs/>
          <w:snapToGrid/>
          <w:color w:val="000000"/>
          <w:szCs w:val="24"/>
        </w:rPr>
        <w:t>represent less than 1 percent of total Federal Reserve System paperwork burden.</w:t>
      </w:r>
    </w:p>
    <w:p w:rsidR="00DD19A5" w:rsidRDefault="00DD19A5" w:rsidP="00032A0B">
      <w:pPr>
        <w:autoSpaceDE w:val="0"/>
        <w:autoSpaceDN w:val="0"/>
        <w:adjustRightInd w:val="0"/>
        <w:ind w:firstLine="720"/>
        <w:rPr>
          <w:bCs/>
          <w:snapToGrid/>
          <w:color w:val="000000"/>
          <w:szCs w:val="24"/>
        </w:rPr>
      </w:pPr>
    </w:p>
    <w:p w:rsidR="00DD19A5" w:rsidRDefault="00DD19A5" w:rsidP="00032A0B">
      <w:pPr>
        <w:autoSpaceDE w:val="0"/>
        <w:autoSpaceDN w:val="0"/>
        <w:adjustRightInd w:val="0"/>
        <w:ind w:firstLine="720"/>
        <w:rPr>
          <w:bCs/>
          <w:snapToGrid/>
          <w:color w:val="000000"/>
          <w:szCs w:val="24"/>
        </w:rPr>
      </w:pPr>
    </w:p>
    <w:p w:rsidR="00DD19A5" w:rsidRDefault="00DD19A5" w:rsidP="00032A0B">
      <w:pPr>
        <w:autoSpaceDE w:val="0"/>
        <w:autoSpaceDN w:val="0"/>
        <w:adjustRightInd w:val="0"/>
        <w:ind w:firstLine="720"/>
        <w:rPr>
          <w:bCs/>
          <w:snapToGrid/>
          <w:color w:val="000000"/>
          <w:szCs w:val="24"/>
        </w:rPr>
      </w:pPr>
    </w:p>
    <w:p w:rsidR="00DD19A5" w:rsidRDefault="00DD19A5" w:rsidP="00032A0B">
      <w:pPr>
        <w:autoSpaceDE w:val="0"/>
        <w:autoSpaceDN w:val="0"/>
        <w:adjustRightInd w:val="0"/>
        <w:ind w:firstLine="720"/>
        <w:rPr>
          <w:bCs/>
          <w:snapToGrid/>
          <w:color w:val="000000"/>
          <w:szCs w:val="24"/>
        </w:rPr>
      </w:pPr>
    </w:p>
    <w:p w:rsidR="00DD19A5" w:rsidRDefault="00DD19A5" w:rsidP="00032A0B">
      <w:pPr>
        <w:autoSpaceDE w:val="0"/>
        <w:autoSpaceDN w:val="0"/>
        <w:adjustRightInd w:val="0"/>
        <w:ind w:firstLine="720"/>
        <w:rPr>
          <w:bCs/>
          <w:snapToGrid/>
          <w:color w:val="000000"/>
          <w:szCs w:val="24"/>
        </w:rPr>
      </w:pPr>
    </w:p>
    <w:p w:rsidR="00DD19A5" w:rsidRDefault="00DD19A5" w:rsidP="00032A0B">
      <w:pPr>
        <w:autoSpaceDE w:val="0"/>
        <w:autoSpaceDN w:val="0"/>
        <w:adjustRightInd w:val="0"/>
        <w:ind w:firstLine="720"/>
        <w:rPr>
          <w:bCs/>
          <w:snapToGrid/>
          <w:color w:val="000000"/>
          <w:szCs w:val="24"/>
        </w:rPr>
      </w:pPr>
    </w:p>
    <w:p w:rsidR="00C248F9" w:rsidRDefault="00C248F9" w:rsidP="00032A0B">
      <w:pPr>
        <w:autoSpaceDE w:val="0"/>
        <w:autoSpaceDN w:val="0"/>
        <w:adjustRightInd w:val="0"/>
        <w:ind w:firstLine="720"/>
        <w:rPr>
          <w:bCs/>
          <w:snapToGrid/>
          <w:color w:val="000000"/>
          <w:szCs w:val="24"/>
        </w:rPr>
      </w:pPr>
    </w:p>
    <w:tbl>
      <w:tblPr>
        <w:tblW w:w="8519" w:type="dxa"/>
        <w:jc w:val="center"/>
        <w:tblInd w:w="478" w:type="dxa"/>
        <w:tblBorders>
          <w:top w:val="single" w:sz="4" w:space="0" w:color="auto"/>
          <w:bottom w:val="single" w:sz="4" w:space="0" w:color="auto"/>
        </w:tblBorders>
        <w:tblLayout w:type="fixed"/>
        <w:tblCellMar>
          <w:left w:w="120" w:type="dxa"/>
          <w:right w:w="120" w:type="dxa"/>
        </w:tblCellMar>
        <w:tblLook w:val="0000"/>
      </w:tblPr>
      <w:tblGrid>
        <w:gridCol w:w="2550"/>
        <w:gridCol w:w="1492"/>
        <w:gridCol w:w="1492"/>
        <w:gridCol w:w="1492"/>
        <w:gridCol w:w="1493"/>
      </w:tblGrid>
      <w:tr w:rsidR="00AD6728" w:rsidRPr="0065454B" w:rsidTr="0065454B">
        <w:trPr>
          <w:jc w:val="center"/>
        </w:trPr>
        <w:tc>
          <w:tcPr>
            <w:tcW w:w="2550" w:type="dxa"/>
            <w:vAlign w:val="center"/>
          </w:tcPr>
          <w:p w:rsidR="00AD6728" w:rsidRPr="0065454B" w:rsidRDefault="00AD6728" w:rsidP="00621ACC">
            <w:pPr>
              <w:rPr>
                <w:szCs w:val="24"/>
              </w:rPr>
            </w:pPr>
          </w:p>
        </w:tc>
        <w:tc>
          <w:tcPr>
            <w:tcW w:w="1492" w:type="dxa"/>
            <w:vAlign w:val="center"/>
          </w:tcPr>
          <w:p w:rsidR="00621ACC" w:rsidRPr="0065454B" w:rsidRDefault="00AD6728" w:rsidP="0065454B">
            <w:pPr>
              <w:jc w:val="center"/>
              <w:rPr>
                <w:i/>
                <w:szCs w:val="24"/>
              </w:rPr>
            </w:pPr>
            <w:r w:rsidRPr="0065454B">
              <w:rPr>
                <w:i/>
                <w:szCs w:val="24"/>
              </w:rPr>
              <w:t>Number</w:t>
            </w:r>
          </w:p>
          <w:p w:rsidR="00AD6728" w:rsidRPr="0065454B" w:rsidRDefault="00AD6728" w:rsidP="0065454B">
            <w:pPr>
              <w:jc w:val="center"/>
              <w:rPr>
                <w:i/>
                <w:szCs w:val="24"/>
              </w:rPr>
            </w:pPr>
            <w:r w:rsidRPr="0065454B">
              <w:rPr>
                <w:i/>
                <w:szCs w:val="24"/>
              </w:rPr>
              <w:t>of</w:t>
            </w:r>
          </w:p>
          <w:p w:rsidR="00AD6728" w:rsidRPr="0065454B" w:rsidRDefault="00AD6728" w:rsidP="0065454B">
            <w:pPr>
              <w:jc w:val="center"/>
              <w:rPr>
                <w:i/>
                <w:szCs w:val="24"/>
              </w:rPr>
            </w:pPr>
            <w:r w:rsidRPr="0065454B">
              <w:rPr>
                <w:i/>
                <w:szCs w:val="24"/>
              </w:rPr>
              <w:t>respondents</w:t>
            </w:r>
          </w:p>
        </w:tc>
        <w:tc>
          <w:tcPr>
            <w:tcW w:w="1492" w:type="dxa"/>
            <w:vAlign w:val="center"/>
          </w:tcPr>
          <w:p w:rsidR="00AD6728" w:rsidRPr="0065454B" w:rsidRDefault="00AD6728" w:rsidP="0065454B">
            <w:pPr>
              <w:jc w:val="center"/>
              <w:rPr>
                <w:i/>
                <w:szCs w:val="24"/>
              </w:rPr>
            </w:pPr>
            <w:r w:rsidRPr="0065454B">
              <w:rPr>
                <w:i/>
                <w:szCs w:val="24"/>
              </w:rPr>
              <w:t>Annual</w:t>
            </w:r>
          </w:p>
          <w:p w:rsidR="00AD6728" w:rsidRPr="0065454B" w:rsidRDefault="00AD6728" w:rsidP="0065454B">
            <w:pPr>
              <w:jc w:val="center"/>
              <w:rPr>
                <w:i/>
                <w:szCs w:val="24"/>
              </w:rPr>
            </w:pPr>
            <w:r w:rsidRPr="0065454B">
              <w:rPr>
                <w:i/>
                <w:szCs w:val="24"/>
              </w:rPr>
              <w:t>frequency</w:t>
            </w:r>
          </w:p>
        </w:tc>
        <w:tc>
          <w:tcPr>
            <w:tcW w:w="1492" w:type="dxa"/>
            <w:vAlign w:val="center"/>
          </w:tcPr>
          <w:p w:rsidR="00AD6728" w:rsidRPr="0065454B" w:rsidRDefault="00AD6728" w:rsidP="0065454B">
            <w:pPr>
              <w:jc w:val="center"/>
              <w:rPr>
                <w:i/>
                <w:szCs w:val="24"/>
              </w:rPr>
            </w:pPr>
            <w:r w:rsidRPr="0065454B">
              <w:rPr>
                <w:i/>
                <w:szCs w:val="24"/>
              </w:rPr>
              <w:t>Estimated</w:t>
            </w:r>
          </w:p>
          <w:p w:rsidR="00AD6728" w:rsidRPr="0065454B" w:rsidRDefault="00AD6728" w:rsidP="0065454B">
            <w:pPr>
              <w:jc w:val="center"/>
              <w:rPr>
                <w:i/>
                <w:szCs w:val="24"/>
              </w:rPr>
            </w:pPr>
            <w:r w:rsidRPr="0065454B">
              <w:rPr>
                <w:i/>
                <w:szCs w:val="24"/>
              </w:rPr>
              <w:t>average hours</w:t>
            </w:r>
          </w:p>
          <w:p w:rsidR="00AD6728" w:rsidRPr="0065454B" w:rsidRDefault="00AD6728" w:rsidP="0065454B">
            <w:pPr>
              <w:jc w:val="center"/>
              <w:rPr>
                <w:i/>
                <w:szCs w:val="24"/>
              </w:rPr>
            </w:pPr>
            <w:r w:rsidRPr="0065454B">
              <w:rPr>
                <w:i/>
                <w:szCs w:val="24"/>
              </w:rPr>
              <w:t>per response</w:t>
            </w:r>
          </w:p>
        </w:tc>
        <w:tc>
          <w:tcPr>
            <w:tcW w:w="1493" w:type="dxa"/>
            <w:vAlign w:val="center"/>
          </w:tcPr>
          <w:p w:rsidR="00AD6728" w:rsidRPr="0065454B" w:rsidRDefault="00AD6728" w:rsidP="00AF4273">
            <w:pPr>
              <w:jc w:val="center"/>
              <w:rPr>
                <w:i/>
                <w:iCs/>
                <w:szCs w:val="24"/>
              </w:rPr>
            </w:pPr>
            <w:r w:rsidRPr="0065454B">
              <w:rPr>
                <w:i/>
                <w:iCs/>
                <w:szCs w:val="24"/>
              </w:rPr>
              <w:t>Estimated</w:t>
            </w:r>
          </w:p>
          <w:p w:rsidR="00AD6728" w:rsidRPr="0065454B" w:rsidRDefault="00AD6728" w:rsidP="00AF4273">
            <w:pPr>
              <w:jc w:val="center"/>
              <w:rPr>
                <w:i/>
                <w:iCs/>
                <w:szCs w:val="24"/>
              </w:rPr>
            </w:pPr>
            <w:r w:rsidRPr="0065454B">
              <w:rPr>
                <w:i/>
                <w:iCs/>
                <w:szCs w:val="24"/>
              </w:rPr>
              <w:t>annual burden</w:t>
            </w:r>
          </w:p>
          <w:p w:rsidR="00AD6728" w:rsidRPr="0065454B" w:rsidRDefault="00AD6728" w:rsidP="00AF4273">
            <w:pPr>
              <w:jc w:val="center"/>
              <w:rPr>
                <w:i/>
                <w:szCs w:val="24"/>
              </w:rPr>
            </w:pPr>
            <w:r w:rsidRPr="0065454B">
              <w:rPr>
                <w:i/>
                <w:iCs/>
                <w:szCs w:val="24"/>
              </w:rPr>
              <w:t>hours</w:t>
            </w:r>
          </w:p>
        </w:tc>
      </w:tr>
      <w:tr w:rsidR="00AD6728" w:rsidRPr="0065454B" w:rsidTr="0065454B">
        <w:trPr>
          <w:trHeight w:val="300"/>
          <w:jc w:val="center"/>
        </w:trPr>
        <w:tc>
          <w:tcPr>
            <w:tcW w:w="2550" w:type="dxa"/>
            <w:vAlign w:val="bottom"/>
          </w:tcPr>
          <w:p w:rsidR="00AD6728" w:rsidRPr="0065454B" w:rsidRDefault="00AD6728" w:rsidP="00621ACC">
            <w:pPr>
              <w:rPr>
                <w:b/>
                <w:szCs w:val="24"/>
              </w:rPr>
            </w:pPr>
            <w:r w:rsidRPr="0065454B">
              <w:rPr>
                <w:b/>
                <w:szCs w:val="24"/>
              </w:rPr>
              <w:t>Current</w:t>
            </w:r>
          </w:p>
        </w:tc>
        <w:tc>
          <w:tcPr>
            <w:tcW w:w="1492" w:type="dxa"/>
            <w:tcMar>
              <w:right w:w="576" w:type="dxa"/>
            </w:tcMar>
            <w:vAlign w:val="bottom"/>
          </w:tcPr>
          <w:p w:rsidR="00AD6728" w:rsidRPr="0065454B" w:rsidRDefault="00AD6728" w:rsidP="0065454B">
            <w:pPr>
              <w:ind w:right="-524"/>
              <w:jc w:val="center"/>
              <w:rPr>
                <w:szCs w:val="24"/>
              </w:rPr>
            </w:pPr>
          </w:p>
        </w:tc>
        <w:tc>
          <w:tcPr>
            <w:tcW w:w="1492" w:type="dxa"/>
            <w:tcMar>
              <w:right w:w="576" w:type="dxa"/>
            </w:tcMar>
            <w:vAlign w:val="bottom"/>
          </w:tcPr>
          <w:p w:rsidR="00AD6728" w:rsidRPr="0065454B" w:rsidRDefault="00AD6728" w:rsidP="0065454B">
            <w:pPr>
              <w:ind w:right="-562"/>
              <w:jc w:val="center"/>
              <w:rPr>
                <w:szCs w:val="24"/>
              </w:rPr>
            </w:pPr>
          </w:p>
        </w:tc>
        <w:tc>
          <w:tcPr>
            <w:tcW w:w="1492" w:type="dxa"/>
            <w:tcMar>
              <w:right w:w="576" w:type="dxa"/>
            </w:tcMar>
            <w:vAlign w:val="bottom"/>
          </w:tcPr>
          <w:p w:rsidR="00AD6728" w:rsidRPr="0065454B" w:rsidRDefault="00AD6728" w:rsidP="0065454B">
            <w:pPr>
              <w:ind w:right="-600"/>
              <w:jc w:val="center"/>
              <w:rPr>
                <w:szCs w:val="24"/>
              </w:rPr>
            </w:pPr>
          </w:p>
        </w:tc>
        <w:tc>
          <w:tcPr>
            <w:tcW w:w="1493" w:type="dxa"/>
            <w:tcMar>
              <w:right w:w="576" w:type="dxa"/>
            </w:tcMar>
            <w:vAlign w:val="bottom"/>
          </w:tcPr>
          <w:p w:rsidR="00AD6728" w:rsidRPr="0065454B" w:rsidRDefault="00AD6728" w:rsidP="00621ACC">
            <w:pPr>
              <w:ind w:right="-457"/>
              <w:jc w:val="right"/>
              <w:rPr>
                <w:szCs w:val="24"/>
              </w:rPr>
            </w:pPr>
          </w:p>
        </w:tc>
      </w:tr>
      <w:tr w:rsidR="00AD6728" w:rsidRPr="0065454B" w:rsidTr="0065454B">
        <w:trPr>
          <w:trHeight w:val="300"/>
          <w:jc w:val="center"/>
        </w:trPr>
        <w:tc>
          <w:tcPr>
            <w:tcW w:w="2550" w:type="dxa"/>
            <w:vAlign w:val="bottom"/>
          </w:tcPr>
          <w:p w:rsidR="00AD6728" w:rsidRPr="0065454B" w:rsidRDefault="00AD6728" w:rsidP="00621ACC">
            <w:pPr>
              <w:rPr>
                <w:b/>
                <w:szCs w:val="24"/>
              </w:rPr>
            </w:pPr>
            <w:r w:rsidRPr="0065454B">
              <w:rPr>
                <w:szCs w:val="24"/>
              </w:rPr>
              <w:t>FR 2572</w:t>
            </w:r>
          </w:p>
        </w:tc>
        <w:tc>
          <w:tcPr>
            <w:tcW w:w="1492" w:type="dxa"/>
            <w:tcMar>
              <w:right w:w="576" w:type="dxa"/>
            </w:tcMar>
            <w:vAlign w:val="bottom"/>
          </w:tcPr>
          <w:p w:rsidR="00AD6728" w:rsidRPr="0065454B" w:rsidRDefault="00AD6728" w:rsidP="0065454B">
            <w:pPr>
              <w:ind w:right="-524"/>
              <w:jc w:val="center"/>
              <w:rPr>
                <w:szCs w:val="24"/>
              </w:rPr>
            </w:pPr>
            <w:r w:rsidRPr="0065454B">
              <w:rPr>
                <w:szCs w:val="24"/>
              </w:rPr>
              <w:t>150</w:t>
            </w:r>
          </w:p>
        </w:tc>
        <w:tc>
          <w:tcPr>
            <w:tcW w:w="1492" w:type="dxa"/>
            <w:tcMar>
              <w:right w:w="576" w:type="dxa"/>
            </w:tcMar>
            <w:vAlign w:val="bottom"/>
          </w:tcPr>
          <w:p w:rsidR="00AD6728" w:rsidRPr="0065454B" w:rsidRDefault="00AD6728" w:rsidP="0065454B">
            <w:pPr>
              <w:ind w:right="-562"/>
              <w:jc w:val="center"/>
              <w:rPr>
                <w:szCs w:val="24"/>
              </w:rPr>
            </w:pPr>
            <w:r w:rsidRPr="0065454B">
              <w:rPr>
                <w:szCs w:val="24"/>
              </w:rPr>
              <w:t>2</w:t>
            </w:r>
          </w:p>
        </w:tc>
        <w:tc>
          <w:tcPr>
            <w:tcW w:w="1492" w:type="dxa"/>
            <w:tcMar>
              <w:right w:w="576" w:type="dxa"/>
            </w:tcMar>
            <w:vAlign w:val="bottom"/>
          </w:tcPr>
          <w:p w:rsidR="00AD6728" w:rsidRPr="0065454B" w:rsidRDefault="00AD6728" w:rsidP="0065454B">
            <w:pPr>
              <w:ind w:right="-600"/>
              <w:jc w:val="center"/>
              <w:rPr>
                <w:szCs w:val="24"/>
              </w:rPr>
            </w:pPr>
            <w:r w:rsidRPr="0065454B">
              <w:rPr>
                <w:szCs w:val="24"/>
              </w:rPr>
              <w:t>0.25</w:t>
            </w:r>
          </w:p>
        </w:tc>
        <w:tc>
          <w:tcPr>
            <w:tcW w:w="1493" w:type="dxa"/>
            <w:tcMar>
              <w:right w:w="576" w:type="dxa"/>
            </w:tcMar>
            <w:vAlign w:val="bottom"/>
          </w:tcPr>
          <w:p w:rsidR="00AD6728" w:rsidRPr="0065454B" w:rsidRDefault="00AD6728" w:rsidP="00621ACC">
            <w:pPr>
              <w:ind w:right="-457"/>
              <w:jc w:val="right"/>
              <w:rPr>
                <w:szCs w:val="24"/>
              </w:rPr>
            </w:pPr>
            <w:r w:rsidRPr="0065454B">
              <w:rPr>
                <w:szCs w:val="24"/>
              </w:rPr>
              <w:t>75</w:t>
            </w:r>
          </w:p>
        </w:tc>
      </w:tr>
      <w:tr w:rsidR="00AD6728" w:rsidRPr="0065454B" w:rsidTr="0065454B">
        <w:trPr>
          <w:trHeight w:val="300"/>
          <w:jc w:val="center"/>
        </w:trPr>
        <w:tc>
          <w:tcPr>
            <w:tcW w:w="2550" w:type="dxa"/>
            <w:vAlign w:val="bottom"/>
          </w:tcPr>
          <w:p w:rsidR="00AD6728" w:rsidRPr="0065454B" w:rsidRDefault="00AD6728" w:rsidP="00621ACC">
            <w:pPr>
              <w:rPr>
                <w:b/>
                <w:szCs w:val="24"/>
              </w:rPr>
            </w:pPr>
            <w:r w:rsidRPr="0065454B">
              <w:rPr>
                <w:szCs w:val="24"/>
              </w:rPr>
              <w:t>FR 2572S</w:t>
            </w:r>
          </w:p>
        </w:tc>
        <w:tc>
          <w:tcPr>
            <w:tcW w:w="1492" w:type="dxa"/>
            <w:tcMar>
              <w:right w:w="576" w:type="dxa"/>
            </w:tcMar>
            <w:vAlign w:val="bottom"/>
          </w:tcPr>
          <w:p w:rsidR="00AD6728" w:rsidRPr="0065454B" w:rsidRDefault="00AD6728" w:rsidP="0065454B">
            <w:pPr>
              <w:ind w:right="-524"/>
              <w:jc w:val="center"/>
              <w:rPr>
                <w:szCs w:val="24"/>
              </w:rPr>
            </w:pPr>
            <w:r w:rsidRPr="0065454B">
              <w:rPr>
                <w:szCs w:val="24"/>
              </w:rPr>
              <w:t>175</w:t>
            </w:r>
          </w:p>
        </w:tc>
        <w:tc>
          <w:tcPr>
            <w:tcW w:w="1492" w:type="dxa"/>
            <w:tcMar>
              <w:right w:w="576" w:type="dxa"/>
            </w:tcMar>
            <w:vAlign w:val="bottom"/>
          </w:tcPr>
          <w:p w:rsidR="00AD6728" w:rsidRPr="0065454B" w:rsidRDefault="00AD6728" w:rsidP="0065454B">
            <w:pPr>
              <w:ind w:right="-562"/>
              <w:jc w:val="center"/>
              <w:rPr>
                <w:szCs w:val="24"/>
              </w:rPr>
            </w:pPr>
            <w:r w:rsidRPr="0065454B">
              <w:rPr>
                <w:szCs w:val="24"/>
              </w:rPr>
              <w:t>1</w:t>
            </w:r>
          </w:p>
        </w:tc>
        <w:tc>
          <w:tcPr>
            <w:tcW w:w="1492" w:type="dxa"/>
            <w:tcMar>
              <w:right w:w="576" w:type="dxa"/>
            </w:tcMar>
            <w:vAlign w:val="bottom"/>
          </w:tcPr>
          <w:p w:rsidR="00AD6728" w:rsidRPr="0065454B" w:rsidRDefault="00AD6728" w:rsidP="0065454B">
            <w:pPr>
              <w:ind w:right="-600"/>
              <w:jc w:val="center"/>
              <w:rPr>
                <w:szCs w:val="24"/>
              </w:rPr>
            </w:pPr>
            <w:r w:rsidRPr="0065454B">
              <w:rPr>
                <w:szCs w:val="24"/>
              </w:rPr>
              <w:t>1.50</w:t>
            </w:r>
          </w:p>
        </w:tc>
        <w:tc>
          <w:tcPr>
            <w:tcW w:w="1493" w:type="dxa"/>
            <w:tcMar>
              <w:right w:w="576" w:type="dxa"/>
            </w:tcMar>
            <w:vAlign w:val="bottom"/>
          </w:tcPr>
          <w:p w:rsidR="00AD6728" w:rsidRPr="0065454B" w:rsidRDefault="00AD6728" w:rsidP="00621ACC">
            <w:pPr>
              <w:ind w:right="-457"/>
              <w:jc w:val="right"/>
              <w:rPr>
                <w:szCs w:val="24"/>
                <w:u w:val="single"/>
              </w:rPr>
            </w:pPr>
            <w:r w:rsidRPr="0065454B">
              <w:rPr>
                <w:szCs w:val="24"/>
                <w:u w:val="single"/>
              </w:rPr>
              <w:t>263</w:t>
            </w:r>
          </w:p>
        </w:tc>
      </w:tr>
      <w:tr w:rsidR="00621ACC" w:rsidRPr="0065454B" w:rsidTr="0065454B">
        <w:trPr>
          <w:trHeight w:val="300"/>
          <w:jc w:val="center"/>
        </w:trPr>
        <w:tc>
          <w:tcPr>
            <w:tcW w:w="2550" w:type="dxa"/>
          </w:tcPr>
          <w:p w:rsidR="00621ACC" w:rsidRPr="0065454B" w:rsidRDefault="00621ACC" w:rsidP="0065454B">
            <w:pPr>
              <w:jc w:val="right"/>
              <w:rPr>
                <w:i/>
                <w:szCs w:val="24"/>
              </w:rPr>
            </w:pPr>
            <w:r w:rsidRPr="0065454B">
              <w:rPr>
                <w:i/>
                <w:szCs w:val="24"/>
              </w:rPr>
              <w:t>Total</w:t>
            </w:r>
          </w:p>
        </w:tc>
        <w:tc>
          <w:tcPr>
            <w:tcW w:w="1492" w:type="dxa"/>
            <w:tcMar>
              <w:right w:w="576" w:type="dxa"/>
            </w:tcMar>
            <w:vAlign w:val="bottom"/>
          </w:tcPr>
          <w:p w:rsidR="00621ACC" w:rsidRPr="0065454B" w:rsidRDefault="00621ACC" w:rsidP="0065454B">
            <w:pPr>
              <w:ind w:right="-524"/>
              <w:jc w:val="center"/>
              <w:rPr>
                <w:i/>
                <w:szCs w:val="24"/>
              </w:rPr>
            </w:pPr>
          </w:p>
        </w:tc>
        <w:tc>
          <w:tcPr>
            <w:tcW w:w="1492" w:type="dxa"/>
            <w:tcMar>
              <w:right w:w="576" w:type="dxa"/>
            </w:tcMar>
            <w:vAlign w:val="bottom"/>
          </w:tcPr>
          <w:p w:rsidR="00621ACC" w:rsidRPr="0065454B" w:rsidRDefault="00621ACC" w:rsidP="0065454B">
            <w:pPr>
              <w:ind w:right="-562"/>
              <w:jc w:val="center"/>
              <w:rPr>
                <w:szCs w:val="24"/>
              </w:rPr>
            </w:pPr>
          </w:p>
        </w:tc>
        <w:tc>
          <w:tcPr>
            <w:tcW w:w="1492" w:type="dxa"/>
            <w:tcMar>
              <w:right w:w="576" w:type="dxa"/>
            </w:tcMar>
            <w:vAlign w:val="bottom"/>
          </w:tcPr>
          <w:p w:rsidR="00621ACC" w:rsidRPr="0065454B" w:rsidRDefault="00621ACC" w:rsidP="0065454B">
            <w:pPr>
              <w:ind w:right="-600"/>
              <w:jc w:val="center"/>
              <w:rPr>
                <w:szCs w:val="24"/>
              </w:rPr>
            </w:pPr>
          </w:p>
        </w:tc>
        <w:tc>
          <w:tcPr>
            <w:tcW w:w="1493" w:type="dxa"/>
            <w:tcMar>
              <w:right w:w="576" w:type="dxa"/>
            </w:tcMar>
            <w:vAlign w:val="bottom"/>
          </w:tcPr>
          <w:p w:rsidR="00621ACC" w:rsidRPr="0065454B" w:rsidRDefault="00621ACC" w:rsidP="00621ACC">
            <w:pPr>
              <w:ind w:right="-457"/>
              <w:jc w:val="right"/>
              <w:rPr>
                <w:szCs w:val="24"/>
              </w:rPr>
            </w:pPr>
            <w:r w:rsidRPr="0065454B">
              <w:rPr>
                <w:szCs w:val="24"/>
              </w:rPr>
              <w:t>338</w:t>
            </w:r>
          </w:p>
        </w:tc>
      </w:tr>
      <w:tr w:rsidR="00621ACC" w:rsidRPr="0065454B" w:rsidTr="0065454B">
        <w:trPr>
          <w:trHeight w:val="300"/>
          <w:jc w:val="center"/>
        </w:trPr>
        <w:tc>
          <w:tcPr>
            <w:tcW w:w="2550" w:type="dxa"/>
            <w:vAlign w:val="bottom"/>
          </w:tcPr>
          <w:p w:rsidR="00621ACC" w:rsidRPr="0065454B" w:rsidRDefault="00621ACC" w:rsidP="00621ACC">
            <w:pPr>
              <w:rPr>
                <w:b/>
                <w:bCs/>
                <w:szCs w:val="24"/>
              </w:rPr>
            </w:pPr>
            <w:r w:rsidRPr="0065454B">
              <w:rPr>
                <w:b/>
                <w:bCs/>
                <w:szCs w:val="24"/>
              </w:rPr>
              <w:t xml:space="preserve">Proposed </w:t>
            </w:r>
          </w:p>
        </w:tc>
        <w:tc>
          <w:tcPr>
            <w:tcW w:w="1492" w:type="dxa"/>
            <w:tcMar>
              <w:right w:w="576" w:type="dxa"/>
            </w:tcMar>
            <w:vAlign w:val="bottom"/>
          </w:tcPr>
          <w:p w:rsidR="00621ACC" w:rsidRPr="0065454B" w:rsidRDefault="00621ACC" w:rsidP="0065454B">
            <w:pPr>
              <w:ind w:right="-524"/>
              <w:jc w:val="center"/>
              <w:rPr>
                <w:szCs w:val="24"/>
              </w:rPr>
            </w:pPr>
          </w:p>
        </w:tc>
        <w:tc>
          <w:tcPr>
            <w:tcW w:w="1492" w:type="dxa"/>
            <w:tcMar>
              <w:right w:w="576" w:type="dxa"/>
            </w:tcMar>
            <w:vAlign w:val="bottom"/>
          </w:tcPr>
          <w:p w:rsidR="00621ACC" w:rsidRPr="0065454B" w:rsidRDefault="00621ACC" w:rsidP="0065454B">
            <w:pPr>
              <w:ind w:right="-562"/>
              <w:jc w:val="center"/>
              <w:rPr>
                <w:szCs w:val="24"/>
              </w:rPr>
            </w:pPr>
          </w:p>
        </w:tc>
        <w:tc>
          <w:tcPr>
            <w:tcW w:w="1492" w:type="dxa"/>
            <w:tcMar>
              <w:right w:w="576" w:type="dxa"/>
            </w:tcMar>
            <w:vAlign w:val="bottom"/>
          </w:tcPr>
          <w:p w:rsidR="00621ACC" w:rsidRPr="0065454B" w:rsidRDefault="00621ACC" w:rsidP="0065454B">
            <w:pPr>
              <w:ind w:right="-600"/>
              <w:jc w:val="center"/>
              <w:rPr>
                <w:szCs w:val="24"/>
              </w:rPr>
            </w:pPr>
          </w:p>
        </w:tc>
        <w:tc>
          <w:tcPr>
            <w:tcW w:w="1493" w:type="dxa"/>
            <w:tcMar>
              <w:right w:w="576" w:type="dxa"/>
            </w:tcMar>
            <w:vAlign w:val="bottom"/>
          </w:tcPr>
          <w:p w:rsidR="00621ACC" w:rsidRPr="0065454B" w:rsidRDefault="00621ACC" w:rsidP="00621ACC">
            <w:pPr>
              <w:ind w:right="-457"/>
              <w:jc w:val="right"/>
              <w:rPr>
                <w:szCs w:val="24"/>
              </w:rPr>
            </w:pPr>
          </w:p>
        </w:tc>
      </w:tr>
      <w:tr w:rsidR="00621ACC" w:rsidRPr="0065454B" w:rsidTr="0065454B">
        <w:trPr>
          <w:trHeight w:val="300"/>
          <w:jc w:val="center"/>
        </w:trPr>
        <w:tc>
          <w:tcPr>
            <w:tcW w:w="2550" w:type="dxa"/>
            <w:vAlign w:val="bottom"/>
          </w:tcPr>
          <w:p w:rsidR="00621ACC" w:rsidRPr="0065454B" w:rsidRDefault="00621ACC" w:rsidP="00621ACC">
            <w:pPr>
              <w:rPr>
                <w:b/>
                <w:bCs/>
                <w:szCs w:val="24"/>
              </w:rPr>
            </w:pPr>
            <w:r w:rsidRPr="0065454B">
              <w:rPr>
                <w:bCs/>
                <w:szCs w:val="24"/>
              </w:rPr>
              <w:t>FR 2572</w:t>
            </w:r>
          </w:p>
        </w:tc>
        <w:tc>
          <w:tcPr>
            <w:tcW w:w="1492" w:type="dxa"/>
            <w:tcMar>
              <w:right w:w="576" w:type="dxa"/>
            </w:tcMar>
            <w:vAlign w:val="bottom"/>
          </w:tcPr>
          <w:p w:rsidR="00621ACC" w:rsidRPr="0065454B" w:rsidRDefault="00621ACC" w:rsidP="0065454B">
            <w:pPr>
              <w:ind w:right="-524"/>
              <w:jc w:val="center"/>
              <w:rPr>
                <w:szCs w:val="24"/>
              </w:rPr>
            </w:pPr>
            <w:r w:rsidRPr="0065454B">
              <w:rPr>
                <w:szCs w:val="24"/>
              </w:rPr>
              <w:t>150</w:t>
            </w:r>
          </w:p>
        </w:tc>
        <w:tc>
          <w:tcPr>
            <w:tcW w:w="1492" w:type="dxa"/>
            <w:tcMar>
              <w:right w:w="576" w:type="dxa"/>
            </w:tcMar>
            <w:vAlign w:val="bottom"/>
          </w:tcPr>
          <w:p w:rsidR="00621ACC" w:rsidRPr="0065454B" w:rsidRDefault="00621ACC" w:rsidP="0065454B">
            <w:pPr>
              <w:ind w:right="-562"/>
              <w:jc w:val="center"/>
              <w:rPr>
                <w:szCs w:val="24"/>
              </w:rPr>
            </w:pPr>
            <w:r w:rsidRPr="0065454B">
              <w:rPr>
                <w:szCs w:val="24"/>
              </w:rPr>
              <w:t>2</w:t>
            </w:r>
          </w:p>
        </w:tc>
        <w:tc>
          <w:tcPr>
            <w:tcW w:w="1492" w:type="dxa"/>
            <w:tcMar>
              <w:right w:w="576" w:type="dxa"/>
            </w:tcMar>
            <w:vAlign w:val="bottom"/>
          </w:tcPr>
          <w:p w:rsidR="00621ACC" w:rsidRPr="0065454B" w:rsidRDefault="00621ACC" w:rsidP="0065454B">
            <w:pPr>
              <w:ind w:right="-600"/>
              <w:jc w:val="center"/>
              <w:rPr>
                <w:szCs w:val="24"/>
              </w:rPr>
            </w:pPr>
            <w:r w:rsidRPr="0065454B">
              <w:rPr>
                <w:szCs w:val="24"/>
              </w:rPr>
              <w:t>0.25</w:t>
            </w:r>
          </w:p>
        </w:tc>
        <w:tc>
          <w:tcPr>
            <w:tcW w:w="1493" w:type="dxa"/>
            <w:tcMar>
              <w:right w:w="576" w:type="dxa"/>
            </w:tcMar>
            <w:vAlign w:val="bottom"/>
          </w:tcPr>
          <w:p w:rsidR="00621ACC" w:rsidRPr="0065454B" w:rsidRDefault="00621ACC" w:rsidP="00621ACC">
            <w:pPr>
              <w:ind w:right="-457"/>
              <w:jc w:val="right"/>
              <w:rPr>
                <w:szCs w:val="24"/>
                <w:u w:val="single"/>
              </w:rPr>
            </w:pPr>
            <w:r w:rsidRPr="0065454B">
              <w:rPr>
                <w:szCs w:val="24"/>
                <w:u w:val="single"/>
              </w:rPr>
              <w:t>75</w:t>
            </w:r>
            <w:r w:rsidR="00FD1D36" w:rsidRPr="0065454B">
              <w:rPr>
                <w:szCs w:val="24"/>
                <w:u w:val="single"/>
              </w:rPr>
              <w:fldChar w:fldCharType="begin"/>
            </w:r>
            <w:r w:rsidRPr="0065454B">
              <w:rPr>
                <w:szCs w:val="24"/>
                <w:u w:val="single"/>
              </w:rPr>
              <w:instrText xml:space="preserve"> =b9*c9*d9 \# "#,##0" </w:instrText>
            </w:r>
            <w:r w:rsidR="00FD1D36" w:rsidRPr="0065454B">
              <w:rPr>
                <w:szCs w:val="24"/>
                <w:u w:val="single"/>
              </w:rPr>
              <w:fldChar w:fldCharType="end"/>
            </w:r>
          </w:p>
        </w:tc>
      </w:tr>
      <w:tr w:rsidR="00621ACC" w:rsidRPr="0065454B" w:rsidTr="0065454B">
        <w:trPr>
          <w:trHeight w:val="300"/>
          <w:jc w:val="center"/>
        </w:trPr>
        <w:tc>
          <w:tcPr>
            <w:tcW w:w="2550" w:type="dxa"/>
          </w:tcPr>
          <w:p w:rsidR="00621ACC" w:rsidRPr="0065454B" w:rsidRDefault="00621ACC" w:rsidP="0065454B">
            <w:pPr>
              <w:jc w:val="right"/>
              <w:rPr>
                <w:szCs w:val="24"/>
              </w:rPr>
            </w:pPr>
            <w:r w:rsidRPr="0065454B">
              <w:rPr>
                <w:i/>
                <w:szCs w:val="24"/>
              </w:rPr>
              <w:t>Change</w:t>
            </w:r>
          </w:p>
        </w:tc>
        <w:tc>
          <w:tcPr>
            <w:tcW w:w="1492" w:type="dxa"/>
            <w:tcMar>
              <w:right w:w="576" w:type="dxa"/>
            </w:tcMar>
            <w:vAlign w:val="bottom"/>
          </w:tcPr>
          <w:p w:rsidR="00621ACC" w:rsidRPr="0065454B" w:rsidRDefault="00621ACC" w:rsidP="0065454B">
            <w:pPr>
              <w:ind w:right="-524"/>
              <w:jc w:val="center"/>
              <w:rPr>
                <w:i/>
                <w:szCs w:val="24"/>
              </w:rPr>
            </w:pPr>
          </w:p>
        </w:tc>
        <w:tc>
          <w:tcPr>
            <w:tcW w:w="1492" w:type="dxa"/>
            <w:tcMar>
              <w:right w:w="576" w:type="dxa"/>
            </w:tcMar>
            <w:vAlign w:val="bottom"/>
          </w:tcPr>
          <w:p w:rsidR="00621ACC" w:rsidRPr="0065454B" w:rsidRDefault="00621ACC" w:rsidP="0065454B">
            <w:pPr>
              <w:ind w:right="-562"/>
              <w:jc w:val="center"/>
              <w:rPr>
                <w:szCs w:val="24"/>
              </w:rPr>
            </w:pPr>
          </w:p>
        </w:tc>
        <w:tc>
          <w:tcPr>
            <w:tcW w:w="1492" w:type="dxa"/>
            <w:tcMar>
              <w:right w:w="576" w:type="dxa"/>
            </w:tcMar>
            <w:vAlign w:val="center"/>
          </w:tcPr>
          <w:p w:rsidR="00621ACC" w:rsidRPr="0065454B" w:rsidRDefault="00621ACC" w:rsidP="0065454B">
            <w:pPr>
              <w:ind w:right="-600"/>
              <w:rPr>
                <w:szCs w:val="24"/>
              </w:rPr>
            </w:pPr>
          </w:p>
        </w:tc>
        <w:tc>
          <w:tcPr>
            <w:tcW w:w="1493" w:type="dxa"/>
            <w:tcMar>
              <w:right w:w="576" w:type="dxa"/>
            </w:tcMar>
            <w:vAlign w:val="bottom"/>
          </w:tcPr>
          <w:p w:rsidR="00621ACC" w:rsidRPr="0065454B" w:rsidRDefault="00621ACC" w:rsidP="00621ACC">
            <w:pPr>
              <w:ind w:right="-457"/>
              <w:jc w:val="right"/>
              <w:rPr>
                <w:szCs w:val="24"/>
              </w:rPr>
            </w:pPr>
            <w:r w:rsidRPr="0065454B">
              <w:rPr>
                <w:szCs w:val="24"/>
              </w:rPr>
              <w:t>-263</w:t>
            </w:r>
          </w:p>
        </w:tc>
      </w:tr>
    </w:tbl>
    <w:p w:rsidR="00960EC0" w:rsidRDefault="00960EC0" w:rsidP="00960EC0">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0D049A" w:rsidRDefault="006E0508" w:rsidP="00130BA9">
      <w:pPr>
        <w:autoSpaceDE w:val="0"/>
        <w:autoSpaceDN w:val="0"/>
        <w:adjustRightInd w:val="0"/>
        <w:rPr>
          <w:szCs w:val="24"/>
        </w:rPr>
      </w:pPr>
      <w:r w:rsidRPr="00176C9A">
        <w:rPr>
          <w:szCs w:val="24"/>
        </w:rPr>
        <w:t xml:space="preserve">The total cost to the public is estimated to </w:t>
      </w:r>
      <w:r>
        <w:t>decrease</w:t>
      </w:r>
      <w:r w:rsidRPr="00176C9A">
        <w:t xml:space="preserve"> from the current level of $</w:t>
      </w:r>
      <w:r>
        <w:rPr>
          <w:szCs w:val="24"/>
        </w:rPr>
        <w:t xml:space="preserve">20,838 </w:t>
      </w:r>
      <w:r>
        <w:t xml:space="preserve">to </w:t>
      </w:r>
      <w:r w:rsidRPr="00AF4273">
        <w:rPr>
          <w:szCs w:val="24"/>
        </w:rPr>
        <w:t>$</w:t>
      </w:r>
      <w:r>
        <w:rPr>
          <w:szCs w:val="24"/>
        </w:rPr>
        <w:t>4,624</w:t>
      </w:r>
      <w:r w:rsidR="00D85283">
        <w:rPr>
          <w:szCs w:val="24"/>
        </w:rPr>
        <w:t xml:space="preserve"> </w:t>
      </w:r>
      <w:r w:rsidRPr="00176C9A">
        <w:t xml:space="preserve">for the revised </w:t>
      </w:r>
      <w:r>
        <w:t>FR 2572</w:t>
      </w:r>
      <w:r w:rsidR="004F5556" w:rsidRPr="003C457F">
        <w:rPr>
          <w:szCs w:val="24"/>
        </w:rPr>
        <w:t>.</w:t>
      </w:r>
      <w:r w:rsidR="00351C5F" w:rsidRPr="003C457F">
        <w:rPr>
          <w:rStyle w:val="FootnoteReference"/>
          <w:szCs w:val="24"/>
        </w:rPr>
        <w:footnoteReference w:id="8"/>
      </w:r>
      <w:r w:rsidR="003C457F" w:rsidRPr="003C457F">
        <w:rPr>
          <w:szCs w:val="24"/>
        </w:rPr>
        <w:t xml:space="preserve">  </w:t>
      </w:r>
    </w:p>
    <w:p w:rsidR="00130BA9" w:rsidRPr="003C457F" w:rsidRDefault="00130BA9" w:rsidP="00130BA9">
      <w:pPr>
        <w:autoSpaceDE w:val="0"/>
        <w:autoSpaceDN w:val="0"/>
        <w:adjustRightInd w:val="0"/>
        <w:rPr>
          <w:color w:val="000000"/>
          <w:szCs w:val="24"/>
        </w:rPr>
      </w:pP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b/>
          <w:bCs/>
          <w:color w:val="000000"/>
          <w:szCs w:val="24"/>
        </w:rPr>
        <w:t>Sensitive Questions</w:t>
      </w: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color w:val="000000"/>
          <w:szCs w:val="24"/>
        </w:rPr>
        <w:tab/>
        <w:t>This collection of information contains no questions of a sensitive nature, as defined by OMB guidelines.</w:t>
      </w:r>
    </w:p>
    <w:p w:rsidR="00AA223E" w:rsidRDefault="00AA223E"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b/>
          <w:bCs/>
          <w:color w:val="000000"/>
          <w:szCs w:val="24"/>
        </w:rPr>
        <w:t>Estimate of Cost to the Federal Reserve System</w:t>
      </w:r>
    </w:p>
    <w:p w:rsidR="000D049A" w:rsidRDefault="000D049A" w:rsidP="002D14D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0B1244" w:rsidRDefault="00935416" w:rsidP="000B1244">
      <w:pPr>
        <w:rPr>
          <w:color w:val="000000"/>
          <w:szCs w:val="24"/>
        </w:rPr>
      </w:pPr>
      <w:r>
        <w:rPr>
          <w:color w:val="000000"/>
          <w:szCs w:val="24"/>
        </w:rPr>
        <w:tab/>
      </w:r>
      <w:r w:rsidR="000B1244">
        <w:rPr>
          <w:color w:val="000000"/>
          <w:szCs w:val="24"/>
        </w:rPr>
        <w:t>The total annual cost to the Federal Reserve System for the support and processing of the FR 2572 report is estimated to be $31,700.</w:t>
      </w:r>
    </w:p>
    <w:p w:rsidR="00612D2D" w:rsidRPr="00077E1B" w:rsidRDefault="00612D2D" w:rsidP="00935416"/>
    <w:sectPr w:rsidR="00612D2D" w:rsidRPr="00077E1B" w:rsidSect="004A0AF7">
      <w:headerReference w:type="default" r:id="rId9"/>
      <w:footerReference w:type="even" r:id="rId10"/>
      <w:footerReference w:type="default" r:id="rId11"/>
      <w:headerReference w:type="first" r:id="rId12"/>
      <w:type w:val="continuous"/>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41D" w:rsidRDefault="003C041D" w:rsidP="00BC23B6">
      <w:r>
        <w:separator/>
      </w:r>
    </w:p>
  </w:endnote>
  <w:endnote w:type="continuationSeparator" w:id="0">
    <w:p w:rsidR="003C041D" w:rsidRDefault="003C041D" w:rsidP="00BC23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41D" w:rsidRDefault="00FD1D36" w:rsidP="0085781C">
    <w:pPr>
      <w:pStyle w:val="Footer"/>
      <w:framePr w:wrap="around" w:vAnchor="text" w:hAnchor="margin" w:xAlign="center" w:y="1"/>
      <w:rPr>
        <w:rStyle w:val="PageNumber"/>
      </w:rPr>
    </w:pPr>
    <w:r>
      <w:rPr>
        <w:rStyle w:val="PageNumber"/>
      </w:rPr>
      <w:fldChar w:fldCharType="begin"/>
    </w:r>
    <w:r w:rsidR="003C041D">
      <w:rPr>
        <w:rStyle w:val="PageNumber"/>
      </w:rPr>
      <w:instrText xml:space="preserve">PAGE  </w:instrText>
    </w:r>
    <w:r>
      <w:rPr>
        <w:rStyle w:val="PageNumber"/>
      </w:rPr>
      <w:fldChar w:fldCharType="end"/>
    </w:r>
  </w:p>
  <w:p w:rsidR="003C041D" w:rsidRDefault="003C04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41D" w:rsidRDefault="00FD1D36" w:rsidP="0085781C">
    <w:pPr>
      <w:pStyle w:val="Footer"/>
      <w:framePr w:wrap="around" w:vAnchor="text" w:hAnchor="margin" w:xAlign="center" w:y="1"/>
      <w:rPr>
        <w:rStyle w:val="PageNumber"/>
      </w:rPr>
    </w:pPr>
    <w:r>
      <w:rPr>
        <w:rStyle w:val="PageNumber"/>
      </w:rPr>
      <w:fldChar w:fldCharType="begin"/>
    </w:r>
    <w:r w:rsidR="003C041D">
      <w:rPr>
        <w:rStyle w:val="PageNumber"/>
      </w:rPr>
      <w:instrText xml:space="preserve">PAGE  </w:instrText>
    </w:r>
    <w:r>
      <w:rPr>
        <w:rStyle w:val="PageNumber"/>
      </w:rPr>
      <w:fldChar w:fldCharType="separate"/>
    </w:r>
    <w:r w:rsidR="0032064B">
      <w:rPr>
        <w:rStyle w:val="PageNumber"/>
        <w:noProof/>
      </w:rPr>
      <w:t>5</w:t>
    </w:r>
    <w:r>
      <w:rPr>
        <w:rStyle w:val="PageNumber"/>
      </w:rPr>
      <w:fldChar w:fldCharType="end"/>
    </w:r>
  </w:p>
  <w:p w:rsidR="003C041D" w:rsidRDefault="003C04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41D" w:rsidRDefault="003C041D" w:rsidP="00BC23B6">
      <w:r>
        <w:separator/>
      </w:r>
    </w:p>
  </w:footnote>
  <w:footnote w:type="continuationSeparator" w:id="0">
    <w:p w:rsidR="003C041D" w:rsidRDefault="003C041D" w:rsidP="00BC23B6">
      <w:r>
        <w:continuationSeparator/>
      </w:r>
    </w:p>
  </w:footnote>
  <w:footnote w:id="1">
    <w:p w:rsidR="003C041D" w:rsidRDefault="003C041D">
      <w:pPr>
        <w:pStyle w:val="FootnoteText"/>
      </w:pPr>
      <w:r>
        <w:rPr>
          <w:rStyle w:val="FootnoteReference"/>
        </w:rPr>
        <w:footnoteRef/>
      </w:r>
      <w:r>
        <w:t xml:space="preserve"> The one-time survey was conducted by </w:t>
      </w:r>
      <w:r w:rsidR="00892B0A">
        <w:t xml:space="preserve">Federal Reserve </w:t>
      </w:r>
      <w:r>
        <w:t>Board staff.</w:t>
      </w:r>
    </w:p>
    <w:p w:rsidR="003C041D" w:rsidRDefault="003C041D">
      <w:pPr>
        <w:pStyle w:val="FootnoteText"/>
      </w:pPr>
    </w:p>
  </w:footnote>
  <w:footnote w:id="2">
    <w:p w:rsidR="003C041D" w:rsidRPr="00D12C18" w:rsidRDefault="003C041D" w:rsidP="00551ADB">
      <w:pPr>
        <w:pStyle w:val="HTMLPreformatted"/>
        <w:rPr>
          <w:rFonts w:ascii="Times New Roman" w:hAnsi="Times New Roman" w:cs="Times New Roman"/>
        </w:rPr>
      </w:pPr>
      <w:r>
        <w:rPr>
          <w:rStyle w:val="FootnoteReference"/>
        </w:rPr>
        <w:footnoteRef/>
      </w:r>
      <w:r>
        <w:rPr>
          <w:rFonts w:ascii="Times New Roman" w:hAnsi="Times New Roman" w:cs="Times New Roman"/>
        </w:rPr>
        <w:t xml:space="preserve"> </w:t>
      </w:r>
      <w:r w:rsidRPr="00D12C18">
        <w:rPr>
          <w:rFonts w:ascii="Times New Roman" w:hAnsi="Times New Roman" w:cs="Times New Roman"/>
        </w:rPr>
        <w:t>The P</w:t>
      </w:r>
      <w:r>
        <w:rPr>
          <w:rFonts w:ascii="Times New Roman" w:hAnsi="Times New Roman" w:cs="Times New Roman"/>
        </w:rPr>
        <w:t xml:space="preserve">aperwork Reduction Act </w:t>
      </w:r>
      <w:r w:rsidRPr="00D12C18">
        <w:rPr>
          <w:rFonts w:ascii="Times New Roman" w:hAnsi="Times New Roman" w:cs="Times New Roman"/>
        </w:rPr>
        <w:t xml:space="preserve">includes a provision for an emergency submission of a new information collection request in those circumstances where it is essential to the mission of the agency and the agency cannot reasonably comply with the submission time periods. The Office of Management and Budget is able to provide an "emergency" clearance that permits an agency to avoid the 60-day and 30-day Federal Register notices seeking public comment if the emergency situation warrants it. Under the Paperwork Reduction Act, an "emergency" approval is only valid for a maximum of 6 months.  See Paperwork Reduction Act of 1995 (Pub. </w:t>
      </w:r>
      <w:proofErr w:type="gramStart"/>
      <w:r w:rsidRPr="00D12C18">
        <w:rPr>
          <w:rFonts w:ascii="Times New Roman" w:hAnsi="Times New Roman" w:cs="Times New Roman"/>
        </w:rPr>
        <w:t>L. 104-13, 44 U.S.C. Chapter 35) and 5 CFR 1320.13.</w:t>
      </w:r>
      <w:proofErr w:type="gramEnd"/>
    </w:p>
    <w:p w:rsidR="003C041D" w:rsidRPr="00D12C18" w:rsidRDefault="003C041D" w:rsidP="00551ADB">
      <w:pPr>
        <w:pStyle w:val="FootnoteText"/>
      </w:pPr>
    </w:p>
    <w:p w:rsidR="003C041D" w:rsidRDefault="003C041D" w:rsidP="00551ADB">
      <w:pPr>
        <w:pStyle w:val="FootnoteText"/>
      </w:pPr>
    </w:p>
  </w:footnote>
  <w:footnote w:id="3">
    <w:p w:rsidR="003C041D" w:rsidRDefault="003C041D" w:rsidP="004D2E2F">
      <w:pPr>
        <w:spacing w:after="240"/>
      </w:pPr>
      <w:r w:rsidRPr="004D2E2F">
        <w:rPr>
          <w:rStyle w:val="FootnoteReference"/>
          <w:sz w:val="20"/>
        </w:rPr>
        <w:footnoteRef/>
      </w:r>
      <w:r>
        <w:t xml:space="preserve"> </w:t>
      </w:r>
      <w:r>
        <w:rPr>
          <w:sz w:val="20"/>
        </w:rPr>
        <w:t xml:space="preserve">The FCCCA was enacted on November 3, 1988, and amends the Truth in Lending Act (15 U.S.C. 1601 </w:t>
      </w:r>
      <w:proofErr w:type="gramStart"/>
      <w:r>
        <w:rPr>
          <w:sz w:val="20"/>
        </w:rPr>
        <w:t>et</w:t>
      </w:r>
      <w:proofErr w:type="gramEnd"/>
      <w:r>
        <w:rPr>
          <w:sz w:val="20"/>
        </w:rPr>
        <w:t xml:space="preserve"> </w:t>
      </w:r>
      <w:proofErr w:type="spellStart"/>
      <w:r>
        <w:rPr>
          <w:sz w:val="20"/>
        </w:rPr>
        <w:t>seq</w:t>
      </w:r>
      <w:proofErr w:type="spellEnd"/>
      <w:r>
        <w:rPr>
          <w:sz w:val="20"/>
        </w:rPr>
        <w:t>).  Amendments to Regulation Z implementing the provisions of the FCCCA were adopted by the Federal Reserve Board on March 30, 1989, with an effective date of April 3, 1989.  Creditors were required to comply with the new disclosure rules by August 31, 1989.</w:t>
      </w:r>
    </w:p>
  </w:footnote>
  <w:footnote w:id="4">
    <w:p w:rsidR="003C041D" w:rsidRDefault="003C041D" w:rsidP="004D2E2F">
      <w:pPr>
        <w:pStyle w:val="FootnoteText"/>
      </w:pPr>
      <w:r>
        <w:rPr>
          <w:rStyle w:val="FootnoteReference"/>
        </w:rPr>
        <w:footnoteRef/>
      </w:r>
      <w:r>
        <w:t xml:space="preserve"> The information was previously published in the E.5 statistical release “Report on the Terms of Credit Card Plans, “ but the E.5 was discontinued in 1994 in favor of a brochure format.  Today, this credit card plan information is available only at the Federal Reserve Board’s public web site.</w:t>
      </w:r>
    </w:p>
    <w:p w:rsidR="003C041D" w:rsidRDefault="003C041D">
      <w:pPr>
        <w:pStyle w:val="FootnoteText"/>
      </w:pPr>
    </w:p>
  </w:footnote>
  <w:footnote w:id="5">
    <w:p w:rsidR="003C041D" w:rsidRDefault="003C041D" w:rsidP="004D2E2F">
      <w:pPr>
        <w:spacing w:after="240"/>
      </w:pPr>
      <w:r w:rsidRPr="004D2E2F">
        <w:rPr>
          <w:rStyle w:val="FootnoteReference"/>
          <w:sz w:val="20"/>
        </w:rPr>
        <w:footnoteRef/>
      </w:r>
      <w:r w:rsidRPr="004D2E2F">
        <w:rPr>
          <w:sz w:val="20"/>
        </w:rPr>
        <w:t xml:space="preserve"> </w:t>
      </w:r>
      <w:proofErr w:type="gramStart"/>
      <w:r>
        <w:rPr>
          <w:sz w:val="20"/>
        </w:rPr>
        <w:t>U.S. Congress, Senate, "Report of the Committee on Banking, Housing, and Urban Affairs, to accompany H.R. 515," December 16, 1987.</w:t>
      </w:r>
      <w:proofErr w:type="gramEnd"/>
      <w:r>
        <w:rPr>
          <w:sz w:val="20"/>
        </w:rPr>
        <w:t xml:space="preserve">  </w:t>
      </w:r>
      <w:proofErr w:type="gramStart"/>
      <w:r>
        <w:rPr>
          <w:sz w:val="20"/>
        </w:rPr>
        <w:t xml:space="preserve">Statements by Edward M. </w:t>
      </w:r>
      <w:proofErr w:type="spellStart"/>
      <w:r>
        <w:rPr>
          <w:sz w:val="20"/>
        </w:rPr>
        <w:t>Gramlich</w:t>
      </w:r>
      <w:proofErr w:type="spellEnd"/>
      <w:r>
        <w:rPr>
          <w:sz w:val="20"/>
        </w:rPr>
        <w:t>, p.12, and Senators Garn, Hecht, Bono, Karnes, and Shelby, p.14.</w:t>
      </w:r>
      <w:proofErr w:type="gramEnd"/>
    </w:p>
  </w:footnote>
  <w:footnote w:id="6">
    <w:p w:rsidR="003C041D" w:rsidRDefault="003C041D" w:rsidP="004D2E2F">
      <w:pPr>
        <w:spacing w:after="240"/>
        <w:rPr>
          <w:sz w:val="20"/>
          <w:szCs w:val="22"/>
        </w:rPr>
      </w:pPr>
      <w:r w:rsidRPr="004D2E2F">
        <w:rPr>
          <w:rStyle w:val="FootnoteReference"/>
          <w:sz w:val="20"/>
        </w:rPr>
        <w:footnoteRef/>
      </w:r>
      <w:r w:rsidRPr="004D2E2F">
        <w:rPr>
          <w:sz w:val="20"/>
        </w:rPr>
        <w:t xml:space="preserve"> </w:t>
      </w:r>
      <w:r>
        <w:rPr>
          <w:sz w:val="20"/>
        </w:rPr>
        <w:t>Board of Governors of the Federal Reserve System, "Annual Percentage Rate Demonstration Project," March 1987.</w:t>
      </w:r>
    </w:p>
    <w:p w:rsidR="003C041D" w:rsidRDefault="003C041D">
      <w:pPr>
        <w:pStyle w:val="FootnoteText"/>
      </w:pPr>
    </w:p>
  </w:footnote>
  <w:footnote w:id="7">
    <w:p w:rsidR="003C041D" w:rsidRDefault="003C041D" w:rsidP="002C128D">
      <w:pPr>
        <w:spacing w:after="240"/>
        <w:rPr>
          <w:sz w:val="22"/>
          <w:szCs w:val="22"/>
        </w:rPr>
      </w:pPr>
      <w:r w:rsidRPr="002C128D">
        <w:rPr>
          <w:rStyle w:val="FootnoteReference"/>
          <w:sz w:val="20"/>
        </w:rPr>
        <w:footnoteRef/>
      </w:r>
      <w:r>
        <w:t xml:space="preserve"> </w:t>
      </w:r>
      <w:r w:rsidR="00AB55A6">
        <w:rPr>
          <w:sz w:val="20"/>
        </w:rPr>
        <w:t>Credit unions are not included because they normally limit their card issuance to consumers with a pre-existing relationship with the organization, such as employees.  Similarly, retailers are excluded since they are not financial institutions and because their card issuance is limited to store-specific cards.  The credit card term report includes credit card banks, such as Discover Bank, which issues the Discover Card, and American Express Centurion Bank (a subsidiary of the</w:t>
      </w:r>
      <w:r w:rsidR="00AB55A6">
        <w:rPr>
          <w:rFonts w:ascii="Times" w:hAnsi="Times"/>
          <w:sz w:val="20"/>
        </w:rPr>
        <w:t xml:space="preserve"> </w:t>
      </w:r>
      <w:r w:rsidR="00AB55A6">
        <w:rPr>
          <w:sz w:val="20"/>
        </w:rPr>
        <w:t>American Express Company), which issues the Optima Card.  It also includes large consumer finance companies that issue credit cards through banks or thrifts.</w:t>
      </w:r>
      <w:r>
        <w:rPr>
          <w:rFonts w:ascii="Times" w:hAnsi="Times"/>
        </w:rPr>
        <w:t xml:space="preserve"> </w:t>
      </w:r>
    </w:p>
    <w:p w:rsidR="003C041D" w:rsidRDefault="003C041D">
      <w:pPr>
        <w:pStyle w:val="FootnoteText"/>
      </w:pPr>
    </w:p>
  </w:footnote>
  <w:footnote w:id="8">
    <w:p w:rsidR="003C041D" w:rsidRPr="00A7526C" w:rsidRDefault="003C041D" w:rsidP="00351C5F">
      <w:pPr>
        <w:pStyle w:val="FootnoteText"/>
      </w:pPr>
      <w:r>
        <w:rPr>
          <w:rStyle w:val="FootnoteReference"/>
        </w:rPr>
        <w:footnoteRef/>
      </w:r>
      <w:r>
        <w:t xml:space="preserve"> </w:t>
      </w:r>
      <w:r w:rsidRPr="00A7526C">
        <w:rPr>
          <w:sz w:val="18"/>
          <w:szCs w:val="18"/>
        </w:rPr>
        <w:t xml:space="preserve">Total cost to the public was estimated using the following formula: percent of staff time, multiplied by annual burden hours, multiplied by hourly rate (30% Administrative or Junior Analyst @ $25, 45% Managerial or Technical @ $55, 15% Senior Management @ $100, and 10% Legal Counsel @ $144).  Hourly rate estimates for each occupational group are averages using data from the Bureau of Labor and Statistics (BLS), Occupational Employment and Wages 2007, http://www.bls.gov/news.release/ocwage.nr0.htm  Occupations are defined using the BLS Occupational Classification System,  http://www.bls.gov/soc/  </w:t>
      </w:r>
    </w:p>
    <w:p w:rsidR="003C041D" w:rsidRDefault="003C041D">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41D" w:rsidRPr="001C5C33" w:rsidRDefault="003C041D" w:rsidP="008C6CEB">
    <w:pPr>
      <w:pStyle w:val="Header"/>
      <w:rPr>
        <w:b/>
        <w:szCs w:val="24"/>
      </w:rPr>
    </w:pPr>
    <w:r>
      <w:rPr>
        <w:b/>
        <w:szCs w:val="24"/>
      </w:rPr>
      <w:tab/>
    </w:r>
    <w:r>
      <w:rPr>
        <w:b/>
        <w:szCs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41D" w:rsidRDefault="003C041D">
    <w:pPr>
      <w:pStyle w:val="Header"/>
    </w:pPr>
    <w:r>
      <w:tab/>
    </w:r>
    <w:r>
      <w:tab/>
    </w:r>
  </w:p>
  <w:p w:rsidR="003C041D" w:rsidRPr="00EB535A" w:rsidRDefault="003C041D" w:rsidP="00601FC9">
    <w:pPr>
      <w:pStyle w:val="Header"/>
      <w:rPr>
        <w:b/>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5799F"/>
    <w:multiLevelType w:val="hybridMultilevel"/>
    <w:tmpl w:val="5136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264EE8"/>
    <w:multiLevelType w:val="hybridMultilevel"/>
    <w:tmpl w:val="C5FCF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532A2E78"/>
    <w:multiLevelType w:val="hybridMultilevel"/>
    <w:tmpl w:val="E17616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DF5998"/>
    <w:rsid w:val="00000646"/>
    <w:rsid w:val="00001363"/>
    <w:rsid w:val="00003D48"/>
    <w:rsid w:val="00012484"/>
    <w:rsid w:val="0001355E"/>
    <w:rsid w:val="000137FC"/>
    <w:rsid w:val="00014DF5"/>
    <w:rsid w:val="0001610E"/>
    <w:rsid w:val="000251CE"/>
    <w:rsid w:val="0002583D"/>
    <w:rsid w:val="0002682E"/>
    <w:rsid w:val="0003051B"/>
    <w:rsid w:val="00032A0B"/>
    <w:rsid w:val="00035BF8"/>
    <w:rsid w:val="00041848"/>
    <w:rsid w:val="00047721"/>
    <w:rsid w:val="00050D06"/>
    <w:rsid w:val="000704E6"/>
    <w:rsid w:val="00077E1B"/>
    <w:rsid w:val="0009586C"/>
    <w:rsid w:val="00097580"/>
    <w:rsid w:val="000A35D3"/>
    <w:rsid w:val="000A5E10"/>
    <w:rsid w:val="000B1244"/>
    <w:rsid w:val="000C54F5"/>
    <w:rsid w:val="000C6EFE"/>
    <w:rsid w:val="000D049A"/>
    <w:rsid w:val="000D0BED"/>
    <w:rsid w:val="000D638D"/>
    <w:rsid w:val="000E3269"/>
    <w:rsid w:val="000E7D54"/>
    <w:rsid w:val="000F6F03"/>
    <w:rsid w:val="00104F9F"/>
    <w:rsid w:val="0010649B"/>
    <w:rsid w:val="00113774"/>
    <w:rsid w:val="001266F0"/>
    <w:rsid w:val="001270DB"/>
    <w:rsid w:val="00130BA9"/>
    <w:rsid w:val="001354EF"/>
    <w:rsid w:val="001405AE"/>
    <w:rsid w:val="001408B8"/>
    <w:rsid w:val="00154A1D"/>
    <w:rsid w:val="001557F7"/>
    <w:rsid w:val="0016313D"/>
    <w:rsid w:val="00172965"/>
    <w:rsid w:val="00175AF4"/>
    <w:rsid w:val="00182E10"/>
    <w:rsid w:val="0018457D"/>
    <w:rsid w:val="00185F8E"/>
    <w:rsid w:val="00196821"/>
    <w:rsid w:val="001A2760"/>
    <w:rsid w:val="001A41F1"/>
    <w:rsid w:val="001A7411"/>
    <w:rsid w:val="001B6541"/>
    <w:rsid w:val="001C14EB"/>
    <w:rsid w:val="001C5C33"/>
    <w:rsid w:val="001D2020"/>
    <w:rsid w:val="001D5BF5"/>
    <w:rsid w:val="001D70BC"/>
    <w:rsid w:val="001D7147"/>
    <w:rsid w:val="001D7386"/>
    <w:rsid w:val="001E4631"/>
    <w:rsid w:val="001F01C4"/>
    <w:rsid w:val="001F6A92"/>
    <w:rsid w:val="00200475"/>
    <w:rsid w:val="00211D00"/>
    <w:rsid w:val="0021496A"/>
    <w:rsid w:val="00215722"/>
    <w:rsid w:val="002263EA"/>
    <w:rsid w:val="002370B3"/>
    <w:rsid w:val="002474D0"/>
    <w:rsid w:val="002529B5"/>
    <w:rsid w:val="00255C7C"/>
    <w:rsid w:val="00267212"/>
    <w:rsid w:val="00275563"/>
    <w:rsid w:val="00275824"/>
    <w:rsid w:val="00281AD2"/>
    <w:rsid w:val="00285160"/>
    <w:rsid w:val="00285CF5"/>
    <w:rsid w:val="00292F5F"/>
    <w:rsid w:val="002A159B"/>
    <w:rsid w:val="002B37C7"/>
    <w:rsid w:val="002C128D"/>
    <w:rsid w:val="002C7990"/>
    <w:rsid w:val="002D14D2"/>
    <w:rsid w:val="002D201F"/>
    <w:rsid w:val="002D206A"/>
    <w:rsid w:val="002D2A18"/>
    <w:rsid w:val="002E08DE"/>
    <w:rsid w:val="002E5D1A"/>
    <w:rsid w:val="002F2DA3"/>
    <w:rsid w:val="002F50A0"/>
    <w:rsid w:val="00301464"/>
    <w:rsid w:val="003059E1"/>
    <w:rsid w:val="00310958"/>
    <w:rsid w:val="0032064B"/>
    <w:rsid w:val="00330C23"/>
    <w:rsid w:val="00331AB4"/>
    <w:rsid w:val="00343532"/>
    <w:rsid w:val="00351C5F"/>
    <w:rsid w:val="00351FD1"/>
    <w:rsid w:val="00352228"/>
    <w:rsid w:val="00355A53"/>
    <w:rsid w:val="00355EBA"/>
    <w:rsid w:val="003626A9"/>
    <w:rsid w:val="00391650"/>
    <w:rsid w:val="003960EB"/>
    <w:rsid w:val="003A6171"/>
    <w:rsid w:val="003B3460"/>
    <w:rsid w:val="003C041D"/>
    <w:rsid w:val="003C457F"/>
    <w:rsid w:val="003C5ADB"/>
    <w:rsid w:val="003F2EE2"/>
    <w:rsid w:val="004005B0"/>
    <w:rsid w:val="004009B5"/>
    <w:rsid w:val="00403B73"/>
    <w:rsid w:val="00407587"/>
    <w:rsid w:val="004207ED"/>
    <w:rsid w:val="00421C97"/>
    <w:rsid w:val="00424650"/>
    <w:rsid w:val="00430382"/>
    <w:rsid w:val="0044050A"/>
    <w:rsid w:val="00447DA6"/>
    <w:rsid w:val="0045795A"/>
    <w:rsid w:val="00462EF4"/>
    <w:rsid w:val="0047282E"/>
    <w:rsid w:val="0048022B"/>
    <w:rsid w:val="00480E20"/>
    <w:rsid w:val="0048535F"/>
    <w:rsid w:val="00491107"/>
    <w:rsid w:val="004974CD"/>
    <w:rsid w:val="004A0AF7"/>
    <w:rsid w:val="004A5FD6"/>
    <w:rsid w:val="004A6694"/>
    <w:rsid w:val="004B3FAD"/>
    <w:rsid w:val="004C0F99"/>
    <w:rsid w:val="004C63D6"/>
    <w:rsid w:val="004C6D2C"/>
    <w:rsid w:val="004D2E2F"/>
    <w:rsid w:val="004D34C2"/>
    <w:rsid w:val="004E4C58"/>
    <w:rsid w:val="004E55B8"/>
    <w:rsid w:val="004F44D0"/>
    <w:rsid w:val="004F5556"/>
    <w:rsid w:val="004F5592"/>
    <w:rsid w:val="004F6B07"/>
    <w:rsid w:val="005018CB"/>
    <w:rsid w:val="005131AA"/>
    <w:rsid w:val="00513DF4"/>
    <w:rsid w:val="005156FF"/>
    <w:rsid w:val="0052568F"/>
    <w:rsid w:val="00526AE5"/>
    <w:rsid w:val="00530112"/>
    <w:rsid w:val="00537BF5"/>
    <w:rsid w:val="005503F6"/>
    <w:rsid w:val="005507C1"/>
    <w:rsid w:val="00551ADB"/>
    <w:rsid w:val="00553210"/>
    <w:rsid w:val="005568DB"/>
    <w:rsid w:val="00564C71"/>
    <w:rsid w:val="0057099B"/>
    <w:rsid w:val="00571A63"/>
    <w:rsid w:val="005A2C1E"/>
    <w:rsid w:val="005A371D"/>
    <w:rsid w:val="005A3C8A"/>
    <w:rsid w:val="005C14FC"/>
    <w:rsid w:val="005C740D"/>
    <w:rsid w:val="005C7FE2"/>
    <w:rsid w:val="005D1AEB"/>
    <w:rsid w:val="005D3351"/>
    <w:rsid w:val="005D3798"/>
    <w:rsid w:val="005D4738"/>
    <w:rsid w:val="005D568A"/>
    <w:rsid w:val="005E5025"/>
    <w:rsid w:val="005E5397"/>
    <w:rsid w:val="005E616E"/>
    <w:rsid w:val="005E6F41"/>
    <w:rsid w:val="005F228B"/>
    <w:rsid w:val="005F7E56"/>
    <w:rsid w:val="00601FC9"/>
    <w:rsid w:val="00602349"/>
    <w:rsid w:val="00602BD1"/>
    <w:rsid w:val="00612D2D"/>
    <w:rsid w:val="00621ACC"/>
    <w:rsid w:val="00622C3B"/>
    <w:rsid w:val="00632D77"/>
    <w:rsid w:val="006405DA"/>
    <w:rsid w:val="00640CC8"/>
    <w:rsid w:val="00645E4D"/>
    <w:rsid w:val="0065454B"/>
    <w:rsid w:val="00655DA1"/>
    <w:rsid w:val="00663094"/>
    <w:rsid w:val="00664B37"/>
    <w:rsid w:val="006767AA"/>
    <w:rsid w:val="0068267D"/>
    <w:rsid w:val="00684A46"/>
    <w:rsid w:val="00694D24"/>
    <w:rsid w:val="006A297F"/>
    <w:rsid w:val="006B6412"/>
    <w:rsid w:val="006B64A8"/>
    <w:rsid w:val="006C6C73"/>
    <w:rsid w:val="006E0508"/>
    <w:rsid w:val="006E6677"/>
    <w:rsid w:val="006F2336"/>
    <w:rsid w:val="006F6FAB"/>
    <w:rsid w:val="006F711B"/>
    <w:rsid w:val="00702B00"/>
    <w:rsid w:val="00704982"/>
    <w:rsid w:val="00714C8A"/>
    <w:rsid w:val="00726DA5"/>
    <w:rsid w:val="00735977"/>
    <w:rsid w:val="00737129"/>
    <w:rsid w:val="007538F3"/>
    <w:rsid w:val="00754751"/>
    <w:rsid w:val="00767143"/>
    <w:rsid w:val="0076758B"/>
    <w:rsid w:val="0077623E"/>
    <w:rsid w:val="00777060"/>
    <w:rsid w:val="00782465"/>
    <w:rsid w:val="007B15CB"/>
    <w:rsid w:val="007B2277"/>
    <w:rsid w:val="007C7726"/>
    <w:rsid w:val="007F46F1"/>
    <w:rsid w:val="007F7DF5"/>
    <w:rsid w:val="00801C2B"/>
    <w:rsid w:val="008047B2"/>
    <w:rsid w:val="008077D9"/>
    <w:rsid w:val="00825BA0"/>
    <w:rsid w:val="008273ED"/>
    <w:rsid w:val="008275B5"/>
    <w:rsid w:val="008436E2"/>
    <w:rsid w:val="00851839"/>
    <w:rsid w:val="0085781C"/>
    <w:rsid w:val="00860981"/>
    <w:rsid w:val="00867997"/>
    <w:rsid w:val="0087734D"/>
    <w:rsid w:val="0088070C"/>
    <w:rsid w:val="0088101A"/>
    <w:rsid w:val="00892274"/>
    <w:rsid w:val="008923ED"/>
    <w:rsid w:val="00892B0A"/>
    <w:rsid w:val="00897459"/>
    <w:rsid w:val="008A4A44"/>
    <w:rsid w:val="008A6F24"/>
    <w:rsid w:val="008A7FDE"/>
    <w:rsid w:val="008B6A00"/>
    <w:rsid w:val="008B7536"/>
    <w:rsid w:val="008C55CF"/>
    <w:rsid w:val="008C6CEB"/>
    <w:rsid w:val="008C7FD2"/>
    <w:rsid w:val="008D2E07"/>
    <w:rsid w:val="008D6509"/>
    <w:rsid w:val="008D7694"/>
    <w:rsid w:val="008E096A"/>
    <w:rsid w:val="008F2950"/>
    <w:rsid w:val="008F3F0B"/>
    <w:rsid w:val="00900F06"/>
    <w:rsid w:val="00903D8F"/>
    <w:rsid w:val="00910C91"/>
    <w:rsid w:val="009225F1"/>
    <w:rsid w:val="00922AE9"/>
    <w:rsid w:val="00926EA9"/>
    <w:rsid w:val="00935416"/>
    <w:rsid w:val="00937910"/>
    <w:rsid w:val="00942D77"/>
    <w:rsid w:val="00943560"/>
    <w:rsid w:val="009556F9"/>
    <w:rsid w:val="00960EC0"/>
    <w:rsid w:val="009654B2"/>
    <w:rsid w:val="0097572F"/>
    <w:rsid w:val="0098622B"/>
    <w:rsid w:val="00987711"/>
    <w:rsid w:val="00992194"/>
    <w:rsid w:val="00992E64"/>
    <w:rsid w:val="009A11EC"/>
    <w:rsid w:val="009A3722"/>
    <w:rsid w:val="009A6864"/>
    <w:rsid w:val="009B1FAF"/>
    <w:rsid w:val="009B1FBC"/>
    <w:rsid w:val="009B34B4"/>
    <w:rsid w:val="009D49F5"/>
    <w:rsid w:val="009D695D"/>
    <w:rsid w:val="009D6D2F"/>
    <w:rsid w:val="009F003A"/>
    <w:rsid w:val="009F2C22"/>
    <w:rsid w:val="009F711F"/>
    <w:rsid w:val="00A01303"/>
    <w:rsid w:val="00A014CF"/>
    <w:rsid w:val="00A05A6A"/>
    <w:rsid w:val="00A21376"/>
    <w:rsid w:val="00A425C8"/>
    <w:rsid w:val="00A53CEA"/>
    <w:rsid w:val="00A57E3E"/>
    <w:rsid w:val="00A65799"/>
    <w:rsid w:val="00A65C3C"/>
    <w:rsid w:val="00A71FCA"/>
    <w:rsid w:val="00A74085"/>
    <w:rsid w:val="00A7478A"/>
    <w:rsid w:val="00A7526C"/>
    <w:rsid w:val="00A77B95"/>
    <w:rsid w:val="00A843E3"/>
    <w:rsid w:val="00A84E0E"/>
    <w:rsid w:val="00AA0B80"/>
    <w:rsid w:val="00AA1B88"/>
    <w:rsid w:val="00AA220C"/>
    <w:rsid w:val="00AA223E"/>
    <w:rsid w:val="00AA6A12"/>
    <w:rsid w:val="00AB0522"/>
    <w:rsid w:val="00AB07A6"/>
    <w:rsid w:val="00AB224C"/>
    <w:rsid w:val="00AB55A6"/>
    <w:rsid w:val="00AB6BA1"/>
    <w:rsid w:val="00AB7544"/>
    <w:rsid w:val="00AC03AF"/>
    <w:rsid w:val="00AC0EAE"/>
    <w:rsid w:val="00AC175D"/>
    <w:rsid w:val="00AC4614"/>
    <w:rsid w:val="00AC4F59"/>
    <w:rsid w:val="00AD248F"/>
    <w:rsid w:val="00AD6513"/>
    <w:rsid w:val="00AD6728"/>
    <w:rsid w:val="00AE4111"/>
    <w:rsid w:val="00AE6909"/>
    <w:rsid w:val="00AF09D1"/>
    <w:rsid w:val="00AF4273"/>
    <w:rsid w:val="00AF5D0D"/>
    <w:rsid w:val="00B06BE9"/>
    <w:rsid w:val="00B07CE9"/>
    <w:rsid w:val="00B2575B"/>
    <w:rsid w:val="00B269AA"/>
    <w:rsid w:val="00B26C2F"/>
    <w:rsid w:val="00B323EB"/>
    <w:rsid w:val="00B33C3D"/>
    <w:rsid w:val="00B34DED"/>
    <w:rsid w:val="00B36146"/>
    <w:rsid w:val="00B37E47"/>
    <w:rsid w:val="00B433F8"/>
    <w:rsid w:val="00B47B38"/>
    <w:rsid w:val="00B53288"/>
    <w:rsid w:val="00B5409D"/>
    <w:rsid w:val="00B54D1B"/>
    <w:rsid w:val="00B70ABA"/>
    <w:rsid w:val="00B745D8"/>
    <w:rsid w:val="00B82697"/>
    <w:rsid w:val="00B8305C"/>
    <w:rsid w:val="00B84700"/>
    <w:rsid w:val="00B92BAD"/>
    <w:rsid w:val="00B94086"/>
    <w:rsid w:val="00B94549"/>
    <w:rsid w:val="00BA0E55"/>
    <w:rsid w:val="00BB25BB"/>
    <w:rsid w:val="00BB6054"/>
    <w:rsid w:val="00BC23B6"/>
    <w:rsid w:val="00BC418E"/>
    <w:rsid w:val="00BC5D40"/>
    <w:rsid w:val="00BE02FF"/>
    <w:rsid w:val="00BE0E22"/>
    <w:rsid w:val="00BE2E27"/>
    <w:rsid w:val="00C10616"/>
    <w:rsid w:val="00C17E82"/>
    <w:rsid w:val="00C20C36"/>
    <w:rsid w:val="00C248F9"/>
    <w:rsid w:val="00C34079"/>
    <w:rsid w:val="00C3414E"/>
    <w:rsid w:val="00C43AF6"/>
    <w:rsid w:val="00C463E1"/>
    <w:rsid w:val="00C55B81"/>
    <w:rsid w:val="00C56800"/>
    <w:rsid w:val="00C60B44"/>
    <w:rsid w:val="00C63020"/>
    <w:rsid w:val="00C70194"/>
    <w:rsid w:val="00C94860"/>
    <w:rsid w:val="00CA4736"/>
    <w:rsid w:val="00CC2D18"/>
    <w:rsid w:val="00CC6CD5"/>
    <w:rsid w:val="00CD6FC3"/>
    <w:rsid w:val="00CE1DC2"/>
    <w:rsid w:val="00CE2949"/>
    <w:rsid w:val="00CF6ACC"/>
    <w:rsid w:val="00D04F43"/>
    <w:rsid w:val="00D12C18"/>
    <w:rsid w:val="00D13DD6"/>
    <w:rsid w:val="00D15149"/>
    <w:rsid w:val="00D2141D"/>
    <w:rsid w:val="00D21434"/>
    <w:rsid w:val="00D23AA8"/>
    <w:rsid w:val="00D32C9A"/>
    <w:rsid w:val="00D63463"/>
    <w:rsid w:val="00D65567"/>
    <w:rsid w:val="00D85283"/>
    <w:rsid w:val="00D8587C"/>
    <w:rsid w:val="00D92C1B"/>
    <w:rsid w:val="00DB006B"/>
    <w:rsid w:val="00DB0717"/>
    <w:rsid w:val="00DB5D79"/>
    <w:rsid w:val="00DC2375"/>
    <w:rsid w:val="00DC2750"/>
    <w:rsid w:val="00DC46C1"/>
    <w:rsid w:val="00DD19A5"/>
    <w:rsid w:val="00DF2643"/>
    <w:rsid w:val="00DF5998"/>
    <w:rsid w:val="00DF77EB"/>
    <w:rsid w:val="00E2768E"/>
    <w:rsid w:val="00E346B5"/>
    <w:rsid w:val="00E51EB2"/>
    <w:rsid w:val="00E60DFD"/>
    <w:rsid w:val="00E749AC"/>
    <w:rsid w:val="00E74BED"/>
    <w:rsid w:val="00E74BFB"/>
    <w:rsid w:val="00E76A69"/>
    <w:rsid w:val="00E8122A"/>
    <w:rsid w:val="00E83C8F"/>
    <w:rsid w:val="00E875F6"/>
    <w:rsid w:val="00EB36BF"/>
    <w:rsid w:val="00EB535A"/>
    <w:rsid w:val="00EB59DD"/>
    <w:rsid w:val="00EC2531"/>
    <w:rsid w:val="00EC2650"/>
    <w:rsid w:val="00EC49E8"/>
    <w:rsid w:val="00EC5668"/>
    <w:rsid w:val="00ED66BA"/>
    <w:rsid w:val="00ED76A1"/>
    <w:rsid w:val="00EE546D"/>
    <w:rsid w:val="00EF68D7"/>
    <w:rsid w:val="00EF7B62"/>
    <w:rsid w:val="00F13CE1"/>
    <w:rsid w:val="00F15F4C"/>
    <w:rsid w:val="00F26112"/>
    <w:rsid w:val="00F2611A"/>
    <w:rsid w:val="00F315D3"/>
    <w:rsid w:val="00F364DA"/>
    <w:rsid w:val="00F41238"/>
    <w:rsid w:val="00F42146"/>
    <w:rsid w:val="00F62898"/>
    <w:rsid w:val="00F6396D"/>
    <w:rsid w:val="00F6456F"/>
    <w:rsid w:val="00F65B6E"/>
    <w:rsid w:val="00F71875"/>
    <w:rsid w:val="00F71FE2"/>
    <w:rsid w:val="00F767C4"/>
    <w:rsid w:val="00F76EF2"/>
    <w:rsid w:val="00F85679"/>
    <w:rsid w:val="00F86E92"/>
    <w:rsid w:val="00F92307"/>
    <w:rsid w:val="00FA533A"/>
    <w:rsid w:val="00FB01F6"/>
    <w:rsid w:val="00FB3D3E"/>
    <w:rsid w:val="00FB72F0"/>
    <w:rsid w:val="00FD1D36"/>
    <w:rsid w:val="00FD1FDC"/>
    <w:rsid w:val="00FD54B8"/>
    <w:rsid w:val="00FF1E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A00"/>
    <w:rPr>
      <w:snapToGrid w:val="0"/>
      <w:sz w:val="24"/>
    </w:rPr>
  </w:style>
  <w:style w:type="paragraph" w:styleId="Heading1">
    <w:name w:val="heading 1"/>
    <w:basedOn w:val="Normal"/>
    <w:next w:val="Normal"/>
    <w:link w:val="Heading1Char"/>
    <w:qFormat/>
    <w:rsid w:val="00AC03AF"/>
    <w:pPr>
      <w:keepNext/>
      <w:tabs>
        <w:tab w:val="left" w:pos="360"/>
      </w:tabs>
      <w:outlineLvl w:val="0"/>
    </w:pPr>
    <w:rPr>
      <w:b/>
    </w:rPr>
  </w:style>
  <w:style w:type="paragraph" w:styleId="Heading2">
    <w:name w:val="heading 2"/>
    <w:basedOn w:val="Normal"/>
    <w:next w:val="Normal"/>
    <w:link w:val="Heading2Char"/>
    <w:qFormat/>
    <w:rsid w:val="00AC03AF"/>
    <w:pPr>
      <w:keepNext/>
      <w:tabs>
        <w:tab w:val="left" w:pos="360"/>
      </w:tabs>
      <w:jc w:val="right"/>
      <w:outlineLvl w:val="1"/>
    </w:pPr>
    <w:rPr>
      <w:i/>
    </w:rPr>
  </w:style>
  <w:style w:type="paragraph" w:styleId="Heading3">
    <w:name w:val="heading 3"/>
    <w:basedOn w:val="Normal"/>
    <w:next w:val="Normal"/>
    <w:link w:val="Heading3Char"/>
    <w:qFormat/>
    <w:rsid w:val="00AC03AF"/>
    <w:pPr>
      <w:keepNext/>
      <w:tabs>
        <w:tab w:val="left" w:pos="360"/>
      </w:tabs>
      <w:jc w:val="cente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B6A00"/>
    <w:pPr>
      <w:jc w:val="both"/>
    </w:pPr>
    <w:rPr>
      <w:color w:val="000000"/>
      <w:szCs w:val="24"/>
    </w:rPr>
  </w:style>
  <w:style w:type="paragraph" w:styleId="FootnoteText">
    <w:name w:val="footnote text"/>
    <w:basedOn w:val="Normal"/>
    <w:link w:val="FootnoteTextChar"/>
    <w:uiPriority w:val="99"/>
    <w:semiHidden/>
    <w:rsid w:val="00E875F6"/>
    <w:rPr>
      <w:sz w:val="20"/>
    </w:rPr>
  </w:style>
  <w:style w:type="character" w:styleId="FootnoteReference">
    <w:name w:val="footnote reference"/>
    <w:basedOn w:val="DefaultParagraphFont"/>
    <w:uiPriority w:val="99"/>
    <w:semiHidden/>
    <w:rsid w:val="00E875F6"/>
    <w:rPr>
      <w:vertAlign w:val="superscript"/>
    </w:rPr>
  </w:style>
  <w:style w:type="paragraph" w:styleId="BodyTextIndent">
    <w:name w:val="Body Text Indent"/>
    <w:basedOn w:val="Normal"/>
    <w:rsid w:val="00E875F6"/>
    <w:pPr>
      <w:ind w:firstLine="720"/>
      <w:jc w:val="both"/>
    </w:pPr>
    <w:rPr>
      <w:color w:val="000000"/>
      <w:szCs w:val="24"/>
    </w:rPr>
  </w:style>
  <w:style w:type="paragraph" w:styleId="Footer">
    <w:name w:val="footer"/>
    <w:basedOn w:val="Normal"/>
    <w:rsid w:val="0085781C"/>
    <w:pPr>
      <w:tabs>
        <w:tab w:val="center" w:pos="4320"/>
        <w:tab w:val="right" w:pos="8640"/>
      </w:tabs>
    </w:pPr>
  </w:style>
  <w:style w:type="character" w:styleId="PageNumber">
    <w:name w:val="page number"/>
    <w:basedOn w:val="DefaultParagraphFont"/>
    <w:rsid w:val="0085781C"/>
  </w:style>
  <w:style w:type="paragraph" w:styleId="Header">
    <w:name w:val="header"/>
    <w:basedOn w:val="Normal"/>
    <w:link w:val="HeaderChar"/>
    <w:uiPriority w:val="99"/>
    <w:rsid w:val="0085781C"/>
    <w:pPr>
      <w:tabs>
        <w:tab w:val="center" w:pos="4320"/>
        <w:tab w:val="right" w:pos="8640"/>
      </w:tabs>
    </w:pPr>
  </w:style>
  <w:style w:type="character" w:styleId="Hyperlink">
    <w:name w:val="Hyperlink"/>
    <w:basedOn w:val="DefaultParagraphFont"/>
    <w:rsid w:val="005C7FE2"/>
    <w:rPr>
      <w:color w:val="0000FF"/>
      <w:u w:val="single"/>
    </w:rPr>
  </w:style>
  <w:style w:type="paragraph" w:styleId="BalloonText">
    <w:name w:val="Balloon Text"/>
    <w:basedOn w:val="Normal"/>
    <w:semiHidden/>
    <w:rsid w:val="002F50A0"/>
    <w:rPr>
      <w:rFonts w:ascii="Tahoma" w:hAnsi="Tahoma" w:cs="Tahoma"/>
      <w:sz w:val="16"/>
      <w:szCs w:val="16"/>
    </w:rPr>
  </w:style>
  <w:style w:type="character" w:styleId="CommentReference">
    <w:name w:val="annotation reference"/>
    <w:basedOn w:val="DefaultParagraphFont"/>
    <w:semiHidden/>
    <w:rsid w:val="00012484"/>
    <w:rPr>
      <w:sz w:val="16"/>
      <w:szCs w:val="16"/>
    </w:rPr>
  </w:style>
  <w:style w:type="paragraph" w:styleId="CommentText">
    <w:name w:val="annotation text"/>
    <w:basedOn w:val="Normal"/>
    <w:semiHidden/>
    <w:rsid w:val="00012484"/>
    <w:rPr>
      <w:sz w:val="20"/>
    </w:rPr>
  </w:style>
  <w:style w:type="paragraph" w:styleId="CommentSubject">
    <w:name w:val="annotation subject"/>
    <w:basedOn w:val="CommentText"/>
    <w:next w:val="CommentText"/>
    <w:semiHidden/>
    <w:rsid w:val="00012484"/>
    <w:rPr>
      <w:b/>
      <w:bCs/>
    </w:rPr>
  </w:style>
  <w:style w:type="paragraph" w:styleId="Revision">
    <w:name w:val="Revision"/>
    <w:hidden/>
    <w:uiPriority w:val="99"/>
    <w:semiHidden/>
    <w:rsid w:val="005F7E56"/>
    <w:rPr>
      <w:snapToGrid w:val="0"/>
      <w:sz w:val="24"/>
    </w:rPr>
  </w:style>
  <w:style w:type="character" w:customStyle="1" w:styleId="FootnoteTextChar">
    <w:name w:val="Footnote Text Char"/>
    <w:basedOn w:val="DefaultParagraphFont"/>
    <w:link w:val="FootnoteText"/>
    <w:uiPriority w:val="99"/>
    <w:semiHidden/>
    <w:rsid w:val="00526AE5"/>
    <w:rPr>
      <w:snapToGrid w:val="0"/>
    </w:rPr>
  </w:style>
  <w:style w:type="paragraph" w:styleId="ListParagraph">
    <w:name w:val="List Paragraph"/>
    <w:basedOn w:val="Normal"/>
    <w:uiPriority w:val="34"/>
    <w:qFormat/>
    <w:rsid w:val="00292F5F"/>
    <w:pPr>
      <w:ind w:left="720"/>
      <w:contextualSpacing/>
    </w:pPr>
  </w:style>
  <w:style w:type="character" w:customStyle="1" w:styleId="Heading1Char">
    <w:name w:val="Heading 1 Char"/>
    <w:basedOn w:val="DefaultParagraphFont"/>
    <w:link w:val="Heading1"/>
    <w:rsid w:val="00AC03AF"/>
    <w:rPr>
      <w:b/>
      <w:snapToGrid w:val="0"/>
      <w:sz w:val="24"/>
    </w:rPr>
  </w:style>
  <w:style w:type="character" w:customStyle="1" w:styleId="Heading2Char">
    <w:name w:val="Heading 2 Char"/>
    <w:basedOn w:val="DefaultParagraphFont"/>
    <w:link w:val="Heading2"/>
    <w:rsid w:val="00AC03AF"/>
    <w:rPr>
      <w:i/>
      <w:snapToGrid w:val="0"/>
      <w:sz w:val="24"/>
    </w:rPr>
  </w:style>
  <w:style w:type="character" w:customStyle="1" w:styleId="Heading3Char">
    <w:name w:val="Heading 3 Char"/>
    <w:basedOn w:val="DefaultParagraphFont"/>
    <w:link w:val="Heading3"/>
    <w:rsid w:val="00AC03AF"/>
    <w:rPr>
      <w:i/>
      <w:snapToGrid w:val="0"/>
      <w:sz w:val="24"/>
    </w:rPr>
  </w:style>
  <w:style w:type="character" w:customStyle="1" w:styleId="HeaderChar">
    <w:name w:val="Header Char"/>
    <w:basedOn w:val="DefaultParagraphFont"/>
    <w:link w:val="Header"/>
    <w:uiPriority w:val="99"/>
    <w:rsid w:val="005D1AEB"/>
    <w:rPr>
      <w:snapToGrid w:val="0"/>
      <w:sz w:val="24"/>
    </w:rPr>
  </w:style>
  <w:style w:type="paragraph" w:styleId="EndnoteText">
    <w:name w:val="endnote text"/>
    <w:basedOn w:val="Normal"/>
    <w:link w:val="EndnoteTextChar"/>
    <w:uiPriority w:val="99"/>
    <w:semiHidden/>
    <w:unhideWhenUsed/>
    <w:rsid w:val="00D12C18"/>
    <w:rPr>
      <w:sz w:val="20"/>
    </w:rPr>
  </w:style>
  <w:style w:type="character" w:customStyle="1" w:styleId="EndnoteTextChar">
    <w:name w:val="Endnote Text Char"/>
    <w:basedOn w:val="DefaultParagraphFont"/>
    <w:link w:val="EndnoteText"/>
    <w:uiPriority w:val="99"/>
    <w:semiHidden/>
    <w:rsid w:val="00D12C18"/>
    <w:rPr>
      <w:snapToGrid w:val="0"/>
    </w:rPr>
  </w:style>
  <w:style w:type="character" w:styleId="EndnoteReference">
    <w:name w:val="endnote reference"/>
    <w:basedOn w:val="DefaultParagraphFont"/>
    <w:uiPriority w:val="99"/>
    <w:semiHidden/>
    <w:unhideWhenUsed/>
    <w:rsid w:val="00D12C18"/>
    <w:rPr>
      <w:vertAlign w:val="superscript"/>
    </w:rPr>
  </w:style>
  <w:style w:type="paragraph" w:styleId="HTMLPreformatted">
    <w:name w:val="HTML Preformatted"/>
    <w:basedOn w:val="Normal"/>
    <w:link w:val="HTMLPreformattedChar"/>
    <w:uiPriority w:val="99"/>
    <w:semiHidden/>
    <w:unhideWhenUsed/>
    <w:rsid w:val="00D12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semiHidden/>
    <w:rsid w:val="00D12C18"/>
    <w:rPr>
      <w:rFonts w:ascii="Courier New" w:hAnsi="Courier New" w:cs="Courier New"/>
    </w:rPr>
  </w:style>
  <w:style w:type="character" w:styleId="FollowedHyperlink">
    <w:name w:val="FollowedHyperlink"/>
    <w:basedOn w:val="DefaultParagraphFont"/>
    <w:uiPriority w:val="99"/>
    <w:semiHidden/>
    <w:unhideWhenUsed/>
    <w:rsid w:val="007C772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37855304">
      <w:bodyDiv w:val="1"/>
      <w:marLeft w:val="0"/>
      <w:marRight w:val="0"/>
      <w:marTop w:val="0"/>
      <w:marBottom w:val="0"/>
      <w:divBdr>
        <w:top w:val="none" w:sz="0" w:space="0" w:color="auto"/>
        <w:left w:val="none" w:sz="0" w:space="0" w:color="auto"/>
        <w:bottom w:val="none" w:sz="0" w:space="0" w:color="auto"/>
        <w:right w:val="none" w:sz="0" w:space="0" w:color="auto"/>
      </w:divBdr>
    </w:div>
    <w:div w:id="149495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deralreserve.gov/pubs/shop/survey.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49836-87BD-4CCB-9690-15E6EBE55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2057</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FRB</Company>
  <LinksUpToDate>false</LinksUpToDate>
  <CharactersWithSpaces>12858</CharactersWithSpaces>
  <SharedDoc>false</SharedDoc>
  <HLinks>
    <vt:vector size="6" baseType="variant">
      <vt:variant>
        <vt:i4>6619181</vt:i4>
      </vt:variant>
      <vt:variant>
        <vt:i4>2</vt:i4>
      </vt:variant>
      <vt:variant>
        <vt:i4>0</vt:i4>
      </vt:variant>
      <vt:variant>
        <vt:i4>5</vt:i4>
      </vt:variant>
      <vt:variant>
        <vt:lpwstr>http://www.federalreserve.gov/pubs/shop/survey.htm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subject/>
  <dc:creator>m1mel00</dc:creator>
  <cp:keywords/>
  <dc:description/>
  <cp:lastModifiedBy>m1jas00</cp:lastModifiedBy>
  <cp:revision>2</cp:revision>
  <cp:lastPrinted>2010-03-23T19:10:00Z</cp:lastPrinted>
  <dcterms:created xsi:type="dcterms:W3CDTF">2010-06-15T17:17:00Z</dcterms:created>
  <dcterms:modified xsi:type="dcterms:W3CDTF">2010-06-15T17:17:00Z</dcterms:modified>
</cp:coreProperties>
</file>