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AC" w:rsidRPr="00202188" w:rsidRDefault="00C315AC" w:rsidP="009D4BD9">
      <w:pPr>
        <w:pStyle w:val="CM12"/>
        <w:tabs>
          <w:tab w:val="left" w:pos="8280"/>
        </w:tabs>
        <w:spacing w:line="276" w:lineRule="atLeast"/>
        <w:ind w:right="990"/>
        <w:jc w:val="center"/>
        <w:rPr>
          <w:b/>
          <w:bCs/>
          <w:color w:val="000000"/>
        </w:rPr>
      </w:pPr>
      <w:r w:rsidRPr="00202188">
        <w:rPr>
          <w:b/>
          <w:bCs/>
          <w:color w:val="000000"/>
        </w:rPr>
        <w:t>CONSUMER FINANCIAL PROTECTION BUREAU</w:t>
      </w:r>
    </w:p>
    <w:p w:rsidR="00C315AC" w:rsidRPr="00202188" w:rsidRDefault="00C315AC" w:rsidP="009D4BD9">
      <w:pPr>
        <w:pStyle w:val="CM12"/>
        <w:tabs>
          <w:tab w:val="left" w:pos="8280"/>
          <w:tab w:val="left" w:pos="8460"/>
        </w:tabs>
        <w:spacing w:line="276" w:lineRule="atLeast"/>
        <w:ind w:right="990"/>
        <w:jc w:val="center"/>
        <w:rPr>
          <w:b/>
          <w:bCs/>
          <w:color w:val="000000"/>
        </w:rPr>
      </w:pPr>
      <w:r w:rsidRPr="00202188">
        <w:rPr>
          <w:b/>
          <w:bCs/>
          <w:color w:val="000000"/>
        </w:rPr>
        <w:t>REQUEST FOR EMERGENCY PROCESSING AND APPROVAL</w:t>
      </w:r>
    </w:p>
    <w:p w:rsidR="00C315AC" w:rsidRDefault="00291CC2" w:rsidP="009D4BD9">
      <w:pPr>
        <w:pStyle w:val="Default"/>
        <w:tabs>
          <w:tab w:val="left" w:pos="8280"/>
          <w:tab w:val="left" w:pos="9270"/>
        </w:tabs>
        <w:ind w:right="990"/>
        <w:jc w:val="center"/>
        <w:rPr>
          <w:b/>
          <w:bCs/>
        </w:rPr>
      </w:pPr>
      <w:r>
        <w:rPr>
          <w:b/>
          <w:bCs/>
        </w:rPr>
        <w:t xml:space="preserve">REAL ESTATE SETTLEMENT PROCEDURES ACT </w:t>
      </w:r>
      <w:r w:rsidR="00C315AC">
        <w:rPr>
          <w:b/>
          <w:bCs/>
        </w:rPr>
        <w:t>(REGULATION X</w:t>
      </w:r>
      <w:r>
        <w:rPr>
          <w:b/>
          <w:bCs/>
        </w:rPr>
        <w:t>) 12 CFR 1024</w:t>
      </w:r>
    </w:p>
    <w:p w:rsidR="00104DEC" w:rsidRDefault="00104DEC" w:rsidP="009D4BD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291CC2" w:rsidRDefault="00291CC2" w:rsidP="009D4BD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291CC2" w:rsidRPr="00202188" w:rsidRDefault="00291CC2" w:rsidP="009D4BD9">
      <w:pPr>
        <w:pStyle w:val="Default"/>
        <w:tabs>
          <w:tab w:val="left" w:pos="8280"/>
        </w:tabs>
        <w:ind w:right="990"/>
        <w:rPr>
          <w:b/>
          <w:bCs/>
          <w:u w:val="single"/>
        </w:rPr>
      </w:pPr>
      <w:r w:rsidRPr="00202188">
        <w:rPr>
          <w:b/>
          <w:bCs/>
          <w:u w:val="single"/>
        </w:rPr>
        <w:t xml:space="preserve">EMERGENCY JUSTIFICATION </w:t>
      </w:r>
    </w:p>
    <w:p w:rsidR="00291CC2" w:rsidRDefault="00291CC2" w:rsidP="009D4BD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9D4BD9" w:rsidRPr="00202188" w:rsidRDefault="009D4BD9" w:rsidP="009D4BD9">
      <w:pPr>
        <w:pStyle w:val="Default"/>
        <w:ind w:right="990" w:firstLine="720"/>
      </w:pPr>
      <w:r w:rsidRPr="00202188">
        <w:t>The Bureau of Consumer Financial Protection (CFPB) respectfully re</w:t>
      </w:r>
      <w:bookmarkStart w:id="0" w:name="_GoBack"/>
      <w:bookmarkEnd w:id="0"/>
      <w:r w:rsidRPr="00202188">
        <w:t xml:space="preserve">quests emergency processing and approval of the collection of information discussed below because the use of normal clearance procedures is reasonably likely to prevent and disrupt an existing collection of information.  </w:t>
      </w:r>
    </w:p>
    <w:p w:rsidR="00291CC2" w:rsidRDefault="00291CC2" w:rsidP="009D4BD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291CC2" w:rsidRDefault="00A950A5" w:rsidP="0094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firstLine="720"/>
        <w:rPr>
          <w:noProof/>
          <w:sz w:val="24"/>
          <w:szCs w:val="24"/>
        </w:rPr>
      </w:pPr>
      <w:r w:rsidRPr="004D683B">
        <w:rPr>
          <w:sz w:val="24"/>
          <w:szCs w:val="24"/>
        </w:rPr>
        <w:t>Under the Dodd-Frank Wall Street Reform and Consumer Protection Act (Dodd-Frank Act), rulemaking authority for</w:t>
      </w:r>
      <w:r>
        <w:rPr>
          <w:sz w:val="24"/>
          <w:szCs w:val="24"/>
        </w:rPr>
        <w:t xml:space="preserve"> the </w:t>
      </w:r>
      <w:r w:rsidRPr="00C315AC">
        <w:rPr>
          <w:noProof/>
          <w:sz w:val="24"/>
          <w:szCs w:val="24"/>
        </w:rPr>
        <w:t>Real Estate Settlement Procedures Act (RESPA) of 1974</w:t>
      </w:r>
      <w:r>
        <w:rPr>
          <w:noProof/>
          <w:sz w:val="24"/>
          <w:szCs w:val="24"/>
        </w:rPr>
        <w:t>, as</w:t>
      </w:r>
      <w:r w:rsidRPr="00C315AC">
        <w:rPr>
          <w:noProof/>
          <w:sz w:val="24"/>
          <w:szCs w:val="24"/>
        </w:rPr>
        <w:t xml:space="preserve"> amended by Section 461 of the Housing and Urban-Rural Recovery Act of 1983 (HURRA), and other various amendments</w:t>
      </w:r>
      <w:r>
        <w:rPr>
          <w:noProof/>
          <w:sz w:val="24"/>
          <w:szCs w:val="24"/>
        </w:rPr>
        <w:t xml:space="preserve">, transferred from the </w:t>
      </w:r>
      <w:r w:rsidRPr="00C315AC">
        <w:rPr>
          <w:noProof/>
          <w:sz w:val="24"/>
          <w:szCs w:val="24"/>
        </w:rPr>
        <w:t xml:space="preserve">Department of Housing and Urban Development (HUD) </w:t>
      </w:r>
      <w:r>
        <w:rPr>
          <w:noProof/>
          <w:sz w:val="24"/>
          <w:szCs w:val="24"/>
        </w:rPr>
        <w:t xml:space="preserve">to the CFPB on July 21, 2011.  In addition to the transfer of rulemaking authority under the Dodd-Frank Act, the CFPB received certain enforcement </w:t>
      </w:r>
      <w:r w:rsidR="002A534A">
        <w:rPr>
          <w:noProof/>
          <w:sz w:val="24"/>
          <w:szCs w:val="24"/>
        </w:rPr>
        <w:t>authorities</w:t>
      </w:r>
      <w:r>
        <w:rPr>
          <w:noProof/>
          <w:sz w:val="24"/>
          <w:szCs w:val="24"/>
        </w:rPr>
        <w:t xml:space="preserve"> with respect to RESPA.  The CFPB is in the process of publishing for public </w:t>
      </w:r>
      <w:r w:rsidR="00036B43">
        <w:rPr>
          <w:noProof/>
          <w:sz w:val="24"/>
          <w:szCs w:val="24"/>
        </w:rPr>
        <w:t>comment</w:t>
      </w:r>
      <w:r>
        <w:rPr>
          <w:noProof/>
          <w:sz w:val="24"/>
          <w:szCs w:val="24"/>
        </w:rPr>
        <w:t xml:space="preserve"> an interim final rule establishing a new regulation in 1</w:t>
      </w:r>
      <w:r w:rsidR="002A534A">
        <w:rPr>
          <w:noProof/>
          <w:sz w:val="24"/>
          <w:szCs w:val="24"/>
        </w:rPr>
        <w:t>2</w:t>
      </w:r>
      <w:r>
        <w:rPr>
          <w:noProof/>
          <w:sz w:val="24"/>
          <w:szCs w:val="24"/>
        </w:rPr>
        <w:t xml:space="preserve"> CFR Part 1024 (Regulation X).  This interim final rule </w:t>
      </w:r>
      <w:r w:rsidR="00036B43">
        <w:rPr>
          <w:noProof/>
          <w:sz w:val="24"/>
          <w:szCs w:val="24"/>
        </w:rPr>
        <w:t>substantially</w:t>
      </w:r>
      <w:r>
        <w:rPr>
          <w:noProof/>
          <w:sz w:val="24"/>
          <w:szCs w:val="24"/>
        </w:rPr>
        <w:t xml:space="preserve"> replicates HUD’s RESPA rule, and will not impose any new substantive obligations on regulated </w:t>
      </w:r>
      <w:r w:rsidR="00036B43">
        <w:rPr>
          <w:noProof/>
          <w:sz w:val="24"/>
          <w:szCs w:val="24"/>
        </w:rPr>
        <w:t>entities</w:t>
      </w:r>
      <w:r>
        <w:rPr>
          <w:noProof/>
          <w:sz w:val="24"/>
          <w:szCs w:val="24"/>
        </w:rPr>
        <w:t xml:space="preserve"> or any new </w:t>
      </w:r>
      <w:r w:rsidR="00036B43">
        <w:rPr>
          <w:noProof/>
          <w:sz w:val="24"/>
          <w:szCs w:val="24"/>
        </w:rPr>
        <w:t xml:space="preserve">information collection </w:t>
      </w:r>
      <w:r w:rsidR="00AB7FD0">
        <w:rPr>
          <w:noProof/>
          <w:sz w:val="24"/>
          <w:szCs w:val="24"/>
        </w:rPr>
        <w:t>requirements</w:t>
      </w:r>
      <w:r w:rsidR="00036B43">
        <w:rPr>
          <w:noProof/>
          <w:sz w:val="24"/>
          <w:szCs w:val="24"/>
        </w:rPr>
        <w:t xml:space="preserve">. </w:t>
      </w:r>
    </w:p>
    <w:p w:rsidR="00036B43" w:rsidRDefault="00036B43" w:rsidP="00036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9D4BD9" w:rsidRPr="00202188" w:rsidRDefault="009D4BD9" w:rsidP="009D4BD9">
      <w:pPr>
        <w:pStyle w:val="Default"/>
        <w:tabs>
          <w:tab w:val="left" w:pos="8280"/>
        </w:tabs>
        <w:ind w:right="990" w:firstLine="720"/>
      </w:pPr>
      <w:r>
        <w:t xml:space="preserve">As the CFPB now has enforcement authority over certain populations that have been under the jurisdiction of </w:t>
      </w:r>
      <w:r w:rsidR="00615F84">
        <w:t>other agencies</w:t>
      </w:r>
      <w:r>
        <w:t xml:space="preserve">, the CFPB is requesting approval of a new OMB control number for its collection activities under Regulation X.  To prevent disruptions of approved information collections, the CFPB is requesting emergency processing and approval of the following information collection request.  </w:t>
      </w:r>
      <w:r w:rsidR="006F2834">
        <w:t>In an effort to minimize industry burden</w:t>
      </w:r>
      <w:r w:rsidR="009B3433">
        <w:t xml:space="preserve">, the CFPB </w:t>
      </w:r>
      <w:r w:rsidR="006F2834">
        <w:t xml:space="preserve">has reached an agreement with the Office of Management and Budget and HUD to permit regulated industries to use </w:t>
      </w:r>
      <w:r w:rsidR="0099609C">
        <w:t xml:space="preserve">either </w:t>
      </w:r>
      <w:r w:rsidR="006F2834">
        <w:t xml:space="preserve">the existing </w:t>
      </w:r>
      <w:r w:rsidR="009B3433">
        <w:t xml:space="preserve">HUD control number </w:t>
      </w:r>
      <w:r w:rsidR="006F2834">
        <w:t xml:space="preserve">or the CFPB control number </w:t>
      </w:r>
      <w:r w:rsidR="009B3433">
        <w:t xml:space="preserve">until the CFPB issues </w:t>
      </w:r>
      <w:r w:rsidR="006F2834">
        <w:t>a final rule revising or replacing the existing HUD</w:t>
      </w:r>
      <w:r w:rsidR="006F2834" w:rsidRPr="006F2834">
        <w:rPr>
          <w:noProof/>
        </w:rPr>
        <w:t>-1/1A and GFE forms</w:t>
      </w:r>
      <w:r w:rsidR="009B3433">
        <w:t xml:space="preserve">.  </w:t>
      </w:r>
      <w:r>
        <w:t xml:space="preserve">Upon receipt of emergency approval from </w:t>
      </w:r>
      <w:r w:rsidRPr="00AC0EB7">
        <w:t>the Office of Management and Budget</w:t>
      </w:r>
      <w:r>
        <w:t xml:space="preserve">, the CFPB will begin a standard approval process for this collection and will seek public input at that time.  </w:t>
      </w:r>
    </w:p>
    <w:p w:rsidR="00291CC2" w:rsidRDefault="00291CC2" w:rsidP="00291CC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291CC2" w:rsidRPr="00202188" w:rsidRDefault="00291CC2" w:rsidP="00291CC2">
      <w:pPr>
        <w:pStyle w:val="CM12"/>
        <w:spacing w:line="276" w:lineRule="atLeast"/>
        <w:ind w:right="990"/>
        <w:jc w:val="center"/>
        <w:rPr>
          <w:b/>
          <w:bCs/>
          <w:color w:val="000000"/>
        </w:rPr>
      </w:pPr>
      <w:r>
        <w:rPr>
          <w:b/>
        </w:rPr>
        <w:br w:type="page"/>
      </w:r>
      <w:r w:rsidRPr="00202188">
        <w:rPr>
          <w:b/>
          <w:bCs/>
          <w:color w:val="000000"/>
        </w:rPr>
        <w:lastRenderedPageBreak/>
        <w:t>CONSUMER FINANCIAL PROTECTION BUREAU</w:t>
      </w:r>
    </w:p>
    <w:p w:rsidR="00291CC2" w:rsidRPr="00202188" w:rsidRDefault="00291CC2" w:rsidP="00291CC2">
      <w:pPr>
        <w:pStyle w:val="CM12"/>
        <w:spacing w:line="276" w:lineRule="atLeast"/>
        <w:ind w:right="990"/>
        <w:jc w:val="center"/>
        <w:rPr>
          <w:b/>
          <w:bCs/>
          <w:color w:val="000000"/>
        </w:rPr>
      </w:pPr>
      <w:r w:rsidRPr="00202188">
        <w:rPr>
          <w:b/>
          <w:bCs/>
          <w:color w:val="000000"/>
        </w:rPr>
        <w:t>INFORMATION COLLECTION REQUEST</w:t>
      </w:r>
      <w:r>
        <w:rPr>
          <w:b/>
          <w:bCs/>
          <w:color w:val="000000"/>
        </w:rPr>
        <w:t xml:space="preserve"> – SUPPORTING STATEMENT</w:t>
      </w:r>
    </w:p>
    <w:p w:rsidR="00291CC2" w:rsidRPr="00202188" w:rsidRDefault="00291CC2" w:rsidP="00291CC2">
      <w:pPr>
        <w:pStyle w:val="CM12"/>
        <w:spacing w:line="276" w:lineRule="atLeast"/>
        <w:ind w:right="990"/>
        <w:jc w:val="center"/>
        <w:rPr>
          <w:b/>
          <w:bCs/>
          <w:color w:val="000000"/>
        </w:rPr>
      </w:pPr>
      <w:r>
        <w:rPr>
          <w:b/>
          <w:bCs/>
        </w:rPr>
        <w:t>REAL ESTATE SETTLEMENT PROCEDURES ACT</w:t>
      </w:r>
      <w:r>
        <w:rPr>
          <w:b/>
          <w:bCs/>
          <w:color w:val="000000"/>
        </w:rPr>
        <w:t xml:space="preserve"> (REGULATION X) 12 CFR 1024</w:t>
      </w:r>
    </w:p>
    <w:p w:rsidR="00291CC2" w:rsidRPr="00202188" w:rsidRDefault="00291CC2" w:rsidP="00291CC2">
      <w:pPr>
        <w:pStyle w:val="CM12"/>
        <w:spacing w:line="276" w:lineRule="atLeast"/>
        <w:ind w:right="990"/>
        <w:jc w:val="center"/>
        <w:rPr>
          <w:color w:val="000000"/>
        </w:rPr>
      </w:pPr>
      <w:r w:rsidRPr="00202188">
        <w:rPr>
          <w:b/>
          <w:bCs/>
          <w:color w:val="000000"/>
        </w:rPr>
        <w:t>(OMB CONTROL NUMBER: 3170-XXXX)</w:t>
      </w:r>
    </w:p>
    <w:p w:rsidR="00291CC2" w:rsidRPr="00F7669A" w:rsidRDefault="00291CC2" w:rsidP="00291CC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b/>
          <w:i/>
          <w:sz w:val="24"/>
          <w:szCs w:val="24"/>
        </w:rPr>
      </w:pPr>
    </w:p>
    <w:p w:rsidR="00EB66FB" w:rsidRPr="00EB66FB" w:rsidRDefault="00F7669A" w:rsidP="00F7669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i/>
          <w:noProof/>
          <w:sz w:val="24"/>
          <w:szCs w:val="24"/>
        </w:rPr>
      </w:pPr>
      <w:r w:rsidRPr="00F7669A">
        <w:rPr>
          <w:i/>
          <w:sz w:val="24"/>
          <w:szCs w:val="24"/>
        </w:rPr>
        <w:tab/>
        <w:t>Under the Dodd-Frank Wall Street Reform and Consumer Protection Act (Dodd-Frank Act), rulemaking authority</w:t>
      </w:r>
      <w:r>
        <w:rPr>
          <w:i/>
          <w:sz w:val="24"/>
          <w:szCs w:val="24"/>
        </w:rPr>
        <w:t xml:space="preserve"> for and certain enforcement authorities</w:t>
      </w:r>
      <w:r w:rsidRPr="00F7669A">
        <w:rPr>
          <w:i/>
          <w:sz w:val="24"/>
          <w:szCs w:val="24"/>
        </w:rPr>
        <w:t xml:space="preserve"> </w:t>
      </w:r>
      <w:r>
        <w:rPr>
          <w:i/>
          <w:sz w:val="24"/>
          <w:szCs w:val="24"/>
        </w:rPr>
        <w:t>with respect to</w:t>
      </w:r>
      <w:r w:rsidRPr="00F7669A">
        <w:rPr>
          <w:i/>
          <w:sz w:val="24"/>
          <w:szCs w:val="24"/>
        </w:rPr>
        <w:t xml:space="preserve"> the </w:t>
      </w:r>
      <w:r w:rsidRPr="00F7669A">
        <w:rPr>
          <w:i/>
          <w:noProof/>
          <w:sz w:val="24"/>
          <w:szCs w:val="24"/>
        </w:rPr>
        <w:t xml:space="preserve">Real Estate Settlement Procedures Act (RESPA) of 1974, as amended by Section 461 of the Housing and Urban-Rural Recovery Act of 1983 (HURRA), and other various amendments, transferred from the Department of Housing and Urban Development (HUD) </w:t>
      </w:r>
      <w:r>
        <w:rPr>
          <w:i/>
          <w:noProof/>
          <w:sz w:val="24"/>
          <w:szCs w:val="24"/>
        </w:rPr>
        <w:t xml:space="preserve">to the CFPB on July 21, 2011.  </w:t>
      </w:r>
      <w:r>
        <w:rPr>
          <w:i/>
          <w:sz w:val="24"/>
          <w:szCs w:val="24"/>
        </w:rPr>
        <w:t xml:space="preserve">The Dodd-Frank Act also </w:t>
      </w:r>
      <w:r w:rsidR="00EB66FB" w:rsidRPr="00EB66FB">
        <w:rPr>
          <w:i/>
          <w:sz w:val="24"/>
          <w:szCs w:val="24"/>
        </w:rPr>
        <w:t xml:space="preserve">directed the CFPB to integrate certain disclosures </w:t>
      </w:r>
      <w:r w:rsidR="00EB66FB">
        <w:rPr>
          <w:i/>
          <w:sz w:val="24"/>
          <w:szCs w:val="24"/>
        </w:rPr>
        <w:t xml:space="preserve">required by the Truth in Lending Act (TILA) with certain disclosures required by </w:t>
      </w:r>
      <w:r w:rsidR="00EB66FB" w:rsidRPr="00EB66FB">
        <w:rPr>
          <w:i/>
          <w:sz w:val="24"/>
          <w:szCs w:val="24"/>
        </w:rPr>
        <w:t>the</w:t>
      </w:r>
      <w:r w:rsidR="00EB66FB" w:rsidRPr="00EB66FB">
        <w:rPr>
          <w:i/>
          <w:noProof/>
          <w:sz w:val="24"/>
          <w:szCs w:val="24"/>
        </w:rPr>
        <w:t xml:space="preserve"> Real Estate Settlement Procedures Act (RESPA) of 1974</w:t>
      </w:r>
      <w:r w:rsidR="00EB66FB">
        <w:rPr>
          <w:i/>
          <w:noProof/>
          <w:sz w:val="24"/>
          <w:szCs w:val="24"/>
        </w:rPr>
        <w:t xml:space="preserve">.  The CFPB expects the content and format of </w:t>
      </w:r>
      <w:r w:rsidR="006F2834">
        <w:rPr>
          <w:i/>
          <w:noProof/>
          <w:sz w:val="24"/>
          <w:szCs w:val="24"/>
        </w:rPr>
        <w:t xml:space="preserve">information collection forms under this clearance, </w:t>
      </w:r>
      <w:r w:rsidR="00EB66FB">
        <w:rPr>
          <w:i/>
          <w:noProof/>
          <w:sz w:val="24"/>
          <w:szCs w:val="24"/>
        </w:rPr>
        <w:t xml:space="preserve">HUD’s existing </w:t>
      </w:r>
      <w:r w:rsidR="006F2834">
        <w:rPr>
          <w:i/>
          <w:noProof/>
          <w:sz w:val="24"/>
          <w:szCs w:val="24"/>
        </w:rPr>
        <w:t xml:space="preserve">HUD-1/1A and GFE forms, </w:t>
      </w:r>
      <w:r w:rsidR="00EB66FB">
        <w:rPr>
          <w:i/>
          <w:noProof/>
          <w:sz w:val="24"/>
          <w:szCs w:val="24"/>
        </w:rPr>
        <w:t xml:space="preserve">to be signfiicantly revised or replaced by such a </w:t>
      </w:r>
      <w:r>
        <w:rPr>
          <w:i/>
          <w:noProof/>
          <w:sz w:val="24"/>
          <w:szCs w:val="24"/>
        </w:rPr>
        <w:t>rulemaking.</w:t>
      </w:r>
    </w:p>
    <w:p w:rsidR="00EB66FB" w:rsidRPr="00EB66FB" w:rsidRDefault="00EB66FB" w:rsidP="00291CC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i/>
          <w:noProof/>
          <w:sz w:val="24"/>
          <w:szCs w:val="24"/>
        </w:rPr>
      </w:pPr>
    </w:p>
    <w:p w:rsidR="00EB66FB" w:rsidRDefault="00F7669A" w:rsidP="00F76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i/>
          <w:sz w:val="24"/>
          <w:szCs w:val="24"/>
        </w:rPr>
      </w:pPr>
      <w:r>
        <w:rPr>
          <w:i/>
          <w:sz w:val="24"/>
          <w:szCs w:val="24"/>
        </w:rPr>
        <w:tab/>
        <w:t>Historically, in order to satisfy information collection requirements under the Paperwork Reduction Act (PRA), t</w:t>
      </w:r>
      <w:r w:rsidR="00EB66FB" w:rsidRPr="00EB66FB">
        <w:rPr>
          <w:i/>
          <w:sz w:val="24"/>
          <w:szCs w:val="24"/>
        </w:rPr>
        <w:t>he HUD-1/1A and GFE list</w:t>
      </w:r>
      <w:r w:rsidR="006F2834">
        <w:rPr>
          <w:i/>
          <w:sz w:val="24"/>
          <w:szCs w:val="24"/>
        </w:rPr>
        <w:t>ed</w:t>
      </w:r>
      <w:r w:rsidR="00EB66FB" w:rsidRPr="00EB66FB">
        <w:rPr>
          <w:i/>
          <w:sz w:val="24"/>
          <w:szCs w:val="24"/>
        </w:rPr>
        <w:t xml:space="preserve"> HUD’s Office of Management and Budget (OMB) control number, 2502-0265, in order to satisfy information collection requirements of the Paperwork Reduction Act.  </w:t>
      </w:r>
      <w:r w:rsidR="0099609C">
        <w:rPr>
          <w:i/>
          <w:sz w:val="24"/>
          <w:szCs w:val="24"/>
        </w:rPr>
        <w:t>While the CFPB will be, upon OMB approval of this information collection request, the “owner” of this information collection, t</w:t>
      </w:r>
      <w:r w:rsidR="00EB66FB" w:rsidRPr="00EB66FB">
        <w:rPr>
          <w:i/>
          <w:sz w:val="24"/>
          <w:szCs w:val="24"/>
        </w:rPr>
        <w:t xml:space="preserve">he </w:t>
      </w:r>
      <w:r w:rsidR="006F2834">
        <w:rPr>
          <w:i/>
          <w:sz w:val="24"/>
          <w:szCs w:val="24"/>
        </w:rPr>
        <w:t>CFPB</w:t>
      </w:r>
      <w:r w:rsidR="00EB66FB" w:rsidRPr="00EB66FB">
        <w:rPr>
          <w:i/>
          <w:sz w:val="24"/>
          <w:szCs w:val="24"/>
        </w:rPr>
        <w:t xml:space="preserve"> believes that requiring covered persons to modify existing forms solely to replace HUD’s OMB control number with the Bureau’s OMB control number would impose substantial burden on covered persons with limited or no net benefit to consumer</w:t>
      </w:r>
      <w:r w:rsidR="006F2834">
        <w:rPr>
          <w:i/>
          <w:sz w:val="24"/>
          <w:szCs w:val="24"/>
        </w:rPr>
        <w:t>s</w:t>
      </w:r>
      <w:r w:rsidR="00EB66FB" w:rsidRPr="00EB66FB">
        <w:rPr>
          <w:i/>
          <w:sz w:val="24"/>
          <w:szCs w:val="24"/>
        </w:rPr>
        <w:t>.  Accordingly,</w:t>
      </w:r>
      <w:r w:rsidR="006F2834">
        <w:rPr>
          <w:i/>
          <w:sz w:val="24"/>
          <w:szCs w:val="24"/>
        </w:rPr>
        <w:t xml:space="preserve"> the CFPB has reached an agreement with OMB and HUD whereby</w:t>
      </w:r>
      <w:r w:rsidR="00EB66FB" w:rsidRPr="00EB66FB">
        <w:rPr>
          <w:i/>
          <w:sz w:val="24"/>
          <w:szCs w:val="24"/>
        </w:rPr>
        <w:t xml:space="preserve"> covered persons may continue to list HUD’s OMB control number on the HUD-1/1A and GFE forms until a final rule to the contrary takes effect.  Covered persons also have the option of replacing HUD’s OMB control number with the Bureau’s OMB control number on the HUD-1/1A and GFE forms until a final rule to the contrary takes effect.</w:t>
      </w:r>
      <w:r w:rsidR="0099609C">
        <w:rPr>
          <w:i/>
          <w:sz w:val="24"/>
          <w:szCs w:val="24"/>
        </w:rPr>
        <w:t xml:space="preserve">  Once the CFPB’s final rule takes effect, regulated industry will no longer be able to use the HUD control number. </w:t>
      </w:r>
    </w:p>
    <w:p w:rsidR="009B3433" w:rsidRDefault="009B3433" w:rsidP="00291CC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990"/>
        <w:rPr>
          <w:b/>
          <w:sz w:val="24"/>
          <w:szCs w:val="24"/>
        </w:rPr>
      </w:pPr>
    </w:p>
    <w:p w:rsidR="00291CC2" w:rsidRPr="000C23E7" w:rsidRDefault="00291CC2" w:rsidP="00291CC2">
      <w:pPr>
        <w:pStyle w:val="Default"/>
        <w:ind w:right="990"/>
        <w:rPr>
          <w:b/>
          <w:u w:val="single"/>
        </w:rPr>
      </w:pPr>
      <w:r w:rsidRPr="000C23E7">
        <w:rPr>
          <w:b/>
          <w:u w:val="single"/>
        </w:rPr>
        <w:t>A.  JUSTIFICATION</w:t>
      </w:r>
    </w:p>
    <w:p w:rsidR="0099609C" w:rsidRPr="00202188" w:rsidRDefault="0099609C" w:rsidP="00291CC2">
      <w:pPr>
        <w:pStyle w:val="Default"/>
        <w:ind w:right="990"/>
      </w:pPr>
    </w:p>
    <w:p w:rsidR="0099609C" w:rsidRDefault="00291CC2" w:rsidP="0099609C">
      <w:pPr>
        <w:pStyle w:val="Default"/>
        <w:rPr>
          <w:b/>
          <w:bCs/>
          <w:u w:val="single"/>
        </w:rPr>
      </w:pPr>
      <w:r w:rsidRPr="00202188">
        <w:rPr>
          <w:b/>
          <w:bCs/>
        </w:rPr>
        <w:t>1.</w:t>
      </w:r>
      <w:r w:rsidR="00945E87">
        <w:rPr>
          <w:b/>
          <w:bCs/>
        </w:rPr>
        <w:t xml:space="preserve">  </w:t>
      </w:r>
      <w:r w:rsidRPr="00202188">
        <w:rPr>
          <w:b/>
          <w:bCs/>
          <w:u w:val="single"/>
        </w:rPr>
        <w:t>Circumstances Necessitating the Data Collection</w:t>
      </w:r>
    </w:p>
    <w:p w:rsidR="0099609C" w:rsidRDefault="0099609C" w:rsidP="0099609C">
      <w:pPr>
        <w:pStyle w:val="Default"/>
      </w:pPr>
    </w:p>
    <w:p w:rsidR="0027490B" w:rsidRDefault="0099609C" w:rsidP="0099609C">
      <w:pPr>
        <w:pStyle w:val="Default"/>
        <w:rPr>
          <w:noProof/>
        </w:rPr>
      </w:pPr>
      <w:r w:rsidRPr="00C315AC">
        <w:rPr>
          <w:noProof/>
        </w:rPr>
        <w:t>Certain disclosures are required by the Real Estate Settlement Procedures Act (RESPA) of 1974</w:t>
      </w:r>
      <w:r>
        <w:rPr>
          <w:noProof/>
        </w:rPr>
        <w:t>, as</w:t>
      </w:r>
      <w:r w:rsidRPr="00C315AC">
        <w:rPr>
          <w:noProof/>
        </w:rPr>
        <w:t xml:space="preserve"> amended by Section 461 of the Housing and Urban-Rural Recovery Act of 1983 (HURRA), and other various amendments.  The statute is found at 12 U.S.C. 2601 </w:t>
      </w:r>
      <w:r w:rsidRPr="00615F84">
        <w:rPr>
          <w:i/>
          <w:noProof/>
        </w:rPr>
        <w:t>et seq</w:t>
      </w:r>
      <w:r w:rsidRPr="00C315AC">
        <w:rPr>
          <w:noProof/>
        </w:rPr>
        <w:t>.  The implementing regulations have been published by the Department of Housing and Urban Development (HUD) at 24 CFR 3500.  In light of the transfer of HUD’s rulemaking authority for RESPA to the Bureau of Consumer Financial Protection</w:t>
      </w:r>
      <w:r>
        <w:rPr>
          <w:noProof/>
        </w:rPr>
        <w:t xml:space="preserve"> (CFPB)</w:t>
      </w:r>
      <w:r w:rsidRPr="00C315AC">
        <w:rPr>
          <w:noProof/>
        </w:rPr>
        <w:t xml:space="preserve">, the </w:t>
      </w:r>
      <w:r>
        <w:rPr>
          <w:noProof/>
        </w:rPr>
        <w:t>CFPB</w:t>
      </w:r>
      <w:r w:rsidRPr="00C315AC">
        <w:rPr>
          <w:noProof/>
        </w:rPr>
        <w:t xml:space="preserve"> is adopting an interim final rule (Interim Final Rule) recodifying </w:t>
      </w:r>
      <w:r w:rsidRPr="00C315AC">
        <w:t>HUD’s</w:t>
      </w:r>
      <w:r>
        <w:t xml:space="preserve"> </w:t>
      </w:r>
      <w:r w:rsidRPr="00C315AC">
        <w:rPr>
          <w:iCs/>
        </w:rPr>
        <w:t xml:space="preserve">Regulation X at 12 CFR 1024 to reflect the transfer of authority and to help facilitate compliance with RESPA and its implementing regulations to help prevent confusion regarding regulatory and supervisory authority.  </w:t>
      </w:r>
      <w:r w:rsidRPr="00C315AC">
        <w:rPr>
          <w:noProof/>
        </w:rPr>
        <w:t xml:space="preserve">Required disclosures include: the Good Faith Estimate (GFE), the Special Information Booklet, the HUD-1/HUD-1A Settlement Statements, the Servicing Disclosure Statement, and, as applicable, the Servicing Transfer Disclosure. </w:t>
      </w:r>
      <w:r>
        <w:rPr>
          <w:noProof/>
        </w:rPr>
        <w:t xml:space="preserve"> </w:t>
      </w:r>
      <w:r w:rsidRPr="00C315AC">
        <w:rPr>
          <w:noProof/>
        </w:rPr>
        <w:t xml:space="preserve">Other disclosures may be required under certain </w:t>
      </w:r>
      <w:r w:rsidRPr="00C315AC">
        <w:rPr>
          <w:noProof/>
        </w:rPr>
        <w:lastRenderedPageBreak/>
        <w:t xml:space="preserve">circumstances and include: the Initial Escrow Account Statement, the Annual Escrow Account Statement, the Affiliated Business Disclosure, and the Consumer Disclosure for Voluntary Escrow Account Payments. </w:t>
      </w:r>
      <w:r>
        <w:rPr>
          <w:noProof/>
        </w:rPr>
        <w:t xml:space="preserve"> This collection helps to protect consumers in several respects.  The Special Information Booklet helps </w:t>
      </w:r>
      <w:r w:rsidRPr="00C315AC">
        <w:rPr>
          <w:noProof/>
        </w:rPr>
        <w:t>to protect consumers from unnecessarily high settlement costs</w:t>
      </w:r>
      <w:r>
        <w:rPr>
          <w:noProof/>
        </w:rPr>
        <w:t xml:space="preserve"> by providing information about the nature and cost of real estate settlement services.  The GFE and HUD-1/HUD-1A Settlement Statements enable consumers to compare estimated settlement costs with actual settlement costs.  The Affiliated Business Disclosure helps to protect borrowers from unncessarily high settlement service charges due to the settlement service provider’s use of an affiliated provider.  Disclosures related to the servicing of the mortgage loan help to protect consumers if the servicing of the loan could be or is transferred.Disclosures related to consumers’ escrow accounts help to protect them from unneccessarily high escrow charges.</w:t>
      </w:r>
    </w:p>
    <w:p w:rsidR="0099609C" w:rsidRDefault="0099609C" w:rsidP="0099609C">
      <w:pPr>
        <w:pStyle w:val="Default"/>
      </w:pPr>
    </w:p>
    <w:p w:rsidR="009D4BD9" w:rsidRPr="00202188" w:rsidRDefault="009D4BD9" w:rsidP="009D4BD9">
      <w:pPr>
        <w:pStyle w:val="CM12"/>
        <w:spacing w:line="276" w:lineRule="atLeast"/>
      </w:pPr>
      <w:r w:rsidRPr="00202188">
        <w:rPr>
          <w:b/>
          <w:bCs/>
        </w:rPr>
        <w:t xml:space="preserve">2. </w:t>
      </w:r>
      <w:r w:rsidR="00945E87">
        <w:rPr>
          <w:b/>
          <w:bCs/>
        </w:rPr>
        <w:t xml:space="preserve"> </w:t>
      </w:r>
      <w:r w:rsidRPr="00202188">
        <w:rPr>
          <w:b/>
          <w:bCs/>
          <w:u w:val="single"/>
        </w:rPr>
        <w:t>Use of the Information</w:t>
      </w:r>
    </w:p>
    <w:p w:rsidR="009D4BD9" w:rsidRPr="00C315AC" w:rsidRDefault="009D4BD9" w:rsidP="00291CC2">
      <w:pPr>
        <w:keepLines/>
        <w:tabs>
          <w:tab w:val="left" w:pos="360"/>
        </w:tabs>
        <w:ind w:left="360" w:right="990"/>
        <w:rPr>
          <w:noProof/>
          <w:sz w:val="24"/>
          <w:szCs w:val="24"/>
        </w:rPr>
      </w:pPr>
    </w:p>
    <w:p w:rsidR="00104DEC" w:rsidRPr="00C315AC" w:rsidRDefault="008A00CE" w:rsidP="00945E87">
      <w:pPr>
        <w:tabs>
          <w:tab w:val="left" w:pos="360"/>
          <w:tab w:val="left" w:pos="720"/>
        </w:tabs>
        <w:ind w:right="990" w:firstLine="720"/>
        <w:rPr>
          <w:sz w:val="24"/>
          <w:szCs w:val="24"/>
        </w:rPr>
      </w:pPr>
      <w:r>
        <w:rPr>
          <w:sz w:val="24"/>
          <w:szCs w:val="24"/>
        </w:rPr>
        <w:t>T</w:t>
      </w:r>
      <w:r w:rsidR="00104DEC" w:rsidRPr="00C315AC">
        <w:rPr>
          <w:bCs/>
          <w:sz w:val="24"/>
          <w:szCs w:val="24"/>
        </w:rPr>
        <w:t>he</w:t>
      </w:r>
      <w:r w:rsidR="00F912A7">
        <w:rPr>
          <w:bCs/>
          <w:sz w:val="24"/>
          <w:szCs w:val="24"/>
        </w:rPr>
        <w:t xml:space="preserve"> third party disclosures in this collection </w:t>
      </w:r>
      <w:r w:rsidR="00104DEC" w:rsidRPr="00C315AC">
        <w:rPr>
          <w:sz w:val="24"/>
          <w:szCs w:val="24"/>
        </w:rPr>
        <w:t xml:space="preserve">are required by statute and regulations.  </w:t>
      </w:r>
      <w:r w:rsidR="00F912A7">
        <w:rPr>
          <w:sz w:val="24"/>
          <w:szCs w:val="24"/>
        </w:rPr>
        <w:t xml:space="preserve">The CFPB expects to make further explanations of RESPA through its website, </w:t>
      </w:r>
      <w:r w:rsidR="004F6A90" w:rsidRPr="004F6A90">
        <w:rPr>
          <w:sz w:val="24"/>
          <w:szCs w:val="24"/>
        </w:rPr>
        <w:t>http://www.consumerfinance.gov</w:t>
      </w:r>
      <w:r w:rsidR="00F912A7">
        <w:rPr>
          <w:sz w:val="24"/>
          <w:szCs w:val="24"/>
        </w:rPr>
        <w:t xml:space="preserve">.  </w:t>
      </w:r>
      <w:r w:rsidR="00104DEC" w:rsidRPr="00C315AC">
        <w:rPr>
          <w:sz w:val="24"/>
          <w:szCs w:val="24"/>
        </w:rPr>
        <w:t xml:space="preserve">Real estate settlement service providers make these disclosures to homebuyers/borrowers, and in some cases, sellers, pursuant to transactions involving </w:t>
      </w:r>
      <w:r w:rsidR="001F3B8F" w:rsidRPr="00C315AC">
        <w:rPr>
          <w:sz w:val="24"/>
          <w:szCs w:val="24"/>
        </w:rPr>
        <w:t xml:space="preserve">federally </w:t>
      </w:r>
      <w:r w:rsidR="00104DEC" w:rsidRPr="00C315AC">
        <w:rPr>
          <w:sz w:val="24"/>
          <w:szCs w:val="24"/>
        </w:rPr>
        <w:t>related mortgage</w:t>
      </w:r>
      <w:r w:rsidR="001F3B8F" w:rsidRPr="00C315AC">
        <w:rPr>
          <w:sz w:val="24"/>
          <w:szCs w:val="24"/>
        </w:rPr>
        <w:t xml:space="preserve"> loan</w:t>
      </w:r>
      <w:r w:rsidR="00104DEC" w:rsidRPr="00C315AC">
        <w:rPr>
          <w:sz w:val="24"/>
          <w:szCs w:val="24"/>
        </w:rPr>
        <w:t xml:space="preserve">s.  Disclosures are not submitted to the </w:t>
      </w:r>
      <w:r w:rsidR="001F3B8F" w:rsidRPr="00C315AC">
        <w:rPr>
          <w:sz w:val="24"/>
          <w:szCs w:val="24"/>
        </w:rPr>
        <w:t>federal government</w:t>
      </w:r>
      <w:r w:rsidR="00104DEC" w:rsidRPr="00C315AC">
        <w:rPr>
          <w:sz w:val="24"/>
          <w:szCs w:val="24"/>
        </w:rPr>
        <w:t>.</w:t>
      </w:r>
    </w:p>
    <w:p w:rsidR="00104DEC" w:rsidRPr="00C315AC" w:rsidRDefault="00104DEC" w:rsidP="00291CC2">
      <w:pPr>
        <w:pStyle w:val="BodyText"/>
        <w:tabs>
          <w:tab w:val="clear" w:pos="360"/>
          <w:tab w:val="left" w:pos="90"/>
        </w:tabs>
        <w:spacing w:after="0"/>
        <w:ind w:right="990"/>
        <w:rPr>
          <w:szCs w:val="24"/>
        </w:rPr>
      </w:pPr>
    </w:p>
    <w:p w:rsidR="00104DEC" w:rsidRPr="00C315AC" w:rsidRDefault="00104DEC" w:rsidP="00291CC2">
      <w:pPr>
        <w:keepLines/>
        <w:numPr>
          <w:ilvl w:val="0"/>
          <w:numId w:val="6"/>
        </w:numPr>
        <w:tabs>
          <w:tab w:val="left" w:pos="360"/>
        </w:tabs>
        <w:ind w:right="990"/>
        <w:rPr>
          <w:noProof/>
          <w:sz w:val="24"/>
          <w:szCs w:val="24"/>
        </w:rPr>
      </w:pPr>
      <w:r w:rsidRPr="00C315AC">
        <w:rPr>
          <w:noProof/>
          <w:sz w:val="24"/>
          <w:szCs w:val="24"/>
        </w:rPr>
        <w:t xml:space="preserve">Good Faith Estimate (GFE).  Lenders must give borrowers an estimate of the settlement costs that the borrower is likely to incur in connection with settlement (see Section 5(c) of RESPA).  </w:t>
      </w:r>
    </w:p>
    <w:p w:rsidR="001F3B8F" w:rsidRPr="00C315AC" w:rsidRDefault="001F3B8F" w:rsidP="00291CC2">
      <w:pPr>
        <w:keepLines/>
        <w:tabs>
          <w:tab w:val="left" w:pos="360"/>
        </w:tabs>
        <w:ind w:left="720" w:right="990"/>
        <w:rPr>
          <w:noProof/>
          <w:sz w:val="24"/>
          <w:szCs w:val="24"/>
        </w:rPr>
      </w:pPr>
    </w:p>
    <w:p w:rsidR="00104DEC" w:rsidRPr="00C315AC" w:rsidRDefault="00104DEC" w:rsidP="00291CC2">
      <w:pPr>
        <w:keepLines/>
        <w:numPr>
          <w:ilvl w:val="0"/>
          <w:numId w:val="6"/>
        </w:numPr>
        <w:tabs>
          <w:tab w:val="left" w:pos="360"/>
        </w:tabs>
        <w:ind w:right="990"/>
        <w:rPr>
          <w:noProof/>
          <w:sz w:val="24"/>
          <w:szCs w:val="24"/>
        </w:rPr>
      </w:pPr>
      <w:r w:rsidRPr="00C315AC">
        <w:rPr>
          <w:noProof/>
          <w:sz w:val="24"/>
          <w:szCs w:val="24"/>
        </w:rPr>
        <w:t>Special Information Booklet.  Homebuyers receive this disclosure regarding the nature and costs of real estate settlement services (see Section 5(d) of RESPA).</w:t>
      </w:r>
    </w:p>
    <w:p w:rsidR="00104DEC" w:rsidRPr="00C315AC" w:rsidRDefault="00104DEC" w:rsidP="00291CC2">
      <w:pPr>
        <w:keepLines/>
        <w:tabs>
          <w:tab w:val="left" w:pos="360"/>
        </w:tabs>
        <w:ind w:right="990"/>
        <w:rPr>
          <w:noProof/>
          <w:sz w:val="24"/>
          <w:szCs w:val="24"/>
        </w:rPr>
      </w:pPr>
    </w:p>
    <w:p w:rsidR="00104DEC" w:rsidRPr="00C315AC" w:rsidRDefault="00104DEC" w:rsidP="00291CC2">
      <w:pPr>
        <w:numPr>
          <w:ilvl w:val="0"/>
          <w:numId w:val="12"/>
        </w:numPr>
        <w:ind w:right="990"/>
        <w:rPr>
          <w:noProof/>
          <w:sz w:val="24"/>
          <w:szCs w:val="24"/>
        </w:rPr>
      </w:pPr>
      <w:r w:rsidRPr="00C315AC">
        <w:rPr>
          <w:noProof/>
          <w:sz w:val="24"/>
          <w:szCs w:val="24"/>
        </w:rPr>
        <w:t>HUD-1/HUD-1A</w:t>
      </w:r>
      <w:r w:rsidR="00945E87">
        <w:rPr>
          <w:noProof/>
          <w:sz w:val="24"/>
          <w:szCs w:val="24"/>
        </w:rPr>
        <w:t xml:space="preserve"> </w:t>
      </w:r>
      <w:r w:rsidRPr="00C315AC">
        <w:rPr>
          <w:noProof/>
          <w:sz w:val="24"/>
          <w:szCs w:val="24"/>
        </w:rPr>
        <w:t>Uniform Settlement Statement</w:t>
      </w:r>
      <w:r w:rsidR="00A64FD8" w:rsidRPr="00C315AC">
        <w:rPr>
          <w:noProof/>
          <w:sz w:val="24"/>
          <w:szCs w:val="24"/>
        </w:rPr>
        <w:t>s</w:t>
      </w:r>
      <w:r w:rsidRPr="00C315AC">
        <w:rPr>
          <w:noProof/>
          <w:sz w:val="24"/>
          <w:szCs w:val="24"/>
        </w:rPr>
        <w:t xml:space="preserve">.  Borrowers and sellers receive a statement of actual charges and disbursements pursuant to the settlement (see Section 4(a) of RESPA). </w:t>
      </w:r>
      <w:r w:rsidR="00945E87">
        <w:rPr>
          <w:noProof/>
          <w:sz w:val="24"/>
          <w:szCs w:val="24"/>
        </w:rPr>
        <w:t xml:space="preserve"> </w:t>
      </w:r>
      <w:r w:rsidRPr="00C315AC">
        <w:rPr>
          <w:noProof/>
          <w:sz w:val="24"/>
          <w:szCs w:val="24"/>
        </w:rPr>
        <w:t xml:space="preserve">The </w:t>
      </w:r>
      <w:r w:rsidR="001F3B8F" w:rsidRPr="00C315AC">
        <w:rPr>
          <w:noProof/>
          <w:sz w:val="24"/>
          <w:szCs w:val="24"/>
        </w:rPr>
        <w:t xml:space="preserve">information required to be set forth in the </w:t>
      </w:r>
      <w:r w:rsidR="00C2052A" w:rsidRPr="00C315AC">
        <w:rPr>
          <w:noProof/>
          <w:sz w:val="24"/>
          <w:szCs w:val="24"/>
        </w:rPr>
        <w:t>HUD-1/1A settlement statement</w:t>
      </w:r>
      <w:r w:rsidR="001F3B8F" w:rsidRPr="00C315AC">
        <w:rPr>
          <w:noProof/>
          <w:sz w:val="24"/>
          <w:szCs w:val="24"/>
        </w:rPr>
        <w:t xml:space="preserve">s include </w:t>
      </w:r>
      <w:r w:rsidR="00C2052A" w:rsidRPr="00C315AC">
        <w:rPr>
          <w:noProof/>
          <w:sz w:val="24"/>
          <w:szCs w:val="24"/>
        </w:rPr>
        <w:t>a comparison between the charges listed on the GFE and the charges listed on the HUD-1/1A</w:t>
      </w:r>
      <w:r w:rsidR="001F3B8F" w:rsidRPr="00C315AC">
        <w:rPr>
          <w:noProof/>
          <w:sz w:val="24"/>
          <w:szCs w:val="24"/>
        </w:rPr>
        <w:t xml:space="preserve"> and a summary of</w:t>
      </w:r>
      <w:r w:rsidR="00C2052A" w:rsidRPr="00C315AC">
        <w:rPr>
          <w:noProof/>
          <w:sz w:val="24"/>
          <w:szCs w:val="24"/>
        </w:rPr>
        <w:t xml:space="preserve"> the final loan terms of the borrower’s loan.</w:t>
      </w:r>
    </w:p>
    <w:p w:rsidR="00104DEC" w:rsidRPr="00C315AC" w:rsidRDefault="00104DEC" w:rsidP="00291CC2">
      <w:pPr>
        <w:keepLines/>
        <w:tabs>
          <w:tab w:val="left" w:pos="360"/>
        </w:tabs>
        <w:ind w:left="360" w:right="990"/>
        <w:rPr>
          <w:noProof/>
          <w:sz w:val="24"/>
          <w:szCs w:val="24"/>
        </w:rPr>
      </w:pPr>
    </w:p>
    <w:p w:rsidR="00104DEC" w:rsidRDefault="00104DEC" w:rsidP="00291CC2">
      <w:pPr>
        <w:keepLines/>
        <w:numPr>
          <w:ilvl w:val="0"/>
          <w:numId w:val="6"/>
        </w:numPr>
        <w:tabs>
          <w:tab w:val="left" w:pos="360"/>
        </w:tabs>
        <w:ind w:right="990"/>
        <w:rPr>
          <w:noProof/>
          <w:sz w:val="24"/>
          <w:szCs w:val="24"/>
        </w:rPr>
      </w:pPr>
      <w:r w:rsidRPr="003975A7">
        <w:rPr>
          <w:noProof/>
          <w:sz w:val="24"/>
          <w:szCs w:val="24"/>
        </w:rPr>
        <w:t>Escrow Disclosures.  An initial escrow account statement is provided to borrowers at or within forty-five calendar days of the loan closing, and an annual statement is provided to borrowers showing the previous year's activities in the escrow account.  The lender may ask the borrower to voluntarily contribute additional funds if the charge will substantially rise in the second year</w:t>
      </w:r>
      <w:r w:rsidR="00DD2C03" w:rsidRPr="003975A7">
        <w:rPr>
          <w:noProof/>
          <w:sz w:val="24"/>
          <w:szCs w:val="24"/>
        </w:rPr>
        <w:t>.</w:t>
      </w:r>
      <w:r w:rsidRPr="003975A7">
        <w:rPr>
          <w:noProof/>
          <w:sz w:val="24"/>
          <w:szCs w:val="24"/>
        </w:rPr>
        <w:t xml:space="preserve">  Section</w:t>
      </w:r>
      <w:r w:rsidR="00F47789" w:rsidRPr="003975A7">
        <w:rPr>
          <w:noProof/>
          <w:sz w:val="24"/>
          <w:szCs w:val="24"/>
        </w:rPr>
        <w:t>s</w:t>
      </w:r>
      <w:r w:rsidRPr="003975A7">
        <w:rPr>
          <w:noProof/>
          <w:sz w:val="24"/>
          <w:szCs w:val="24"/>
        </w:rPr>
        <w:t xml:space="preserve"> 9</w:t>
      </w:r>
      <w:r w:rsidR="00F47789" w:rsidRPr="003975A7">
        <w:rPr>
          <w:noProof/>
          <w:sz w:val="24"/>
          <w:szCs w:val="24"/>
        </w:rPr>
        <w:t>41 and 942</w:t>
      </w:r>
      <w:r w:rsidRPr="003975A7">
        <w:rPr>
          <w:noProof/>
          <w:sz w:val="24"/>
          <w:szCs w:val="24"/>
        </w:rPr>
        <w:t xml:space="preserve"> of the Cranston- Gonzalez Affordable Housing Act of 1990 (P</w:t>
      </w:r>
      <w:r w:rsidR="004C1F0A" w:rsidRPr="003975A7">
        <w:rPr>
          <w:noProof/>
          <w:sz w:val="24"/>
          <w:szCs w:val="24"/>
        </w:rPr>
        <w:t>ub</w:t>
      </w:r>
      <w:r w:rsidRPr="003975A7">
        <w:rPr>
          <w:noProof/>
          <w:sz w:val="24"/>
          <w:szCs w:val="24"/>
        </w:rPr>
        <w:t>. L. 101-625, approved November 28, 1990), amended Section 10 of the Real Estate Settlement Procedures Act of 1974 (RESPA, U.S.C. 2609(c)).</w:t>
      </w:r>
      <w:r w:rsidR="00945E87">
        <w:rPr>
          <w:noProof/>
          <w:sz w:val="24"/>
          <w:szCs w:val="24"/>
        </w:rPr>
        <w:t xml:space="preserve">  </w:t>
      </w:r>
      <w:r w:rsidR="004C1F0A" w:rsidRPr="003975A7">
        <w:rPr>
          <w:noProof/>
          <w:sz w:val="24"/>
          <w:szCs w:val="24"/>
        </w:rPr>
        <w:t xml:space="preserve">HUD published regulations </w:t>
      </w:r>
      <w:r w:rsidRPr="003975A7">
        <w:rPr>
          <w:noProof/>
          <w:sz w:val="24"/>
          <w:szCs w:val="24"/>
        </w:rPr>
        <w:t>allowing voluntary collection of additional fund</w:t>
      </w:r>
      <w:r w:rsidR="003975A7" w:rsidRPr="003975A7">
        <w:rPr>
          <w:noProof/>
          <w:sz w:val="24"/>
          <w:szCs w:val="24"/>
        </w:rPr>
        <w:t xml:space="preserve">s.  </w:t>
      </w:r>
      <w:r w:rsidR="003975A7" w:rsidRPr="003975A7">
        <w:rPr>
          <w:i/>
          <w:noProof/>
          <w:sz w:val="24"/>
          <w:szCs w:val="24"/>
        </w:rPr>
        <w:t xml:space="preserve">See </w:t>
      </w:r>
      <w:r w:rsidR="003975A7" w:rsidRPr="003975A7">
        <w:rPr>
          <w:noProof/>
          <w:sz w:val="24"/>
          <w:szCs w:val="24"/>
        </w:rPr>
        <w:t>63 FR 3214 (</w:t>
      </w:r>
      <w:r w:rsidRPr="003975A7">
        <w:rPr>
          <w:noProof/>
          <w:sz w:val="24"/>
          <w:szCs w:val="24"/>
        </w:rPr>
        <w:t>January 21, 1998</w:t>
      </w:r>
      <w:r w:rsidR="003975A7" w:rsidRPr="003975A7">
        <w:rPr>
          <w:noProof/>
          <w:sz w:val="24"/>
          <w:szCs w:val="24"/>
        </w:rPr>
        <w:t>)</w:t>
      </w:r>
      <w:r w:rsidR="00C67138">
        <w:rPr>
          <w:noProof/>
          <w:sz w:val="24"/>
          <w:szCs w:val="24"/>
        </w:rPr>
        <w:t>.</w:t>
      </w:r>
    </w:p>
    <w:p w:rsidR="003975A7" w:rsidRPr="003975A7" w:rsidRDefault="003975A7" w:rsidP="003975A7">
      <w:pPr>
        <w:keepLines/>
        <w:tabs>
          <w:tab w:val="left" w:pos="360"/>
        </w:tabs>
        <w:ind w:left="720" w:right="990"/>
        <w:rPr>
          <w:noProof/>
          <w:sz w:val="24"/>
          <w:szCs w:val="24"/>
        </w:rPr>
      </w:pPr>
    </w:p>
    <w:p w:rsidR="00104DEC" w:rsidRPr="00C315AC" w:rsidRDefault="00104DEC" w:rsidP="00291CC2">
      <w:pPr>
        <w:keepLines/>
        <w:numPr>
          <w:ilvl w:val="0"/>
          <w:numId w:val="6"/>
        </w:numPr>
        <w:ind w:right="990"/>
        <w:rPr>
          <w:noProof/>
          <w:sz w:val="24"/>
          <w:szCs w:val="24"/>
        </w:rPr>
      </w:pPr>
      <w:r w:rsidRPr="00C315AC">
        <w:rPr>
          <w:noProof/>
          <w:sz w:val="24"/>
          <w:szCs w:val="24"/>
        </w:rPr>
        <w:lastRenderedPageBreak/>
        <w:t xml:space="preserve">Affiliated Business Arrangement Disclosure.  This disclosure is required when a settlement service provider refers a borrower to an affiliated provider.  Section 461 of the Housing and Urban-Rural Recovery Act of 1983 added an exemption under Section 8 of RESPA for affiliated business arrangements (AfBAs) as long as certain requirements were met.  The implementing regulations at </w:t>
      </w:r>
      <w:r w:rsidR="00615F84" w:rsidRPr="00C315AC">
        <w:rPr>
          <w:noProof/>
          <w:sz w:val="24"/>
          <w:szCs w:val="24"/>
        </w:rPr>
        <w:t>12 CFR 1024.15</w:t>
      </w:r>
      <w:r w:rsidR="00945E87">
        <w:rPr>
          <w:noProof/>
          <w:sz w:val="24"/>
          <w:szCs w:val="24"/>
        </w:rPr>
        <w:t xml:space="preserve"> </w:t>
      </w:r>
      <w:r w:rsidRPr="00C315AC">
        <w:rPr>
          <w:noProof/>
          <w:sz w:val="24"/>
          <w:szCs w:val="24"/>
        </w:rPr>
        <w:t xml:space="preserve">require that a disclosure be given when a settlement service provider refers a borrower to another settlement service provider when an AfBA exists. </w:t>
      </w:r>
    </w:p>
    <w:p w:rsidR="00104DEC" w:rsidRPr="00C315AC" w:rsidRDefault="00104DEC" w:rsidP="00291CC2">
      <w:pPr>
        <w:keepLines/>
        <w:ind w:right="990"/>
        <w:rPr>
          <w:noProof/>
          <w:sz w:val="24"/>
          <w:szCs w:val="24"/>
        </w:rPr>
      </w:pPr>
    </w:p>
    <w:p w:rsidR="00104DEC" w:rsidRPr="00C315AC" w:rsidRDefault="001355F3" w:rsidP="00291CC2">
      <w:pPr>
        <w:keepLines/>
        <w:numPr>
          <w:ilvl w:val="0"/>
          <w:numId w:val="6"/>
        </w:numPr>
        <w:tabs>
          <w:tab w:val="left" w:pos="360"/>
        </w:tabs>
        <w:ind w:right="990"/>
        <w:rPr>
          <w:noProof/>
          <w:sz w:val="24"/>
          <w:szCs w:val="24"/>
        </w:rPr>
      </w:pPr>
      <w:r w:rsidRPr="00C315AC">
        <w:rPr>
          <w:noProof/>
          <w:sz w:val="24"/>
          <w:szCs w:val="24"/>
        </w:rPr>
        <w:t>Servicing Transfer Disclosure</w:t>
      </w:r>
      <w:r w:rsidR="00104DEC" w:rsidRPr="00C315AC">
        <w:rPr>
          <w:noProof/>
          <w:sz w:val="24"/>
          <w:szCs w:val="24"/>
        </w:rPr>
        <w:t>.  This disclosure is required of all transferring and transferee loan servicers upon assignment, sale, or transfer of the servicing of the loan.  These servicers must notify the borrower in writing of any assignment, sale, or transfer of the servicing of the loan.  The transferring loan servicer must provide notice to the borrower not less than 15 days before the effective date of transfer of the servicing of the loan and the transferee loan servicer must provide notice to the borrower not more than 15 days after the effective date of the loan transfer.  (Section 941 of the Cranston-Gonzalez National Affordable Housing Act, P.L. 101-625</w:t>
      </w:r>
      <w:r w:rsidR="00945E87">
        <w:rPr>
          <w:noProof/>
          <w:sz w:val="24"/>
          <w:szCs w:val="24"/>
        </w:rPr>
        <w:t>, amended Section 6 of RESPA.)</w:t>
      </w:r>
    </w:p>
    <w:p w:rsidR="00104DEC" w:rsidRPr="00C315AC" w:rsidRDefault="00104DEC" w:rsidP="00291CC2">
      <w:pPr>
        <w:keepLines/>
        <w:tabs>
          <w:tab w:val="left" w:pos="360"/>
        </w:tabs>
        <w:ind w:right="990"/>
        <w:rPr>
          <w:noProof/>
          <w:sz w:val="24"/>
          <w:szCs w:val="24"/>
        </w:rPr>
      </w:pPr>
    </w:p>
    <w:p w:rsidR="00104DEC" w:rsidRPr="00C315AC" w:rsidRDefault="00104DEC" w:rsidP="00291CC2">
      <w:pPr>
        <w:keepLines/>
        <w:numPr>
          <w:ilvl w:val="0"/>
          <w:numId w:val="6"/>
        </w:numPr>
        <w:tabs>
          <w:tab w:val="left" w:pos="360"/>
        </w:tabs>
        <w:ind w:right="990"/>
        <w:rPr>
          <w:noProof/>
          <w:sz w:val="24"/>
          <w:szCs w:val="24"/>
        </w:rPr>
      </w:pPr>
      <w:r w:rsidRPr="00C315AC">
        <w:rPr>
          <w:noProof/>
          <w:sz w:val="24"/>
          <w:szCs w:val="24"/>
        </w:rPr>
        <w:t xml:space="preserve">Servicing Disclosure Statement/Acknowledgement of Probable Transfer of Loan Servicing Disclosure.  </w:t>
      </w:r>
      <w:r w:rsidR="004C1F0A" w:rsidRPr="00C315AC">
        <w:rPr>
          <w:noProof/>
          <w:sz w:val="24"/>
          <w:szCs w:val="24"/>
        </w:rPr>
        <w:t xml:space="preserve">In adopting regulations implementing RESPA, HUD substituted </w:t>
      </w:r>
      <w:r w:rsidRPr="00C315AC">
        <w:rPr>
          <w:noProof/>
          <w:sz w:val="24"/>
          <w:szCs w:val="24"/>
        </w:rPr>
        <w:t xml:space="preserve">the Servicing Disclosure Statement for the Acknowledgement of Probable Transfer of Loan Servicing Disclosure.  All lenders </w:t>
      </w:r>
      <w:r w:rsidR="004C1F0A" w:rsidRPr="00C315AC">
        <w:rPr>
          <w:noProof/>
          <w:sz w:val="24"/>
          <w:szCs w:val="24"/>
        </w:rPr>
        <w:t>are</w:t>
      </w:r>
      <w:r w:rsidRPr="00C315AC">
        <w:rPr>
          <w:noProof/>
          <w:sz w:val="24"/>
          <w:szCs w:val="24"/>
        </w:rPr>
        <w:t xml:space="preserve"> required to provide a Servicing Disclosure Statement at the time a GFE is </w:t>
      </w:r>
      <w:r w:rsidR="00D34716" w:rsidRPr="00C315AC">
        <w:rPr>
          <w:noProof/>
          <w:sz w:val="24"/>
          <w:szCs w:val="24"/>
        </w:rPr>
        <w:t>delivered</w:t>
      </w:r>
      <w:r w:rsidRPr="00C315AC">
        <w:rPr>
          <w:noProof/>
          <w:sz w:val="24"/>
          <w:szCs w:val="24"/>
        </w:rPr>
        <w:t xml:space="preserve">.  The Servicing Disclosure Statement </w:t>
      </w:r>
      <w:r w:rsidR="004C1F0A" w:rsidRPr="00C315AC">
        <w:rPr>
          <w:noProof/>
          <w:sz w:val="24"/>
          <w:szCs w:val="24"/>
        </w:rPr>
        <w:t>provides</w:t>
      </w:r>
      <w:r w:rsidRPr="00C315AC">
        <w:rPr>
          <w:noProof/>
          <w:sz w:val="24"/>
          <w:szCs w:val="24"/>
        </w:rPr>
        <w:t xml:space="preserve"> notice to the borrower </w:t>
      </w:r>
      <w:r w:rsidRPr="00C315AC">
        <w:rPr>
          <w:bCs/>
          <w:noProof/>
          <w:sz w:val="24"/>
          <w:szCs w:val="24"/>
        </w:rPr>
        <w:t xml:space="preserve">that </w:t>
      </w:r>
      <w:r w:rsidRPr="00C315AC">
        <w:rPr>
          <w:noProof/>
          <w:sz w:val="24"/>
          <w:szCs w:val="24"/>
        </w:rPr>
        <w:t xml:space="preserve">the servicing of the loan may be transferred.  </w:t>
      </w:r>
      <w:r w:rsidR="004C1F0A" w:rsidRPr="00C315AC">
        <w:rPr>
          <w:noProof/>
          <w:sz w:val="24"/>
          <w:szCs w:val="24"/>
        </w:rPr>
        <w:t>This</w:t>
      </w:r>
      <w:r w:rsidRPr="00C315AC">
        <w:rPr>
          <w:noProof/>
          <w:sz w:val="24"/>
          <w:szCs w:val="24"/>
        </w:rPr>
        <w:t xml:space="preserve"> disclosure </w:t>
      </w:r>
      <w:r w:rsidR="004C1F0A" w:rsidRPr="00C315AC">
        <w:rPr>
          <w:noProof/>
          <w:sz w:val="24"/>
          <w:szCs w:val="24"/>
        </w:rPr>
        <w:t>conforms</w:t>
      </w:r>
      <w:r w:rsidRPr="00C315AC">
        <w:rPr>
          <w:noProof/>
          <w:sz w:val="24"/>
          <w:szCs w:val="24"/>
        </w:rPr>
        <w:t xml:space="preserve"> with the Economic Growth and Regulatory Paperwork Reduction Act of 1996 (Title II of the Omnibus Consolidated Appropriations Act, 1997) (Pub. L. 104-208) (the Act).  Section 2103(a) of the Act amended </w:t>
      </w:r>
      <w:r w:rsidR="004C1F0A" w:rsidRPr="00C315AC">
        <w:rPr>
          <w:noProof/>
          <w:sz w:val="24"/>
          <w:szCs w:val="24"/>
        </w:rPr>
        <w:t xml:space="preserve">Section </w:t>
      </w:r>
      <w:r w:rsidRPr="00C315AC">
        <w:rPr>
          <w:noProof/>
          <w:sz w:val="24"/>
          <w:szCs w:val="24"/>
        </w:rPr>
        <w:t xml:space="preserve">6(a) of RESPA to eliminate the requirement that applicants for federally related mortgage loans be provided a disclosure describing the lender’s historical practice regarding the sale or transfer of servicing rights, and the requirement that loan applications contain signed statements from applicants acknowledging that they have read and understood the disclosure provided.  </w:t>
      </w:r>
    </w:p>
    <w:p w:rsidR="00104DEC" w:rsidRPr="00C315AC" w:rsidRDefault="00104DEC" w:rsidP="00291CC2">
      <w:pPr>
        <w:keepLines/>
        <w:tabs>
          <w:tab w:val="left" w:pos="360"/>
        </w:tabs>
        <w:ind w:left="360" w:right="990"/>
        <w:rPr>
          <w:noProof/>
          <w:sz w:val="24"/>
          <w:szCs w:val="24"/>
        </w:rPr>
      </w:pPr>
    </w:p>
    <w:p w:rsidR="009D4BD9" w:rsidRPr="00202188" w:rsidRDefault="009D4BD9" w:rsidP="009D4BD9">
      <w:pPr>
        <w:pStyle w:val="Default"/>
        <w:rPr>
          <w:color w:val="auto"/>
        </w:rPr>
      </w:pPr>
      <w:r w:rsidRPr="00202188">
        <w:rPr>
          <w:b/>
          <w:bCs/>
        </w:rPr>
        <w:t xml:space="preserve">3. </w:t>
      </w:r>
      <w:r w:rsidR="00945E87">
        <w:rPr>
          <w:b/>
          <w:bCs/>
        </w:rPr>
        <w:t xml:space="preserve"> </w:t>
      </w:r>
      <w:r w:rsidRPr="00202188">
        <w:rPr>
          <w:b/>
          <w:bCs/>
          <w:u w:val="single"/>
        </w:rPr>
        <w:t>Use of Information Technology</w:t>
      </w:r>
    </w:p>
    <w:p w:rsidR="009D4BD9" w:rsidRDefault="009D4BD9" w:rsidP="009D4BD9">
      <w:pPr>
        <w:keepLines/>
        <w:tabs>
          <w:tab w:val="left" w:pos="360"/>
        </w:tabs>
        <w:ind w:left="360" w:right="990"/>
        <w:rPr>
          <w:noProof/>
          <w:sz w:val="24"/>
          <w:szCs w:val="24"/>
        </w:rPr>
      </w:pPr>
    </w:p>
    <w:p w:rsidR="00104DEC" w:rsidRPr="00C315AC" w:rsidRDefault="00C2052A" w:rsidP="00DB229D">
      <w:pPr>
        <w:keepLines/>
        <w:ind w:right="990" w:firstLine="720"/>
        <w:rPr>
          <w:noProof/>
          <w:sz w:val="24"/>
          <w:szCs w:val="24"/>
        </w:rPr>
      </w:pPr>
      <w:r w:rsidRPr="00C315AC">
        <w:rPr>
          <w:noProof/>
          <w:sz w:val="24"/>
          <w:szCs w:val="24"/>
        </w:rPr>
        <w:t>T</w:t>
      </w:r>
      <w:r w:rsidR="00104DEC" w:rsidRPr="00C315AC">
        <w:rPr>
          <w:noProof/>
          <w:sz w:val="24"/>
          <w:szCs w:val="24"/>
        </w:rPr>
        <w:t xml:space="preserve">hese third party disclosures may be submitted to consumers electronically.  Additionally, most disclosures are computer generated.  </w:t>
      </w:r>
      <w:r w:rsidR="00673F80" w:rsidRPr="00C315AC">
        <w:rPr>
          <w:noProof/>
          <w:sz w:val="24"/>
          <w:szCs w:val="24"/>
        </w:rPr>
        <w:t xml:space="preserve">The </w:t>
      </w:r>
      <w:r w:rsidR="009D4BD9">
        <w:rPr>
          <w:noProof/>
          <w:sz w:val="24"/>
          <w:szCs w:val="24"/>
        </w:rPr>
        <w:t>CFPB</w:t>
      </w:r>
      <w:r w:rsidR="00673F80" w:rsidRPr="00C315AC">
        <w:rPr>
          <w:noProof/>
          <w:sz w:val="24"/>
          <w:szCs w:val="24"/>
        </w:rPr>
        <w:t xml:space="preserve"> expects to make the</w:t>
      </w:r>
      <w:r w:rsidR="00945E87">
        <w:rPr>
          <w:noProof/>
          <w:sz w:val="24"/>
          <w:szCs w:val="24"/>
        </w:rPr>
        <w:t xml:space="preserve"> </w:t>
      </w:r>
      <w:r w:rsidR="00070AB1" w:rsidRPr="00C315AC">
        <w:rPr>
          <w:noProof/>
          <w:sz w:val="24"/>
          <w:szCs w:val="24"/>
        </w:rPr>
        <w:t xml:space="preserve">HUD1/1-A and </w:t>
      </w:r>
      <w:r w:rsidR="00104DEC" w:rsidRPr="00C315AC">
        <w:rPr>
          <w:noProof/>
          <w:sz w:val="24"/>
          <w:szCs w:val="24"/>
        </w:rPr>
        <w:t>GFE form</w:t>
      </w:r>
      <w:r w:rsidR="00070AB1" w:rsidRPr="00C315AC">
        <w:rPr>
          <w:noProof/>
          <w:sz w:val="24"/>
          <w:szCs w:val="24"/>
        </w:rPr>
        <w:t>s</w:t>
      </w:r>
      <w:r w:rsidR="00104DEC" w:rsidRPr="00C315AC">
        <w:rPr>
          <w:noProof/>
          <w:sz w:val="24"/>
          <w:szCs w:val="24"/>
        </w:rPr>
        <w:t xml:space="preserve"> available on the </w:t>
      </w:r>
      <w:r w:rsidR="009D4BD9">
        <w:rPr>
          <w:noProof/>
          <w:sz w:val="24"/>
          <w:szCs w:val="24"/>
        </w:rPr>
        <w:t>CFPB</w:t>
      </w:r>
      <w:r w:rsidR="00070AB1" w:rsidRPr="00C315AC">
        <w:rPr>
          <w:noProof/>
          <w:sz w:val="24"/>
          <w:szCs w:val="24"/>
        </w:rPr>
        <w:t>’s website (</w:t>
      </w:r>
      <w:r w:rsidR="00176544" w:rsidRPr="00945E87">
        <w:rPr>
          <w:b/>
          <w:noProof/>
          <w:sz w:val="24"/>
          <w:szCs w:val="24"/>
        </w:rPr>
        <w:t>www.consumerfinance.gov</w:t>
      </w:r>
      <w:r w:rsidR="00070AB1" w:rsidRPr="00C315AC">
        <w:rPr>
          <w:noProof/>
          <w:sz w:val="24"/>
          <w:szCs w:val="24"/>
        </w:rPr>
        <w:t>).</w:t>
      </w:r>
      <w:r w:rsidR="00176544">
        <w:rPr>
          <w:noProof/>
          <w:sz w:val="24"/>
          <w:szCs w:val="24"/>
        </w:rPr>
        <w:t xml:space="preserve">  </w:t>
      </w:r>
      <w:r w:rsidR="00C67138">
        <w:rPr>
          <w:noProof/>
          <w:sz w:val="24"/>
          <w:szCs w:val="24"/>
        </w:rPr>
        <w:t>HUD has previously noted that l</w:t>
      </w:r>
      <w:r w:rsidR="00104DEC" w:rsidRPr="00C315AC">
        <w:rPr>
          <w:noProof/>
          <w:sz w:val="24"/>
          <w:szCs w:val="24"/>
        </w:rPr>
        <w:t xml:space="preserve">enders/brokers may use a computer generated program to estimate costs reported on the GFE for specific settlement services.  </w:t>
      </w:r>
      <w:r w:rsidR="00C67138">
        <w:rPr>
          <w:noProof/>
          <w:sz w:val="24"/>
          <w:szCs w:val="24"/>
        </w:rPr>
        <w:t>HUD has previously estimated that a</w:t>
      </w:r>
      <w:r w:rsidR="00104DEC" w:rsidRPr="00C315AC">
        <w:rPr>
          <w:noProof/>
          <w:sz w:val="24"/>
          <w:szCs w:val="24"/>
        </w:rPr>
        <w:t xml:space="preserve">pproximately 50,000 </w:t>
      </w:r>
      <w:r w:rsidR="00D34716" w:rsidRPr="00C315AC">
        <w:rPr>
          <w:noProof/>
          <w:sz w:val="24"/>
          <w:szCs w:val="24"/>
        </w:rPr>
        <w:t>loan originators</w:t>
      </w:r>
      <w:r w:rsidR="00104DEC" w:rsidRPr="00C315AC">
        <w:rPr>
          <w:noProof/>
          <w:sz w:val="24"/>
          <w:szCs w:val="24"/>
        </w:rPr>
        <w:t xml:space="preserve"> process an estimated 21,250,000 loan applications which would require a GFE</w:t>
      </w:r>
      <w:r w:rsidR="00C67138">
        <w:rPr>
          <w:noProof/>
          <w:sz w:val="24"/>
          <w:szCs w:val="24"/>
        </w:rPr>
        <w:t xml:space="preserve"> and that </w:t>
      </w:r>
      <w:r w:rsidR="00104DEC" w:rsidRPr="00C315AC">
        <w:rPr>
          <w:noProof/>
          <w:sz w:val="24"/>
          <w:szCs w:val="24"/>
        </w:rPr>
        <w:t xml:space="preserve">at least 90% of the GFEs are now generated by computer.  </w:t>
      </w:r>
      <w:r w:rsidR="00C67138">
        <w:rPr>
          <w:noProof/>
          <w:sz w:val="24"/>
          <w:szCs w:val="24"/>
        </w:rPr>
        <w:t>HUD has also previously noted that m</w:t>
      </w:r>
      <w:r w:rsidR="00104DEC" w:rsidRPr="00C315AC">
        <w:rPr>
          <w:noProof/>
          <w:sz w:val="24"/>
          <w:szCs w:val="24"/>
        </w:rPr>
        <w:t>ost servicers are using integrated computer systems for billing, recordkeeping, and generating escrow statements</w:t>
      </w:r>
      <w:r w:rsidR="00C67138">
        <w:rPr>
          <w:noProof/>
          <w:sz w:val="24"/>
          <w:szCs w:val="24"/>
        </w:rPr>
        <w:t xml:space="preserve"> and that s</w:t>
      </w:r>
      <w:r w:rsidR="00104DEC" w:rsidRPr="00C315AC">
        <w:rPr>
          <w:noProof/>
          <w:sz w:val="24"/>
          <w:szCs w:val="24"/>
        </w:rPr>
        <w:t xml:space="preserve">oftware manufacturers continue to market improved versions of these systems.  </w:t>
      </w:r>
    </w:p>
    <w:p w:rsidR="00104DEC" w:rsidRPr="00C315AC" w:rsidRDefault="00104DEC" w:rsidP="00291CC2">
      <w:pPr>
        <w:pStyle w:val="BodyText"/>
        <w:tabs>
          <w:tab w:val="clear" w:pos="360"/>
          <w:tab w:val="left" w:pos="90"/>
        </w:tabs>
        <w:spacing w:after="0"/>
        <w:ind w:right="990"/>
        <w:rPr>
          <w:noProof/>
          <w:szCs w:val="24"/>
        </w:rPr>
      </w:pPr>
    </w:p>
    <w:p w:rsidR="009D4BD9" w:rsidRPr="00202188" w:rsidRDefault="009D4BD9" w:rsidP="009D4BD9">
      <w:pPr>
        <w:pStyle w:val="CM12"/>
        <w:spacing w:line="276" w:lineRule="atLeast"/>
      </w:pPr>
      <w:r w:rsidRPr="00202188">
        <w:rPr>
          <w:b/>
          <w:bCs/>
        </w:rPr>
        <w:lastRenderedPageBreak/>
        <w:t xml:space="preserve">4. </w:t>
      </w:r>
      <w:r w:rsidR="00945E87">
        <w:rPr>
          <w:b/>
          <w:bCs/>
        </w:rPr>
        <w:t xml:space="preserve"> </w:t>
      </w:r>
      <w:r w:rsidRPr="00202188">
        <w:rPr>
          <w:b/>
          <w:bCs/>
          <w:u w:val="single"/>
        </w:rPr>
        <w:t>Efforts to Identify Duplication</w:t>
      </w:r>
    </w:p>
    <w:p w:rsidR="009D4BD9" w:rsidRDefault="009D4BD9" w:rsidP="009D4BD9">
      <w:pPr>
        <w:keepLines/>
        <w:ind w:left="360" w:right="990"/>
        <w:rPr>
          <w:noProof/>
          <w:sz w:val="24"/>
          <w:szCs w:val="24"/>
        </w:rPr>
      </w:pPr>
    </w:p>
    <w:p w:rsidR="00104DEC" w:rsidRPr="00C315AC" w:rsidRDefault="00104DEC" w:rsidP="00DB229D">
      <w:pPr>
        <w:keepLines/>
        <w:ind w:right="990" w:firstLine="720"/>
        <w:rPr>
          <w:noProof/>
          <w:sz w:val="24"/>
          <w:szCs w:val="24"/>
        </w:rPr>
      </w:pPr>
      <w:r w:rsidRPr="00C315AC">
        <w:rPr>
          <w:noProof/>
          <w:sz w:val="24"/>
          <w:szCs w:val="24"/>
        </w:rPr>
        <w:t xml:space="preserve">The only disclosure containing partial duplication is the annual escrow account statement.  To reduce duplication, servicers may adapt </w:t>
      </w:r>
      <w:r w:rsidR="009D4BD9">
        <w:rPr>
          <w:noProof/>
          <w:sz w:val="24"/>
          <w:szCs w:val="24"/>
        </w:rPr>
        <w:t>CFPB</w:t>
      </w:r>
      <w:r w:rsidRPr="00C315AC">
        <w:rPr>
          <w:noProof/>
          <w:sz w:val="24"/>
          <w:szCs w:val="24"/>
        </w:rPr>
        <w:t>-required information to comply with IRS reporting requirements regarding escrow account items, such as taxes.  Furthermore, the rule allows se</w:t>
      </w:r>
      <w:r w:rsidR="00E05B6B" w:rsidRPr="00C315AC">
        <w:rPr>
          <w:noProof/>
          <w:sz w:val="24"/>
          <w:szCs w:val="24"/>
        </w:rPr>
        <w:t>rvicers to report a “short year”</w:t>
      </w:r>
      <w:r w:rsidRPr="00C315AC">
        <w:rPr>
          <w:noProof/>
          <w:sz w:val="24"/>
          <w:szCs w:val="24"/>
        </w:rPr>
        <w:t xml:space="preserve"> in the first annual statement so that </w:t>
      </w:r>
      <w:r w:rsidR="009D4BD9">
        <w:rPr>
          <w:noProof/>
          <w:sz w:val="24"/>
          <w:szCs w:val="24"/>
        </w:rPr>
        <w:t>CFPB</w:t>
      </w:r>
      <w:r w:rsidRPr="00C315AC">
        <w:rPr>
          <w:noProof/>
          <w:sz w:val="24"/>
          <w:szCs w:val="24"/>
        </w:rPr>
        <w:t xml:space="preserve">-required annual statements can be issued coincident with IRS forms.  </w:t>
      </w:r>
      <w:r w:rsidR="00945E87">
        <w:rPr>
          <w:noProof/>
          <w:sz w:val="24"/>
          <w:szCs w:val="24"/>
        </w:rPr>
        <w:t>For</w:t>
      </w:r>
      <w:r w:rsidRPr="00C315AC">
        <w:rPr>
          <w:noProof/>
          <w:sz w:val="24"/>
          <w:szCs w:val="24"/>
        </w:rPr>
        <w:t xml:space="preserve"> open-end lines of credit, the GFE and HUD-1 are not required when certain truth-in-lending disclosures are given.</w:t>
      </w:r>
    </w:p>
    <w:p w:rsidR="00104DEC" w:rsidRDefault="00104DEC" w:rsidP="00291CC2">
      <w:pPr>
        <w:tabs>
          <w:tab w:val="left" w:pos="360"/>
        </w:tabs>
        <w:ind w:right="990"/>
        <w:rPr>
          <w:noProof/>
          <w:sz w:val="24"/>
          <w:szCs w:val="24"/>
        </w:rPr>
      </w:pPr>
    </w:p>
    <w:p w:rsidR="009D4BD9" w:rsidRPr="003A69C1" w:rsidRDefault="009D4BD9" w:rsidP="009D4BD9">
      <w:pPr>
        <w:pStyle w:val="CM12"/>
        <w:spacing w:line="276" w:lineRule="atLeast"/>
      </w:pPr>
      <w:r w:rsidRPr="00202188">
        <w:rPr>
          <w:b/>
          <w:bCs/>
        </w:rPr>
        <w:t xml:space="preserve">5. </w:t>
      </w:r>
      <w:r w:rsidR="00945E87">
        <w:rPr>
          <w:b/>
          <w:bCs/>
        </w:rPr>
        <w:t xml:space="preserve"> </w:t>
      </w:r>
      <w:r w:rsidRPr="00202188">
        <w:rPr>
          <w:b/>
          <w:bCs/>
          <w:u w:val="single"/>
        </w:rPr>
        <w:t>Efforts to Minimize Burdens on Small Entities</w:t>
      </w:r>
    </w:p>
    <w:p w:rsidR="009D4BD9" w:rsidRPr="00C315AC" w:rsidRDefault="009D4BD9" w:rsidP="00291CC2">
      <w:pPr>
        <w:tabs>
          <w:tab w:val="left" w:pos="360"/>
        </w:tabs>
        <w:ind w:right="990"/>
        <w:rPr>
          <w:noProof/>
          <w:sz w:val="24"/>
          <w:szCs w:val="24"/>
        </w:rPr>
      </w:pPr>
    </w:p>
    <w:p w:rsidR="00176544" w:rsidRPr="00176544" w:rsidRDefault="00176544" w:rsidP="00176544">
      <w:pPr>
        <w:ind w:right="990" w:firstLine="720"/>
        <w:rPr>
          <w:sz w:val="24"/>
          <w:szCs w:val="24"/>
        </w:rPr>
      </w:pPr>
      <w:r w:rsidRPr="00176544">
        <w:rPr>
          <w:sz w:val="24"/>
          <w:szCs w:val="24"/>
        </w:rPr>
        <w:t xml:space="preserve">The Interim Final Rule contains information collection requirements, which have been previously submitted by HUD and approved by OMB under the OMB Control No. 2502-0265. </w:t>
      </w:r>
      <w:r>
        <w:rPr>
          <w:sz w:val="24"/>
          <w:szCs w:val="24"/>
        </w:rPr>
        <w:t xml:space="preserve"> </w:t>
      </w:r>
      <w:r w:rsidRPr="00176544">
        <w:rPr>
          <w:sz w:val="24"/>
          <w:szCs w:val="24"/>
        </w:rPr>
        <w:t xml:space="preserve">As part of that collection, HUD has previously estimated that 52% of the paperwork costs associated with the GFE </w:t>
      </w:r>
      <w:proofErr w:type="gramStart"/>
      <w:r w:rsidRPr="00176544">
        <w:rPr>
          <w:sz w:val="24"/>
          <w:szCs w:val="24"/>
        </w:rPr>
        <w:t>are</w:t>
      </w:r>
      <w:proofErr w:type="gramEnd"/>
      <w:r w:rsidRPr="00176544">
        <w:rPr>
          <w:sz w:val="24"/>
          <w:szCs w:val="24"/>
        </w:rPr>
        <w:t xml:space="preserve"> borne by small business and that 38% of the closings are performed by small business.</w:t>
      </w:r>
      <w:r>
        <w:rPr>
          <w:sz w:val="24"/>
          <w:szCs w:val="24"/>
        </w:rPr>
        <w:t xml:space="preserve">  </w:t>
      </w:r>
      <w:r w:rsidRPr="00176544">
        <w:rPr>
          <w:sz w:val="24"/>
          <w:szCs w:val="24"/>
        </w:rPr>
        <w:t>The Interim Final Rule adds no additional information collection req</w:t>
      </w:r>
      <w:r>
        <w:rPr>
          <w:sz w:val="24"/>
          <w:szCs w:val="24"/>
        </w:rPr>
        <w:t>uirements.</w:t>
      </w:r>
    </w:p>
    <w:p w:rsidR="00104DEC" w:rsidRPr="00C315AC" w:rsidRDefault="00104DEC" w:rsidP="00291CC2">
      <w:pPr>
        <w:ind w:left="360" w:right="990"/>
        <w:rPr>
          <w:sz w:val="24"/>
          <w:szCs w:val="24"/>
        </w:rPr>
      </w:pPr>
    </w:p>
    <w:p w:rsidR="00DB229D" w:rsidRPr="004D683B" w:rsidRDefault="00DB229D" w:rsidP="00DB229D">
      <w:pPr>
        <w:pStyle w:val="CM12"/>
        <w:spacing w:line="276" w:lineRule="atLeast"/>
      </w:pPr>
      <w:r w:rsidRPr="004D683B">
        <w:rPr>
          <w:b/>
          <w:bCs/>
        </w:rPr>
        <w:t xml:space="preserve">6.  </w:t>
      </w:r>
      <w:r w:rsidRPr="004D683B">
        <w:rPr>
          <w:b/>
          <w:bCs/>
          <w:u w:val="single"/>
        </w:rPr>
        <w:t>Consequences of Less Frequent Collection and Obstacles to Burden Reduction</w:t>
      </w:r>
    </w:p>
    <w:p w:rsidR="009D4BD9" w:rsidRDefault="009D4BD9" w:rsidP="009D4BD9">
      <w:pPr>
        <w:ind w:right="990"/>
        <w:rPr>
          <w:sz w:val="24"/>
          <w:szCs w:val="24"/>
        </w:rPr>
      </w:pPr>
    </w:p>
    <w:p w:rsidR="00104DEC" w:rsidRPr="00C315AC" w:rsidRDefault="00104DEC" w:rsidP="00DB229D">
      <w:pPr>
        <w:ind w:right="990" w:firstLine="720"/>
        <w:rPr>
          <w:sz w:val="24"/>
          <w:szCs w:val="24"/>
        </w:rPr>
      </w:pPr>
      <w:r w:rsidRPr="00C315AC">
        <w:rPr>
          <w:sz w:val="24"/>
          <w:szCs w:val="24"/>
        </w:rPr>
        <w:t xml:space="preserve">This information is not submitted to the </w:t>
      </w:r>
      <w:r w:rsidR="00F33F0B" w:rsidRPr="00C315AC">
        <w:rPr>
          <w:sz w:val="24"/>
          <w:szCs w:val="24"/>
        </w:rPr>
        <w:t>federal government</w:t>
      </w:r>
      <w:r w:rsidRPr="00C315AC">
        <w:rPr>
          <w:sz w:val="24"/>
          <w:szCs w:val="24"/>
        </w:rPr>
        <w:t xml:space="preserve">.  These third-party disclosures are required by statute, 12 U.S.C. 2601 </w:t>
      </w:r>
      <w:r w:rsidRPr="00615F84">
        <w:rPr>
          <w:i/>
          <w:sz w:val="24"/>
          <w:szCs w:val="24"/>
        </w:rPr>
        <w:t>et seq</w:t>
      </w:r>
      <w:r w:rsidRPr="00615F84">
        <w:rPr>
          <w:sz w:val="24"/>
          <w:szCs w:val="24"/>
        </w:rPr>
        <w:t>.</w:t>
      </w:r>
      <w:r w:rsidR="00F47789" w:rsidRPr="00BD0784">
        <w:rPr>
          <w:sz w:val="24"/>
          <w:szCs w:val="24"/>
        </w:rPr>
        <w:t>,</w:t>
      </w:r>
      <w:r w:rsidR="00176544">
        <w:rPr>
          <w:sz w:val="24"/>
          <w:szCs w:val="24"/>
        </w:rPr>
        <w:t xml:space="preserve"> </w:t>
      </w:r>
      <w:r w:rsidRPr="00C315AC">
        <w:rPr>
          <w:sz w:val="24"/>
          <w:szCs w:val="24"/>
        </w:rPr>
        <w:t xml:space="preserve">and regulations.  </w:t>
      </w:r>
      <w:r w:rsidRPr="00C315AC">
        <w:rPr>
          <w:noProof/>
          <w:sz w:val="24"/>
          <w:szCs w:val="24"/>
        </w:rPr>
        <w:t>The burdens on respondents are the minimum necessary to comply with the statute, and to assist borrowers in comparison shopping for loans and tracking escrow funds.</w:t>
      </w:r>
    </w:p>
    <w:p w:rsidR="00104DEC" w:rsidRPr="00C315AC" w:rsidRDefault="00104DEC" w:rsidP="00291CC2">
      <w:pPr>
        <w:tabs>
          <w:tab w:val="left" w:pos="360"/>
          <w:tab w:val="left" w:pos="720"/>
        </w:tabs>
        <w:ind w:right="990"/>
        <w:rPr>
          <w:sz w:val="24"/>
          <w:szCs w:val="24"/>
        </w:rPr>
      </w:pPr>
    </w:p>
    <w:p w:rsidR="00DB229D" w:rsidRPr="004D683B" w:rsidRDefault="00DB229D" w:rsidP="00DB229D">
      <w:pPr>
        <w:pStyle w:val="Default"/>
        <w:rPr>
          <w:b/>
          <w:bCs/>
          <w:u w:val="single"/>
        </w:rPr>
      </w:pPr>
      <w:r w:rsidRPr="004D683B">
        <w:rPr>
          <w:b/>
          <w:bCs/>
        </w:rPr>
        <w:t xml:space="preserve">7.  </w:t>
      </w:r>
      <w:r w:rsidRPr="004D683B">
        <w:rPr>
          <w:b/>
          <w:bCs/>
          <w:u w:val="single"/>
        </w:rPr>
        <w:t>Circumstances Requiring Special Information Collection</w:t>
      </w:r>
    </w:p>
    <w:p w:rsidR="00DB229D" w:rsidRDefault="00DB229D" w:rsidP="00DB229D">
      <w:pPr>
        <w:ind w:right="990"/>
        <w:rPr>
          <w:noProof/>
          <w:sz w:val="24"/>
          <w:szCs w:val="24"/>
        </w:rPr>
      </w:pPr>
    </w:p>
    <w:p w:rsidR="00104DEC" w:rsidRPr="00C315AC" w:rsidRDefault="00104DEC" w:rsidP="00DB229D">
      <w:pPr>
        <w:ind w:right="990" w:firstLine="720"/>
        <w:rPr>
          <w:noProof/>
          <w:sz w:val="24"/>
          <w:szCs w:val="24"/>
        </w:rPr>
      </w:pPr>
      <w:r w:rsidRPr="00C315AC">
        <w:rPr>
          <w:noProof/>
          <w:sz w:val="24"/>
          <w:szCs w:val="24"/>
        </w:rPr>
        <w:t xml:space="preserve">Information is not reported to </w:t>
      </w:r>
      <w:r w:rsidR="003A7A8E" w:rsidRPr="00C315AC">
        <w:rPr>
          <w:noProof/>
          <w:sz w:val="24"/>
          <w:szCs w:val="24"/>
        </w:rPr>
        <w:t xml:space="preserve">the </w:t>
      </w:r>
      <w:r w:rsidR="009D4BD9">
        <w:rPr>
          <w:noProof/>
          <w:sz w:val="24"/>
          <w:szCs w:val="24"/>
        </w:rPr>
        <w:t>CFPB</w:t>
      </w:r>
      <w:r w:rsidRPr="00C315AC">
        <w:rPr>
          <w:noProof/>
          <w:sz w:val="24"/>
          <w:szCs w:val="24"/>
        </w:rPr>
        <w:t xml:space="preserve">.  </w:t>
      </w:r>
      <w:r w:rsidR="00B93DA7">
        <w:rPr>
          <w:noProof/>
          <w:sz w:val="24"/>
          <w:szCs w:val="24"/>
        </w:rPr>
        <w:t>By law, r</w:t>
      </w:r>
      <w:r w:rsidRPr="00C315AC">
        <w:rPr>
          <w:noProof/>
          <w:sz w:val="24"/>
          <w:szCs w:val="24"/>
        </w:rPr>
        <w:t>espondents are required to keep records (HUD-1</w:t>
      </w:r>
      <w:r w:rsidR="00F33F0B" w:rsidRPr="00C315AC">
        <w:rPr>
          <w:noProof/>
          <w:sz w:val="24"/>
          <w:szCs w:val="24"/>
        </w:rPr>
        <w:t>/1-A</w:t>
      </w:r>
      <w:r w:rsidRPr="00C315AC">
        <w:rPr>
          <w:noProof/>
          <w:sz w:val="24"/>
          <w:szCs w:val="24"/>
        </w:rPr>
        <w:t xml:space="preserve">, </w:t>
      </w:r>
      <w:r w:rsidR="0044631F">
        <w:rPr>
          <w:noProof/>
          <w:sz w:val="24"/>
          <w:szCs w:val="24"/>
        </w:rPr>
        <w:t xml:space="preserve">affiliated business arrangement disclosures, </w:t>
      </w:r>
      <w:r w:rsidRPr="00C315AC">
        <w:rPr>
          <w:noProof/>
          <w:sz w:val="24"/>
          <w:szCs w:val="24"/>
        </w:rPr>
        <w:t xml:space="preserve">escrow account records) for five years.  </w:t>
      </w:r>
      <w:r w:rsidR="00AB7FD0">
        <w:rPr>
          <w:sz w:val="24"/>
          <w:szCs w:val="24"/>
        </w:rPr>
        <w:t xml:space="preserve">The collection of information in Regulation X are consistent with the applicable guidelines contained in </w:t>
      </w:r>
      <w:r w:rsidR="00B93DA7" w:rsidRPr="00B93DA7">
        <w:rPr>
          <w:sz w:val="24"/>
          <w:szCs w:val="24"/>
        </w:rPr>
        <w:t>5 CFR 1320.5(d</w:t>
      </w:r>
      <w:proofErr w:type="gramStart"/>
      <w:r w:rsidR="00B93DA7" w:rsidRPr="00B93DA7">
        <w:rPr>
          <w:sz w:val="24"/>
          <w:szCs w:val="24"/>
        </w:rPr>
        <w:t>)(</w:t>
      </w:r>
      <w:proofErr w:type="gramEnd"/>
      <w:r w:rsidR="00B93DA7" w:rsidRPr="00B93DA7">
        <w:rPr>
          <w:sz w:val="24"/>
          <w:szCs w:val="24"/>
        </w:rPr>
        <w:t>2).</w:t>
      </w:r>
    </w:p>
    <w:p w:rsidR="00F47789" w:rsidRDefault="00F47789" w:rsidP="00291CC2">
      <w:pPr>
        <w:ind w:left="360" w:right="990"/>
        <w:rPr>
          <w:noProof/>
          <w:sz w:val="24"/>
          <w:szCs w:val="24"/>
        </w:rPr>
      </w:pPr>
    </w:p>
    <w:p w:rsidR="00DB229D" w:rsidRPr="004D683B" w:rsidRDefault="00DB229D" w:rsidP="00DB229D">
      <w:pPr>
        <w:pStyle w:val="CM12"/>
        <w:spacing w:line="276" w:lineRule="atLeast"/>
        <w:rPr>
          <w:b/>
          <w:bCs/>
          <w:u w:val="single"/>
        </w:rPr>
      </w:pPr>
      <w:r w:rsidRPr="004D683B">
        <w:rPr>
          <w:b/>
          <w:bCs/>
        </w:rPr>
        <w:t xml:space="preserve">8.  </w:t>
      </w:r>
      <w:r w:rsidRPr="004D683B">
        <w:rPr>
          <w:b/>
          <w:bCs/>
          <w:u w:val="single"/>
        </w:rPr>
        <w:t xml:space="preserve">Consultation </w:t>
      </w:r>
      <w:proofErr w:type="gramStart"/>
      <w:r w:rsidRPr="004D683B">
        <w:rPr>
          <w:b/>
          <w:bCs/>
          <w:u w:val="single"/>
        </w:rPr>
        <w:t>Outside</w:t>
      </w:r>
      <w:proofErr w:type="gramEnd"/>
      <w:r w:rsidRPr="004D683B">
        <w:rPr>
          <w:b/>
          <w:bCs/>
          <w:u w:val="single"/>
        </w:rPr>
        <w:t xml:space="preserve"> the Agency</w:t>
      </w:r>
    </w:p>
    <w:p w:rsidR="00DB229D" w:rsidRPr="00C315AC" w:rsidRDefault="00DB229D" w:rsidP="00291CC2">
      <w:pPr>
        <w:ind w:left="360" w:right="990"/>
        <w:rPr>
          <w:noProof/>
          <w:sz w:val="24"/>
          <w:szCs w:val="24"/>
        </w:rPr>
      </w:pPr>
    </w:p>
    <w:p w:rsidR="00BD0784" w:rsidRPr="00E75B2C" w:rsidRDefault="00BD0784" w:rsidP="00BD0784">
      <w:pPr>
        <w:ind w:firstLine="720"/>
        <w:rPr>
          <w:bCs/>
          <w:noProof/>
          <w:sz w:val="24"/>
          <w:szCs w:val="24"/>
        </w:rPr>
      </w:pPr>
      <w:r w:rsidRPr="00E75B2C">
        <w:rPr>
          <w:bCs/>
          <w:noProof/>
          <w:sz w:val="24"/>
          <w:szCs w:val="24"/>
        </w:rPr>
        <w:t>This Supporting Statement is based on</w:t>
      </w:r>
      <w:r>
        <w:rPr>
          <w:bCs/>
          <w:noProof/>
          <w:sz w:val="24"/>
          <w:szCs w:val="24"/>
        </w:rPr>
        <w:t xml:space="preserve"> HUD’s</w:t>
      </w:r>
      <w:r w:rsidRPr="00E75B2C">
        <w:rPr>
          <w:bCs/>
          <w:noProof/>
          <w:sz w:val="24"/>
          <w:szCs w:val="24"/>
        </w:rPr>
        <w:t xml:space="preserve"> most recent Supporting Statement for OMB Control Number </w:t>
      </w:r>
      <w:r w:rsidRPr="00C315AC">
        <w:rPr>
          <w:sz w:val="24"/>
          <w:szCs w:val="24"/>
        </w:rPr>
        <w:t>2502-0265</w:t>
      </w:r>
      <w:r w:rsidR="00846ACF">
        <w:rPr>
          <w:bCs/>
          <w:noProof/>
          <w:sz w:val="24"/>
          <w:szCs w:val="24"/>
        </w:rPr>
        <w:t xml:space="preserve">.  </w:t>
      </w:r>
      <w:r w:rsidRPr="00E75B2C">
        <w:rPr>
          <w:bCs/>
          <w:noProof/>
          <w:sz w:val="24"/>
          <w:szCs w:val="24"/>
        </w:rPr>
        <w:t xml:space="preserve">As this is a request for emergency processing and approval of the transfer of certain burdens from existing information collections to the CFPB, the CFPB has not sought public comment on this information collection request.  Upon receipt of OMB’s emergency approval, the CFPB will begin the standard approval process and will seek public input and input from other agencies at that time.  </w:t>
      </w:r>
    </w:p>
    <w:p w:rsidR="00DB229D" w:rsidRPr="004D683B" w:rsidRDefault="00DB229D" w:rsidP="00DB229D">
      <w:pPr>
        <w:rPr>
          <w:sz w:val="24"/>
          <w:szCs w:val="24"/>
        </w:rPr>
      </w:pPr>
    </w:p>
    <w:p w:rsidR="00DB229D" w:rsidRPr="004D683B" w:rsidRDefault="00DB229D" w:rsidP="00DB229D">
      <w:pPr>
        <w:pStyle w:val="Default"/>
        <w:tabs>
          <w:tab w:val="left" w:pos="720"/>
        </w:tabs>
        <w:rPr>
          <w:color w:val="auto"/>
        </w:rPr>
      </w:pPr>
      <w:r w:rsidRPr="004D683B">
        <w:rPr>
          <w:b/>
          <w:bCs/>
          <w:color w:val="auto"/>
        </w:rPr>
        <w:t xml:space="preserve">9. </w:t>
      </w:r>
      <w:r w:rsidR="00945E87">
        <w:rPr>
          <w:b/>
          <w:bCs/>
          <w:color w:val="auto"/>
        </w:rPr>
        <w:t xml:space="preserve"> </w:t>
      </w:r>
      <w:r w:rsidRPr="004D683B">
        <w:rPr>
          <w:b/>
          <w:bCs/>
          <w:color w:val="auto"/>
          <w:u w:val="single"/>
        </w:rPr>
        <w:t>Payments or Gifts to Respondents</w:t>
      </w:r>
    </w:p>
    <w:p w:rsidR="00DB229D" w:rsidRPr="004D683B" w:rsidRDefault="00DB229D" w:rsidP="00DB229D">
      <w:pPr>
        <w:ind w:left="360"/>
        <w:rPr>
          <w:sz w:val="24"/>
          <w:szCs w:val="24"/>
        </w:rPr>
      </w:pPr>
    </w:p>
    <w:p w:rsidR="00DB229D" w:rsidRPr="004D683B" w:rsidRDefault="00DB229D" w:rsidP="00DB229D">
      <w:pPr>
        <w:ind w:left="360" w:firstLine="360"/>
        <w:rPr>
          <w:sz w:val="24"/>
          <w:szCs w:val="24"/>
        </w:rPr>
      </w:pPr>
      <w:r w:rsidRPr="004D683B">
        <w:rPr>
          <w:sz w:val="24"/>
          <w:szCs w:val="24"/>
        </w:rPr>
        <w:t>Not applicable.</w:t>
      </w:r>
    </w:p>
    <w:p w:rsidR="00104DEC" w:rsidRPr="00C315AC" w:rsidRDefault="00104DEC" w:rsidP="00291CC2">
      <w:pPr>
        <w:ind w:right="990"/>
        <w:rPr>
          <w:sz w:val="24"/>
          <w:szCs w:val="24"/>
        </w:rPr>
      </w:pPr>
    </w:p>
    <w:p w:rsidR="00DB229D" w:rsidRDefault="00DB229D" w:rsidP="00DB229D">
      <w:pPr>
        <w:ind w:right="990"/>
        <w:rPr>
          <w:sz w:val="24"/>
          <w:szCs w:val="24"/>
        </w:rPr>
      </w:pPr>
      <w:r w:rsidRPr="00DB229D">
        <w:rPr>
          <w:b/>
          <w:bCs/>
          <w:sz w:val="24"/>
          <w:szCs w:val="24"/>
        </w:rPr>
        <w:lastRenderedPageBreak/>
        <w:t xml:space="preserve">10.  </w:t>
      </w:r>
      <w:r w:rsidRPr="004D683B">
        <w:rPr>
          <w:b/>
          <w:bCs/>
          <w:sz w:val="24"/>
          <w:szCs w:val="24"/>
          <w:u w:val="single"/>
        </w:rPr>
        <w:t>Assurances of Confidentiality</w:t>
      </w:r>
    </w:p>
    <w:p w:rsidR="00DB229D" w:rsidRDefault="00DB229D" w:rsidP="00DB229D">
      <w:pPr>
        <w:ind w:right="990" w:firstLine="720"/>
        <w:rPr>
          <w:sz w:val="24"/>
          <w:szCs w:val="24"/>
        </w:rPr>
      </w:pPr>
    </w:p>
    <w:p w:rsidR="00104DEC" w:rsidRPr="00C315AC" w:rsidRDefault="00104DEC" w:rsidP="00DB229D">
      <w:pPr>
        <w:ind w:right="990" w:firstLine="720"/>
        <w:rPr>
          <w:noProof/>
          <w:sz w:val="24"/>
          <w:szCs w:val="24"/>
        </w:rPr>
      </w:pPr>
      <w:r w:rsidRPr="00C315AC">
        <w:rPr>
          <w:sz w:val="24"/>
          <w:szCs w:val="24"/>
        </w:rPr>
        <w:t>There are no assurances of confidentiality provided to respondents.</w:t>
      </w:r>
    </w:p>
    <w:p w:rsidR="00104DEC" w:rsidRDefault="00104DEC" w:rsidP="00291CC2">
      <w:pPr>
        <w:ind w:right="990"/>
        <w:rPr>
          <w:sz w:val="24"/>
          <w:szCs w:val="24"/>
        </w:rPr>
      </w:pPr>
    </w:p>
    <w:p w:rsidR="00DB229D" w:rsidRPr="004D683B" w:rsidRDefault="00DB229D" w:rsidP="00DB229D">
      <w:pPr>
        <w:pStyle w:val="Default"/>
        <w:rPr>
          <w:color w:val="auto"/>
        </w:rPr>
      </w:pPr>
      <w:r w:rsidRPr="00DB229D">
        <w:rPr>
          <w:b/>
        </w:rPr>
        <w:t>11.</w:t>
      </w:r>
      <w:r w:rsidR="00945E87">
        <w:rPr>
          <w:b/>
        </w:rPr>
        <w:t xml:space="preserve">  </w:t>
      </w:r>
      <w:r w:rsidRPr="004D683B">
        <w:rPr>
          <w:b/>
          <w:bCs/>
          <w:color w:val="auto"/>
          <w:u w:val="single"/>
        </w:rPr>
        <w:t>Justification for Sensitive Questions</w:t>
      </w:r>
    </w:p>
    <w:p w:rsidR="00DB229D" w:rsidRPr="00C315AC" w:rsidRDefault="00DB229D" w:rsidP="00291CC2">
      <w:pPr>
        <w:ind w:right="990"/>
        <w:rPr>
          <w:sz w:val="24"/>
          <w:szCs w:val="24"/>
        </w:rPr>
      </w:pPr>
    </w:p>
    <w:p w:rsidR="00104DEC" w:rsidRPr="00C315AC" w:rsidRDefault="00104DEC" w:rsidP="00DB229D">
      <w:pPr>
        <w:ind w:right="990" w:firstLine="720"/>
        <w:rPr>
          <w:sz w:val="24"/>
          <w:szCs w:val="24"/>
        </w:rPr>
      </w:pPr>
      <w:r w:rsidRPr="00C315AC">
        <w:rPr>
          <w:sz w:val="24"/>
          <w:szCs w:val="24"/>
        </w:rPr>
        <w:t>There is no information of a sensitive nature being requested.</w:t>
      </w:r>
    </w:p>
    <w:p w:rsidR="00104DEC" w:rsidRPr="00DB229D" w:rsidRDefault="00104DEC" w:rsidP="00291CC2">
      <w:pPr>
        <w:keepNext/>
        <w:ind w:left="360" w:right="990"/>
        <w:rPr>
          <w:b/>
          <w:sz w:val="24"/>
          <w:szCs w:val="24"/>
        </w:rPr>
      </w:pPr>
    </w:p>
    <w:p w:rsidR="00846ACF" w:rsidRDefault="00DB229D" w:rsidP="00846ACF">
      <w:pPr>
        <w:pStyle w:val="Default"/>
        <w:rPr>
          <w:b/>
          <w:bCs/>
          <w:u w:val="single"/>
        </w:rPr>
      </w:pPr>
      <w:r w:rsidRPr="004D683B">
        <w:rPr>
          <w:b/>
          <w:bCs/>
        </w:rPr>
        <w:t xml:space="preserve">12.  </w:t>
      </w:r>
      <w:r w:rsidRPr="004D683B">
        <w:rPr>
          <w:b/>
          <w:bCs/>
          <w:u w:val="single"/>
        </w:rPr>
        <w:t>Estimated Burden of Information Collection</w:t>
      </w:r>
    </w:p>
    <w:p w:rsidR="00846ACF" w:rsidRDefault="00846ACF" w:rsidP="00846ACF">
      <w:pPr>
        <w:pStyle w:val="Default"/>
        <w:rPr>
          <w:b/>
          <w:bCs/>
          <w:u w:val="single"/>
        </w:rPr>
      </w:pPr>
    </w:p>
    <w:p w:rsidR="00846ACF" w:rsidRPr="00C37575" w:rsidRDefault="00846ACF" w:rsidP="00846ACF">
      <w:pPr>
        <w:pStyle w:val="Default"/>
      </w:pPr>
      <w:r w:rsidRPr="00C37575">
        <w:rPr>
          <w:u w:val="single"/>
        </w:rPr>
        <w:t>Hours:</w:t>
      </w:r>
      <w:r>
        <w:t xml:space="preserve"> 17,183,000</w:t>
      </w:r>
    </w:p>
    <w:p w:rsidR="00846ACF" w:rsidRPr="00C37575" w:rsidRDefault="00846ACF" w:rsidP="00846ACF">
      <w:pPr>
        <w:pStyle w:val="CM12"/>
        <w:spacing w:line="276" w:lineRule="atLeast"/>
      </w:pPr>
    </w:p>
    <w:p w:rsidR="00846ACF" w:rsidRDefault="00846ACF" w:rsidP="00846ACF">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Regulation X</w:t>
      </w:r>
      <w:r w:rsidRPr="00C37575">
        <w:t xml:space="preserve"> is based on the assumption that the </w:t>
      </w:r>
      <w:r>
        <w:t xml:space="preserve">total </w:t>
      </w:r>
      <w:r w:rsidRPr="00C37575">
        <w:t xml:space="preserve">ongoing burden for this regulation remains the same as it was before the regulation was restated by the CFPB.  Prior to the passage of the Dodd-Frank Act, </w:t>
      </w:r>
      <w:r w:rsidR="00A3557B">
        <w:t>HUD’s</w:t>
      </w:r>
      <w:r w:rsidR="00176544">
        <w:t xml:space="preserve"> </w:t>
      </w:r>
      <w:r w:rsidRPr="00C37575">
        <w:t xml:space="preserve">ongoing recordkeeping and disclosure burdens for </w:t>
      </w:r>
      <w:r>
        <w:t>Regulation X</w:t>
      </w:r>
      <w:r w:rsidR="00176544">
        <w:t xml:space="preserve"> </w:t>
      </w:r>
      <w:r w:rsidRPr="00C37575">
        <w:t>w</w:t>
      </w:r>
      <w:r>
        <w:t xml:space="preserve">ere approximately 17,183,000 </w:t>
      </w:r>
      <w:r w:rsidRPr="00C37575">
        <w:t>hours.</w:t>
      </w:r>
      <w:r>
        <w:rPr>
          <w:rStyle w:val="FootnoteReference"/>
        </w:rPr>
        <w:footnoteReference w:id="1"/>
      </w:r>
      <w:r w:rsidRPr="00C37575">
        <w:t xml:space="preserve">  In light of the changes made by the Dodd-Frank Act, </w:t>
      </w:r>
      <w:r>
        <w:t>all 17,183,000</w:t>
      </w:r>
      <w:r w:rsidRPr="00C37575">
        <w:t xml:space="preserve"> hours of that burden is being </w:t>
      </w:r>
      <w:r w:rsidR="000F29CC">
        <w:t xml:space="preserve">transferred </w:t>
      </w:r>
      <w:r w:rsidR="00176544">
        <w:t>to the CFPB.</w:t>
      </w:r>
    </w:p>
    <w:p w:rsidR="00846ACF" w:rsidRPr="00C37575" w:rsidRDefault="00846ACF" w:rsidP="00846ACF">
      <w:pPr>
        <w:pStyle w:val="Default"/>
        <w:rPr>
          <w:color w:val="auto"/>
        </w:rPr>
      </w:pPr>
    </w:p>
    <w:p w:rsidR="00846ACF" w:rsidRPr="00C37575" w:rsidRDefault="00846ACF" w:rsidP="00846ACF">
      <w:pPr>
        <w:pStyle w:val="Default"/>
        <w:rPr>
          <w:color w:val="auto"/>
        </w:rPr>
      </w:pPr>
      <w:r w:rsidRPr="00C37575">
        <w:rPr>
          <w:color w:val="auto"/>
          <w:u w:val="single"/>
        </w:rPr>
        <w:t>Associated Labor Costs:</w:t>
      </w:r>
      <w:r>
        <w:rPr>
          <w:color w:val="auto"/>
        </w:rPr>
        <w:t xml:space="preserve">  $ 727,312,000</w:t>
      </w:r>
    </w:p>
    <w:p w:rsidR="00846ACF" w:rsidRPr="00C37575" w:rsidRDefault="00846ACF" w:rsidP="00846ACF">
      <w:pPr>
        <w:pStyle w:val="Default"/>
        <w:rPr>
          <w:color w:val="auto"/>
        </w:rPr>
      </w:pPr>
    </w:p>
    <w:p w:rsidR="00846ACF" w:rsidRPr="00C37575" w:rsidRDefault="00846ACF" w:rsidP="00846ACF">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w:t>
      </w:r>
      <w:r>
        <w:rPr>
          <w:color w:val="auto"/>
        </w:rPr>
        <w:t>HUD.</w:t>
      </w:r>
    </w:p>
    <w:p w:rsidR="00846ACF" w:rsidRPr="00C37575" w:rsidRDefault="00846ACF" w:rsidP="00846ACF">
      <w:pPr>
        <w:pStyle w:val="Default"/>
        <w:rPr>
          <w:color w:val="auto"/>
        </w:rPr>
      </w:pPr>
    </w:p>
    <w:p w:rsidR="00104DEC" w:rsidRPr="00846ACF" w:rsidRDefault="00846ACF" w:rsidP="00846ACF">
      <w:pPr>
        <w:pStyle w:val="Default"/>
        <w:ind w:right="720" w:firstLine="360"/>
        <w:rPr>
          <w:color w:val="auto"/>
        </w:rPr>
      </w:pPr>
      <w:r w:rsidRPr="00C37575">
        <w:rPr>
          <w:color w:val="auto"/>
        </w:rPr>
        <w:t>The CFPB estimates that the ongoing recordkeeping and disclosure costs</w:t>
      </w:r>
      <w:r>
        <w:rPr>
          <w:color w:val="auto"/>
        </w:rPr>
        <w:t xml:space="preserve"> allocated to the CFPB</w:t>
      </w:r>
      <w:r w:rsidRPr="00C37575">
        <w:rPr>
          <w:color w:val="auto"/>
        </w:rPr>
        <w:t xml:space="preserve"> un</w:t>
      </w:r>
      <w:r>
        <w:rPr>
          <w:color w:val="auto"/>
        </w:rPr>
        <w:t xml:space="preserve">der </w:t>
      </w:r>
      <w:r>
        <w:t xml:space="preserve">Regulation X </w:t>
      </w:r>
      <w:r>
        <w:rPr>
          <w:color w:val="auto"/>
        </w:rPr>
        <w:t>are $727,312,000</w:t>
      </w:r>
      <w:r w:rsidRPr="00C37575">
        <w:rPr>
          <w:color w:val="auto"/>
        </w:rPr>
        <w:t xml:space="preserve">.  This estimate was calculated following </w:t>
      </w:r>
      <w:r>
        <w:rPr>
          <w:color w:val="auto"/>
        </w:rPr>
        <w:t>HUD’s</w:t>
      </w:r>
      <w:r w:rsidRPr="00C37575">
        <w:rPr>
          <w:color w:val="auto"/>
        </w:rPr>
        <w:t xml:space="preserve"> own cost analysis. </w:t>
      </w:r>
      <w:r w:rsidR="00945E87">
        <w:rPr>
          <w:color w:val="auto"/>
        </w:rPr>
        <w:t xml:space="preserve"> </w:t>
      </w:r>
      <w:r w:rsidRPr="00C37575">
        <w:rPr>
          <w:color w:val="auto"/>
        </w:rPr>
        <w:t xml:space="preserve">For a detailed breakdown of the cost analysis, please reference </w:t>
      </w:r>
      <w:r>
        <w:rPr>
          <w:color w:val="auto"/>
        </w:rPr>
        <w:t>HUD’s</w:t>
      </w:r>
      <w:r w:rsidRPr="00C37575">
        <w:rPr>
          <w:color w:val="auto"/>
        </w:rPr>
        <w:t xml:space="preserve"> supporting</w:t>
      </w:r>
      <w:r w:rsidR="00176544">
        <w:rPr>
          <w:color w:val="auto"/>
        </w:rPr>
        <w:t xml:space="preserve"> </w:t>
      </w:r>
      <w:r w:rsidRPr="00C37575">
        <w:rPr>
          <w:color w:val="auto"/>
        </w:rPr>
        <w:t xml:space="preserve">statement for </w:t>
      </w:r>
      <w:r>
        <w:t>Regulation X</w:t>
      </w:r>
      <w:r w:rsidRPr="00C37575">
        <w:rPr>
          <w:color w:val="auto"/>
        </w:rPr>
        <w:t>.</w:t>
      </w:r>
    </w:p>
    <w:p w:rsidR="00104DEC" w:rsidRPr="00945E87" w:rsidRDefault="00104DEC" w:rsidP="00291CC2">
      <w:pPr>
        <w:tabs>
          <w:tab w:val="left" w:pos="360"/>
        </w:tabs>
        <w:ind w:left="360" w:right="990"/>
        <w:rPr>
          <w:sz w:val="24"/>
          <w:szCs w:val="24"/>
        </w:rPr>
      </w:pPr>
    </w:p>
    <w:p w:rsidR="00DB229D" w:rsidRPr="004D683B" w:rsidRDefault="00DB229D" w:rsidP="00DB229D">
      <w:pPr>
        <w:pStyle w:val="CM12"/>
        <w:spacing w:line="276" w:lineRule="atLeast"/>
      </w:pPr>
      <w:r w:rsidRPr="004D683B">
        <w:rPr>
          <w:b/>
          <w:bCs/>
        </w:rPr>
        <w:t xml:space="preserve">13.  </w:t>
      </w:r>
      <w:r w:rsidRPr="004D683B">
        <w:rPr>
          <w:b/>
          <w:bCs/>
          <w:u w:val="single"/>
        </w:rPr>
        <w:t xml:space="preserve">Estimated Total Annual Cost Burden to Respondents or Recordkeepers </w:t>
      </w:r>
    </w:p>
    <w:p w:rsidR="00DB229D" w:rsidRDefault="00DB229D" w:rsidP="00DB229D">
      <w:pPr>
        <w:ind w:left="360" w:right="990"/>
        <w:rPr>
          <w:noProof/>
          <w:sz w:val="24"/>
          <w:szCs w:val="24"/>
        </w:rPr>
      </w:pPr>
    </w:p>
    <w:p w:rsidR="00104DEC" w:rsidRPr="00C315AC" w:rsidRDefault="00846ACF" w:rsidP="00DB229D">
      <w:pPr>
        <w:ind w:right="990" w:firstLine="720"/>
        <w:rPr>
          <w:noProof/>
          <w:sz w:val="24"/>
          <w:szCs w:val="24"/>
        </w:rPr>
      </w:pPr>
      <w:r>
        <w:rPr>
          <w:noProof/>
          <w:sz w:val="24"/>
          <w:szCs w:val="24"/>
        </w:rPr>
        <w:t>None.</w:t>
      </w:r>
    </w:p>
    <w:p w:rsidR="00104DEC" w:rsidRPr="00C315AC" w:rsidRDefault="00104DEC" w:rsidP="00291CC2">
      <w:pPr>
        <w:tabs>
          <w:tab w:val="left" w:pos="360"/>
        </w:tabs>
        <w:ind w:right="990"/>
        <w:rPr>
          <w:noProof/>
          <w:sz w:val="24"/>
          <w:szCs w:val="24"/>
        </w:rPr>
      </w:pPr>
    </w:p>
    <w:p w:rsidR="00DB229D" w:rsidRPr="004D683B" w:rsidRDefault="00DB229D" w:rsidP="00DB229D">
      <w:pPr>
        <w:pStyle w:val="CM12"/>
        <w:spacing w:line="276" w:lineRule="atLeast"/>
      </w:pPr>
      <w:r w:rsidRPr="004D683B">
        <w:rPr>
          <w:b/>
          <w:bCs/>
        </w:rPr>
        <w:t xml:space="preserve">14.  </w:t>
      </w:r>
      <w:r w:rsidRPr="004D683B">
        <w:rPr>
          <w:b/>
          <w:bCs/>
          <w:u w:val="single"/>
        </w:rPr>
        <w:t>Estimated Cost to the Federal Government</w:t>
      </w:r>
    </w:p>
    <w:p w:rsidR="00DB229D" w:rsidRDefault="00DB229D" w:rsidP="00DB229D">
      <w:pPr>
        <w:ind w:left="360" w:right="990"/>
        <w:rPr>
          <w:sz w:val="24"/>
          <w:szCs w:val="24"/>
        </w:rPr>
      </w:pPr>
    </w:p>
    <w:p w:rsidR="00104DEC" w:rsidRPr="00C315AC" w:rsidRDefault="00846ACF" w:rsidP="00DB229D">
      <w:pPr>
        <w:ind w:right="990" w:firstLine="720"/>
        <w:rPr>
          <w:sz w:val="24"/>
          <w:szCs w:val="24"/>
        </w:rPr>
      </w:pPr>
      <w:proofErr w:type="gramStart"/>
      <w:r>
        <w:rPr>
          <w:sz w:val="24"/>
          <w:szCs w:val="24"/>
        </w:rPr>
        <w:t>None.</w:t>
      </w:r>
      <w:proofErr w:type="gramEnd"/>
    </w:p>
    <w:p w:rsidR="00104DEC" w:rsidRDefault="00104DEC" w:rsidP="00291CC2">
      <w:pPr>
        <w:tabs>
          <w:tab w:val="left" w:pos="360"/>
        </w:tabs>
        <w:ind w:right="990"/>
        <w:rPr>
          <w:sz w:val="24"/>
          <w:szCs w:val="24"/>
        </w:rPr>
      </w:pPr>
    </w:p>
    <w:p w:rsidR="00DB229D" w:rsidRPr="004D683B" w:rsidRDefault="00DB229D" w:rsidP="00DB229D">
      <w:pPr>
        <w:pStyle w:val="Default"/>
        <w:rPr>
          <w:b/>
          <w:bCs/>
          <w:u w:val="single"/>
        </w:rPr>
      </w:pPr>
      <w:r w:rsidRPr="004D683B">
        <w:rPr>
          <w:b/>
          <w:bCs/>
        </w:rPr>
        <w:t xml:space="preserve">15.  </w:t>
      </w:r>
      <w:r w:rsidRPr="004D683B">
        <w:rPr>
          <w:b/>
          <w:bCs/>
          <w:u w:val="single"/>
        </w:rPr>
        <w:t>Program Changes or Adjustments</w:t>
      </w:r>
    </w:p>
    <w:p w:rsidR="00DB229D" w:rsidRPr="00C315AC" w:rsidRDefault="00DB229D" w:rsidP="00291CC2">
      <w:pPr>
        <w:tabs>
          <w:tab w:val="left" w:pos="360"/>
        </w:tabs>
        <w:ind w:right="990"/>
        <w:rPr>
          <w:sz w:val="24"/>
          <w:szCs w:val="24"/>
        </w:rPr>
      </w:pPr>
    </w:p>
    <w:p w:rsidR="00104DEC" w:rsidRPr="00C315AC" w:rsidRDefault="00846ACF" w:rsidP="00DB229D">
      <w:pPr>
        <w:ind w:right="990" w:firstLine="720"/>
        <w:rPr>
          <w:sz w:val="24"/>
          <w:szCs w:val="24"/>
        </w:rPr>
      </w:pPr>
      <w:proofErr w:type="gramStart"/>
      <w:r>
        <w:rPr>
          <w:sz w:val="24"/>
          <w:szCs w:val="24"/>
        </w:rPr>
        <w:t>None.</w:t>
      </w:r>
      <w:proofErr w:type="gramEnd"/>
    </w:p>
    <w:p w:rsidR="00104DEC" w:rsidRPr="00C315AC" w:rsidRDefault="00104DEC" w:rsidP="00291CC2">
      <w:pPr>
        <w:tabs>
          <w:tab w:val="left" w:pos="360"/>
        </w:tabs>
        <w:ind w:left="360" w:right="990"/>
        <w:rPr>
          <w:sz w:val="24"/>
          <w:szCs w:val="24"/>
        </w:rPr>
      </w:pPr>
    </w:p>
    <w:p w:rsidR="00DB229D" w:rsidRPr="004D683B" w:rsidRDefault="00DB229D" w:rsidP="00DB229D">
      <w:pPr>
        <w:pStyle w:val="CM12"/>
        <w:spacing w:line="276" w:lineRule="atLeast"/>
      </w:pPr>
      <w:r w:rsidRPr="004D683B">
        <w:rPr>
          <w:b/>
          <w:bCs/>
        </w:rPr>
        <w:lastRenderedPageBreak/>
        <w:t xml:space="preserve">16.  </w:t>
      </w:r>
      <w:r w:rsidRPr="004D683B">
        <w:rPr>
          <w:b/>
          <w:bCs/>
          <w:u w:val="single"/>
        </w:rPr>
        <w:t>Plans for Tabulation, Statistical Analysis, and Publication</w:t>
      </w:r>
    </w:p>
    <w:p w:rsidR="00DB229D" w:rsidRDefault="00DB229D" w:rsidP="00DB229D">
      <w:pPr>
        <w:tabs>
          <w:tab w:val="left" w:pos="720"/>
        </w:tabs>
        <w:ind w:right="990"/>
        <w:rPr>
          <w:sz w:val="24"/>
          <w:szCs w:val="24"/>
        </w:rPr>
      </w:pPr>
    </w:p>
    <w:p w:rsidR="00104DEC" w:rsidRPr="00C315AC" w:rsidRDefault="00DB229D" w:rsidP="00DB229D">
      <w:pPr>
        <w:tabs>
          <w:tab w:val="left" w:pos="720"/>
        </w:tabs>
        <w:ind w:right="990"/>
        <w:rPr>
          <w:sz w:val="24"/>
          <w:szCs w:val="24"/>
        </w:rPr>
      </w:pPr>
      <w:r>
        <w:rPr>
          <w:sz w:val="24"/>
          <w:szCs w:val="24"/>
        </w:rPr>
        <w:tab/>
      </w:r>
      <w:r w:rsidR="00104DEC" w:rsidRPr="00C315AC">
        <w:rPr>
          <w:sz w:val="24"/>
          <w:szCs w:val="24"/>
        </w:rPr>
        <w:t>The results of the information collection will not be published.</w:t>
      </w:r>
    </w:p>
    <w:p w:rsidR="00104DEC" w:rsidRPr="00C315AC" w:rsidRDefault="00104DEC" w:rsidP="00291CC2">
      <w:pPr>
        <w:tabs>
          <w:tab w:val="left" w:pos="720"/>
        </w:tabs>
        <w:ind w:left="720" w:right="990" w:hanging="360"/>
        <w:rPr>
          <w:sz w:val="24"/>
          <w:szCs w:val="24"/>
        </w:rPr>
      </w:pPr>
    </w:p>
    <w:p w:rsidR="00DB229D" w:rsidRPr="004D683B" w:rsidRDefault="00DB229D" w:rsidP="00DB229D">
      <w:pPr>
        <w:pStyle w:val="Default"/>
        <w:rPr>
          <w:b/>
          <w:bCs/>
          <w:color w:val="auto"/>
          <w:u w:val="single"/>
        </w:rPr>
      </w:pPr>
      <w:r w:rsidRPr="004D683B">
        <w:rPr>
          <w:b/>
          <w:bCs/>
          <w:color w:val="auto"/>
        </w:rPr>
        <w:t>17.</w:t>
      </w:r>
      <w:r w:rsidRPr="004D683B">
        <w:rPr>
          <w:b/>
          <w:bCs/>
          <w:color w:val="auto"/>
          <w:u w:val="single"/>
        </w:rPr>
        <w:t xml:space="preserve">  Display of Expiration Date</w:t>
      </w:r>
    </w:p>
    <w:p w:rsidR="00DB229D" w:rsidRDefault="00DB229D" w:rsidP="00DB229D">
      <w:pPr>
        <w:tabs>
          <w:tab w:val="left" w:pos="720"/>
        </w:tabs>
        <w:ind w:right="990"/>
        <w:rPr>
          <w:sz w:val="24"/>
          <w:szCs w:val="24"/>
        </w:rPr>
      </w:pPr>
    </w:p>
    <w:p w:rsidR="00104DEC" w:rsidRDefault="00DB229D" w:rsidP="00B66CBC">
      <w:pPr>
        <w:tabs>
          <w:tab w:val="left" w:pos="720"/>
        </w:tabs>
        <w:ind w:right="990"/>
        <w:rPr>
          <w:sz w:val="24"/>
          <w:szCs w:val="24"/>
        </w:rPr>
      </w:pPr>
      <w:r>
        <w:rPr>
          <w:sz w:val="24"/>
          <w:szCs w:val="24"/>
        </w:rPr>
        <w:tab/>
      </w:r>
      <w:r w:rsidR="00B66CBC">
        <w:rPr>
          <w:sz w:val="24"/>
          <w:szCs w:val="24"/>
        </w:rPr>
        <w:t xml:space="preserve">HUD has previously sought and received approval </w:t>
      </w:r>
      <w:r w:rsidR="00945E87">
        <w:rPr>
          <w:sz w:val="24"/>
          <w:szCs w:val="24"/>
        </w:rPr>
        <w:t xml:space="preserve">not </w:t>
      </w:r>
      <w:r w:rsidR="00B66CBC">
        <w:rPr>
          <w:sz w:val="24"/>
          <w:szCs w:val="24"/>
        </w:rPr>
        <w:t xml:space="preserve">to display the expiration date for OMB approval of the information collection. </w:t>
      </w:r>
    </w:p>
    <w:p w:rsidR="00B66CBC" w:rsidRDefault="00B66CBC" w:rsidP="00B66CBC">
      <w:pPr>
        <w:tabs>
          <w:tab w:val="left" w:pos="720"/>
        </w:tabs>
        <w:ind w:right="990"/>
        <w:rPr>
          <w:sz w:val="24"/>
          <w:szCs w:val="24"/>
        </w:rPr>
      </w:pPr>
    </w:p>
    <w:p w:rsidR="009D4BD9" w:rsidRPr="004D683B" w:rsidRDefault="009D4BD9" w:rsidP="009D4BD9">
      <w:pPr>
        <w:pStyle w:val="Default"/>
      </w:pPr>
      <w:r w:rsidRPr="004D683B">
        <w:rPr>
          <w:b/>
          <w:bCs/>
          <w:color w:val="auto"/>
        </w:rPr>
        <w:t>18.</w:t>
      </w:r>
      <w:r w:rsidR="00945E87">
        <w:rPr>
          <w:b/>
          <w:bCs/>
          <w:color w:val="auto"/>
        </w:rPr>
        <w:t xml:space="preserve"> </w:t>
      </w:r>
      <w:r w:rsidRPr="004D683B">
        <w:rPr>
          <w:b/>
          <w:bCs/>
          <w:color w:val="auto"/>
        </w:rPr>
        <w:t xml:space="preserve"> </w:t>
      </w:r>
      <w:r w:rsidRPr="004D683B">
        <w:rPr>
          <w:b/>
          <w:bCs/>
          <w:color w:val="auto"/>
          <w:u w:val="single"/>
        </w:rPr>
        <w:t>Exceptions to the Certification Requirement</w:t>
      </w:r>
    </w:p>
    <w:p w:rsidR="009D4BD9" w:rsidRDefault="009D4BD9" w:rsidP="00291CC2">
      <w:pPr>
        <w:tabs>
          <w:tab w:val="left" w:pos="360"/>
        </w:tabs>
        <w:ind w:right="990"/>
        <w:rPr>
          <w:sz w:val="24"/>
          <w:szCs w:val="24"/>
        </w:rPr>
      </w:pPr>
    </w:p>
    <w:p w:rsidR="009D4BD9" w:rsidRDefault="00B66CBC" w:rsidP="00BE0679">
      <w:pPr>
        <w:tabs>
          <w:tab w:val="left" w:pos="360"/>
        </w:tabs>
        <w:ind w:right="990" w:firstLine="720"/>
        <w:rPr>
          <w:sz w:val="24"/>
          <w:szCs w:val="24"/>
        </w:rPr>
      </w:pPr>
      <w:r>
        <w:rPr>
          <w:sz w:val="24"/>
          <w:szCs w:val="24"/>
        </w:rPr>
        <w:t>Please see I</w:t>
      </w:r>
      <w:r w:rsidR="009D4BD9">
        <w:rPr>
          <w:sz w:val="24"/>
          <w:szCs w:val="24"/>
        </w:rPr>
        <w:t xml:space="preserve">tem 17. </w:t>
      </w:r>
    </w:p>
    <w:p w:rsidR="00DB229D" w:rsidRPr="00C315AC" w:rsidRDefault="00DB229D" w:rsidP="00291CC2">
      <w:pPr>
        <w:tabs>
          <w:tab w:val="left" w:pos="360"/>
          <w:tab w:val="left" w:pos="720"/>
        </w:tabs>
        <w:ind w:left="360" w:right="990"/>
        <w:rPr>
          <w:sz w:val="24"/>
          <w:szCs w:val="24"/>
        </w:rPr>
      </w:pPr>
    </w:p>
    <w:p w:rsidR="009D4BD9" w:rsidRPr="000C23E7" w:rsidRDefault="009D4BD9" w:rsidP="009D4BD9">
      <w:pPr>
        <w:rPr>
          <w:b/>
          <w:sz w:val="23"/>
          <w:szCs w:val="23"/>
          <w:u w:val="single"/>
        </w:rPr>
      </w:pPr>
      <w:r w:rsidRPr="000C23E7">
        <w:rPr>
          <w:b/>
          <w:sz w:val="23"/>
          <w:szCs w:val="23"/>
          <w:u w:val="single"/>
        </w:rPr>
        <w:t>B.  COLLECTIONS OF INFORMATION EMPLOYING STATISTICAL METHODS</w:t>
      </w:r>
    </w:p>
    <w:p w:rsidR="009D4BD9" w:rsidRDefault="009D4BD9" w:rsidP="009D4BD9">
      <w:pPr>
        <w:rPr>
          <w:sz w:val="23"/>
          <w:szCs w:val="23"/>
        </w:rPr>
      </w:pPr>
    </w:p>
    <w:p w:rsidR="00104DEC" w:rsidRPr="00DB229D" w:rsidRDefault="009D4BD9" w:rsidP="00DB229D">
      <w:pPr>
        <w:ind w:firstLine="720"/>
        <w:rPr>
          <w:sz w:val="23"/>
          <w:szCs w:val="23"/>
        </w:rPr>
      </w:pPr>
      <w:r>
        <w:rPr>
          <w:sz w:val="23"/>
          <w:szCs w:val="23"/>
        </w:rPr>
        <w:t>Not applicable.</w:t>
      </w:r>
    </w:p>
    <w:sectPr w:rsidR="00104DEC" w:rsidRPr="00DB229D" w:rsidSect="00291CC2">
      <w:headerReference w:type="default" r:id="rId9"/>
      <w:footerReference w:type="even" r:id="rId10"/>
      <w:footerReference w:type="default" r:id="rId11"/>
      <w:pgSz w:w="12240" w:h="15840"/>
      <w:pgMar w:top="1440" w:right="1440" w:bottom="1440" w:left="1440" w:header="475" w:footer="475" w:gutter="0"/>
      <w:cols w:space="480" w:equalWidth="0">
        <w:col w:w="10181"/>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92" w:rsidRDefault="00466A92">
      <w:r>
        <w:separator/>
      </w:r>
    </w:p>
  </w:endnote>
  <w:endnote w:type="continuationSeparator" w:id="0">
    <w:p w:rsidR="00466A92" w:rsidRDefault="0046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64" w:rsidRDefault="00381081">
    <w:pPr>
      <w:pStyle w:val="Footer"/>
      <w:framePr w:wrap="around" w:vAnchor="text" w:hAnchor="margin" w:xAlign="center" w:y="1"/>
      <w:rPr>
        <w:rStyle w:val="PageNumber"/>
      </w:rPr>
    </w:pPr>
    <w:r>
      <w:rPr>
        <w:rStyle w:val="PageNumber"/>
      </w:rPr>
      <w:fldChar w:fldCharType="begin"/>
    </w:r>
    <w:r w:rsidR="00BA6964">
      <w:rPr>
        <w:rStyle w:val="PageNumber"/>
      </w:rPr>
      <w:instrText xml:space="preserve">PAGE  </w:instrText>
    </w:r>
    <w:r>
      <w:rPr>
        <w:rStyle w:val="PageNumber"/>
      </w:rPr>
      <w:fldChar w:fldCharType="end"/>
    </w:r>
  </w:p>
  <w:p w:rsidR="00BA6964" w:rsidRDefault="00BA6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64" w:rsidRDefault="00381081">
    <w:pPr>
      <w:pStyle w:val="Footer"/>
      <w:framePr w:wrap="around" w:vAnchor="text" w:hAnchor="margin" w:xAlign="center" w:y="1"/>
      <w:rPr>
        <w:rStyle w:val="PageNumber"/>
      </w:rPr>
    </w:pPr>
    <w:r>
      <w:rPr>
        <w:rStyle w:val="PageNumber"/>
      </w:rPr>
      <w:fldChar w:fldCharType="begin"/>
    </w:r>
    <w:r w:rsidR="00BA6964">
      <w:rPr>
        <w:rStyle w:val="PageNumber"/>
      </w:rPr>
      <w:instrText xml:space="preserve">PAGE  </w:instrText>
    </w:r>
    <w:r>
      <w:rPr>
        <w:rStyle w:val="PageNumber"/>
      </w:rPr>
      <w:fldChar w:fldCharType="separate"/>
    </w:r>
    <w:r w:rsidR="00A959D1">
      <w:rPr>
        <w:rStyle w:val="PageNumber"/>
        <w:noProof/>
      </w:rPr>
      <w:t>2</w:t>
    </w:r>
    <w:r>
      <w:rPr>
        <w:rStyle w:val="PageNumber"/>
      </w:rPr>
      <w:fldChar w:fldCharType="end"/>
    </w:r>
  </w:p>
  <w:p w:rsidR="00BA6964" w:rsidRDefault="00BA6964">
    <w:pPr>
      <w:pStyle w:val="Footer"/>
      <w:tabs>
        <w:tab w:val="clear" w:pos="4320"/>
        <w:tab w:val="clear" w:pos="8640"/>
        <w:tab w:val="right" w:pos="10920"/>
      </w:tabs>
      <w:spacing w:line="120" w:lineRule="exact"/>
      <w:ind w:left="-120" w:right="-120"/>
      <w:rPr>
        <w:rFonts w:ascii="Helvetica" w:hAnsi="Helvetica"/>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92" w:rsidRDefault="00466A92">
      <w:r>
        <w:separator/>
      </w:r>
    </w:p>
  </w:footnote>
  <w:footnote w:type="continuationSeparator" w:id="0">
    <w:p w:rsidR="00466A92" w:rsidRDefault="00466A92">
      <w:r>
        <w:continuationSeparator/>
      </w:r>
    </w:p>
  </w:footnote>
  <w:footnote w:id="1">
    <w:p w:rsidR="00846ACF" w:rsidRPr="008A05D0" w:rsidRDefault="00846ACF" w:rsidP="00846ACF">
      <w:pPr>
        <w:pStyle w:val="FootnoteText"/>
      </w:pPr>
      <w:r w:rsidRPr="00B43AF1">
        <w:rPr>
          <w:rStyle w:val="FootnoteReference"/>
        </w:rPr>
        <w:footnoteRef/>
      </w:r>
      <w:r w:rsidRPr="00455FBA">
        <w:t xml:space="preserve">For purposes of the current request for emergency review and approval, the CFPB has relied on the estimates previously developed by </w:t>
      </w:r>
      <w:r>
        <w:t>HUD</w:t>
      </w:r>
      <w:r w:rsidRPr="00455FBA">
        <w:t xml:space="preserve"> concerning the number of entities subject to </w:t>
      </w:r>
      <w:r>
        <w:t>Regulation X</w:t>
      </w:r>
      <w:r w:rsidRPr="00455FBA">
        <w:t xml:space="preserve"> and the hours of paperwork burden under the statute (</w:t>
      </w:r>
      <w:r w:rsidR="003724B4">
        <w:t>f</w:t>
      </w:r>
      <w:r w:rsidR="003724B4" w:rsidRPr="00455FBA">
        <w:t xml:space="preserve">or </w:t>
      </w:r>
      <w:r w:rsidRPr="00455FBA">
        <w:t xml:space="preserve">a detailed breakdown of the burden estimates of </w:t>
      </w:r>
      <w:r w:rsidR="00043989">
        <w:t>HUD</w:t>
      </w:r>
      <w:r w:rsidRPr="00455FBA">
        <w:t xml:space="preserve">, please reference </w:t>
      </w:r>
      <w:r w:rsidR="00043989">
        <w:t>HUD’s</w:t>
      </w:r>
      <w:r w:rsidR="00AB7FD0">
        <w:t xml:space="preserve"> supporting statement</w:t>
      </w:r>
      <w:r w:rsidRPr="00455FBA">
        <w:t xml:space="preserve"> for </w:t>
      </w:r>
      <w:r>
        <w:t>Regulation X</w:t>
      </w:r>
      <w:r w:rsidRPr="00455FBA">
        <w:t xml:space="preserve"> which can be found at www.reginfo.gov).  These estimates do not necessarily represent the full extent of the CFPB’s enforcement authority.  The CFPB will conduct a more detailed review of burden allocations and provide more detailed estimates in its follow-up application to OMB for a standard approval of this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64" w:rsidRDefault="00BA6964" w:rsidP="00291CC2">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4FA"/>
    <w:multiLevelType w:val="multilevel"/>
    <w:tmpl w:val="687857AE"/>
    <w:lvl w:ilvl="0">
      <w:start w:val="3"/>
      <w:numFmt w:val="decimal"/>
      <w:lvlText w:val="%1.   "/>
      <w:lvlJc w:val="left"/>
      <w:pPr>
        <w:tabs>
          <w:tab w:val="num" w:pos="576"/>
        </w:tabs>
        <w:ind w:left="360" w:firstLine="0"/>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B3741D"/>
    <w:multiLevelType w:val="multilevel"/>
    <w:tmpl w:val="E7FE775C"/>
    <w:lvl w:ilvl="0">
      <w:start w:val="3"/>
      <w:numFmt w:val="decimal"/>
      <w:lvlText w:val="%1.   "/>
      <w:lvlJc w:val="left"/>
      <w:pPr>
        <w:tabs>
          <w:tab w:val="num" w:pos="576"/>
        </w:tabs>
        <w:ind w:left="360" w:firstLine="0"/>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BB0208"/>
    <w:multiLevelType w:val="hybridMultilevel"/>
    <w:tmpl w:val="F3F47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81F16C0"/>
    <w:multiLevelType w:val="hybridMultilevel"/>
    <w:tmpl w:val="F21CD6B0"/>
    <w:lvl w:ilvl="0" w:tplc="AF5A7ABE">
      <w:start w:val="4"/>
      <w:numFmt w:val="decimal"/>
      <w:lvlText w:val="%1.   "/>
      <w:lvlJc w:val="left"/>
      <w:pPr>
        <w:tabs>
          <w:tab w:val="num" w:pos="1080"/>
        </w:tabs>
        <w:ind w:left="432" w:hanging="72"/>
      </w:pPr>
      <w:rPr>
        <w:rFonts w:ascii="Times New Roman" w:hAnsi="Times New Roman" w:cs="Symbol"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6F0759"/>
    <w:multiLevelType w:val="multilevel"/>
    <w:tmpl w:val="E640AC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F71A08"/>
    <w:multiLevelType w:val="hybridMultilevel"/>
    <w:tmpl w:val="9CA63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C96B69"/>
    <w:multiLevelType w:val="hybridMultilevel"/>
    <w:tmpl w:val="3BA6AFE4"/>
    <w:lvl w:ilvl="0" w:tplc="AF5A7ABE">
      <w:start w:val="4"/>
      <w:numFmt w:val="decimal"/>
      <w:lvlText w:val="%1.   "/>
      <w:lvlJc w:val="left"/>
      <w:pPr>
        <w:tabs>
          <w:tab w:val="num" w:pos="1080"/>
        </w:tabs>
        <w:ind w:left="432" w:hanging="72"/>
      </w:pPr>
      <w:rPr>
        <w:rFonts w:ascii="Times New Roman" w:hAnsi="Times New Roman" w:cs="Symbol"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ED6D82"/>
    <w:multiLevelType w:val="hybridMultilevel"/>
    <w:tmpl w:val="DF8C8126"/>
    <w:lvl w:ilvl="0" w:tplc="FA6EFA1E">
      <w:start w:val="13"/>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2810AC"/>
    <w:multiLevelType w:val="multilevel"/>
    <w:tmpl w:val="40206164"/>
    <w:lvl w:ilvl="0">
      <w:start w:val="3"/>
      <w:numFmt w:val="decimal"/>
      <w:lvlText w:val="%1.   "/>
      <w:lvlJc w:val="left"/>
      <w:pPr>
        <w:tabs>
          <w:tab w:val="num" w:pos="360"/>
        </w:tabs>
        <w:ind w:left="360" w:firstLine="0"/>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1">
    <w:nsid w:val="39BB0233"/>
    <w:multiLevelType w:val="multilevel"/>
    <w:tmpl w:val="345E54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D232158"/>
    <w:multiLevelType w:val="hybridMultilevel"/>
    <w:tmpl w:val="4460A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6C229B"/>
    <w:multiLevelType w:val="multilevel"/>
    <w:tmpl w:val="43F6ADEA"/>
    <w:lvl w:ilvl="0">
      <w:start w:val="13"/>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8D1BE2"/>
    <w:multiLevelType w:val="hybridMultilevel"/>
    <w:tmpl w:val="F1247FB0"/>
    <w:lvl w:ilvl="0" w:tplc="5AFA927A">
      <w:start w:val="4"/>
      <w:numFmt w:val="decimal"/>
      <w:lvlText w:val="%1.   "/>
      <w:lvlJc w:val="left"/>
      <w:pPr>
        <w:tabs>
          <w:tab w:val="num" w:pos="360"/>
        </w:tabs>
        <w:ind w:left="360" w:firstLine="0"/>
      </w:pPr>
      <w:rPr>
        <w:rFonts w:ascii="Times New Roman" w:hAnsi="Times New Roman" w:cs="Symbol" w:hint="default"/>
        <w:b w:val="0"/>
        <w:bCs w:val="0"/>
        <w:i w:val="0"/>
        <w:iCs w:val="0"/>
        <w:u w:val="none"/>
      </w:rPr>
    </w:lvl>
    <w:lvl w:ilvl="1" w:tplc="5AFA927A">
      <w:start w:val="4"/>
      <w:numFmt w:val="decimal"/>
      <w:lvlText w:val="%2.   "/>
      <w:lvlJc w:val="left"/>
      <w:pPr>
        <w:tabs>
          <w:tab w:val="num" w:pos="1080"/>
        </w:tabs>
        <w:ind w:left="1080" w:firstLine="0"/>
      </w:pPr>
      <w:rPr>
        <w:rFonts w:ascii="Times New Roman" w:hAnsi="Times New Roman" w:cs="Symbol" w:hint="default"/>
        <w:b w:val="0"/>
        <w:bCs w:val="0"/>
        <w:i w:val="0"/>
        <w:iCs w:val="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475604"/>
    <w:multiLevelType w:val="hybridMultilevel"/>
    <w:tmpl w:val="DD489AEE"/>
    <w:lvl w:ilvl="0" w:tplc="29D2A44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43BD77EA"/>
    <w:multiLevelType w:val="hybridMultilevel"/>
    <w:tmpl w:val="345E54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4AC4041"/>
    <w:multiLevelType w:val="hybridMultilevel"/>
    <w:tmpl w:val="19262D18"/>
    <w:lvl w:ilvl="0" w:tplc="62D2665C">
      <w:start w:val="3"/>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E47FE2"/>
    <w:multiLevelType w:val="hybridMultilevel"/>
    <w:tmpl w:val="CD2EFC98"/>
    <w:lvl w:ilvl="0" w:tplc="FB349B16">
      <w:start w:val="3"/>
      <w:numFmt w:val="decimal"/>
      <w:lvlText w:val="%1.   "/>
      <w:lvlJc w:val="left"/>
      <w:pPr>
        <w:tabs>
          <w:tab w:val="num" w:pos="576"/>
        </w:tabs>
        <w:ind w:left="360" w:firstLine="0"/>
      </w:pPr>
      <w:rPr>
        <w:rFonts w:ascii="Times New Roman" w:hAnsi="Times New Roman" w:cs="Symbol"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1">
    <w:nsid w:val="519167A6"/>
    <w:multiLevelType w:val="hybridMultilevel"/>
    <w:tmpl w:val="50041370"/>
    <w:lvl w:ilvl="0" w:tplc="5AFA927A">
      <w:start w:val="4"/>
      <w:numFmt w:val="decimal"/>
      <w:lvlText w:val="%1.   "/>
      <w:lvlJc w:val="left"/>
      <w:pPr>
        <w:tabs>
          <w:tab w:val="num" w:pos="360"/>
        </w:tabs>
        <w:ind w:left="360" w:firstLine="0"/>
      </w:pPr>
      <w:rPr>
        <w:rFonts w:ascii="Times New Roman" w:hAnsi="Times New Roman" w:cs="Symbol" w:hint="default"/>
        <w:b w:val="0"/>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13C78"/>
    <w:multiLevelType w:val="multilevel"/>
    <w:tmpl w:val="F21CD6B0"/>
    <w:lvl w:ilvl="0">
      <w:start w:val="4"/>
      <w:numFmt w:val="decimal"/>
      <w:lvlText w:val="%1.   "/>
      <w:lvlJc w:val="left"/>
      <w:pPr>
        <w:tabs>
          <w:tab w:val="num" w:pos="1080"/>
        </w:tabs>
        <w:ind w:left="432" w:hanging="72"/>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7A2BCA"/>
    <w:multiLevelType w:val="hybridMultilevel"/>
    <w:tmpl w:val="E7FE775C"/>
    <w:lvl w:ilvl="0" w:tplc="FB349B16">
      <w:start w:val="3"/>
      <w:numFmt w:val="decimal"/>
      <w:lvlText w:val="%1.   "/>
      <w:lvlJc w:val="left"/>
      <w:pPr>
        <w:tabs>
          <w:tab w:val="num" w:pos="576"/>
        </w:tabs>
        <w:ind w:left="360" w:firstLine="0"/>
      </w:pPr>
      <w:rPr>
        <w:rFonts w:ascii="Times New Roman" w:hAnsi="Times New Roman" w:cs="Symbol" w:hint="default"/>
        <w:b w:val="0"/>
        <w:bCs w:val="0"/>
        <w:i w:val="0"/>
        <w:iCs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4F1B81"/>
    <w:multiLevelType w:val="multilevel"/>
    <w:tmpl w:val="4460A0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6">
    <w:nsid w:val="6ADC4CAE"/>
    <w:multiLevelType w:val="multilevel"/>
    <w:tmpl w:val="B33A5338"/>
    <w:lvl w:ilvl="0">
      <w:start w:val="13"/>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101A24"/>
    <w:multiLevelType w:val="hybridMultilevel"/>
    <w:tmpl w:val="3DC40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9567B8"/>
    <w:multiLevelType w:val="multilevel"/>
    <w:tmpl w:val="F21CD6B0"/>
    <w:lvl w:ilvl="0">
      <w:start w:val="4"/>
      <w:numFmt w:val="decimal"/>
      <w:lvlText w:val="%1.   "/>
      <w:lvlJc w:val="left"/>
      <w:pPr>
        <w:tabs>
          <w:tab w:val="num" w:pos="1080"/>
        </w:tabs>
        <w:ind w:left="432" w:hanging="72"/>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8437A7"/>
    <w:multiLevelType w:val="multilevel"/>
    <w:tmpl w:val="4460A0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3520FD"/>
    <w:multiLevelType w:val="multilevel"/>
    <w:tmpl w:val="40206164"/>
    <w:lvl w:ilvl="0">
      <w:start w:val="3"/>
      <w:numFmt w:val="decimal"/>
      <w:lvlText w:val="%1.   "/>
      <w:lvlJc w:val="left"/>
      <w:pPr>
        <w:tabs>
          <w:tab w:val="num" w:pos="360"/>
        </w:tabs>
        <w:ind w:left="360" w:firstLine="0"/>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51166DF"/>
    <w:multiLevelType w:val="hybridMultilevel"/>
    <w:tmpl w:val="85B26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8A0485"/>
    <w:multiLevelType w:val="multilevel"/>
    <w:tmpl w:val="1CECD604"/>
    <w:lvl w:ilvl="0">
      <w:start w:val="4"/>
      <w:numFmt w:val="decimal"/>
      <w:lvlText w:val="%1.   "/>
      <w:lvlJc w:val="left"/>
      <w:pPr>
        <w:tabs>
          <w:tab w:val="num" w:pos="360"/>
        </w:tabs>
        <w:ind w:left="360" w:firstLine="0"/>
      </w:pPr>
      <w:rPr>
        <w:rFonts w:ascii="Times New Roman" w:hAnsi="Times New Roman" w:cs="Symbol" w:hint="default"/>
        <w:b w:val="0"/>
        <w:bCs w:val="0"/>
        <w:i w:val="0"/>
        <w:iCs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8C2CB9"/>
    <w:multiLevelType w:val="hybridMultilevel"/>
    <w:tmpl w:val="2912E1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5">
    <w:nsid w:val="7FE36F44"/>
    <w:multiLevelType w:val="multilevel"/>
    <w:tmpl w:val="F1247FB0"/>
    <w:lvl w:ilvl="0">
      <w:start w:val="4"/>
      <w:numFmt w:val="decimal"/>
      <w:lvlText w:val="%1.   "/>
      <w:lvlJc w:val="left"/>
      <w:pPr>
        <w:tabs>
          <w:tab w:val="num" w:pos="360"/>
        </w:tabs>
        <w:ind w:left="360" w:firstLine="0"/>
      </w:pPr>
      <w:rPr>
        <w:rFonts w:ascii="Times New Roman" w:hAnsi="Times New Roman" w:cs="Symbol" w:hint="default"/>
        <w:b w:val="0"/>
        <w:bCs w:val="0"/>
        <w:i w:val="0"/>
        <w:iCs w:val="0"/>
        <w:u w:val="none"/>
      </w:rPr>
    </w:lvl>
    <w:lvl w:ilvl="1">
      <w:start w:val="4"/>
      <w:numFmt w:val="decimal"/>
      <w:lvlText w:val="%2.   "/>
      <w:lvlJc w:val="left"/>
      <w:pPr>
        <w:tabs>
          <w:tab w:val="num" w:pos="1080"/>
        </w:tabs>
        <w:ind w:left="1080" w:firstLine="0"/>
      </w:pPr>
      <w:rPr>
        <w:rFonts w:ascii="Times New Roman" w:hAnsi="Times New Roman" w:cs="Symbol" w:hint="default"/>
        <w:b w:val="0"/>
        <w:bCs w:val="0"/>
        <w:i w:val="0"/>
        <w:iCs w:val="0"/>
        <w:u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3"/>
  </w:num>
  <w:num w:numId="4">
    <w:abstractNumId w:val="25"/>
  </w:num>
  <w:num w:numId="5">
    <w:abstractNumId w:val="16"/>
  </w:num>
  <w:num w:numId="6">
    <w:abstractNumId w:val="2"/>
  </w:num>
  <w:num w:numId="7">
    <w:abstractNumId w:val="12"/>
  </w:num>
  <w:num w:numId="8">
    <w:abstractNumId w:val="14"/>
  </w:num>
  <w:num w:numId="9">
    <w:abstractNumId w:val="18"/>
  </w:num>
  <w:num w:numId="10">
    <w:abstractNumId w:val="8"/>
  </w:num>
  <w:num w:numId="11">
    <w:abstractNumId w:val="6"/>
  </w:num>
  <w:num w:numId="12">
    <w:abstractNumId w:val="31"/>
  </w:num>
  <w:num w:numId="13">
    <w:abstractNumId w:val="17"/>
  </w:num>
  <w:num w:numId="14">
    <w:abstractNumId w:val="11"/>
  </w:num>
  <w:num w:numId="15">
    <w:abstractNumId w:val="7"/>
  </w:num>
  <w:num w:numId="16">
    <w:abstractNumId w:val="5"/>
  </w:num>
  <w:num w:numId="17">
    <w:abstractNumId w:val="4"/>
  </w:num>
  <w:num w:numId="18">
    <w:abstractNumId w:val="13"/>
  </w:num>
  <w:num w:numId="19">
    <w:abstractNumId w:val="22"/>
  </w:num>
  <w:num w:numId="20">
    <w:abstractNumId w:val="26"/>
  </w:num>
  <w:num w:numId="21">
    <w:abstractNumId w:val="28"/>
  </w:num>
  <w:num w:numId="22">
    <w:abstractNumId w:val="21"/>
  </w:num>
  <w:num w:numId="23">
    <w:abstractNumId w:val="35"/>
  </w:num>
  <w:num w:numId="24">
    <w:abstractNumId w:val="23"/>
  </w:num>
  <w:num w:numId="25">
    <w:abstractNumId w:val="32"/>
  </w:num>
  <w:num w:numId="26">
    <w:abstractNumId w:val="9"/>
  </w:num>
  <w:num w:numId="27">
    <w:abstractNumId w:val="30"/>
  </w:num>
  <w:num w:numId="28">
    <w:abstractNumId w:val="0"/>
  </w:num>
  <w:num w:numId="29">
    <w:abstractNumId w:val="19"/>
  </w:num>
  <w:num w:numId="30">
    <w:abstractNumId w:val="10"/>
  </w:num>
  <w:num w:numId="31">
    <w:abstractNumId w:val="1"/>
  </w:num>
  <w:num w:numId="32">
    <w:abstractNumId w:val="24"/>
  </w:num>
  <w:num w:numId="33">
    <w:abstractNumId w:val="27"/>
  </w:num>
  <w:num w:numId="34">
    <w:abstractNumId w:val="29"/>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C2"/>
    <w:rsid w:val="00020201"/>
    <w:rsid w:val="00036B43"/>
    <w:rsid w:val="00043989"/>
    <w:rsid w:val="000578AF"/>
    <w:rsid w:val="00062776"/>
    <w:rsid w:val="00070AB1"/>
    <w:rsid w:val="00087661"/>
    <w:rsid w:val="000C3259"/>
    <w:rsid w:val="000F1849"/>
    <w:rsid w:val="000F1BA9"/>
    <w:rsid w:val="000F29CC"/>
    <w:rsid w:val="0010370B"/>
    <w:rsid w:val="00104DEC"/>
    <w:rsid w:val="001178AD"/>
    <w:rsid w:val="00127404"/>
    <w:rsid w:val="001355F3"/>
    <w:rsid w:val="001617F6"/>
    <w:rsid w:val="00176544"/>
    <w:rsid w:val="0019000D"/>
    <w:rsid w:val="001E42C8"/>
    <w:rsid w:val="001F3B8F"/>
    <w:rsid w:val="002009B9"/>
    <w:rsid w:val="00213494"/>
    <w:rsid w:val="00243895"/>
    <w:rsid w:val="00256218"/>
    <w:rsid w:val="0027490B"/>
    <w:rsid w:val="00280E88"/>
    <w:rsid w:val="00291CC2"/>
    <w:rsid w:val="002934BD"/>
    <w:rsid w:val="002A534A"/>
    <w:rsid w:val="002D584B"/>
    <w:rsid w:val="002E47EE"/>
    <w:rsid w:val="0030611E"/>
    <w:rsid w:val="00313C80"/>
    <w:rsid w:val="00360C83"/>
    <w:rsid w:val="003724B4"/>
    <w:rsid w:val="00373439"/>
    <w:rsid w:val="00381081"/>
    <w:rsid w:val="003975A7"/>
    <w:rsid w:val="003A3380"/>
    <w:rsid w:val="003A4369"/>
    <w:rsid w:val="003A7A8E"/>
    <w:rsid w:val="003D6F96"/>
    <w:rsid w:val="00422152"/>
    <w:rsid w:val="0044631F"/>
    <w:rsid w:val="00466A92"/>
    <w:rsid w:val="00497DCD"/>
    <w:rsid w:val="004B54AB"/>
    <w:rsid w:val="004C1F0A"/>
    <w:rsid w:val="004C5BBB"/>
    <w:rsid w:val="004F6A90"/>
    <w:rsid w:val="004F7FC5"/>
    <w:rsid w:val="005039E9"/>
    <w:rsid w:val="005140BA"/>
    <w:rsid w:val="0052474B"/>
    <w:rsid w:val="00537E1F"/>
    <w:rsid w:val="0056717D"/>
    <w:rsid w:val="00582FFF"/>
    <w:rsid w:val="00586DF0"/>
    <w:rsid w:val="005905FD"/>
    <w:rsid w:val="005B349C"/>
    <w:rsid w:val="005B4ED3"/>
    <w:rsid w:val="005D0FD4"/>
    <w:rsid w:val="005F27A1"/>
    <w:rsid w:val="005F7DD1"/>
    <w:rsid w:val="00615F84"/>
    <w:rsid w:val="0062005A"/>
    <w:rsid w:val="00623921"/>
    <w:rsid w:val="006302AF"/>
    <w:rsid w:val="00630F2F"/>
    <w:rsid w:val="00664E46"/>
    <w:rsid w:val="00673F80"/>
    <w:rsid w:val="006D7DD5"/>
    <w:rsid w:val="006F2834"/>
    <w:rsid w:val="00753713"/>
    <w:rsid w:val="00754F31"/>
    <w:rsid w:val="00783451"/>
    <w:rsid w:val="007A146C"/>
    <w:rsid w:val="007D3B7A"/>
    <w:rsid w:val="007D63ED"/>
    <w:rsid w:val="008205DC"/>
    <w:rsid w:val="00843DE3"/>
    <w:rsid w:val="00846ACF"/>
    <w:rsid w:val="00854EB8"/>
    <w:rsid w:val="00893E78"/>
    <w:rsid w:val="008971E9"/>
    <w:rsid w:val="008A00CE"/>
    <w:rsid w:val="008B6159"/>
    <w:rsid w:val="008C0079"/>
    <w:rsid w:val="008C482B"/>
    <w:rsid w:val="00901D2C"/>
    <w:rsid w:val="00904379"/>
    <w:rsid w:val="00940D99"/>
    <w:rsid w:val="00945E87"/>
    <w:rsid w:val="00946062"/>
    <w:rsid w:val="00975C22"/>
    <w:rsid w:val="0099609C"/>
    <w:rsid w:val="009B3433"/>
    <w:rsid w:val="009D4BD9"/>
    <w:rsid w:val="00A203C3"/>
    <w:rsid w:val="00A3557B"/>
    <w:rsid w:val="00A5793B"/>
    <w:rsid w:val="00A64FD8"/>
    <w:rsid w:val="00A950A5"/>
    <w:rsid w:val="00A959D1"/>
    <w:rsid w:val="00A96A0B"/>
    <w:rsid w:val="00AB7FD0"/>
    <w:rsid w:val="00AC2142"/>
    <w:rsid w:val="00AD2830"/>
    <w:rsid w:val="00AD33D2"/>
    <w:rsid w:val="00AD5D8E"/>
    <w:rsid w:val="00AE104E"/>
    <w:rsid w:val="00B37CED"/>
    <w:rsid w:val="00B66CBC"/>
    <w:rsid w:val="00B93DA7"/>
    <w:rsid w:val="00BA0765"/>
    <w:rsid w:val="00BA6964"/>
    <w:rsid w:val="00BD0784"/>
    <w:rsid w:val="00BE0679"/>
    <w:rsid w:val="00C2052A"/>
    <w:rsid w:val="00C315AC"/>
    <w:rsid w:val="00C34DAA"/>
    <w:rsid w:val="00C3577B"/>
    <w:rsid w:val="00C526E8"/>
    <w:rsid w:val="00C67138"/>
    <w:rsid w:val="00C70992"/>
    <w:rsid w:val="00C75BD6"/>
    <w:rsid w:val="00C9169E"/>
    <w:rsid w:val="00C967DB"/>
    <w:rsid w:val="00CA323D"/>
    <w:rsid w:val="00CB638A"/>
    <w:rsid w:val="00CC446D"/>
    <w:rsid w:val="00D23B56"/>
    <w:rsid w:val="00D34716"/>
    <w:rsid w:val="00D453C7"/>
    <w:rsid w:val="00D67558"/>
    <w:rsid w:val="00D82939"/>
    <w:rsid w:val="00D9354C"/>
    <w:rsid w:val="00DB229D"/>
    <w:rsid w:val="00DC26CC"/>
    <w:rsid w:val="00DD17F5"/>
    <w:rsid w:val="00DD2C03"/>
    <w:rsid w:val="00DD3247"/>
    <w:rsid w:val="00DE2616"/>
    <w:rsid w:val="00DE7F62"/>
    <w:rsid w:val="00E05884"/>
    <w:rsid w:val="00E05B6B"/>
    <w:rsid w:val="00E21557"/>
    <w:rsid w:val="00E224CE"/>
    <w:rsid w:val="00E3137A"/>
    <w:rsid w:val="00E646A4"/>
    <w:rsid w:val="00E725A1"/>
    <w:rsid w:val="00E835B9"/>
    <w:rsid w:val="00EB66FB"/>
    <w:rsid w:val="00EC5FC2"/>
    <w:rsid w:val="00F277F7"/>
    <w:rsid w:val="00F33F0B"/>
    <w:rsid w:val="00F47789"/>
    <w:rsid w:val="00F72663"/>
    <w:rsid w:val="00F7669A"/>
    <w:rsid w:val="00F818A1"/>
    <w:rsid w:val="00F912A7"/>
    <w:rsid w:val="00F972E1"/>
    <w:rsid w:val="00FC6C06"/>
    <w:rsid w:val="00FE0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sz w:val="18"/>
    </w:rPr>
  </w:style>
  <w:style w:type="paragraph" w:styleId="Heading2">
    <w:name w:val="heading 2"/>
    <w:basedOn w:val="Normal"/>
    <w:next w:val="Normal"/>
    <w:qFormat/>
    <w:pPr>
      <w:keepNext/>
      <w:keepLines/>
      <w:tabs>
        <w:tab w:val="left" w:pos="0"/>
        <w:tab w:val="left" w:pos="360"/>
      </w:tabs>
      <w:spacing w:after="80"/>
      <w:ind w:left="360" w:hanging="360"/>
      <w:outlineLvl w:val="1"/>
    </w:pPr>
    <w:rPr>
      <w:noProof/>
      <w:sz w:val="24"/>
    </w:rPr>
  </w:style>
  <w:style w:type="paragraph" w:styleId="Heading3">
    <w:name w:val="heading 3"/>
    <w:basedOn w:val="Normal"/>
    <w:next w:val="Normal"/>
    <w:qFormat/>
    <w:pPr>
      <w:keepNext/>
      <w:keepLines/>
      <w:tabs>
        <w:tab w:val="left" w:pos="360"/>
      </w:tabs>
      <w:spacing w:after="80"/>
      <w:ind w:left="360" w:hanging="360"/>
      <w:outlineLvl w:val="2"/>
    </w:pPr>
    <w:rPr>
      <w:noProof/>
      <w:sz w:val="24"/>
      <w:u w:val="single"/>
    </w:rPr>
  </w:style>
  <w:style w:type="paragraph" w:styleId="Heading4">
    <w:name w:val="heading 4"/>
    <w:basedOn w:val="Normal"/>
    <w:next w:val="Normal"/>
    <w:qFormat/>
    <w:pPr>
      <w:keepNext/>
      <w:tabs>
        <w:tab w:val="left" w:pos="240"/>
      </w:tabs>
      <w:spacing w:after="40"/>
      <w:ind w:left="120" w:right="-120"/>
      <w:outlineLvl w:val="3"/>
    </w:pPr>
    <w:rPr>
      <w:rFonts w:ascii="Helvetica" w:hAnsi="Helvetica"/>
      <w:b/>
      <w:noProof/>
      <w:sz w:val="18"/>
    </w:rPr>
  </w:style>
  <w:style w:type="paragraph" w:styleId="Heading5">
    <w:name w:val="heading 5"/>
    <w:basedOn w:val="Normal"/>
    <w:next w:val="Normal"/>
    <w:qFormat/>
    <w:pPr>
      <w:keepNext/>
      <w:tabs>
        <w:tab w:val="left" w:pos="360"/>
      </w:tabs>
      <w:jc w:val="center"/>
      <w:outlineLvl w:val="4"/>
    </w:pPr>
    <w:rPr>
      <w:b/>
      <w:bCs/>
      <w:sz w:val="24"/>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tabs>
        <w:tab w:val="left" w:pos="360"/>
      </w:tabs>
      <w:ind w:left="720" w:hanging="360"/>
      <w:outlineLvl w:val="6"/>
    </w:pPr>
    <w:rPr>
      <w:noProof/>
      <w:sz w:val="24"/>
      <w:u w:val="single"/>
    </w:rPr>
  </w:style>
  <w:style w:type="paragraph" w:styleId="Heading8">
    <w:name w:val="heading 8"/>
    <w:basedOn w:val="Normal"/>
    <w:next w:val="Normal"/>
    <w:qFormat/>
    <w:pPr>
      <w:keepNext/>
      <w:tabs>
        <w:tab w:val="left" w:pos="360"/>
      </w:tabs>
      <w:outlineLvl w:val="7"/>
    </w:pPr>
    <w:rPr>
      <w:b/>
      <w:bCs/>
      <w:sz w:val="24"/>
    </w:rPr>
  </w:style>
  <w:style w:type="paragraph" w:styleId="Heading9">
    <w:name w:val="heading 9"/>
    <w:basedOn w:val="Normal"/>
    <w:next w:val="Normal"/>
    <w:qFormat/>
    <w:pPr>
      <w:keepNext/>
      <w:keepLines/>
      <w:tabs>
        <w:tab w:val="left" w:pos="360"/>
      </w:tabs>
      <w:ind w:left="720"/>
      <w:outlineLvl w:val="8"/>
    </w:pPr>
    <w:rPr>
      <w:b/>
      <w:bCs/>
      <w:sz w:val="22"/>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Helvetica" w:hAnsi="Helvetica"/>
      <w:b/>
      <w:sz w:val="28"/>
    </w:rPr>
  </w:style>
  <w:style w:type="paragraph" w:styleId="BodyTextIndent">
    <w:name w:val="Body Text Indent"/>
    <w:basedOn w:val="Normal"/>
    <w:pPr>
      <w:tabs>
        <w:tab w:val="left" w:pos="360"/>
      </w:tabs>
      <w:ind w:left="360"/>
    </w:pPr>
    <w:rPr>
      <w:noProof/>
      <w:sz w:val="24"/>
    </w:rPr>
  </w:style>
  <w:style w:type="character" w:styleId="Strong">
    <w:name w:val="Strong"/>
    <w:qFormat/>
    <w:rPr>
      <w:b/>
      <w:bCs/>
    </w:rPr>
  </w:style>
  <w:style w:type="paragraph" w:styleId="BlockText">
    <w:name w:val="Block Text"/>
    <w:basedOn w:val="Normal"/>
    <w:pPr>
      <w:spacing w:after="40"/>
      <w:ind w:left="120" w:right="-120"/>
    </w:pPr>
    <w:rPr>
      <w:rFonts w:ascii="Helvetica" w:hAnsi="Helvetica"/>
      <w:noProof/>
      <w:color w:val="000000"/>
      <w:sz w:val="18"/>
    </w:rPr>
  </w:style>
  <w:style w:type="paragraph" w:styleId="BodyText">
    <w:name w:val="Body Text"/>
    <w:basedOn w:val="Normal"/>
    <w:pPr>
      <w:keepLines/>
      <w:tabs>
        <w:tab w:val="left" w:pos="360"/>
      </w:tabs>
      <w:spacing w:after="80"/>
    </w:pPr>
    <w:rPr>
      <w:sz w:val="24"/>
    </w:rPr>
  </w:style>
  <w:style w:type="paragraph" w:styleId="BodyTextIndent2">
    <w:name w:val="Body Text Indent 2"/>
    <w:basedOn w:val="Normal"/>
    <w:pPr>
      <w:tabs>
        <w:tab w:val="left" w:pos="360"/>
      </w:tabs>
      <w:ind w:left="336"/>
    </w:pPr>
    <w:rPr>
      <w:sz w:val="18"/>
    </w:rPr>
  </w:style>
  <w:style w:type="paragraph" w:styleId="BodyTextIndent3">
    <w:name w:val="Body Text Indent 3"/>
    <w:basedOn w:val="Normal"/>
    <w:pPr>
      <w:ind w:left="270" w:hanging="270"/>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rsid w:val="00EF4B49"/>
    <w:rPr>
      <w:rFonts w:ascii="Courier New" w:hAnsi="Courier New" w:cs="Courier New"/>
    </w:rPr>
  </w:style>
  <w:style w:type="paragraph" w:styleId="BalloonText">
    <w:name w:val="Balloon Text"/>
    <w:basedOn w:val="Normal"/>
    <w:link w:val="BalloonTextChar"/>
    <w:rsid w:val="00DD17F5"/>
    <w:rPr>
      <w:rFonts w:ascii="Tahoma" w:hAnsi="Tahoma"/>
      <w:sz w:val="16"/>
      <w:szCs w:val="16"/>
    </w:rPr>
  </w:style>
  <w:style w:type="character" w:customStyle="1" w:styleId="BalloonTextChar">
    <w:name w:val="Balloon Text Char"/>
    <w:link w:val="BalloonText"/>
    <w:rsid w:val="00DD17F5"/>
    <w:rPr>
      <w:rFonts w:ascii="Tahoma" w:hAnsi="Tahoma" w:cs="Tahoma"/>
      <w:sz w:val="16"/>
      <w:szCs w:val="16"/>
    </w:rPr>
  </w:style>
  <w:style w:type="paragraph" w:styleId="FootnoteText">
    <w:name w:val="footnote text"/>
    <w:aliases w:val="Footnote Text Char1,Footnote Text Char Char"/>
    <w:basedOn w:val="Normal"/>
    <w:link w:val="FootnoteTextChar"/>
    <w:uiPriority w:val="99"/>
    <w:rsid w:val="005140BA"/>
    <w:pPr>
      <w:overflowPunct/>
      <w:autoSpaceDE/>
      <w:autoSpaceDN/>
      <w:adjustRightInd/>
      <w:textAlignment w:val="auto"/>
    </w:pPr>
  </w:style>
  <w:style w:type="character" w:customStyle="1" w:styleId="FootnoteTextChar">
    <w:name w:val="Footnote Text Char"/>
    <w:aliases w:val="Footnote Text Char1 Char,Footnote Text Char Char Char"/>
    <w:basedOn w:val="DefaultParagraphFont"/>
    <w:link w:val="FootnoteText"/>
    <w:uiPriority w:val="99"/>
    <w:rsid w:val="005140BA"/>
  </w:style>
  <w:style w:type="character" w:styleId="FootnoteReference">
    <w:name w:val="footnote reference"/>
    <w:uiPriority w:val="99"/>
    <w:rsid w:val="005140BA"/>
    <w:rPr>
      <w:vertAlign w:val="superscript"/>
    </w:rPr>
  </w:style>
  <w:style w:type="character" w:customStyle="1" w:styleId="HeaderChar">
    <w:name w:val="Header Char"/>
    <w:basedOn w:val="DefaultParagraphFont"/>
    <w:link w:val="Header"/>
    <w:uiPriority w:val="99"/>
    <w:rsid w:val="005B349C"/>
  </w:style>
  <w:style w:type="paragraph" w:customStyle="1" w:styleId="Default">
    <w:name w:val="Default"/>
    <w:rsid w:val="00C315AC"/>
    <w:pPr>
      <w:widowControl w:val="0"/>
      <w:autoSpaceDE w:val="0"/>
      <w:autoSpaceDN w:val="0"/>
      <w:adjustRightInd w:val="0"/>
    </w:pPr>
    <w:rPr>
      <w:color w:val="000000"/>
      <w:sz w:val="24"/>
      <w:szCs w:val="24"/>
    </w:rPr>
  </w:style>
  <w:style w:type="paragraph" w:customStyle="1" w:styleId="CM12">
    <w:name w:val="CM12"/>
    <w:basedOn w:val="Default"/>
    <w:next w:val="Default"/>
    <w:uiPriority w:val="99"/>
    <w:rsid w:val="00C315AC"/>
    <w:rPr>
      <w:color w:val="auto"/>
    </w:rPr>
  </w:style>
  <w:style w:type="paragraph" w:styleId="ListParagraph">
    <w:name w:val="List Paragraph"/>
    <w:basedOn w:val="Normal"/>
    <w:uiPriority w:val="34"/>
    <w:qFormat/>
    <w:rsid w:val="00DB229D"/>
    <w:pPr>
      <w:ind w:left="720"/>
    </w:pPr>
  </w:style>
  <w:style w:type="character" w:styleId="CommentReference">
    <w:name w:val="annotation reference"/>
    <w:rsid w:val="002A534A"/>
    <w:rPr>
      <w:sz w:val="16"/>
      <w:szCs w:val="16"/>
    </w:rPr>
  </w:style>
  <w:style w:type="paragraph" w:styleId="CommentText">
    <w:name w:val="annotation text"/>
    <w:basedOn w:val="Normal"/>
    <w:link w:val="CommentTextChar"/>
    <w:rsid w:val="002A534A"/>
  </w:style>
  <w:style w:type="character" w:customStyle="1" w:styleId="CommentTextChar">
    <w:name w:val="Comment Text Char"/>
    <w:basedOn w:val="DefaultParagraphFont"/>
    <w:link w:val="CommentText"/>
    <w:rsid w:val="002A534A"/>
  </w:style>
  <w:style w:type="paragraph" w:styleId="CommentSubject">
    <w:name w:val="annotation subject"/>
    <w:basedOn w:val="CommentText"/>
    <w:next w:val="CommentText"/>
    <w:link w:val="CommentSubjectChar"/>
    <w:rsid w:val="002A534A"/>
    <w:rPr>
      <w:b/>
      <w:bCs/>
    </w:rPr>
  </w:style>
  <w:style w:type="character" w:customStyle="1" w:styleId="CommentSubjectChar">
    <w:name w:val="Comment Subject Char"/>
    <w:link w:val="CommentSubject"/>
    <w:rsid w:val="002A534A"/>
    <w:rPr>
      <w:b/>
      <w:bCs/>
    </w:rPr>
  </w:style>
  <w:style w:type="paragraph" w:customStyle="1" w:styleId="CM13">
    <w:name w:val="CM13"/>
    <w:basedOn w:val="Default"/>
    <w:next w:val="Default"/>
    <w:uiPriority w:val="99"/>
    <w:rsid w:val="00846ACF"/>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sz w:val="18"/>
    </w:rPr>
  </w:style>
  <w:style w:type="paragraph" w:styleId="Heading2">
    <w:name w:val="heading 2"/>
    <w:basedOn w:val="Normal"/>
    <w:next w:val="Normal"/>
    <w:qFormat/>
    <w:pPr>
      <w:keepNext/>
      <w:keepLines/>
      <w:tabs>
        <w:tab w:val="left" w:pos="0"/>
        <w:tab w:val="left" w:pos="360"/>
      </w:tabs>
      <w:spacing w:after="80"/>
      <w:ind w:left="360" w:hanging="360"/>
      <w:outlineLvl w:val="1"/>
    </w:pPr>
    <w:rPr>
      <w:noProof/>
      <w:sz w:val="24"/>
    </w:rPr>
  </w:style>
  <w:style w:type="paragraph" w:styleId="Heading3">
    <w:name w:val="heading 3"/>
    <w:basedOn w:val="Normal"/>
    <w:next w:val="Normal"/>
    <w:qFormat/>
    <w:pPr>
      <w:keepNext/>
      <w:keepLines/>
      <w:tabs>
        <w:tab w:val="left" w:pos="360"/>
      </w:tabs>
      <w:spacing w:after="80"/>
      <w:ind w:left="360" w:hanging="360"/>
      <w:outlineLvl w:val="2"/>
    </w:pPr>
    <w:rPr>
      <w:noProof/>
      <w:sz w:val="24"/>
      <w:u w:val="single"/>
    </w:rPr>
  </w:style>
  <w:style w:type="paragraph" w:styleId="Heading4">
    <w:name w:val="heading 4"/>
    <w:basedOn w:val="Normal"/>
    <w:next w:val="Normal"/>
    <w:qFormat/>
    <w:pPr>
      <w:keepNext/>
      <w:tabs>
        <w:tab w:val="left" w:pos="240"/>
      </w:tabs>
      <w:spacing w:after="40"/>
      <w:ind w:left="120" w:right="-120"/>
      <w:outlineLvl w:val="3"/>
    </w:pPr>
    <w:rPr>
      <w:rFonts w:ascii="Helvetica" w:hAnsi="Helvetica"/>
      <w:b/>
      <w:noProof/>
      <w:sz w:val="18"/>
    </w:rPr>
  </w:style>
  <w:style w:type="paragraph" w:styleId="Heading5">
    <w:name w:val="heading 5"/>
    <w:basedOn w:val="Normal"/>
    <w:next w:val="Normal"/>
    <w:qFormat/>
    <w:pPr>
      <w:keepNext/>
      <w:tabs>
        <w:tab w:val="left" w:pos="360"/>
      </w:tabs>
      <w:jc w:val="center"/>
      <w:outlineLvl w:val="4"/>
    </w:pPr>
    <w:rPr>
      <w:b/>
      <w:bCs/>
      <w:sz w:val="24"/>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tabs>
        <w:tab w:val="left" w:pos="360"/>
      </w:tabs>
      <w:ind w:left="720" w:hanging="360"/>
      <w:outlineLvl w:val="6"/>
    </w:pPr>
    <w:rPr>
      <w:noProof/>
      <w:sz w:val="24"/>
      <w:u w:val="single"/>
    </w:rPr>
  </w:style>
  <w:style w:type="paragraph" w:styleId="Heading8">
    <w:name w:val="heading 8"/>
    <w:basedOn w:val="Normal"/>
    <w:next w:val="Normal"/>
    <w:qFormat/>
    <w:pPr>
      <w:keepNext/>
      <w:tabs>
        <w:tab w:val="left" w:pos="360"/>
      </w:tabs>
      <w:outlineLvl w:val="7"/>
    </w:pPr>
    <w:rPr>
      <w:b/>
      <w:bCs/>
      <w:sz w:val="24"/>
    </w:rPr>
  </w:style>
  <w:style w:type="paragraph" w:styleId="Heading9">
    <w:name w:val="heading 9"/>
    <w:basedOn w:val="Normal"/>
    <w:next w:val="Normal"/>
    <w:qFormat/>
    <w:pPr>
      <w:keepNext/>
      <w:keepLines/>
      <w:tabs>
        <w:tab w:val="left" w:pos="360"/>
      </w:tabs>
      <w:ind w:left="720"/>
      <w:outlineLvl w:val="8"/>
    </w:pPr>
    <w:rPr>
      <w:b/>
      <w:bCs/>
      <w:sz w:val="22"/>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Helvetica" w:hAnsi="Helvetica"/>
      <w:b/>
      <w:sz w:val="28"/>
    </w:rPr>
  </w:style>
  <w:style w:type="paragraph" w:styleId="BodyTextIndent">
    <w:name w:val="Body Text Indent"/>
    <w:basedOn w:val="Normal"/>
    <w:pPr>
      <w:tabs>
        <w:tab w:val="left" w:pos="360"/>
      </w:tabs>
      <w:ind w:left="360"/>
    </w:pPr>
    <w:rPr>
      <w:noProof/>
      <w:sz w:val="24"/>
    </w:rPr>
  </w:style>
  <w:style w:type="character" w:styleId="Strong">
    <w:name w:val="Strong"/>
    <w:qFormat/>
    <w:rPr>
      <w:b/>
      <w:bCs/>
    </w:rPr>
  </w:style>
  <w:style w:type="paragraph" w:styleId="BlockText">
    <w:name w:val="Block Text"/>
    <w:basedOn w:val="Normal"/>
    <w:pPr>
      <w:spacing w:after="40"/>
      <w:ind w:left="120" w:right="-120"/>
    </w:pPr>
    <w:rPr>
      <w:rFonts w:ascii="Helvetica" w:hAnsi="Helvetica"/>
      <w:noProof/>
      <w:color w:val="000000"/>
      <w:sz w:val="18"/>
    </w:rPr>
  </w:style>
  <w:style w:type="paragraph" w:styleId="BodyText">
    <w:name w:val="Body Text"/>
    <w:basedOn w:val="Normal"/>
    <w:pPr>
      <w:keepLines/>
      <w:tabs>
        <w:tab w:val="left" w:pos="360"/>
      </w:tabs>
      <w:spacing w:after="80"/>
    </w:pPr>
    <w:rPr>
      <w:sz w:val="24"/>
    </w:rPr>
  </w:style>
  <w:style w:type="paragraph" w:styleId="BodyTextIndent2">
    <w:name w:val="Body Text Indent 2"/>
    <w:basedOn w:val="Normal"/>
    <w:pPr>
      <w:tabs>
        <w:tab w:val="left" w:pos="360"/>
      </w:tabs>
      <w:ind w:left="336"/>
    </w:pPr>
    <w:rPr>
      <w:sz w:val="18"/>
    </w:rPr>
  </w:style>
  <w:style w:type="paragraph" w:styleId="BodyTextIndent3">
    <w:name w:val="Body Text Indent 3"/>
    <w:basedOn w:val="Normal"/>
    <w:pPr>
      <w:ind w:left="270" w:hanging="270"/>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rsid w:val="00EF4B49"/>
    <w:rPr>
      <w:rFonts w:ascii="Courier New" w:hAnsi="Courier New" w:cs="Courier New"/>
    </w:rPr>
  </w:style>
  <w:style w:type="paragraph" w:styleId="BalloonText">
    <w:name w:val="Balloon Text"/>
    <w:basedOn w:val="Normal"/>
    <w:link w:val="BalloonTextChar"/>
    <w:rsid w:val="00DD17F5"/>
    <w:rPr>
      <w:rFonts w:ascii="Tahoma" w:hAnsi="Tahoma"/>
      <w:sz w:val="16"/>
      <w:szCs w:val="16"/>
    </w:rPr>
  </w:style>
  <w:style w:type="character" w:customStyle="1" w:styleId="BalloonTextChar">
    <w:name w:val="Balloon Text Char"/>
    <w:link w:val="BalloonText"/>
    <w:rsid w:val="00DD17F5"/>
    <w:rPr>
      <w:rFonts w:ascii="Tahoma" w:hAnsi="Tahoma" w:cs="Tahoma"/>
      <w:sz w:val="16"/>
      <w:szCs w:val="16"/>
    </w:rPr>
  </w:style>
  <w:style w:type="paragraph" w:styleId="FootnoteText">
    <w:name w:val="footnote text"/>
    <w:aliases w:val="Footnote Text Char1,Footnote Text Char Char"/>
    <w:basedOn w:val="Normal"/>
    <w:link w:val="FootnoteTextChar"/>
    <w:uiPriority w:val="99"/>
    <w:rsid w:val="005140BA"/>
    <w:pPr>
      <w:overflowPunct/>
      <w:autoSpaceDE/>
      <w:autoSpaceDN/>
      <w:adjustRightInd/>
      <w:textAlignment w:val="auto"/>
    </w:pPr>
  </w:style>
  <w:style w:type="character" w:customStyle="1" w:styleId="FootnoteTextChar">
    <w:name w:val="Footnote Text Char"/>
    <w:aliases w:val="Footnote Text Char1 Char,Footnote Text Char Char Char"/>
    <w:basedOn w:val="DefaultParagraphFont"/>
    <w:link w:val="FootnoteText"/>
    <w:uiPriority w:val="99"/>
    <w:rsid w:val="005140BA"/>
  </w:style>
  <w:style w:type="character" w:styleId="FootnoteReference">
    <w:name w:val="footnote reference"/>
    <w:uiPriority w:val="99"/>
    <w:rsid w:val="005140BA"/>
    <w:rPr>
      <w:vertAlign w:val="superscript"/>
    </w:rPr>
  </w:style>
  <w:style w:type="character" w:customStyle="1" w:styleId="HeaderChar">
    <w:name w:val="Header Char"/>
    <w:basedOn w:val="DefaultParagraphFont"/>
    <w:link w:val="Header"/>
    <w:uiPriority w:val="99"/>
    <w:rsid w:val="005B349C"/>
  </w:style>
  <w:style w:type="paragraph" w:customStyle="1" w:styleId="Default">
    <w:name w:val="Default"/>
    <w:rsid w:val="00C315AC"/>
    <w:pPr>
      <w:widowControl w:val="0"/>
      <w:autoSpaceDE w:val="0"/>
      <w:autoSpaceDN w:val="0"/>
      <w:adjustRightInd w:val="0"/>
    </w:pPr>
    <w:rPr>
      <w:color w:val="000000"/>
      <w:sz w:val="24"/>
      <w:szCs w:val="24"/>
    </w:rPr>
  </w:style>
  <w:style w:type="paragraph" w:customStyle="1" w:styleId="CM12">
    <w:name w:val="CM12"/>
    <w:basedOn w:val="Default"/>
    <w:next w:val="Default"/>
    <w:uiPriority w:val="99"/>
    <w:rsid w:val="00C315AC"/>
    <w:rPr>
      <w:color w:val="auto"/>
    </w:rPr>
  </w:style>
  <w:style w:type="paragraph" w:styleId="ListParagraph">
    <w:name w:val="List Paragraph"/>
    <w:basedOn w:val="Normal"/>
    <w:uiPriority w:val="34"/>
    <w:qFormat/>
    <w:rsid w:val="00DB229D"/>
    <w:pPr>
      <w:ind w:left="720"/>
    </w:pPr>
  </w:style>
  <w:style w:type="character" w:styleId="CommentReference">
    <w:name w:val="annotation reference"/>
    <w:rsid w:val="002A534A"/>
    <w:rPr>
      <w:sz w:val="16"/>
      <w:szCs w:val="16"/>
    </w:rPr>
  </w:style>
  <w:style w:type="paragraph" w:styleId="CommentText">
    <w:name w:val="annotation text"/>
    <w:basedOn w:val="Normal"/>
    <w:link w:val="CommentTextChar"/>
    <w:rsid w:val="002A534A"/>
  </w:style>
  <w:style w:type="character" w:customStyle="1" w:styleId="CommentTextChar">
    <w:name w:val="Comment Text Char"/>
    <w:basedOn w:val="DefaultParagraphFont"/>
    <w:link w:val="CommentText"/>
    <w:rsid w:val="002A534A"/>
  </w:style>
  <w:style w:type="paragraph" w:styleId="CommentSubject">
    <w:name w:val="annotation subject"/>
    <w:basedOn w:val="CommentText"/>
    <w:next w:val="CommentText"/>
    <w:link w:val="CommentSubjectChar"/>
    <w:rsid w:val="002A534A"/>
    <w:rPr>
      <w:b/>
      <w:bCs/>
    </w:rPr>
  </w:style>
  <w:style w:type="character" w:customStyle="1" w:styleId="CommentSubjectChar">
    <w:name w:val="Comment Subject Char"/>
    <w:link w:val="CommentSubject"/>
    <w:rsid w:val="002A534A"/>
    <w:rPr>
      <w:b/>
      <w:bCs/>
    </w:rPr>
  </w:style>
  <w:style w:type="paragraph" w:customStyle="1" w:styleId="CM13">
    <w:name w:val="CM13"/>
    <w:basedOn w:val="Default"/>
    <w:next w:val="Default"/>
    <w:uiPriority w:val="99"/>
    <w:rsid w:val="00846AC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00072">
      <w:bodyDiv w:val="1"/>
      <w:marLeft w:val="0"/>
      <w:marRight w:val="0"/>
      <w:marTop w:val="0"/>
      <w:marBottom w:val="0"/>
      <w:divBdr>
        <w:top w:val="none" w:sz="0" w:space="0" w:color="auto"/>
        <w:left w:val="none" w:sz="0" w:space="0" w:color="auto"/>
        <w:bottom w:val="none" w:sz="0" w:space="0" w:color="auto"/>
        <w:right w:val="none" w:sz="0" w:space="0" w:color="auto"/>
      </w:divBdr>
    </w:div>
    <w:div w:id="1914317974">
      <w:bodyDiv w:val="1"/>
      <w:marLeft w:val="0"/>
      <w:marRight w:val="0"/>
      <w:marTop w:val="0"/>
      <w:marBottom w:val="0"/>
      <w:divBdr>
        <w:top w:val="none" w:sz="0" w:space="0" w:color="auto"/>
        <w:left w:val="none" w:sz="0" w:space="0" w:color="auto"/>
        <w:bottom w:val="none" w:sz="0" w:space="0" w:color="auto"/>
        <w:right w:val="none" w:sz="0" w:space="0" w:color="auto"/>
      </w:divBdr>
    </w:div>
    <w:div w:id="196438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368508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4F43-82AF-433F-83A4-EF1EB680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~3685087</Template>
  <TotalTime>0</TotalTime>
  <Pages>7</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D. McCullough - TSB</dc:creator>
  <cp:lastModifiedBy>Reference</cp:lastModifiedBy>
  <cp:revision>2</cp:revision>
  <cp:lastPrinted>2011-10-17T14:31:00Z</cp:lastPrinted>
  <dcterms:created xsi:type="dcterms:W3CDTF">2011-12-02T16:34:00Z</dcterms:created>
  <dcterms:modified xsi:type="dcterms:W3CDTF">2011-12-02T16:34:00Z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gFAAXJDLFUo5N7sTcZCERV3dRiO3odeAxXSLY2So+d4mKpKXqLyIxqr2mw9z41kw4//uDH2wVDSxFhAc
D7mNfOyLmI29XTPy6vG8iwbf1ws5Yxd2iALJLEK/UWWohgPqL4QvPaTBmdH0y+gazH0Nce1VFNHL
6YsaAgBNd6E8t9DObMuiT3upc4RE2z4VtBKL3q/JLkAV68l4iSVSxFeW1jwrRstUgFtuLTUsnrWf
2Tlph7ZHRlctW5eXZ</vt:lpwstr>
  </property>
  <property fmtid="{D5CDD505-2E9C-101B-9397-08002B2CF9AE}" pid="4" name="MAIL_MSG_ID2">
    <vt:lpwstr>5N39sIG5Lx0vsfvKa+Er7JV1uDy9DLfiGhYNMa6BJm6dF8Y2ymY3+j+w6pe
iYqsa+wlz1JcWQd6XOsgQGWtpwU5HB9FvH9mHw==</vt:lpwstr>
  </property>
  <property fmtid="{D5CDD505-2E9C-101B-9397-08002B2CF9AE}" pid="5" name="RESPONSE_SENDER_NAME">
    <vt:lpwstr>sAAAb0xRtPDW5UtKBEMd58PsEHExJIV9oT6Z3gaglZWvOXU=</vt:lpwstr>
  </property>
  <property fmtid="{D5CDD505-2E9C-101B-9397-08002B2CF9AE}" pid="6" name="EMAIL_OWNER_ADDRESS">
    <vt:lpwstr>4AAA4Lxe55UJ0C+qv/A3Qyj8uOyGUEhQDQ45i+OjI1ZefESoRfRLZbrXxQ==</vt:lpwstr>
  </property>
</Properties>
</file>