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29" w:rsidRPr="00461689" w:rsidRDefault="00C53B29" w:rsidP="00DF5884">
      <w:pPr>
        <w:pStyle w:val="Default"/>
        <w:jc w:val="center"/>
        <w:rPr>
          <w:b/>
          <w:bCs/>
        </w:rPr>
      </w:pPr>
      <w:r w:rsidRPr="00461689">
        <w:rPr>
          <w:b/>
          <w:bCs/>
        </w:rPr>
        <w:t>SUPPORTING STATEMEN</w:t>
      </w:r>
      <w:r w:rsidRPr="00461689">
        <w:t xml:space="preserve">T </w:t>
      </w:r>
      <w:r w:rsidRPr="00461689">
        <w:br/>
      </w:r>
      <w:r w:rsidRPr="00461689">
        <w:rPr>
          <w:b/>
          <w:bCs/>
        </w:rPr>
        <w:t>NATIONAL SALTWATER ANGLER AND</w:t>
      </w:r>
      <w:r w:rsidR="00AC6857" w:rsidRPr="00461689">
        <w:rPr>
          <w:b/>
          <w:bCs/>
        </w:rPr>
        <w:t xml:space="preserve"> </w:t>
      </w:r>
      <w:r w:rsidRPr="00461689">
        <w:rPr>
          <w:b/>
          <w:bCs/>
        </w:rPr>
        <w:t>STATE EXEMPTION PROGRAM</w:t>
      </w:r>
    </w:p>
    <w:p w:rsidR="00C53B29" w:rsidRDefault="00C53B29" w:rsidP="00DF5884">
      <w:pPr>
        <w:pStyle w:val="Default"/>
        <w:jc w:val="center"/>
        <w:rPr>
          <w:b/>
          <w:bCs/>
        </w:rPr>
      </w:pPr>
      <w:proofErr w:type="gramStart"/>
      <w:r w:rsidRPr="00461689">
        <w:rPr>
          <w:b/>
          <w:bCs/>
        </w:rPr>
        <w:t>OMB CONTROL NO.</w:t>
      </w:r>
      <w:proofErr w:type="gramEnd"/>
      <w:r w:rsidR="00AC6857" w:rsidRPr="00461689">
        <w:rPr>
          <w:b/>
          <w:bCs/>
        </w:rPr>
        <w:t xml:space="preserve"> </w:t>
      </w:r>
      <w:r w:rsidRPr="00461689">
        <w:rPr>
          <w:b/>
          <w:bCs/>
        </w:rPr>
        <w:t>0648-</w:t>
      </w:r>
      <w:r w:rsidR="00FE1DBB">
        <w:rPr>
          <w:b/>
          <w:bCs/>
        </w:rPr>
        <w:t>0578</w:t>
      </w:r>
    </w:p>
    <w:p w:rsidR="002806EF" w:rsidRPr="00461689" w:rsidRDefault="002806EF" w:rsidP="00DF5884">
      <w:pPr>
        <w:pStyle w:val="Default"/>
        <w:jc w:val="center"/>
        <w:rPr>
          <w:b/>
          <w:bCs/>
        </w:rPr>
      </w:pPr>
    </w:p>
    <w:p w:rsidR="00C53B29" w:rsidRPr="00461689" w:rsidRDefault="00C53B29" w:rsidP="00DF5884">
      <w:pPr>
        <w:pStyle w:val="Default"/>
        <w:jc w:val="center"/>
        <w:rPr>
          <w:color w:val="auto"/>
        </w:rPr>
      </w:pPr>
    </w:p>
    <w:p w:rsidR="00C53B29" w:rsidRPr="00461689" w:rsidRDefault="00C53B29" w:rsidP="00DF5884">
      <w:pPr>
        <w:pStyle w:val="CM23"/>
        <w:spacing w:after="0"/>
      </w:pPr>
      <w:r w:rsidRPr="00461689">
        <w:rPr>
          <w:b/>
          <w:bCs/>
        </w:rPr>
        <w:t xml:space="preserve">A. </w:t>
      </w:r>
      <w:r w:rsidR="000C155B">
        <w:rPr>
          <w:b/>
          <w:bCs/>
        </w:rPr>
        <w:t xml:space="preserve">      </w:t>
      </w:r>
      <w:r w:rsidRPr="00461689">
        <w:rPr>
          <w:b/>
          <w:bCs/>
        </w:rPr>
        <w:t xml:space="preserve">JUSTIFICATION </w:t>
      </w:r>
    </w:p>
    <w:p w:rsidR="00461689" w:rsidRPr="0053486E" w:rsidRDefault="00461689" w:rsidP="00DF5884">
      <w:pPr>
        <w:pStyle w:val="CM23"/>
        <w:spacing w:after="0"/>
        <w:rPr>
          <w:bCs/>
        </w:rPr>
      </w:pPr>
    </w:p>
    <w:p w:rsidR="00C53B29" w:rsidRPr="00461689" w:rsidRDefault="00C53B29" w:rsidP="00DF5884">
      <w:pPr>
        <w:pStyle w:val="CM23"/>
        <w:spacing w:after="0"/>
      </w:pPr>
      <w:r w:rsidRPr="00461689">
        <w:rPr>
          <w:b/>
          <w:bCs/>
        </w:rPr>
        <w:t>1.</w:t>
      </w:r>
      <w:r w:rsidR="000C155B">
        <w:rPr>
          <w:b/>
          <w:bCs/>
        </w:rPr>
        <w:t xml:space="preserve"> </w:t>
      </w:r>
      <w:r w:rsidRPr="00461689">
        <w:rPr>
          <w:b/>
          <w:bCs/>
        </w:rPr>
        <w:t xml:space="preserve"> </w:t>
      </w:r>
      <w:r w:rsidRPr="00461689">
        <w:rPr>
          <w:b/>
          <w:bCs/>
          <w:u w:val="single"/>
        </w:rPr>
        <w:t>Explain the circumstances that make the collection of information necessary</w:t>
      </w:r>
      <w:r w:rsidRPr="000C155B">
        <w:rPr>
          <w:b/>
          <w:bCs/>
        </w:rPr>
        <w:t>.</w:t>
      </w:r>
      <w:r w:rsidRPr="00461689">
        <w:rPr>
          <w:b/>
          <w:bCs/>
          <w:u w:val="single"/>
        </w:rPr>
        <w:t xml:space="preserve"> </w:t>
      </w:r>
      <w:r w:rsidRPr="00461689">
        <w:t xml:space="preserve"> </w:t>
      </w:r>
    </w:p>
    <w:p w:rsidR="00C53B29" w:rsidRPr="00461689" w:rsidRDefault="00C53B29" w:rsidP="00DF5884"/>
    <w:p w:rsidR="00811187" w:rsidRDefault="00811187" w:rsidP="00ED225C">
      <w:pPr>
        <w:pStyle w:val="g"/>
        <w:widowControl w:val="0"/>
        <w:spacing w:before="0" w:after="0"/>
      </w:pPr>
      <w:r>
        <w:t xml:space="preserve">This request is for a revision and extension of this information collection. There is a program change: a $15 registration fee. </w:t>
      </w:r>
    </w:p>
    <w:p w:rsidR="00811187" w:rsidRDefault="00811187" w:rsidP="00ED225C">
      <w:pPr>
        <w:pStyle w:val="g"/>
        <w:widowControl w:val="0"/>
        <w:spacing w:before="0" w:after="0"/>
      </w:pPr>
    </w:p>
    <w:p w:rsidR="00C53B29" w:rsidRPr="0053486E" w:rsidRDefault="00C53B29" w:rsidP="00ED225C">
      <w:pPr>
        <w:pStyle w:val="g"/>
        <w:widowControl w:val="0"/>
        <w:spacing w:before="0" w:after="0"/>
      </w:pPr>
      <w:r w:rsidRPr="00461689">
        <w:t xml:space="preserve">The National Saltwater Angler Registry and State Exemption Program (Registry Program) has been established to implement recommendations included in the review of national saltwater angling data collection programs conducted by </w:t>
      </w:r>
      <w:r w:rsidR="00475A9E">
        <w:t>the National Research Council (</w:t>
      </w:r>
      <w:r w:rsidRPr="00461689">
        <w:t>NRC) in 2005/</w:t>
      </w:r>
      <w:r w:rsidR="00475A9E">
        <w:t>200</w:t>
      </w:r>
      <w:r w:rsidRPr="00461689">
        <w:t xml:space="preserve">6, and the provisions of the Magnuson-Stevens Reauthorization Act, codified at Section </w:t>
      </w:r>
      <w:r w:rsidRPr="00CE245D">
        <w:t xml:space="preserve">401(g) of the </w:t>
      </w:r>
      <w:hyperlink r:id="rId7" w:history="1">
        <w:r w:rsidRPr="002B149B">
          <w:rPr>
            <w:rStyle w:val="Hyperlink"/>
            <w:color w:val="0033CC"/>
          </w:rPr>
          <w:t>Magnuson-Stevens Fishery Co</w:t>
        </w:r>
        <w:r w:rsidR="00475A9E" w:rsidRPr="002B149B">
          <w:rPr>
            <w:rStyle w:val="Hyperlink"/>
            <w:color w:val="0033CC"/>
          </w:rPr>
          <w:t>nservation and Management Act</w:t>
        </w:r>
      </w:hyperlink>
      <w:r w:rsidR="00475A9E">
        <w:t xml:space="preserve"> (</w:t>
      </w:r>
      <w:r w:rsidRPr="00461689">
        <w:t>MSA), which require</w:t>
      </w:r>
      <w:r w:rsidR="005F48E1">
        <w:t>s</w:t>
      </w:r>
      <w:r w:rsidRPr="00461689">
        <w:t xml:space="preserve"> the Secretary of Commerce to </w:t>
      </w:r>
      <w:r w:rsidR="0053486E">
        <w:t xml:space="preserve">establish a program to </w:t>
      </w:r>
      <w:r w:rsidRPr="00461689">
        <w:t xml:space="preserve"> improve recreational fisheries surveys, including establishing a national saltwater angler and for-hire vessel registry, by January 1, 2009.   A </w:t>
      </w:r>
      <w:r w:rsidR="0053486E">
        <w:t xml:space="preserve">final </w:t>
      </w:r>
      <w:r w:rsidRPr="00461689">
        <w:t>rule to adopt regulatory measures to implement the Registry Program (</w:t>
      </w:r>
      <w:bookmarkStart w:id="0" w:name="OLE_LINK3"/>
      <w:bookmarkStart w:id="1" w:name="OLE_LINK4"/>
      <w:r w:rsidR="00ED225C">
        <w:t>Regulation Identifier Number (RIN</w:t>
      </w:r>
      <w:bookmarkStart w:id="2" w:name="OLE_LINK1"/>
      <w:bookmarkStart w:id="3" w:name="OLE_LINK2"/>
      <w:bookmarkEnd w:id="0"/>
      <w:bookmarkEnd w:id="1"/>
      <w:r w:rsidR="00CE245D" w:rsidRPr="00CE245D">
        <w:t xml:space="preserve">) </w:t>
      </w:r>
      <w:r w:rsidR="00CE245D" w:rsidRPr="00F8650C">
        <w:t>0648</w:t>
      </w:r>
      <w:r w:rsidRPr="00F8650C">
        <w:t>-AW10</w:t>
      </w:r>
      <w:bookmarkEnd w:id="2"/>
      <w:bookmarkEnd w:id="3"/>
      <w:r w:rsidRPr="00F8650C">
        <w:t xml:space="preserve">) </w:t>
      </w:r>
      <w:r w:rsidR="0053486E">
        <w:t>was</w:t>
      </w:r>
      <w:r w:rsidRPr="00F8650C">
        <w:t xml:space="preserve"> published in the </w:t>
      </w:r>
      <w:r w:rsidRPr="00CE245D">
        <w:rPr>
          <w:u w:val="single"/>
        </w:rPr>
        <w:t xml:space="preserve">Federal </w:t>
      </w:r>
      <w:r w:rsidRPr="0053486E">
        <w:rPr>
          <w:u w:val="single"/>
        </w:rPr>
        <w:t>Register</w:t>
      </w:r>
      <w:r w:rsidR="0053486E">
        <w:t xml:space="preserve"> </w:t>
      </w:r>
      <w:r w:rsidR="0053486E" w:rsidRPr="0053486E">
        <w:t>on December 30, 200</w:t>
      </w:r>
      <w:r w:rsidR="00730542">
        <w:t>8</w:t>
      </w:r>
      <w:r w:rsidR="0053486E" w:rsidRPr="0053486E">
        <w:t xml:space="preserve">, and </w:t>
      </w:r>
      <w:r w:rsidR="0053486E">
        <w:t>became</w:t>
      </w:r>
      <w:r w:rsidR="0053486E" w:rsidRPr="0053486E">
        <w:t xml:space="preserve"> effective </w:t>
      </w:r>
      <w:r w:rsidR="0053486E">
        <w:t xml:space="preserve">on </w:t>
      </w:r>
      <w:r w:rsidR="0053486E" w:rsidRPr="0053486E">
        <w:t>January 29, 20</w:t>
      </w:r>
      <w:r w:rsidR="00730542">
        <w:t>09</w:t>
      </w:r>
      <w:r w:rsidR="0053486E">
        <w:t xml:space="preserve"> (</w:t>
      </w:r>
      <w:hyperlink r:id="rId8" w:history="1">
        <w:r w:rsidR="0053486E" w:rsidRPr="002B149B">
          <w:rPr>
            <w:rStyle w:val="Hyperlink"/>
            <w:color w:val="0033CC"/>
          </w:rPr>
          <w:t>50 CFR 600, Subpart P</w:t>
        </w:r>
      </w:hyperlink>
      <w:r w:rsidR="0053486E">
        <w:t xml:space="preserve">).  </w:t>
      </w:r>
    </w:p>
    <w:p w:rsidR="00C53B29" w:rsidRPr="00461689" w:rsidRDefault="00C53B29" w:rsidP="00DF5884"/>
    <w:p w:rsidR="00C53B29" w:rsidRPr="00461689" w:rsidRDefault="00C53B29" w:rsidP="00DF5884">
      <w:r w:rsidRPr="00461689">
        <w:t xml:space="preserve">The NRC review found that current recreational survey approaches, which rely on random contacts with residents of coastal county households to collect marine recreational fishing effort data, result in significant survey over-coverage since relatively few households contain active anglers, and under-coverage since some anglers do not live in coastal counties or they live in coastal counties but do not have landline telephones.  The review advised that over-coverage results in severe sampling </w:t>
      </w:r>
      <w:r w:rsidR="00475A9E" w:rsidRPr="00461689">
        <w:t>inefficiency</w:t>
      </w:r>
      <w:r w:rsidRPr="00461689">
        <w:t xml:space="preserve"> and that under-coverage may lead to serious bias in the resultant effort estimates since anglers from non-coastal counties are likely to have different effort characteristics than those from coastal counties.  To resolve these problems, the NRC Panel recommended the development of and subsequent sampling from a comprehensive national saltwater angler registry.  Such a sampling frame could be developed either by implementing a federal registration requirement or by expanding current state saltwater licenses to include all saltwater anglers</w:t>
      </w:r>
    </w:p>
    <w:p w:rsidR="00C53B29" w:rsidRPr="00461689" w:rsidRDefault="00C53B29" w:rsidP="00DF5884"/>
    <w:p w:rsidR="00C53B29" w:rsidRPr="00461689" w:rsidRDefault="00C53B29" w:rsidP="00153683">
      <w:pPr>
        <w:pStyle w:val="g"/>
        <w:widowControl w:val="0"/>
        <w:spacing w:before="0" w:after="0"/>
      </w:pPr>
      <w:r w:rsidRPr="00461689">
        <w:t xml:space="preserve">In response to the NRC Panel’s findings and recommendations, Congress passed </w:t>
      </w:r>
      <w:hyperlink r:id="rId9" w:history="1">
        <w:r w:rsidRPr="005A38F1">
          <w:rPr>
            <w:rStyle w:val="Hyperlink"/>
            <w:color w:val="auto"/>
          </w:rPr>
          <w:t>MSA</w:t>
        </w:r>
      </w:hyperlink>
      <w:r w:rsidRPr="00461689">
        <w:t xml:space="preserve"> §401(g), which mandates the Secretary of Commerce to establish a program to: 1) improve the quality and accuracy of current estimates of marine recreational fishing catch and effort, 2) to do so in a manner that considers and, to the extent feasible, incorporates the NRC Panel’s recommendations, and 3) to </w:t>
      </w:r>
      <w:r w:rsidR="00730542">
        <w:t>establish</w:t>
      </w:r>
      <w:r w:rsidRPr="00461689">
        <w:t xml:space="preserve"> the program by January 1, 2009.   As part of the program, MSA §401(g)(1) requires the Secretary to implement a federal requirement for anglers and for-hire vessels to register, and to provide identification and contact information, if they fish in the </w:t>
      </w:r>
      <w:r w:rsidR="00153683" w:rsidRPr="002F256C">
        <w:t>Exclusive Economic Zone (EEZ)</w:t>
      </w:r>
      <w:r w:rsidRPr="00461689">
        <w:t xml:space="preserve">, for Continental Shelf Resources beyond the EEZ or for </w:t>
      </w:r>
      <w:proofErr w:type="spellStart"/>
      <w:r w:rsidRPr="00461689">
        <w:t>anadromous</w:t>
      </w:r>
      <w:proofErr w:type="spellEnd"/>
      <w:r w:rsidRPr="00461689">
        <w:t xml:space="preserve"> fish (i.e. those fish such as salmon, sturgeon, striped bass and shad which migrate from ocean and coastal waters to estuaries and freshwater rivers to spawn) in any waters.  Further, the Secretary is to exempt from the federal registration requirement those anglers and vessels that are licensed or registered by a state if the state provides sufficient identification and </w:t>
      </w:r>
      <w:r w:rsidRPr="00461689">
        <w:lastRenderedPageBreak/>
        <w:t xml:space="preserve">contact information for use in recreational surveys.  The resultant federal Registry Program must address both the qualifications and procedures for exempting qualified states’ anglers and vessels from the federal registration requirement and the process for federal registration of anglers and vessels that are not exempted. </w:t>
      </w:r>
    </w:p>
    <w:p w:rsidR="00C53B29" w:rsidRPr="00461689" w:rsidRDefault="00C53B29" w:rsidP="00DF5884"/>
    <w:p w:rsidR="00C53B29" w:rsidRPr="00461689" w:rsidRDefault="00C53B29" w:rsidP="00DF5884">
      <w:r w:rsidRPr="00461689">
        <w:t>Accordi</w:t>
      </w:r>
      <w:r w:rsidR="002A168E">
        <w:t xml:space="preserve">ngly, the Registry Program </w:t>
      </w:r>
      <w:r w:rsidRPr="00461689">
        <w:t>collect</w:t>
      </w:r>
      <w:r w:rsidR="002A168E">
        <w:t>s</w:t>
      </w:r>
      <w:r w:rsidRPr="00461689">
        <w:t xml:space="preserve"> identification and contact information from those anglers and for-hire vessels who are involved in recreational fishing in the US EEZ or for </w:t>
      </w:r>
      <w:proofErr w:type="spellStart"/>
      <w:r w:rsidRPr="00461689">
        <w:t>anadromous</w:t>
      </w:r>
      <w:proofErr w:type="spellEnd"/>
      <w:r w:rsidRPr="00461689">
        <w:t xml:space="preserve"> fish in any waters, unless the a</w:t>
      </w:r>
      <w:r w:rsidR="005E7E04">
        <w:t xml:space="preserve">nglers or vessels are exempted </w:t>
      </w:r>
      <w:r w:rsidRPr="00461689">
        <w:t xml:space="preserve">from the registration requirement.  The data </w:t>
      </w:r>
      <w:r w:rsidR="0011016F">
        <w:t xml:space="preserve">collected </w:t>
      </w:r>
      <w:r w:rsidRPr="00461689">
        <w:t>include</w:t>
      </w:r>
      <w:r w:rsidR="0011016F">
        <w:t>s</w:t>
      </w:r>
      <w:r w:rsidRPr="00461689">
        <w:t>:  for anglers</w:t>
      </w:r>
      <w:r w:rsidR="000339AE">
        <w:t xml:space="preserve"> – </w:t>
      </w:r>
      <w:r w:rsidRPr="00461689">
        <w:t xml:space="preserve">name, address, </w:t>
      </w:r>
      <w:r w:rsidR="005A38F1">
        <w:t xml:space="preserve">date of birth, </w:t>
      </w:r>
      <w:r w:rsidRPr="00461689">
        <w:t>telephone contact information</w:t>
      </w:r>
      <w:r w:rsidR="007F752C">
        <w:t>, e-mail address</w:t>
      </w:r>
      <w:r w:rsidRPr="00461689">
        <w:t xml:space="preserve"> and region(s) of the country in which they fish; for for-hire vessels</w:t>
      </w:r>
      <w:r w:rsidR="000339AE">
        <w:t xml:space="preserve"> –</w:t>
      </w:r>
      <w:r w:rsidRPr="00461689">
        <w:t xml:space="preserve"> owner and operator name, address, </w:t>
      </w:r>
      <w:r w:rsidR="005A38F1">
        <w:t xml:space="preserve">date of birth, </w:t>
      </w:r>
      <w:r w:rsidRPr="00461689">
        <w:t xml:space="preserve">telephone contact information, </w:t>
      </w:r>
      <w:r w:rsidR="007F752C">
        <w:t xml:space="preserve">e-mail address, </w:t>
      </w:r>
      <w:r w:rsidRPr="00461689">
        <w:t xml:space="preserve">vessel name and registration/documentation number and  home port or primary operating area.  This information </w:t>
      </w:r>
      <w:r w:rsidR="002A168E">
        <w:t>is</w:t>
      </w:r>
      <w:r w:rsidRPr="00461689">
        <w:t xml:space="preserve"> compiled in a national and/or series of regional registries that </w:t>
      </w:r>
      <w:r w:rsidR="002A168E">
        <w:t>are</w:t>
      </w:r>
      <w:r w:rsidRPr="00461689">
        <w:t xml:space="preserve"> used to support surveys of recreational anglers and for-hire vessels to develop estimates of recreational angling effort.</w:t>
      </w:r>
    </w:p>
    <w:p w:rsidR="00C53B29" w:rsidRPr="00461689" w:rsidRDefault="00C53B29" w:rsidP="00DF5884"/>
    <w:p w:rsidR="00C53B29" w:rsidRPr="00461689" w:rsidRDefault="00C53B29" w:rsidP="00DF5884">
      <w:pPr>
        <w:pStyle w:val="CM23"/>
        <w:spacing w:after="0"/>
        <w:ind w:right="235"/>
        <w:rPr>
          <w:b/>
          <w:bCs/>
        </w:rPr>
      </w:pPr>
      <w:r w:rsidRPr="00461689">
        <w:rPr>
          <w:b/>
          <w:bCs/>
        </w:rPr>
        <w:t>2.</w:t>
      </w:r>
      <w:r w:rsidR="00153683">
        <w:rPr>
          <w:b/>
          <w:bCs/>
        </w:rPr>
        <w:t xml:space="preserve"> </w:t>
      </w:r>
      <w:r w:rsidRPr="00461689">
        <w:rPr>
          <w:b/>
          <w:bCs/>
        </w:rPr>
        <w:t xml:space="preserve"> </w:t>
      </w:r>
      <w:r w:rsidRPr="00461689">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461689">
        <w:rPr>
          <w:b/>
          <w:bCs/>
        </w:rPr>
        <w:t xml:space="preserve">. </w:t>
      </w:r>
    </w:p>
    <w:p w:rsidR="00C53B29" w:rsidRPr="00461689" w:rsidRDefault="00C53B29" w:rsidP="00DF5884">
      <w:pPr>
        <w:pStyle w:val="CM23"/>
        <w:spacing w:after="0"/>
        <w:ind w:right="533"/>
      </w:pPr>
    </w:p>
    <w:p w:rsidR="00C53B29" w:rsidRPr="00461689" w:rsidRDefault="00C53B29" w:rsidP="00DF5884">
      <w:pPr>
        <w:pStyle w:val="CM23"/>
        <w:spacing w:after="0"/>
        <w:ind w:right="533"/>
      </w:pPr>
      <w:r w:rsidRPr="00461689">
        <w:t xml:space="preserve">The data </w:t>
      </w:r>
      <w:r w:rsidR="002A168E">
        <w:t>are</w:t>
      </w:r>
      <w:r w:rsidRPr="00461689">
        <w:t xml:space="preserve"> used continuously by the </w:t>
      </w:r>
      <w:r w:rsidR="00153683" w:rsidRPr="00461689">
        <w:t>National Marine</w:t>
      </w:r>
      <w:r w:rsidRPr="00461689">
        <w:t xml:space="preserve"> Fisheries Service (NMFS), and those states and regional data collection partnerships that conduct surveys of marine recreational angling.  Anglers and for-hire vessels </w:t>
      </w:r>
      <w:r w:rsidR="002A168E">
        <w:t>are</w:t>
      </w:r>
      <w:r w:rsidRPr="00461689">
        <w:t xml:space="preserve"> randomly selected from the registries and asked to provide information about recent fishing activity.  The identification</w:t>
      </w:r>
      <w:r w:rsidR="005A38F1">
        <w:t>, date of birth</w:t>
      </w:r>
      <w:r w:rsidRPr="00461689">
        <w:t xml:space="preserve"> and address information in the registry data base </w:t>
      </w:r>
      <w:r w:rsidR="002A168E">
        <w:t>is</w:t>
      </w:r>
      <w:r w:rsidRPr="00461689">
        <w:t xml:space="preserve"> used to identify the resultant survey record, and to eliminate duplicative registrations that could bias resultant survey data.  The contact information in the registry data base </w:t>
      </w:r>
      <w:r w:rsidR="002A168E">
        <w:t>is</w:t>
      </w:r>
      <w:r w:rsidRPr="00461689">
        <w:t xml:space="preserve"> utilized to make actual telephone </w:t>
      </w:r>
      <w:r w:rsidR="00730542">
        <w:t xml:space="preserve">or mail </w:t>
      </w:r>
      <w:r w:rsidRPr="00461689">
        <w:t>contact for the purpose of interviewing the anglers and for-hire vessel operators.</w:t>
      </w:r>
    </w:p>
    <w:p w:rsidR="00C53B29" w:rsidRPr="00461689" w:rsidRDefault="00C53B29" w:rsidP="00DF5884">
      <w:pPr>
        <w:pStyle w:val="Default"/>
      </w:pPr>
    </w:p>
    <w:p w:rsidR="00C53B29" w:rsidRDefault="00C53B29" w:rsidP="00ED225C">
      <w:pPr>
        <w:pStyle w:val="g"/>
        <w:widowControl w:val="0"/>
        <w:spacing w:before="0" w:after="0"/>
      </w:pPr>
      <w:r w:rsidRPr="00461689">
        <w:t xml:space="preserve">These survey-based data collection methods are described in a separate information collection request for the Marine Recreational Fisheries Statistics Survey, which has been previously described and approved pursuant to </w:t>
      </w:r>
      <w:bookmarkStart w:id="4" w:name="OLE_LINK5"/>
      <w:bookmarkStart w:id="5" w:name="OLE_LINK6"/>
      <w:bookmarkStart w:id="6" w:name="OLE_LINK13"/>
      <w:r w:rsidR="00ED225C" w:rsidRPr="002F256C">
        <w:t>OMB</w:t>
      </w:r>
      <w:r w:rsidR="00ED225C">
        <w:t xml:space="preserve"> </w:t>
      </w:r>
      <w:bookmarkEnd w:id="4"/>
      <w:bookmarkEnd w:id="5"/>
      <w:bookmarkEnd w:id="6"/>
      <w:r w:rsidRPr="00461689">
        <w:t xml:space="preserve">Control </w:t>
      </w:r>
      <w:r w:rsidR="000339AE">
        <w:t>No. 0648</w:t>
      </w:r>
      <w:r w:rsidRPr="00461689">
        <w:t>-0052.</w:t>
      </w:r>
    </w:p>
    <w:p w:rsidR="00153683" w:rsidRPr="00461689" w:rsidRDefault="00153683" w:rsidP="00DF5884">
      <w:pPr>
        <w:pStyle w:val="Default"/>
      </w:pPr>
    </w:p>
    <w:p w:rsidR="00C53B29" w:rsidRPr="002B149B" w:rsidRDefault="00C53B29" w:rsidP="00D46407">
      <w:pPr>
        <w:pStyle w:val="Title1"/>
        <w:widowControl w:val="0"/>
        <w:spacing w:before="0" w:beforeAutospacing="0" w:after="0" w:afterAutospacing="0"/>
        <w:rPr>
          <w:color w:val="0033CC"/>
        </w:rPr>
      </w:pPr>
      <w:r w:rsidRPr="00461689">
        <w:t xml:space="preserve"> </w:t>
      </w:r>
      <w:r w:rsidR="005E7E04">
        <w:t xml:space="preserve">The </w:t>
      </w:r>
      <w:hyperlink w:tgtFrame="_blank" w:history="1">
        <w:r w:rsidR="00D46407" w:rsidRPr="00D46407">
          <w:rPr>
            <w:rStyle w:val="Hyperlink"/>
            <w:color w:val="000000"/>
          </w:rPr>
          <w:t>National Oceanic and Atmospheric Administration</w:t>
        </w:r>
      </w:hyperlink>
      <w:r w:rsidR="00D46407" w:rsidRPr="00D46407">
        <w:rPr>
          <w:color w:val="000000"/>
        </w:rPr>
        <w:t xml:space="preserve"> (NOAA), N</w:t>
      </w:r>
      <w:r w:rsidR="00D46407">
        <w:t>MFS</w:t>
      </w:r>
      <w:r w:rsidRPr="00461689">
        <w:t xml:space="preserve"> retain</w:t>
      </w:r>
      <w:r w:rsidR="002A168E">
        <w:t>s</w:t>
      </w:r>
      <w:r w:rsidRPr="00461689">
        <w:t xml:space="preserve"> control over the information and safeguard</w:t>
      </w:r>
      <w:r w:rsidR="002A168E">
        <w:t>s</w:t>
      </w:r>
      <w:r w:rsidRPr="00461689">
        <w:t xml:space="preserve"> it from improper access, modification, and destruction, consistent with NOAA standards for confidentiality, privacy, and electronic information.  See response </w:t>
      </w:r>
      <w:r w:rsidR="0024017C">
        <w:t xml:space="preserve">to Question </w:t>
      </w:r>
      <w:r w:rsidRPr="00461689">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rsidR="00271098" w:rsidRPr="00D46407">
        <w:rPr>
          <w:color w:val="000000"/>
        </w:rPr>
        <w:t>N</w:t>
      </w:r>
      <w:r w:rsidR="00271098">
        <w:t>MFS</w:t>
      </w:r>
      <w:r w:rsidR="00271098" w:rsidRPr="00461689">
        <w:t xml:space="preserve"> </w:t>
      </w:r>
      <w:r w:rsidRPr="00461689">
        <w:t xml:space="preserve">decide to disseminate the information, it will be subject to the quality control measures and pre-dissemination review pursuant to </w:t>
      </w:r>
      <w:hyperlink r:id="rId10" w:history="1">
        <w:r w:rsidRPr="002B149B">
          <w:rPr>
            <w:rStyle w:val="Hyperlink"/>
            <w:color w:val="0033CC"/>
          </w:rPr>
          <w:t>Section 515 of Public Law 106-554</w:t>
        </w:r>
      </w:hyperlink>
      <w:r w:rsidRPr="002B149B">
        <w:rPr>
          <w:color w:val="0033CC"/>
        </w:rPr>
        <w:t>.</w:t>
      </w:r>
    </w:p>
    <w:p w:rsidR="00C53B29" w:rsidRPr="00461689" w:rsidRDefault="00C53B29" w:rsidP="00DF5884">
      <w:pPr>
        <w:pStyle w:val="Default"/>
      </w:pPr>
    </w:p>
    <w:p w:rsidR="00C53B29" w:rsidRPr="00461689" w:rsidRDefault="00C53B29" w:rsidP="005E7E04">
      <w:pPr>
        <w:pStyle w:val="Default"/>
        <w:keepNext/>
        <w:widowControl/>
      </w:pPr>
      <w:r w:rsidRPr="00D46407">
        <w:rPr>
          <w:b/>
          <w:bCs/>
        </w:rPr>
        <w:lastRenderedPageBreak/>
        <w:t xml:space="preserve">3. </w:t>
      </w:r>
      <w:r w:rsidR="00D46407" w:rsidRPr="00D46407">
        <w:rPr>
          <w:b/>
          <w:bCs/>
        </w:rPr>
        <w:t xml:space="preserve"> </w:t>
      </w:r>
      <w:r w:rsidRPr="00461689">
        <w:rPr>
          <w:b/>
          <w:bCs/>
          <w:u w:val="single"/>
        </w:rPr>
        <w:t xml:space="preserve">Describe whether, and to what extent, the collection of information involves the use of automated, electronic, mechanical, or other technological techniques or other forms of information technology. </w:t>
      </w:r>
    </w:p>
    <w:p w:rsidR="00C53B29" w:rsidRPr="00461689" w:rsidRDefault="00C53B29" w:rsidP="005E7E04">
      <w:pPr>
        <w:pStyle w:val="Default"/>
        <w:keepNext/>
        <w:widowControl/>
      </w:pPr>
    </w:p>
    <w:p w:rsidR="00C53B29" w:rsidRDefault="00C53B29" w:rsidP="005E7E04">
      <w:pPr>
        <w:pStyle w:val="Default"/>
        <w:keepNext/>
        <w:widowControl/>
      </w:pPr>
      <w:r w:rsidRPr="00461689">
        <w:t xml:space="preserve">Registry information </w:t>
      </w:r>
      <w:r w:rsidR="002A168E">
        <w:t>is</w:t>
      </w:r>
      <w:r w:rsidRPr="00461689">
        <w:t xml:space="preserve"> collected electronically and by telephone.  Angler and for-hire vessel owners </w:t>
      </w:r>
      <w:r w:rsidR="002A168E">
        <w:t>are</w:t>
      </w:r>
      <w:r w:rsidRPr="00461689">
        <w:t xml:space="preserve"> able to uti</w:t>
      </w:r>
      <w:r w:rsidR="000339AE">
        <w:t>lize that system to register on</w:t>
      </w:r>
      <w:r w:rsidRPr="00461689">
        <w:t xml:space="preserve">line or by calling a toll-free telephone number.  A registration number </w:t>
      </w:r>
      <w:r w:rsidR="002A168E">
        <w:t>is</w:t>
      </w:r>
      <w:r w:rsidRPr="00461689">
        <w:t xml:space="preserve"> electronically provided and a registration card </w:t>
      </w:r>
      <w:r w:rsidR="002A168E">
        <w:t>is</w:t>
      </w:r>
      <w:r w:rsidRPr="00461689">
        <w:t xml:space="preserve"> available for downloading and printing by, </w:t>
      </w:r>
      <w:r w:rsidR="005A38F1">
        <w:t xml:space="preserve">and will </w:t>
      </w:r>
      <w:r w:rsidRPr="00461689">
        <w:t>be mailed to, the successful registrants.</w:t>
      </w:r>
    </w:p>
    <w:p w:rsidR="00C53B29" w:rsidRPr="00461689" w:rsidRDefault="00C53B29" w:rsidP="00DF5884">
      <w:pPr>
        <w:pStyle w:val="CM22"/>
        <w:spacing w:after="0"/>
      </w:pPr>
    </w:p>
    <w:p w:rsidR="00C53B29" w:rsidRPr="00461689" w:rsidRDefault="00C53B29" w:rsidP="00DF5884">
      <w:pPr>
        <w:pStyle w:val="CM22"/>
        <w:spacing w:after="0"/>
      </w:pPr>
      <w:r w:rsidRPr="00461689">
        <w:t xml:space="preserve">The information that is collected via the Registry program will not be made available to the public via the </w:t>
      </w:r>
      <w:r w:rsidR="000339AE">
        <w:t>I</w:t>
      </w:r>
      <w:r w:rsidRPr="00461689">
        <w:t xml:space="preserve">nternet or any other means.  Because the data to be collected is entirely personal identification, address and contact information, it is not appropriate to make this data available.  </w:t>
      </w:r>
    </w:p>
    <w:p w:rsidR="00C53B29" w:rsidRPr="00461689" w:rsidRDefault="00C53B29" w:rsidP="00DF5884">
      <w:pPr>
        <w:pStyle w:val="CM22"/>
        <w:spacing w:after="0"/>
        <w:rPr>
          <w:b/>
          <w:bCs/>
        </w:rPr>
      </w:pPr>
    </w:p>
    <w:p w:rsidR="00C53B29" w:rsidRPr="00461689" w:rsidRDefault="00C53B29" w:rsidP="00DF5884">
      <w:pPr>
        <w:pStyle w:val="CM22"/>
        <w:spacing w:after="0"/>
      </w:pPr>
      <w:r w:rsidRPr="00461689">
        <w:rPr>
          <w:b/>
          <w:bCs/>
        </w:rPr>
        <w:t>4.</w:t>
      </w:r>
      <w:r w:rsidR="00DA3F23">
        <w:rPr>
          <w:b/>
          <w:bCs/>
        </w:rPr>
        <w:t xml:space="preserve"> </w:t>
      </w:r>
      <w:r w:rsidRPr="00461689">
        <w:rPr>
          <w:b/>
          <w:bCs/>
        </w:rPr>
        <w:t xml:space="preserve"> </w:t>
      </w:r>
      <w:r w:rsidRPr="00461689">
        <w:rPr>
          <w:b/>
          <w:bCs/>
          <w:u w:val="single"/>
        </w:rPr>
        <w:t>Describe efforts to identify duplication</w:t>
      </w:r>
      <w:r w:rsidRPr="00461689">
        <w:rPr>
          <w:b/>
          <w:bCs/>
        </w:rPr>
        <w:t xml:space="preserve">. </w:t>
      </w:r>
    </w:p>
    <w:p w:rsidR="00C53B29" w:rsidRPr="00461689" w:rsidRDefault="00C53B29" w:rsidP="00DF5884">
      <w:pPr>
        <w:pStyle w:val="CM23"/>
        <w:spacing w:after="0"/>
        <w:ind w:right="235"/>
      </w:pPr>
    </w:p>
    <w:p w:rsidR="00C53B29" w:rsidRPr="00461689" w:rsidRDefault="00C53B29" w:rsidP="00DF5884">
      <w:pPr>
        <w:pStyle w:val="CM23"/>
        <w:spacing w:after="0"/>
        <w:ind w:right="235"/>
      </w:pPr>
      <w:r w:rsidRPr="00461689">
        <w:t>The Registry program has been designed to prevent duplication of registration requirements.  In order to serve the purpose of supplying identification and contact information for all anglers and for-hire vessels, it is only necessary for an angler or a for-hire vessel to submit that information to a single registry.  If the information can be obtained from another source, the federal registration requirement can be waived.</w:t>
      </w:r>
    </w:p>
    <w:p w:rsidR="00C53B29" w:rsidRPr="00461689" w:rsidRDefault="00C53B29" w:rsidP="00DF5884">
      <w:pPr>
        <w:pStyle w:val="Default"/>
      </w:pPr>
    </w:p>
    <w:p w:rsidR="00C53B29" w:rsidRPr="00461689" w:rsidRDefault="00C53B29" w:rsidP="00DF5884">
      <w:pPr>
        <w:pStyle w:val="Default"/>
      </w:pPr>
      <w:r w:rsidRPr="00461689">
        <w:t xml:space="preserve">Accordingly, if states can provide complete directories of anglers and/or for-hire vessels from their license or state registry data bases, the states can be granted Exempted State status under the Registry program, and their licensed or registered anglers and/or for-hire vessels </w:t>
      </w:r>
      <w:r w:rsidR="00AE6E4F">
        <w:t>are</w:t>
      </w:r>
      <w:r w:rsidRPr="00461689">
        <w:t xml:space="preserve"> exempted from the </w:t>
      </w:r>
      <w:r w:rsidR="000339AE">
        <w:t>federal registration requirement</w:t>
      </w:r>
      <w:r w:rsidRPr="00461689">
        <w:t xml:space="preserve">.  Anglers who fish only on for-hire vessels </w:t>
      </w:r>
      <w:r w:rsidR="00AE6E4F">
        <w:t>are</w:t>
      </w:r>
      <w:r w:rsidRPr="00461689">
        <w:t xml:space="preserve"> exempt, since the vessels themselves will be registered and surveyed.  Also, any for-hire vessel that is required to obtain a NOAA license or permit via the NPS under other fishery management regulations </w:t>
      </w:r>
      <w:r w:rsidR="00AE6E4F">
        <w:t>is</w:t>
      </w:r>
      <w:r w:rsidRPr="00461689">
        <w:t xml:space="preserve"> also exempt from the registry requirement, since the vessel information </w:t>
      </w:r>
      <w:r w:rsidR="00AE6E4F">
        <w:t>is</w:t>
      </w:r>
      <w:r w:rsidRPr="00461689">
        <w:t xml:space="preserve"> in </w:t>
      </w:r>
      <w:r w:rsidR="00AE6E4F">
        <w:t xml:space="preserve">a NOAA </w:t>
      </w:r>
      <w:r w:rsidRPr="00461689">
        <w:t>database, and can be accessed and added to the registry directory.</w:t>
      </w:r>
      <w:r w:rsidR="005A38F1">
        <w:t xml:space="preserve">  Similarly, individuals who hold NMFS-issued Highly Migratory Species Angling permits will also be exempt from the registration requirement.</w:t>
      </w:r>
    </w:p>
    <w:p w:rsidR="00C53B29" w:rsidRPr="00461689" w:rsidRDefault="00C53B29" w:rsidP="00DF5884">
      <w:pPr>
        <w:pStyle w:val="Default"/>
      </w:pPr>
    </w:p>
    <w:p w:rsidR="00C53B29" w:rsidRPr="00461689" w:rsidRDefault="00C53B29" w:rsidP="00DF5884">
      <w:pPr>
        <w:pStyle w:val="CM23"/>
        <w:spacing w:after="0"/>
        <w:ind w:right="235"/>
        <w:rPr>
          <w:b/>
          <w:bCs/>
        </w:rPr>
      </w:pPr>
      <w:r w:rsidRPr="00461689">
        <w:rPr>
          <w:b/>
          <w:bCs/>
        </w:rPr>
        <w:t>5.</w:t>
      </w:r>
      <w:r w:rsidR="00DA3F23">
        <w:rPr>
          <w:b/>
          <w:bCs/>
        </w:rPr>
        <w:t xml:space="preserve"> </w:t>
      </w:r>
      <w:r w:rsidRPr="00461689">
        <w:rPr>
          <w:b/>
          <w:bCs/>
        </w:rPr>
        <w:t xml:space="preserve"> </w:t>
      </w:r>
      <w:r w:rsidRPr="00461689">
        <w:rPr>
          <w:b/>
          <w:bCs/>
          <w:u w:val="single"/>
        </w:rPr>
        <w:t>If the collection of information involves small businesses or other small entities, describe the methods used to minimize burden</w:t>
      </w:r>
      <w:r w:rsidRPr="00461689">
        <w:rPr>
          <w:b/>
          <w:bCs/>
        </w:rPr>
        <w:t xml:space="preserve">. </w:t>
      </w:r>
    </w:p>
    <w:p w:rsidR="00C53B29" w:rsidRPr="00461689" w:rsidRDefault="00C53B29" w:rsidP="00DF5884">
      <w:pPr>
        <w:pStyle w:val="Default"/>
      </w:pPr>
    </w:p>
    <w:p w:rsidR="00C53B29" w:rsidRPr="00461689" w:rsidRDefault="00C53B29" w:rsidP="00DF5884">
      <w:pPr>
        <w:pStyle w:val="Default"/>
      </w:pPr>
      <w:r w:rsidRPr="00461689">
        <w:t xml:space="preserve">The for-hire vessels that </w:t>
      </w:r>
      <w:r w:rsidR="00AE6E4F">
        <w:t>are</w:t>
      </w:r>
      <w:r w:rsidRPr="00461689">
        <w:t xml:space="preserve"> required to register are small entities.  Efforts utilized to minimize the burden on these entities include:</w:t>
      </w:r>
    </w:p>
    <w:p w:rsidR="00C53B29" w:rsidRPr="00461689" w:rsidRDefault="00C53B29" w:rsidP="00DF5884">
      <w:pPr>
        <w:pStyle w:val="Default"/>
      </w:pPr>
      <w:r w:rsidRPr="00461689">
        <w:tab/>
        <w:t xml:space="preserve">a.  minimizing the number of vessels that must register, by eliminating overlapping requirements as noted in response </w:t>
      </w:r>
      <w:r w:rsidR="00E361A6">
        <w:t xml:space="preserve">to Question </w:t>
      </w:r>
      <w:r w:rsidRPr="00461689">
        <w:t>4 above;</w:t>
      </w:r>
    </w:p>
    <w:p w:rsidR="00C53B29" w:rsidRPr="00461689" w:rsidRDefault="00C53B29" w:rsidP="00DF5884">
      <w:pPr>
        <w:pStyle w:val="Default"/>
      </w:pPr>
      <w:r w:rsidRPr="00461689">
        <w:tab/>
        <w:t>b. limiting the information that must be submitted to the minimal identification, address and contact information required for a complete registry;</w:t>
      </w:r>
    </w:p>
    <w:p w:rsidR="00C53B29" w:rsidRPr="00461689" w:rsidRDefault="00C53B29" w:rsidP="00DF5884">
      <w:pPr>
        <w:pStyle w:val="Default"/>
      </w:pPr>
      <w:r w:rsidRPr="00461689">
        <w:tab/>
      </w:r>
    </w:p>
    <w:p w:rsidR="00C53B29" w:rsidRPr="00461689" w:rsidRDefault="00C53B29" w:rsidP="00DF5884">
      <w:pPr>
        <w:pStyle w:val="CM23"/>
        <w:spacing w:after="0"/>
        <w:ind w:right="375"/>
      </w:pPr>
      <w:r w:rsidRPr="00461689">
        <w:rPr>
          <w:b/>
          <w:bCs/>
        </w:rPr>
        <w:t>6.</w:t>
      </w:r>
      <w:r w:rsidR="00DA3F23">
        <w:rPr>
          <w:b/>
          <w:bCs/>
        </w:rPr>
        <w:t xml:space="preserve"> </w:t>
      </w:r>
      <w:r w:rsidRPr="00461689">
        <w:rPr>
          <w:b/>
          <w:bCs/>
        </w:rPr>
        <w:t xml:space="preserve"> </w:t>
      </w:r>
      <w:r w:rsidRPr="00461689">
        <w:rPr>
          <w:b/>
          <w:bCs/>
          <w:u w:val="single"/>
        </w:rPr>
        <w:t>Describe the consequences to the Federal program or policy activities if the collection is not conducted or is conducted less frequently</w:t>
      </w:r>
      <w:r w:rsidRPr="00461689">
        <w:rPr>
          <w:b/>
          <w:bCs/>
        </w:rPr>
        <w:t xml:space="preserve">. </w:t>
      </w:r>
    </w:p>
    <w:p w:rsidR="00C53B29" w:rsidRPr="00461689" w:rsidRDefault="00C53B29" w:rsidP="00DF5884"/>
    <w:p w:rsidR="00C53B29" w:rsidRPr="00461689" w:rsidRDefault="00C53B29" w:rsidP="00DF5884">
      <w:r w:rsidRPr="00461689">
        <w:t>If a complete, annual registry of saltwater anglers and for-hire vessels is not maintained, NMFS will not be able to correct the deficiencies in its marine recreational fishing effort surveys that were described by the NRC panel.  This will result in continued oversampling by using random-</w:t>
      </w:r>
      <w:r w:rsidRPr="00461689">
        <w:lastRenderedPageBreak/>
        <w:t>digit-dialing (</w:t>
      </w:r>
      <w:r w:rsidR="00ED225C">
        <w:t>RDD</w:t>
      </w:r>
      <w:r w:rsidRPr="00461689">
        <w:t>) approaches, and the attendant loss of efficiency that would result from using sample frames that only include licensed anglers.  In RDD approaches, sampling efficiency is limited by using sample frames that include non-household numbers, non-working numbers and non-angling households.  Currently, about 10 percent of all random-digit-dialing contacts result in interviews with eligible households.   Of these, less than 10% are expected to be with households whose residents actually fished during the sampling period.  Therefore, only about 1% of all dialed telephone numbers actually succeed in acquiring angler effort data.  It is expected that use of an angler registry in lieu of RDD approaches will greatly increase the success rate of such contacts, rendering the survey much more efficient and therefore able to collect much more data for the same cost.  Preliminary results from surveys that use angler license databases as sampling frames have demonstrated that between 45% and 65% of contacted individuals report fishing activity.</w:t>
      </w:r>
    </w:p>
    <w:p w:rsidR="00C53B29" w:rsidRPr="00461689" w:rsidRDefault="00C53B29" w:rsidP="00DF5884"/>
    <w:p w:rsidR="00C53B29" w:rsidRPr="00461689" w:rsidRDefault="00C53B29" w:rsidP="00DF5884">
      <w:pPr>
        <w:pStyle w:val="Default"/>
      </w:pPr>
      <w:r w:rsidRPr="00461689">
        <w:t>Continuation of the current use of RDD surveys will also fail to address the under</w:t>
      </w:r>
      <w:r w:rsidR="00576666">
        <w:t xml:space="preserve"> </w:t>
      </w:r>
      <w:r w:rsidRPr="00461689">
        <w:t>sampling of certain angling households.  Anglers who reside in non-coastal counties or who do not have landline telephones (i.e. cell-phone only) are not currently sampled in recreational fishing effort surveys.  The NRC Panel concluded that this could cause serious bias in the effort estimates derived from the current surveys, and strongly recommended use of a universal saltwater angler registry to address this</w:t>
      </w:r>
      <w:r w:rsidR="00730542">
        <w:t xml:space="preserve"> potential</w:t>
      </w:r>
      <w:r w:rsidRPr="00461689">
        <w:t xml:space="preserve"> bias problem.</w:t>
      </w:r>
    </w:p>
    <w:p w:rsidR="00C53B29" w:rsidRPr="00461689" w:rsidRDefault="00C53B29" w:rsidP="00DF5884">
      <w:pPr>
        <w:pStyle w:val="Default"/>
      </w:pPr>
    </w:p>
    <w:p w:rsidR="00C53B29" w:rsidRPr="00461689" w:rsidRDefault="00C53B29" w:rsidP="00DF5884">
      <w:pPr>
        <w:pStyle w:val="Default"/>
      </w:pPr>
      <w:r w:rsidRPr="00461689">
        <w:t>Collection of the registry data annually, rather than less frequently, is consistent with the annual cycle of state license issuance and NMFS for-hire permits.  It is also consistent with the annual time frame for the surveys that will utilize the registry data.  An annual requirement update</w:t>
      </w:r>
      <w:r w:rsidR="00AE6E4F">
        <w:t>s</w:t>
      </w:r>
      <w:r w:rsidRPr="00461689">
        <w:t xml:space="preserve"> the identification and contact information annually, an appropriate time period to assure that address and telephone contact changes are incorporated into the registry directory.  </w:t>
      </w:r>
    </w:p>
    <w:p w:rsidR="00C53B29" w:rsidRPr="00461689" w:rsidRDefault="00C53B29" w:rsidP="00DF5884">
      <w:pPr>
        <w:pStyle w:val="Default"/>
      </w:pPr>
    </w:p>
    <w:p w:rsidR="00C53B29" w:rsidRPr="00461689" w:rsidRDefault="00C53B29" w:rsidP="00DF5884">
      <w:pPr>
        <w:pStyle w:val="CM23"/>
        <w:spacing w:after="0"/>
        <w:ind w:right="130"/>
      </w:pPr>
      <w:r w:rsidRPr="00461689">
        <w:rPr>
          <w:b/>
          <w:bCs/>
        </w:rPr>
        <w:t>7.</w:t>
      </w:r>
      <w:r w:rsidR="00ED225C">
        <w:rPr>
          <w:b/>
          <w:bCs/>
        </w:rPr>
        <w:t xml:space="preserve"> </w:t>
      </w:r>
      <w:r w:rsidRPr="00461689">
        <w:rPr>
          <w:b/>
          <w:bCs/>
        </w:rPr>
        <w:t xml:space="preserve"> </w:t>
      </w:r>
      <w:r w:rsidRPr="00461689">
        <w:rPr>
          <w:b/>
          <w:bCs/>
          <w:u w:val="single"/>
        </w:rPr>
        <w:t>Explain any special circumstances that require the collection to be conducted in a manner inconsistent with OMB guidelines</w:t>
      </w:r>
      <w:r w:rsidRPr="00461689">
        <w:rPr>
          <w:b/>
          <w:bCs/>
        </w:rPr>
        <w:t xml:space="preserve">. </w:t>
      </w:r>
    </w:p>
    <w:p w:rsidR="00C53B29" w:rsidRPr="00461689" w:rsidRDefault="00C53B29" w:rsidP="00DF5884">
      <w:pPr>
        <w:pStyle w:val="Default"/>
      </w:pPr>
    </w:p>
    <w:p w:rsidR="00C53B29" w:rsidRPr="00461689" w:rsidRDefault="00C53B29" w:rsidP="00DF5884">
      <w:pPr>
        <w:pStyle w:val="Default"/>
      </w:pPr>
      <w:r w:rsidRPr="00461689">
        <w:t xml:space="preserve">The collection is consistent with OMB guidelines. </w:t>
      </w:r>
    </w:p>
    <w:p w:rsidR="00C53B29" w:rsidRPr="00461689" w:rsidRDefault="00C53B29" w:rsidP="00DF5884">
      <w:pPr>
        <w:pStyle w:val="Default"/>
      </w:pPr>
    </w:p>
    <w:p w:rsidR="00C53B29" w:rsidRPr="00461689" w:rsidRDefault="00C53B29" w:rsidP="00DF5884">
      <w:pPr>
        <w:pStyle w:val="Default"/>
      </w:pPr>
      <w:r w:rsidRPr="00461689">
        <w:rPr>
          <w:b/>
          <w:bCs/>
        </w:rPr>
        <w:t>8.</w:t>
      </w:r>
      <w:r w:rsidR="00ED225C">
        <w:rPr>
          <w:b/>
          <w:bCs/>
        </w:rPr>
        <w:t xml:space="preserve"> </w:t>
      </w:r>
      <w:r w:rsidRPr="00461689">
        <w:rPr>
          <w:b/>
          <w:bCs/>
        </w:rPr>
        <w:t xml:space="preserve"> </w:t>
      </w:r>
      <w:r w:rsidRPr="00461689">
        <w:rPr>
          <w:b/>
          <w:bCs/>
          <w:u w:val="single"/>
        </w:rPr>
        <w:t xml:space="preserve">Provide </w:t>
      </w:r>
      <w:r w:rsidR="000339AE">
        <w:rPr>
          <w:b/>
          <w:bCs/>
          <w:u w:val="single"/>
        </w:rPr>
        <w:t>information on</w:t>
      </w:r>
      <w:r w:rsidRPr="00461689">
        <w:rPr>
          <w:b/>
          <w:bCs/>
          <w:u w:val="single"/>
        </w:rPr>
        <w:t xml:space="preserve"> the PRA Federal Register </w:t>
      </w:r>
      <w:r w:rsidR="000339AE">
        <w:rPr>
          <w:b/>
          <w:bCs/>
          <w:u w:val="single"/>
        </w:rPr>
        <w:t>N</w:t>
      </w:r>
      <w:r w:rsidRPr="00461689">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461689">
        <w:rPr>
          <w:b/>
          <w:bCs/>
        </w:rPr>
        <w:t xml:space="preserve">. </w:t>
      </w:r>
      <w:r w:rsidRPr="00461689">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61689">
        <w:rPr>
          <w:b/>
          <w:bCs/>
        </w:rPr>
        <w:t xml:space="preserve">. </w:t>
      </w:r>
    </w:p>
    <w:p w:rsidR="00C53B29" w:rsidRPr="00461689" w:rsidRDefault="00C53B29" w:rsidP="00DF5884">
      <w:pPr>
        <w:pStyle w:val="Default"/>
      </w:pPr>
    </w:p>
    <w:p w:rsidR="000C4829" w:rsidRDefault="00B333A3" w:rsidP="000C4829">
      <w:pPr>
        <w:autoSpaceDE w:val="0"/>
        <w:autoSpaceDN w:val="0"/>
        <w:adjustRightInd w:val="0"/>
        <w:jc w:val="center"/>
        <w:rPr>
          <w:bCs/>
        </w:rPr>
      </w:pPr>
      <w:r>
        <w:rPr>
          <w:bCs/>
        </w:rPr>
        <w:t xml:space="preserve">A </w:t>
      </w:r>
      <w:r w:rsidR="000C4829">
        <w:rPr>
          <w:bCs/>
        </w:rPr>
        <w:t xml:space="preserve">notice titled </w:t>
      </w:r>
      <w:r w:rsidRPr="00B333A3">
        <w:rPr>
          <w:bCs/>
        </w:rPr>
        <w:t>Proposed Information Collection;</w:t>
      </w:r>
      <w:r>
        <w:rPr>
          <w:bCs/>
        </w:rPr>
        <w:t xml:space="preserve"> </w:t>
      </w:r>
      <w:r w:rsidRPr="00B333A3">
        <w:rPr>
          <w:bCs/>
        </w:rPr>
        <w:t>Comment Request; National Saltwater</w:t>
      </w:r>
      <w:r>
        <w:rPr>
          <w:bCs/>
        </w:rPr>
        <w:t xml:space="preserve"> </w:t>
      </w:r>
      <w:r w:rsidRPr="00B333A3">
        <w:rPr>
          <w:bCs/>
        </w:rPr>
        <w:t xml:space="preserve">Angler </w:t>
      </w:r>
    </w:p>
    <w:p w:rsidR="00B333A3" w:rsidRDefault="00B333A3" w:rsidP="000C4829">
      <w:pPr>
        <w:autoSpaceDE w:val="0"/>
        <w:autoSpaceDN w:val="0"/>
        <w:adjustRightInd w:val="0"/>
        <w:rPr>
          <w:bCs/>
        </w:rPr>
      </w:pPr>
      <w:r w:rsidRPr="00B333A3">
        <w:rPr>
          <w:bCs/>
        </w:rPr>
        <w:t>Registry and State Exemption</w:t>
      </w:r>
      <w:r>
        <w:rPr>
          <w:bCs/>
        </w:rPr>
        <w:t xml:space="preserve"> </w:t>
      </w:r>
      <w:r w:rsidRPr="00B333A3">
        <w:rPr>
          <w:bCs/>
        </w:rPr>
        <w:t>Program</w:t>
      </w:r>
      <w:r>
        <w:rPr>
          <w:bCs/>
        </w:rPr>
        <w:t xml:space="preserve"> was published in the </w:t>
      </w:r>
      <w:r>
        <w:rPr>
          <w:bCs/>
          <w:u w:val="single"/>
        </w:rPr>
        <w:t>Federal Register</w:t>
      </w:r>
      <w:r>
        <w:rPr>
          <w:bCs/>
        </w:rPr>
        <w:t xml:space="preserve"> on July 1, 2011.  </w:t>
      </w:r>
      <w:r w:rsidR="000C4829">
        <w:rPr>
          <w:bCs/>
        </w:rPr>
        <w:t xml:space="preserve">The public comment period ended on August 30, 2011.  NMFS received </w:t>
      </w:r>
      <w:r w:rsidR="007639C1">
        <w:rPr>
          <w:bCs/>
        </w:rPr>
        <w:t>no comments on the notice.</w:t>
      </w:r>
    </w:p>
    <w:p w:rsidR="000C4829" w:rsidRPr="00B333A3" w:rsidRDefault="000C4829" w:rsidP="000C4829">
      <w:pPr>
        <w:autoSpaceDE w:val="0"/>
        <w:autoSpaceDN w:val="0"/>
        <w:adjustRightInd w:val="0"/>
        <w:jc w:val="center"/>
        <w:rPr>
          <w:bCs/>
        </w:rPr>
      </w:pPr>
    </w:p>
    <w:p w:rsidR="00FC6341" w:rsidRDefault="00C53B29" w:rsidP="00DF5884">
      <w:pPr>
        <w:pStyle w:val="Default"/>
      </w:pPr>
      <w:r w:rsidRPr="00461689">
        <w:t xml:space="preserve">The Registry Program </w:t>
      </w:r>
      <w:r w:rsidR="00730542">
        <w:t>was</w:t>
      </w:r>
      <w:r w:rsidRPr="00461689">
        <w:t xml:space="preserve"> developed by a team (“Registry Team”) that includes representatives of the states, NOAA, regional fishery management councils and stakeholders. Accordingly, the proposed registry approach reflects the diverse views of those persons.  In addition, the proposed </w:t>
      </w:r>
    </w:p>
    <w:p w:rsidR="00FC6341" w:rsidRDefault="00FC6341">
      <w:pPr>
        <w:rPr>
          <w:color w:val="000000"/>
        </w:rPr>
      </w:pPr>
      <w:r>
        <w:br w:type="page"/>
      </w:r>
    </w:p>
    <w:p w:rsidR="00C53B29" w:rsidRPr="00461689" w:rsidRDefault="00C53B29" w:rsidP="00DF5884">
      <w:pPr>
        <w:pStyle w:val="Default"/>
      </w:pPr>
      <w:proofErr w:type="gramStart"/>
      <w:r w:rsidRPr="00461689">
        <w:lastRenderedPageBreak/>
        <w:t>elements</w:t>
      </w:r>
      <w:proofErr w:type="gramEnd"/>
      <w:r w:rsidRPr="00461689">
        <w:t xml:space="preserve"> of the program </w:t>
      </w:r>
      <w:r w:rsidR="00730542">
        <w:t>were</w:t>
      </w:r>
      <w:r w:rsidRPr="00461689">
        <w:t xml:space="preserve"> presented to several meetings of interstate fisheries managers and regional fishery management councils.</w:t>
      </w:r>
    </w:p>
    <w:p w:rsidR="00C53B29" w:rsidRPr="00461689" w:rsidRDefault="00C53B29" w:rsidP="00DF5884">
      <w:pPr>
        <w:pStyle w:val="Default"/>
      </w:pPr>
    </w:p>
    <w:p w:rsidR="00C53B29" w:rsidRPr="00461689" w:rsidRDefault="00C53B29" w:rsidP="00DF5884">
      <w:pPr>
        <w:pStyle w:val="Default"/>
      </w:pPr>
      <w:r w:rsidRPr="00461689">
        <w:rPr>
          <w:b/>
          <w:bCs/>
        </w:rPr>
        <w:t>9.</w:t>
      </w:r>
      <w:r w:rsidR="00ED225C">
        <w:rPr>
          <w:b/>
          <w:bCs/>
        </w:rPr>
        <w:t xml:space="preserve"> </w:t>
      </w:r>
      <w:r w:rsidRPr="00ED225C">
        <w:rPr>
          <w:b/>
          <w:bCs/>
        </w:rPr>
        <w:t xml:space="preserve"> </w:t>
      </w:r>
      <w:r w:rsidRPr="00461689">
        <w:rPr>
          <w:b/>
          <w:bCs/>
          <w:u w:val="single"/>
        </w:rPr>
        <w:t xml:space="preserve">Explain any decisions to provide payments or gifts to respondents, other than remuneration of </w:t>
      </w:r>
      <w:r w:rsidRPr="00F6211D">
        <w:rPr>
          <w:b/>
          <w:bCs/>
          <w:u w:val="single"/>
        </w:rPr>
        <w:t>contractors or grantees</w:t>
      </w:r>
      <w:r w:rsidRPr="00461689">
        <w:rPr>
          <w:b/>
          <w:bCs/>
        </w:rPr>
        <w:t xml:space="preserve">. </w:t>
      </w:r>
    </w:p>
    <w:p w:rsidR="00C53B29" w:rsidRPr="00461689" w:rsidRDefault="00C53B29" w:rsidP="00DF5884">
      <w:pPr>
        <w:pStyle w:val="Default"/>
      </w:pPr>
    </w:p>
    <w:p w:rsidR="00C53B29" w:rsidRPr="00461689" w:rsidRDefault="00C53B29" w:rsidP="00DF5884">
      <w:pPr>
        <w:pStyle w:val="Default"/>
      </w:pPr>
      <w:r w:rsidRPr="00461689">
        <w:t xml:space="preserve">No payments or gifts to respondents are given under this program. </w:t>
      </w:r>
    </w:p>
    <w:p w:rsidR="00C53B29" w:rsidRPr="00461689" w:rsidRDefault="00C53B29" w:rsidP="00DF5884">
      <w:pPr>
        <w:pStyle w:val="Default"/>
      </w:pPr>
    </w:p>
    <w:p w:rsidR="00C53B29" w:rsidRPr="00461689" w:rsidRDefault="00C53B29" w:rsidP="00DF5884">
      <w:pPr>
        <w:pStyle w:val="Default"/>
      </w:pPr>
      <w:r w:rsidRPr="00461689">
        <w:rPr>
          <w:b/>
          <w:bCs/>
        </w:rPr>
        <w:t>10.</w:t>
      </w:r>
      <w:r w:rsidR="00ED225C">
        <w:rPr>
          <w:b/>
          <w:bCs/>
        </w:rPr>
        <w:t xml:space="preserve"> </w:t>
      </w:r>
      <w:r w:rsidRPr="00461689">
        <w:rPr>
          <w:b/>
          <w:bCs/>
        </w:rPr>
        <w:t xml:space="preserve"> </w:t>
      </w:r>
      <w:r w:rsidRPr="00461689">
        <w:rPr>
          <w:b/>
          <w:bCs/>
          <w:u w:val="single"/>
        </w:rPr>
        <w:t>Describe any assurance or confidentiality provided to respondents and the basis for assurance in statute, regulation, or agency policy</w:t>
      </w:r>
      <w:r w:rsidRPr="00461689">
        <w:rPr>
          <w:b/>
          <w:bCs/>
        </w:rPr>
        <w:t xml:space="preserve">. </w:t>
      </w:r>
    </w:p>
    <w:p w:rsidR="00C53B29" w:rsidRPr="00461689" w:rsidRDefault="00C53B29" w:rsidP="00DF5884">
      <w:pPr>
        <w:pStyle w:val="Default"/>
      </w:pPr>
    </w:p>
    <w:p w:rsidR="00C53B29" w:rsidRPr="00461689" w:rsidRDefault="00C53B29" w:rsidP="00DF5884">
      <w:pPr>
        <w:pStyle w:val="CM22"/>
        <w:spacing w:after="0"/>
      </w:pPr>
      <w:r w:rsidRPr="00461689">
        <w:t xml:space="preserve">Registrants’ responses will be kept confidential as required by </w:t>
      </w:r>
      <w:r w:rsidRPr="002C421C">
        <w:t>section 402(b) of the Magn</w:t>
      </w:r>
      <w:r w:rsidRPr="00461689">
        <w:t xml:space="preserve">uson-Stevens and </w:t>
      </w:r>
      <w:hyperlink r:id="rId11" w:history="1">
        <w:r w:rsidRPr="002B149B">
          <w:rPr>
            <w:rStyle w:val="Hyperlink"/>
            <w:color w:val="0033CC"/>
          </w:rPr>
          <w:t>NOAA Administrative Order 216-100, Confidentiality of Fisheries Statistics</w:t>
        </w:r>
      </w:hyperlink>
      <w:r w:rsidRPr="00461689">
        <w:t xml:space="preserve">,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p>
    <w:p w:rsidR="00C53B29" w:rsidRPr="00461689" w:rsidRDefault="00C53B29" w:rsidP="00DF5884">
      <w:pPr>
        <w:pStyle w:val="CM22"/>
        <w:spacing w:after="0"/>
      </w:pPr>
      <w:r w:rsidRPr="00461689">
        <w:t xml:space="preserve"> </w:t>
      </w:r>
    </w:p>
    <w:p w:rsidR="00C53B29" w:rsidRPr="00461689" w:rsidRDefault="00C53B29" w:rsidP="00E361A6">
      <w:r w:rsidRPr="00461689">
        <w:t xml:space="preserve">In addition, the information is subject to the provisions of the </w:t>
      </w:r>
      <w:hyperlink r:id="rId12" w:history="1">
        <w:r w:rsidRPr="002B149B">
          <w:rPr>
            <w:rStyle w:val="Hyperlink"/>
            <w:color w:val="0033CC"/>
          </w:rPr>
          <w:t>Privacy Act</w:t>
        </w:r>
      </w:hyperlink>
      <w:r w:rsidRPr="002B149B">
        <w:rPr>
          <w:color w:val="0033CC"/>
        </w:rPr>
        <w:t xml:space="preserve"> (5 U.S.C. 552a)</w:t>
      </w:r>
      <w:r w:rsidRPr="00461689">
        <w:t xml:space="preserve"> in that the information collected </w:t>
      </w:r>
      <w:r w:rsidR="00AE6E4F">
        <w:t>is</w:t>
      </w:r>
      <w:r w:rsidRPr="00461689">
        <w:t xml:space="preserve"> retrievable by identifiable individual.  The Registry data </w:t>
      </w:r>
      <w:r w:rsidR="00AE6E4F">
        <w:t>is</w:t>
      </w:r>
      <w:r w:rsidRPr="00461689">
        <w:t xml:space="preserve"> included in</w:t>
      </w:r>
      <w:r w:rsidR="00E361A6">
        <w:t xml:space="preserve"> </w:t>
      </w:r>
      <w:r w:rsidR="00E361A6" w:rsidRPr="00C046E6">
        <w:t>Permits and Registrations for United States Federally Regulated Fisheries</w:t>
      </w:r>
      <w:r w:rsidRPr="00461689">
        <w:t xml:space="preserve">, </w:t>
      </w:r>
      <w:r w:rsidR="00AE6E4F">
        <w:t>for which a System of Records Notice</w:t>
      </w:r>
      <w:r w:rsidR="00E361A6">
        <w:t xml:space="preserve">, </w:t>
      </w:r>
      <w:hyperlink r:id="rId13" w:history="1">
        <w:r w:rsidR="00E361A6" w:rsidRPr="002B149B">
          <w:rPr>
            <w:rStyle w:val="Hyperlink"/>
            <w:color w:val="0033CC"/>
          </w:rPr>
          <w:t>COMMERCE/NOAA-19</w:t>
        </w:r>
      </w:hyperlink>
      <w:r w:rsidR="00E361A6">
        <w:t>,</w:t>
      </w:r>
      <w:r w:rsidR="00AE6E4F">
        <w:t xml:space="preserve"> was published in the </w:t>
      </w:r>
      <w:r w:rsidR="00AE6E4F" w:rsidRPr="00AE6E4F">
        <w:rPr>
          <w:u w:val="single"/>
        </w:rPr>
        <w:t>Federal Register</w:t>
      </w:r>
      <w:r w:rsidR="00AE6E4F">
        <w:t xml:space="preserve"> </w:t>
      </w:r>
      <w:r w:rsidR="00AE6E4F" w:rsidRPr="00AE6E4F">
        <w:t>on</w:t>
      </w:r>
      <w:r w:rsidR="00E361A6">
        <w:t xml:space="preserve"> April 17, 2008</w:t>
      </w:r>
      <w:r w:rsidRPr="00461689">
        <w:t>.</w:t>
      </w:r>
    </w:p>
    <w:p w:rsidR="00C53B29" w:rsidRPr="00461689" w:rsidRDefault="00C53B29" w:rsidP="00DF5884">
      <w:pPr>
        <w:pStyle w:val="CM23"/>
        <w:spacing w:after="0"/>
        <w:ind w:right="480"/>
        <w:rPr>
          <w:b/>
          <w:bCs/>
        </w:rPr>
      </w:pPr>
    </w:p>
    <w:p w:rsidR="00C53B29" w:rsidRPr="00461689" w:rsidRDefault="00C53B29" w:rsidP="00DF5884">
      <w:pPr>
        <w:pStyle w:val="CM23"/>
        <w:spacing w:after="0"/>
        <w:ind w:right="480"/>
      </w:pPr>
      <w:r w:rsidRPr="00461689">
        <w:rPr>
          <w:b/>
          <w:bCs/>
        </w:rPr>
        <w:t>11.</w:t>
      </w:r>
      <w:r w:rsidR="00F6211D">
        <w:rPr>
          <w:b/>
          <w:bCs/>
        </w:rPr>
        <w:t xml:space="preserve"> </w:t>
      </w:r>
      <w:r w:rsidRPr="00461689">
        <w:rPr>
          <w:b/>
          <w:bCs/>
        </w:rPr>
        <w:t xml:space="preserve"> </w:t>
      </w:r>
      <w:r w:rsidRPr="00461689">
        <w:rPr>
          <w:b/>
          <w:bCs/>
          <w:u w:val="single"/>
        </w:rPr>
        <w:t xml:space="preserve">Provide additional justification for any questions of a sensitive nature, such as </w:t>
      </w:r>
      <w:bookmarkStart w:id="7" w:name="_GoBack"/>
      <w:bookmarkEnd w:id="7"/>
      <w:r w:rsidRPr="00461689">
        <w:rPr>
          <w:b/>
          <w:bCs/>
          <w:u w:val="single"/>
        </w:rPr>
        <w:t>sexual behavior and attitudes, religious beliefs, and other matters that are commonly considered private</w:t>
      </w:r>
      <w:r w:rsidRPr="00461689">
        <w:rPr>
          <w:b/>
          <w:bCs/>
        </w:rPr>
        <w:t xml:space="preserve">. </w:t>
      </w:r>
    </w:p>
    <w:p w:rsidR="00C53B29" w:rsidRPr="00461689" w:rsidRDefault="00C53B29" w:rsidP="00DF5884">
      <w:pPr>
        <w:pStyle w:val="Default"/>
      </w:pPr>
    </w:p>
    <w:p w:rsidR="00C53B29" w:rsidRPr="00461689" w:rsidRDefault="00C53B29" w:rsidP="00DF5884">
      <w:pPr>
        <w:pStyle w:val="Default"/>
      </w:pPr>
      <w:r w:rsidRPr="00461689">
        <w:t xml:space="preserve">No sensitive questions are asked. </w:t>
      </w:r>
    </w:p>
    <w:p w:rsidR="00C53B29" w:rsidRPr="00461689" w:rsidRDefault="00C53B29" w:rsidP="00DF5884">
      <w:pPr>
        <w:pStyle w:val="Default"/>
      </w:pPr>
    </w:p>
    <w:p w:rsidR="00C53B29" w:rsidRDefault="00C53B29" w:rsidP="00DF5884">
      <w:pPr>
        <w:pStyle w:val="Default"/>
        <w:rPr>
          <w:b/>
          <w:bCs/>
          <w:u w:val="single"/>
        </w:rPr>
      </w:pPr>
      <w:r w:rsidRPr="00F6211D">
        <w:rPr>
          <w:b/>
          <w:bCs/>
        </w:rPr>
        <w:t xml:space="preserve">12. </w:t>
      </w:r>
      <w:r w:rsidR="00F6211D" w:rsidRPr="00F6211D">
        <w:rPr>
          <w:b/>
          <w:bCs/>
        </w:rPr>
        <w:t xml:space="preserve"> </w:t>
      </w:r>
      <w:r w:rsidRPr="00461689">
        <w:rPr>
          <w:b/>
          <w:bCs/>
          <w:u w:val="single"/>
        </w:rPr>
        <w:t xml:space="preserve">Provide an estimate in hours of the burden of the collection of information. </w:t>
      </w:r>
    </w:p>
    <w:p w:rsidR="002C7574" w:rsidRDefault="002C7574" w:rsidP="00DF5884">
      <w:pPr>
        <w:pStyle w:val="Default"/>
        <w:rPr>
          <w:b/>
          <w:bCs/>
          <w:u w:val="single"/>
        </w:rPr>
      </w:pPr>
    </w:p>
    <w:p w:rsidR="00F0027E" w:rsidRPr="00863A4B" w:rsidRDefault="00F0027E" w:rsidP="00FC6341">
      <w:pPr>
        <w:rPr>
          <w:bCs/>
        </w:rPr>
      </w:pPr>
      <w:r w:rsidRPr="00863A4B">
        <w:rPr>
          <w:bCs/>
        </w:rPr>
        <w:t xml:space="preserve">When this information collection was first submitted for review, </w:t>
      </w:r>
      <w:r w:rsidR="00863A4B">
        <w:rPr>
          <w:bCs/>
        </w:rPr>
        <w:t xml:space="preserve">there were significantly fewer coastal states having saltwater angler registries. Eight coastal states, in addition to Puerto Rico and the U.S Virgin Islands, did not have state registries. </w:t>
      </w:r>
      <w:r w:rsidR="00C04BBE">
        <w:rPr>
          <w:bCs/>
        </w:rPr>
        <w:t>Now all coastal states except for Hawaii have state registries, and thus anglers in those states do not need to register with NOAA.  Anglers on for-hire vessels who have registered so far are fewer than had been expected. Even doubling the number to account for lack of compliance yields a smaller number than originally estimated.  Thus, there is a significant decrease in number of expected registrants, from three years ago.</w:t>
      </w:r>
    </w:p>
    <w:p w:rsidR="00F0027E" w:rsidRDefault="00F0027E" w:rsidP="00FC6341">
      <w:pPr>
        <w:rPr>
          <w:b/>
          <w:bCs/>
        </w:rPr>
      </w:pPr>
    </w:p>
    <w:p w:rsidR="00EE3D7F" w:rsidRPr="00AE6E4F" w:rsidRDefault="00C53B29" w:rsidP="00FC6341">
      <w:r w:rsidRPr="00461689">
        <w:rPr>
          <w:b/>
          <w:bCs/>
        </w:rPr>
        <w:t>Recreational anglers</w:t>
      </w:r>
      <w:r w:rsidRPr="00461689">
        <w:t xml:space="preserve">:  </w:t>
      </w:r>
      <w:r w:rsidR="00EE3D7F" w:rsidRPr="00AE6E4F">
        <w:rPr>
          <w:bCs/>
        </w:rPr>
        <w:t xml:space="preserve">Pursuant to 50 CFR 600 Subpart P, all states and </w:t>
      </w:r>
      <w:r w:rsidR="005E7E04">
        <w:rPr>
          <w:bCs/>
        </w:rPr>
        <w:t>United States (</w:t>
      </w:r>
      <w:r w:rsidR="00EE3D7F" w:rsidRPr="00AE6E4F">
        <w:rPr>
          <w:bCs/>
        </w:rPr>
        <w:t>U.S.</w:t>
      </w:r>
      <w:r w:rsidR="005E7E04">
        <w:rPr>
          <w:bCs/>
        </w:rPr>
        <w:t>)</w:t>
      </w:r>
      <w:r w:rsidR="00EE3D7F" w:rsidRPr="00AE6E4F">
        <w:rPr>
          <w:bCs/>
        </w:rPr>
        <w:t xml:space="preserve"> territories </w:t>
      </w:r>
      <w:r w:rsidR="00EE3D7F" w:rsidRPr="005E7E04">
        <w:rPr>
          <w:bCs/>
        </w:rPr>
        <w:t xml:space="preserve">have </w:t>
      </w:r>
      <w:r w:rsidR="00B618CD" w:rsidRPr="005E7E04">
        <w:rPr>
          <w:bCs/>
        </w:rPr>
        <w:t xml:space="preserve">now </w:t>
      </w:r>
      <w:r w:rsidR="00EE3D7F" w:rsidRPr="005E7E04">
        <w:rPr>
          <w:bCs/>
        </w:rPr>
        <w:t>been designated as Exempted States except Hawaii, Puerto Rico and the U.S. Virgin Islands</w:t>
      </w:r>
      <w:r w:rsidR="00B618CD" w:rsidRPr="005E7E04">
        <w:rPr>
          <w:bCs/>
        </w:rPr>
        <w:t>, as these three do not yet have state/territorial registries</w:t>
      </w:r>
      <w:r w:rsidR="00EE3D7F" w:rsidRPr="005E7E04">
        <w:rPr>
          <w:bCs/>
        </w:rPr>
        <w:t xml:space="preserve">.  Anglers who are licensed/registered by Exempted States, or who are residents of Exempted States but are not required to be licensed or registered by such states, are not required to register </w:t>
      </w:r>
      <w:r w:rsidR="00146709" w:rsidRPr="005E7E04">
        <w:rPr>
          <w:bCs/>
        </w:rPr>
        <w:t>with NOAA</w:t>
      </w:r>
      <w:r w:rsidR="00EE3D7F" w:rsidRPr="005E7E04">
        <w:rPr>
          <w:bCs/>
        </w:rPr>
        <w:t xml:space="preserve">.  Also, anglers who are fishing on a licensed for-hire fishing vessel are not required to register </w:t>
      </w:r>
      <w:r w:rsidR="00146709" w:rsidRPr="005E7E04">
        <w:rPr>
          <w:bCs/>
        </w:rPr>
        <w:t>with NOAA</w:t>
      </w:r>
      <w:r w:rsidR="00EE3D7F" w:rsidRPr="005E7E04">
        <w:rPr>
          <w:bCs/>
        </w:rPr>
        <w:t xml:space="preserve">.  </w:t>
      </w:r>
    </w:p>
    <w:p w:rsidR="00EE3D7F" w:rsidRDefault="00EE3D7F" w:rsidP="00EE3D7F">
      <w:pPr>
        <w:rPr>
          <w:bCs/>
        </w:rPr>
      </w:pPr>
    </w:p>
    <w:p w:rsidR="00EE3D7F" w:rsidRDefault="00EE3D7F" w:rsidP="00EE3D7F">
      <w:pPr>
        <w:rPr>
          <w:bCs/>
        </w:rPr>
      </w:pPr>
      <w:r>
        <w:rPr>
          <w:bCs/>
        </w:rPr>
        <w:t xml:space="preserve">There are no </w:t>
      </w:r>
      <w:proofErr w:type="spellStart"/>
      <w:r>
        <w:rPr>
          <w:bCs/>
        </w:rPr>
        <w:t>anadromous</w:t>
      </w:r>
      <w:proofErr w:type="spellEnd"/>
      <w:r>
        <w:rPr>
          <w:bCs/>
        </w:rPr>
        <w:t xml:space="preserve"> fisheries in the state territorial waters of</w:t>
      </w:r>
      <w:r w:rsidR="005E7E04">
        <w:rPr>
          <w:bCs/>
        </w:rPr>
        <w:t xml:space="preserve"> Hawaii, Puerto Rico and the U.</w:t>
      </w:r>
      <w:r>
        <w:rPr>
          <w:bCs/>
        </w:rPr>
        <w:t xml:space="preserve">S. Virgin Islands.  Accordingly, only anglers who fish </w:t>
      </w:r>
      <w:r w:rsidR="00146709">
        <w:rPr>
          <w:bCs/>
        </w:rPr>
        <w:t xml:space="preserve">on private (non-for-hire) vessels </w:t>
      </w:r>
      <w:r>
        <w:rPr>
          <w:bCs/>
        </w:rPr>
        <w:t xml:space="preserve">in the U.S. Exclusive Economic Zone adjacent to those states/territories </w:t>
      </w:r>
      <w:r w:rsidR="00146709">
        <w:rPr>
          <w:bCs/>
        </w:rPr>
        <w:t xml:space="preserve">are required to register with NOAA.  Since January of 2010, </w:t>
      </w:r>
      <w:r w:rsidR="00131F77">
        <w:rPr>
          <w:bCs/>
        </w:rPr>
        <w:t xml:space="preserve">the </w:t>
      </w:r>
      <w:r w:rsidR="002C7574">
        <w:rPr>
          <w:bCs/>
        </w:rPr>
        <w:t xml:space="preserve">unduplicated </w:t>
      </w:r>
      <w:r w:rsidR="00131F77">
        <w:rPr>
          <w:bCs/>
        </w:rPr>
        <w:t xml:space="preserve">number of anglers who have registered with NOAA from </w:t>
      </w:r>
      <w:r w:rsidR="00B81F14">
        <w:rPr>
          <w:bCs/>
        </w:rPr>
        <w:t>non-exempted states</w:t>
      </w:r>
      <w:r w:rsidR="0092569D">
        <w:rPr>
          <w:bCs/>
        </w:rPr>
        <w:t>, and who stated they intend to fish in Hawaii, Puerto Rico or the U.S. Virgin Islands, is 4,538</w:t>
      </w:r>
      <w:r w:rsidR="00B618CD">
        <w:rPr>
          <w:bCs/>
        </w:rPr>
        <w:t>.</w:t>
      </w:r>
    </w:p>
    <w:p w:rsidR="00FC6341" w:rsidRDefault="00FC6341">
      <w:pPr>
        <w:rPr>
          <w:bCs/>
        </w:rPr>
      </w:pPr>
    </w:p>
    <w:p w:rsidR="00457481" w:rsidRDefault="00B81F14" w:rsidP="00457481">
      <w:pPr>
        <w:pStyle w:val="Default"/>
      </w:pPr>
      <w:r>
        <w:t xml:space="preserve">Presumably, not all anglers who are required to register with NOAA actually do so at present.  Outreach and compliance initiatives may result in </w:t>
      </w:r>
      <w:r w:rsidR="00D314DA">
        <w:t>increasing</w:t>
      </w:r>
      <w:r>
        <w:t xml:space="preserve"> the number of registrants.  Therefore, it is </w:t>
      </w:r>
      <w:r w:rsidR="00B618CD">
        <w:t xml:space="preserve">estimated </w:t>
      </w:r>
      <w:r>
        <w:t xml:space="preserve">that the </w:t>
      </w:r>
      <w:r w:rsidR="002C7574">
        <w:t xml:space="preserve">maximum </w:t>
      </w:r>
      <w:r>
        <w:t xml:space="preserve">number of potential </w:t>
      </w:r>
      <w:r w:rsidR="00B776DA">
        <w:t xml:space="preserve">annual </w:t>
      </w:r>
      <w:r>
        <w:t xml:space="preserve">registrants </w:t>
      </w:r>
      <w:r w:rsidR="002C7574">
        <w:t>will be</w:t>
      </w:r>
      <w:r w:rsidR="00B618CD">
        <w:t xml:space="preserve"> </w:t>
      </w:r>
      <w:r w:rsidR="00D314DA">
        <w:t>double</w:t>
      </w:r>
      <w:r w:rsidR="00576666">
        <w:t xml:space="preserve"> the number who registered </w:t>
      </w:r>
      <w:r w:rsidR="002C7574">
        <w:t>since January, 2010</w:t>
      </w:r>
      <w:r>
        <w:t xml:space="preserve">, or </w:t>
      </w:r>
      <w:r w:rsidR="0092569D">
        <w:t>9,076</w:t>
      </w:r>
      <w:r>
        <w:t xml:space="preserve">.  </w:t>
      </w:r>
      <w:r w:rsidR="00457481">
        <w:t>Using this estimate of the number of anglers who would be required to register, the estimated potential burden hours are:</w:t>
      </w:r>
      <w:r w:rsidR="00B776DA">
        <w:t xml:space="preserve"> </w:t>
      </w:r>
      <w:r w:rsidR="0092569D">
        <w:t>9</w:t>
      </w:r>
      <w:r w:rsidR="00B618CD">
        <w:t>,</w:t>
      </w:r>
      <w:r w:rsidR="0092569D">
        <w:t xml:space="preserve">076 </w:t>
      </w:r>
      <w:r w:rsidR="00457481">
        <w:t xml:space="preserve">x </w:t>
      </w:r>
      <w:r w:rsidR="0092569D">
        <w:t>3</w:t>
      </w:r>
      <w:r w:rsidR="00457481">
        <w:t xml:space="preserve"> minutes per registration = </w:t>
      </w:r>
      <w:r w:rsidR="0092569D">
        <w:t xml:space="preserve">27,228 </w:t>
      </w:r>
      <w:r w:rsidR="00457481">
        <w:t>minutes/60 minutes =</w:t>
      </w:r>
      <w:r w:rsidR="00D76231">
        <w:t xml:space="preserve"> </w:t>
      </w:r>
      <w:r w:rsidR="0092569D">
        <w:t>453.8</w:t>
      </w:r>
      <w:r w:rsidR="002C7574">
        <w:t xml:space="preserve"> (454)</w:t>
      </w:r>
      <w:r w:rsidR="00457481">
        <w:t xml:space="preserve"> hours</w:t>
      </w:r>
      <w:r w:rsidR="00B776DA">
        <w:t>.</w:t>
      </w:r>
    </w:p>
    <w:p w:rsidR="00457481" w:rsidRDefault="00457481" w:rsidP="00DF5884">
      <w:pPr>
        <w:pStyle w:val="Default"/>
        <w:rPr>
          <w:b/>
          <w:bCs/>
        </w:rPr>
      </w:pPr>
    </w:p>
    <w:p w:rsidR="00F332A2" w:rsidRPr="00F332A2" w:rsidRDefault="00C53B29" w:rsidP="00FC6341">
      <w:pPr>
        <w:pStyle w:val="Default"/>
        <w:rPr>
          <w:b/>
          <w:bCs/>
        </w:rPr>
      </w:pPr>
      <w:r>
        <w:rPr>
          <w:b/>
          <w:bCs/>
        </w:rPr>
        <w:t xml:space="preserve">For-hire vessels:  </w:t>
      </w:r>
      <w:r w:rsidR="00F332A2" w:rsidRPr="00F332A2">
        <w:rPr>
          <w:bCs/>
        </w:rPr>
        <w:t xml:space="preserve">Pursuant to 50 CFR 600 Subpart P, all states and U.S. territories have </w:t>
      </w:r>
    </w:p>
    <w:p w:rsidR="00F332A2" w:rsidRPr="00F332A2" w:rsidRDefault="00F332A2" w:rsidP="00F332A2">
      <w:pPr>
        <w:pStyle w:val="Default"/>
        <w:rPr>
          <w:b/>
          <w:bCs/>
        </w:rPr>
      </w:pPr>
      <w:proofErr w:type="gramStart"/>
      <w:r w:rsidRPr="00F332A2">
        <w:rPr>
          <w:bCs/>
        </w:rPr>
        <w:t>been</w:t>
      </w:r>
      <w:proofErr w:type="gramEnd"/>
      <w:r w:rsidRPr="00F332A2">
        <w:rPr>
          <w:bCs/>
        </w:rPr>
        <w:t xml:space="preserve"> designated as Exempted States</w:t>
      </w:r>
      <w:r>
        <w:rPr>
          <w:bCs/>
        </w:rPr>
        <w:t xml:space="preserve"> for for-hire fishing vessels</w:t>
      </w:r>
      <w:r w:rsidRPr="00F332A2">
        <w:rPr>
          <w:bCs/>
        </w:rPr>
        <w:t xml:space="preserve"> except Hawaii, Puerto Rico and the U.S. Virgin Islands.  </w:t>
      </w:r>
      <w:proofErr w:type="gramStart"/>
      <w:r>
        <w:rPr>
          <w:bCs/>
        </w:rPr>
        <w:t>For-hire vessels that</w:t>
      </w:r>
      <w:r w:rsidRPr="00F332A2">
        <w:rPr>
          <w:bCs/>
        </w:rPr>
        <w:t xml:space="preserve"> are licensed/registered by Exempted States</w:t>
      </w:r>
      <w:r w:rsidR="00F843AF">
        <w:rPr>
          <w:bCs/>
        </w:rPr>
        <w:t xml:space="preserve"> or by NO</w:t>
      </w:r>
      <w:r>
        <w:rPr>
          <w:bCs/>
        </w:rPr>
        <w:t xml:space="preserve">AA Fisheries </w:t>
      </w:r>
      <w:r w:rsidRPr="00F332A2">
        <w:rPr>
          <w:bCs/>
        </w:rPr>
        <w:t>are not required to register with NOAA.</w:t>
      </w:r>
      <w:proofErr w:type="gramEnd"/>
      <w:r w:rsidRPr="00F332A2">
        <w:rPr>
          <w:bCs/>
        </w:rPr>
        <w:t xml:space="preserve">  </w:t>
      </w:r>
    </w:p>
    <w:p w:rsidR="00F332A2" w:rsidRDefault="00F332A2" w:rsidP="00F332A2">
      <w:pPr>
        <w:rPr>
          <w:bCs/>
        </w:rPr>
      </w:pPr>
    </w:p>
    <w:p w:rsidR="00F332A2" w:rsidRDefault="00F332A2" w:rsidP="00F332A2">
      <w:pPr>
        <w:rPr>
          <w:bCs/>
        </w:rPr>
      </w:pPr>
      <w:r>
        <w:rPr>
          <w:bCs/>
        </w:rPr>
        <w:t xml:space="preserve">There are no </w:t>
      </w:r>
      <w:proofErr w:type="spellStart"/>
      <w:r>
        <w:rPr>
          <w:bCs/>
        </w:rPr>
        <w:t>anadromous</w:t>
      </w:r>
      <w:proofErr w:type="spellEnd"/>
      <w:r>
        <w:rPr>
          <w:bCs/>
        </w:rPr>
        <w:t xml:space="preserve"> fisheries in the state territorial waters of</w:t>
      </w:r>
      <w:r w:rsidR="00F843AF">
        <w:rPr>
          <w:bCs/>
        </w:rPr>
        <w:t xml:space="preserve"> Hawaii, Puerto Rico and the U.</w:t>
      </w:r>
      <w:r>
        <w:rPr>
          <w:bCs/>
        </w:rPr>
        <w:t xml:space="preserve">S. Virgin Islands.  Accordingly, only non-exempt for-hire vessels that fish in the U.S. Exclusive Economic Zone adjacent to those states/territories are required to register with NOAA.  Since January of 2010, the </w:t>
      </w:r>
      <w:r w:rsidR="002C7574">
        <w:rPr>
          <w:bCs/>
        </w:rPr>
        <w:t xml:space="preserve">unduplicated </w:t>
      </w:r>
      <w:r>
        <w:rPr>
          <w:bCs/>
        </w:rPr>
        <w:t xml:space="preserve">number of for-hire vessels </w:t>
      </w:r>
      <w:r w:rsidR="00D314DA">
        <w:rPr>
          <w:bCs/>
        </w:rPr>
        <w:t xml:space="preserve">from non-exempt states </w:t>
      </w:r>
      <w:r>
        <w:rPr>
          <w:bCs/>
        </w:rPr>
        <w:t>that have registered with NOAA is</w:t>
      </w:r>
      <w:r w:rsidR="0092569D">
        <w:rPr>
          <w:bCs/>
        </w:rPr>
        <w:t xml:space="preserve"> 32.</w:t>
      </w:r>
    </w:p>
    <w:p w:rsidR="00F332A2" w:rsidRPr="00EE3D7F" w:rsidRDefault="00F332A2" w:rsidP="0092569D">
      <w:pPr>
        <w:rPr>
          <w:bCs/>
        </w:rPr>
      </w:pPr>
    </w:p>
    <w:p w:rsidR="00F332A2" w:rsidRDefault="00F332A2" w:rsidP="00F332A2">
      <w:pPr>
        <w:pStyle w:val="Default"/>
      </w:pPr>
      <w:r>
        <w:t xml:space="preserve">Presumably, not all for-hire vessels that are required to register with NOAA actually do so at present.  Outreach and compliance initiatives may result in </w:t>
      </w:r>
      <w:r w:rsidR="00D314DA">
        <w:t>increasing</w:t>
      </w:r>
      <w:r>
        <w:t xml:space="preserve"> the number of registrants.  Therefore, it is </w:t>
      </w:r>
      <w:r w:rsidR="00B618CD">
        <w:t xml:space="preserve">estimated </w:t>
      </w:r>
      <w:r>
        <w:t xml:space="preserve">that the </w:t>
      </w:r>
      <w:r w:rsidR="002C7574">
        <w:t xml:space="preserve">maximum </w:t>
      </w:r>
      <w:r>
        <w:t xml:space="preserve">number of </w:t>
      </w:r>
      <w:r w:rsidR="00B776DA">
        <w:t xml:space="preserve">annual </w:t>
      </w:r>
      <w:r>
        <w:t xml:space="preserve">potential registrants </w:t>
      </w:r>
      <w:r w:rsidR="002C7574">
        <w:t xml:space="preserve">will </w:t>
      </w:r>
      <w:r w:rsidR="00B618CD">
        <w:t xml:space="preserve">be twice </w:t>
      </w:r>
      <w:r>
        <w:t xml:space="preserve">the number who </w:t>
      </w:r>
      <w:r w:rsidR="002C7574">
        <w:t>have registered since January, 2010</w:t>
      </w:r>
      <w:r>
        <w:t xml:space="preserve">, or </w:t>
      </w:r>
      <w:r w:rsidR="0092569D">
        <w:t>64</w:t>
      </w:r>
      <w:r w:rsidR="00B776DA">
        <w:t xml:space="preserve">. </w:t>
      </w:r>
      <w:r>
        <w:t>Using this estimate of the number of for-hire vessels that would be required to register, the estimated potential burden hours are:</w:t>
      </w:r>
      <w:r w:rsidR="00D76231">
        <w:t xml:space="preserve"> es</w:t>
      </w:r>
      <w:r>
        <w:t xml:space="preserve">timated number of vessels: </w:t>
      </w:r>
      <w:r w:rsidR="00B776DA">
        <w:t>64</w:t>
      </w:r>
      <w:r w:rsidR="002C7574">
        <w:t xml:space="preserve"> </w:t>
      </w:r>
      <w:r>
        <w:t xml:space="preserve">x </w:t>
      </w:r>
      <w:r w:rsidR="0092569D">
        <w:t>3</w:t>
      </w:r>
      <w:r>
        <w:t xml:space="preserve"> minutes per registration = </w:t>
      </w:r>
      <w:r w:rsidR="0092569D">
        <w:t>192 minutes/60 minutes = 3.2</w:t>
      </w:r>
      <w:r w:rsidR="00B776DA">
        <w:t xml:space="preserve"> (3) </w:t>
      </w:r>
      <w:r>
        <w:t>hours.</w:t>
      </w:r>
    </w:p>
    <w:p w:rsidR="00AE6E4F" w:rsidRDefault="00AE6E4F" w:rsidP="00F332A2">
      <w:pPr>
        <w:pStyle w:val="Default"/>
      </w:pPr>
    </w:p>
    <w:p w:rsidR="005F48E1" w:rsidRDefault="00AE6E4F" w:rsidP="00B81F14">
      <w:pPr>
        <w:pStyle w:val="Default"/>
      </w:pPr>
      <w:r>
        <w:t xml:space="preserve">Total </w:t>
      </w:r>
      <w:r w:rsidR="005F48E1">
        <w:t>annual responses: 9,140</w:t>
      </w:r>
    </w:p>
    <w:p w:rsidR="00F332A2" w:rsidRDefault="005F48E1" w:rsidP="00B81F14">
      <w:pPr>
        <w:pStyle w:val="Default"/>
      </w:pPr>
      <w:r>
        <w:t xml:space="preserve">Total annual </w:t>
      </w:r>
      <w:r w:rsidR="00F843AF">
        <w:t>burden hours:</w:t>
      </w:r>
      <w:r w:rsidR="00D76231">
        <w:t xml:space="preserve"> </w:t>
      </w:r>
      <w:r w:rsidR="00B776DA">
        <w:t>454</w:t>
      </w:r>
      <w:r w:rsidR="00D314DA">
        <w:t xml:space="preserve"> +</w:t>
      </w:r>
      <w:r w:rsidR="00D76231">
        <w:t xml:space="preserve"> </w:t>
      </w:r>
      <w:r w:rsidR="00B776DA">
        <w:t>3</w:t>
      </w:r>
      <w:r w:rsidR="00D76231">
        <w:t xml:space="preserve"> = </w:t>
      </w:r>
      <w:r w:rsidR="00D314DA">
        <w:t>457</w:t>
      </w:r>
      <w:r w:rsidR="00B618CD">
        <w:t>.</w:t>
      </w:r>
    </w:p>
    <w:p w:rsidR="00F332A2" w:rsidRDefault="00F332A2" w:rsidP="00B81F14">
      <w:pPr>
        <w:pStyle w:val="Default"/>
      </w:pPr>
    </w:p>
    <w:p w:rsidR="00C53B29" w:rsidRDefault="00F332A2" w:rsidP="00DF5884">
      <w:pPr>
        <w:pStyle w:val="Default"/>
        <w:rPr>
          <w:b/>
          <w:bCs/>
        </w:rPr>
      </w:pPr>
      <w:r>
        <w:rPr>
          <w:b/>
          <w:bCs/>
        </w:rPr>
        <w:t xml:space="preserve"> </w:t>
      </w:r>
      <w:r w:rsidR="00C53B29">
        <w:rPr>
          <w:b/>
          <w:bCs/>
        </w:rPr>
        <w:t>(</w:t>
      </w:r>
      <w:r w:rsidR="00ED373F">
        <w:rPr>
          <w:b/>
          <w:bCs/>
        </w:rPr>
        <w:t>c</w:t>
      </w:r>
      <w:r w:rsidR="00C53B29">
        <w:rPr>
          <w:b/>
          <w:bCs/>
        </w:rPr>
        <w:t>) Estimates of annualized labor costs to respondents</w:t>
      </w:r>
    </w:p>
    <w:p w:rsidR="00C53B29" w:rsidRDefault="00C53B29" w:rsidP="00DF5884">
      <w:pPr>
        <w:pStyle w:val="Default"/>
      </w:pPr>
    </w:p>
    <w:p w:rsidR="00C53B29" w:rsidRDefault="00C53B29" w:rsidP="00DF5884">
      <w:pPr>
        <w:pStyle w:val="Default"/>
      </w:pPr>
      <w:r>
        <w:t>The estimate of annualized labor costs to respondents for the hour burden for complying with the annual registration requirement is summarized in the following table, assuming a labor rate equivalent of $25 per hour.</w:t>
      </w:r>
    </w:p>
    <w:p w:rsidR="00C53B29" w:rsidRDefault="00C53B29" w:rsidP="00DF5884">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0"/>
        <w:gridCol w:w="3193"/>
        <w:gridCol w:w="3203"/>
      </w:tblGrid>
      <w:tr w:rsidR="00C53B29" w:rsidTr="00334183">
        <w:tc>
          <w:tcPr>
            <w:tcW w:w="3445" w:type="dxa"/>
          </w:tcPr>
          <w:p w:rsidR="00C53B29" w:rsidRDefault="00C53B29" w:rsidP="001A627F">
            <w:pPr>
              <w:pStyle w:val="Default"/>
              <w:jc w:val="center"/>
            </w:pPr>
            <w:r>
              <w:t>Category</w:t>
            </w:r>
          </w:p>
          <w:p w:rsidR="00C53B29" w:rsidRDefault="00C53B29" w:rsidP="001A627F">
            <w:pPr>
              <w:pStyle w:val="Default"/>
              <w:jc w:val="center"/>
            </w:pPr>
          </w:p>
        </w:tc>
        <w:tc>
          <w:tcPr>
            <w:tcW w:w="3445" w:type="dxa"/>
          </w:tcPr>
          <w:p w:rsidR="00C53B29" w:rsidRDefault="00C53B29" w:rsidP="001A627F">
            <w:pPr>
              <w:pStyle w:val="Default"/>
              <w:jc w:val="center"/>
            </w:pPr>
            <w:r>
              <w:t>Maximum Burden Hours</w:t>
            </w:r>
          </w:p>
        </w:tc>
        <w:tc>
          <w:tcPr>
            <w:tcW w:w="3446" w:type="dxa"/>
          </w:tcPr>
          <w:p w:rsidR="00C53B29" w:rsidRDefault="00C53B29" w:rsidP="001A627F">
            <w:pPr>
              <w:pStyle w:val="Default"/>
              <w:jc w:val="center"/>
            </w:pPr>
            <w:r>
              <w:t>Labor Cost of Burden Hours @$25</w:t>
            </w:r>
          </w:p>
        </w:tc>
      </w:tr>
      <w:tr w:rsidR="00C53B29" w:rsidTr="00334183">
        <w:tc>
          <w:tcPr>
            <w:tcW w:w="3445" w:type="dxa"/>
          </w:tcPr>
          <w:p w:rsidR="00C53B29" w:rsidRDefault="00C53B29" w:rsidP="001A627F">
            <w:pPr>
              <w:pStyle w:val="Default"/>
              <w:jc w:val="center"/>
            </w:pPr>
            <w:r>
              <w:t>Anglers</w:t>
            </w:r>
          </w:p>
          <w:p w:rsidR="00C53B29" w:rsidRDefault="00C53B29" w:rsidP="001A627F">
            <w:pPr>
              <w:pStyle w:val="Default"/>
              <w:jc w:val="center"/>
            </w:pPr>
          </w:p>
        </w:tc>
        <w:tc>
          <w:tcPr>
            <w:tcW w:w="3445" w:type="dxa"/>
          </w:tcPr>
          <w:p w:rsidR="00C53B29" w:rsidRDefault="00D314DA" w:rsidP="001A627F">
            <w:pPr>
              <w:pStyle w:val="Default"/>
              <w:jc w:val="center"/>
            </w:pPr>
            <w:r>
              <w:t>45</w:t>
            </w:r>
            <w:r w:rsidR="00B776DA">
              <w:t>4</w:t>
            </w:r>
          </w:p>
        </w:tc>
        <w:tc>
          <w:tcPr>
            <w:tcW w:w="3446" w:type="dxa"/>
          </w:tcPr>
          <w:p w:rsidR="00C53B29" w:rsidRDefault="00D314DA" w:rsidP="00ED373F">
            <w:pPr>
              <w:pStyle w:val="Default"/>
              <w:jc w:val="center"/>
            </w:pPr>
            <w:r>
              <w:t>$11,3</w:t>
            </w:r>
            <w:r w:rsidR="00ED373F">
              <w:t>50</w:t>
            </w:r>
            <w:r>
              <w:t>.00</w:t>
            </w:r>
          </w:p>
        </w:tc>
      </w:tr>
      <w:tr w:rsidR="00C53B29" w:rsidTr="00334183">
        <w:tc>
          <w:tcPr>
            <w:tcW w:w="3445" w:type="dxa"/>
          </w:tcPr>
          <w:p w:rsidR="00C53B29" w:rsidRDefault="00C53B29" w:rsidP="001A627F">
            <w:pPr>
              <w:pStyle w:val="Default"/>
              <w:jc w:val="center"/>
            </w:pPr>
            <w:r>
              <w:t>For-Hire Vessels</w:t>
            </w:r>
          </w:p>
          <w:p w:rsidR="00C53B29" w:rsidRDefault="00C53B29" w:rsidP="001A627F">
            <w:pPr>
              <w:pStyle w:val="Default"/>
              <w:jc w:val="center"/>
            </w:pPr>
          </w:p>
        </w:tc>
        <w:tc>
          <w:tcPr>
            <w:tcW w:w="3445" w:type="dxa"/>
          </w:tcPr>
          <w:p w:rsidR="00C53B29" w:rsidRDefault="00D314DA" w:rsidP="001A627F">
            <w:pPr>
              <w:pStyle w:val="Default"/>
              <w:jc w:val="center"/>
            </w:pPr>
            <w:r>
              <w:lastRenderedPageBreak/>
              <w:t>3</w:t>
            </w:r>
          </w:p>
        </w:tc>
        <w:tc>
          <w:tcPr>
            <w:tcW w:w="3446" w:type="dxa"/>
          </w:tcPr>
          <w:p w:rsidR="00C53B29" w:rsidRDefault="00D314DA" w:rsidP="00ED373F">
            <w:pPr>
              <w:pStyle w:val="Default"/>
              <w:jc w:val="center"/>
            </w:pPr>
            <w:r>
              <w:t>$</w:t>
            </w:r>
            <w:r w:rsidR="00ED373F">
              <w:t>75</w:t>
            </w:r>
            <w:r>
              <w:t>.00</w:t>
            </w:r>
          </w:p>
        </w:tc>
      </w:tr>
      <w:tr w:rsidR="00C53B29" w:rsidTr="00334183">
        <w:tc>
          <w:tcPr>
            <w:tcW w:w="3445" w:type="dxa"/>
          </w:tcPr>
          <w:p w:rsidR="00C53B29" w:rsidRDefault="00C53B29" w:rsidP="001A627F">
            <w:pPr>
              <w:pStyle w:val="Default"/>
              <w:jc w:val="center"/>
            </w:pPr>
            <w:r>
              <w:lastRenderedPageBreak/>
              <w:t>Total</w:t>
            </w:r>
          </w:p>
          <w:p w:rsidR="00C53B29" w:rsidRDefault="00C53B29" w:rsidP="001A627F">
            <w:pPr>
              <w:pStyle w:val="Default"/>
              <w:jc w:val="center"/>
            </w:pPr>
          </w:p>
        </w:tc>
        <w:tc>
          <w:tcPr>
            <w:tcW w:w="3445" w:type="dxa"/>
          </w:tcPr>
          <w:p w:rsidR="00C53B29" w:rsidRDefault="00D314DA" w:rsidP="001A627F">
            <w:pPr>
              <w:pStyle w:val="Default"/>
              <w:jc w:val="center"/>
            </w:pPr>
            <w:r>
              <w:t>457</w:t>
            </w:r>
          </w:p>
        </w:tc>
        <w:tc>
          <w:tcPr>
            <w:tcW w:w="3446" w:type="dxa"/>
          </w:tcPr>
          <w:p w:rsidR="00C53B29" w:rsidRDefault="00D314DA" w:rsidP="001A627F">
            <w:pPr>
              <w:pStyle w:val="Default"/>
              <w:jc w:val="center"/>
            </w:pPr>
            <w:r>
              <w:t>$11,425.00</w:t>
            </w:r>
          </w:p>
        </w:tc>
      </w:tr>
    </w:tbl>
    <w:p w:rsidR="00FC6341" w:rsidRDefault="00FC6341">
      <w:pPr>
        <w:rPr>
          <w:b/>
          <w:bCs/>
        </w:rPr>
      </w:pPr>
    </w:p>
    <w:p w:rsidR="00271098" w:rsidRDefault="00271098" w:rsidP="00271098">
      <w:r>
        <w:rPr>
          <w:b/>
          <w:bCs/>
        </w:rPr>
        <w:t xml:space="preserve">13.  </w:t>
      </w:r>
      <w:r>
        <w:rPr>
          <w:b/>
          <w:bCs/>
          <w:u w:val="single"/>
        </w:rPr>
        <w:t xml:space="preserve">Provide an estimate of the total annual cost burden to the respondents or record-keepers resulting from the collection (excluding the value of the </w:t>
      </w:r>
      <w:r w:rsidR="005E7E04">
        <w:rPr>
          <w:b/>
          <w:bCs/>
          <w:u w:val="single"/>
        </w:rPr>
        <w:t xml:space="preserve">burden hours in Question </w:t>
      </w:r>
      <w:r>
        <w:rPr>
          <w:b/>
          <w:bCs/>
          <w:u w:val="single"/>
        </w:rPr>
        <w:t>12 above)</w:t>
      </w:r>
      <w:r>
        <w:rPr>
          <w:b/>
          <w:bCs/>
        </w:rPr>
        <w:t>.</w:t>
      </w:r>
    </w:p>
    <w:p w:rsidR="00C53B29" w:rsidRPr="008C33A5" w:rsidRDefault="00C53B29" w:rsidP="00DF5884">
      <w:pPr>
        <w:pStyle w:val="Default"/>
        <w:ind w:left="360"/>
        <w:rPr>
          <w:color w:val="auto"/>
        </w:rPr>
      </w:pPr>
    </w:p>
    <w:p w:rsidR="00C53B29" w:rsidRDefault="00F332A2" w:rsidP="00F332A2">
      <w:pPr>
        <w:pStyle w:val="Default"/>
        <w:rPr>
          <w:bCs/>
          <w:color w:val="auto"/>
        </w:rPr>
      </w:pPr>
      <w:r w:rsidRPr="00F332A2">
        <w:rPr>
          <w:bCs/>
          <w:color w:val="auto"/>
        </w:rPr>
        <w:t xml:space="preserve">As of January 1, 2011, an annual registration fee </w:t>
      </w:r>
      <w:r>
        <w:rPr>
          <w:bCs/>
          <w:color w:val="auto"/>
        </w:rPr>
        <w:t xml:space="preserve">of $15.00 has been required for registration with NOAA.  </w:t>
      </w:r>
      <w:r w:rsidR="002350EA">
        <w:rPr>
          <w:bCs/>
          <w:color w:val="auto"/>
        </w:rPr>
        <w:t>Total annual cost burden is therefore:</w:t>
      </w:r>
    </w:p>
    <w:p w:rsidR="002350EA" w:rsidRDefault="002350EA" w:rsidP="00F332A2">
      <w:pPr>
        <w:pStyle w:val="Default"/>
        <w:rPr>
          <w:bCs/>
          <w:color w:val="auto"/>
        </w:rPr>
      </w:pPr>
      <w:r>
        <w:rPr>
          <w:bCs/>
          <w:color w:val="auto"/>
        </w:rPr>
        <w:tab/>
        <w:t xml:space="preserve">Anglers:  </w:t>
      </w:r>
      <w:r w:rsidR="00D314DA">
        <w:rPr>
          <w:bCs/>
          <w:color w:val="auto"/>
        </w:rPr>
        <w:t>9</w:t>
      </w:r>
      <w:r w:rsidR="00B776DA">
        <w:rPr>
          <w:bCs/>
          <w:color w:val="auto"/>
        </w:rPr>
        <w:t>,</w:t>
      </w:r>
      <w:r w:rsidR="00D314DA">
        <w:rPr>
          <w:bCs/>
          <w:color w:val="auto"/>
        </w:rPr>
        <w:t>076</w:t>
      </w:r>
      <w:r w:rsidR="00B776DA">
        <w:rPr>
          <w:bCs/>
          <w:color w:val="auto"/>
        </w:rPr>
        <w:t xml:space="preserve"> registrations</w:t>
      </w:r>
      <w:r w:rsidR="008B669D">
        <w:rPr>
          <w:bCs/>
          <w:color w:val="auto"/>
        </w:rPr>
        <w:t xml:space="preserve"> x</w:t>
      </w:r>
      <w:r>
        <w:rPr>
          <w:bCs/>
          <w:color w:val="auto"/>
        </w:rPr>
        <w:t xml:space="preserve"> $15.00/registration = $</w:t>
      </w:r>
      <w:r w:rsidR="00D314DA">
        <w:rPr>
          <w:bCs/>
          <w:color w:val="auto"/>
        </w:rPr>
        <w:t>136,140</w:t>
      </w:r>
    </w:p>
    <w:p w:rsidR="002350EA" w:rsidRDefault="002350EA" w:rsidP="00F332A2">
      <w:pPr>
        <w:pStyle w:val="Default"/>
        <w:rPr>
          <w:bCs/>
          <w:color w:val="auto"/>
        </w:rPr>
      </w:pPr>
      <w:r>
        <w:rPr>
          <w:bCs/>
          <w:color w:val="auto"/>
        </w:rPr>
        <w:tab/>
        <w:t>For-hire Vessels:</w:t>
      </w:r>
      <w:r w:rsidR="00D314DA">
        <w:rPr>
          <w:bCs/>
          <w:color w:val="auto"/>
        </w:rPr>
        <w:t xml:space="preserve"> </w:t>
      </w:r>
      <w:r w:rsidR="00B776DA">
        <w:rPr>
          <w:bCs/>
          <w:color w:val="auto"/>
        </w:rPr>
        <w:t>64 registrations</w:t>
      </w:r>
      <w:r w:rsidR="008B669D">
        <w:rPr>
          <w:bCs/>
          <w:color w:val="auto"/>
        </w:rPr>
        <w:t xml:space="preserve"> x</w:t>
      </w:r>
      <w:r>
        <w:rPr>
          <w:bCs/>
          <w:color w:val="auto"/>
        </w:rPr>
        <w:t xml:space="preserve"> $15.00/</w:t>
      </w:r>
      <w:r w:rsidR="00D314DA">
        <w:rPr>
          <w:bCs/>
          <w:color w:val="auto"/>
        </w:rPr>
        <w:t>registration =</w:t>
      </w:r>
      <w:r>
        <w:rPr>
          <w:bCs/>
          <w:color w:val="auto"/>
        </w:rPr>
        <w:t xml:space="preserve"> $</w:t>
      </w:r>
      <w:r w:rsidR="00B776DA">
        <w:rPr>
          <w:bCs/>
          <w:color w:val="auto"/>
        </w:rPr>
        <w:t>960</w:t>
      </w:r>
    </w:p>
    <w:p w:rsidR="002350EA" w:rsidRDefault="002350EA" w:rsidP="00F332A2">
      <w:pPr>
        <w:pStyle w:val="Default"/>
        <w:rPr>
          <w:bCs/>
          <w:color w:val="auto"/>
        </w:rPr>
      </w:pPr>
      <w:r>
        <w:rPr>
          <w:bCs/>
          <w:color w:val="auto"/>
        </w:rPr>
        <w:tab/>
        <w:t>Total = $</w:t>
      </w:r>
      <w:r w:rsidR="00D314DA">
        <w:rPr>
          <w:bCs/>
          <w:color w:val="auto"/>
        </w:rPr>
        <w:t xml:space="preserve"> 13</w:t>
      </w:r>
      <w:r w:rsidR="00B776DA">
        <w:rPr>
          <w:bCs/>
          <w:color w:val="auto"/>
        </w:rPr>
        <w:t>7</w:t>
      </w:r>
      <w:r w:rsidR="00D314DA">
        <w:rPr>
          <w:bCs/>
          <w:color w:val="auto"/>
        </w:rPr>
        <w:t>,</w:t>
      </w:r>
      <w:r w:rsidR="00B776DA">
        <w:rPr>
          <w:bCs/>
          <w:color w:val="auto"/>
        </w:rPr>
        <w:t>100</w:t>
      </w:r>
      <w:r w:rsidR="00B618CD">
        <w:rPr>
          <w:bCs/>
          <w:color w:val="auto"/>
        </w:rPr>
        <w:t>.</w:t>
      </w:r>
    </w:p>
    <w:p w:rsidR="005F48E1" w:rsidRDefault="005F48E1" w:rsidP="00F332A2">
      <w:pPr>
        <w:pStyle w:val="Default"/>
        <w:rPr>
          <w:bCs/>
          <w:color w:val="auto"/>
        </w:rPr>
      </w:pPr>
    </w:p>
    <w:p w:rsidR="005F48E1" w:rsidRDefault="005F48E1" w:rsidP="00F332A2">
      <w:pPr>
        <w:pStyle w:val="Default"/>
        <w:rPr>
          <w:bCs/>
          <w:color w:val="auto"/>
        </w:rPr>
      </w:pPr>
      <w:r>
        <w:rPr>
          <w:bCs/>
          <w:color w:val="auto"/>
        </w:rPr>
        <w:t>There are no other reporting/recordkeeping costs.</w:t>
      </w:r>
    </w:p>
    <w:p w:rsidR="00576666" w:rsidRPr="00F332A2" w:rsidRDefault="00576666" w:rsidP="00F332A2">
      <w:pPr>
        <w:pStyle w:val="Default"/>
        <w:rPr>
          <w:bCs/>
          <w:color w:val="auto"/>
        </w:rPr>
      </w:pPr>
    </w:p>
    <w:p w:rsidR="00C53B29" w:rsidRDefault="00C53B29" w:rsidP="00DF5884">
      <w:pPr>
        <w:pStyle w:val="Default"/>
        <w:rPr>
          <w:b/>
          <w:bCs/>
          <w:color w:val="auto"/>
        </w:rPr>
      </w:pPr>
      <w:r w:rsidRPr="001A627F">
        <w:rPr>
          <w:b/>
          <w:bCs/>
          <w:color w:val="auto"/>
        </w:rPr>
        <w:t>14.</w:t>
      </w:r>
      <w:r w:rsidR="001A627F" w:rsidRPr="001A627F">
        <w:rPr>
          <w:b/>
          <w:bCs/>
          <w:color w:val="auto"/>
        </w:rPr>
        <w:t xml:space="preserve">  </w:t>
      </w:r>
      <w:r>
        <w:rPr>
          <w:b/>
          <w:bCs/>
          <w:color w:val="auto"/>
          <w:u w:val="single"/>
        </w:rPr>
        <w:t>Provide estimates of annualized cost to the Federal government</w:t>
      </w:r>
      <w:r>
        <w:rPr>
          <w:b/>
          <w:bCs/>
          <w:color w:val="auto"/>
        </w:rPr>
        <w:t xml:space="preserve">. </w:t>
      </w:r>
    </w:p>
    <w:p w:rsidR="00C53B29" w:rsidRDefault="00C53B29" w:rsidP="00DF5884">
      <w:pPr>
        <w:pStyle w:val="Default"/>
        <w:rPr>
          <w:color w:val="auto"/>
        </w:rPr>
      </w:pPr>
    </w:p>
    <w:p w:rsidR="00C53B29" w:rsidRDefault="0056110E" w:rsidP="00DF5884">
      <w:pPr>
        <w:pStyle w:val="Default"/>
      </w:pPr>
      <w:r>
        <w:t>The 2011 a</w:t>
      </w:r>
      <w:r w:rsidR="00C53B29">
        <w:t>nnual cost to the Federal government is approximately $</w:t>
      </w:r>
      <w:r>
        <w:t>2,735,000</w:t>
      </w:r>
      <w:r w:rsidR="00C53B29">
        <w:t xml:space="preserve"> divided as follows: $</w:t>
      </w:r>
      <w:r>
        <w:t xml:space="preserve"> 2,084,000</w:t>
      </w:r>
      <w:r w:rsidR="00C53B29">
        <w:t xml:space="preserve"> in contract</w:t>
      </w:r>
      <w:r>
        <w:t>ual costs</w:t>
      </w:r>
      <w:r w:rsidR="00C53B29">
        <w:t xml:space="preserve">, </w:t>
      </w:r>
      <w:r>
        <w:t xml:space="preserve">$386,000 </w:t>
      </w:r>
      <w:r w:rsidR="005F48E1">
        <w:t>l</w:t>
      </w:r>
      <w:r>
        <w:t>in</w:t>
      </w:r>
      <w:r w:rsidR="00F843AF">
        <w:t>e</w:t>
      </w:r>
      <w:r>
        <w:t xml:space="preserve"> personnel costs and $265,000 in distributed (indirect) costs.</w:t>
      </w:r>
    </w:p>
    <w:p w:rsidR="0056110E" w:rsidRPr="0058679C" w:rsidRDefault="0056110E" w:rsidP="00DF5884">
      <w:pPr>
        <w:pStyle w:val="Default"/>
      </w:pPr>
    </w:p>
    <w:p w:rsidR="00C53B29" w:rsidRDefault="00C53B29" w:rsidP="00271098">
      <w:pPr>
        <w:pStyle w:val="CM22"/>
        <w:spacing w:after="0"/>
      </w:pPr>
      <w:r>
        <w:rPr>
          <w:b/>
          <w:bCs/>
        </w:rPr>
        <w:t>15.</w:t>
      </w:r>
      <w:r w:rsidR="001A627F">
        <w:rPr>
          <w:b/>
          <w:bCs/>
        </w:rPr>
        <w:t xml:space="preserve"> </w:t>
      </w:r>
      <w:r>
        <w:rPr>
          <w:b/>
          <w:bCs/>
        </w:rPr>
        <w:t xml:space="preserve"> </w:t>
      </w:r>
      <w:r>
        <w:rPr>
          <w:b/>
          <w:bCs/>
          <w:u w:val="single"/>
        </w:rPr>
        <w:t>Explain the reasons for any program changes or adjustments</w:t>
      </w:r>
      <w:r w:rsidR="00F843AF">
        <w:rPr>
          <w:b/>
          <w:bCs/>
          <w:u w:val="single"/>
        </w:rPr>
        <w:t>.</w:t>
      </w:r>
    </w:p>
    <w:p w:rsidR="00C53B29" w:rsidRDefault="00C53B29" w:rsidP="00DF5884">
      <w:pPr>
        <w:pStyle w:val="Default"/>
        <w:rPr>
          <w:highlight w:val="yellow"/>
        </w:rPr>
      </w:pPr>
    </w:p>
    <w:p w:rsidR="00C53B29" w:rsidRDefault="0056110E" w:rsidP="00DF5884">
      <w:pPr>
        <w:pStyle w:val="CM23"/>
        <w:spacing w:after="0"/>
        <w:ind w:right="533"/>
        <w:rPr>
          <w:bCs/>
        </w:rPr>
      </w:pPr>
      <w:r>
        <w:rPr>
          <w:bCs/>
        </w:rPr>
        <w:t xml:space="preserve">Adjustment:  The burden </w:t>
      </w:r>
      <w:proofErr w:type="gramStart"/>
      <w:r>
        <w:rPr>
          <w:bCs/>
        </w:rPr>
        <w:t>hours</w:t>
      </w:r>
      <w:proofErr w:type="gramEnd"/>
      <w:r>
        <w:rPr>
          <w:bCs/>
        </w:rPr>
        <w:t xml:space="preserve"> estimate is adjusted downward to reflect the designation of all states except Hawaii, </w:t>
      </w:r>
      <w:r w:rsidR="00C04BBE">
        <w:rPr>
          <w:bCs/>
        </w:rPr>
        <w:t xml:space="preserve">and </w:t>
      </w:r>
      <w:r>
        <w:rPr>
          <w:bCs/>
        </w:rPr>
        <w:t>Puerto Rico and the U.S. Virgin Islands</w:t>
      </w:r>
      <w:r w:rsidR="00C04BBE">
        <w:rPr>
          <w:bCs/>
        </w:rPr>
        <w:t>,</w:t>
      </w:r>
      <w:r>
        <w:rPr>
          <w:bCs/>
        </w:rPr>
        <w:t xml:space="preserve"> as Exempted States</w:t>
      </w:r>
      <w:r w:rsidR="00C04BBE">
        <w:rPr>
          <w:bCs/>
        </w:rPr>
        <w:t>/Territories</w:t>
      </w:r>
      <w:r>
        <w:rPr>
          <w:bCs/>
        </w:rPr>
        <w:t xml:space="preserve">, along with actual experience in registering non-exempt anglers and for-hire vessels.  This adjustment has reduced the estimated number of anglers and for-hire vessels that are required to register with NOAA from the original estimate </w:t>
      </w:r>
      <w:r w:rsidR="00D76231">
        <w:rPr>
          <w:bCs/>
        </w:rPr>
        <w:t xml:space="preserve">of </w:t>
      </w:r>
      <w:r w:rsidR="009D2F58">
        <w:rPr>
          <w:bCs/>
        </w:rPr>
        <w:t>2,022,300</w:t>
      </w:r>
      <w:r>
        <w:rPr>
          <w:bCs/>
        </w:rPr>
        <w:t xml:space="preserve"> and</w:t>
      </w:r>
      <w:r w:rsidR="009D2F58">
        <w:rPr>
          <w:bCs/>
        </w:rPr>
        <w:t xml:space="preserve"> 2,391</w:t>
      </w:r>
      <w:r w:rsidR="005F48E1">
        <w:rPr>
          <w:bCs/>
        </w:rPr>
        <w:t xml:space="preserve"> (2,024,691)</w:t>
      </w:r>
      <w:r>
        <w:rPr>
          <w:bCs/>
        </w:rPr>
        <w:t xml:space="preserve"> to</w:t>
      </w:r>
      <w:r w:rsidR="009D2F58">
        <w:rPr>
          <w:bCs/>
        </w:rPr>
        <w:t xml:space="preserve"> 9,076</w:t>
      </w:r>
      <w:r>
        <w:rPr>
          <w:bCs/>
        </w:rPr>
        <w:t xml:space="preserve"> and</w:t>
      </w:r>
      <w:r w:rsidR="009D2F58">
        <w:rPr>
          <w:bCs/>
        </w:rPr>
        <w:t xml:space="preserve"> </w:t>
      </w:r>
      <w:r w:rsidR="00B776DA">
        <w:rPr>
          <w:bCs/>
        </w:rPr>
        <w:t>64</w:t>
      </w:r>
      <w:r>
        <w:rPr>
          <w:bCs/>
        </w:rPr>
        <w:t>, respectively</w:t>
      </w:r>
      <w:r w:rsidR="005F48E1">
        <w:rPr>
          <w:bCs/>
        </w:rPr>
        <w:t xml:space="preserve"> (9,140)</w:t>
      </w:r>
      <w:r w:rsidR="00B776DA">
        <w:rPr>
          <w:bCs/>
        </w:rPr>
        <w:t xml:space="preserve">, and hours, from </w:t>
      </w:r>
      <w:r w:rsidR="005F48E1">
        <w:rPr>
          <w:bCs/>
        </w:rPr>
        <w:t>67,410 and 120 (67,530), to 454 and 3 (457)</w:t>
      </w:r>
      <w:r>
        <w:rPr>
          <w:bCs/>
        </w:rPr>
        <w:t>.</w:t>
      </w:r>
    </w:p>
    <w:p w:rsidR="0056110E" w:rsidRDefault="0056110E" w:rsidP="0056110E">
      <w:pPr>
        <w:pStyle w:val="Default"/>
      </w:pPr>
    </w:p>
    <w:p w:rsidR="0056110E" w:rsidRDefault="0056110E" w:rsidP="0056110E">
      <w:pPr>
        <w:pStyle w:val="Default"/>
      </w:pPr>
      <w:r>
        <w:t>Program change:  As provided in 50 CFR 600, Subpart P, a registration fee of $15 per year is required, effective January 1, 2011</w:t>
      </w:r>
      <w:r w:rsidR="005F48E1">
        <w:t>, adding a total of $137,100 in reporting/recordkeeping costs (there were no costs, previously).</w:t>
      </w:r>
    </w:p>
    <w:p w:rsidR="00D76231" w:rsidRPr="0056110E" w:rsidRDefault="00D76231" w:rsidP="0056110E">
      <w:pPr>
        <w:pStyle w:val="Default"/>
      </w:pPr>
    </w:p>
    <w:p w:rsidR="00C53B29" w:rsidRDefault="00C53B29" w:rsidP="00271098">
      <w:pPr>
        <w:pStyle w:val="CM23"/>
        <w:spacing w:after="0"/>
        <w:rPr>
          <w:b/>
          <w:bCs/>
        </w:rPr>
      </w:pPr>
      <w:r>
        <w:rPr>
          <w:b/>
          <w:bCs/>
        </w:rPr>
        <w:t>16.</w:t>
      </w:r>
      <w:r w:rsidR="00271098">
        <w:rPr>
          <w:b/>
          <w:bCs/>
        </w:rPr>
        <w:t xml:space="preserve"> </w:t>
      </w:r>
      <w:r>
        <w:rPr>
          <w:b/>
          <w:bCs/>
        </w:rPr>
        <w:t xml:space="preserve"> </w:t>
      </w:r>
      <w:r>
        <w:rPr>
          <w:b/>
          <w:bCs/>
          <w:u w:val="single"/>
        </w:rPr>
        <w:t>For collections whose results will be published, outline the plans for tabulation and publication</w:t>
      </w:r>
      <w:r>
        <w:rPr>
          <w:b/>
          <w:bCs/>
        </w:rPr>
        <w:t xml:space="preserve">. </w:t>
      </w:r>
    </w:p>
    <w:p w:rsidR="00C53B29" w:rsidRDefault="00C53B29" w:rsidP="00DF5884">
      <w:pPr>
        <w:pStyle w:val="Default"/>
      </w:pPr>
    </w:p>
    <w:p w:rsidR="00C53B29" w:rsidRDefault="00C53B29" w:rsidP="00DF5884">
      <w:pPr>
        <w:pStyle w:val="Default"/>
      </w:pPr>
      <w:r>
        <w:t>Neither the angler nor the for-hire vessel registration data will be published.</w:t>
      </w:r>
    </w:p>
    <w:p w:rsidR="00C53B29" w:rsidRPr="003537C8" w:rsidRDefault="00C53B29" w:rsidP="00DF5884">
      <w:pPr>
        <w:pStyle w:val="Default"/>
      </w:pPr>
    </w:p>
    <w:p w:rsidR="00C53B29" w:rsidRDefault="00C53B29" w:rsidP="00271098">
      <w:pPr>
        <w:pStyle w:val="CM23"/>
        <w:spacing w:after="0"/>
      </w:pPr>
      <w:r>
        <w:rPr>
          <w:b/>
          <w:bCs/>
        </w:rPr>
        <w:t>17.</w:t>
      </w:r>
      <w:r w:rsidR="00271098">
        <w:rPr>
          <w:b/>
          <w:bCs/>
        </w:rPr>
        <w:t xml:space="preserve"> </w:t>
      </w:r>
      <w:r>
        <w:rPr>
          <w:b/>
          <w:bCs/>
        </w:rPr>
        <w:t xml:space="preserve"> </w:t>
      </w:r>
      <w:r>
        <w:rPr>
          <w:b/>
          <w:bCs/>
          <w:u w:val="single"/>
        </w:rPr>
        <w:t>If seeking approval to not display the expiration date for OMB approval of the information collection, explain the reasons why display would be inappropriate</w:t>
      </w:r>
      <w:r>
        <w:rPr>
          <w:b/>
          <w:bCs/>
        </w:rPr>
        <w:t xml:space="preserve">. </w:t>
      </w:r>
    </w:p>
    <w:p w:rsidR="00C53B29" w:rsidRDefault="00C53B29" w:rsidP="00DF5884">
      <w:pPr>
        <w:pStyle w:val="CM23"/>
        <w:spacing w:after="0"/>
      </w:pPr>
    </w:p>
    <w:p w:rsidR="00C53B29" w:rsidRDefault="00F843AF" w:rsidP="00DF5884">
      <w:pPr>
        <w:pStyle w:val="CM23"/>
        <w:spacing w:after="0"/>
      </w:pPr>
      <w:r>
        <w:t>Not Applicable.</w:t>
      </w:r>
    </w:p>
    <w:p w:rsidR="00C53B29" w:rsidRDefault="00C53B29" w:rsidP="00DF5884">
      <w:pPr>
        <w:pStyle w:val="CM23"/>
        <w:spacing w:after="0"/>
        <w:ind w:right="858"/>
        <w:rPr>
          <w:b/>
          <w:bCs/>
        </w:rPr>
      </w:pPr>
    </w:p>
    <w:p w:rsidR="00C53B29" w:rsidRDefault="00C53B29" w:rsidP="00271098">
      <w:pPr>
        <w:pStyle w:val="CM23"/>
        <w:spacing w:after="0"/>
      </w:pPr>
      <w:r>
        <w:rPr>
          <w:b/>
          <w:bCs/>
        </w:rPr>
        <w:t xml:space="preserve">18. </w:t>
      </w:r>
      <w:r w:rsidR="00271098">
        <w:rPr>
          <w:b/>
          <w:bCs/>
        </w:rPr>
        <w:t xml:space="preserve"> </w:t>
      </w:r>
      <w:r>
        <w:rPr>
          <w:b/>
          <w:bCs/>
          <w:u w:val="single"/>
        </w:rPr>
        <w:t>Explain each exception to the certification statement</w:t>
      </w:r>
      <w:r w:rsidR="00F843AF">
        <w:rPr>
          <w:b/>
          <w:bCs/>
          <w:u w:val="single"/>
        </w:rPr>
        <w:t>.</w:t>
      </w:r>
    </w:p>
    <w:p w:rsidR="00C53B29" w:rsidRDefault="00C53B29" w:rsidP="00DF5884">
      <w:pPr>
        <w:pStyle w:val="CM23"/>
        <w:spacing w:after="0"/>
      </w:pPr>
    </w:p>
    <w:p w:rsidR="00C53B29" w:rsidRDefault="00C53B29" w:rsidP="00DF5884">
      <w:pPr>
        <w:pStyle w:val="CM23"/>
        <w:spacing w:after="0"/>
      </w:pPr>
      <w:r>
        <w:lastRenderedPageBreak/>
        <w:t xml:space="preserve">There are no exceptions. </w:t>
      </w:r>
    </w:p>
    <w:p w:rsidR="00FC6341" w:rsidRDefault="00FC6341" w:rsidP="00DF5884">
      <w:pPr>
        <w:pStyle w:val="CM23"/>
        <w:spacing w:after="0"/>
        <w:rPr>
          <w:b/>
          <w:bCs/>
        </w:rPr>
      </w:pPr>
    </w:p>
    <w:p w:rsidR="00FC6341" w:rsidRDefault="00FC6341" w:rsidP="00DF5884">
      <w:pPr>
        <w:pStyle w:val="CM23"/>
        <w:spacing w:after="0"/>
        <w:rPr>
          <w:b/>
          <w:bCs/>
        </w:rPr>
      </w:pPr>
    </w:p>
    <w:p w:rsidR="00FC6341" w:rsidRDefault="00FC6341">
      <w:pPr>
        <w:rPr>
          <w:b/>
          <w:bCs/>
        </w:rPr>
      </w:pPr>
      <w:r>
        <w:rPr>
          <w:b/>
          <w:bCs/>
        </w:rPr>
        <w:br w:type="page"/>
      </w:r>
    </w:p>
    <w:p w:rsidR="00C53B29" w:rsidRDefault="00C53B29" w:rsidP="00DF5884">
      <w:pPr>
        <w:pStyle w:val="CM23"/>
        <w:spacing w:after="0"/>
        <w:rPr>
          <w:b/>
          <w:bCs/>
        </w:rPr>
      </w:pPr>
      <w:r>
        <w:rPr>
          <w:b/>
          <w:bCs/>
        </w:rPr>
        <w:lastRenderedPageBreak/>
        <w:t>B.</w:t>
      </w:r>
      <w:r w:rsidR="00271098">
        <w:rPr>
          <w:b/>
          <w:bCs/>
        </w:rPr>
        <w:t xml:space="preserve"> </w:t>
      </w:r>
      <w:r>
        <w:rPr>
          <w:b/>
          <w:bCs/>
        </w:rPr>
        <w:t xml:space="preserve"> COLLECTIONS OF INFORMATION EMPLOYING STATISTICAL METHODS </w:t>
      </w:r>
    </w:p>
    <w:p w:rsidR="00271098" w:rsidRDefault="00271098" w:rsidP="00DF5884">
      <w:pPr>
        <w:pStyle w:val="Default"/>
      </w:pPr>
    </w:p>
    <w:p w:rsidR="00C53B29" w:rsidRPr="003537C8" w:rsidRDefault="00C53B29" w:rsidP="00DF5884">
      <w:pPr>
        <w:pStyle w:val="Default"/>
      </w:pPr>
      <w:r>
        <w:t>The registry data collection does not employ statistical methods.</w:t>
      </w:r>
    </w:p>
    <w:p w:rsidR="00C53B29" w:rsidRPr="003537C8" w:rsidRDefault="00C53B29" w:rsidP="00DF5884">
      <w:pPr>
        <w:pStyle w:val="Default"/>
      </w:pPr>
    </w:p>
    <w:sectPr w:rsidR="00C53B29" w:rsidRPr="003537C8" w:rsidSect="005E7E04">
      <w:footerReference w:type="even" r:id="rId14"/>
      <w:footerReference w:type="default" r:id="rId15"/>
      <w:type w:val="continuous"/>
      <w:pgSz w:w="12240" w:h="15840" w:code="1"/>
      <w:pgMar w:top="144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6C8" w:rsidRDefault="003356C8">
      <w:r>
        <w:separator/>
      </w:r>
    </w:p>
  </w:endnote>
  <w:endnote w:type="continuationSeparator" w:id="0">
    <w:p w:rsidR="003356C8" w:rsidRDefault="00335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9D" w:rsidRDefault="00A858C2" w:rsidP="00FA72E7">
    <w:pPr>
      <w:pStyle w:val="Footer"/>
      <w:framePr w:wrap="around" w:vAnchor="text" w:hAnchor="margin" w:xAlign="center" w:y="1"/>
      <w:rPr>
        <w:rStyle w:val="PageNumber"/>
      </w:rPr>
    </w:pPr>
    <w:r>
      <w:rPr>
        <w:rStyle w:val="PageNumber"/>
      </w:rPr>
      <w:fldChar w:fldCharType="begin"/>
    </w:r>
    <w:r w:rsidR="008B669D">
      <w:rPr>
        <w:rStyle w:val="PageNumber"/>
      </w:rPr>
      <w:instrText xml:space="preserve">PAGE  </w:instrText>
    </w:r>
    <w:r>
      <w:rPr>
        <w:rStyle w:val="PageNumber"/>
      </w:rPr>
      <w:fldChar w:fldCharType="end"/>
    </w:r>
  </w:p>
  <w:p w:rsidR="008B669D" w:rsidRDefault="008B6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9D" w:rsidRDefault="00A858C2" w:rsidP="00FA72E7">
    <w:pPr>
      <w:pStyle w:val="Footer"/>
      <w:framePr w:wrap="around" w:vAnchor="text" w:hAnchor="margin" w:xAlign="center" w:y="1"/>
      <w:rPr>
        <w:rStyle w:val="PageNumber"/>
      </w:rPr>
    </w:pPr>
    <w:r>
      <w:rPr>
        <w:rStyle w:val="PageNumber"/>
      </w:rPr>
      <w:fldChar w:fldCharType="begin"/>
    </w:r>
    <w:r w:rsidR="008B669D">
      <w:rPr>
        <w:rStyle w:val="PageNumber"/>
      </w:rPr>
      <w:instrText xml:space="preserve">PAGE  </w:instrText>
    </w:r>
    <w:r>
      <w:rPr>
        <w:rStyle w:val="PageNumber"/>
      </w:rPr>
      <w:fldChar w:fldCharType="separate"/>
    </w:r>
    <w:r w:rsidR="009F07CB">
      <w:rPr>
        <w:rStyle w:val="PageNumber"/>
        <w:noProof/>
      </w:rPr>
      <w:t>9</w:t>
    </w:r>
    <w:r>
      <w:rPr>
        <w:rStyle w:val="PageNumber"/>
      </w:rPr>
      <w:fldChar w:fldCharType="end"/>
    </w:r>
  </w:p>
  <w:p w:rsidR="008B669D" w:rsidRDefault="008B6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6C8" w:rsidRDefault="003356C8">
      <w:r>
        <w:separator/>
      </w:r>
    </w:p>
  </w:footnote>
  <w:footnote w:type="continuationSeparator" w:id="0">
    <w:p w:rsidR="003356C8" w:rsidRDefault="00335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BF2CDB"/>
    <w:multiLevelType w:val="multilevel"/>
    <w:tmpl w:val="3BB38E1A"/>
    <w:lvl w:ilvl="0">
      <w:start w:val="1"/>
      <w:numFmt w:val="decimal"/>
      <w:lvlText w:nul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39AB0FE4"/>
    <w:multiLevelType w:val="hybridMultilevel"/>
    <w:tmpl w:val="FFC6E67A"/>
    <w:lvl w:ilvl="0" w:tplc="4088004E">
      <w:start w:val="13"/>
      <w:numFmt w:val="decimal"/>
      <w:lvlText w:val="%1."/>
      <w:lvlJc w:val="left"/>
      <w:pPr>
        <w:tabs>
          <w:tab w:val="num" w:pos="720"/>
        </w:tabs>
        <w:ind w:left="72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06F1D67"/>
    <w:multiLevelType w:val="hybridMultilevel"/>
    <w:tmpl w:val="469C4C92"/>
    <w:lvl w:ilvl="0" w:tplc="E3A86A10">
      <w:start w:val="13"/>
      <w:numFmt w:val="decimal"/>
      <w:lvlText w:val="%1."/>
      <w:lvlJc w:val="left"/>
      <w:pPr>
        <w:tabs>
          <w:tab w:val="num" w:pos="720"/>
        </w:tabs>
        <w:ind w:left="720" w:hanging="360"/>
      </w:pPr>
      <w:rPr>
        <w:rFonts w:cs="Times New Roman" w:hint="default"/>
        <w:b/>
        <w:bCs/>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BE3A65"/>
    <w:multiLevelType w:val="hybridMultilevel"/>
    <w:tmpl w:val="FC8648FE"/>
    <w:lvl w:ilvl="0" w:tplc="C216493C">
      <w:start w:val="1"/>
      <w:numFmt w:val="decimal"/>
      <w:lvlText w:val="(%1)"/>
      <w:lvlJc w:val="left"/>
      <w:pPr>
        <w:tabs>
          <w:tab w:val="num" w:pos="1110"/>
        </w:tabs>
        <w:ind w:left="1110" w:hanging="39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607A05D5"/>
    <w:multiLevelType w:val="hybridMultilevel"/>
    <w:tmpl w:val="2E18D16A"/>
    <w:lvl w:ilvl="0" w:tplc="217C1EBA">
      <w:start w:val="3"/>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619E2FCC"/>
    <w:multiLevelType w:val="hybridMultilevel"/>
    <w:tmpl w:val="8CCCDC96"/>
    <w:lvl w:ilvl="0" w:tplc="0DB43660">
      <w:start w:val="13"/>
      <w:numFmt w:val="decimal"/>
      <w:lvlText w:val="%1."/>
      <w:lvlJc w:val="left"/>
      <w:pPr>
        <w:tabs>
          <w:tab w:val="num" w:pos="720"/>
        </w:tabs>
        <w:ind w:left="720" w:hanging="360"/>
      </w:pPr>
      <w:rPr>
        <w:rFonts w:cs="Times New Roman" w:hint="default"/>
        <w:b/>
        <w:bCs/>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D517DA6"/>
    <w:multiLevelType w:val="hybridMultilevel"/>
    <w:tmpl w:val="FF4ED952"/>
    <w:lvl w:ilvl="0" w:tplc="A112B6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A0439"/>
    <w:multiLevelType w:val="hybridMultilevel"/>
    <w:tmpl w:val="AA925858"/>
    <w:lvl w:ilvl="0" w:tplc="B9521AF0">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5"/>
  </w:num>
  <w:num w:numId="2">
    <w:abstractNumId w:val="2"/>
  </w:num>
  <w:num w:numId="3">
    <w:abstractNumId w:val="0"/>
  </w:num>
  <w:num w:numId="4">
    <w:abstractNumId w:val="3"/>
  </w:num>
  <w:num w:numId="5">
    <w:abstractNumId w:val="7"/>
  </w:num>
  <w:num w:numId="6">
    <w:abstractNumId w:val="4"/>
  </w:num>
  <w:num w:numId="7">
    <w:abstractNumId w:val="1"/>
  </w:num>
  <w:num w:numId="8">
    <w:abstractNumId w:val="10"/>
  </w:num>
  <w:num w:numId="9">
    <w:abstractNumId w:val="8"/>
  </w:num>
  <w:num w:numId="10">
    <w:abstractNumId w:val="9"/>
  </w:num>
  <w:num w:numId="11">
    <w:abstractNumId w:val="12"/>
  </w:num>
  <w:num w:numId="12">
    <w:abstractNumId w:val="6"/>
  </w:num>
  <w:num w:numId="13">
    <w:abstractNumId w:val="14"/>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7E59B4"/>
    <w:rsid w:val="0000542F"/>
    <w:rsid w:val="00011A96"/>
    <w:rsid w:val="0001753F"/>
    <w:rsid w:val="000339AE"/>
    <w:rsid w:val="00040EA3"/>
    <w:rsid w:val="00065316"/>
    <w:rsid w:val="000872D6"/>
    <w:rsid w:val="00090874"/>
    <w:rsid w:val="000C155B"/>
    <w:rsid w:val="000C1B9A"/>
    <w:rsid w:val="000C3452"/>
    <w:rsid w:val="000C4829"/>
    <w:rsid w:val="000C6930"/>
    <w:rsid w:val="000C69BA"/>
    <w:rsid w:val="000D2DFC"/>
    <w:rsid w:val="000E2474"/>
    <w:rsid w:val="000F4C89"/>
    <w:rsid w:val="000F5F60"/>
    <w:rsid w:val="001034D2"/>
    <w:rsid w:val="001036E1"/>
    <w:rsid w:val="0011016F"/>
    <w:rsid w:val="001136CF"/>
    <w:rsid w:val="00125D3E"/>
    <w:rsid w:val="00131F77"/>
    <w:rsid w:val="00142BB4"/>
    <w:rsid w:val="00146709"/>
    <w:rsid w:val="00153683"/>
    <w:rsid w:val="00155848"/>
    <w:rsid w:val="00165E6C"/>
    <w:rsid w:val="00173E44"/>
    <w:rsid w:val="00177AB1"/>
    <w:rsid w:val="00194C7A"/>
    <w:rsid w:val="001A5AE3"/>
    <w:rsid w:val="001A627F"/>
    <w:rsid w:val="001C4917"/>
    <w:rsid w:val="001C4D9D"/>
    <w:rsid w:val="001E0FE0"/>
    <w:rsid w:val="001E4FCE"/>
    <w:rsid w:val="002350EA"/>
    <w:rsid w:val="002373CF"/>
    <w:rsid w:val="0024017C"/>
    <w:rsid w:val="0025563C"/>
    <w:rsid w:val="00271098"/>
    <w:rsid w:val="002806EF"/>
    <w:rsid w:val="00284AE2"/>
    <w:rsid w:val="00291C54"/>
    <w:rsid w:val="00294B66"/>
    <w:rsid w:val="002A168E"/>
    <w:rsid w:val="002B149B"/>
    <w:rsid w:val="002B4FDB"/>
    <w:rsid w:val="002C421C"/>
    <w:rsid w:val="002C7574"/>
    <w:rsid w:val="002D48FD"/>
    <w:rsid w:val="002D643A"/>
    <w:rsid w:val="002D7548"/>
    <w:rsid w:val="002E7E07"/>
    <w:rsid w:val="00300380"/>
    <w:rsid w:val="00302C8A"/>
    <w:rsid w:val="003135D7"/>
    <w:rsid w:val="00314214"/>
    <w:rsid w:val="00323798"/>
    <w:rsid w:val="00324151"/>
    <w:rsid w:val="00332A52"/>
    <w:rsid w:val="00334183"/>
    <w:rsid w:val="003356C8"/>
    <w:rsid w:val="00350A75"/>
    <w:rsid w:val="003537C8"/>
    <w:rsid w:val="00360349"/>
    <w:rsid w:val="00376CE0"/>
    <w:rsid w:val="003B5765"/>
    <w:rsid w:val="003D4D50"/>
    <w:rsid w:val="003D726B"/>
    <w:rsid w:val="003E12DC"/>
    <w:rsid w:val="0041311F"/>
    <w:rsid w:val="004178AB"/>
    <w:rsid w:val="00425DDE"/>
    <w:rsid w:val="004462D6"/>
    <w:rsid w:val="004542B5"/>
    <w:rsid w:val="004569AF"/>
    <w:rsid w:val="00457481"/>
    <w:rsid w:val="00461689"/>
    <w:rsid w:val="00475A9E"/>
    <w:rsid w:val="00480F95"/>
    <w:rsid w:val="004B1D98"/>
    <w:rsid w:val="004B2763"/>
    <w:rsid w:val="004C22B3"/>
    <w:rsid w:val="004D0CBE"/>
    <w:rsid w:val="004E64BA"/>
    <w:rsid w:val="004F404D"/>
    <w:rsid w:val="00501AD7"/>
    <w:rsid w:val="00514D6B"/>
    <w:rsid w:val="00515207"/>
    <w:rsid w:val="0053486E"/>
    <w:rsid w:val="005477A1"/>
    <w:rsid w:val="00555789"/>
    <w:rsid w:val="0056110E"/>
    <w:rsid w:val="00574FAE"/>
    <w:rsid w:val="00576666"/>
    <w:rsid w:val="00583F04"/>
    <w:rsid w:val="0058679C"/>
    <w:rsid w:val="00592E3B"/>
    <w:rsid w:val="005A2952"/>
    <w:rsid w:val="005A38F1"/>
    <w:rsid w:val="005B20C3"/>
    <w:rsid w:val="005B6714"/>
    <w:rsid w:val="005C2DEB"/>
    <w:rsid w:val="005D428C"/>
    <w:rsid w:val="005E2D9C"/>
    <w:rsid w:val="005E7E04"/>
    <w:rsid w:val="005F48E1"/>
    <w:rsid w:val="005F62DA"/>
    <w:rsid w:val="005F73CE"/>
    <w:rsid w:val="00610344"/>
    <w:rsid w:val="00622FAF"/>
    <w:rsid w:val="0063207E"/>
    <w:rsid w:val="00647FDB"/>
    <w:rsid w:val="006512C8"/>
    <w:rsid w:val="00653BB6"/>
    <w:rsid w:val="006724E3"/>
    <w:rsid w:val="00684534"/>
    <w:rsid w:val="006902BC"/>
    <w:rsid w:val="006D44AB"/>
    <w:rsid w:val="006F7B40"/>
    <w:rsid w:val="00730542"/>
    <w:rsid w:val="00741999"/>
    <w:rsid w:val="0075197A"/>
    <w:rsid w:val="00754AE7"/>
    <w:rsid w:val="00762738"/>
    <w:rsid w:val="007639C1"/>
    <w:rsid w:val="00775A48"/>
    <w:rsid w:val="00777C09"/>
    <w:rsid w:val="007912A4"/>
    <w:rsid w:val="0079236A"/>
    <w:rsid w:val="0079703C"/>
    <w:rsid w:val="007A0D3C"/>
    <w:rsid w:val="007B3C8C"/>
    <w:rsid w:val="007C36CD"/>
    <w:rsid w:val="007D3BF5"/>
    <w:rsid w:val="007E11B6"/>
    <w:rsid w:val="007E59B4"/>
    <w:rsid w:val="007F0A67"/>
    <w:rsid w:val="007F752C"/>
    <w:rsid w:val="00811187"/>
    <w:rsid w:val="0083648B"/>
    <w:rsid w:val="00863A4B"/>
    <w:rsid w:val="00870C34"/>
    <w:rsid w:val="00872197"/>
    <w:rsid w:val="00874FA4"/>
    <w:rsid w:val="008B669D"/>
    <w:rsid w:val="008C33A5"/>
    <w:rsid w:val="008D7498"/>
    <w:rsid w:val="009105BC"/>
    <w:rsid w:val="00910B16"/>
    <w:rsid w:val="0092560B"/>
    <w:rsid w:val="0092569D"/>
    <w:rsid w:val="0095108F"/>
    <w:rsid w:val="00966AF0"/>
    <w:rsid w:val="0097740A"/>
    <w:rsid w:val="00984CE6"/>
    <w:rsid w:val="009A1B5E"/>
    <w:rsid w:val="009A2684"/>
    <w:rsid w:val="009B61E4"/>
    <w:rsid w:val="009C5B9A"/>
    <w:rsid w:val="009D2F58"/>
    <w:rsid w:val="009F07CB"/>
    <w:rsid w:val="00A07DEC"/>
    <w:rsid w:val="00A219C0"/>
    <w:rsid w:val="00A25CF9"/>
    <w:rsid w:val="00A463FC"/>
    <w:rsid w:val="00A72BB4"/>
    <w:rsid w:val="00A80BA5"/>
    <w:rsid w:val="00A858C2"/>
    <w:rsid w:val="00AB4175"/>
    <w:rsid w:val="00AB4265"/>
    <w:rsid w:val="00AC6857"/>
    <w:rsid w:val="00AD1569"/>
    <w:rsid w:val="00AD54DF"/>
    <w:rsid w:val="00AE6E4F"/>
    <w:rsid w:val="00AE769A"/>
    <w:rsid w:val="00AF7C64"/>
    <w:rsid w:val="00B24118"/>
    <w:rsid w:val="00B24D15"/>
    <w:rsid w:val="00B27EFC"/>
    <w:rsid w:val="00B333A3"/>
    <w:rsid w:val="00B3699E"/>
    <w:rsid w:val="00B408CD"/>
    <w:rsid w:val="00B618CD"/>
    <w:rsid w:val="00B747F8"/>
    <w:rsid w:val="00B776DA"/>
    <w:rsid w:val="00B81F14"/>
    <w:rsid w:val="00B94BE0"/>
    <w:rsid w:val="00B95D8F"/>
    <w:rsid w:val="00B9645A"/>
    <w:rsid w:val="00BA3A24"/>
    <w:rsid w:val="00BB42C5"/>
    <w:rsid w:val="00BE1F28"/>
    <w:rsid w:val="00C03311"/>
    <w:rsid w:val="00C04BBE"/>
    <w:rsid w:val="00C243B9"/>
    <w:rsid w:val="00C33E3D"/>
    <w:rsid w:val="00C42131"/>
    <w:rsid w:val="00C53B29"/>
    <w:rsid w:val="00C53D52"/>
    <w:rsid w:val="00C96883"/>
    <w:rsid w:val="00CA5B1D"/>
    <w:rsid w:val="00CB1BF1"/>
    <w:rsid w:val="00CB3E63"/>
    <w:rsid w:val="00CC42EA"/>
    <w:rsid w:val="00CD7C4B"/>
    <w:rsid w:val="00CD7E60"/>
    <w:rsid w:val="00CE1B42"/>
    <w:rsid w:val="00CE245D"/>
    <w:rsid w:val="00D21ACD"/>
    <w:rsid w:val="00D314DA"/>
    <w:rsid w:val="00D46407"/>
    <w:rsid w:val="00D61F50"/>
    <w:rsid w:val="00D6393D"/>
    <w:rsid w:val="00D71F30"/>
    <w:rsid w:val="00D76231"/>
    <w:rsid w:val="00D76A48"/>
    <w:rsid w:val="00D834A7"/>
    <w:rsid w:val="00DA3F23"/>
    <w:rsid w:val="00DA55F6"/>
    <w:rsid w:val="00DA6730"/>
    <w:rsid w:val="00DB017A"/>
    <w:rsid w:val="00DB6771"/>
    <w:rsid w:val="00DD0BD1"/>
    <w:rsid w:val="00DD63E0"/>
    <w:rsid w:val="00DE7EE4"/>
    <w:rsid w:val="00DF155F"/>
    <w:rsid w:val="00DF4E8D"/>
    <w:rsid w:val="00DF5884"/>
    <w:rsid w:val="00E03209"/>
    <w:rsid w:val="00E30D3B"/>
    <w:rsid w:val="00E31273"/>
    <w:rsid w:val="00E361A6"/>
    <w:rsid w:val="00E51FD0"/>
    <w:rsid w:val="00E52832"/>
    <w:rsid w:val="00E641DA"/>
    <w:rsid w:val="00EA3B27"/>
    <w:rsid w:val="00EA4CA9"/>
    <w:rsid w:val="00EB037E"/>
    <w:rsid w:val="00EC184B"/>
    <w:rsid w:val="00ED116E"/>
    <w:rsid w:val="00ED225C"/>
    <w:rsid w:val="00ED373F"/>
    <w:rsid w:val="00EE3D7F"/>
    <w:rsid w:val="00F0027E"/>
    <w:rsid w:val="00F21658"/>
    <w:rsid w:val="00F25B7B"/>
    <w:rsid w:val="00F30A9C"/>
    <w:rsid w:val="00F332A2"/>
    <w:rsid w:val="00F343BB"/>
    <w:rsid w:val="00F35316"/>
    <w:rsid w:val="00F37C3E"/>
    <w:rsid w:val="00F468D4"/>
    <w:rsid w:val="00F52683"/>
    <w:rsid w:val="00F56C00"/>
    <w:rsid w:val="00F6211D"/>
    <w:rsid w:val="00F744A6"/>
    <w:rsid w:val="00F843AF"/>
    <w:rsid w:val="00F8650C"/>
    <w:rsid w:val="00F9299B"/>
    <w:rsid w:val="00FA72E7"/>
    <w:rsid w:val="00FB5E4D"/>
    <w:rsid w:val="00FB7F27"/>
    <w:rsid w:val="00FC6341"/>
    <w:rsid w:val="00FD4A48"/>
    <w:rsid w:val="00FD5C1B"/>
    <w:rsid w:val="00FD755F"/>
    <w:rsid w:val="00FE1DBB"/>
    <w:rsid w:val="00FF4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7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428C"/>
    <w:pPr>
      <w:widowControl w:val="0"/>
      <w:autoSpaceDE w:val="0"/>
      <w:autoSpaceDN w:val="0"/>
      <w:adjustRightInd w:val="0"/>
    </w:pPr>
    <w:rPr>
      <w:color w:val="000000"/>
      <w:sz w:val="24"/>
      <w:szCs w:val="24"/>
    </w:rPr>
  </w:style>
  <w:style w:type="paragraph" w:customStyle="1" w:styleId="CM22">
    <w:name w:val="CM22"/>
    <w:basedOn w:val="Default"/>
    <w:next w:val="Default"/>
    <w:rsid w:val="005D428C"/>
    <w:pPr>
      <w:spacing w:after="563"/>
    </w:pPr>
    <w:rPr>
      <w:color w:val="auto"/>
    </w:rPr>
  </w:style>
  <w:style w:type="paragraph" w:customStyle="1" w:styleId="CM1">
    <w:name w:val="CM1"/>
    <w:basedOn w:val="Default"/>
    <w:next w:val="Default"/>
    <w:rsid w:val="005D428C"/>
    <w:pPr>
      <w:spacing w:line="280" w:lineRule="atLeast"/>
    </w:pPr>
    <w:rPr>
      <w:color w:val="auto"/>
    </w:rPr>
  </w:style>
  <w:style w:type="paragraph" w:customStyle="1" w:styleId="CM23">
    <w:name w:val="CM23"/>
    <w:basedOn w:val="Default"/>
    <w:next w:val="Default"/>
    <w:rsid w:val="005D428C"/>
    <w:pPr>
      <w:spacing w:after="275"/>
    </w:pPr>
    <w:rPr>
      <w:color w:val="auto"/>
    </w:rPr>
  </w:style>
  <w:style w:type="paragraph" w:customStyle="1" w:styleId="CM2">
    <w:name w:val="CM2"/>
    <w:basedOn w:val="Default"/>
    <w:next w:val="Default"/>
    <w:rsid w:val="005D428C"/>
    <w:pPr>
      <w:spacing w:line="280" w:lineRule="atLeast"/>
    </w:pPr>
    <w:rPr>
      <w:color w:val="auto"/>
    </w:rPr>
  </w:style>
  <w:style w:type="paragraph" w:customStyle="1" w:styleId="CM3">
    <w:name w:val="CM3"/>
    <w:basedOn w:val="Default"/>
    <w:next w:val="Default"/>
    <w:rsid w:val="005D428C"/>
    <w:pPr>
      <w:spacing w:line="280" w:lineRule="atLeast"/>
    </w:pPr>
    <w:rPr>
      <w:color w:val="auto"/>
    </w:rPr>
  </w:style>
  <w:style w:type="paragraph" w:customStyle="1" w:styleId="CM4">
    <w:name w:val="CM4"/>
    <w:basedOn w:val="Default"/>
    <w:next w:val="Default"/>
    <w:rsid w:val="005D428C"/>
    <w:pPr>
      <w:spacing w:line="280" w:lineRule="atLeast"/>
    </w:pPr>
    <w:rPr>
      <w:color w:val="auto"/>
    </w:rPr>
  </w:style>
  <w:style w:type="paragraph" w:customStyle="1" w:styleId="CM5">
    <w:name w:val="CM5"/>
    <w:basedOn w:val="Default"/>
    <w:next w:val="Default"/>
    <w:rsid w:val="005D428C"/>
    <w:pPr>
      <w:spacing w:line="280" w:lineRule="atLeast"/>
    </w:pPr>
    <w:rPr>
      <w:color w:val="auto"/>
    </w:rPr>
  </w:style>
  <w:style w:type="paragraph" w:customStyle="1" w:styleId="CM7">
    <w:name w:val="CM7"/>
    <w:basedOn w:val="Default"/>
    <w:next w:val="Default"/>
    <w:rsid w:val="005D428C"/>
    <w:pPr>
      <w:spacing w:line="280" w:lineRule="atLeast"/>
    </w:pPr>
    <w:rPr>
      <w:color w:val="auto"/>
    </w:rPr>
  </w:style>
  <w:style w:type="paragraph" w:customStyle="1" w:styleId="CM8">
    <w:name w:val="CM8"/>
    <w:basedOn w:val="Default"/>
    <w:next w:val="Default"/>
    <w:rsid w:val="005D428C"/>
    <w:pPr>
      <w:spacing w:line="280" w:lineRule="atLeast"/>
    </w:pPr>
    <w:rPr>
      <w:color w:val="auto"/>
    </w:rPr>
  </w:style>
  <w:style w:type="paragraph" w:customStyle="1" w:styleId="CM26">
    <w:name w:val="CM26"/>
    <w:basedOn w:val="Default"/>
    <w:next w:val="Default"/>
    <w:rsid w:val="005D428C"/>
    <w:pPr>
      <w:spacing w:after="383"/>
    </w:pPr>
    <w:rPr>
      <w:color w:val="auto"/>
    </w:rPr>
  </w:style>
  <w:style w:type="paragraph" w:customStyle="1" w:styleId="CM9">
    <w:name w:val="CM9"/>
    <w:basedOn w:val="Default"/>
    <w:next w:val="Default"/>
    <w:rsid w:val="005D428C"/>
    <w:pPr>
      <w:spacing w:line="280" w:lineRule="atLeast"/>
    </w:pPr>
    <w:rPr>
      <w:color w:val="auto"/>
    </w:rPr>
  </w:style>
  <w:style w:type="paragraph" w:customStyle="1" w:styleId="CM11">
    <w:name w:val="CM11"/>
    <w:basedOn w:val="Default"/>
    <w:next w:val="Default"/>
    <w:rsid w:val="005D428C"/>
    <w:pPr>
      <w:spacing w:line="280" w:lineRule="atLeast"/>
    </w:pPr>
    <w:rPr>
      <w:color w:val="auto"/>
    </w:rPr>
  </w:style>
  <w:style w:type="paragraph" w:customStyle="1" w:styleId="CM12">
    <w:name w:val="CM12"/>
    <w:basedOn w:val="Default"/>
    <w:next w:val="Default"/>
    <w:rsid w:val="005D428C"/>
    <w:pPr>
      <w:spacing w:line="280" w:lineRule="atLeast"/>
    </w:pPr>
    <w:rPr>
      <w:color w:val="auto"/>
    </w:rPr>
  </w:style>
  <w:style w:type="paragraph" w:customStyle="1" w:styleId="CM13">
    <w:name w:val="CM13"/>
    <w:basedOn w:val="Default"/>
    <w:next w:val="Default"/>
    <w:rsid w:val="005D428C"/>
    <w:pPr>
      <w:spacing w:line="280" w:lineRule="atLeast"/>
    </w:pPr>
    <w:rPr>
      <w:color w:val="auto"/>
    </w:rPr>
  </w:style>
  <w:style w:type="paragraph" w:customStyle="1" w:styleId="CM14">
    <w:name w:val="CM14"/>
    <w:basedOn w:val="Default"/>
    <w:next w:val="Default"/>
    <w:rsid w:val="005D428C"/>
    <w:pPr>
      <w:spacing w:line="280" w:lineRule="atLeast"/>
    </w:pPr>
    <w:rPr>
      <w:color w:val="auto"/>
    </w:rPr>
  </w:style>
  <w:style w:type="paragraph" w:customStyle="1" w:styleId="CM27">
    <w:name w:val="CM27"/>
    <w:basedOn w:val="Default"/>
    <w:next w:val="Default"/>
    <w:rsid w:val="005D428C"/>
    <w:pPr>
      <w:spacing w:after="170"/>
    </w:pPr>
    <w:rPr>
      <w:color w:val="auto"/>
    </w:rPr>
  </w:style>
  <w:style w:type="paragraph" w:customStyle="1" w:styleId="CM15">
    <w:name w:val="CM15"/>
    <w:basedOn w:val="Default"/>
    <w:next w:val="Default"/>
    <w:rsid w:val="005D428C"/>
    <w:pPr>
      <w:spacing w:line="280" w:lineRule="atLeast"/>
    </w:pPr>
    <w:rPr>
      <w:color w:val="auto"/>
    </w:rPr>
  </w:style>
  <w:style w:type="paragraph" w:customStyle="1" w:styleId="CM16">
    <w:name w:val="CM16"/>
    <w:basedOn w:val="Default"/>
    <w:next w:val="Default"/>
    <w:rsid w:val="005D428C"/>
    <w:pPr>
      <w:spacing w:line="280" w:lineRule="atLeast"/>
    </w:pPr>
    <w:rPr>
      <w:color w:val="auto"/>
    </w:rPr>
  </w:style>
  <w:style w:type="paragraph" w:customStyle="1" w:styleId="CM17">
    <w:name w:val="CM17"/>
    <w:basedOn w:val="Default"/>
    <w:next w:val="Default"/>
    <w:rsid w:val="005D428C"/>
    <w:rPr>
      <w:color w:val="auto"/>
    </w:rPr>
  </w:style>
  <w:style w:type="paragraph" w:customStyle="1" w:styleId="CM18">
    <w:name w:val="CM18"/>
    <w:basedOn w:val="Default"/>
    <w:next w:val="Default"/>
    <w:rsid w:val="005D428C"/>
    <w:pPr>
      <w:spacing w:line="280" w:lineRule="atLeast"/>
    </w:pPr>
    <w:rPr>
      <w:color w:val="auto"/>
    </w:rPr>
  </w:style>
  <w:style w:type="paragraph" w:customStyle="1" w:styleId="CM10">
    <w:name w:val="CM10"/>
    <w:basedOn w:val="Default"/>
    <w:next w:val="Default"/>
    <w:rsid w:val="005D428C"/>
    <w:pPr>
      <w:spacing w:line="280" w:lineRule="atLeast"/>
    </w:pPr>
    <w:rPr>
      <w:color w:val="auto"/>
    </w:rPr>
  </w:style>
  <w:style w:type="paragraph" w:customStyle="1" w:styleId="CM19">
    <w:name w:val="CM19"/>
    <w:basedOn w:val="Default"/>
    <w:next w:val="Default"/>
    <w:rsid w:val="005D428C"/>
    <w:pPr>
      <w:spacing w:line="280" w:lineRule="atLeast"/>
    </w:pPr>
    <w:rPr>
      <w:color w:val="auto"/>
    </w:rPr>
  </w:style>
  <w:style w:type="paragraph" w:customStyle="1" w:styleId="CM20">
    <w:name w:val="CM20"/>
    <w:basedOn w:val="Default"/>
    <w:next w:val="Default"/>
    <w:rsid w:val="005D428C"/>
    <w:pPr>
      <w:spacing w:line="280" w:lineRule="atLeast"/>
    </w:pPr>
    <w:rPr>
      <w:color w:val="auto"/>
    </w:rPr>
  </w:style>
  <w:style w:type="paragraph" w:customStyle="1" w:styleId="CM6">
    <w:name w:val="CM6"/>
    <w:basedOn w:val="Default"/>
    <w:next w:val="Default"/>
    <w:rsid w:val="005D428C"/>
    <w:pPr>
      <w:spacing w:line="280" w:lineRule="atLeast"/>
    </w:pPr>
    <w:rPr>
      <w:color w:val="auto"/>
    </w:rPr>
  </w:style>
  <w:style w:type="table" w:styleId="TableGrid">
    <w:name w:val="Table Grid"/>
    <w:basedOn w:val="TableNormal"/>
    <w:rsid w:val="00017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910B16"/>
    <w:rPr>
      <w:rFonts w:ascii="Tahoma" w:hAnsi="Tahoma" w:cs="Tahoma"/>
      <w:sz w:val="16"/>
      <w:szCs w:val="16"/>
    </w:rPr>
  </w:style>
  <w:style w:type="character" w:customStyle="1" w:styleId="BalloonTextChar">
    <w:name w:val="Balloon Text Char"/>
    <w:basedOn w:val="DefaultParagraphFont"/>
    <w:link w:val="BalloonText"/>
    <w:semiHidden/>
    <w:locked/>
    <w:rsid w:val="000872D6"/>
    <w:rPr>
      <w:rFonts w:cs="Times New Roman"/>
      <w:sz w:val="2"/>
    </w:rPr>
  </w:style>
  <w:style w:type="character" w:styleId="CommentReference">
    <w:name w:val="annotation reference"/>
    <w:basedOn w:val="DefaultParagraphFont"/>
    <w:semiHidden/>
    <w:rsid w:val="000F4C89"/>
    <w:rPr>
      <w:rFonts w:cs="Times New Roman"/>
      <w:sz w:val="16"/>
      <w:szCs w:val="16"/>
    </w:rPr>
  </w:style>
  <w:style w:type="paragraph" w:styleId="CommentText">
    <w:name w:val="annotation text"/>
    <w:basedOn w:val="Normal"/>
    <w:link w:val="CommentTextChar"/>
    <w:semiHidden/>
    <w:rsid w:val="000F4C89"/>
    <w:rPr>
      <w:sz w:val="20"/>
      <w:szCs w:val="20"/>
    </w:rPr>
  </w:style>
  <w:style w:type="character" w:customStyle="1" w:styleId="CommentTextChar">
    <w:name w:val="Comment Text Char"/>
    <w:basedOn w:val="DefaultParagraphFont"/>
    <w:link w:val="CommentText"/>
    <w:semiHidden/>
    <w:locked/>
    <w:rsid w:val="000872D6"/>
    <w:rPr>
      <w:rFonts w:cs="Times New Roman"/>
      <w:sz w:val="20"/>
      <w:szCs w:val="20"/>
    </w:rPr>
  </w:style>
  <w:style w:type="paragraph" w:styleId="CommentSubject">
    <w:name w:val="annotation subject"/>
    <w:basedOn w:val="CommentText"/>
    <w:next w:val="CommentText"/>
    <w:link w:val="CommentSubjectChar"/>
    <w:semiHidden/>
    <w:rsid w:val="000F4C89"/>
    <w:rPr>
      <w:b/>
      <w:bCs/>
    </w:rPr>
  </w:style>
  <w:style w:type="character" w:customStyle="1" w:styleId="CommentSubjectChar">
    <w:name w:val="Comment Subject Char"/>
    <w:basedOn w:val="CommentTextChar"/>
    <w:link w:val="CommentSubject"/>
    <w:semiHidden/>
    <w:locked/>
    <w:rsid w:val="000872D6"/>
    <w:rPr>
      <w:rFonts w:cs="Times New Roman"/>
      <w:b/>
      <w:bCs/>
      <w:sz w:val="20"/>
      <w:szCs w:val="20"/>
    </w:rPr>
  </w:style>
  <w:style w:type="character" w:styleId="PageNumber">
    <w:name w:val="page number"/>
    <w:basedOn w:val="DefaultParagraphFont"/>
    <w:rsid w:val="00332A52"/>
    <w:rPr>
      <w:rFonts w:cs="Times New Roman"/>
    </w:rPr>
  </w:style>
  <w:style w:type="paragraph" w:customStyle="1" w:styleId="g">
    <w:name w:val="g"/>
    <w:basedOn w:val="Normal"/>
    <w:rsid w:val="00153683"/>
    <w:pPr>
      <w:spacing w:before="240" w:after="240"/>
    </w:pPr>
  </w:style>
  <w:style w:type="paragraph" w:styleId="Footer">
    <w:name w:val="footer"/>
    <w:basedOn w:val="Normal"/>
    <w:rsid w:val="00153683"/>
    <w:pPr>
      <w:tabs>
        <w:tab w:val="center" w:pos="4320"/>
        <w:tab w:val="right" w:pos="8640"/>
      </w:tabs>
    </w:pPr>
  </w:style>
  <w:style w:type="character" w:styleId="Hyperlink">
    <w:name w:val="Hyperlink"/>
    <w:basedOn w:val="DefaultParagraphFont"/>
    <w:rsid w:val="00D46407"/>
    <w:rPr>
      <w:strike w:val="0"/>
      <w:dstrike w:val="0"/>
      <w:color w:val="E22914"/>
      <w:u w:val="none"/>
      <w:effect w:val="none"/>
    </w:rPr>
  </w:style>
  <w:style w:type="paragraph" w:customStyle="1" w:styleId="Title1">
    <w:name w:val="Title1"/>
    <w:basedOn w:val="Normal"/>
    <w:rsid w:val="00D46407"/>
    <w:pPr>
      <w:spacing w:before="100" w:beforeAutospacing="1" w:after="100" w:afterAutospacing="1"/>
    </w:pPr>
  </w:style>
  <w:style w:type="character" w:customStyle="1" w:styleId="apple-style-span">
    <w:name w:val="apple-style-span"/>
    <w:basedOn w:val="DefaultParagraphFont"/>
    <w:rsid w:val="002C7574"/>
  </w:style>
  <w:style w:type="character" w:customStyle="1" w:styleId="apple-converted-space">
    <w:name w:val="apple-converted-space"/>
    <w:basedOn w:val="DefaultParagraphFont"/>
    <w:rsid w:val="002C7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6c10604259d74407ddddc5c5fe3cb9ce&amp;rgn=div6&amp;view=text&amp;node=50:10.0.1.1.1.16&amp;idno=50" TargetMode="External"/><Relationship Id="rId13" Type="http://schemas.openxmlformats.org/officeDocument/2006/relationships/hyperlink" Target="http://edocket.access.gpo.gov/2008/pdf/E8-8257.pdf"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justice.gov/opcl/privsta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porateservices.noaa.gov/~ames/NAOs/Chap_216/naos_216_100.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9</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NMFS</Company>
  <LinksUpToDate>false</LinksUpToDate>
  <CharactersWithSpaces>22150</CharactersWithSpaces>
  <SharedDoc>false</SharedDoc>
  <HLinks>
    <vt:vector size="12" baseType="variant">
      <vt:variant>
        <vt:i4>1179648</vt:i4>
      </vt:variant>
      <vt:variant>
        <vt:i4>6</vt:i4>
      </vt:variant>
      <vt:variant>
        <vt:i4>0</vt:i4>
      </vt:variant>
      <vt:variant>
        <vt:i4>5</vt:i4>
      </vt:variant>
      <vt:variant>
        <vt:lpwstr>http://www.nmfs.noaa.gov/</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subject/>
  <dc:creator>skuzmanoff</dc:creator>
  <cp:keywords/>
  <dc:description/>
  <cp:lastModifiedBy>sarah.brabson</cp:lastModifiedBy>
  <cp:revision>31</cp:revision>
  <cp:lastPrinted>2011-10-27T20:19:00Z</cp:lastPrinted>
  <dcterms:created xsi:type="dcterms:W3CDTF">2011-08-22T13:44:00Z</dcterms:created>
  <dcterms:modified xsi:type="dcterms:W3CDTF">2012-04-23T14:59:00Z</dcterms:modified>
</cp:coreProperties>
</file>