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9B4" w:rsidRDefault="00B929B4" w:rsidP="00C80605">
      <w:pPr>
        <w:tabs>
          <w:tab w:val="clear" w:pos="432"/>
        </w:tabs>
        <w:spacing w:after="184" w:line="240" w:lineRule="auto"/>
        <w:ind w:firstLine="0"/>
        <w:jc w:val="center"/>
        <w:rPr>
          <w:rFonts w:ascii="Lucida Sans" w:hAnsi="Lucida Sans"/>
          <w:b/>
          <w:sz w:val="28"/>
          <w:szCs w:val="28"/>
        </w:rPr>
      </w:pPr>
    </w:p>
    <w:p w:rsidR="00B929B4" w:rsidRDefault="00B929B4" w:rsidP="00C80605">
      <w:pPr>
        <w:tabs>
          <w:tab w:val="clear" w:pos="432"/>
        </w:tabs>
        <w:spacing w:after="184" w:line="240" w:lineRule="auto"/>
        <w:ind w:firstLine="0"/>
        <w:jc w:val="center"/>
        <w:rPr>
          <w:rFonts w:ascii="Lucida Sans" w:hAnsi="Lucida Sans"/>
          <w:b/>
          <w:sz w:val="28"/>
          <w:szCs w:val="28"/>
        </w:rPr>
      </w:pPr>
    </w:p>
    <w:p w:rsidR="00B929B4" w:rsidRPr="00583AB5" w:rsidRDefault="00B929B4" w:rsidP="00C80605">
      <w:pPr>
        <w:tabs>
          <w:tab w:val="clear" w:pos="432"/>
        </w:tabs>
        <w:spacing w:after="184" w:line="240" w:lineRule="auto"/>
        <w:ind w:firstLine="0"/>
        <w:jc w:val="center"/>
        <w:rPr>
          <w:rFonts w:ascii="Lucida Sans" w:hAnsi="Lucida Sans"/>
          <w:b/>
          <w:sz w:val="28"/>
          <w:szCs w:val="28"/>
        </w:rPr>
      </w:pPr>
      <w:r w:rsidRPr="00583AB5">
        <w:rPr>
          <w:rFonts w:ascii="Lucida Sans" w:hAnsi="Lucida Sans"/>
          <w:b/>
          <w:sz w:val="28"/>
          <w:szCs w:val="28"/>
        </w:rPr>
        <w:t>Office of Management and Budget</w:t>
      </w:r>
    </w:p>
    <w:p w:rsidR="00B929B4" w:rsidRPr="00583AB5" w:rsidRDefault="00B929B4" w:rsidP="00C80605">
      <w:pPr>
        <w:tabs>
          <w:tab w:val="clear" w:pos="432"/>
        </w:tabs>
        <w:spacing w:after="184" w:line="240" w:lineRule="auto"/>
        <w:ind w:firstLine="0"/>
        <w:jc w:val="center"/>
        <w:rPr>
          <w:rFonts w:ascii="Lucida Sans" w:hAnsi="Lucida Sans"/>
          <w:b/>
          <w:sz w:val="28"/>
          <w:szCs w:val="28"/>
        </w:rPr>
      </w:pPr>
      <w:r w:rsidRPr="00583AB5">
        <w:rPr>
          <w:rFonts w:ascii="Lucida Sans" w:hAnsi="Lucida Sans"/>
          <w:b/>
          <w:sz w:val="28"/>
          <w:szCs w:val="28"/>
        </w:rPr>
        <w:t>Supporting Statement Part B</w:t>
      </w:r>
    </w:p>
    <w:p w:rsidR="00B929B4" w:rsidRPr="00583AB5" w:rsidRDefault="00B929B4" w:rsidP="00C80605">
      <w:pPr>
        <w:tabs>
          <w:tab w:val="clear" w:pos="432"/>
        </w:tabs>
        <w:spacing w:after="184" w:line="240" w:lineRule="auto"/>
        <w:ind w:firstLine="0"/>
        <w:jc w:val="center"/>
        <w:rPr>
          <w:rFonts w:ascii="Lucida Sans" w:hAnsi="Lucida Sans"/>
          <w:b/>
          <w:sz w:val="28"/>
          <w:szCs w:val="28"/>
        </w:rPr>
      </w:pPr>
      <w:r w:rsidRPr="00583AB5">
        <w:rPr>
          <w:rFonts w:ascii="Lucida Sans" w:hAnsi="Lucida Sans"/>
          <w:b/>
          <w:sz w:val="28"/>
          <w:szCs w:val="28"/>
        </w:rPr>
        <w:t>for text4baby Evaluation:</w:t>
      </w:r>
    </w:p>
    <w:p w:rsidR="00B929B4" w:rsidRPr="00583AB5" w:rsidRDefault="00B929B4" w:rsidP="00C80605">
      <w:pPr>
        <w:tabs>
          <w:tab w:val="clear" w:pos="432"/>
        </w:tabs>
        <w:spacing w:after="184" w:line="240" w:lineRule="auto"/>
        <w:ind w:firstLine="0"/>
        <w:jc w:val="center"/>
        <w:rPr>
          <w:rFonts w:ascii="Lucida Sans" w:hAnsi="Lucida Sans"/>
          <w:b/>
          <w:sz w:val="28"/>
          <w:szCs w:val="28"/>
        </w:rPr>
      </w:pPr>
      <w:r w:rsidRPr="00583AB5">
        <w:rPr>
          <w:rFonts w:ascii="Lucida Sans" w:hAnsi="Lucida Sans"/>
          <w:b/>
          <w:sz w:val="28"/>
          <w:szCs w:val="28"/>
        </w:rPr>
        <w:t>Collections of Information Employing Statistical Methods</w:t>
      </w:r>
    </w:p>
    <w:p w:rsidR="00B929B4" w:rsidRDefault="00B929B4" w:rsidP="00C80605">
      <w:pPr>
        <w:tabs>
          <w:tab w:val="clear" w:pos="432"/>
        </w:tabs>
        <w:spacing w:before="144" w:line="360" w:lineRule="exact"/>
        <w:ind w:firstLine="0"/>
        <w:jc w:val="center"/>
        <w:rPr>
          <w:rFonts w:ascii="Lucida Sans" w:hAnsi="Lucida Sans"/>
          <w:sz w:val="22"/>
          <w:szCs w:val="22"/>
        </w:rPr>
      </w:pPr>
    </w:p>
    <w:p w:rsidR="00954AD6" w:rsidRDefault="00954AD6" w:rsidP="00C80605">
      <w:pPr>
        <w:tabs>
          <w:tab w:val="clear" w:pos="432"/>
        </w:tabs>
        <w:spacing w:before="144" w:line="360" w:lineRule="exact"/>
        <w:ind w:firstLine="0"/>
        <w:jc w:val="center"/>
        <w:rPr>
          <w:rFonts w:ascii="Lucida Sans" w:hAnsi="Lucida Sans"/>
        </w:rPr>
      </w:pPr>
    </w:p>
    <w:p w:rsidR="00B929B4" w:rsidRPr="00583AB5" w:rsidRDefault="00954AD6" w:rsidP="00C80605">
      <w:pPr>
        <w:tabs>
          <w:tab w:val="clear" w:pos="432"/>
        </w:tabs>
        <w:spacing w:before="144" w:line="360" w:lineRule="exact"/>
        <w:ind w:firstLine="0"/>
        <w:jc w:val="center"/>
        <w:rPr>
          <w:rFonts w:ascii="Lucida Sans" w:hAnsi="Lucida Sans"/>
        </w:rPr>
      </w:pPr>
      <w:r>
        <w:rPr>
          <w:rFonts w:ascii="Lucida Sans" w:hAnsi="Lucida Sans"/>
        </w:rPr>
        <w:t>January 2</w:t>
      </w:r>
      <w:r w:rsidR="00894FCD">
        <w:rPr>
          <w:rFonts w:ascii="Lucida Sans" w:hAnsi="Lucida Sans"/>
        </w:rPr>
        <w:t>7</w:t>
      </w:r>
      <w:r>
        <w:rPr>
          <w:rFonts w:ascii="Lucida Sans" w:hAnsi="Lucida Sans"/>
        </w:rPr>
        <w:t>, 2012</w:t>
      </w:r>
    </w:p>
    <w:p w:rsidR="00B929B4" w:rsidRDefault="00B929B4">
      <w:pPr>
        <w:tabs>
          <w:tab w:val="clear" w:pos="432"/>
        </w:tabs>
        <w:spacing w:line="240" w:lineRule="auto"/>
        <w:ind w:firstLine="0"/>
        <w:jc w:val="left"/>
        <w:rPr>
          <w:rFonts w:ascii="Calibri" w:hAnsi="Calibri" w:cs="Calibri"/>
          <w:b/>
          <w:sz w:val="28"/>
          <w:szCs w:val="28"/>
        </w:rPr>
      </w:pPr>
      <w:r>
        <w:rPr>
          <w:rFonts w:ascii="Calibri" w:hAnsi="Calibri" w:cs="Calibri"/>
          <w:b/>
          <w:sz w:val="28"/>
          <w:szCs w:val="28"/>
        </w:rPr>
        <w:br w:type="page"/>
      </w:r>
    </w:p>
    <w:p w:rsidR="00B929B4" w:rsidRDefault="00B929B4" w:rsidP="00B929B4"/>
    <w:p w:rsidR="00B929B4" w:rsidRDefault="00B929B4" w:rsidP="00B929B4"/>
    <w:p w:rsidR="00B929B4" w:rsidRDefault="00B929B4" w:rsidP="00B929B4"/>
    <w:p w:rsidR="00B929B4" w:rsidRDefault="00B929B4" w:rsidP="00B929B4"/>
    <w:p w:rsidR="00B929B4" w:rsidRDefault="00B929B4" w:rsidP="00B929B4"/>
    <w:p w:rsidR="00B929B4" w:rsidRDefault="00B929B4" w:rsidP="00B929B4"/>
    <w:p w:rsidR="00B929B4" w:rsidRPr="0095226D" w:rsidRDefault="00B929B4" w:rsidP="00B929B4">
      <w:pPr>
        <w:ind w:firstLine="0"/>
        <w:jc w:val="center"/>
        <w:rPr>
          <w:b/>
        </w:rPr>
      </w:pPr>
      <w:r w:rsidRPr="0095226D">
        <w:rPr>
          <w:b/>
        </w:rPr>
        <w:t>This page has been left blank for double-sided copying.</w:t>
      </w:r>
    </w:p>
    <w:p w:rsidR="00B929B4" w:rsidRDefault="00B929B4" w:rsidP="00610642">
      <w:pPr>
        <w:tabs>
          <w:tab w:val="clear" w:pos="432"/>
        </w:tabs>
        <w:spacing w:after="120" w:line="240" w:lineRule="auto"/>
        <w:ind w:firstLine="0"/>
        <w:jc w:val="center"/>
        <w:rPr>
          <w:rFonts w:ascii="Calibri" w:hAnsi="Calibri" w:cs="Calibri"/>
          <w:b/>
          <w:sz w:val="28"/>
          <w:szCs w:val="28"/>
        </w:rPr>
      </w:pPr>
    </w:p>
    <w:p w:rsidR="00B929B4" w:rsidRDefault="00B929B4" w:rsidP="00610642">
      <w:pPr>
        <w:tabs>
          <w:tab w:val="clear" w:pos="432"/>
        </w:tabs>
        <w:spacing w:after="120" w:line="240" w:lineRule="auto"/>
        <w:ind w:firstLine="0"/>
        <w:jc w:val="center"/>
        <w:rPr>
          <w:rFonts w:ascii="Calibri" w:hAnsi="Calibri" w:cs="Calibri"/>
          <w:b/>
          <w:sz w:val="28"/>
          <w:szCs w:val="28"/>
        </w:rPr>
        <w:sectPr w:rsidR="00B929B4" w:rsidSect="003A1506">
          <w:footerReference w:type="default" r:id="rId8"/>
          <w:endnotePr>
            <w:numFmt w:val="decimal"/>
          </w:endnotePr>
          <w:pgSz w:w="12240" w:h="15840" w:code="1"/>
          <w:pgMar w:top="1440" w:right="1440" w:bottom="576" w:left="1440" w:header="720" w:footer="576" w:gutter="0"/>
          <w:cols w:space="720"/>
          <w:docGrid w:linePitch="150"/>
        </w:sectPr>
      </w:pPr>
    </w:p>
    <w:p w:rsidR="0036082B" w:rsidRDefault="0036082B" w:rsidP="00610642">
      <w:pPr>
        <w:tabs>
          <w:tab w:val="clear" w:pos="432"/>
        </w:tabs>
        <w:spacing w:after="120" w:line="240" w:lineRule="auto"/>
        <w:ind w:firstLine="0"/>
        <w:jc w:val="center"/>
        <w:rPr>
          <w:rFonts w:ascii="Calibri" w:hAnsi="Calibri" w:cs="Calibri"/>
          <w:b/>
          <w:sz w:val="28"/>
          <w:szCs w:val="28"/>
        </w:rPr>
      </w:pPr>
      <w:r w:rsidRPr="0036082B">
        <w:rPr>
          <w:rFonts w:ascii="Calibri" w:hAnsi="Calibri" w:cs="Calibri"/>
          <w:b/>
          <w:sz w:val="28"/>
          <w:szCs w:val="28"/>
        </w:rPr>
        <w:lastRenderedPageBreak/>
        <w:t>OMB Supporting Statement Part B for text4baby Evaluation</w:t>
      </w:r>
    </w:p>
    <w:p w:rsidR="00610642" w:rsidRPr="00610642" w:rsidRDefault="00610642" w:rsidP="00610642">
      <w:pPr>
        <w:tabs>
          <w:tab w:val="clear" w:pos="432"/>
        </w:tabs>
        <w:spacing w:line="240" w:lineRule="auto"/>
        <w:ind w:firstLine="0"/>
        <w:jc w:val="center"/>
        <w:rPr>
          <w:rFonts w:ascii="Times New Roman" w:hAnsi="Times New Roman"/>
          <w:b/>
        </w:rPr>
      </w:pPr>
    </w:p>
    <w:p w:rsidR="00C72CB7" w:rsidRPr="00BA6B31" w:rsidRDefault="00C72CB7" w:rsidP="003503B5">
      <w:pPr>
        <w:widowControl w:val="0"/>
        <w:tabs>
          <w:tab w:val="clear" w:pos="432"/>
        </w:tabs>
        <w:autoSpaceDE w:val="0"/>
        <w:autoSpaceDN w:val="0"/>
        <w:adjustRightInd w:val="0"/>
        <w:spacing w:after="240" w:line="240" w:lineRule="auto"/>
        <w:ind w:firstLine="0"/>
        <w:jc w:val="left"/>
        <w:rPr>
          <w:b/>
        </w:rPr>
      </w:pPr>
      <w:r w:rsidRPr="00BA6B31">
        <w:rPr>
          <w:b/>
        </w:rPr>
        <w:t>B.</w:t>
      </w:r>
      <w:r w:rsidRPr="00BA6B31">
        <w:rPr>
          <w:b/>
        </w:rPr>
        <w:tab/>
        <w:t>Collection of Information Employing Statistical Methods</w:t>
      </w:r>
    </w:p>
    <w:p w:rsidR="00C72CB7" w:rsidRPr="00C72CB7" w:rsidRDefault="00C72CB7" w:rsidP="003503B5">
      <w:pPr>
        <w:widowControl w:val="0"/>
        <w:tabs>
          <w:tab w:val="clear" w:pos="432"/>
        </w:tabs>
        <w:autoSpaceDE w:val="0"/>
        <w:autoSpaceDN w:val="0"/>
        <w:adjustRightInd w:val="0"/>
        <w:spacing w:after="240" w:line="240" w:lineRule="auto"/>
        <w:ind w:firstLine="0"/>
        <w:jc w:val="left"/>
        <w:rPr>
          <w:b/>
          <w:u w:val="single"/>
        </w:rPr>
      </w:pPr>
      <w:r w:rsidRPr="00C72CB7">
        <w:rPr>
          <w:b/>
        </w:rPr>
        <w:t>1.</w:t>
      </w:r>
      <w:r w:rsidRPr="00C72CB7">
        <w:rPr>
          <w:b/>
        </w:rPr>
        <w:tab/>
      </w:r>
      <w:r w:rsidRPr="00C72CB7">
        <w:rPr>
          <w:b/>
          <w:u w:val="single"/>
        </w:rPr>
        <w:t>Respondent Universe and Sampling Methods</w:t>
      </w:r>
    </w:p>
    <w:p w:rsidR="00C72CB7" w:rsidRDefault="00C72CB7" w:rsidP="0030726F">
      <w:pPr>
        <w:keepNext/>
        <w:spacing w:line="240" w:lineRule="auto"/>
        <w:ind w:left="432" w:hanging="432"/>
        <w:outlineLvl w:val="2"/>
        <w:rPr>
          <w:b/>
        </w:rPr>
      </w:pPr>
      <w:r w:rsidRPr="00C72CB7">
        <w:rPr>
          <w:b/>
        </w:rPr>
        <w:t>Safety Net Consumer Survey</w:t>
      </w:r>
    </w:p>
    <w:p w:rsidR="0030726F" w:rsidRPr="00C72CB7" w:rsidRDefault="0030726F" w:rsidP="0030726F">
      <w:pPr>
        <w:keepNext/>
        <w:spacing w:line="240" w:lineRule="auto"/>
        <w:ind w:left="432" w:hanging="432"/>
        <w:outlineLvl w:val="2"/>
        <w:rPr>
          <w:b/>
        </w:rPr>
      </w:pPr>
    </w:p>
    <w:p w:rsidR="00C72CB7" w:rsidRPr="00C72CB7" w:rsidRDefault="00C72CB7" w:rsidP="003503B5">
      <w:pPr>
        <w:pStyle w:val="NormalSS"/>
        <w:ind w:firstLine="0"/>
      </w:pPr>
      <w:r w:rsidRPr="00C72CB7">
        <w:t>The safety net consumer survey</w:t>
      </w:r>
      <w:r w:rsidR="007F2DCC">
        <w:t xml:space="preserve"> (which will be known as the Healthy Pregnancy and Parenting Survey, or HPP Survey)</w:t>
      </w:r>
      <w:r w:rsidRPr="00C72CB7">
        <w:t xml:space="preserve"> involves a two-step selection process: in the first step, four health Center-Controlled Networks (HCCNs) and one or more associated health centers will be selected and in the second step, a sample of pregnant women receiving prenatal care from the health centers will be identified. </w:t>
      </w:r>
    </w:p>
    <w:p w:rsidR="00C72CB7" w:rsidRPr="00C72CB7" w:rsidRDefault="009333D4" w:rsidP="003503B5">
      <w:pPr>
        <w:pStyle w:val="NormalSS"/>
        <w:ind w:firstLine="0"/>
      </w:pPr>
      <w:r>
        <w:t>To be e</w:t>
      </w:r>
      <w:r w:rsidR="00C72CB7" w:rsidRPr="00C72CB7">
        <w:t>ligible for selection</w:t>
      </w:r>
      <w:r>
        <w:t>,</w:t>
      </w:r>
      <w:r w:rsidR="00C72CB7" w:rsidRPr="00C72CB7">
        <w:t xml:space="preserve"> </w:t>
      </w:r>
      <w:r w:rsidRPr="00C72CB7">
        <w:t xml:space="preserve">HCCNs </w:t>
      </w:r>
      <w:r w:rsidR="00C72CB7" w:rsidRPr="00C72CB7">
        <w:t>will: (1) provide prenatal, obstetric, and pediatric care, (2) have one or more health centers that serve at least 320 prenatal patients within a four-month period, (</w:t>
      </w:r>
      <w:r w:rsidR="00783B9C">
        <w:t>3</w:t>
      </w:r>
      <w:r w:rsidR="00C72CB7" w:rsidRPr="00C72CB7">
        <w:t xml:space="preserve">) have one or more health centers with </w:t>
      </w:r>
      <w:r w:rsidR="0036082B">
        <w:t xml:space="preserve">at least 250 </w:t>
      </w:r>
      <w:r w:rsidR="00C72CB7" w:rsidRPr="00C72CB7">
        <w:t xml:space="preserve">text4baby users </w:t>
      </w:r>
      <w:r w:rsidR="0036082B">
        <w:t>within a 10-mile radius</w:t>
      </w:r>
      <w:r w:rsidR="00C72CB7" w:rsidRPr="00C72CB7">
        <w:t>, (</w:t>
      </w:r>
      <w:r w:rsidR="00783B9C">
        <w:t>4</w:t>
      </w:r>
      <w:r w:rsidR="00C72CB7" w:rsidRPr="00C72CB7">
        <w:t>) have at least one text4baby outreach partner within its catchment area,</w:t>
      </w:r>
      <w:r w:rsidR="00783B9C">
        <w:t xml:space="preserve"> (5) </w:t>
      </w:r>
      <w:r w:rsidR="00783B9C" w:rsidRPr="00C72CB7">
        <w:t>have an EHR system that has been operational for at least six months (preferably operational for two or more years),</w:t>
      </w:r>
      <w:r w:rsidR="00C72CB7" w:rsidRPr="00C72CB7">
        <w:t xml:space="preserve"> and (6) agree to provide contact information for a sample of prenatal patients and an abstract of electronic health record (EHR) data for patients that consent to their release. </w:t>
      </w:r>
      <w:r w:rsidR="00074CBE" w:rsidRPr="00C72CB7">
        <w:t>From the 6</w:t>
      </w:r>
      <w:r w:rsidR="00074CBE">
        <w:t>5</w:t>
      </w:r>
      <w:r w:rsidR="00074CBE" w:rsidRPr="00C72CB7">
        <w:t xml:space="preserve"> HCCNs funded by HRSA in 2010, </w:t>
      </w:r>
      <w:r w:rsidR="00074CBE">
        <w:t>only 6 met these eligibility criteria. Table 1 summarizes the steps used to select the HCCNs and health centers for the text4baby evaluation.</w:t>
      </w:r>
    </w:p>
    <w:p w:rsidR="009333D4" w:rsidRDefault="0036082B" w:rsidP="003503B5">
      <w:pPr>
        <w:pStyle w:val="NormalSS"/>
        <w:ind w:firstLine="0"/>
      </w:pPr>
      <w:r>
        <w:t>Four</w:t>
      </w:r>
      <w:r w:rsidR="00C72CB7" w:rsidRPr="00C72CB7">
        <w:t xml:space="preserve"> </w:t>
      </w:r>
      <w:r w:rsidR="00EF05D5">
        <w:t xml:space="preserve">of the six </w:t>
      </w:r>
      <w:r w:rsidR="00C72CB7" w:rsidRPr="00C72CB7">
        <w:t xml:space="preserve">HCCNs </w:t>
      </w:r>
      <w:r w:rsidR="00074CBE">
        <w:t>were</w:t>
      </w:r>
      <w:r w:rsidR="00C72CB7" w:rsidRPr="00C72CB7">
        <w:t xml:space="preserve"> selected to ensure diverse characteristics, including: (1) varied racial/ethnic distribution, with an emphasis on </w:t>
      </w:r>
      <w:r w:rsidR="00E1299A">
        <w:t>health centers</w:t>
      </w:r>
      <w:r w:rsidR="00C72CB7" w:rsidRPr="00C72CB7">
        <w:t xml:space="preserve"> that serve low-income African American and Hispanic populations; (2) geographic distribution across the four regions of the U.S., and (3) a concentration of Spanish language preferred clients in two of the sites</w:t>
      </w:r>
      <w:r w:rsidR="00074CBE">
        <w:t xml:space="preserve"> (Table 1)</w:t>
      </w:r>
      <w:r w:rsidR="00C72CB7" w:rsidRPr="00C72CB7">
        <w:t xml:space="preserve">. </w:t>
      </w:r>
    </w:p>
    <w:p w:rsidR="0065745D" w:rsidRDefault="00783B9C">
      <w:pPr>
        <w:pStyle w:val="NormalSS"/>
        <w:ind w:firstLine="0"/>
      </w:pPr>
      <w:r>
        <w:t xml:space="preserve">The selected HCCNs and associated health centers are as follows: </w:t>
      </w: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60"/>
        <w:gridCol w:w="3150"/>
        <w:gridCol w:w="3060"/>
        <w:gridCol w:w="2178"/>
      </w:tblGrid>
      <w:tr w:rsidR="009333D4" w:rsidTr="00F24A52">
        <w:tc>
          <w:tcPr>
            <w:tcW w:w="1260" w:type="dxa"/>
            <w:tcBorders>
              <w:top w:val="single" w:sz="4" w:space="0" w:color="auto"/>
              <w:bottom w:val="single" w:sz="4" w:space="0" w:color="auto"/>
            </w:tcBorders>
          </w:tcPr>
          <w:p w:rsidR="009333D4" w:rsidRDefault="009333D4" w:rsidP="009333D4">
            <w:pPr>
              <w:pStyle w:val="NormalSS"/>
              <w:spacing w:before="120" w:after="60"/>
              <w:ind w:firstLine="0"/>
              <w:jc w:val="left"/>
            </w:pPr>
            <w:r>
              <w:t>Region</w:t>
            </w:r>
          </w:p>
        </w:tc>
        <w:tc>
          <w:tcPr>
            <w:tcW w:w="3150" w:type="dxa"/>
            <w:tcBorders>
              <w:top w:val="single" w:sz="4" w:space="0" w:color="auto"/>
              <w:bottom w:val="single" w:sz="4" w:space="0" w:color="auto"/>
            </w:tcBorders>
          </w:tcPr>
          <w:p w:rsidR="009333D4" w:rsidRDefault="009333D4" w:rsidP="009333D4">
            <w:pPr>
              <w:pStyle w:val="NormalSS"/>
              <w:spacing w:before="120" w:after="60"/>
              <w:ind w:firstLine="0"/>
              <w:jc w:val="center"/>
            </w:pPr>
            <w:r>
              <w:t>HCCN Name</w:t>
            </w:r>
          </w:p>
        </w:tc>
        <w:tc>
          <w:tcPr>
            <w:tcW w:w="3060" w:type="dxa"/>
            <w:tcBorders>
              <w:top w:val="single" w:sz="4" w:space="0" w:color="auto"/>
              <w:bottom w:val="single" w:sz="4" w:space="0" w:color="auto"/>
            </w:tcBorders>
          </w:tcPr>
          <w:p w:rsidR="009333D4" w:rsidRDefault="009333D4" w:rsidP="009333D4">
            <w:pPr>
              <w:pStyle w:val="NormalSS"/>
              <w:spacing w:before="120" w:after="60"/>
              <w:ind w:firstLine="0"/>
              <w:jc w:val="center"/>
            </w:pPr>
            <w:r>
              <w:t>Health Center Name(s)</w:t>
            </w:r>
          </w:p>
        </w:tc>
        <w:tc>
          <w:tcPr>
            <w:tcW w:w="2178" w:type="dxa"/>
            <w:tcBorders>
              <w:top w:val="single" w:sz="4" w:space="0" w:color="auto"/>
              <w:bottom w:val="single" w:sz="4" w:space="0" w:color="auto"/>
            </w:tcBorders>
          </w:tcPr>
          <w:p w:rsidR="009333D4" w:rsidRDefault="009333D4" w:rsidP="009333D4">
            <w:pPr>
              <w:pStyle w:val="NormalSS"/>
              <w:spacing w:before="120" w:after="60"/>
              <w:ind w:firstLine="0"/>
              <w:jc w:val="center"/>
            </w:pPr>
            <w:r>
              <w:t>City, State</w:t>
            </w:r>
          </w:p>
        </w:tc>
      </w:tr>
      <w:tr w:rsidR="00074CBE" w:rsidTr="00F24A52">
        <w:tc>
          <w:tcPr>
            <w:tcW w:w="9648" w:type="dxa"/>
            <w:gridSpan w:val="4"/>
            <w:tcBorders>
              <w:top w:val="single" w:sz="4" w:space="0" w:color="auto"/>
              <w:bottom w:val="single" w:sz="4" w:space="0" w:color="auto"/>
            </w:tcBorders>
          </w:tcPr>
          <w:p w:rsidR="005736AF" w:rsidRDefault="00074CBE">
            <w:pPr>
              <w:pStyle w:val="NormalSS"/>
              <w:spacing w:before="60" w:after="60"/>
              <w:ind w:firstLine="0"/>
              <w:jc w:val="left"/>
            </w:pPr>
            <w:r>
              <w:t>Recommended HCCNs/Health Centers</w:t>
            </w:r>
          </w:p>
        </w:tc>
      </w:tr>
      <w:tr w:rsidR="009333D4" w:rsidTr="00F24A52">
        <w:tc>
          <w:tcPr>
            <w:tcW w:w="1260" w:type="dxa"/>
            <w:tcBorders>
              <w:top w:val="single" w:sz="4" w:space="0" w:color="auto"/>
              <w:bottom w:val="single" w:sz="4" w:space="0" w:color="auto"/>
            </w:tcBorders>
          </w:tcPr>
          <w:p w:rsidR="009333D4" w:rsidRDefault="009333D4" w:rsidP="009333D4">
            <w:pPr>
              <w:pStyle w:val="NormalSS"/>
              <w:spacing w:before="60" w:after="60"/>
              <w:ind w:firstLine="0"/>
            </w:pPr>
            <w:r>
              <w:t>Northeast</w:t>
            </w:r>
          </w:p>
        </w:tc>
        <w:tc>
          <w:tcPr>
            <w:tcW w:w="3150" w:type="dxa"/>
            <w:tcBorders>
              <w:top w:val="single" w:sz="4" w:space="0" w:color="auto"/>
              <w:bottom w:val="single" w:sz="4" w:space="0" w:color="auto"/>
            </w:tcBorders>
          </w:tcPr>
          <w:p w:rsidR="009333D4" w:rsidRDefault="009333D4" w:rsidP="009333D4">
            <w:pPr>
              <w:pStyle w:val="NormalSS"/>
              <w:spacing w:before="60" w:after="60"/>
              <w:ind w:firstLine="0"/>
              <w:jc w:val="left"/>
            </w:pPr>
            <w:r>
              <w:t>Metropolitan Collaborative of Health Information Technology (METCHIT)</w:t>
            </w:r>
          </w:p>
        </w:tc>
        <w:tc>
          <w:tcPr>
            <w:tcW w:w="3060" w:type="dxa"/>
            <w:tcBorders>
              <w:top w:val="single" w:sz="4" w:space="0" w:color="auto"/>
              <w:bottom w:val="single" w:sz="4" w:space="0" w:color="auto"/>
            </w:tcBorders>
          </w:tcPr>
          <w:p w:rsidR="009333D4" w:rsidRDefault="009333D4" w:rsidP="009333D4">
            <w:pPr>
              <w:pStyle w:val="NormalSS"/>
              <w:spacing w:before="60" w:after="60"/>
              <w:ind w:firstLine="0"/>
              <w:jc w:val="left"/>
            </w:pPr>
            <w:r>
              <w:t>Morris Heights Health Center</w:t>
            </w:r>
          </w:p>
        </w:tc>
        <w:tc>
          <w:tcPr>
            <w:tcW w:w="2178" w:type="dxa"/>
            <w:tcBorders>
              <w:top w:val="single" w:sz="4" w:space="0" w:color="auto"/>
              <w:bottom w:val="single" w:sz="4" w:space="0" w:color="auto"/>
            </w:tcBorders>
          </w:tcPr>
          <w:p w:rsidR="009333D4" w:rsidRDefault="009333D4" w:rsidP="009333D4">
            <w:pPr>
              <w:pStyle w:val="NormalSS"/>
              <w:spacing w:before="60" w:after="60"/>
              <w:ind w:firstLine="0"/>
              <w:jc w:val="left"/>
            </w:pPr>
            <w:r>
              <w:t>Bronx, NY</w:t>
            </w:r>
          </w:p>
        </w:tc>
      </w:tr>
      <w:tr w:rsidR="009333D4" w:rsidTr="00F24A52">
        <w:tc>
          <w:tcPr>
            <w:tcW w:w="1260" w:type="dxa"/>
            <w:tcBorders>
              <w:top w:val="single" w:sz="4" w:space="0" w:color="auto"/>
              <w:bottom w:val="single" w:sz="4" w:space="0" w:color="auto"/>
            </w:tcBorders>
          </w:tcPr>
          <w:p w:rsidR="009333D4" w:rsidRDefault="009333D4" w:rsidP="009333D4">
            <w:pPr>
              <w:pStyle w:val="NormalSS"/>
              <w:spacing w:before="60" w:after="60"/>
              <w:ind w:firstLine="0"/>
            </w:pPr>
            <w:r>
              <w:t>Midwest</w:t>
            </w:r>
          </w:p>
        </w:tc>
        <w:tc>
          <w:tcPr>
            <w:tcW w:w="3150" w:type="dxa"/>
            <w:tcBorders>
              <w:top w:val="single" w:sz="4" w:space="0" w:color="auto"/>
              <w:bottom w:val="single" w:sz="4" w:space="0" w:color="auto"/>
            </w:tcBorders>
          </w:tcPr>
          <w:p w:rsidR="009333D4" w:rsidRDefault="009333D4" w:rsidP="009333D4">
            <w:pPr>
              <w:pStyle w:val="NormalSS"/>
              <w:spacing w:before="60" w:after="60"/>
              <w:ind w:firstLine="0"/>
              <w:jc w:val="left"/>
            </w:pPr>
            <w:r>
              <w:t>Alliance of Chicago Community Health Services</w:t>
            </w:r>
          </w:p>
        </w:tc>
        <w:tc>
          <w:tcPr>
            <w:tcW w:w="3060" w:type="dxa"/>
            <w:tcBorders>
              <w:top w:val="single" w:sz="4" w:space="0" w:color="auto"/>
              <w:bottom w:val="single" w:sz="4" w:space="0" w:color="auto"/>
            </w:tcBorders>
          </w:tcPr>
          <w:p w:rsidR="00074CBE" w:rsidRDefault="009333D4" w:rsidP="009333D4">
            <w:pPr>
              <w:pStyle w:val="NormalSS"/>
              <w:spacing w:before="60" w:after="60"/>
              <w:ind w:firstLine="0"/>
              <w:jc w:val="left"/>
            </w:pPr>
            <w:r>
              <w:t xml:space="preserve">Erie Family </w:t>
            </w:r>
            <w:r w:rsidR="00074CBE">
              <w:t>Health Center</w:t>
            </w:r>
          </w:p>
          <w:p w:rsidR="009333D4" w:rsidRDefault="00074CBE" w:rsidP="009333D4">
            <w:pPr>
              <w:pStyle w:val="NormalSS"/>
              <w:spacing w:before="60" w:after="60"/>
              <w:ind w:firstLine="0"/>
              <w:jc w:val="left"/>
            </w:pPr>
            <w:r>
              <w:t>(Alternate Health Centers: Alivio</w:t>
            </w:r>
            <w:r w:rsidR="00471BC1">
              <w:t xml:space="preserve"> Medical Center</w:t>
            </w:r>
            <w:r>
              <w:t xml:space="preserve">, </w:t>
            </w:r>
            <w:r w:rsidR="009333D4">
              <w:t xml:space="preserve">PCC </w:t>
            </w:r>
            <w:r w:rsidR="00471BC1">
              <w:t xml:space="preserve">Community </w:t>
            </w:r>
            <w:r w:rsidR="009333D4">
              <w:t>Wellness</w:t>
            </w:r>
            <w:r w:rsidR="00471BC1">
              <w:t xml:space="preserve"> Center</w:t>
            </w:r>
            <w:r>
              <w:t>)</w:t>
            </w:r>
          </w:p>
        </w:tc>
        <w:tc>
          <w:tcPr>
            <w:tcW w:w="2178" w:type="dxa"/>
            <w:tcBorders>
              <w:top w:val="single" w:sz="4" w:space="0" w:color="auto"/>
              <w:bottom w:val="single" w:sz="4" w:space="0" w:color="auto"/>
            </w:tcBorders>
          </w:tcPr>
          <w:p w:rsidR="005736AF" w:rsidRDefault="009333D4">
            <w:pPr>
              <w:pStyle w:val="NormalSS"/>
              <w:spacing w:before="60" w:after="60"/>
              <w:ind w:firstLine="0"/>
              <w:jc w:val="left"/>
            </w:pPr>
            <w:r>
              <w:t>Chicago</w:t>
            </w:r>
            <w:r w:rsidR="00074CBE">
              <w:t>,</w:t>
            </w:r>
            <w:r>
              <w:t xml:space="preserve"> IL</w:t>
            </w:r>
          </w:p>
        </w:tc>
      </w:tr>
      <w:tr w:rsidR="009333D4" w:rsidTr="00F24A52">
        <w:tc>
          <w:tcPr>
            <w:tcW w:w="1260" w:type="dxa"/>
            <w:tcBorders>
              <w:top w:val="single" w:sz="4" w:space="0" w:color="auto"/>
              <w:bottom w:val="single" w:sz="4" w:space="0" w:color="auto"/>
            </w:tcBorders>
          </w:tcPr>
          <w:p w:rsidR="009333D4" w:rsidRDefault="009333D4" w:rsidP="009333D4">
            <w:pPr>
              <w:pStyle w:val="NormalSS"/>
              <w:spacing w:before="60" w:after="60"/>
              <w:ind w:firstLine="0"/>
            </w:pPr>
            <w:r>
              <w:t>South</w:t>
            </w:r>
          </w:p>
        </w:tc>
        <w:tc>
          <w:tcPr>
            <w:tcW w:w="3150" w:type="dxa"/>
            <w:tcBorders>
              <w:top w:val="single" w:sz="4" w:space="0" w:color="auto"/>
              <w:bottom w:val="single" w:sz="4" w:space="0" w:color="auto"/>
            </w:tcBorders>
          </w:tcPr>
          <w:p w:rsidR="009333D4" w:rsidRDefault="009333D4" w:rsidP="009333D4">
            <w:pPr>
              <w:pStyle w:val="NormalSS"/>
              <w:spacing w:before="60" w:after="60"/>
              <w:ind w:firstLine="0"/>
              <w:jc w:val="left"/>
            </w:pPr>
            <w:r>
              <w:t>Georgia Healthcare Systems</w:t>
            </w:r>
          </w:p>
        </w:tc>
        <w:tc>
          <w:tcPr>
            <w:tcW w:w="3060" w:type="dxa"/>
            <w:tcBorders>
              <w:top w:val="single" w:sz="4" w:space="0" w:color="auto"/>
              <w:bottom w:val="single" w:sz="4" w:space="0" w:color="auto"/>
            </w:tcBorders>
          </w:tcPr>
          <w:p w:rsidR="005736AF" w:rsidRDefault="009333D4">
            <w:pPr>
              <w:pStyle w:val="NormalSS"/>
              <w:spacing w:before="60" w:after="60"/>
              <w:ind w:firstLine="0"/>
              <w:jc w:val="left"/>
            </w:pPr>
            <w:r>
              <w:t>Southside</w:t>
            </w:r>
            <w:r w:rsidR="00471BC1">
              <w:t xml:space="preserve"> Health Center and</w:t>
            </w:r>
            <w:r>
              <w:t xml:space="preserve"> West End</w:t>
            </w:r>
            <w:r w:rsidR="00471BC1">
              <w:t xml:space="preserve"> Health Center</w:t>
            </w:r>
          </w:p>
        </w:tc>
        <w:tc>
          <w:tcPr>
            <w:tcW w:w="2178" w:type="dxa"/>
            <w:tcBorders>
              <w:top w:val="single" w:sz="4" w:space="0" w:color="auto"/>
              <w:bottom w:val="single" w:sz="4" w:space="0" w:color="auto"/>
            </w:tcBorders>
          </w:tcPr>
          <w:p w:rsidR="009333D4" w:rsidRDefault="009333D4" w:rsidP="009333D4">
            <w:pPr>
              <w:pStyle w:val="NormalSS"/>
              <w:spacing w:before="60" w:after="60"/>
              <w:ind w:firstLine="0"/>
              <w:jc w:val="left"/>
            </w:pPr>
            <w:r>
              <w:t>Atlanta, GA</w:t>
            </w:r>
          </w:p>
        </w:tc>
      </w:tr>
      <w:tr w:rsidR="009333D4" w:rsidTr="00F24A52">
        <w:tc>
          <w:tcPr>
            <w:tcW w:w="1260" w:type="dxa"/>
            <w:tcBorders>
              <w:top w:val="single" w:sz="4" w:space="0" w:color="auto"/>
              <w:bottom w:val="single" w:sz="4" w:space="0" w:color="auto"/>
            </w:tcBorders>
          </w:tcPr>
          <w:p w:rsidR="009333D4" w:rsidRDefault="009333D4" w:rsidP="009333D4">
            <w:pPr>
              <w:pStyle w:val="NormalSS"/>
              <w:spacing w:before="60" w:after="60"/>
              <w:ind w:firstLine="0"/>
            </w:pPr>
            <w:r>
              <w:t>West</w:t>
            </w:r>
          </w:p>
        </w:tc>
        <w:tc>
          <w:tcPr>
            <w:tcW w:w="3150" w:type="dxa"/>
            <w:tcBorders>
              <w:top w:val="single" w:sz="4" w:space="0" w:color="auto"/>
              <w:bottom w:val="single" w:sz="4" w:space="0" w:color="auto"/>
            </w:tcBorders>
          </w:tcPr>
          <w:p w:rsidR="009333D4" w:rsidRDefault="00471BC1" w:rsidP="009333D4">
            <w:pPr>
              <w:pStyle w:val="NormalSS"/>
              <w:spacing w:before="60" w:after="60"/>
              <w:ind w:firstLine="0"/>
              <w:jc w:val="left"/>
            </w:pPr>
            <w:r>
              <w:t>Alta</w:t>
            </w:r>
            <w:r w:rsidR="009333D4">
              <w:t>Med Health Services Corporation</w:t>
            </w:r>
          </w:p>
        </w:tc>
        <w:tc>
          <w:tcPr>
            <w:tcW w:w="3060" w:type="dxa"/>
            <w:tcBorders>
              <w:top w:val="single" w:sz="4" w:space="0" w:color="auto"/>
              <w:bottom w:val="single" w:sz="4" w:space="0" w:color="auto"/>
            </w:tcBorders>
          </w:tcPr>
          <w:p w:rsidR="009333D4" w:rsidRDefault="00471BC1" w:rsidP="009333D4">
            <w:pPr>
              <w:pStyle w:val="NormalSS"/>
              <w:spacing w:before="60" w:after="60"/>
              <w:ind w:firstLine="0"/>
              <w:jc w:val="left"/>
            </w:pPr>
            <w:r>
              <w:t>Alta</w:t>
            </w:r>
            <w:r w:rsidR="009333D4">
              <w:t>Med Medical Group</w:t>
            </w:r>
          </w:p>
        </w:tc>
        <w:tc>
          <w:tcPr>
            <w:tcW w:w="2178" w:type="dxa"/>
            <w:tcBorders>
              <w:top w:val="single" w:sz="4" w:space="0" w:color="auto"/>
              <w:bottom w:val="single" w:sz="4" w:space="0" w:color="auto"/>
            </w:tcBorders>
          </w:tcPr>
          <w:p w:rsidR="009333D4" w:rsidRDefault="009333D4" w:rsidP="009333D4">
            <w:pPr>
              <w:pStyle w:val="NormalSS"/>
              <w:spacing w:before="60" w:after="60"/>
              <w:ind w:firstLine="0"/>
              <w:jc w:val="left"/>
            </w:pPr>
            <w:r>
              <w:t>Commerce (Los Angeles), CA</w:t>
            </w:r>
          </w:p>
        </w:tc>
      </w:tr>
      <w:tr w:rsidR="00074CBE" w:rsidTr="00F24A52">
        <w:tc>
          <w:tcPr>
            <w:tcW w:w="9648" w:type="dxa"/>
            <w:gridSpan w:val="4"/>
            <w:tcBorders>
              <w:top w:val="single" w:sz="4" w:space="0" w:color="auto"/>
              <w:bottom w:val="single" w:sz="4" w:space="0" w:color="auto"/>
            </w:tcBorders>
          </w:tcPr>
          <w:p w:rsidR="005736AF" w:rsidRDefault="00074CBE">
            <w:pPr>
              <w:pStyle w:val="NormalSS"/>
              <w:spacing w:before="60" w:after="60"/>
              <w:ind w:firstLine="0"/>
              <w:jc w:val="left"/>
            </w:pPr>
            <w:r>
              <w:lastRenderedPageBreak/>
              <w:t>Alternate HCCNs/Health Centers</w:t>
            </w:r>
          </w:p>
        </w:tc>
      </w:tr>
      <w:tr w:rsidR="00074CBE" w:rsidTr="00F24A5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260" w:type="dxa"/>
            <w:tcBorders>
              <w:top w:val="single" w:sz="4" w:space="0" w:color="auto"/>
              <w:left w:val="nil"/>
              <w:bottom w:val="single" w:sz="4" w:space="0" w:color="auto"/>
              <w:right w:val="nil"/>
            </w:tcBorders>
          </w:tcPr>
          <w:p w:rsidR="00074CBE" w:rsidRDefault="00074CBE" w:rsidP="00074CBE">
            <w:pPr>
              <w:pStyle w:val="NormalSS"/>
              <w:spacing w:before="60" w:after="60"/>
              <w:ind w:firstLine="0"/>
            </w:pPr>
            <w:r>
              <w:t>Northeast</w:t>
            </w:r>
          </w:p>
        </w:tc>
        <w:tc>
          <w:tcPr>
            <w:tcW w:w="3150" w:type="dxa"/>
            <w:tcBorders>
              <w:top w:val="single" w:sz="4" w:space="0" w:color="auto"/>
              <w:left w:val="nil"/>
              <w:bottom w:val="single" w:sz="4" w:space="0" w:color="auto"/>
              <w:right w:val="nil"/>
            </w:tcBorders>
          </w:tcPr>
          <w:p w:rsidR="00074CBE" w:rsidRDefault="00074CBE" w:rsidP="00074CBE">
            <w:pPr>
              <w:pStyle w:val="NormalSS"/>
              <w:spacing w:before="60" w:after="60"/>
              <w:ind w:firstLine="0"/>
              <w:jc w:val="left"/>
            </w:pPr>
            <w:r>
              <w:t>New Community Health Centers, Inc.</w:t>
            </w:r>
          </w:p>
        </w:tc>
        <w:tc>
          <w:tcPr>
            <w:tcW w:w="3060" w:type="dxa"/>
            <w:tcBorders>
              <w:top w:val="single" w:sz="4" w:space="0" w:color="auto"/>
              <w:left w:val="nil"/>
              <w:bottom w:val="single" w:sz="4" w:space="0" w:color="auto"/>
              <w:right w:val="nil"/>
            </w:tcBorders>
          </w:tcPr>
          <w:p w:rsidR="00074CBE" w:rsidRDefault="00074CBE" w:rsidP="00074CBE">
            <w:pPr>
              <w:pStyle w:val="NormalSS"/>
              <w:spacing w:before="60" w:after="60"/>
              <w:ind w:firstLine="0"/>
              <w:jc w:val="left"/>
            </w:pPr>
            <w:r>
              <w:t>North Hudson CACHD</w:t>
            </w:r>
          </w:p>
        </w:tc>
        <w:tc>
          <w:tcPr>
            <w:tcW w:w="2178" w:type="dxa"/>
            <w:tcBorders>
              <w:top w:val="single" w:sz="4" w:space="0" w:color="auto"/>
              <w:left w:val="nil"/>
              <w:bottom w:val="single" w:sz="4" w:space="0" w:color="auto"/>
              <w:right w:val="nil"/>
            </w:tcBorders>
          </w:tcPr>
          <w:p w:rsidR="00074CBE" w:rsidRDefault="00074CBE" w:rsidP="00074CBE">
            <w:pPr>
              <w:pStyle w:val="NormalSS"/>
              <w:spacing w:before="60" w:after="60"/>
              <w:ind w:firstLine="0"/>
              <w:jc w:val="left"/>
            </w:pPr>
            <w:r>
              <w:t>West New York, NJ</w:t>
            </w:r>
          </w:p>
        </w:tc>
      </w:tr>
      <w:tr w:rsidR="00074CBE" w:rsidTr="00F24A5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260" w:type="dxa"/>
            <w:tcBorders>
              <w:top w:val="single" w:sz="4" w:space="0" w:color="auto"/>
              <w:left w:val="nil"/>
              <w:bottom w:val="single" w:sz="4" w:space="0" w:color="auto"/>
              <w:right w:val="nil"/>
            </w:tcBorders>
          </w:tcPr>
          <w:p w:rsidR="00074CBE" w:rsidRDefault="00074CBE" w:rsidP="00074CBE">
            <w:pPr>
              <w:pStyle w:val="NormalSS"/>
              <w:spacing w:before="60" w:after="60"/>
              <w:ind w:firstLine="0"/>
            </w:pPr>
            <w:r>
              <w:t>South</w:t>
            </w:r>
          </w:p>
        </w:tc>
        <w:tc>
          <w:tcPr>
            <w:tcW w:w="3150" w:type="dxa"/>
            <w:tcBorders>
              <w:top w:val="single" w:sz="4" w:space="0" w:color="auto"/>
              <w:left w:val="nil"/>
              <w:bottom w:val="single" w:sz="4" w:space="0" w:color="auto"/>
              <w:right w:val="nil"/>
            </w:tcBorders>
          </w:tcPr>
          <w:p w:rsidR="00074CBE" w:rsidRDefault="00074CBE" w:rsidP="00074CBE">
            <w:pPr>
              <w:pStyle w:val="NormalSS"/>
              <w:spacing w:before="60" w:after="60"/>
              <w:ind w:firstLine="0"/>
              <w:jc w:val="left"/>
            </w:pPr>
            <w:r>
              <w:t>Community Health Integrated Partnership</w:t>
            </w:r>
          </w:p>
        </w:tc>
        <w:tc>
          <w:tcPr>
            <w:tcW w:w="3060" w:type="dxa"/>
            <w:tcBorders>
              <w:top w:val="single" w:sz="4" w:space="0" w:color="auto"/>
              <w:left w:val="nil"/>
              <w:bottom w:val="single" w:sz="4" w:space="0" w:color="auto"/>
              <w:right w:val="nil"/>
            </w:tcBorders>
          </w:tcPr>
          <w:p w:rsidR="00074CBE" w:rsidRDefault="00074CBE" w:rsidP="00074CBE">
            <w:pPr>
              <w:pStyle w:val="NormalSS"/>
              <w:spacing w:before="60" w:after="60"/>
              <w:ind w:firstLine="0"/>
              <w:jc w:val="left"/>
            </w:pPr>
            <w:r>
              <w:t xml:space="preserve">Parkwest Health Center, People Health Center, </w:t>
            </w:r>
            <w:r w:rsidR="00471BC1">
              <w:t xml:space="preserve">and </w:t>
            </w:r>
            <w:r>
              <w:t>Total Health Center</w:t>
            </w:r>
          </w:p>
        </w:tc>
        <w:tc>
          <w:tcPr>
            <w:tcW w:w="2178" w:type="dxa"/>
            <w:tcBorders>
              <w:top w:val="single" w:sz="4" w:space="0" w:color="auto"/>
              <w:left w:val="nil"/>
              <w:bottom w:val="single" w:sz="4" w:space="0" w:color="auto"/>
              <w:right w:val="nil"/>
            </w:tcBorders>
          </w:tcPr>
          <w:p w:rsidR="00074CBE" w:rsidRDefault="00074CBE" w:rsidP="00074CBE">
            <w:pPr>
              <w:pStyle w:val="NormalSS"/>
              <w:spacing w:before="60" w:after="60"/>
              <w:ind w:firstLine="0"/>
              <w:jc w:val="left"/>
            </w:pPr>
            <w:r>
              <w:t>Baltimore, MD</w:t>
            </w:r>
          </w:p>
        </w:tc>
      </w:tr>
    </w:tbl>
    <w:p w:rsidR="00783B9C" w:rsidRDefault="00783B9C" w:rsidP="00E90191">
      <w:pPr>
        <w:pStyle w:val="NormalSS"/>
        <w:spacing w:after="120"/>
        <w:ind w:firstLine="0"/>
      </w:pPr>
    </w:p>
    <w:p w:rsidR="009333D4" w:rsidRDefault="009333D4" w:rsidP="003503B5">
      <w:pPr>
        <w:pStyle w:val="NormalSS"/>
        <w:ind w:firstLine="0"/>
      </w:pPr>
      <w:r>
        <w:t xml:space="preserve">The remaining two eligible HCCNs will serve as back-ups if an alternate choice is required. </w:t>
      </w:r>
      <w:r w:rsidRPr="00C72CB7">
        <w:t xml:space="preserve">Although the final selection of the HCCNs </w:t>
      </w:r>
      <w:r>
        <w:t>is</w:t>
      </w:r>
      <w:r w:rsidRPr="00C72CB7">
        <w:t xml:space="preserve"> purposive rather than random, HRSA </w:t>
      </w:r>
      <w:r>
        <w:t>is using</w:t>
      </w:r>
      <w:r w:rsidRPr="00C72CB7">
        <w:t xml:space="preserve"> a systematic, data-driven approach to </w:t>
      </w:r>
      <w:r>
        <w:t>identify the</w:t>
      </w:r>
      <w:r w:rsidRPr="00C72CB7">
        <w:t xml:space="preserve"> HCCNs </w:t>
      </w:r>
      <w:r>
        <w:t xml:space="preserve">that </w:t>
      </w:r>
      <w:r w:rsidRPr="00C72CB7">
        <w:t>meet our criteria</w:t>
      </w:r>
      <w:r>
        <w:t xml:space="preserve"> and is conducting discussions with eligible HCCNs to assess their readiness and willingness to participate in the study.</w:t>
      </w:r>
    </w:p>
    <w:p w:rsidR="00561223" w:rsidRDefault="00561223" w:rsidP="003503B5">
      <w:pPr>
        <w:pStyle w:val="NormalSS"/>
        <w:ind w:firstLine="0"/>
      </w:pPr>
      <w:r>
        <w:t>The selection criteria limit the sample of HCCNs and health centers to those in larger metropolitan areas that have more active promotion and penetration of text4baby in the prenatal population. In addition, the selected health centers have larger caseloads and more sophisticated EHR systems because of their association with an HCCN. While these factors may limit g</w:t>
      </w:r>
      <w:r w:rsidR="00D94426">
        <w:t>eneralizability of the results</w:t>
      </w:r>
      <w:r>
        <w:t>, they allow for a</w:t>
      </w:r>
      <w:r w:rsidR="00D94426">
        <w:t xml:space="preserve">n assessment of the take-up and use of text4baby by focusing on areas where text4baby subscription is more prevalent and where outcome measures can be obtained through EHRs in addition to self-reported survey data. </w:t>
      </w:r>
    </w:p>
    <w:p w:rsidR="00C24F5D" w:rsidRDefault="00EF05D5" w:rsidP="003503B5">
      <w:pPr>
        <w:pStyle w:val="NormalSS"/>
        <w:ind w:firstLine="0"/>
      </w:pPr>
      <w:r>
        <w:t>To achieve the target of 3</w:t>
      </w:r>
      <w:r w:rsidR="000D5C4E">
        <w:t>00</w:t>
      </w:r>
      <w:r>
        <w:t xml:space="preserve"> </w:t>
      </w:r>
      <w:r w:rsidR="000D5C4E">
        <w:t xml:space="preserve">consented </w:t>
      </w:r>
      <w:r>
        <w:t xml:space="preserve">prenatal patients per HCCN, one or more associated health centers </w:t>
      </w:r>
      <w:r w:rsidR="00471BC1">
        <w:t>were</w:t>
      </w:r>
      <w:r>
        <w:t xml:space="preserve"> selected to serve as the study sites. In </w:t>
      </w:r>
      <w:r w:rsidR="009333D4">
        <w:t xml:space="preserve">three </w:t>
      </w:r>
      <w:r>
        <w:t xml:space="preserve">HCCNs with larger health centers, only one health center </w:t>
      </w:r>
      <w:r w:rsidR="009333D4">
        <w:t xml:space="preserve">will </w:t>
      </w:r>
      <w:r>
        <w:t xml:space="preserve">be selected, whereas in </w:t>
      </w:r>
      <w:r w:rsidR="009333D4">
        <w:t xml:space="preserve">one </w:t>
      </w:r>
      <w:r>
        <w:t>HCCN</w:t>
      </w:r>
      <w:r w:rsidR="009333D4">
        <w:t xml:space="preserve"> with smaller caselo</w:t>
      </w:r>
      <w:r w:rsidR="00471BC1">
        <w:t>ads</w:t>
      </w:r>
      <w:r>
        <w:t xml:space="preserve">, </w:t>
      </w:r>
      <w:r w:rsidR="009333D4">
        <w:t>two</w:t>
      </w:r>
      <w:r>
        <w:t xml:space="preserve"> health centers </w:t>
      </w:r>
      <w:r w:rsidR="009333D4">
        <w:t xml:space="preserve">will </w:t>
      </w:r>
      <w:r>
        <w:t>be included as study sites.</w:t>
      </w:r>
      <w:r w:rsidR="00C24F5D">
        <w:t xml:space="preserve"> </w:t>
      </w:r>
      <w:r w:rsidR="00C72CB7" w:rsidRPr="00C72CB7">
        <w:t xml:space="preserve">Within the four selected HCCNs and </w:t>
      </w:r>
      <w:r w:rsidR="005736AF">
        <w:t xml:space="preserve">five </w:t>
      </w:r>
      <w:r w:rsidR="00C72CB7" w:rsidRPr="00C72CB7">
        <w:t xml:space="preserve">associated health centers, a sample of “current prenatal patients” will be enrolled into the study. A “current prenatal patient” would be anyone who has a prenatal care visit with the health center </w:t>
      </w:r>
      <w:r>
        <w:t xml:space="preserve">during the enrollment period </w:t>
      </w:r>
      <w:r w:rsidR="00C72CB7" w:rsidRPr="00C72CB7">
        <w:t xml:space="preserve">and is between four and seven months pregnant at the time of the visit. </w:t>
      </w:r>
    </w:p>
    <w:p w:rsidR="009758F9" w:rsidRDefault="00C72CB7" w:rsidP="003503B5">
      <w:pPr>
        <w:pStyle w:val="NormalSS"/>
        <w:ind w:firstLine="0"/>
      </w:pPr>
      <w:r w:rsidRPr="00C72CB7">
        <w:t xml:space="preserve">Due to HIPAA restrictions, health centers cannot release contact information for pregnant women to the study team without their consent. Thus, health centers will inform eligible women about the study using materials developed by HRSA (such as an advance letter and </w:t>
      </w:r>
      <w:r w:rsidR="00AF125E">
        <w:t xml:space="preserve">informed </w:t>
      </w:r>
      <w:r w:rsidRPr="00C72CB7">
        <w:t xml:space="preserve">consent form) and will obtain their consent before releasing contact information to the </w:t>
      </w:r>
      <w:r w:rsidR="00EF05D5">
        <w:t>study team</w:t>
      </w:r>
      <w:r w:rsidRPr="00C72CB7">
        <w:t xml:space="preserve">. </w:t>
      </w:r>
      <w:r w:rsidR="009758F9">
        <w:t>Parental consent will be required to interview women under age 18. The study team will work with health center staff to develop appropriate procedures for release of contact information for their patients who are under age 18. Procedures will be tailored to state-specific and center-specific requirements. The procedures and materials associated with obtaining informed consent will be reviewed and approved by the contractor’s IRB.</w:t>
      </w:r>
      <w:r w:rsidR="000D5C4E">
        <w:t xml:space="preserve"> We estimate that 13 percent of the prenatal patients will be teens who must go through an extra consent step. We expect that 80 percent of the adult prenatal patients will consent to the study, and that 48 percent of the teens will consent (80 percent parental consent and 60 percent teen consent). To get to the 1,200 consented patients, we expect the four HCCNs to have to approach about 1,630 prenatal patients (about 407 per HCCN).</w:t>
      </w:r>
    </w:p>
    <w:p w:rsidR="00C72CB7" w:rsidRDefault="00C72CB7" w:rsidP="003503B5">
      <w:pPr>
        <w:pStyle w:val="NormalSS"/>
        <w:ind w:firstLine="0"/>
      </w:pPr>
      <w:r w:rsidRPr="00C72CB7">
        <w:t xml:space="preserve">To ensure statistical rigor in developing consent rates and analysis weights, the health center staff will track all eligible women regardless of whether they consent to participate in the study. Health center staff will be asked to provide </w:t>
      </w:r>
      <w:r w:rsidR="00AF125E">
        <w:t xml:space="preserve">to the study team </w:t>
      </w:r>
      <w:r w:rsidRPr="00C72CB7">
        <w:t xml:space="preserve">a </w:t>
      </w:r>
      <w:r w:rsidR="00055471">
        <w:t xml:space="preserve">de-identified data file containing all eligible women with </w:t>
      </w:r>
      <w:r w:rsidR="007521DE">
        <w:t xml:space="preserve">a </w:t>
      </w:r>
      <w:r w:rsidRPr="00C72CB7">
        <w:t xml:space="preserve">unique identifier for each </w:t>
      </w:r>
      <w:r w:rsidR="00055471">
        <w:t>one</w:t>
      </w:r>
      <w:r w:rsidRPr="00C72CB7">
        <w:t xml:space="preserve"> as well as her age, due date, race/ethnicity, and preferred language, along with the consent forms for those who consent to participate. </w:t>
      </w:r>
    </w:p>
    <w:p w:rsidR="00E32D9E" w:rsidRDefault="00613212" w:rsidP="003503B5">
      <w:pPr>
        <w:pStyle w:val="NormalSS"/>
        <w:ind w:firstLine="0"/>
      </w:pPr>
      <w:r>
        <w:lastRenderedPageBreak/>
        <w:t xml:space="preserve">The sample will include both text4baby subscribers and nonsubscribers; however, it will not be known whether a specific patient in the sample is currently a text4baby subscriber (or has ever subscribed) until she responds to the survey. Table 2 shows the expected precision (using the half-width of a confidence interval) for estimated percentages for the text4baby subscribers </w:t>
      </w:r>
      <w:r w:rsidR="000D5C4E">
        <w:t xml:space="preserve">and non-subscribers </w:t>
      </w:r>
      <w:r>
        <w:t xml:space="preserve">and the minimum detectable differences (MDDs) for comparisons between text4baby subscribers and nonsubscribers </w:t>
      </w:r>
      <w:r w:rsidR="000D5C4E">
        <w:t xml:space="preserve">under two different assumptions about text4baby subscription rates in the population and in the sample: 50 percent and 30 percent. </w:t>
      </w:r>
      <w:r>
        <w:t xml:space="preserve">The precision and MDDs within and across the four sites are presented. </w:t>
      </w:r>
      <w:r w:rsidRPr="00613212">
        <w:t>We can see that the MDDs under the two assumptions are within one percentage point of each other, showing that the MDDs are not very sensitive to the assumed subscription rate. Even if the subscription rate turns out to be lower than 30 percent, and the MDDs for quantitative outcomes increase beyond expected underlying differences, our findings will still be useful in a qualitative context.</w:t>
      </w:r>
    </w:p>
    <w:p w:rsidR="00C72CB7" w:rsidRPr="00C72CB7" w:rsidRDefault="00E32D9E" w:rsidP="003503B5">
      <w:pPr>
        <w:pStyle w:val="NormalSS"/>
        <w:ind w:firstLine="0"/>
      </w:pPr>
      <w:r>
        <w:t>Across the four HCCNs, w</w:t>
      </w:r>
      <w:r w:rsidR="00613212">
        <w:t xml:space="preserve">e anticipate 960 completes in Round 1 of the safety net consumer survey (assuming an 80 percent response rate among </w:t>
      </w:r>
      <w:r>
        <w:t xml:space="preserve">the 1,200 </w:t>
      </w:r>
      <w:r w:rsidR="00613212">
        <w:t xml:space="preserve">consented women), and 768 in Round 2 (assuming an </w:t>
      </w:r>
      <w:r>
        <w:t>80</w:t>
      </w:r>
      <w:r w:rsidR="00613212">
        <w:t xml:space="preserve"> percent retention in Round 2 among Round 1 respondents). These anticipated response rates are based on recent experiences with a similar population, in particular, the Healthy Start Participant Survey conducted by Mathematica for HRSA.</w:t>
      </w:r>
    </w:p>
    <w:p w:rsidR="00C72CB7" w:rsidRPr="00C72CB7" w:rsidRDefault="00C72CB7" w:rsidP="00C72CB7">
      <w:pPr>
        <w:spacing w:line="240" w:lineRule="auto"/>
        <w:ind w:firstLine="0"/>
        <w:rPr>
          <w:b/>
        </w:rPr>
      </w:pPr>
      <w:r w:rsidRPr="00C72CB7">
        <w:rPr>
          <w:b/>
        </w:rPr>
        <w:t>Consumer Focus Groups</w:t>
      </w:r>
    </w:p>
    <w:p w:rsidR="00C72CB7" w:rsidRPr="00C72CB7" w:rsidRDefault="00C72CB7" w:rsidP="00C72CB7">
      <w:pPr>
        <w:spacing w:line="240" w:lineRule="auto"/>
        <w:ind w:firstLine="0"/>
      </w:pPr>
    </w:p>
    <w:p w:rsidR="00FD6896" w:rsidRDefault="00C72CB7" w:rsidP="003503B5">
      <w:pPr>
        <w:pStyle w:val="NormalSS"/>
        <w:ind w:firstLine="0"/>
      </w:pPr>
      <w:r w:rsidRPr="00C72CB7">
        <w:t xml:space="preserve">The consumer focus groups will be conducted in the four communities in which the safety net consumer survey is conducted. Two </w:t>
      </w:r>
      <w:r w:rsidR="00872D54">
        <w:t xml:space="preserve">focus </w:t>
      </w:r>
      <w:r w:rsidRPr="00C72CB7">
        <w:t>groups will be conducted in each community, with 8 to 10 text4baby subscribers per group. Across the four communities, therefore, the focus groups will include a total of 64 to 80 current text4baby subscribers. T</w:t>
      </w:r>
      <w:r w:rsidR="00872D54">
        <w:t xml:space="preserve">he </w:t>
      </w:r>
      <w:r w:rsidR="0039012F">
        <w:t xml:space="preserve">focus group </w:t>
      </w:r>
      <w:r w:rsidR="00872D54">
        <w:t xml:space="preserve">recruitment strategy will </w:t>
      </w:r>
      <w:r w:rsidRPr="00C72CB7">
        <w:t xml:space="preserve">rely on the text4baby platform to send a text message to the universe of text4baby subscribers in </w:t>
      </w:r>
      <w:r w:rsidRPr="00076DBA">
        <w:t xml:space="preserve">specified zip codes </w:t>
      </w:r>
      <w:r w:rsidR="00076DBA" w:rsidRPr="00076DBA">
        <w:t>surrounding</w:t>
      </w:r>
      <w:r w:rsidRPr="00076DBA">
        <w:t xml:space="preserve"> the selected health centers</w:t>
      </w:r>
      <w:r w:rsidRPr="00C72CB7">
        <w:t xml:space="preserve"> in the safety net consumer survey. </w:t>
      </w:r>
      <w:r w:rsidR="00556C74" w:rsidRPr="00C72CB7">
        <w:t xml:space="preserve">This strategy will reach text4baby </w:t>
      </w:r>
      <w:r w:rsidR="00556C74">
        <w:t>subscribers</w:t>
      </w:r>
      <w:r w:rsidR="00556C74" w:rsidRPr="00C72CB7">
        <w:t xml:space="preserve"> (pregnant and postpartum) regardless of whether they are patients in the selected safety net sites. </w:t>
      </w:r>
    </w:p>
    <w:p w:rsidR="00C72CB7" w:rsidRPr="00C72CB7" w:rsidRDefault="00556C74" w:rsidP="003503B5">
      <w:pPr>
        <w:pStyle w:val="NormalSS"/>
        <w:ind w:firstLine="0"/>
      </w:pPr>
      <w:r>
        <w:t>The text message will invite interested subscribers to call a toll-free number and those who are eligible will be given information about the dates and locations of the focus groups.</w:t>
      </w:r>
      <w:r w:rsidRPr="00556C74">
        <w:t xml:space="preserve"> </w:t>
      </w:r>
      <w:r w:rsidRPr="00C72CB7">
        <w:t xml:space="preserve">To be eligible to participate, focus group participants will have been enrolled in text4baby for at least two months, live in one of the selected zip codes, and currently be receiving text4baby messages. </w:t>
      </w:r>
      <w:r>
        <w:t xml:space="preserve">A reminder text message will be sent to focus group participants one week in advance and again the day before. </w:t>
      </w:r>
    </w:p>
    <w:p w:rsidR="00C72CB7" w:rsidRPr="00C72CB7" w:rsidRDefault="00C72CB7" w:rsidP="00C72CB7">
      <w:pPr>
        <w:spacing w:line="240" w:lineRule="auto"/>
        <w:ind w:firstLine="0"/>
        <w:rPr>
          <w:b/>
        </w:rPr>
      </w:pPr>
      <w:r w:rsidRPr="00C72CB7">
        <w:rPr>
          <w:b/>
        </w:rPr>
        <w:t>Key Informant Interviews</w:t>
      </w:r>
    </w:p>
    <w:p w:rsidR="00C72CB7" w:rsidRPr="00C72CB7" w:rsidRDefault="00C72CB7" w:rsidP="00C72CB7">
      <w:pPr>
        <w:spacing w:line="240" w:lineRule="auto"/>
        <w:ind w:firstLine="0"/>
      </w:pPr>
    </w:p>
    <w:p w:rsidR="00C72CB7" w:rsidRPr="00C72CB7" w:rsidRDefault="00C72CB7" w:rsidP="003503B5">
      <w:pPr>
        <w:pStyle w:val="NormalSS"/>
        <w:ind w:firstLine="0"/>
      </w:pPr>
      <w:r w:rsidRPr="00C72CB7">
        <w:t xml:space="preserve">The key informant interviews will be conducted in the four communities in which the safety net consumer survey is conducted. Five to ten interviews will be conducted in each community. The key informants will include health center staff (three to six interviews per community) and representatives of text4baby outreach partners (two to four interviews per community). The number of key informant interviews that can be scheduled within the allotted time will depend on logistics for scheduling the focus groups </w:t>
      </w:r>
      <w:r w:rsidR="001A132D">
        <w:t xml:space="preserve">(which will occur during the same two-day site visit) </w:t>
      </w:r>
      <w:r w:rsidRPr="00C72CB7">
        <w:t>and the amount of travel time required between interviews.</w:t>
      </w:r>
    </w:p>
    <w:p w:rsidR="00FD6896" w:rsidRPr="00C72CB7" w:rsidRDefault="001A132D" w:rsidP="003503B5">
      <w:pPr>
        <w:pStyle w:val="NormalSS"/>
        <w:ind w:firstLine="0"/>
      </w:pPr>
      <w:r>
        <w:t>W</w:t>
      </w:r>
      <w:r w:rsidR="00C72CB7" w:rsidRPr="00C72CB7">
        <w:t>e will ask the director of each health center</w:t>
      </w:r>
      <w:r>
        <w:t xml:space="preserve"> participating in the study</w:t>
      </w:r>
      <w:r w:rsidR="00C72CB7" w:rsidRPr="00C72CB7">
        <w:t xml:space="preserve"> to identify staff members who have regular interactions with pregnant women, new mothers, and infants, and who have at least basic knowledge of text4baby. We expect these staff members will include clinicians (such as </w:t>
      </w:r>
      <w:r w:rsidR="00C72CB7" w:rsidRPr="00C72CB7">
        <w:lastRenderedPageBreak/>
        <w:t xml:space="preserve">physicians, midwives, and nurse practitioners) as well as other health care providers (such as case </w:t>
      </w:r>
      <w:r w:rsidR="00FD6896" w:rsidRPr="00C72CB7">
        <w:t xml:space="preserve">managers, health educators, and community health workers). In each community, we will request individual interviews with two to four clinicians, and arrange one or two small-group interviews with the other health care providers. </w:t>
      </w:r>
    </w:p>
    <w:p w:rsidR="00FD6896" w:rsidRPr="00C72CB7" w:rsidRDefault="00FD6896" w:rsidP="003503B5">
      <w:pPr>
        <w:pStyle w:val="NormalSS"/>
        <w:ind w:firstLine="0"/>
      </w:pPr>
      <w:r>
        <w:t>In addition</w:t>
      </w:r>
      <w:r w:rsidRPr="00C72CB7">
        <w:t xml:space="preserve">, we will identify local outreach partners that participate in the text4baby public-private partnership. We will obtain a list of all text4baby outreach partners that signed a memorandum of understanding with Healthy Mothers Healthy Babies and identify those located </w:t>
      </w:r>
      <w:r>
        <w:t>within a 10-mile radius</w:t>
      </w:r>
      <w:r w:rsidRPr="00C72CB7">
        <w:t xml:space="preserve"> of the selected health centers. In each site, we will seek to include at least one local outreach partner that is a HRSA-funded safety-net provider (such as a Title V clinic, Healthy Start program, or a Ryan White provider) or a local WIC program. The other key informants may represent nonprofit organizations, health plans, or local businesses.</w:t>
      </w:r>
    </w:p>
    <w:p w:rsidR="00FD6896" w:rsidRPr="00C72CB7" w:rsidRDefault="00FD6896" w:rsidP="00FD6896">
      <w:pPr>
        <w:spacing w:line="240" w:lineRule="auto"/>
        <w:ind w:firstLine="0"/>
        <w:rPr>
          <w:b/>
        </w:rPr>
      </w:pPr>
      <w:r w:rsidRPr="00C72CB7">
        <w:rPr>
          <w:b/>
        </w:rPr>
        <w:t>Stakeholder Interviews</w:t>
      </w:r>
    </w:p>
    <w:p w:rsidR="00FD6896" w:rsidRPr="00C72CB7" w:rsidRDefault="00FD6896" w:rsidP="00FD6896">
      <w:pPr>
        <w:widowControl w:val="0"/>
        <w:tabs>
          <w:tab w:val="clear" w:pos="432"/>
          <w:tab w:val="left" w:pos="6128"/>
        </w:tabs>
        <w:autoSpaceDE w:val="0"/>
        <w:autoSpaceDN w:val="0"/>
        <w:adjustRightInd w:val="0"/>
        <w:spacing w:line="240" w:lineRule="auto"/>
        <w:ind w:firstLine="0"/>
        <w:jc w:val="left"/>
      </w:pPr>
    </w:p>
    <w:p w:rsidR="00FD6896" w:rsidRPr="00C72CB7" w:rsidRDefault="00FD6896" w:rsidP="003503B5">
      <w:pPr>
        <w:pStyle w:val="NormalSS"/>
        <w:ind w:firstLine="0"/>
      </w:pPr>
      <w:r w:rsidRPr="00C72CB7">
        <w:t>Interviews will be conducted with up to 30 text4baby stakeholders. We will obtain a list of all partners that participate in the text4baby public-private partnership and will draw a sample of stakeholders from this list. Because these interviews will focus on national stakeholders, we will exclude local agencies and organizations,  such as hospitals, health delivery networks, and clinics; health plans that serve fewer than five states; federally quali</w:t>
      </w:r>
      <w:r>
        <w:t xml:space="preserve">fied health centers; businesses and </w:t>
      </w:r>
      <w:r w:rsidRPr="00C72CB7">
        <w:t xml:space="preserve">pharmacies; Head Start and Early Head Start programs; and local Healthy Start programs. These partners will be considered for inclusion in the key informant interviews in the four selected communities. </w:t>
      </w:r>
    </w:p>
    <w:p w:rsidR="00FD6896" w:rsidRPr="00C72CB7" w:rsidRDefault="00FD6896" w:rsidP="003503B5">
      <w:pPr>
        <w:pStyle w:val="NormalSS"/>
        <w:ind w:firstLine="0"/>
      </w:pPr>
      <w:r w:rsidRPr="00C72CB7">
        <w:t xml:space="preserve">Selection will involve a two-step process. In the first step, we will identify the U.S. Government partners, founding partners, and founding sponsor that have been involved since the beginning of the design and implementation of text4baby. </w:t>
      </w:r>
      <w:r>
        <w:t xml:space="preserve">These partners will be selected with certainty. </w:t>
      </w:r>
      <w:r w:rsidRPr="00C72CB7">
        <w:t xml:space="preserve">We will conduct </w:t>
      </w:r>
      <w:r>
        <w:t xml:space="preserve">up to </w:t>
      </w:r>
      <w:bookmarkStart w:id="0" w:name="_GoBack"/>
      <w:bookmarkEnd w:id="0"/>
      <w:r w:rsidRPr="00076DBA">
        <w:t>10 interviews with this group of national partners. In the second step, we will select up to 20 outreach partners c</w:t>
      </w:r>
      <w:r w:rsidRPr="00C72CB7">
        <w:t xml:space="preserve">omprising health plans, telecom firms, state and local public health agencies or coalitions, national nonprofit organizations (especially those focusing on low-income populations), and the media. We expect that the selected partners will have been involved with text4baby for at least six months at the time of the interview and will reflect a broad array of organizations involved with program implementation. </w:t>
      </w:r>
      <w:r>
        <w:t>These will be selected purposively to ensure that we get a cross-section of key stakeholders within each category.</w:t>
      </w:r>
    </w:p>
    <w:p w:rsidR="00AD796B" w:rsidRDefault="00AD796B" w:rsidP="00C72CB7">
      <w:pPr>
        <w:spacing w:line="240" w:lineRule="auto"/>
        <w:ind w:firstLine="0"/>
        <w:sectPr w:rsidR="00AD796B" w:rsidSect="00837FA6">
          <w:headerReference w:type="default" r:id="rId9"/>
          <w:footerReference w:type="default" r:id="rId10"/>
          <w:endnotePr>
            <w:numFmt w:val="decimal"/>
          </w:endnotePr>
          <w:pgSz w:w="12240" w:h="15840" w:code="1"/>
          <w:pgMar w:top="1440" w:right="1440" w:bottom="576" w:left="1440" w:header="720" w:footer="576" w:gutter="0"/>
          <w:pgNumType w:start="1"/>
          <w:cols w:space="720"/>
          <w:docGrid w:linePitch="150"/>
        </w:sectPr>
      </w:pPr>
    </w:p>
    <w:p w:rsidR="00AD796B" w:rsidRPr="00AD796B" w:rsidRDefault="00AD796B" w:rsidP="00AD796B">
      <w:pPr>
        <w:keepNext/>
        <w:tabs>
          <w:tab w:val="clear" w:pos="432"/>
        </w:tabs>
        <w:spacing w:after="60" w:line="240" w:lineRule="auto"/>
        <w:ind w:left="-180" w:firstLine="0"/>
        <w:jc w:val="left"/>
        <w:rPr>
          <w:rFonts w:ascii="Lucida Sans" w:eastAsiaTheme="minorHAnsi" w:hAnsi="Lucida Sans" w:cstheme="minorBidi"/>
          <w:b/>
          <w:sz w:val="18"/>
          <w:szCs w:val="22"/>
        </w:rPr>
      </w:pPr>
      <w:r w:rsidRPr="00AD796B">
        <w:rPr>
          <w:rFonts w:ascii="Lucida Sans" w:eastAsiaTheme="minorHAnsi" w:hAnsi="Lucida Sans" w:cstheme="minorBidi"/>
          <w:b/>
          <w:sz w:val="18"/>
          <w:szCs w:val="22"/>
        </w:rPr>
        <w:lastRenderedPageBreak/>
        <w:t>Table 1. Summary of Steps Involved in Site Selection for the Evaluation of text4baby</w:t>
      </w:r>
    </w:p>
    <w:tbl>
      <w:tblPr>
        <w:tblStyle w:val="TableGrid"/>
        <w:tblW w:w="5191" w:type="pct"/>
        <w:tblInd w:w="-72" w:type="dxa"/>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967"/>
        <w:gridCol w:w="1412"/>
        <w:gridCol w:w="3662"/>
        <w:gridCol w:w="2901"/>
      </w:tblGrid>
      <w:tr w:rsidR="00AD796B" w:rsidRPr="00AD796B" w:rsidTr="009754C4">
        <w:trPr>
          <w:tblHeader/>
        </w:trPr>
        <w:tc>
          <w:tcPr>
            <w:tcW w:w="1012" w:type="pct"/>
            <w:tcBorders>
              <w:top w:val="single" w:sz="12" w:space="0" w:color="auto"/>
              <w:bottom w:val="single" w:sz="4" w:space="0" w:color="auto"/>
            </w:tcBorders>
            <w:shd w:val="clear" w:color="auto" w:fill="auto"/>
            <w:vAlign w:val="bottom"/>
          </w:tcPr>
          <w:p w:rsidR="00AD796B" w:rsidRPr="00AD796B" w:rsidRDefault="00AD796B" w:rsidP="00AD796B">
            <w:pPr>
              <w:tabs>
                <w:tab w:val="clear" w:pos="432"/>
              </w:tabs>
              <w:spacing w:before="120" w:after="60" w:line="240" w:lineRule="auto"/>
              <w:ind w:firstLine="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Step</w:t>
            </w:r>
          </w:p>
        </w:tc>
        <w:tc>
          <w:tcPr>
            <w:tcW w:w="643" w:type="pct"/>
            <w:tcBorders>
              <w:top w:val="single" w:sz="12" w:space="0" w:color="auto"/>
              <w:bottom w:val="single" w:sz="4" w:space="0" w:color="auto"/>
            </w:tcBorders>
            <w:shd w:val="clear" w:color="auto" w:fill="auto"/>
            <w:vAlign w:val="bottom"/>
          </w:tcPr>
          <w:p w:rsidR="00AD796B" w:rsidRPr="00AD796B" w:rsidRDefault="00AD796B" w:rsidP="00AD796B">
            <w:pPr>
              <w:tabs>
                <w:tab w:val="clear" w:pos="432"/>
              </w:tabs>
              <w:spacing w:before="120" w:after="60" w:line="240" w:lineRule="auto"/>
              <w:ind w:firstLine="0"/>
              <w:jc w:val="center"/>
              <w:rPr>
                <w:rFonts w:ascii="Lucida Sans" w:eastAsiaTheme="minorHAnsi" w:hAnsi="Lucida Sans" w:cstheme="minorBidi"/>
                <w:sz w:val="18"/>
                <w:szCs w:val="22"/>
              </w:rPr>
            </w:pPr>
            <w:r w:rsidRPr="00AD796B">
              <w:rPr>
                <w:rFonts w:ascii="Lucida Sans" w:eastAsiaTheme="minorHAnsi" w:hAnsi="Lucida Sans" w:cstheme="minorBidi"/>
                <w:sz w:val="18"/>
                <w:szCs w:val="22"/>
              </w:rPr>
              <w:t>Data Source</w:t>
            </w:r>
          </w:p>
        </w:tc>
        <w:tc>
          <w:tcPr>
            <w:tcW w:w="1864" w:type="pct"/>
            <w:tcBorders>
              <w:top w:val="single" w:sz="12" w:space="0" w:color="auto"/>
              <w:bottom w:val="single" w:sz="4" w:space="0" w:color="auto"/>
            </w:tcBorders>
            <w:shd w:val="clear" w:color="auto" w:fill="auto"/>
            <w:vAlign w:val="bottom"/>
          </w:tcPr>
          <w:p w:rsidR="00AD796B" w:rsidRPr="00AD796B" w:rsidRDefault="00AD796B" w:rsidP="00AD796B">
            <w:pPr>
              <w:tabs>
                <w:tab w:val="clear" w:pos="432"/>
              </w:tabs>
              <w:spacing w:before="120" w:after="60" w:line="240" w:lineRule="auto"/>
              <w:ind w:firstLine="0"/>
              <w:jc w:val="center"/>
              <w:rPr>
                <w:rFonts w:ascii="Lucida Sans" w:eastAsiaTheme="minorHAnsi" w:hAnsi="Lucida Sans" w:cstheme="minorBidi"/>
                <w:sz w:val="18"/>
                <w:szCs w:val="22"/>
              </w:rPr>
            </w:pPr>
            <w:r w:rsidRPr="00AD796B">
              <w:rPr>
                <w:rFonts w:ascii="Lucida Sans" w:eastAsiaTheme="minorHAnsi" w:hAnsi="Lucida Sans" w:cstheme="minorBidi"/>
                <w:sz w:val="18"/>
                <w:szCs w:val="22"/>
              </w:rPr>
              <w:t>Approach</w:t>
            </w:r>
          </w:p>
        </w:tc>
        <w:tc>
          <w:tcPr>
            <w:tcW w:w="1481" w:type="pct"/>
            <w:tcBorders>
              <w:top w:val="single" w:sz="12" w:space="0" w:color="auto"/>
              <w:bottom w:val="single" w:sz="4" w:space="0" w:color="auto"/>
            </w:tcBorders>
            <w:shd w:val="clear" w:color="auto" w:fill="auto"/>
            <w:vAlign w:val="bottom"/>
          </w:tcPr>
          <w:p w:rsidR="00AD796B" w:rsidRPr="00AD796B" w:rsidRDefault="00AD796B" w:rsidP="00AD796B">
            <w:pPr>
              <w:tabs>
                <w:tab w:val="clear" w:pos="432"/>
              </w:tabs>
              <w:spacing w:before="120" w:after="60" w:line="240" w:lineRule="auto"/>
              <w:ind w:firstLine="0"/>
              <w:jc w:val="center"/>
              <w:rPr>
                <w:rFonts w:ascii="Lucida Sans" w:eastAsiaTheme="minorHAnsi" w:hAnsi="Lucida Sans" w:cstheme="minorBidi"/>
                <w:sz w:val="18"/>
                <w:szCs w:val="22"/>
              </w:rPr>
            </w:pPr>
            <w:r w:rsidRPr="00AD796B">
              <w:rPr>
                <w:rFonts w:ascii="Lucida Sans" w:eastAsiaTheme="minorHAnsi" w:hAnsi="Lucida Sans" w:cstheme="minorBidi"/>
                <w:sz w:val="18"/>
                <w:szCs w:val="22"/>
              </w:rPr>
              <w:t>Results</w:t>
            </w:r>
          </w:p>
        </w:tc>
      </w:tr>
      <w:tr w:rsidR="00AD796B" w:rsidRPr="00AD796B" w:rsidTr="009754C4">
        <w:tc>
          <w:tcPr>
            <w:tcW w:w="1012" w:type="pct"/>
            <w:tcBorders>
              <w:top w:val="single" w:sz="4" w:space="0" w:color="auto"/>
              <w:bottom w:val="single" w:sz="4" w:space="0" w:color="auto"/>
            </w:tcBorders>
            <w:shd w:val="clear" w:color="auto" w:fill="auto"/>
          </w:tcPr>
          <w:p w:rsidR="00AD796B" w:rsidRPr="00AD796B" w:rsidRDefault="00AD796B" w:rsidP="00AD796B">
            <w:pPr>
              <w:tabs>
                <w:tab w:val="clear" w:pos="432"/>
              </w:tabs>
              <w:spacing w:before="60" w:after="60" w:line="240" w:lineRule="auto"/>
              <w:ind w:firstLine="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1. Identify universe of health center controlled networks (HCCNs) and associated health centers (HCs)</w:t>
            </w:r>
          </w:p>
        </w:tc>
        <w:tc>
          <w:tcPr>
            <w:tcW w:w="643" w:type="pct"/>
            <w:tcBorders>
              <w:top w:val="single" w:sz="4" w:space="0" w:color="auto"/>
              <w:bottom w:val="single" w:sz="4" w:space="0" w:color="auto"/>
            </w:tcBorders>
            <w:shd w:val="clear" w:color="auto" w:fill="auto"/>
          </w:tcPr>
          <w:p w:rsidR="00AD796B" w:rsidRPr="00AD796B" w:rsidRDefault="00AD796B" w:rsidP="00AD796B">
            <w:pPr>
              <w:tabs>
                <w:tab w:val="clear" w:pos="432"/>
              </w:tabs>
              <w:spacing w:before="60" w:after="60" w:line="240" w:lineRule="auto"/>
              <w:ind w:firstLine="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HRSA Uniform Data System (UDS)</w:t>
            </w:r>
          </w:p>
        </w:tc>
        <w:tc>
          <w:tcPr>
            <w:tcW w:w="1864" w:type="pct"/>
            <w:tcBorders>
              <w:top w:val="single" w:sz="4" w:space="0" w:color="auto"/>
              <w:bottom w:val="single" w:sz="4" w:space="0" w:color="auto"/>
            </w:tcBorders>
            <w:shd w:val="clear" w:color="auto" w:fill="auto"/>
          </w:tcPr>
          <w:p w:rsidR="00AD796B" w:rsidRPr="00AD796B" w:rsidRDefault="00AD796B" w:rsidP="00AD796B">
            <w:pPr>
              <w:numPr>
                <w:ilvl w:val="0"/>
                <w:numId w:val="20"/>
              </w:numPr>
              <w:tabs>
                <w:tab w:val="clear" w:pos="432"/>
              </w:tabs>
              <w:spacing w:before="60" w:after="60" w:line="240" w:lineRule="auto"/>
              <w:ind w:left="257" w:hanging="27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 xml:space="preserve">Link HCCNs with their affiliated HCs </w:t>
            </w:r>
          </w:p>
          <w:p w:rsidR="00AD796B" w:rsidRPr="00AD796B" w:rsidRDefault="00AD796B" w:rsidP="00AD796B">
            <w:pPr>
              <w:numPr>
                <w:ilvl w:val="0"/>
                <w:numId w:val="20"/>
              </w:numPr>
              <w:tabs>
                <w:tab w:val="clear" w:pos="432"/>
              </w:tabs>
              <w:spacing w:after="60" w:line="240" w:lineRule="auto"/>
              <w:ind w:left="257" w:hanging="27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Identify HCs that directly provide prenatal, obstetric, and well-baby care</w:t>
            </w:r>
          </w:p>
        </w:tc>
        <w:tc>
          <w:tcPr>
            <w:tcW w:w="1481" w:type="pct"/>
            <w:tcBorders>
              <w:top w:val="single" w:sz="4" w:space="0" w:color="auto"/>
              <w:bottom w:val="single" w:sz="4" w:space="0" w:color="auto"/>
            </w:tcBorders>
            <w:shd w:val="clear" w:color="auto" w:fill="auto"/>
          </w:tcPr>
          <w:p w:rsidR="00AD796B" w:rsidRPr="00AD796B" w:rsidRDefault="00AD796B" w:rsidP="00AD796B">
            <w:pPr>
              <w:numPr>
                <w:ilvl w:val="0"/>
                <w:numId w:val="20"/>
              </w:numPr>
              <w:tabs>
                <w:tab w:val="clear" w:pos="432"/>
              </w:tabs>
              <w:spacing w:before="60" w:after="200" w:line="240" w:lineRule="auto"/>
              <w:ind w:left="250" w:hanging="27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 xml:space="preserve">252 HCs associated with 65 HCCNs directly provide selected services </w:t>
            </w:r>
          </w:p>
        </w:tc>
      </w:tr>
      <w:tr w:rsidR="00AD796B" w:rsidRPr="00AD796B" w:rsidTr="009754C4">
        <w:tc>
          <w:tcPr>
            <w:tcW w:w="1012" w:type="pct"/>
            <w:tcBorders>
              <w:top w:val="single" w:sz="4" w:space="0" w:color="auto"/>
              <w:bottom w:val="single" w:sz="4" w:space="0" w:color="auto"/>
            </w:tcBorders>
            <w:shd w:val="clear" w:color="auto" w:fill="auto"/>
          </w:tcPr>
          <w:p w:rsidR="00AD796B" w:rsidRPr="00AD796B" w:rsidRDefault="00AD796B" w:rsidP="00AD796B">
            <w:pPr>
              <w:tabs>
                <w:tab w:val="clear" w:pos="432"/>
              </w:tabs>
              <w:spacing w:before="60" w:after="60" w:line="240" w:lineRule="auto"/>
              <w:ind w:firstLine="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2. Identify HCs with at least 960 prenatal patients who delivered during the year</w:t>
            </w:r>
          </w:p>
        </w:tc>
        <w:tc>
          <w:tcPr>
            <w:tcW w:w="643" w:type="pct"/>
            <w:tcBorders>
              <w:top w:val="single" w:sz="4" w:space="0" w:color="auto"/>
              <w:bottom w:val="single" w:sz="4" w:space="0" w:color="auto"/>
            </w:tcBorders>
            <w:shd w:val="clear" w:color="auto" w:fill="auto"/>
          </w:tcPr>
          <w:p w:rsidR="00AD796B" w:rsidRPr="00AD796B" w:rsidRDefault="00AD796B" w:rsidP="00AD796B">
            <w:pPr>
              <w:tabs>
                <w:tab w:val="clear" w:pos="432"/>
              </w:tabs>
              <w:spacing w:before="60" w:after="60" w:line="240" w:lineRule="auto"/>
              <w:ind w:firstLine="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HRSA UDS</w:t>
            </w:r>
          </w:p>
        </w:tc>
        <w:tc>
          <w:tcPr>
            <w:tcW w:w="1864" w:type="pct"/>
            <w:tcBorders>
              <w:top w:val="single" w:sz="4" w:space="0" w:color="auto"/>
              <w:bottom w:val="single" w:sz="4" w:space="0" w:color="auto"/>
            </w:tcBorders>
            <w:shd w:val="clear" w:color="auto" w:fill="auto"/>
          </w:tcPr>
          <w:p w:rsidR="00AD796B" w:rsidRPr="00AD796B" w:rsidRDefault="00AD796B" w:rsidP="00AD796B">
            <w:pPr>
              <w:numPr>
                <w:ilvl w:val="0"/>
                <w:numId w:val="21"/>
              </w:numPr>
              <w:tabs>
                <w:tab w:val="clear" w:pos="432"/>
              </w:tabs>
              <w:spacing w:before="60" w:after="60" w:line="240" w:lineRule="auto"/>
              <w:ind w:left="257" w:hanging="257"/>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Link UDS data on number of prenatal patients during the past year</w:t>
            </w:r>
          </w:p>
          <w:p w:rsidR="00AD796B" w:rsidRPr="00AD796B" w:rsidRDefault="00AD796B" w:rsidP="00AD796B">
            <w:pPr>
              <w:numPr>
                <w:ilvl w:val="0"/>
                <w:numId w:val="21"/>
              </w:numPr>
              <w:tabs>
                <w:tab w:val="clear" w:pos="432"/>
              </w:tabs>
              <w:spacing w:after="60" w:line="240" w:lineRule="auto"/>
              <w:ind w:left="257" w:hanging="257"/>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Flag HCs that have at least 960 prenatal patients who delivered during the year (the threshold of 960 annual prenatal patients is a proxy for the targeted sample size of 320 in a four-month period)</w:t>
            </w:r>
          </w:p>
        </w:tc>
        <w:tc>
          <w:tcPr>
            <w:tcW w:w="1481" w:type="pct"/>
            <w:tcBorders>
              <w:top w:val="single" w:sz="4" w:space="0" w:color="auto"/>
              <w:bottom w:val="single" w:sz="4" w:space="0" w:color="auto"/>
            </w:tcBorders>
            <w:shd w:val="clear" w:color="auto" w:fill="auto"/>
          </w:tcPr>
          <w:p w:rsidR="00AD796B" w:rsidRPr="00AD796B" w:rsidRDefault="00AD796B" w:rsidP="00AD796B">
            <w:pPr>
              <w:tabs>
                <w:tab w:val="clear" w:pos="432"/>
              </w:tabs>
              <w:spacing w:before="60" w:line="240" w:lineRule="auto"/>
              <w:ind w:firstLine="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Of these 252 HCs:</w:t>
            </w:r>
          </w:p>
          <w:p w:rsidR="00AD796B" w:rsidRPr="00AD796B" w:rsidRDefault="00AD796B" w:rsidP="00AD796B">
            <w:pPr>
              <w:numPr>
                <w:ilvl w:val="0"/>
                <w:numId w:val="24"/>
              </w:numPr>
              <w:tabs>
                <w:tab w:val="clear" w:pos="432"/>
              </w:tabs>
              <w:spacing w:after="60" w:line="240" w:lineRule="auto"/>
              <w:ind w:left="250" w:hanging="27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 xml:space="preserve">25 HCs have at least 960 prenatal care patients during the year </w:t>
            </w:r>
          </w:p>
        </w:tc>
      </w:tr>
      <w:tr w:rsidR="00AD796B" w:rsidRPr="00AD796B" w:rsidTr="009754C4">
        <w:tc>
          <w:tcPr>
            <w:tcW w:w="1012" w:type="pct"/>
            <w:tcBorders>
              <w:top w:val="single" w:sz="4" w:space="0" w:color="auto"/>
              <w:bottom w:val="single" w:sz="4" w:space="0" w:color="auto"/>
            </w:tcBorders>
            <w:shd w:val="clear" w:color="auto" w:fill="auto"/>
          </w:tcPr>
          <w:p w:rsidR="00AD796B" w:rsidRPr="00AD796B" w:rsidRDefault="00AD796B" w:rsidP="00AD796B">
            <w:pPr>
              <w:tabs>
                <w:tab w:val="clear" w:pos="432"/>
              </w:tabs>
              <w:spacing w:before="60" w:after="60" w:line="240" w:lineRule="auto"/>
              <w:ind w:firstLine="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3. Assess penetration of text4baby in communities served by HCs associated with an HCCN</w:t>
            </w:r>
          </w:p>
        </w:tc>
        <w:tc>
          <w:tcPr>
            <w:tcW w:w="643" w:type="pct"/>
            <w:tcBorders>
              <w:top w:val="single" w:sz="4" w:space="0" w:color="auto"/>
              <w:bottom w:val="single" w:sz="4" w:space="0" w:color="auto"/>
            </w:tcBorders>
            <w:shd w:val="clear" w:color="auto" w:fill="auto"/>
          </w:tcPr>
          <w:p w:rsidR="00AD796B" w:rsidRPr="00AD796B" w:rsidRDefault="00AD796B" w:rsidP="00AD796B">
            <w:pPr>
              <w:tabs>
                <w:tab w:val="clear" w:pos="432"/>
              </w:tabs>
              <w:spacing w:before="60" w:after="60" w:line="240" w:lineRule="auto"/>
              <w:ind w:firstLine="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HMHB/Voxiva enrollment and outreach partner databases</w:t>
            </w:r>
          </w:p>
        </w:tc>
        <w:tc>
          <w:tcPr>
            <w:tcW w:w="1864" w:type="pct"/>
            <w:tcBorders>
              <w:top w:val="single" w:sz="4" w:space="0" w:color="auto"/>
              <w:bottom w:val="single" w:sz="4" w:space="0" w:color="auto"/>
            </w:tcBorders>
            <w:shd w:val="clear" w:color="auto" w:fill="auto"/>
          </w:tcPr>
          <w:p w:rsidR="00AD796B" w:rsidRPr="00AD796B" w:rsidRDefault="00AD796B" w:rsidP="00AD796B">
            <w:pPr>
              <w:numPr>
                <w:ilvl w:val="0"/>
                <w:numId w:val="22"/>
              </w:numPr>
              <w:tabs>
                <w:tab w:val="clear" w:pos="432"/>
              </w:tabs>
              <w:spacing w:before="60" w:after="60" w:line="240" w:lineRule="auto"/>
              <w:ind w:left="257" w:hanging="257"/>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Geocode health center and outreach partner locations for GIS analysis</w:t>
            </w:r>
          </w:p>
          <w:p w:rsidR="00AD796B" w:rsidRPr="00AD796B" w:rsidRDefault="00AD796B" w:rsidP="00AD796B">
            <w:pPr>
              <w:numPr>
                <w:ilvl w:val="0"/>
                <w:numId w:val="22"/>
              </w:numPr>
              <w:tabs>
                <w:tab w:val="clear" w:pos="432"/>
              </w:tabs>
              <w:spacing w:after="60" w:line="240" w:lineRule="auto"/>
              <w:ind w:left="257" w:hanging="257"/>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Conduct GIS analysis of the number of active, pregnant text4baby users within 1, 5, and 10 miles of the HCs</w:t>
            </w:r>
          </w:p>
          <w:p w:rsidR="00AD796B" w:rsidRPr="00AD796B" w:rsidRDefault="00AD796B" w:rsidP="00AD796B">
            <w:pPr>
              <w:numPr>
                <w:ilvl w:val="0"/>
                <w:numId w:val="22"/>
              </w:numPr>
              <w:tabs>
                <w:tab w:val="clear" w:pos="432"/>
              </w:tabs>
              <w:spacing w:after="60" w:line="240" w:lineRule="auto"/>
              <w:ind w:left="257" w:hanging="257"/>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Flag HCs that have at least 250 active, pregnant text4baby users within 10 miles of the health center (the threshold of 250 is a proxy for the targeted sample size of 160 pregnant text4baby users)</w:t>
            </w:r>
          </w:p>
          <w:p w:rsidR="00AD796B" w:rsidRPr="00AD796B" w:rsidRDefault="00AD796B" w:rsidP="00AD796B">
            <w:pPr>
              <w:numPr>
                <w:ilvl w:val="0"/>
                <w:numId w:val="22"/>
              </w:numPr>
              <w:tabs>
                <w:tab w:val="clear" w:pos="432"/>
              </w:tabs>
              <w:spacing w:after="60" w:line="240" w:lineRule="auto"/>
              <w:ind w:left="257" w:hanging="257"/>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Conduct GIS analysis of the number of outreach partners within 10 miles of the HCs</w:t>
            </w:r>
          </w:p>
          <w:p w:rsidR="00AD796B" w:rsidRPr="00AD796B" w:rsidRDefault="00AD796B" w:rsidP="00AD796B">
            <w:pPr>
              <w:numPr>
                <w:ilvl w:val="0"/>
                <w:numId w:val="22"/>
              </w:numPr>
              <w:tabs>
                <w:tab w:val="clear" w:pos="432"/>
              </w:tabs>
              <w:spacing w:after="60" w:line="240" w:lineRule="auto"/>
              <w:ind w:left="257" w:hanging="257"/>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Flag HCs that have at least one outreach partner within 10 miles of the health center (this is a proxy for active text4baby outreach in a community)</w:t>
            </w:r>
          </w:p>
        </w:tc>
        <w:tc>
          <w:tcPr>
            <w:tcW w:w="1481" w:type="pct"/>
            <w:tcBorders>
              <w:top w:val="single" w:sz="4" w:space="0" w:color="auto"/>
              <w:bottom w:val="single" w:sz="4" w:space="0" w:color="auto"/>
            </w:tcBorders>
            <w:shd w:val="clear" w:color="auto" w:fill="auto"/>
          </w:tcPr>
          <w:p w:rsidR="00AD796B" w:rsidRPr="00AD796B" w:rsidRDefault="00AD796B" w:rsidP="00AD796B">
            <w:pPr>
              <w:tabs>
                <w:tab w:val="clear" w:pos="432"/>
              </w:tabs>
              <w:spacing w:before="60" w:line="240" w:lineRule="auto"/>
              <w:ind w:firstLine="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Of these 25 HCs:</w:t>
            </w:r>
          </w:p>
          <w:p w:rsidR="00AD796B" w:rsidRPr="00AD796B" w:rsidRDefault="00AD796B" w:rsidP="00AD796B">
            <w:pPr>
              <w:numPr>
                <w:ilvl w:val="0"/>
                <w:numId w:val="25"/>
              </w:numPr>
              <w:tabs>
                <w:tab w:val="clear" w:pos="432"/>
              </w:tabs>
              <w:spacing w:after="60" w:line="240" w:lineRule="auto"/>
              <w:ind w:left="250" w:hanging="25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6 HCs have at least 250 active, pregnant text4baby users within 10 miles of the health center</w:t>
            </w:r>
          </w:p>
          <w:p w:rsidR="00AD796B" w:rsidRPr="00AD796B" w:rsidRDefault="00AD796B" w:rsidP="00AD796B">
            <w:pPr>
              <w:tabs>
                <w:tab w:val="clear" w:pos="432"/>
              </w:tabs>
              <w:spacing w:line="240" w:lineRule="auto"/>
              <w:ind w:firstLine="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Of these 6 HCs:</w:t>
            </w:r>
          </w:p>
          <w:p w:rsidR="00AD796B" w:rsidRPr="00AD796B" w:rsidRDefault="00AD796B" w:rsidP="00AD796B">
            <w:pPr>
              <w:numPr>
                <w:ilvl w:val="0"/>
                <w:numId w:val="25"/>
              </w:numPr>
              <w:tabs>
                <w:tab w:val="clear" w:pos="432"/>
              </w:tabs>
              <w:spacing w:after="60" w:line="240" w:lineRule="auto"/>
              <w:ind w:left="250" w:hanging="25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 xml:space="preserve">All 6 have at least 1 outreach partner within 10 miles </w:t>
            </w:r>
          </w:p>
        </w:tc>
      </w:tr>
      <w:tr w:rsidR="00AD796B" w:rsidRPr="00AD796B" w:rsidTr="009754C4">
        <w:tc>
          <w:tcPr>
            <w:tcW w:w="1012" w:type="pct"/>
            <w:tcBorders>
              <w:top w:val="single" w:sz="4" w:space="0" w:color="auto"/>
              <w:bottom w:val="single" w:sz="4" w:space="0" w:color="auto"/>
            </w:tcBorders>
            <w:shd w:val="clear" w:color="auto" w:fill="auto"/>
          </w:tcPr>
          <w:p w:rsidR="00AD796B" w:rsidRPr="00AD796B" w:rsidRDefault="00AD796B" w:rsidP="00AD796B">
            <w:pPr>
              <w:tabs>
                <w:tab w:val="clear" w:pos="432"/>
              </w:tabs>
              <w:spacing w:before="60" w:after="60" w:line="240" w:lineRule="auto"/>
              <w:ind w:firstLine="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4. Achieve distribution across four geographic regions</w:t>
            </w:r>
          </w:p>
        </w:tc>
        <w:tc>
          <w:tcPr>
            <w:tcW w:w="643" w:type="pct"/>
            <w:tcBorders>
              <w:top w:val="single" w:sz="4" w:space="0" w:color="auto"/>
              <w:bottom w:val="single" w:sz="4" w:space="0" w:color="auto"/>
            </w:tcBorders>
            <w:shd w:val="clear" w:color="auto" w:fill="auto"/>
          </w:tcPr>
          <w:p w:rsidR="00AD796B" w:rsidRPr="00AD796B" w:rsidRDefault="00AD796B" w:rsidP="00AD796B">
            <w:pPr>
              <w:tabs>
                <w:tab w:val="clear" w:pos="432"/>
              </w:tabs>
              <w:spacing w:before="60" w:after="60" w:line="240" w:lineRule="auto"/>
              <w:ind w:firstLine="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HRSA UDS</w:t>
            </w:r>
          </w:p>
        </w:tc>
        <w:tc>
          <w:tcPr>
            <w:tcW w:w="1864" w:type="pct"/>
            <w:tcBorders>
              <w:top w:val="single" w:sz="4" w:space="0" w:color="auto"/>
              <w:bottom w:val="single" w:sz="4" w:space="0" w:color="auto"/>
            </w:tcBorders>
            <w:shd w:val="clear" w:color="auto" w:fill="auto"/>
          </w:tcPr>
          <w:p w:rsidR="00AD796B" w:rsidRPr="00AD796B" w:rsidRDefault="00AD796B" w:rsidP="00AD796B">
            <w:pPr>
              <w:numPr>
                <w:ilvl w:val="0"/>
                <w:numId w:val="23"/>
              </w:numPr>
              <w:tabs>
                <w:tab w:val="clear" w:pos="432"/>
              </w:tabs>
              <w:spacing w:before="60" w:after="60" w:line="240" w:lineRule="auto"/>
              <w:ind w:left="257" w:hanging="257"/>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Classify HCs by region based on State location (Northeast, Midwest, South, West)</w:t>
            </w:r>
          </w:p>
          <w:p w:rsidR="00AD796B" w:rsidRPr="00AD796B" w:rsidRDefault="00AD796B" w:rsidP="00AD796B">
            <w:pPr>
              <w:numPr>
                <w:ilvl w:val="0"/>
                <w:numId w:val="23"/>
              </w:numPr>
              <w:tabs>
                <w:tab w:val="clear" w:pos="432"/>
              </w:tabs>
              <w:spacing w:after="200" w:line="240" w:lineRule="auto"/>
              <w:ind w:left="257" w:hanging="257"/>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 xml:space="preserve">Sort HCs by region and flag HCs in each region that meet the selection criteria </w:t>
            </w:r>
          </w:p>
        </w:tc>
        <w:tc>
          <w:tcPr>
            <w:tcW w:w="1481" w:type="pct"/>
            <w:tcBorders>
              <w:top w:val="single" w:sz="4" w:space="0" w:color="auto"/>
              <w:bottom w:val="single" w:sz="4" w:space="0" w:color="auto"/>
            </w:tcBorders>
            <w:shd w:val="clear" w:color="auto" w:fill="auto"/>
          </w:tcPr>
          <w:p w:rsidR="00AD796B" w:rsidRPr="00AD796B" w:rsidRDefault="00AD796B" w:rsidP="00AD796B">
            <w:pPr>
              <w:tabs>
                <w:tab w:val="clear" w:pos="432"/>
              </w:tabs>
              <w:spacing w:before="60" w:line="240" w:lineRule="auto"/>
              <w:ind w:firstLine="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Of these 6 HCs:</w:t>
            </w:r>
          </w:p>
          <w:p w:rsidR="00AD796B" w:rsidRPr="00AD796B" w:rsidRDefault="00AD796B" w:rsidP="00AD796B">
            <w:pPr>
              <w:numPr>
                <w:ilvl w:val="0"/>
                <w:numId w:val="26"/>
              </w:numPr>
              <w:tabs>
                <w:tab w:val="clear" w:pos="432"/>
              </w:tabs>
              <w:spacing w:after="60" w:line="240" w:lineRule="auto"/>
              <w:ind w:left="250" w:hanging="25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2 are in the Northeast; 3 in the Midwest (all within the same HCCN); and 1 in the West</w:t>
            </w:r>
          </w:p>
          <w:p w:rsidR="00AD796B" w:rsidRPr="00AD796B" w:rsidRDefault="00AD796B" w:rsidP="00AD796B">
            <w:pPr>
              <w:numPr>
                <w:ilvl w:val="0"/>
                <w:numId w:val="26"/>
              </w:numPr>
              <w:tabs>
                <w:tab w:val="clear" w:pos="432"/>
              </w:tabs>
              <w:spacing w:after="60" w:line="240" w:lineRule="auto"/>
              <w:ind w:left="250" w:hanging="25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No HCs in the South meet all these criteria, but 2 HCs in one network and 3 HCs in another are close to meeting the criteria</w:t>
            </w:r>
          </w:p>
        </w:tc>
      </w:tr>
      <w:tr w:rsidR="00AD796B" w:rsidRPr="00AD796B" w:rsidTr="009754C4">
        <w:trPr>
          <w:trHeight w:val="908"/>
        </w:trPr>
        <w:tc>
          <w:tcPr>
            <w:tcW w:w="1012" w:type="pct"/>
            <w:tcBorders>
              <w:top w:val="single" w:sz="4" w:space="0" w:color="auto"/>
              <w:bottom w:val="single" w:sz="4" w:space="0" w:color="auto"/>
            </w:tcBorders>
            <w:shd w:val="clear" w:color="auto" w:fill="auto"/>
          </w:tcPr>
          <w:p w:rsidR="00AD796B" w:rsidRPr="00AD796B" w:rsidRDefault="00AD796B" w:rsidP="00AD796B">
            <w:pPr>
              <w:tabs>
                <w:tab w:val="clear" w:pos="432"/>
              </w:tabs>
              <w:spacing w:before="60" w:after="60" w:line="240" w:lineRule="auto"/>
              <w:ind w:firstLine="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 xml:space="preserve">5. Select four communities with HCs that meet criteria </w:t>
            </w:r>
          </w:p>
        </w:tc>
        <w:tc>
          <w:tcPr>
            <w:tcW w:w="643" w:type="pct"/>
            <w:tcBorders>
              <w:top w:val="single" w:sz="4" w:space="0" w:color="auto"/>
              <w:bottom w:val="single" w:sz="4" w:space="0" w:color="auto"/>
            </w:tcBorders>
            <w:shd w:val="clear" w:color="auto" w:fill="auto"/>
          </w:tcPr>
          <w:p w:rsidR="00AD796B" w:rsidRPr="00AD796B" w:rsidRDefault="00AD796B" w:rsidP="00AD796B">
            <w:pPr>
              <w:tabs>
                <w:tab w:val="clear" w:pos="432"/>
              </w:tabs>
              <w:spacing w:before="60" w:after="60" w:line="240" w:lineRule="auto"/>
              <w:ind w:firstLine="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Discussions with HRSA and HCCNs</w:t>
            </w:r>
          </w:p>
        </w:tc>
        <w:tc>
          <w:tcPr>
            <w:tcW w:w="1864" w:type="pct"/>
            <w:tcBorders>
              <w:top w:val="single" w:sz="4" w:space="0" w:color="auto"/>
              <w:bottom w:val="single" w:sz="4" w:space="0" w:color="auto"/>
            </w:tcBorders>
            <w:shd w:val="clear" w:color="auto" w:fill="auto"/>
          </w:tcPr>
          <w:p w:rsidR="00AD796B" w:rsidRPr="00AD796B" w:rsidRDefault="00AD796B" w:rsidP="00AD796B">
            <w:pPr>
              <w:numPr>
                <w:ilvl w:val="0"/>
                <w:numId w:val="23"/>
              </w:numPr>
              <w:tabs>
                <w:tab w:val="clear" w:pos="432"/>
              </w:tabs>
              <w:spacing w:before="60" w:after="200" w:line="240" w:lineRule="auto"/>
              <w:ind w:left="257" w:hanging="257"/>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Narrow selection to four communities based on discussions with HRSA and HCCNs</w:t>
            </w:r>
          </w:p>
        </w:tc>
        <w:tc>
          <w:tcPr>
            <w:tcW w:w="1481" w:type="pct"/>
            <w:tcBorders>
              <w:top w:val="single" w:sz="4" w:space="0" w:color="auto"/>
              <w:bottom w:val="single" w:sz="4" w:space="0" w:color="auto"/>
            </w:tcBorders>
            <w:shd w:val="clear" w:color="auto" w:fill="auto"/>
          </w:tcPr>
          <w:p w:rsidR="00AD796B" w:rsidRPr="00AD796B" w:rsidRDefault="00AD796B" w:rsidP="00AD796B">
            <w:pPr>
              <w:numPr>
                <w:ilvl w:val="0"/>
                <w:numId w:val="26"/>
              </w:numPr>
              <w:tabs>
                <w:tab w:val="clear" w:pos="432"/>
              </w:tabs>
              <w:spacing w:before="60" w:after="60" w:line="240" w:lineRule="auto"/>
              <w:ind w:left="250" w:hanging="25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Four communities with eligible HCs: Bronx NY (Morris Heights), Chicago IL (Erie), Atlanta GA (Southside/West End), and Commerce (L.A.) CA (Alta Med)</w:t>
            </w:r>
          </w:p>
        </w:tc>
      </w:tr>
    </w:tbl>
    <w:p w:rsidR="00AD796B" w:rsidRPr="00AD796B" w:rsidRDefault="00AD796B" w:rsidP="00AD796B">
      <w:pPr>
        <w:tabs>
          <w:tab w:val="clear" w:pos="432"/>
          <w:tab w:val="left" w:pos="3384"/>
          <w:tab w:val="left" w:pos="5277"/>
          <w:tab w:val="left" w:pos="10402"/>
        </w:tabs>
        <w:spacing w:before="120" w:after="60" w:line="240" w:lineRule="auto"/>
        <w:ind w:left="540" w:firstLine="0"/>
        <w:jc w:val="left"/>
        <w:rPr>
          <w:rFonts w:ascii="Lucida Sans" w:eastAsiaTheme="minorHAnsi" w:hAnsi="Lucida Sans" w:cstheme="minorBidi"/>
          <w:b/>
          <w:caps/>
          <w:sz w:val="18"/>
          <w:szCs w:val="22"/>
        </w:rPr>
      </w:pPr>
    </w:p>
    <w:p w:rsidR="00AD796B" w:rsidRPr="00AD796B" w:rsidRDefault="00AD796B" w:rsidP="00AD796B">
      <w:pPr>
        <w:tabs>
          <w:tab w:val="clear" w:pos="432"/>
          <w:tab w:val="left" w:pos="3384"/>
          <w:tab w:val="left" w:pos="5277"/>
          <w:tab w:val="left" w:pos="10402"/>
        </w:tabs>
        <w:spacing w:before="120" w:after="60" w:line="240" w:lineRule="auto"/>
        <w:ind w:left="-180" w:firstLine="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lastRenderedPageBreak/>
        <w:t xml:space="preserve">Table 1 </w:t>
      </w:r>
      <w:r w:rsidRPr="00AD796B">
        <w:rPr>
          <w:rFonts w:ascii="Lucida Sans" w:eastAsiaTheme="minorHAnsi" w:hAnsi="Lucida Sans" w:cstheme="minorBidi"/>
          <w:i/>
          <w:sz w:val="18"/>
          <w:szCs w:val="22"/>
        </w:rPr>
        <w:t>(continued)</w:t>
      </w:r>
    </w:p>
    <w:tbl>
      <w:tblPr>
        <w:tblStyle w:val="TableGrid"/>
        <w:tblW w:w="5191" w:type="pct"/>
        <w:tblInd w:w="-72" w:type="dxa"/>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996"/>
        <w:gridCol w:w="1271"/>
        <w:gridCol w:w="3623"/>
        <w:gridCol w:w="3052"/>
      </w:tblGrid>
      <w:tr w:rsidR="00AD796B" w:rsidRPr="00AD796B" w:rsidTr="009754C4">
        <w:trPr>
          <w:tblHeader/>
        </w:trPr>
        <w:tc>
          <w:tcPr>
            <w:tcW w:w="1004" w:type="pct"/>
            <w:tcBorders>
              <w:top w:val="single" w:sz="12" w:space="0" w:color="auto"/>
              <w:bottom w:val="single" w:sz="4" w:space="0" w:color="auto"/>
            </w:tcBorders>
            <w:shd w:val="clear" w:color="auto" w:fill="auto"/>
            <w:vAlign w:val="bottom"/>
          </w:tcPr>
          <w:p w:rsidR="00AD796B" w:rsidRPr="00AD796B" w:rsidRDefault="00AD796B" w:rsidP="00AD796B">
            <w:pPr>
              <w:tabs>
                <w:tab w:val="clear" w:pos="432"/>
              </w:tabs>
              <w:spacing w:before="120" w:after="60" w:line="240" w:lineRule="auto"/>
              <w:ind w:firstLine="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Step</w:t>
            </w:r>
          </w:p>
        </w:tc>
        <w:tc>
          <w:tcPr>
            <w:tcW w:w="639" w:type="pct"/>
            <w:tcBorders>
              <w:top w:val="single" w:sz="12" w:space="0" w:color="auto"/>
              <w:bottom w:val="single" w:sz="4" w:space="0" w:color="auto"/>
            </w:tcBorders>
            <w:shd w:val="clear" w:color="auto" w:fill="auto"/>
            <w:vAlign w:val="bottom"/>
          </w:tcPr>
          <w:p w:rsidR="00AD796B" w:rsidRPr="00AD796B" w:rsidRDefault="00AD796B" w:rsidP="00AD796B">
            <w:pPr>
              <w:tabs>
                <w:tab w:val="clear" w:pos="432"/>
              </w:tabs>
              <w:spacing w:before="120" w:after="60" w:line="240" w:lineRule="auto"/>
              <w:ind w:firstLine="0"/>
              <w:jc w:val="center"/>
              <w:rPr>
                <w:rFonts w:ascii="Lucida Sans" w:eastAsiaTheme="minorHAnsi" w:hAnsi="Lucida Sans" w:cstheme="minorBidi"/>
                <w:sz w:val="18"/>
                <w:szCs w:val="22"/>
              </w:rPr>
            </w:pPr>
            <w:r w:rsidRPr="00AD796B">
              <w:rPr>
                <w:rFonts w:ascii="Lucida Sans" w:eastAsiaTheme="minorHAnsi" w:hAnsi="Lucida Sans" w:cstheme="minorBidi"/>
                <w:sz w:val="18"/>
                <w:szCs w:val="22"/>
              </w:rPr>
              <w:t>Data Source</w:t>
            </w:r>
          </w:p>
        </w:tc>
        <w:tc>
          <w:tcPr>
            <w:tcW w:w="1822" w:type="pct"/>
            <w:tcBorders>
              <w:top w:val="single" w:sz="12" w:space="0" w:color="auto"/>
              <w:bottom w:val="single" w:sz="4" w:space="0" w:color="auto"/>
            </w:tcBorders>
            <w:shd w:val="clear" w:color="auto" w:fill="auto"/>
            <w:vAlign w:val="bottom"/>
          </w:tcPr>
          <w:p w:rsidR="00AD796B" w:rsidRPr="00AD796B" w:rsidRDefault="00AD796B" w:rsidP="00AD796B">
            <w:pPr>
              <w:tabs>
                <w:tab w:val="clear" w:pos="432"/>
              </w:tabs>
              <w:spacing w:before="120" w:after="60" w:line="240" w:lineRule="auto"/>
              <w:ind w:firstLine="0"/>
              <w:jc w:val="center"/>
              <w:rPr>
                <w:rFonts w:ascii="Lucida Sans" w:eastAsiaTheme="minorHAnsi" w:hAnsi="Lucida Sans" w:cstheme="minorBidi"/>
                <w:sz w:val="18"/>
                <w:szCs w:val="22"/>
              </w:rPr>
            </w:pPr>
            <w:r w:rsidRPr="00AD796B">
              <w:rPr>
                <w:rFonts w:ascii="Lucida Sans" w:eastAsiaTheme="minorHAnsi" w:hAnsi="Lucida Sans" w:cstheme="minorBidi"/>
                <w:sz w:val="18"/>
                <w:szCs w:val="22"/>
              </w:rPr>
              <w:t>Approach</w:t>
            </w:r>
          </w:p>
        </w:tc>
        <w:tc>
          <w:tcPr>
            <w:tcW w:w="1535" w:type="pct"/>
            <w:tcBorders>
              <w:top w:val="single" w:sz="12" w:space="0" w:color="auto"/>
              <w:bottom w:val="single" w:sz="4" w:space="0" w:color="auto"/>
            </w:tcBorders>
            <w:shd w:val="clear" w:color="auto" w:fill="auto"/>
            <w:vAlign w:val="bottom"/>
          </w:tcPr>
          <w:p w:rsidR="00AD796B" w:rsidRPr="00AD796B" w:rsidRDefault="00AD796B" w:rsidP="00AD796B">
            <w:pPr>
              <w:tabs>
                <w:tab w:val="clear" w:pos="432"/>
              </w:tabs>
              <w:spacing w:before="120" w:after="60" w:line="240" w:lineRule="auto"/>
              <w:ind w:firstLine="0"/>
              <w:jc w:val="center"/>
              <w:rPr>
                <w:rFonts w:ascii="Lucida Sans" w:eastAsiaTheme="minorHAnsi" w:hAnsi="Lucida Sans" w:cstheme="minorBidi"/>
                <w:sz w:val="18"/>
                <w:szCs w:val="22"/>
              </w:rPr>
            </w:pPr>
            <w:r w:rsidRPr="00AD796B">
              <w:rPr>
                <w:rFonts w:ascii="Lucida Sans" w:eastAsiaTheme="minorHAnsi" w:hAnsi="Lucida Sans" w:cstheme="minorBidi"/>
                <w:sz w:val="18"/>
                <w:szCs w:val="22"/>
              </w:rPr>
              <w:t>Results</w:t>
            </w:r>
          </w:p>
        </w:tc>
      </w:tr>
      <w:tr w:rsidR="00AD796B" w:rsidRPr="00AD796B" w:rsidTr="009754C4">
        <w:tc>
          <w:tcPr>
            <w:tcW w:w="1004" w:type="pct"/>
            <w:tcBorders>
              <w:top w:val="single" w:sz="4" w:space="0" w:color="auto"/>
              <w:bottom w:val="single" w:sz="4" w:space="0" w:color="auto"/>
            </w:tcBorders>
            <w:shd w:val="clear" w:color="auto" w:fill="auto"/>
          </w:tcPr>
          <w:p w:rsidR="00AD796B" w:rsidRPr="00AD796B" w:rsidRDefault="00AD796B" w:rsidP="00AD796B">
            <w:pPr>
              <w:tabs>
                <w:tab w:val="clear" w:pos="432"/>
              </w:tabs>
              <w:spacing w:before="60" w:after="60" w:line="240" w:lineRule="auto"/>
              <w:ind w:firstLine="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6. Assess racial/ethnic diversity of selected HCs</w:t>
            </w:r>
          </w:p>
        </w:tc>
        <w:tc>
          <w:tcPr>
            <w:tcW w:w="639" w:type="pct"/>
            <w:tcBorders>
              <w:top w:val="single" w:sz="4" w:space="0" w:color="auto"/>
              <w:bottom w:val="single" w:sz="4" w:space="0" w:color="auto"/>
            </w:tcBorders>
            <w:shd w:val="clear" w:color="auto" w:fill="auto"/>
          </w:tcPr>
          <w:p w:rsidR="00AD796B" w:rsidRPr="00AD796B" w:rsidRDefault="00AD796B" w:rsidP="00AD796B">
            <w:pPr>
              <w:tabs>
                <w:tab w:val="clear" w:pos="432"/>
              </w:tabs>
              <w:spacing w:before="60" w:after="60" w:line="240" w:lineRule="auto"/>
              <w:ind w:firstLine="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HRSA UDS</w:t>
            </w:r>
          </w:p>
        </w:tc>
        <w:tc>
          <w:tcPr>
            <w:tcW w:w="1822" w:type="pct"/>
            <w:tcBorders>
              <w:top w:val="single" w:sz="4" w:space="0" w:color="auto"/>
              <w:bottom w:val="single" w:sz="4" w:space="0" w:color="auto"/>
            </w:tcBorders>
            <w:shd w:val="clear" w:color="auto" w:fill="auto"/>
          </w:tcPr>
          <w:p w:rsidR="00AD796B" w:rsidRPr="00AD796B" w:rsidRDefault="00AD796B" w:rsidP="00AD796B">
            <w:pPr>
              <w:numPr>
                <w:ilvl w:val="0"/>
                <w:numId w:val="23"/>
              </w:numPr>
              <w:tabs>
                <w:tab w:val="clear" w:pos="432"/>
              </w:tabs>
              <w:spacing w:before="60" w:after="200" w:line="240" w:lineRule="auto"/>
              <w:ind w:left="257" w:hanging="257"/>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Identify racial/ethnic distribution of prenatal patients in selected HCs</w:t>
            </w:r>
          </w:p>
        </w:tc>
        <w:tc>
          <w:tcPr>
            <w:tcW w:w="1535" w:type="pct"/>
            <w:tcBorders>
              <w:top w:val="single" w:sz="4" w:space="0" w:color="auto"/>
              <w:bottom w:val="single" w:sz="4" w:space="0" w:color="auto"/>
            </w:tcBorders>
            <w:shd w:val="clear" w:color="auto" w:fill="auto"/>
          </w:tcPr>
          <w:p w:rsidR="00AD796B" w:rsidRPr="00AD796B" w:rsidRDefault="00AD796B" w:rsidP="00AD796B">
            <w:pPr>
              <w:numPr>
                <w:ilvl w:val="0"/>
                <w:numId w:val="26"/>
              </w:numPr>
              <w:tabs>
                <w:tab w:val="clear" w:pos="432"/>
              </w:tabs>
              <w:spacing w:before="60" w:after="60" w:line="240" w:lineRule="auto"/>
              <w:ind w:left="250" w:hanging="25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Most prenatal patients in Atlanta (Southside and West End HCs) are African American</w:t>
            </w:r>
          </w:p>
          <w:p w:rsidR="00AD796B" w:rsidRPr="00AD796B" w:rsidRDefault="00AD796B" w:rsidP="00AD796B">
            <w:pPr>
              <w:numPr>
                <w:ilvl w:val="0"/>
                <w:numId w:val="26"/>
              </w:numPr>
              <w:tabs>
                <w:tab w:val="clear" w:pos="432"/>
              </w:tabs>
              <w:spacing w:after="60" w:line="240" w:lineRule="auto"/>
              <w:ind w:left="250" w:hanging="25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Most prenatal patients in Chicago (Erie HC) and Commerce (Alta Med HC) are Hispanic</w:t>
            </w:r>
          </w:p>
          <w:p w:rsidR="00AD796B" w:rsidRPr="00AD796B" w:rsidRDefault="00AD796B" w:rsidP="00AD796B">
            <w:pPr>
              <w:numPr>
                <w:ilvl w:val="0"/>
                <w:numId w:val="26"/>
              </w:numPr>
              <w:tabs>
                <w:tab w:val="clear" w:pos="432"/>
              </w:tabs>
              <w:spacing w:after="60" w:line="240" w:lineRule="auto"/>
              <w:ind w:left="250" w:hanging="25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Morris Heights in the Bronx serves a mix of African American and Hispanic prenatal patients</w:t>
            </w:r>
          </w:p>
        </w:tc>
      </w:tr>
      <w:tr w:rsidR="00AD796B" w:rsidRPr="00AD796B" w:rsidTr="009754C4">
        <w:tc>
          <w:tcPr>
            <w:tcW w:w="1004" w:type="pct"/>
            <w:tcBorders>
              <w:top w:val="single" w:sz="4" w:space="0" w:color="auto"/>
              <w:bottom w:val="single" w:sz="4" w:space="0" w:color="auto"/>
            </w:tcBorders>
            <w:shd w:val="clear" w:color="auto" w:fill="auto"/>
          </w:tcPr>
          <w:p w:rsidR="00AD796B" w:rsidRPr="00AD796B" w:rsidRDefault="00AD796B" w:rsidP="00AD796B">
            <w:pPr>
              <w:tabs>
                <w:tab w:val="clear" w:pos="432"/>
              </w:tabs>
              <w:spacing w:before="60" w:after="60" w:line="240" w:lineRule="auto"/>
              <w:ind w:firstLine="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7. Assess EHR capacity of selected HCs</w:t>
            </w:r>
          </w:p>
        </w:tc>
        <w:tc>
          <w:tcPr>
            <w:tcW w:w="639" w:type="pct"/>
            <w:tcBorders>
              <w:top w:val="single" w:sz="4" w:space="0" w:color="auto"/>
              <w:bottom w:val="single" w:sz="4" w:space="0" w:color="auto"/>
            </w:tcBorders>
            <w:shd w:val="clear" w:color="auto" w:fill="auto"/>
          </w:tcPr>
          <w:p w:rsidR="00AD796B" w:rsidRPr="00AD796B" w:rsidRDefault="00AD796B" w:rsidP="00AD796B">
            <w:pPr>
              <w:tabs>
                <w:tab w:val="clear" w:pos="432"/>
              </w:tabs>
              <w:spacing w:before="60" w:after="60" w:line="240" w:lineRule="auto"/>
              <w:ind w:firstLine="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HRSA EHR System Extract</w:t>
            </w:r>
          </w:p>
        </w:tc>
        <w:tc>
          <w:tcPr>
            <w:tcW w:w="1822" w:type="pct"/>
            <w:tcBorders>
              <w:top w:val="single" w:sz="4" w:space="0" w:color="auto"/>
              <w:bottom w:val="single" w:sz="4" w:space="0" w:color="auto"/>
            </w:tcBorders>
            <w:shd w:val="clear" w:color="auto" w:fill="auto"/>
          </w:tcPr>
          <w:p w:rsidR="00AD796B" w:rsidRPr="00AD796B" w:rsidRDefault="00AD796B" w:rsidP="00AD796B">
            <w:pPr>
              <w:numPr>
                <w:ilvl w:val="0"/>
                <w:numId w:val="23"/>
              </w:numPr>
              <w:tabs>
                <w:tab w:val="clear" w:pos="432"/>
              </w:tabs>
              <w:spacing w:before="60" w:after="200" w:line="240" w:lineRule="auto"/>
              <w:ind w:left="257" w:hanging="257"/>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 xml:space="preserve">Ascertain the type of EHR system used by each HC and the extent of EHR system implementation </w:t>
            </w:r>
          </w:p>
        </w:tc>
        <w:tc>
          <w:tcPr>
            <w:tcW w:w="1535" w:type="pct"/>
            <w:tcBorders>
              <w:top w:val="single" w:sz="4" w:space="0" w:color="auto"/>
              <w:bottom w:val="single" w:sz="4" w:space="0" w:color="auto"/>
            </w:tcBorders>
            <w:shd w:val="clear" w:color="auto" w:fill="auto"/>
          </w:tcPr>
          <w:p w:rsidR="00AD796B" w:rsidRPr="00AD796B" w:rsidRDefault="00AD796B" w:rsidP="00AD796B">
            <w:pPr>
              <w:numPr>
                <w:ilvl w:val="0"/>
                <w:numId w:val="26"/>
              </w:numPr>
              <w:tabs>
                <w:tab w:val="clear" w:pos="432"/>
              </w:tabs>
              <w:spacing w:before="60" w:after="60" w:line="240" w:lineRule="auto"/>
              <w:ind w:left="250" w:hanging="25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Two HCs (Morris Heights and Erie) use GE Centricity</w:t>
            </w:r>
          </w:p>
          <w:p w:rsidR="00AD796B" w:rsidRPr="00AD796B" w:rsidRDefault="00AD796B" w:rsidP="00AD796B">
            <w:pPr>
              <w:numPr>
                <w:ilvl w:val="0"/>
                <w:numId w:val="26"/>
              </w:numPr>
              <w:tabs>
                <w:tab w:val="clear" w:pos="432"/>
              </w:tabs>
              <w:spacing w:after="60" w:line="240" w:lineRule="auto"/>
              <w:ind w:left="250" w:hanging="25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 xml:space="preserve">The Atlanta HCs use Visionary Dream </w:t>
            </w:r>
          </w:p>
          <w:p w:rsidR="00AD796B" w:rsidRPr="00AD796B" w:rsidRDefault="00AD796B" w:rsidP="00AD796B">
            <w:pPr>
              <w:numPr>
                <w:ilvl w:val="0"/>
                <w:numId w:val="26"/>
              </w:numPr>
              <w:tabs>
                <w:tab w:val="clear" w:pos="432"/>
              </w:tabs>
              <w:spacing w:after="60" w:line="240" w:lineRule="auto"/>
              <w:ind w:left="250" w:hanging="25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Alta Med uses NextGen</w:t>
            </w:r>
          </w:p>
          <w:p w:rsidR="00AD796B" w:rsidRPr="00AD796B" w:rsidRDefault="00AD796B" w:rsidP="00AD796B">
            <w:pPr>
              <w:numPr>
                <w:ilvl w:val="0"/>
                <w:numId w:val="26"/>
              </w:numPr>
              <w:tabs>
                <w:tab w:val="clear" w:pos="432"/>
              </w:tabs>
              <w:spacing w:after="60" w:line="240" w:lineRule="auto"/>
              <w:ind w:left="250" w:hanging="25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By the time the study is conducted, EHR systems will be fully implemented in the selected HCs</w:t>
            </w:r>
          </w:p>
          <w:p w:rsidR="00AD796B" w:rsidRPr="00AD796B" w:rsidRDefault="00AD796B" w:rsidP="00AD796B">
            <w:pPr>
              <w:numPr>
                <w:ilvl w:val="0"/>
                <w:numId w:val="26"/>
              </w:numPr>
              <w:tabs>
                <w:tab w:val="clear" w:pos="432"/>
              </w:tabs>
              <w:spacing w:after="60" w:line="240" w:lineRule="auto"/>
              <w:ind w:left="250" w:hanging="250"/>
              <w:jc w:val="left"/>
              <w:rPr>
                <w:rFonts w:ascii="Lucida Sans" w:eastAsiaTheme="minorHAnsi" w:hAnsi="Lucida Sans" w:cstheme="minorBidi"/>
                <w:sz w:val="18"/>
                <w:szCs w:val="22"/>
              </w:rPr>
            </w:pPr>
            <w:r w:rsidRPr="00AD796B">
              <w:rPr>
                <w:rFonts w:ascii="Lucida Sans" w:eastAsiaTheme="minorHAnsi" w:hAnsi="Lucida Sans" w:cstheme="minorBidi"/>
                <w:sz w:val="18"/>
                <w:szCs w:val="22"/>
              </w:rPr>
              <w:t>These are commonly used EHR systems</w:t>
            </w:r>
          </w:p>
        </w:tc>
      </w:tr>
    </w:tbl>
    <w:p w:rsidR="000050E2" w:rsidRDefault="000050E2" w:rsidP="00C72CB7">
      <w:pPr>
        <w:spacing w:line="240" w:lineRule="auto"/>
        <w:ind w:firstLine="0"/>
      </w:pPr>
    </w:p>
    <w:p w:rsidR="000050E2" w:rsidRDefault="000050E2" w:rsidP="000050E2"/>
    <w:p w:rsidR="00D31DCA" w:rsidRDefault="00D31DCA" w:rsidP="00B25E8B">
      <w:pPr>
        <w:widowControl w:val="0"/>
        <w:tabs>
          <w:tab w:val="clear" w:pos="432"/>
        </w:tabs>
        <w:autoSpaceDE w:val="0"/>
        <w:autoSpaceDN w:val="0"/>
        <w:adjustRightInd w:val="0"/>
        <w:spacing w:line="240" w:lineRule="auto"/>
        <w:ind w:right="-360" w:firstLine="0"/>
        <w:jc w:val="left"/>
        <w:rPr>
          <w:sz w:val="22"/>
          <w:szCs w:val="22"/>
        </w:rPr>
      </w:pPr>
    </w:p>
    <w:p w:rsidR="000D26CE" w:rsidRDefault="000D26CE">
      <w:pPr>
        <w:tabs>
          <w:tab w:val="clear" w:pos="432"/>
        </w:tabs>
        <w:spacing w:line="240" w:lineRule="auto"/>
        <w:ind w:firstLine="0"/>
        <w:jc w:val="left"/>
        <w:rPr>
          <w:sz w:val="22"/>
          <w:szCs w:val="22"/>
        </w:rPr>
      </w:pPr>
      <w:r>
        <w:rPr>
          <w:sz w:val="22"/>
          <w:szCs w:val="22"/>
        </w:rPr>
        <w:br w:type="page"/>
      </w:r>
    </w:p>
    <w:p w:rsidR="00954AD6" w:rsidRDefault="00954AD6" w:rsidP="00E61FC2">
      <w:pPr>
        <w:pStyle w:val="MarkforTableHeading"/>
      </w:pPr>
      <w:r>
        <w:lastRenderedPageBreak/>
        <w:t xml:space="preserve">Table </w:t>
      </w:r>
      <w:r w:rsidR="00074CBE">
        <w:t>2</w:t>
      </w:r>
      <w:r>
        <w:t>a. Safety Net Consumer Survey (Round 1, Pregnant Women) Sample Sizes and Precision (</w:t>
      </w:r>
      <w:r w:rsidRPr="00D12A98">
        <w:t>Half-</w:t>
      </w:r>
      <w:r>
        <w:t>Width of C</w:t>
      </w:r>
      <w:r w:rsidRPr="00D12A98">
        <w:t xml:space="preserve">onfidence </w:t>
      </w:r>
      <w:r>
        <w:t>Interval A</w:t>
      </w:r>
      <w:r w:rsidRPr="00D12A98">
        <w:t xml:space="preserve">round </w:t>
      </w:r>
      <w:r>
        <w:t>Percentage G</w:t>
      </w:r>
      <w:r w:rsidRPr="00D12A98">
        <w:t xml:space="preserve">iven in </w:t>
      </w:r>
      <w:r>
        <w:t>C</w:t>
      </w:r>
      <w:r w:rsidRPr="00D12A98">
        <w:t>olumn</w:t>
      </w:r>
      <w:r>
        <w:t>)*</w:t>
      </w:r>
    </w:p>
    <w:tbl>
      <w:tblPr>
        <w:tblStyle w:val="TableGrid"/>
        <w:tblW w:w="5162" w:type="pct"/>
        <w:tblInd w:w="108" w:type="dxa"/>
        <w:tblBorders>
          <w:top w:val="single" w:sz="12"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1351"/>
        <w:gridCol w:w="1260"/>
        <w:gridCol w:w="238"/>
        <w:gridCol w:w="1295"/>
        <w:gridCol w:w="720"/>
        <w:gridCol w:w="718"/>
        <w:gridCol w:w="237"/>
        <w:gridCol w:w="1285"/>
        <w:gridCol w:w="1368"/>
        <w:gridCol w:w="696"/>
        <w:gridCol w:w="718"/>
      </w:tblGrid>
      <w:tr w:rsidR="004642A9" w:rsidTr="00E61FC2">
        <w:tc>
          <w:tcPr>
            <w:tcW w:w="683" w:type="pct"/>
            <w:tcBorders>
              <w:top w:val="single" w:sz="12" w:space="0" w:color="auto"/>
              <w:bottom w:val="nil"/>
            </w:tcBorders>
            <w:shd w:val="clear" w:color="auto" w:fill="auto"/>
            <w:vAlign w:val="center"/>
          </w:tcPr>
          <w:p w:rsidR="00954AD6" w:rsidRDefault="00954AD6" w:rsidP="00954AD6">
            <w:pPr>
              <w:pStyle w:val="TableText"/>
              <w:spacing w:before="120" w:after="60"/>
            </w:pPr>
          </w:p>
        </w:tc>
        <w:tc>
          <w:tcPr>
            <w:tcW w:w="637" w:type="pct"/>
            <w:tcBorders>
              <w:top w:val="single" w:sz="12" w:space="0" w:color="auto"/>
              <w:bottom w:val="nil"/>
            </w:tcBorders>
            <w:shd w:val="clear" w:color="auto" w:fill="auto"/>
            <w:vAlign w:val="center"/>
          </w:tcPr>
          <w:p w:rsidR="00954AD6" w:rsidRDefault="00954AD6" w:rsidP="00954AD6">
            <w:pPr>
              <w:pStyle w:val="TableText"/>
              <w:spacing w:before="120" w:after="60"/>
            </w:pPr>
          </w:p>
        </w:tc>
        <w:tc>
          <w:tcPr>
            <w:tcW w:w="120" w:type="pct"/>
            <w:tcBorders>
              <w:top w:val="single" w:sz="12" w:space="0" w:color="auto"/>
              <w:bottom w:val="nil"/>
            </w:tcBorders>
          </w:tcPr>
          <w:p w:rsidR="00954AD6" w:rsidRDefault="00954AD6" w:rsidP="00954AD6">
            <w:pPr>
              <w:pStyle w:val="TableHeaderCenter"/>
            </w:pPr>
          </w:p>
        </w:tc>
        <w:tc>
          <w:tcPr>
            <w:tcW w:w="1382" w:type="pct"/>
            <w:gridSpan w:val="3"/>
            <w:tcBorders>
              <w:top w:val="single" w:sz="12" w:space="0" w:color="auto"/>
              <w:bottom w:val="single" w:sz="4" w:space="0" w:color="auto"/>
            </w:tcBorders>
            <w:shd w:val="clear" w:color="auto" w:fill="auto"/>
            <w:vAlign w:val="center"/>
          </w:tcPr>
          <w:p w:rsidR="00954AD6" w:rsidRDefault="00954AD6" w:rsidP="00954AD6">
            <w:pPr>
              <w:pStyle w:val="TableHeaderCenter"/>
            </w:pPr>
            <w:r>
              <w:t>Per Site</w:t>
            </w:r>
          </w:p>
        </w:tc>
        <w:tc>
          <w:tcPr>
            <w:tcW w:w="120" w:type="pct"/>
            <w:tcBorders>
              <w:top w:val="single" w:sz="12" w:space="0" w:color="auto"/>
              <w:bottom w:val="nil"/>
            </w:tcBorders>
          </w:tcPr>
          <w:p w:rsidR="00954AD6" w:rsidRDefault="00954AD6" w:rsidP="00954AD6">
            <w:pPr>
              <w:pStyle w:val="TableHeaderCenter"/>
            </w:pPr>
          </w:p>
        </w:tc>
        <w:tc>
          <w:tcPr>
            <w:tcW w:w="2057" w:type="pct"/>
            <w:gridSpan w:val="4"/>
            <w:tcBorders>
              <w:top w:val="single" w:sz="12" w:space="0" w:color="auto"/>
              <w:bottom w:val="single" w:sz="4" w:space="0" w:color="auto"/>
            </w:tcBorders>
            <w:shd w:val="clear" w:color="auto" w:fill="auto"/>
            <w:vAlign w:val="center"/>
          </w:tcPr>
          <w:p w:rsidR="00954AD6" w:rsidRDefault="00954AD6" w:rsidP="00954AD6">
            <w:pPr>
              <w:pStyle w:val="TableHeaderCenter"/>
            </w:pPr>
            <w:r>
              <w:t>Across Four Sites</w:t>
            </w:r>
          </w:p>
        </w:tc>
      </w:tr>
      <w:tr w:rsidR="004642A9" w:rsidTr="00E61FC2">
        <w:tc>
          <w:tcPr>
            <w:tcW w:w="683" w:type="pct"/>
            <w:vMerge w:val="restart"/>
            <w:tcBorders>
              <w:top w:val="nil"/>
            </w:tcBorders>
            <w:shd w:val="clear" w:color="auto" w:fill="auto"/>
            <w:vAlign w:val="bottom"/>
          </w:tcPr>
          <w:p w:rsidR="00954AD6" w:rsidRDefault="00954AD6" w:rsidP="00954AD6">
            <w:pPr>
              <w:pStyle w:val="TableHeaderLeft"/>
            </w:pPr>
            <w:r>
              <w:t>Subscription Rate</w:t>
            </w:r>
          </w:p>
        </w:tc>
        <w:tc>
          <w:tcPr>
            <w:tcW w:w="637" w:type="pct"/>
            <w:vMerge w:val="restart"/>
            <w:tcBorders>
              <w:top w:val="nil"/>
            </w:tcBorders>
            <w:shd w:val="clear" w:color="auto" w:fill="auto"/>
            <w:vAlign w:val="bottom"/>
          </w:tcPr>
          <w:p w:rsidR="00954AD6" w:rsidRDefault="00954AD6" w:rsidP="00954AD6">
            <w:pPr>
              <w:pStyle w:val="TableHeaderCenter"/>
            </w:pPr>
            <w:r>
              <w:t>Text4baby Group</w:t>
            </w:r>
          </w:p>
        </w:tc>
        <w:tc>
          <w:tcPr>
            <w:tcW w:w="120" w:type="pct"/>
            <w:tcBorders>
              <w:top w:val="nil"/>
              <w:bottom w:val="nil"/>
            </w:tcBorders>
          </w:tcPr>
          <w:p w:rsidR="00954AD6" w:rsidRDefault="00954AD6" w:rsidP="00954AD6">
            <w:pPr>
              <w:pStyle w:val="TableHeaderCenter"/>
            </w:pPr>
          </w:p>
        </w:tc>
        <w:tc>
          <w:tcPr>
            <w:tcW w:w="655" w:type="pct"/>
            <w:vMerge w:val="restart"/>
            <w:tcBorders>
              <w:top w:val="single" w:sz="4" w:space="0" w:color="auto"/>
            </w:tcBorders>
            <w:shd w:val="clear" w:color="auto" w:fill="auto"/>
            <w:vAlign w:val="bottom"/>
          </w:tcPr>
          <w:p w:rsidR="00954AD6" w:rsidRDefault="00954AD6" w:rsidP="00954AD6">
            <w:pPr>
              <w:pStyle w:val="TableHeaderCenter"/>
            </w:pPr>
            <w:r>
              <w:t>Responding Sample</w:t>
            </w:r>
          </w:p>
        </w:tc>
        <w:tc>
          <w:tcPr>
            <w:tcW w:w="727" w:type="pct"/>
            <w:gridSpan w:val="2"/>
            <w:tcBorders>
              <w:top w:val="single" w:sz="4" w:space="0" w:color="auto"/>
              <w:bottom w:val="single" w:sz="4" w:space="0" w:color="auto"/>
            </w:tcBorders>
            <w:shd w:val="clear" w:color="auto" w:fill="auto"/>
            <w:vAlign w:val="bottom"/>
          </w:tcPr>
          <w:p w:rsidR="00954AD6" w:rsidRDefault="00954AD6" w:rsidP="00954AD6">
            <w:pPr>
              <w:pStyle w:val="TableHeaderCenter"/>
              <w:spacing w:before="60"/>
            </w:pPr>
            <w:r w:rsidRPr="00E92EEC">
              <w:t>Precision for Estimated Percentage of</w:t>
            </w:r>
          </w:p>
        </w:tc>
        <w:tc>
          <w:tcPr>
            <w:tcW w:w="120" w:type="pct"/>
            <w:tcBorders>
              <w:top w:val="nil"/>
              <w:bottom w:val="nil"/>
            </w:tcBorders>
          </w:tcPr>
          <w:p w:rsidR="00954AD6" w:rsidRDefault="00954AD6" w:rsidP="00954AD6">
            <w:pPr>
              <w:pStyle w:val="TableHeaderCenter"/>
            </w:pPr>
          </w:p>
        </w:tc>
        <w:tc>
          <w:tcPr>
            <w:tcW w:w="650" w:type="pct"/>
            <w:vMerge w:val="restart"/>
            <w:tcBorders>
              <w:top w:val="single" w:sz="4" w:space="0" w:color="auto"/>
            </w:tcBorders>
            <w:shd w:val="clear" w:color="auto" w:fill="auto"/>
            <w:vAlign w:val="bottom"/>
          </w:tcPr>
          <w:p w:rsidR="00954AD6" w:rsidRDefault="00954AD6" w:rsidP="00954AD6">
            <w:pPr>
              <w:pStyle w:val="TableHeaderCenter"/>
            </w:pPr>
            <w:r>
              <w:t>Responding Sample</w:t>
            </w:r>
          </w:p>
        </w:tc>
        <w:tc>
          <w:tcPr>
            <w:tcW w:w="692" w:type="pct"/>
            <w:vMerge w:val="restart"/>
            <w:tcBorders>
              <w:top w:val="single" w:sz="4" w:space="0" w:color="auto"/>
            </w:tcBorders>
            <w:shd w:val="clear" w:color="auto" w:fill="auto"/>
            <w:vAlign w:val="bottom"/>
          </w:tcPr>
          <w:p w:rsidR="00954AD6" w:rsidRDefault="00954AD6" w:rsidP="00954AD6">
            <w:pPr>
              <w:pStyle w:val="TableHeaderCenter"/>
            </w:pPr>
            <w:r>
              <w:t xml:space="preserve">Design Effect (Within-Site Clustering, </w:t>
            </w:r>
            <w:r w:rsidRPr="001179DC">
              <w:rPr>
                <w:position w:val="-10"/>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11" o:title=""/>
                </v:shape>
                <o:OLEObject Type="Embed" ProgID="Equation.DSMT4" ShapeID="_x0000_i1025" DrawAspect="Content" ObjectID="_1391509909" r:id="rId12"/>
              </w:object>
            </w:r>
            <w:r>
              <w:t>=.01)</w:t>
            </w:r>
          </w:p>
        </w:tc>
        <w:tc>
          <w:tcPr>
            <w:tcW w:w="715" w:type="pct"/>
            <w:gridSpan w:val="2"/>
            <w:tcBorders>
              <w:top w:val="single" w:sz="4" w:space="0" w:color="auto"/>
              <w:bottom w:val="single" w:sz="4" w:space="0" w:color="auto"/>
            </w:tcBorders>
            <w:shd w:val="clear" w:color="auto" w:fill="auto"/>
            <w:vAlign w:val="bottom"/>
          </w:tcPr>
          <w:p w:rsidR="00954AD6" w:rsidRDefault="00954AD6" w:rsidP="00954AD6">
            <w:pPr>
              <w:pStyle w:val="TableHeaderCenter"/>
              <w:spacing w:before="60"/>
            </w:pPr>
            <w:r w:rsidRPr="00E92EEC">
              <w:t>Precision for Estimated Percentage of</w:t>
            </w:r>
          </w:p>
        </w:tc>
      </w:tr>
      <w:tr w:rsidR="004642A9" w:rsidTr="00E61FC2">
        <w:trPr>
          <w:trHeight w:val="207"/>
        </w:trPr>
        <w:tc>
          <w:tcPr>
            <w:tcW w:w="683" w:type="pct"/>
            <w:vMerge/>
            <w:tcBorders>
              <w:bottom w:val="single" w:sz="4" w:space="0" w:color="auto"/>
            </w:tcBorders>
            <w:shd w:val="clear" w:color="auto" w:fill="auto"/>
            <w:vAlign w:val="bottom"/>
          </w:tcPr>
          <w:p w:rsidR="00954AD6" w:rsidRDefault="00954AD6" w:rsidP="00954AD6">
            <w:pPr>
              <w:pStyle w:val="TableHeaderLeft"/>
            </w:pPr>
          </w:p>
        </w:tc>
        <w:tc>
          <w:tcPr>
            <w:tcW w:w="637" w:type="pct"/>
            <w:vMerge/>
            <w:tcBorders>
              <w:bottom w:val="single" w:sz="4" w:space="0" w:color="auto"/>
            </w:tcBorders>
            <w:shd w:val="clear" w:color="auto" w:fill="auto"/>
            <w:vAlign w:val="bottom"/>
          </w:tcPr>
          <w:p w:rsidR="00954AD6" w:rsidRDefault="00954AD6" w:rsidP="00954AD6">
            <w:pPr>
              <w:pStyle w:val="TableHeaderCenter"/>
            </w:pPr>
          </w:p>
        </w:tc>
        <w:tc>
          <w:tcPr>
            <w:tcW w:w="120" w:type="pct"/>
            <w:tcBorders>
              <w:top w:val="nil"/>
              <w:bottom w:val="single" w:sz="4" w:space="0" w:color="auto"/>
            </w:tcBorders>
          </w:tcPr>
          <w:p w:rsidR="00954AD6" w:rsidRDefault="00954AD6" w:rsidP="00954AD6">
            <w:pPr>
              <w:pStyle w:val="TableHeaderCenter"/>
            </w:pPr>
          </w:p>
        </w:tc>
        <w:tc>
          <w:tcPr>
            <w:tcW w:w="655" w:type="pct"/>
            <w:vMerge/>
            <w:tcBorders>
              <w:bottom w:val="single" w:sz="4" w:space="0" w:color="auto"/>
            </w:tcBorders>
            <w:shd w:val="clear" w:color="auto" w:fill="auto"/>
            <w:vAlign w:val="bottom"/>
          </w:tcPr>
          <w:p w:rsidR="00954AD6" w:rsidRDefault="00954AD6" w:rsidP="00954AD6">
            <w:pPr>
              <w:pStyle w:val="TableHeaderCenter"/>
            </w:pPr>
          </w:p>
        </w:tc>
        <w:tc>
          <w:tcPr>
            <w:tcW w:w="364" w:type="pct"/>
            <w:tcBorders>
              <w:top w:val="single" w:sz="4" w:space="0" w:color="auto"/>
              <w:bottom w:val="single" w:sz="4" w:space="0" w:color="auto"/>
            </w:tcBorders>
            <w:shd w:val="clear" w:color="auto" w:fill="auto"/>
            <w:vAlign w:val="bottom"/>
          </w:tcPr>
          <w:p w:rsidR="00954AD6" w:rsidRDefault="00954AD6" w:rsidP="00954AD6">
            <w:pPr>
              <w:pStyle w:val="TableHeaderCenter"/>
              <w:spacing w:before="60"/>
            </w:pPr>
            <w:r>
              <w:t>50%</w:t>
            </w:r>
          </w:p>
        </w:tc>
        <w:tc>
          <w:tcPr>
            <w:tcW w:w="363" w:type="pct"/>
            <w:tcBorders>
              <w:top w:val="single" w:sz="4" w:space="0" w:color="auto"/>
              <w:bottom w:val="single" w:sz="4" w:space="0" w:color="auto"/>
            </w:tcBorders>
            <w:shd w:val="clear" w:color="auto" w:fill="auto"/>
            <w:vAlign w:val="bottom"/>
          </w:tcPr>
          <w:p w:rsidR="00954AD6" w:rsidRDefault="00954AD6" w:rsidP="00954AD6">
            <w:pPr>
              <w:pStyle w:val="TableHeaderCenter"/>
              <w:spacing w:before="60"/>
            </w:pPr>
            <w:r>
              <w:t>25%</w:t>
            </w:r>
          </w:p>
        </w:tc>
        <w:tc>
          <w:tcPr>
            <w:tcW w:w="120" w:type="pct"/>
            <w:tcBorders>
              <w:top w:val="nil"/>
              <w:bottom w:val="single" w:sz="4" w:space="0" w:color="auto"/>
            </w:tcBorders>
          </w:tcPr>
          <w:p w:rsidR="00954AD6" w:rsidRDefault="00954AD6" w:rsidP="00954AD6">
            <w:pPr>
              <w:pStyle w:val="TableHeaderCenter"/>
            </w:pPr>
          </w:p>
        </w:tc>
        <w:tc>
          <w:tcPr>
            <w:tcW w:w="650" w:type="pct"/>
            <w:vMerge/>
            <w:tcBorders>
              <w:bottom w:val="single" w:sz="4" w:space="0" w:color="auto"/>
            </w:tcBorders>
            <w:shd w:val="clear" w:color="auto" w:fill="auto"/>
            <w:vAlign w:val="bottom"/>
          </w:tcPr>
          <w:p w:rsidR="00954AD6" w:rsidRDefault="00954AD6" w:rsidP="00954AD6">
            <w:pPr>
              <w:pStyle w:val="TableHeaderCenter"/>
            </w:pPr>
          </w:p>
        </w:tc>
        <w:tc>
          <w:tcPr>
            <w:tcW w:w="692" w:type="pct"/>
            <w:vMerge/>
            <w:tcBorders>
              <w:bottom w:val="single" w:sz="4" w:space="0" w:color="auto"/>
            </w:tcBorders>
            <w:shd w:val="clear" w:color="auto" w:fill="auto"/>
            <w:vAlign w:val="bottom"/>
          </w:tcPr>
          <w:p w:rsidR="00954AD6" w:rsidRDefault="00954AD6" w:rsidP="00954AD6">
            <w:pPr>
              <w:pStyle w:val="TableHeaderCenter"/>
            </w:pPr>
          </w:p>
        </w:tc>
        <w:tc>
          <w:tcPr>
            <w:tcW w:w="352" w:type="pct"/>
            <w:tcBorders>
              <w:top w:val="nil"/>
              <w:bottom w:val="single" w:sz="4" w:space="0" w:color="auto"/>
            </w:tcBorders>
            <w:shd w:val="clear" w:color="auto" w:fill="auto"/>
            <w:vAlign w:val="bottom"/>
          </w:tcPr>
          <w:p w:rsidR="00954AD6" w:rsidRDefault="00954AD6" w:rsidP="00954AD6">
            <w:pPr>
              <w:pStyle w:val="TableHeaderCenter"/>
              <w:spacing w:before="60"/>
            </w:pPr>
            <w:r>
              <w:t>50%</w:t>
            </w:r>
          </w:p>
        </w:tc>
        <w:tc>
          <w:tcPr>
            <w:tcW w:w="363" w:type="pct"/>
            <w:tcBorders>
              <w:top w:val="nil"/>
              <w:bottom w:val="single" w:sz="4" w:space="0" w:color="auto"/>
            </w:tcBorders>
            <w:shd w:val="clear" w:color="auto" w:fill="auto"/>
            <w:vAlign w:val="bottom"/>
          </w:tcPr>
          <w:p w:rsidR="00954AD6" w:rsidRDefault="00954AD6" w:rsidP="00954AD6">
            <w:pPr>
              <w:pStyle w:val="TableHeaderCenter"/>
              <w:spacing w:before="60"/>
            </w:pPr>
            <w:r>
              <w:t>25%</w:t>
            </w:r>
          </w:p>
        </w:tc>
      </w:tr>
      <w:tr w:rsidR="004642A9" w:rsidTr="00E61FC2">
        <w:tc>
          <w:tcPr>
            <w:tcW w:w="683" w:type="pct"/>
            <w:tcBorders>
              <w:top w:val="single" w:sz="4" w:space="0" w:color="auto"/>
            </w:tcBorders>
            <w:shd w:val="clear" w:color="auto" w:fill="auto"/>
          </w:tcPr>
          <w:p w:rsidR="00954AD6" w:rsidRDefault="00954AD6" w:rsidP="00954AD6">
            <w:pPr>
              <w:pStyle w:val="TableText"/>
              <w:spacing w:before="60"/>
            </w:pPr>
            <w:r>
              <w:t>50%</w:t>
            </w:r>
          </w:p>
        </w:tc>
        <w:tc>
          <w:tcPr>
            <w:tcW w:w="637" w:type="pct"/>
            <w:tcBorders>
              <w:top w:val="single" w:sz="4" w:space="0" w:color="auto"/>
            </w:tcBorders>
            <w:shd w:val="clear" w:color="auto" w:fill="auto"/>
          </w:tcPr>
          <w:p w:rsidR="00954AD6" w:rsidRDefault="00954AD6" w:rsidP="00954AD6">
            <w:pPr>
              <w:pStyle w:val="TableText"/>
              <w:spacing w:before="60"/>
            </w:pPr>
            <w:r>
              <w:t>Subscribers</w:t>
            </w:r>
          </w:p>
        </w:tc>
        <w:tc>
          <w:tcPr>
            <w:tcW w:w="120" w:type="pct"/>
            <w:tcBorders>
              <w:top w:val="single" w:sz="4" w:space="0" w:color="auto"/>
            </w:tcBorders>
          </w:tcPr>
          <w:p w:rsidR="00954AD6" w:rsidRDefault="00954AD6" w:rsidP="00954AD6">
            <w:pPr>
              <w:pStyle w:val="TableText"/>
              <w:tabs>
                <w:tab w:val="decimal" w:pos="778"/>
              </w:tabs>
              <w:spacing w:before="60"/>
            </w:pPr>
          </w:p>
        </w:tc>
        <w:tc>
          <w:tcPr>
            <w:tcW w:w="655" w:type="pct"/>
            <w:tcBorders>
              <w:top w:val="single" w:sz="4" w:space="0" w:color="auto"/>
            </w:tcBorders>
            <w:shd w:val="clear" w:color="auto" w:fill="auto"/>
          </w:tcPr>
          <w:p w:rsidR="00954AD6" w:rsidRDefault="00954AD6" w:rsidP="004642A9">
            <w:pPr>
              <w:pStyle w:val="TableText"/>
              <w:tabs>
                <w:tab w:val="decimal" w:pos="733"/>
              </w:tabs>
              <w:spacing w:before="60"/>
            </w:pPr>
            <w:r>
              <w:t>120</w:t>
            </w:r>
          </w:p>
        </w:tc>
        <w:tc>
          <w:tcPr>
            <w:tcW w:w="364" w:type="pct"/>
            <w:tcBorders>
              <w:top w:val="single" w:sz="4" w:space="0" w:color="auto"/>
            </w:tcBorders>
            <w:shd w:val="clear" w:color="auto" w:fill="auto"/>
          </w:tcPr>
          <w:p w:rsidR="00954AD6" w:rsidRDefault="00954AD6" w:rsidP="00954AD6">
            <w:pPr>
              <w:pStyle w:val="TableText"/>
              <w:tabs>
                <w:tab w:val="decimal" w:pos="432"/>
              </w:tabs>
              <w:spacing w:before="60"/>
            </w:pPr>
            <w:r>
              <w:t>7.5%</w:t>
            </w:r>
          </w:p>
        </w:tc>
        <w:tc>
          <w:tcPr>
            <w:tcW w:w="363" w:type="pct"/>
            <w:tcBorders>
              <w:top w:val="single" w:sz="4" w:space="0" w:color="auto"/>
            </w:tcBorders>
            <w:shd w:val="clear" w:color="auto" w:fill="auto"/>
          </w:tcPr>
          <w:p w:rsidR="00954AD6" w:rsidRDefault="00954AD6" w:rsidP="00954AD6">
            <w:pPr>
              <w:pStyle w:val="TableText"/>
              <w:tabs>
                <w:tab w:val="decimal" w:pos="339"/>
              </w:tabs>
              <w:spacing w:before="60"/>
            </w:pPr>
            <w:r>
              <w:t>6.5%</w:t>
            </w:r>
          </w:p>
        </w:tc>
        <w:tc>
          <w:tcPr>
            <w:tcW w:w="120" w:type="pct"/>
            <w:tcBorders>
              <w:top w:val="single" w:sz="4" w:space="0" w:color="auto"/>
            </w:tcBorders>
          </w:tcPr>
          <w:p w:rsidR="00954AD6" w:rsidRDefault="00954AD6" w:rsidP="00954AD6">
            <w:pPr>
              <w:pStyle w:val="TableText"/>
              <w:tabs>
                <w:tab w:val="decimal" w:pos="839"/>
              </w:tabs>
              <w:spacing w:before="60"/>
            </w:pPr>
          </w:p>
        </w:tc>
        <w:tc>
          <w:tcPr>
            <w:tcW w:w="650" w:type="pct"/>
            <w:tcBorders>
              <w:top w:val="single" w:sz="4" w:space="0" w:color="auto"/>
            </w:tcBorders>
            <w:shd w:val="clear" w:color="auto" w:fill="auto"/>
          </w:tcPr>
          <w:p w:rsidR="00954AD6" w:rsidRDefault="00954AD6" w:rsidP="004642A9">
            <w:pPr>
              <w:pStyle w:val="TableText"/>
              <w:tabs>
                <w:tab w:val="decimal" w:pos="733"/>
              </w:tabs>
              <w:spacing w:before="60"/>
            </w:pPr>
            <w:r>
              <w:t>480</w:t>
            </w:r>
          </w:p>
        </w:tc>
        <w:tc>
          <w:tcPr>
            <w:tcW w:w="692" w:type="pct"/>
            <w:tcBorders>
              <w:top w:val="single" w:sz="4" w:space="0" w:color="auto"/>
            </w:tcBorders>
            <w:shd w:val="clear" w:color="auto" w:fill="auto"/>
          </w:tcPr>
          <w:p w:rsidR="00954AD6" w:rsidRDefault="00954AD6" w:rsidP="004642A9">
            <w:pPr>
              <w:pStyle w:val="TableText"/>
              <w:tabs>
                <w:tab w:val="decimal" w:pos="528"/>
              </w:tabs>
              <w:spacing w:before="60"/>
            </w:pPr>
            <w:r>
              <w:t>2.19</w:t>
            </w:r>
          </w:p>
        </w:tc>
        <w:tc>
          <w:tcPr>
            <w:tcW w:w="352" w:type="pct"/>
            <w:tcBorders>
              <w:top w:val="single" w:sz="4" w:space="0" w:color="auto"/>
            </w:tcBorders>
            <w:shd w:val="clear" w:color="auto" w:fill="auto"/>
          </w:tcPr>
          <w:p w:rsidR="00954AD6" w:rsidRDefault="00954AD6" w:rsidP="00954AD6">
            <w:pPr>
              <w:pStyle w:val="TableText"/>
              <w:tabs>
                <w:tab w:val="decimal" w:pos="387"/>
              </w:tabs>
              <w:spacing w:before="60"/>
            </w:pPr>
            <w:r>
              <w:t>6.6%</w:t>
            </w:r>
          </w:p>
        </w:tc>
        <w:tc>
          <w:tcPr>
            <w:tcW w:w="363" w:type="pct"/>
            <w:tcBorders>
              <w:top w:val="single" w:sz="4" w:space="0" w:color="auto"/>
            </w:tcBorders>
            <w:shd w:val="clear" w:color="auto" w:fill="auto"/>
          </w:tcPr>
          <w:p w:rsidR="00954AD6" w:rsidRDefault="00954AD6" w:rsidP="00E61FC2">
            <w:pPr>
              <w:pStyle w:val="TableText"/>
              <w:tabs>
                <w:tab w:val="decimal" w:pos="354"/>
              </w:tabs>
              <w:spacing w:before="60"/>
            </w:pPr>
            <w:r>
              <w:t>5.7%</w:t>
            </w:r>
          </w:p>
        </w:tc>
      </w:tr>
      <w:tr w:rsidR="004642A9" w:rsidTr="00E61FC2">
        <w:tc>
          <w:tcPr>
            <w:tcW w:w="683" w:type="pct"/>
            <w:shd w:val="clear" w:color="auto" w:fill="auto"/>
          </w:tcPr>
          <w:p w:rsidR="00954AD6" w:rsidRDefault="00954AD6" w:rsidP="00954AD6">
            <w:pPr>
              <w:pStyle w:val="TableText"/>
            </w:pPr>
          </w:p>
        </w:tc>
        <w:tc>
          <w:tcPr>
            <w:tcW w:w="637" w:type="pct"/>
            <w:shd w:val="clear" w:color="auto" w:fill="auto"/>
          </w:tcPr>
          <w:p w:rsidR="00954AD6" w:rsidRDefault="00954AD6" w:rsidP="00954AD6">
            <w:pPr>
              <w:pStyle w:val="TableText"/>
            </w:pPr>
            <w:r>
              <w:t>Non</w:t>
            </w:r>
            <w:r w:rsidR="00E61FC2">
              <w:t>-</w:t>
            </w:r>
            <w:r>
              <w:t>subscribers</w:t>
            </w:r>
          </w:p>
        </w:tc>
        <w:tc>
          <w:tcPr>
            <w:tcW w:w="120" w:type="pct"/>
          </w:tcPr>
          <w:p w:rsidR="00954AD6" w:rsidRDefault="00954AD6" w:rsidP="00954AD6">
            <w:pPr>
              <w:pStyle w:val="TableText"/>
              <w:tabs>
                <w:tab w:val="decimal" w:pos="778"/>
              </w:tabs>
            </w:pPr>
          </w:p>
        </w:tc>
        <w:tc>
          <w:tcPr>
            <w:tcW w:w="655" w:type="pct"/>
            <w:shd w:val="clear" w:color="auto" w:fill="auto"/>
          </w:tcPr>
          <w:p w:rsidR="00954AD6" w:rsidRDefault="00954AD6" w:rsidP="004642A9">
            <w:pPr>
              <w:pStyle w:val="TableText"/>
              <w:tabs>
                <w:tab w:val="decimal" w:pos="733"/>
              </w:tabs>
            </w:pPr>
            <w:r>
              <w:t>120</w:t>
            </w:r>
          </w:p>
        </w:tc>
        <w:tc>
          <w:tcPr>
            <w:tcW w:w="364" w:type="pct"/>
            <w:shd w:val="clear" w:color="auto" w:fill="auto"/>
          </w:tcPr>
          <w:p w:rsidR="00954AD6" w:rsidRDefault="00954AD6" w:rsidP="00954AD6">
            <w:pPr>
              <w:pStyle w:val="TableText"/>
              <w:tabs>
                <w:tab w:val="decimal" w:pos="432"/>
              </w:tabs>
            </w:pPr>
            <w:r>
              <w:t>7.5%</w:t>
            </w:r>
          </w:p>
        </w:tc>
        <w:tc>
          <w:tcPr>
            <w:tcW w:w="363" w:type="pct"/>
            <w:shd w:val="clear" w:color="auto" w:fill="auto"/>
          </w:tcPr>
          <w:p w:rsidR="00954AD6" w:rsidRDefault="00954AD6" w:rsidP="00954AD6">
            <w:pPr>
              <w:pStyle w:val="TableText"/>
              <w:tabs>
                <w:tab w:val="decimal" w:pos="339"/>
              </w:tabs>
            </w:pPr>
            <w:r>
              <w:t>6.5%</w:t>
            </w:r>
          </w:p>
        </w:tc>
        <w:tc>
          <w:tcPr>
            <w:tcW w:w="120" w:type="pct"/>
          </w:tcPr>
          <w:p w:rsidR="00954AD6" w:rsidRDefault="00954AD6" w:rsidP="00954AD6">
            <w:pPr>
              <w:pStyle w:val="TableText"/>
              <w:tabs>
                <w:tab w:val="decimal" w:pos="839"/>
              </w:tabs>
            </w:pPr>
          </w:p>
        </w:tc>
        <w:tc>
          <w:tcPr>
            <w:tcW w:w="650" w:type="pct"/>
            <w:shd w:val="clear" w:color="auto" w:fill="auto"/>
          </w:tcPr>
          <w:p w:rsidR="00954AD6" w:rsidRDefault="00954AD6" w:rsidP="004642A9">
            <w:pPr>
              <w:pStyle w:val="TableText"/>
              <w:tabs>
                <w:tab w:val="decimal" w:pos="733"/>
              </w:tabs>
            </w:pPr>
            <w:r>
              <w:t>480</w:t>
            </w:r>
          </w:p>
        </w:tc>
        <w:tc>
          <w:tcPr>
            <w:tcW w:w="692" w:type="pct"/>
            <w:shd w:val="clear" w:color="auto" w:fill="auto"/>
          </w:tcPr>
          <w:p w:rsidR="00954AD6" w:rsidRDefault="00954AD6" w:rsidP="004642A9">
            <w:pPr>
              <w:pStyle w:val="TableText"/>
              <w:tabs>
                <w:tab w:val="decimal" w:pos="528"/>
              </w:tabs>
            </w:pPr>
            <w:r>
              <w:t>2.19</w:t>
            </w:r>
          </w:p>
        </w:tc>
        <w:tc>
          <w:tcPr>
            <w:tcW w:w="352" w:type="pct"/>
            <w:shd w:val="clear" w:color="auto" w:fill="auto"/>
          </w:tcPr>
          <w:p w:rsidR="00954AD6" w:rsidRDefault="00954AD6" w:rsidP="00954AD6">
            <w:pPr>
              <w:pStyle w:val="TableText"/>
              <w:tabs>
                <w:tab w:val="decimal" w:pos="387"/>
              </w:tabs>
            </w:pPr>
            <w:r>
              <w:t>6.6%</w:t>
            </w:r>
          </w:p>
        </w:tc>
        <w:tc>
          <w:tcPr>
            <w:tcW w:w="363" w:type="pct"/>
            <w:shd w:val="clear" w:color="auto" w:fill="auto"/>
          </w:tcPr>
          <w:p w:rsidR="00954AD6" w:rsidRDefault="00954AD6" w:rsidP="00E61FC2">
            <w:pPr>
              <w:pStyle w:val="TableText"/>
              <w:tabs>
                <w:tab w:val="decimal" w:pos="354"/>
              </w:tabs>
            </w:pPr>
            <w:r>
              <w:t>5.7%</w:t>
            </w:r>
          </w:p>
        </w:tc>
      </w:tr>
      <w:tr w:rsidR="004642A9" w:rsidTr="00E61FC2">
        <w:tc>
          <w:tcPr>
            <w:tcW w:w="683" w:type="pct"/>
            <w:shd w:val="clear" w:color="auto" w:fill="auto"/>
          </w:tcPr>
          <w:p w:rsidR="00954AD6" w:rsidRDefault="00954AD6" w:rsidP="00954AD6">
            <w:pPr>
              <w:pStyle w:val="TableText"/>
            </w:pPr>
            <w:r>
              <w:t>30%</w:t>
            </w:r>
          </w:p>
        </w:tc>
        <w:tc>
          <w:tcPr>
            <w:tcW w:w="637" w:type="pct"/>
            <w:shd w:val="clear" w:color="auto" w:fill="auto"/>
          </w:tcPr>
          <w:p w:rsidR="00954AD6" w:rsidRDefault="00954AD6" w:rsidP="00954AD6">
            <w:pPr>
              <w:pStyle w:val="TableText"/>
            </w:pPr>
            <w:r>
              <w:t>Subscribers</w:t>
            </w:r>
          </w:p>
        </w:tc>
        <w:tc>
          <w:tcPr>
            <w:tcW w:w="120" w:type="pct"/>
          </w:tcPr>
          <w:p w:rsidR="00954AD6" w:rsidRDefault="00954AD6" w:rsidP="00954AD6">
            <w:pPr>
              <w:pStyle w:val="TableText"/>
              <w:tabs>
                <w:tab w:val="decimal" w:pos="778"/>
              </w:tabs>
            </w:pPr>
          </w:p>
        </w:tc>
        <w:tc>
          <w:tcPr>
            <w:tcW w:w="655" w:type="pct"/>
            <w:shd w:val="clear" w:color="auto" w:fill="auto"/>
          </w:tcPr>
          <w:p w:rsidR="00954AD6" w:rsidRDefault="00954AD6" w:rsidP="004642A9">
            <w:pPr>
              <w:pStyle w:val="TableText"/>
              <w:tabs>
                <w:tab w:val="decimal" w:pos="733"/>
              </w:tabs>
            </w:pPr>
            <w:r>
              <w:t>72</w:t>
            </w:r>
          </w:p>
        </w:tc>
        <w:tc>
          <w:tcPr>
            <w:tcW w:w="364" w:type="pct"/>
            <w:shd w:val="clear" w:color="auto" w:fill="auto"/>
          </w:tcPr>
          <w:p w:rsidR="00954AD6" w:rsidRDefault="00954AD6" w:rsidP="00954AD6">
            <w:pPr>
              <w:pStyle w:val="TableText"/>
              <w:tabs>
                <w:tab w:val="decimal" w:pos="432"/>
              </w:tabs>
            </w:pPr>
            <w:r>
              <w:t>9.8%</w:t>
            </w:r>
          </w:p>
        </w:tc>
        <w:tc>
          <w:tcPr>
            <w:tcW w:w="363" w:type="pct"/>
            <w:shd w:val="clear" w:color="auto" w:fill="auto"/>
          </w:tcPr>
          <w:p w:rsidR="00954AD6" w:rsidRDefault="00954AD6" w:rsidP="00954AD6">
            <w:pPr>
              <w:pStyle w:val="TableText"/>
              <w:tabs>
                <w:tab w:val="decimal" w:pos="339"/>
              </w:tabs>
            </w:pPr>
            <w:r>
              <w:t>8.5%</w:t>
            </w:r>
          </w:p>
        </w:tc>
        <w:tc>
          <w:tcPr>
            <w:tcW w:w="120" w:type="pct"/>
          </w:tcPr>
          <w:p w:rsidR="00954AD6" w:rsidRDefault="00954AD6" w:rsidP="00954AD6">
            <w:pPr>
              <w:pStyle w:val="TableText"/>
              <w:tabs>
                <w:tab w:val="decimal" w:pos="839"/>
              </w:tabs>
            </w:pPr>
          </w:p>
        </w:tc>
        <w:tc>
          <w:tcPr>
            <w:tcW w:w="650" w:type="pct"/>
            <w:shd w:val="clear" w:color="auto" w:fill="auto"/>
          </w:tcPr>
          <w:p w:rsidR="00954AD6" w:rsidRDefault="00954AD6" w:rsidP="004642A9">
            <w:pPr>
              <w:pStyle w:val="TableText"/>
              <w:tabs>
                <w:tab w:val="decimal" w:pos="733"/>
              </w:tabs>
            </w:pPr>
            <w:r>
              <w:t>288</w:t>
            </w:r>
          </w:p>
        </w:tc>
        <w:tc>
          <w:tcPr>
            <w:tcW w:w="692" w:type="pct"/>
            <w:shd w:val="clear" w:color="auto" w:fill="auto"/>
          </w:tcPr>
          <w:p w:rsidR="00954AD6" w:rsidRDefault="00954AD6" w:rsidP="004642A9">
            <w:pPr>
              <w:pStyle w:val="TableText"/>
              <w:tabs>
                <w:tab w:val="decimal" w:pos="528"/>
              </w:tabs>
            </w:pPr>
            <w:r>
              <w:t>1.71</w:t>
            </w:r>
          </w:p>
        </w:tc>
        <w:tc>
          <w:tcPr>
            <w:tcW w:w="352" w:type="pct"/>
            <w:shd w:val="clear" w:color="auto" w:fill="auto"/>
          </w:tcPr>
          <w:p w:rsidR="00954AD6" w:rsidRDefault="00954AD6" w:rsidP="00954AD6">
            <w:pPr>
              <w:pStyle w:val="TableText"/>
              <w:tabs>
                <w:tab w:val="decimal" w:pos="387"/>
              </w:tabs>
            </w:pPr>
            <w:r>
              <w:t>7.6%</w:t>
            </w:r>
          </w:p>
        </w:tc>
        <w:tc>
          <w:tcPr>
            <w:tcW w:w="363" w:type="pct"/>
            <w:shd w:val="clear" w:color="auto" w:fill="auto"/>
          </w:tcPr>
          <w:p w:rsidR="00954AD6" w:rsidRDefault="00954AD6" w:rsidP="00E61FC2">
            <w:pPr>
              <w:pStyle w:val="TableText"/>
              <w:tabs>
                <w:tab w:val="decimal" w:pos="354"/>
              </w:tabs>
            </w:pPr>
            <w:r>
              <w:t>6.6%</w:t>
            </w:r>
          </w:p>
        </w:tc>
      </w:tr>
      <w:tr w:rsidR="004642A9" w:rsidTr="00E61FC2">
        <w:tc>
          <w:tcPr>
            <w:tcW w:w="683" w:type="pct"/>
            <w:shd w:val="clear" w:color="auto" w:fill="auto"/>
          </w:tcPr>
          <w:p w:rsidR="00954AD6" w:rsidRDefault="00954AD6" w:rsidP="00954AD6">
            <w:pPr>
              <w:pStyle w:val="TableText"/>
            </w:pPr>
          </w:p>
        </w:tc>
        <w:tc>
          <w:tcPr>
            <w:tcW w:w="637" w:type="pct"/>
            <w:shd w:val="clear" w:color="auto" w:fill="auto"/>
          </w:tcPr>
          <w:p w:rsidR="00954AD6" w:rsidRDefault="00954AD6" w:rsidP="00954AD6">
            <w:pPr>
              <w:pStyle w:val="TableText"/>
            </w:pPr>
            <w:r>
              <w:t>Non</w:t>
            </w:r>
            <w:r w:rsidR="00E61FC2">
              <w:t>-</w:t>
            </w:r>
            <w:r>
              <w:t>subscribers</w:t>
            </w:r>
          </w:p>
        </w:tc>
        <w:tc>
          <w:tcPr>
            <w:tcW w:w="120" w:type="pct"/>
          </w:tcPr>
          <w:p w:rsidR="00954AD6" w:rsidRDefault="00954AD6" w:rsidP="00954AD6">
            <w:pPr>
              <w:pStyle w:val="TableText"/>
              <w:tabs>
                <w:tab w:val="decimal" w:pos="778"/>
              </w:tabs>
            </w:pPr>
          </w:p>
        </w:tc>
        <w:tc>
          <w:tcPr>
            <w:tcW w:w="655" w:type="pct"/>
            <w:shd w:val="clear" w:color="auto" w:fill="auto"/>
          </w:tcPr>
          <w:p w:rsidR="00954AD6" w:rsidRDefault="00954AD6" w:rsidP="004642A9">
            <w:pPr>
              <w:pStyle w:val="TableText"/>
              <w:tabs>
                <w:tab w:val="decimal" w:pos="733"/>
              </w:tabs>
            </w:pPr>
            <w:r>
              <w:t>168</w:t>
            </w:r>
          </w:p>
        </w:tc>
        <w:tc>
          <w:tcPr>
            <w:tcW w:w="364" w:type="pct"/>
            <w:shd w:val="clear" w:color="auto" w:fill="auto"/>
          </w:tcPr>
          <w:p w:rsidR="00954AD6" w:rsidRDefault="00954AD6" w:rsidP="00954AD6">
            <w:pPr>
              <w:pStyle w:val="TableText"/>
              <w:tabs>
                <w:tab w:val="decimal" w:pos="432"/>
              </w:tabs>
            </w:pPr>
            <w:r>
              <w:t>6.4%</w:t>
            </w:r>
          </w:p>
        </w:tc>
        <w:tc>
          <w:tcPr>
            <w:tcW w:w="363" w:type="pct"/>
            <w:shd w:val="clear" w:color="auto" w:fill="auto"/>
          </w:tcPr>
          <w:p w:rsidR="00954AD6" w:rsidRDefault="00954AD6" w:rsidP="00954AD6">
            <w:pPr>
              <w:pStyle w:val="TableText"/>
              <w:tabs>
                <w:tab w:val="decimal" w:pos="339"/>
              </w:tabs>
            </w:pPr>
            <w:r>
              <w:t>5.5%</w:t>
            </w:r>
          </w:p>
        </w:tc>
        <w:tc>
          <w:tcPr>
            <w:tcW w:w="120" w:type="pct"/>
          </w:tcPr>
          <w:p w:rsidR="00954AD6" w:rsidRDefault="00954AD6" w:rsidP="00954AD6">
            <w:pPr>
              <w:pStyle w:val="TableText"/>
              <w:tabs>
                <w:tab w:val="decimal" w:pos="839"/>
              </w:tabs>
            </w:pPr>
          </w:p>
        </w:tc>
        <w:tc>
          <w:tcPr>
            <w:tcW w:w="650" w:type="pct"/>
            <w:shd w:val="clear" w:color="auto" w:fill="auto"/>
          </w:tcPr>
          <w:p w:rsidR="00954AD6" w:rsidRDefault="00954AD6" w:rsidP="004642A9">
            <w:pPr>
              <w:pStyle w:val="TableText"/>
              <w:tabs>
                <w:tab w:val="decimal" w:pos="733"/>
              </w:tabs>
            </w:pPr>
            <w:r>
              <w:t>672</w:t>
            </w:r>
          </w:p>
        </w:tc>
        <w:tc>
          <w:tcPr>
            <w:tcW w:w="692" w:type="pct"/>
            <w:shd w:val="clear" w:color="auto" w:fill="auto"/>
          </w:tcPr>
          <w:p w:rsidR="00954AD6" w:rsidRDefault="00954AD6" w:rsidP="004642A9">
            <w:pPr>
              <w:pStyle w:val="TableText"/>
              <w:tabs>
                <w:tab w:val="decimal" w:pos="528"/>
              </w:tabs>
            </w:pPr>
            <w:r>
              <w:t>2.67</w:t>
            </w:r>
          </w:p>
        </w:tc>
        <w:tc>
          <w:tcPr>
            <w:tcW w:w="352" w:type="pct"/>
            <w:shd w:val="clear" w:color="auto" w:fill="auto"/>
          </w:tcPr>
          <w:p w:rsidR="00954AD6" w:rsidRDefault="00954AD6" w:rsidP="00954AD6">
            <w:pPr>
              <w:pStyle w:val="TableText"/>
              <w:tabs>
                <w:tab w:val="decimal" w:pos="387"/>
              </w:tabs>
            </w:pPr>
            <w:r>
              <w:t>6.2%</w:t>
            </w:r>
          </w:p>
        </w:tc>
        <w:tc>
          <w:tcPr>
            <w:tcW w:w="363" w:type="pct"/>
            <w:shd w:val="clear" w:color="auto" w:fill="auto"/>
          </w:tcPr>
          <w:p w:rsidR="00954AD6" w:rsidRDefault="00954AD6" w:rsidP="00E61FC2">
            <w:pPr>
              <w:pStyle w:val="TableText"/>
              <w:tabs>
                <w:tab w:val="decimal" w:pos="354"/>
              </w:tabs>
            </w:pPr>
            <w:r>
              <w:t>5.4%</w:t>
            </w:r>
          </w:p>
        </w:tc>
      </w:tr>
      <w:tr w:rsidR="004642A9" w:rsidTr="00E61FC2">
        <w:tc>
          <w:tcPr>
            <w:tcW w:w="683" w:type="pct"/>
            <w:shd w:val="clear" w:color="auto" w:fill="auto"/>
          </w:tcPr>
          <w:p w:rsidR="00954AD6" w:rsidRDefault="00954AD6" w:rsidP="00954AD6">
            <w:pPr>
              <w:pStyle w:val="TableText"/>
              <w:spacing w:after="60"/>
            </w:pPr>
            <w:r w:rsidRPr="00A23427">
              <w:t>-----</w:t>
            </w:r>
          </w:p>
        </w:tc>
        <w:tc>
          <w:tcPr>
            <w:tcW w:w="637" w:type="pct"/>
            <w:shd w:val="clear" w:color="auto" w:fill="auto"/>
          </w:tcPr>
          <w:p w:rsidR="00954AD6" w:rsidRDefault="00954AD6" w:rsidP="00954AD6">
            <w:pPr>
              <w:pStyle w:val="TableText"/>
              <w:spacing w:after="60"/>
            </w:pPr>
            <w:r>
              <w:t>All Prenatal</w:t>
            </w:r>
          </w:p>
        </w:tc>
        <w:tc>
          <w:tcPr>
            <w:tcW w:w="120" w:type="pct"/>
          </w:tcPr>
          <w:p w:rsidR="00954AD6" w:rsidRDefault="00954AD6" w:rsidP="00954AD6">
            <w:pPr>
              <w:pStyle w:val="TableText"/>
              <w:tabs>
                <w:tab w:val="decimal" w:pos="778"/>
              </w:tabs>
              <w:spacing w:after="60"/>
            </w:pPr>
          </w:p>
        </w:tc>
        <w:tc>
          <w:tcPr>
            <w:tcW w:w="655" w:type="pct"/>
            <w:shd w:val="clear" w:color="auto" w:fill="auto"/>
          </w:tcPr>
          <w:p w:rsidR="00954AD6" w:rsidRDefault="00954AD6" w:rsidP="004642A9">
            <w:pPr>
              <w:pStyle w:val="TableText"/>
              <w:tabs>
                <w:tab w:val="decimal" w:pos="733"/>
              </w:tabs>
              <w:spacing w:after="60"/>
            </w:pPr>
            <w:r>
              <w:t>240</w:t>
            </w:r>
          </w:p>
        </w:tc>
        <w:tc>
          <w:tcPr>
            <w:tcW w:w="364" w:type="pct"/>
            <w:shd w:val="clear" w:color="auto" w:fill="auto"/>
          </w:tcPr>
          <w:p w:rsidR="00954AD6" w:rsidRDefault="00954AD6" w:rsidP="00954AD6">
            <w:pPr>
              <w:pStyle w:val="TableText"/>
              <w:tabs>
                <w:tab w:val="decimal" w:pos="432"/>
              </w:tabs>
              <w:spacing w:after="60"/>
            </w:pPr>
            <w:r>
              <w:t>5.3%</w:t>
            </w:r>
          </w:p>
        </w:tc>
        <w:tc>
          <w:tcPr>
            <w:tcW w:w="363" w:type="pct"/>
            <w:shd w:val="clear" w:color="auto" w:fill="auto"/>
          </w:tcPr>
          <w:p w:rsidR="00954AD6" w:rsidRDefault="00954AD6" w:rsidP="00954AD6">
            <w:pPr>
              <w:pStyle w:val="TableText"/>
              <w:tabs>
                <w:tab w:val="decimal" w:pos="339"/>
              </w:tabs>
              <w:spacing w:after="60"/>
            </w:pPr>
            <w:r>
              <w:t>4.6%</w:t>
            </w:r>
          </w:p>
        </w:tc>
        <w:tc>
          <w:tcPr>
            <w:tcW w:w="120" w:type="pct"/>
          </w:tcPr>
          <w:p w:rsidR="00954AD6" w:rsidRDefault="00954AD6" w:rsidP="00954AD6">
            <w:pPr>
              <w:pStyle w:val="TableText"/>
              <w:tabs>
                <w:tab w:val="decimal" w:pos="839"/>
              </w:tabs>
              <w:spacing w:after="60"/>
            </w:pPr>
          </w:p>
        </w:tc>
        <w:tc>
          <w:tcPr>
            <w:tcW w:w="650" w:type="pct"/>
            <w:shd w:val="clear" w:color="auto" w:fill="auto"/>
          </w:tcPr>
          <w:p w:rsidR="00954AD6" w:rsidRDefault="00954AD6" w:rsidP="004642A9">
            <w:pPr>
              <w:pStyle w:val="TableText"/>
              <w:tabs>
                <w:tab w:val="decimal" w:pos="733"/>
              </w:tabs>
              <w:spacing w:after="60"/>
            </w:pPr>
            <w:r>
              <w:t>960</w:t>
            </w:r>
          </w:p>
        </w:tc>
        <w:tc>
          <w:tcPr>
            <w:tcW w:w="692" w:type="pct"/>
            <w:shd w:val="clear" w:color="auto" w:fill="auto"/>
          </w:tcPr>
          <w:p w:rsidR="00954AD6" w:rsidRDefault="00954AD6" w:rsidP="004642A9">
            <w:pPr>
              <w:pStyle w:val="TableText"/>
              <w:tabs>
                <w:tab w:val="decimal" w:pos="528"/>
              </w:tabs>
              <w:spacing w:after="60"/>
            </w:pPr>
            <w:r>
              <w:t>3.39</w:t>
            </w:r>
          </w:p>
        </w:tc>
        <w:tc>
          <w:tcPr>
            <w:tcW w:w="352" w:type="pct"/>
            <w:shd w:val="clear" w:color="auto" w:fill="auto"/>
          </w:tcPr>
          <w:p w:rsidR="00954AD6" w:rsidRDefault="00954AD6" w:rsidP="00954AD6">
            <w:pPr>
              <w:pStyle w:val="TableText"/>
              <w:tabs>
                <w:tab w:val="decimal" w:pos="387"/>
              </w:tabs>
              <w:spacing w:after="60"/>
            </w:pPr>
            <w:r>
              <w:t>5.8%</w:t>
            </w:r>
          </w:p>
        </w:tc>
        <w:tc>
          <w:tcPr>
            <w:tcW w:w="363" w:type="pct"/>
            <w:shd w:val="clear" w:color="auto" w:fill="auto"/>
          </w:tcPr>
          <w:p w:rsidR="00954AD6" w:rsidRDefault="00954AD6" w:rsidP="00E61FC2">
            <w:pPr>
              <w:pStyle w:val="TableText"/>
              <w:tabs>
                <w:tab w:val="decimal" w:pos="354"/>
              </w:tabs>
              <w:spacing w:after="60"/>
            </w:pPr>
            <w:r>
              <w:t>5.0%</w:t>
            </w:r>
          </w:p>
        </w:tc>
      </w:tr>
    </w:tbl>
    <w:p w:rsidR="00954AD6" w:rsidRDefault="00954AD6" w:rsidP="00954AD6">
      <w:pPr>
        <w:pStyle w:val="TableSpace"/>
      </w:pPr>
    </w:p>
    <w:p w:rsidR="00954AD6" w:rsidRDefault="00954AD6" w:rsidP="00E61FC2">
      <w:pPr>
        <w:pStyle w:val="TableSignificanceCaption"/>
      </w:pPr>
      <w:r>
        <w:t>*</w:t>
      </w:r>
      <w:r w:rsidRPr="00A23427">
        <w:t>For site-specific estimates, we use a 90% confidence interval. For overall estimates (across all four sites), we use a 95% confidence interval.</w:t>
      </w:r>
    </w:p>
    <w:p w:rsidR="00954AD6" w:rsidRDefault="00954AD6" w:rsidP="00954AD6">
      <w:pPr>
        <w:pStyle w:val="TableSignificanceCaption"/>
        <w:ind w:left="1890"/>
      </w:pPr>
    </w:p>
    <w:p w:rsidR="00954AD6" w:rsidRDefault="00954AD6" w:rsidP="00954AD6">
      <w:pPr>
        <w:pStyle w:val="TableSignificanceCaption"/>
        <w:ind w:left="1890"/>
      </w:pPr>
    </w:p>
    <w:p w:rsidR="00954AD6" w:rsidRDefault="00954AD6" w:rsidP="00954AD6">
      <w:pPr>
        <w:pStyle w:val="TableSignificanceCaption"/>
        <w:ind w:left="1890"/>
      </w:pPr>
    </w:p>
    <w:p w:rsidR="00954AD6" w:rsidRDefault="00954AD6" w:rsidP="00954AD6">
      <w:pPr>
        <w:pStyle w:val="TableSignificanceCaption"/>
        <w:ind w:left="1890"/>
      </w:pPr>
    </w:p>
    <w:p w:rsidR="00954AD6" w:rsidRDefault="00954AD6" w:rsidP="00E61FC2">
      <w:pPr>
        <w:pStyle w:val="MarkforTableHeading"/>
        <w:ind w:right="-360"/>
      </w:pPr>
      <w:r>
        <w:t xml:space="preserve">Table </w:t>
      </w:r>
      <w:r w:rsidR="00074CBE">
        <w:t>2</w:t>
      </w:r>
      <w:r>
        <w:t>b. Safety Net Consumer Survey (Round 1, Pregnant Women) Sample Sizes and Minimum Detectable Differences (MDDs)*</w:t>
      </w:r>
    </w:p>
    <w:tbl>
      <w:tblPr>
        <w:tblStyle w:val="TableGrid"/>
        <w:tblW w:w="5169" w:type="pct"/>
        <w:tblInd w:w="108" w:type="dxa"/>
        <w:tblBorders>
          <w:top w:val="single" w:sz="12"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1334"/>
        <w:gridCol w:w="803"/>
        <w:gridCol w:w="776"/>
        <w:gridCol w:w="236"/>
        <w:gridCol w:w="693"/>
        <w:gridCol w:w="713"/>
        <w:gridCol w:w="236"/>
        <w:gridCol w:w="857"/>
        <w:gridCol w:w="847"/>
        <w:gridCol w:w="236"/>
        <w:gridCol w:w="853"/>
        <w:gridCol w:w="824"/>
        <w:gridCol w:w="236"/>
        <w:gridCol w:w="628"/>
        <w:gridCol w:w="628"/>
      </w:tblGrid>
      <w:tr w:rsidR="00E61FC2" w:rsidTr="00E61FC2">
        <w:tc>
          <w:tcPr>
            <w:tcW w:w="674" w:type="pct"/>
            <w:tcBorders>
              <w:top w:val="single" w:sz="12" w:space="0" w:color="auto"/>
              <w:bottom w:val="nil"/>
            </w:tcBorders>
            <w:shd w:val="clear" w:color="auto" w:fill="auto"/>
            <w:vAlign w:val="center"/>
          </w:tcPr>
          <w:p w:rsidR="00954AD6" w:rsidRDefault="00954AD6" w:rsidP="00954AD6">
            <w:pPr>
              <w:pStyle w:val="TableText"/>
              <w:spacing w:before="120" w:after="60"/>
            </w:pPr>
          </w:p>
        </w:tc>
        <w:tc>
          <w:tcPr>
            <w:tcW w:w="1627" w:type="pct"/>
            <w:gridSpan w:val="5"/>
            <w:tcBorders>
              <w:top w:val="single" w:sz="12" w:space="0" w:color="auto"/>
              <w:bottom w:val="single" w:sz="4" w:space="0" w:color="auto"/>
            </w:tcBorders>
          </w:tcPr>
          <w:p w:rsidR="00954AD6" w:rsidRDefault="00954AD6" w:rsidP="00954AD6">
            <w:pPr>
              <w:pStyle w:val="TableHeaderCenter"/>
            </w:pPr>
            <w:r>
              <w:t>Per Site</w:t>
            </w:r>
          </w:p>
        </w:tc>
        <w:tc>
          <w:tcPr>
            <w:tcW w:w="119" w:type="pct"/>
            <w:tcBorders>
              <w:top w:val="single" w:sz="12" w:space="0" w:color="auto"/>
              <w:bottom w:val="nil"/>
            </w:tcBorders>
          </w:tcPr>
          <w:p w:rsidR="00954AD6" w:rsidRDefault="00954AD6" w:rsidP="00954AD6">
            <w:pPr>
              <w:pStyle w:val="TableHeaderCenter"/>
            </w:pPr>
          </w:p>
        </w:tc>
        <w:tc>
          <w:tcPr>
            <w:tcW w:w="2580" w:type="pct"/>
            <w:gridSpan w:val="8"/>
            <w:tcBorders>
              <w:top w:val="single" w:sz="12" w:space="0" w:color="auto"/>
              <w:bottom w:val="single" w:sz="4" w:space="0" w:color="auto"/>
            </w:tcBorders>
          </w:tcPr>
          <w:p w:rsidR="00954AD6" w:rsidRDefault="00954AD6" w:rsidP="00954AD6">
            <w:pPr>
              <w:pStyle w:val="TableHeaderCenter"/>
            </w:pPr>
            <w:r>
              <w:t>Across Four Sites</w:t>
            </w:r>
          </w:p>
        </w:tc>
      </w:tr>
      <w:tr w:rsidR="00E61FC2" w:rsidTr="00E61FC2">
        <w:tc>
          <w:tcPr>
            <w:tcW w:w="674" w:type="pct"/>
            <w:vMerge w:val="restart"/>
            <w:tcBorders>
              <w:top w:val="nil"/>
              <w:bottom w:val="single" w:sz="4" w:space="0" w:color="auto"/>
            </w:tcBorders>
            <w:shd w:val="clear" w:color="auto" w:fill="auto"/>
            <w:vAlign w:val="bottom"/>
          </w:tcPr>
          <w:p w:rsidR="00954AD6" w:rsidRDefault="00954AD6" w:rsidP="00954AD6">
            <w:pPr>
              <w:pStyle w:val="TableHeaderLeft"/>
            </w:pPr>
            <w:r w:rsidRPr="0083213A">
              <w:t>Subscription Rate</w:t>
            </w:r>
          </w:p>
        </w:tc>
        <w:tc>
          <w:tcPr>
            <w:tcW w:w="798" w:type="pct"/>
            <w:gridSpan w:val="2"/>
            <w:tcBorders>
              <w:bottom w:val="single" w:sz="4" w:space="0" w:color="auto"/>
            </w:tcBorders>
            <w:shd w:val="clear" w:color="auto" w:fill="auto"/>
            <w:vAlign w:val="bottom"/>
          </w:tcPr>
          <w:p w:rsidR="00954AD6" w:rsidRDefault="00954AD6" w:rsidP="00954AD6">
            <w:pPr>
              <w:pStyle w:val="TableHeaderCenter"/>
            </w:pPr>
            <w:r>
              <w:t>Responding Sample</w:t>
            </w:r>
          </w:p>
        </w:tc>
        <w:tc>
          <w:tcPr>
            <w:tcW w:w="119" w:type="pct"/>
            <w:tcBorders>
              <w:top w:val="nil"/>
              <w:bottom w:val="nil"/>
            </w:tcBorders>
          </w:tcPr>
          <w:p w:rsidR="00954AD6" w:rsidRDefault="00954AD6" w:rsidP="00954AD6">
            <w:pPr>
              <w:pStyle w:val="TableHeaderCenter"/>
            </w:pPr>
          </w:p>
        </w:tc>
        <w:tc>
          <w:tcPr>
            <w:tcW w:w="710" w:type="pct"/>
            <w:gridSpan w:val="2"/>
            <w:tcBorders>
              <w:bottom w:val="single" w:sz="4" w:space="0" w:color="auto"/>
            </w:tcBorders>
            <w:shd w:val="clear" w:color="auto" w:fill="auto"/>
            <w:vAlign w:val="bottom"/>
          </w:tcPr>
          <w:p w:rsidR="00954AD6" w:rsidRDefault="00954AD6" w:rsidP="00954AD6">
            <w:pPr>
              <w:pStyle w:val="TableHeaderCenter"/>
            </w:pPr>
            <w:r>
              <w:t>MDD for Estimated Percentage of</w:t>
            </w:r>
          </w:p>
        </w:tc>
        <w:tc>
          <w:tcPr>
            <w:tcW w:w="119" w:type="pct"/>
            <w:tcBorders>
              <w:top w:val="nil"/>
              <w:bottom w:val="nil"/>
            </w:tcBorders>
          </w:tcPr>
          <w:p w:rsidR="00954AD6" w:rsidRDefault="00954AD6" w:rsidP="00954AD6">
            <w:pPr>
              <w:pStyle w:val="TableHeaderCenter"/>
            </w:pPr>
          </w:p>
        </w:tc>
        <w:tc>
          <w:tcPr>
            <w:tcW w:w="861" w:type="pct"/>
            <w:gridSpan w:val="2"/>
            <w:tcBorders>
              <w:bottom w:val="single" w:sz="4" w:space="0" w:color="auto"/>
            </w:tcBorders>
            <w:shd w:val="clear" w:color="auto" w:fill="auto"/>
            <w:vAlign w:val="bottom"/>
          </w:tcPr>
          <w:p w:rsidR="00954AD6" w:rsidRDefault="00954AD6" w:rsidP="00954AD6">
            <w:pPr>
              <w:pStyle w:val="TableHeaderCenter"/>
            </w:pPr>
            <w:r>
              <w:t>Responding Sample</w:t>
            </w:r>
          </w:p>
        </w:tc>
        <w:tc>
          <w:tcPr>
            <w:tcW w:w="119" w:type="pct"/>
            <w:tcBorders>
              <w:top w:val="nil"/>
              <w:bottom w:val="nil"/>
            </w:tcBorders>
          </w:tcPr>
          <w:p w:rsidR="00954AD6" w:rsidRDefault="00954AD6" w:rsidP="00954AD6">
            <w:pPr>
              <w:pStyle w:val="TableHeaderCenter"/>
            </w:pPr>
          </w:p>
        </w:tc>
        <w:tc>
          <w:tcPr>
            <w:tcW w:w="846" w:type="pct"/>
            <w:gridSpan w:val="2"/>
            <w:tcBorders>
              <w:bottom w:val="single" w:sz="4" w:space="0" w:color="auto"/>
            </w:tcBorders>
            <w:shd w:val="clear" w:color="auto" w:fill="auto"/>
            <w:vAlign w:val="bottom"/>
          </w:tcPr>
          <w:p w:rsidR="00954AD6" w:rsidRDefault="00954AD6" w:rsidP="00954AD6">
            <w:pPr>
              <w:pStyle w:val="TableHeaderCenter"/>
            </w:pPr>
            <w:r>
              <w:t>Design Effect (Within-Site Clustering)</w:t>
            </w:r>
          </w:p>
        </w:tc>
        <w:tc>
          <w:tcPr>
            <w:tcW w:w="119" w:type="pct"/>
            <w:tcBorders>
              <w:top w:val="nil"/>
              <w:bottom w:val="nil"/>
            </w:tcBorders>
          </w:tcPr>
          <w:p w:rsidR="00954AD6" w:rsidRDefault="00954AD6" w:rsidP="00954AD6">
            <w:pPr>
              <w:pStyle w:val="TableHeaderCenter"/>
            </w:pPr>
          </w:p>
        </w:tc>
        <w:tc>
          <w:tcPr>
            <w:tcW w:w="635" w:type="pct"/>
            <w:gridSpan w:val="2"/>
            <w:tcBorders>
              <w:bottom w:val="single" w:sz="4" w:space="0" w:color="auto"/>
            </w:tcBorders>
            <w:vAlign w:val="bottom"/>
          </w:tcPr>
          <w:p w:rsidR="00954AD6" w:rsidRDefault="00954AD6" w:rsidP="00954AD6">
            <w:pPr>
              <w:pStyle w:val="TableHeaderCenter"/>
            </w:pPr>
            <w:r>
              <w:t>MDD for Estimated Percentage of</w:t>
            </w:r>
          </w:p>
        </w:tc>
      </w:tr>
      <w:tr w:rsidR="00E61FC2" w:rsidTr="00E61FC2">
        <w:tc>
          <w:tcPr>
            <w:tcW w:w="674" w:type="pct"/>
            <w:vMerge/>
            <w:tcBorders>
              <w:top w:val="nil"/>
              <w:bottom w:val="single" w:sz="4" w:space="0" w:color="auto"/>
            </w:tcBorders>
            <w:shd w:val="clear" w:color="auto" w:fill="auto"/>
            <w:vAlign w:val="bottom"/>
          </w:tcPr>
          <w:p w:rsidR="00EA2E9A" w:rsidRDefault="00EA2E9A" w:rsidP="00954AD6">
            <w:pPr>
              <w:pStyle w:val="TableText"/>
            </w:pPr>
          </w:p>
        </w:tc>
        <w:tc>
          <w:tcPr>
            <w:tcW w:w="406" w:type="pct"/>
            <w:tcBorders>
              <w:top w:val="single" w:sz="4" w:space="0" w:color="auto"/>
              <w:bottom w:val="single" w:sz="4" w:space="0" w:color="auto"/>
            </w:tcBorders>
            <w:shd w:val="clear" w:color="auto" w:fill="auto"/>
            <w:vAlign w:val="bottom"/>
          </w:tcPr>
          <w:p w:rsidR="00EA2E9A" w:rsidRDefault="00EA2E9A" w:rsidP="00954AD6">
            <w:pPr>
              <w:pStyle w:val="TableHeaderCenter"/>
            </w:pPr>
            <w:r>
              <w:t>S</w:t>
            </w:r>
          </w:p>
        </w:tc>
        <w:tc>
          <w:tcPr>
            <w:tcW w:w="392" w:type="pct"/>
            <w:tcBorders>
              <w:top w:val="single" w:sz="4" w:space="0" w:color="auto"/>
              <w:bottom w:val="single" w:sz="4" w:space="0" w:color="auto"/>
            </w:tcBorders>
            <w:shd w:val="clear" w:color="auto" w:fill="auto"/>
            <w:vAlign w:val="bottom"/>
          </w:tcPr>
          <w:p w:rsidR="00EA2E9A" w:rsidRDefault="00EA2E9A" w:rsidP="00954AD6">
            <w:pPr>
              <w:pStyle w:val="TableHeaderCenter"/>
            </w:pPr>
            <w:r>
              <w:t>NS</w:t>
            </w:r>
          </w:p>
        </w:tc>
        <w:tc>
          <w:tcPr>
            <w:tcW w:w="119" w:type="pct"/>
            <w:tcBorders>
              <w:top w:val="nil"/>
              <w:bottom w:val="single" w:sz="4" w:space="0" w:color="auto"/>
            </w:tcBorders>
          </w:tcPr>
          <w:p w:rsidR="00EA2E9A" w:rsidRDefault="00EA2E9A" w:rsidP="00954AD6">
            <w:pPr>
              <w:pStyle w:val="TableHeaderCenter"/>
            </w:pPr>
          </w:p>
        </w:tc>
        <w:tc>
          <w:tcPr>
            <w:tcW w:w="350" w:type="pct"/>
            <w:tcBorders>
              <w:top w:val="single" w:sz="4" w:space="0" w:color="auto"/>
              <w:bottom w:val="single" w:sz="4" w:space="0" w:color="auto"/>
            </w:tcBorders>
            <w:shd w:val="clear" w:color="auto" w:fill="auto"/>
            <w:vAlign w:val="bottom"/>
          </w:tcPr>
          <w:p w:rsidR="00EA2E9A" w:rsidRDefault="00EA2E9A" w:rsidP="00954AD6">
            <w:pPr>
              <w:pStyle w:val="TableHeaderCenter"/>
            </w:pPr>
            <w:r>
              <w:t>50%</w:t>
            </w:r>
          </w:p>
        </w:tc>
        <w:tc>
          <w:tcPr>
            <w:tcW w:w="360" w:type="pct"/>
            <w:tcBorders>
              <w:top w:val="single" w:sz="4" w:space="0" w:color="auto"/>
              <w:bottom w:val="single" w:sz="4" w:space="0" w:color="auto"/>
            </w:tcBorders>
            <w:shd w:val="clear" w:color="auto" w:fill="auto"/>
            <w:vAlign w:val="bottom"/>
          </w:tcPr>
          <w:p w:rsidR="00EA2E9A" w:rsidRDefault="00EA2E9A" w:rsidP="00954AD6">
            <w:pPr>
              <w:pStyle w:val="TableHeaderCenter"/>
            </w:pPr>
            <w:r>
              <w:t>25%</w:t>
            </w:r>
          </w:p>
        </w:tc>
        <w:tc>
          <w:tcPr>
            <w:tcW w:w="119" w:type="pct"/>
            <w:tcBorders>
              <w:top w:val="nil"/>
              <w:bottom w:val="single" w:sz="4" w:space="0" w:color="auto"/>
            </w:tcBorders>
          </w:tcPr>
          <w:p w:rsidR="00EA2E9A" w:rsidRDefault="00EA2E9A" w:rsidP="00954AD6">
            <w:pPr>
              <w:pStyle w:val="TableHeaderCenter"/>
            </w:pPr>
          </w:p>
        </w:tc>
        <w:tc>
          <w:tcPr>
            <w:tcW w:w="433" w:type="pct"/>
            <w:tcBorders>
              <w:top w:val="single" w:sz="4" w:space="0" w:color="auto"/>
              <w:bottom w:val="single" w:sz="4" w:space="0" w:color="auto"/>
            </w:tcBorders>
            <w:shd w:val="clear" w:color="auto" w:fill="auto"/>
            <w:vAlign w:val="bottom"/>
          </w:tcPr>
          <w:p w:rsidR="00EA2E9A" w:rsidRDefault="00EA2E9A" w:rsidP="00954AD6">
            <w:pPr>
              <w:pStyle w:val="TableHeaderCenter"/>
            </w:pPr>
            <w:r>
              <w:t>S</w:t>
            </w:r>
          </w:p>
        </w:tc>
        <w:tc>
          <w:tcPr>
            <w:tcW w:w="428" w:type="pct"/>
            <w:tcBorders>
              <w:top w:val="single" w:sz="4" w:space="0" w:color="auto"/>
              <w:bottom w:val="single" w:sz="4" w:space="0" w:color="auto"/>
            </w:tcBorders>
            <w:shd w:val="clear" w:color="auto" w:fill="auto"/>
            <w:vAlign w:val="bottom"/>
          </w:tcPr>
          <w:p w:rsidR="00EA2E9A" w:rsidRDefault="00EA2E9A" w:rsidP="00954AD6">
            <w:pPr>
              <w:pStyle w:val="TableHeaderCenter"/>
            </w:pPr>
            <w:r>
              <w:t>NS</w:t>
            </w:r>
          </w:p>
        </w:tc>
        <w:tc>
          <w:tcPr>
            <w:tcW w:w="119" w:type="pct"/>
            <w:tcBorders>
              <w:top w:val="nil"/>
              <w:bottom w:val="single" w:sz="4" w:space="0" w:color="auto"/>
            </w:tcBorders>
          </w:tcPr>
          <w:p w:rsidR="00EA2E9A" w:rsidRDefault="00EA2E9A" w:rsidP="00954AD6">
            <w:pPr>
              <w:pStyle w:val="TableHeaderCenter"/>
            </w:pPr>
          </w:p>
        </w:tc>
        <w:tc>
          <w:tcPr>
            <w:tcW w:w="431" w:type="pct"/>
            <w:tcBorders>
              <w:top w:val="single" w:sz="4" w:space="0" w:color="auto"/>
              <w:bottom w:val="single" w:sz="4" w:space="0" w:color="auto"/>
            </w:tcBorders>
            <w:shd w:val="clear" w:color="auto" w:fill="auto"/>
            <w:vAlign w:val="bottom"/>
          </w:tcPr>
          <w:p w:rsidR="00EA2E9A" w:rsidRDefault="00EA2E9A" w:rsidP="00954AD6">
            <w:pPr>
              <w:pStyle w:val="TableHeaderCenter"/>
            </w:pPr>
            <w:r>
              <w:t>S</w:t>
            </w:r>
          </w:p>
        </w:tc>
        <w:tc>
          <w:tcPr>
            <w:tcW w:w="416" w:type="pct"/>
            <w:tcBorders>
              <w:top w:val="single" w:sz="4" w:space="0" w:color="auto"/>
              <w:bottom w:val="single" w:sz="4" w:space="0" w:color="auto"/>
            </w:tcBorders>
            <w:shd w:val="clear" w:color="auto" w:fill="auto"/>
            <w:vAlign w:val="bottom"/>
          </w:tcPr>
          <w:p w:rsidR="00EA2E9A" w:rsidRDefault="00EA2E9A" w:rsidP="00954AD6">
            <w:pPr>
              <w:pStyle w:val="TableHeaderCenter"/>
            </w:pPr>
            <w:r>
              <w:t>NS</w:t>
            </w:r>
          </w:p>
        </w:tc>
        <w:tc>
          <w:tcPr>
            <w:tcW w:w="119" w:type="pct"/>
            <w:tcBorders>
              <w:top w:val="nil"/>
              <w:bottom w:val="single" w:sz="4" w:space="0" w:color="auto"/>
            </w:tcBorders>
          </w:tcPr>
          <w:p w:rsidR="00EA2E9A" w:rsidRDefault="00EA2E9A" w:rsidP="00954AD6">
            <w:pPr>
              <w:pStyle w:val="TableHeaderCenter"/>
            </w:pPr>
          </w:p>
        </w:tc>
        <w:tc>
          <w:tcPr>
            <w:tcW w:w="317" w:type="pct"/>
            <w:tcBorders>
              <w:top w:val="single" w:sz="4" w:space="0" w:color="auto"/>
              <w:bottom w:val="single" w:sz="4" w:space="0" w:color="auto"/>
            </w:tcBorders>
            <w:vAlign w:val="bottom"/>
          </w:tcPr>
          <w:p w:rsidR="00EA2E9A" w:rsidRDefault="00EA2E9A" w:rsidP="00954AD6">
            <w:pPr>
              <w:pStyle w:val="TableHeaderCenter"/>
            </w:pPr>
            <w:r>
              <w:t>50%</w:t>
            </w:r>
          </w:p>
        </w:tc>
        <w:tc>
          <w:tcPr>
            <w:tcW w:w="318" w:type="pct"/>
            <w:tcBorders>
              <w:top w:val="single" w:sz="4" w:space="0" w:color="auto"/>
              <w:bottom w:val="single" w:sz="4" w:space="0" w:color="auto"/>
            </w:tcBorders>
            <w:vAlign w:val="bottom"/>
          </w:tcPr>
          <w:p w:rsidR="00EA2E9A" w:rsidRDefault="00EA2E9A" w:rsidP="00954AD6">
            <w:pPr>
              <w:pStyle w:val="TableHeaderCenter"/>
            </w:pPr>
            <w:r>
              <w:t>25%</w:t>
            </w:r>
          </w:p>
        </w:tc>
      </w:tr>
      <w:tr w:rsidR="00E61FC2" w:rsidTr="00E61FC2">
        <w:tc>
          <w:tcPr>
            <w:tcW w:w="674" w:type="pct"/>
            <w:tcBorders>
              <w:top w:val="single" w:sz="4" w:space="0" w:color="auto"/>
              <w:bottom w:val="nil"/>
            </w:tcBorders>
            <w:shd w:val="clear" w:color="auto" w:fill="auto"/>
          </w:tcPr>
          <w:p w:rsidR="00954AD6" w:rsidRDefault="00954AD6" w:rsidP="00954AD6">
            <w:pPr>
              <w:pStyle w:val="TableText"/>
              <w:spacing w:before="60"/>
            </w:pPr>
            <w:r>
              <w:t>50%</w:t>
            </w:r>
          </w:p>
        </w:tc>
        <w:tc>
          <w:tcPr>
            <w:tcW w:w="406" w:type="pct"/>
            <w:tcBorders>
              <w:top w:val="single" w:sz="4" w:space="0" w:color="auto"/>
              <w:bottom w:val="nil"/>
            </w:tcBorders>
            <w:shd w:val="clear" w:color="auto" w:fill="auto"/>
            <w:vAlign w:val="bottom"/>
          </w:tcPr>
          <w:p w:rsidR="00954AD6" w:rsidRDefault="00954AD6" w:rsidP="00954AD6">
            <w:pPr>
              <w:pStyle w:val="TableText"/>
              <w:tabs>
                <w:tab w:val="decimal" w:pos="700"/>
              </w:tabs>
              <w:spacing w:before="60"/>
            </w:pPr>
            <w:r>
              <w:t>120</w:t>
            </w:r>
          </w:p>
        </w:tc>
        <w:tc>
          <w:tcPr>
            <w:tcW w:w="392" w:type="pct"/>
            <w:tcBorders>
              <w:top w:val="single" w:sz="4" w:space="0" w:color="auto"/>
              <w:bottom w:val="nil"/>
            </w:tcBorders>
            <w:shd w:val="clear" w:color="auto" w:fill="auto"/>
            <w:vAlign w:val="bottom"/>
          </w:tcPr>
          <w:p w:rsidR="00954AD6" w:rsidRDefault="00954AD6" w:rsidP="00954AD6">
            <w:pPr>
              <w:pStyle w:val="TableText"/>
              <w:tabs>
                <w:tab w:val="decimal" w:pos="707"/>
              </w:tabs>
              <w:spacing w:before="60"/>
            </w:pPr>
            <w:r>
              <w:t>120</w:t>
            </w:r>
          </w:p>
        </w:tc>
        <w:tc>
          <w:tcPr>
            <w:tcW w:w="119" w:type="pct"/>
            <w:tcBorders>
              <w:top w:val="single" w:sz="4" w:space="0" w:color="auto"/>
              <w:bottom w:val="nil"/>
            </w:tcBorders>
          </w:tcPr>
          <w:p w:rsidR="00954AD6" w:rsidRDefault="00954AD6" w:rsidP="00954AD6">
            <w:pPr>
              <w:pStyle w:val="TableText"/>
              <w:tabs>
                <w:tab w:val="decimal" w:pos="427"/>
              </w:tabs>
              <w:spacing w:before="60"/>
            </w:pPr>
          </w:p>
        </w:tc>
        <w:tc>
          <w:tcPr>
            <w:tcW w:w="350" w:type="pct"/>
            <w:tcBorders>
              <w:top w:val="single" w:sz="4" w:space="0" w:color="auto"/>
              <w:bottom w:val="nil"/>
            </w:tcBorders>
            <w:shd w:val="clear" w:color="auto" w:fill="auto"/>
            <w:vAlign w:val="bottom"/>
          </w:tcPr>
          <w:p w:rsidR="00954AD6" w:rsidRDefault="00954AD6" w:rsidP="00954AD6">
            <w:pPr>
              <w:pStyle w:val="TableText"/>
              <w:tabs>
                <w:tab w:val="decimal" w:pos="363"/>
              </w:tabs>
              <w:spacing w:before="60"/>
            </w:pPr>
            <w:r>
              <w:t>14%</w:t>
            </w:r>
          </w:p>
        </w:tc>
        <w:tc>
          <w:tcPr>
            <w:tcW w:w="360" w:type="pct"/>
            <w:tcBorders>
              <w:top w:val="single" w:sz="4" w:space="0" w:color="auto"/>
              <w:bottom w:val="nil"/>
            </w:tcBorders>
            <w:shd w:val="clear" w:color="auto" w:fill="auto"/>
            <w:vAlign w:val="bottom"/>
          </w:tcPr>
          <w:p w:rsidR="00954AD6" w:rsidRDefault="00954AD6" w:rsidP="00954AD6">
            <w:pPr>
              <w:pStyle w:val="TableText"/>
              <w:tabs>
                <w:tab w:val="decimal" w:pos="349"/>
              </w:tabs>
              <w:spacing w:before="60"/>
            </w:pPr>
            <w:r>
              <w:t>12%</w:t>
            </w:r>
          </w:p>
        </w:tc>
        <w:tc>
          <w:tcPr>
            <w:tcW w:w="119" w:type="pct"/>
            <w:tcBorders>
              <w:top w:val="single" w:sz="4" w:space="0" w:color="auto"/>
              <w:bottom w:val="nil"/>
            </w:tcBorders>
          </w:tcPr>
          <w:p w:rsidR="00954AD6" w:rsidRDefault="00954AD6" w:rsidP="00954AD6">
            <w:pPr>
              <w:pStyle w:val="TableText"/>
              <w:tabs>
                <w:tab w:val="decimal" w:pos="670"/>
              </w:tabs>
              <w:spacing w:before="60"/>
            </w:pPr>
          </w:p>
        </w:tc>
        <w:tc>
          <w:tcPr>
            <w:tcW w:w="433" w:type="pct"/>
            <w:tcBorders>
              <w:top w:val="single" w:sz="4" w:space="0" w:color="auto"/>
              <w:bottom w:val="nil"/>
            </w:tcBorders>
            <w:shd w:val="clear" w:color="auto" w:fill="auto"/>
            <w:vAlign w:val="bottom"/>
          </w:tcPr>
          <w:p w:rsidR="00954AD6" w:rsidRDefault="00954AD6" w:rsidP="00954AD6">
            <w:pPr>
              <w:pStyle w:val="TableText"/>
              <w:tabs>
                <w:tab w:val="decimal" w:pos="670"/>
              </w:tabs>
              <w:spacing w:before="60"/>
            </w:pPr>
            <w:r>
              <w:t>480</w:t>
            </w:r>
          </w:p>
        </w:tc>
        <w:tc>
          <w:tcPr>
            <w:tcW w:w="428" w:type="pct"/>
            <w:tcBorders>
              <w:top w:val="single" w:sz="4" w:space="0" w:color="auto"/>
              <w:bottom w:val="nil"/>
            </w:tcBorders>
            <w:shd w:val="clear" w:color="auto" w:fill="auto"/>
            <w:vAlign w:val="bottom"/>
          </w:tcPr>
          <w:p w:rsidR="00954AD6" w:rsidRDefault="00954AD6" w:rsidP="00954AD6">
            <w:pPr>
              <w:pStyle w:val="TableText"/>
              <w:tabs>
                <w:tab w:val="decimal" w:pos="712"/>
              </w:tabs>
              <w:spacing w:before="60"/>
            </w:pPr>
            <w:r>
              <w:t>480</w:t>
            </w:r>
          </w:p>
        </w:tc>
        <w:tc>
          <w:tcPr>
            <w:tcW w:w="119" w:type="pct"/>
            <w:tcBorders>
              <w:top w:val="single" w:sz="4" w:space="0" w:color="auto"/>
              <w:bottom w:val="nil"/>
            </w:tcBorders>
          </w:tcPr>
          <w:p w:rsidR="00954AD6" w:rsidRDefault="00954AD6" w:rsidP="00954AD6">
            <w:pPr>
              <w:pStyle w:val="TableText"/>
              <w:tabs>
                <w:tab w:val="decimal" w:pos="384"/>
              </w:tabs>
              <w:spacing w:before="60"/>
            </w:pPr>
          </w:p>
        </w:tc>
        <w:tc>
          <w:tcPr>
            <w:tcW w:w="431" w:type="pct"/>
            <w:tcBorders>
              <w:top w:val="single" w:sz="4" w:space="0" w:color="auto"/>
              <w:bottom w:val="nil"/>
            </w:tcBorders>
            <w:shd w:val="clear" w:color="auto" w:fill="auto"/>
            <w:vAlign w:val="bottom"/>
          </w:tcPr>
          <w:p w:rsidR="00954AD6" w:rsidRDefault="00954AD6" w:rsidP="00954AD6">
            <w:pPr>
              <w:pStyle w:val="TableText"/>
              <w:tabs>
                <w:tab w:val="decimal" w:pos="384"/>
              </w:tabs>
              <w:spacing w:before="60"/>
            </w:pPr>
            <w:r>
              <w:t>2.19</w:t>
            </w:r>
          </w:p>
        </w:tc>
        <w:tc>
          <w:tcPr>
            <w:tcW w:w="416" w:type="pct"/>
            <w:tcBorders>
              <w:top w:val="single" w:sz="4" w:space="0" w:color="auto"/>
              <w:bottom w:val="nil"/>
            </w:tcBorders>
            <w:shd w:val="clear" w:color="auto" w:fill="auto"/>
            <w:vAlign w:val="bottom"/>
          </w:tcPr>
          <w:p w:rsidR="00954AD6" w:rsidRDefault="00954AD6" w:rsidP="00954AD6">
            <w:pPr>
              <w:pStyle w:val="TableText"/>
              <w:tabs>
                <w:tab w:val="decimal" w:pos="407"/>
              </w:tabs>
              <w:spacing w:before="60"/>
            </w:pPr>
            <w:r>
              <w:t>2.19</w:t>
            </w:r>
          </w:p>
        </w:tc>
        <w:tc>
          <w:tcPr>
            <w:tcW w:w="119" w:type="pct"/>
            <w:tcBorders>
              <w:top w:val="single" w:sz="4" w:space="0" w:color="auto"/>
              <w:bottom w:val="nil"/>
            </w:tcBorders>
          </w:tcPr>
          <w:p w:rsidR="00954AD6" w:rsidRPr="009F6271" w:rsidRDefault="00954AD6" w:rsidP="00954AD6">
            <w:pPr>
              <w:pStyle w:val="TableText"/>
              <w:tabs>
                <w:tab w:val="decimal" w:pos="511"/>
              </w:tabs>
              <w:spacing w:before="60"/>
            </w:pPr>
          </w:p>
        </w:tc>
        <w:tc>
          <w:tcPr>
            <w:tcW w:w="317" w:type="pct"/>
            <w:tcBorders>
              <w:top w:val="single" w:sz="4" w:space="0" w:color="auto"/>
              <w:bottom w:val="nil"/>
            </w:tcBorders>
            <w:vAlign w:val="bottom"/>
          </w:tcPr>
          <w:p w:rsidR="00954AD6" w:rsidRPr="009F6271" w:rsidRDefault="00954AD6" w:rsidP="00954AD6">
            <w:pPr>
              <w:pStyle w:val="TableText"/>
              <w:tabs>
                <w:tab w:val="decimal" w:pos="357"/>
              </w:tabs>
              <w:spacing w:before="60"/>
            </w:pPr>
            <w:r w:rsidRPr="009F6271">
              <w:t>13%</w:t>
            </w:r>
          </w:p>
        </w:tc>
        <w:tc>
          <w:tcPr>
            <w:tcW w:w="318" w:type="pct"/>
            <w:tcBorders>
              <w:top w:val="single" w:sz="4" w:space="0" w:color="auto"/>
              <w:bottom w:val="nil"/>
            </w:tcBorders>
            <w:vAlign w:val="bottom"/>
          </w:tcPr>
          <w:p w:rsidR="00954AD6" w:rsidRPr="009F6271" w:rsidRDefault="00954AD6" w:rsidP="00954AD6">
            <w:pPr>
              <w:pStyle w:val="TableText"/>
              <w:tabs>
                <w:tab w:val="decimal" w:pos="343"/>
              </w:tabs>
              <w:spacing w:before="60"/>
            </w:pPr>
            <w:r w:rsidRPr="009F6271">
              <w:t>12%</w:t>
            </w:r>
          </w:p>
        </w:tc>
      </w:tr>
      <w:tr w:rsidR="00E61FC2" w:rsidTr="00E61FC2">
        <w:tc>
          <w:tcPr>
            <w:tcW w:w="674" w:type="pct"/>
            <w:tcBorders>
              <w:top w:val="nil"/>
            </w:tcBorders>
            <w:shd w:val="clear" w:color="auto" w:fill="auto"/>
          </w:tcPr>
          <w:p w:rsidR="00954AD6" w:rsidRDefault="00954AD6" w:rsidP="00954AD6">
            <w:pPr>
              <w:pStyle w:val="TableText"/>
              <w:spacing w:after="60"/>
            </w:pPr>
            <w:r>
              <w:t>30%</w:t>
            </w:r>
          </w:p>
        </w:tc>
        <w:tc>
          <w:tcPr>
            <w:tcW w:w="406" w:type="pct"/>
            <w:tcBorders>
              <w:top w:val="nil"/>
            </w:tcBorders>
            <w:shd w:val="clear" w:color="auto" w:fill="auto"/>
            <w:vAlign w:val="bottom"/>
          </w:tcPr>
          <w:p w:rsidR="00954AD6" w:rsidRDefault="00954AD6" w:rsidP="00954AD6">
            <w:pPr>
              <w:pStyle w:val="TableText"/>
              <w:tabs>
                <w:tab w:val="decimal" w:pos="700"/>
              </w:tabs>
              <w:spacing w:after="60"/>
            </w:pPr>
            <w:r>
              <w:t>72</w:t>
            </w:r>
          </w:p>
        </w:tc>
        <w:tc>
          <w:tcPr>
            <w:tcW w:w="392" w:type="pct"/>
            <w:tcBorders>
              <w:top w:val="nil"/>
            </w:tcBorders>
            <w:shd w:val="clear" w:color="auto" w:fill="auto"/>
            <w:vAlign w:val="bottom"/>
          </w:tcPr>
          <w:p w:rsidR="00954AD6" w:rsidRDefault="00954AD6" w:rsidP="00954AD6">
            <w:pPr>
              <w:pStyle w:val="TableText"/>
              <w:tabs>
                <w:tab w:val="decimal" w:pos="707"/>
              </w:tabs>
              <w:spacing w:after="60"/>
            </w:pPr>
            <w:r>
              <w:t>168</w:t>
            </w:r>
          </w:p>
        </w:tc>
        <w:tc>
          <w:tcPr>
            <w:tcW w:w="119" w:type="pct"/>
            <w:tcBorders>
              <w:top w:val="nil"/>
            </w:tcBorders>
          </w:tcPr>
          <w:p w:rsidR="00954AD6" w:rsidRDefault="00954AD6" w:rsidP="00954AD6">
            <w:pPr>
              <w:pStyle w:val="TableText"/>
              <w:tabs>
                <w:tab w:val="decimal" w:pos="427"/>
              </w:tabs>
              <w:spacing w:after="60"/>
            </w:pPr>
          </w:p>
        </w:tc>
        <w:tc>
          <w:tcPr>
            <w:tcW w:w="350" w:type="pct"/>
            <w:tcBorders>
              <w:top w:val="nil"/>
            </w:tcBorders>
            <w:shd w:val="clear" w:color="auto" w:fill="auto"/>
            <w:vAlign w:val="bottom"/>
          </w:tcPr>
          <w:p w:rsidR="00954AD6" w:rsidRDefault="00954AD6" w:rsidP="00954AD6">
            <w:pPr>
              <w:pStyle w:val="TableText"/>
              <w:tabs>
                <w:tab w:val="decimal" w:pos="363"/>
              </w:tabs>
              <w:spacing w:after="60"/>
            </w:pPr>
            <w:r>
              <w:t>15%</w:t>
            </w:r>
          </w:p>
        </w:tc>
        <w:tc>
          <w:tcPr>
            <w:tcW w:w="360" w:type="pct"/>
            <w:tcBorders>
              <w:top w:val="nil"/>
            </w:tcBorders>
            <w:shd w:val="clear" w:color="auto" w:fill="auto"/>
            <w:vAlign w:val="bottom"/>
          </w:tcPr>
          <w:p w:rsidR="00954AD6" w:rsidRDefault="00954AD6" w:rsidP="00954AD6">
            <w:pPr>
              <w:pStyle w:val="TableText"/>
              <w:tabs>
                <w:tab w:val="decimal" w:pos="349"/>
              </w:tabs>
              <w:spacing w:after="60"/>
            </w:pPr>
            <w:r>
              <w:t>13%</w:t>
            </w:r>
          </w:p>
        </w:tc>
        <w:tc>
          <w:tcPr>
            <w:tcW w:w="119" w:type="pct"/>
            <w:tcBorders>
              <w:top w:val="nil"/>
            </w:tcBorders>
          </w:tcPr>
          <w:p w:rsidR="00954AD6" w:rsidRDefault="00954AD6" w:rsidP="00954AD6">
            <w:pPr>
              <w:pStyle w:val="TableText"/>
              <w:tabs>
                <w:tab w:val="decimal" w:pos="670"/>
              </w:tabs>
              <w:spacing w:after="60"/>
            </w:pPr>
          </w:p>
        </w:tc>
        <w:tc>
          <w:tcPr>
            <w:tcW w:w="433" w:type="pct"/>
            <w:tcBorders>
              <w:top w:val="nil"/>
            </w:tcBorders>
            <w:shd w:val="clear" w:color="auto" w:fill="auto"/>
            <w:vAlign w:val="bottom"/>
          </w:tcPr>
          <w:p w:rsidR="00954AD6" w:rsidRDefault="00954AD6" w:rsidP="00954AD6">
            <w:pPr>
              <w:pStyle w:val="TableText"/>
              <w:tabs>
                <w:tab w:val="decimal" w:pos="670"/>
              </w:tabs>
              <w:spacing w:after="60"/>
            </w:pPr>
            <w:r>
              <w:t>288</w:t>
            </w:r>
          </w:p>
        </w:tc>
        <w:tc>
          <w:tcPr>
            <w:tcW w:w="428" w:type="pct"/>
            <w:tcBorders>
              <w:top w:val="nil"/>
            </w:tcBorders>
            <w:shd w:val="clear" w:color="auto" w:fill="auto"/>
            <w:vAlign w:val="bottom"/>
          </w:tcPr>
          <w:p w:rsidR="00954AD6" w:rsidRDefault="00954AD6" w:rsidP="00954AD6">
            <w:pPr>
              <w:pStyle w:val="TableText"/>
              <w:tabs>
                <w:tab w:val="decimal" w:pos="712"/>
              </w:tabs>
              <w:spacing w:after="60"/>
            </w:pPr>
            <w:r>
              <w:t>672</w:t>
            </w:r>
          </w:p>
        </w:tc>
        <w:tc>
          <w:tcPr>
            <w:tcW w:w="119" w:type="pct"/>
            <w:tcBorders>
              <w:top w:val="nil"/>
            </w:tcBorders>
          </w:tcPr>
          <w:p w:rsidR="00954AD6" w:rsidRDefault="00954AD6" w:rsidP="00954AD6">
            <w:pPr>
              <w:pStyle w:val="TableText"/>
              <w:tabs>
                <w:tab w:val="decimal" w:pos="384"/>
              </w:tabs>
              <w:spacing w:after="60"/>
            </w:pPr>
          </w:p>
        </w:tc>
        <w:tc>
          <w:tcPr>
            <w:tcW w:w="431" w:type="pct"/>
            <w:tcBorders>
              <w:top w:val="nil"/>
            </w:tcBorders>
            <w:shd w:val="clear" w:color="auto" w:fill="auto"/>
            <w:vAlign w:val="bottom"/>
          </w:tcPr>
          <w:p w:rsidR="00954AD6" w:rsidRDefault="00954AD6" w:rsidP="00954AD6">
            <w:pPr>
              <w:pStyle w:val="TableText"/>
              <w:tabs>
                <w:tab w:val="decimal" w:pos="384"/>
              </w:tabs>
              <w:spacing w:after="60"/>
            </w:pPr>
            <w:r>
              <w:t>1.71</w:t>
            </w:r>
          </w:p>
        </w:tc>
        <w:tc>
          <w:tcPr>
            <w:tcW w:w="416" w:type="pct"/>
            <w:tcBorders>
              <w:top w:val="nil"/>
            </w:tcBorders>
            <w:shd w:val="clear" w:color="auto" w:fill="auto"/>
            <w:vAlign w:val="bottom"/>
          </w:tcPr>
          <w:p w:rsidR="00954AD6" w:rsidRDefault="00954AD6" w:rsidP="00954AD6">
            <w:pPr>
              <w:pStyle w:val="TableText"/>
              <w:tabs>
                <w:tab w:val="decimal" w:pos="407"/>
              </w:tabs>
              <w:spacing w:after="60"/>
            </w:pPr>
            <w:r>
              <w:t>2.67</w:t>
            </w:r>
          </w:p>
        </w:tc>
        <w:tc>
          <w:tcPr>
            <w:tcW w:w="119" w:type="pct"/>
            <w:tcBorders>
              <w:top w:val="nil"/>
            </w:tcBorders>
          </w:tcPr>
          <w:p w:rsidR="00954AD6" w:rsidRPr="009F6271" w:rsidRDefault="00954AD6" w:rsidP="00954AD6">
            <w:pPr>
              <w:pStyle w:val="TableText"/>
              <w:tabs>
                <w:tab w:val="decimal" w:pos="511"/>
              </w:tabs>
              <w:spacing w:after="60"/>
            </w:pPr>
          </w:p>
        </w:tc>
        <w:tc>
          <w:tcPr>
            <w:tcW w:w="317" w:type="pct"/>
            <w:tcBorders>
              <w:top w:val="nil"/>
            </w:tcBorders>
            <w:vAlign w:val="bottom"/>
          </w:tcPr>
          <w:p w:rsidR="00954AD6" w:rsidRPr="009F6271" w:rsidRDefault="00954AD6" w:rsidP="00954AD6">
            <w:pPr>
              <w:pStyle w:val="TableText"/>
              <w:tabs>
                <w:tab w:val="decimal" w:pos="357"/>
              </w:tabs>
              <w:spacing w:after="60"/>
            </w:pPr>
            <w:r w:rsidRPr="009F6271">
              <w:t>14%</w:t>
            </w:r>
          </w:p>
        </w:tc>
        <w:tc>
          <w:tcPr>
            <w:tcW w:w="318" w:type="pct"/>
            <w:tcBorders>
              <w:top w:val="nil"/>
            </w:tcBorders>
            <w:vAlign w:val="bottom"/>
          </w:tcPr>
          <w:p w:rsidR="00954AD6" w:rsidRPr="009F6271" w:rsidRDefault="00954AD6" w:rsidP="00954AD6">
            <w:pPr>
              <w:pStyle w:val="TableText"/>
              <w:tabs>
                <w:tab w:val="decimal" w:pos="343"/>
              </w:tabs>
              <w:spacing w:after="60"/>
            </w:pPr>
            <w:r w:rsidRPr="009F6271">
              <w:t>12%</w:t>
            </w:r>
          </w:p>
        </w:tc>
      </w:tr>
    </w:tbl>
    <w:p w:rsidR="00954AD6" w:rsidRDefault="00954AD6" w:rsidP="00954AD6">
      <w:pPr>
        <w:pStyle w:val="TableSpace"/>
      </w:pPr>
    </w:p>
    <w:p w:rsidR="00954AD6" w:rsidRDefault="00954AD6" w:rsidP="00E61FC2">
      <w:pPr>
        <w:pStyle w:val="TableSignificanceCaption"/>
        <w:ind w:right="-360"/>
      </w:pPr>
      <w:r>
        <w:t>*</w:t>
      </w:r>
      <w:r w:rsidRPr="0083213A">
        <w:t xml:space="preserve">MDDs are computed for a two-sided test of the difference in percentages. For site-specific estimates, </w:t>
      </w:r>
      <w:r w:rsidR="00EA2E9A">
        <w:t xml:space="preserve">we use alpha=.10 and 70% power. </w:t>
      </w:r>
      <w:r w:rsidRPr="0083213A">
        <w:t>For overall estimates, we use alpha=.05 and 80% power.</w:t>
      </w:r>
    </w:p>
    <w:p w:rsidR="00EA2E9A" w:rsidRDefault="00EA2E9A" w:rsidP="00E61FC2">
      <w:pPr>
        <w:pStyle w:val="TableSignificanceCaption"/>
        <w:ind w:right="-360"/>
      </w:pPr>
    </w:p>
    <w:p w:rsidR="00E61FC2" w:rsidRDefault="00EA2E9A" w:rsidP="00E61FC2">
      <w:pPr>
        <w:pStyle w:val="TableSignificanceCaption"/>
        <w:ind w:right="-360"/>
      </w:pPr>
      <w:r>
        <w:t>S = Subscribers; NS = Non-subscribers</w:t>
      </w:r>
    </w:p>
    <w:p w:rsidR="00E61FC2" w:rsidRDefault="00E61FC2">
      <w:pPr>
        <w:tabs>
          <w:tab w:val="clear" w:pos="432"/>
        </w:tabs>
        <w:spacing w:line="240" w:lineRule="auto"/>
        <w:ind w:firstLine="0"/>
        <w:jc w:val="left"/>
        <w:rPr>
          <w:rFonts w:ascii="Lucida Sans" w:hAnsi="Lucida Sans"/>
          <w:sz w:val="18"/>
        </w:rPr>
      </w:pPr>
      <w:r>
        <w:br w:type="page"/>
      </w:r>
    </w:p>
    <w:p w:rsidR="00C72CB7" w:rsidRPr="00C72CB7" w:rsidRDefault="00C72CB7" w:rsidP="00AC59EC">
      <w:pPr>
        <w:widowControl w:val="0"/>
        <w:tabs>
          <w:tab w:val="clear" w:pos="432"/>
        </w:tabs>
        <w:autoSpaceDE w:val="0"/>
        <w:autoSpaceDN w:val="0"/>
        <w:adjustRightInd w:val="0"/>
        <w:spacing w:after="240" w:line="240" w:lineRule="auto"/>
        <w:ind w:firstLine="0"/>
        <w:jc w:val="left"/>
        <w:rPr>
          <w:b/>
          <w:u w:val="single"/>
        </w:rPr>
      </w:pPr>
      <w:r w:rsidRPr="00C72CB7">
        <w:rPr>
          <w:b/>
          <w:bCs/>
        </w:rPr>
        <w:lastRenderedPageBreak/>
        <w:t>2.</w:t>
      </w:r>
      <w:r>
        <w:rPr>
          <w:b/>
          <w:bCs/>
        </w:rPr>
        <w:tab/>
      </w:r>
      <w:r w:rsidRPr="00C72CB7">
        <w:rPr>
          <w:b/>
          <w:u w:val="single"/>
        </w:rPr>
        <w:t>Procedures for the Collection of Information</w:t>
      </w:r>
    </w:p>
    <w:p w:rsidR="00C72CB7" w:rsidRDefault="00C72CB7" w:rsidP="0030726F">
      <w:pPr>
        <w:spacing w:line="240" w:lineRule="auto"/>
        <w:ind w:firstLine="0"/>
        <w:rPr>
          <w:b/>
        </w:rPr>
      </w:pPr>
      <w:r w:rsidRPr="00C72CB7">
        <w:rPr>
          <w:b/>
        </w:rPr>
        <w:t>Safety Net Consumer Survey</w:t>
      </w:r>
    </w:p>
    <w:p w:rsidR="0030726F" w:rsidRPr="00C72CB7" w:rsidRDefault="0030726F" w:rsidP="0030726F">
      <w:pPr>
        <w:spacing w:line="240" w:lineRule="auto"/>
        <w:ind w:firstLine="0"/>
        <w:rPr>
          <w:b/>
        </w:rPr>
      </w:pPr>
    </w:p>
    <w:p w:rsidR="00C72CB7" w:rsidRDefault="00C72CB7" w:rsidP="003503B5">
      <w:pPr>
        <w:pStyle w:val="NormalSS"/>
        <w:ind w:firstLine="0"/>
      </w:pPr>
      <w:r w:rsidRPr="00C72CB7">
        <w:t xml:space="preserve">Data collection procedures </w:t>
      </w:r>
      <w:r w:rsidR="00CD23AC">
        <w:t>will</w:t>
      </w:r>
      <w:r w:rsidR="0039012F">
        <w:t xml:space="preserve"> eng</w:t>
      </w:r>
      <w:r w:rsidR="00CD23AC">
        <w:t>age</w:t>
      </w:r>
      <w:r w:rsidR="0039012F">
        <w:t xml:space="preserve"> </w:t>
      </w:r>
      <w:r w:rsidRPr="00C72CB7">
        <w:t xml:space="preserve">HCCNs and associated </w:t>
      </w:r>
      <w:r w:rsidR="00E1299A">
        <w:t>health center</w:t>
      </w:r>
      <w:r w:rsidRPr="00C72CB7">
        <w:t>s to help HRSA enroll eligible wom</w:t>
      </w:r>
      <w:r w:rsidR="00B1651A">
        <w:t xml:space="preserve">en into the survey </w:t>
      </w:r>
      <w:r w:rsidR="009B0B7A">
        <w:t xml:space="preserve">on a rolling basis </w:t>
      </w:r>
      <w:r w:rsidR="00B1651A">
        <w:t xml:space="preserve">over a </w:t>
      </w:r>
      <w:r w:rsidR="00B34AC4">
        <w:t>four</w:t>
      </w:r>
      <w:r w:rsidR="00B1651A">
        <w:t>-</w:t>
      </w:r>
      <w:r w:rsidRPr="00C72CB7">
        <w:t>month period</w:t>
      </w:r>
      <w:r w:rsidR="009B0B7A">
        <w:t xml:space="preserve"> (or as long as is needed to reach the target number within each HCCN)</w:t>
      </w:r>
      <w:r w:rsidR="00CD23AC">
        <w:t>. T</w:t>
      </w:r>
      <w:r w:rsidRPr="00C72CB7">
        <w:t xml:space="preserve">he </w:t>
      </w:r>
      <w:r w:rsidR="0039012F">
        <w:t>telephone survey</w:t>
      </w:r>
      <w:r w:rsidR="00CD23AC">
        <w:t xml:space="preserve"> will begin</w:t>
      </w:r>
      <w:r w:rsidRPr="00C72CB7">
        <w:t xml:space="preserve"> three weeks after </w:t>
      </w:r>
      <w:r w:rsidR="0039012F">
        <w:t>e</w:t>
      </w:r>
      <w:r w:rsidR="0036171D">
        <w:t>n</w:t>
      </w:r>
      <w:r w:rsidR="0039012F">
        <w:t>roll</w:t>
      </w:r>
      <w:r w:rsidRPr="00C72CB7">
        <w:t xml:space="preserve">ment starts to ensure that sufficient cases have accumulated </w:t>
      </w:r>
      <w:r w:rsidR="0039012F">
        <w:t xml:space="preserve">so that </w:t>
      </w:r>
      <w:r w:rsidRPr="00C72CB7">
        <w:t xml:space="preserve">cases </w:t>
      </w:r>
      <w:r w:rsidR="0039012F">
        <w:t xml:space="preserve">can </w:t>
      </w:r>
      <w:r w:rsidRPr="00C72CB7">
        <w:t>be</w:t>
      </w:r>
      <w:r w:rsidR="00B1651A">
        <w:t xml:space="preserve"> worked efficiently within a 16-</w:t>
      </w:r>
      <w:r w:rsidR="0039012F">
        <w:t>week timeframe. The survey will use</w:t>
      </w:r>
      <w:r w:rsidRPr="00C72CB7">
        <w:t xml:space="preserve"> computer-assisted telephone</w:t>
      </w:r>
      <w:r w:rsidR="0039012F">
        <w:t xml:space="preserve"> interviewing</w:t>
      </w:r>
      <w:r w:rsidRPr="00C72CB7">
        <w:t xml:space="preserve"> (CATI) software and associated management technolo</w:t>
      </w:r>
      <w:r w:rsidR="0039012F">
        <w:t xml:space="preserve">gy to interview the women. </w:t>
      </w:r>
      <w:r w:rsidRPr="00C72CB7">
        <w:t>The</w:t>
      </w:r>
      <w:r w:rsidR="0039012F">
        <w:t>se and other procedures</w:t>
      </w:r>
      <w:r w:rsidRPr="00C72CB7">
        <w:t xml:space="preserve"> </w:t>
      </w:r>
      <w:r w:rsidR="00CD23AC">
        <w:t>will</w:t>
      </w:r>
      <w:r w:rsidRPr="00C72CB7">
        <w:t xml:space="preserve"> minimize burden on the HCCNs/</w:t>
      </w:r>
      <w:r w:rsidR="00E1299A">
        <w:t>health centers</w:t>
      </w:r>
      <w:r w:rsidRPr="00C72CB7">
        <w:t xml:space="preserve"> and the women participants</w:t>
      </w:r>
      <w:r w:rsidR="00CD23AC">
        <w:t xml:space="preserve"> and improve data quality</w:t>
      </w:r>
      <w:r w:rsidRPr="00C72CB7">
        <w:t xml:space="preserve">. </w:t>
      </w:r>
      <w:r w:rsidR="009B0B7A">
        <w:t>Our response to q</w:t>
      </w:r>
      <w:r w:rsidR="009B0B7A" w:rsidRPr="00C72CB7">
        <w:t xml:space="preserve">uestion </w:t>
      </w:r>
      <w:r w:rsidRPr="00C72CB7">
        <w:t xml:space="preserve">3 </w:t>
      </w:r>
      <w:r w:rsidR="00FD6896">
        <w:t xml:space="preserve">on page 9 below </w:t>
      </w:r>
      <w:r w:rsidRPr="00C72CB7">
        <w:t xml:space="preserve">goes into greater depth on steps used to maximize response, reduce burden to women, and promote accuracy and completeness of information collected. Specifically, the following </w:t>
      </w:r>
      <w:r w:rsidR="00CD23AC">
        <w:t>data collection procedures</w:t>
      </w:r>
      <w:r w:rsidRPr="00C72CB7">
        <w:t xml:space="preserve"> are planned:</w:t>
      </w:r>
    </w:p>
    <w:p w:rsidR="00C72CB7" w:rsidRPr="00C72CB7" w:rsidRDefault="00C72CB7" w:rsidP="003503B5">
      <w:pPr>
        <w:pStyle w:val="NormalSS"/>
        <w:ind w:firstLine="0"/>
      </w:pPr>
      <w:r w:rsidRPr="00252B36">
        <w:rPr>
          <w:b/>
          <w:i/>
        </w:rPr>
        <w:t>Enrolling Eligible Women.</w:t>
      </w:r>
      <w:r w:rsidRPr="00C72CB7">
        <w:t xml:space="preserve"> HRSA will work with HCCNs and assoc</w:t>
      </w:r>
      <w:r w:rsidR="00EC20F5">
        <w:t xml:space="preserve">iated </w:t>
      </w:r>
      <w:r w:rsidR="00E1299A">
        <w:t>health center</w:t>
      </w:r>
      <w:r w:rsidR="00EC20F5">
        <w:t>s to customize site-</w:t>
      </w:r>
      <w:r w:rsidRPr="00C72CB7">
        <w:t xml:space="preserve">specific enrollment procedures that include (1) identifying and keeping track of all eligible pregnant women, that is, women who have received </w:t>
      </w:r>
      <w:r w:rsidR="00CD23AC">
        <w:t xml:space="preserve">prenatal care </w:t>
      </w:r>
      <w:r w:rsidRPr="00C72CB7">
        <w:t xml:space="preserve">services at the </w:t>
      </w:r>
      <w:r w:rsidR="00EC20F5">
        <w:t>health center</w:t>
      </w:r>
      <w:r w:rsidRPr="00C72CB7">
        <w:t xml:space="preserve"> at </w:t>
      </w:r>
      <w:r w:rsidR="00CD23AC">
        <w:t>least one time during the enrollment period and are between 4</w:t>
      </w:r>
      <w:r w:rsidRPr="00C72CB7">
        <w:t xml:space="preserve"> and 7 months pregnant</w:t>
      </w:r>
      <w:r w:rsidR="00CD23AC">
        <w:t xml:space="preserve"> at the time of the visit</w:t>
      </w:r>
      <w:r w:rsidRPr="00C72CB7">
        <w:t xml:space="preserve">, (2) </w:t>
      </w:r>
      <w:r w:rsidR="0039012F">
        <w:t>enroll</w:t>
      </w:r>
      <w:r w:rsidRPr="00C72CB7">
        <w:t xml:space="preserve">ing eligible women into the study and obtaining their signed consent to participate using materials discussed below, and (3) providing sampling information, including a list of all eligible women plus copies of signed consent forms, to the </w:t>
      </w:r>
      <w:r w:rsidR="00CD23AC">
        <w:t>study team</w:t>
      </w:r>
      <w:r w:rsidRPr="00C72CB7">
        <w:t xml:space="preserve"> on a weekly basis. In signing the informed consent form, the women acknowledge that they understand (1) the survey purpose as laid out in the materials and explained by site staff, (2) any possible risks and benefits associated with participating in the survey, including possible disclosure of their identity, and (3) the voluntary nature of the survey. The informed consent protocol will also include a request for permission to access each woman’s </w:t>
      </w:r>
      <w:r w:rsidR="00FD6896">
        <w:t>EHR</w:t>
      </w:r>
      <w:r w:rsidRPr="00C72CB7">
        <w:t xml:space="preserve"> and link </w:t>
      </w:r>
      <w:r w:rsidR="00E0084E">
        <w:t>her</w:t>
      </w:r>
      <w:r w:rsidR="00E0084E" w:rsidRPr="00C72CB7">
        <w:t xml:space="preserve"> </w:t>
      </w:r>
      <w:r w:rsidRPr="00C72CB7">
        <w:t xml:space="preserve">data to </w:t>
      </w:r>
      <w:r w:rsidR="00E0084E">
        <w:t>her</w:t>
      </w:r>
      <w:r w:rsidR="00E0084E" w:rsidRPr="00C72CB7">
        <w:t xml:space="preserve"> </w:t>
      </w:r>
      <w:r w:rsidRPr="00C72CB7">
        <w:t xml:space="preserve">survey </w:t>
      </w:r>
      <w:r w:rsidR="00E0084E">
        <w:t>responses</w:t>
      </w:r>
      <w:r w:rsidRPr="00C72CB7">
        <w:t xml:space="preserve">. At a minimum, the customized </w:t>
      </w:r>
      <w:r w:rsidR="0039012F">
        <w:t>enroll</w:t>
      </w:r>
      <w:r w:rsidRPr="00C72CB7">
        <w:t xml:space="preserve">ment materials </w:t>
      </w:r>
      <w:r w:rsidR="00EC20F5">
        <w:t>will</w:t>
      </w:r>
      <w:r w:rsidRPr="00C72CB7">
        <w:t xml:space="preserve"> consist of (a) an advance letter explaining the study</w:t>
      </w:r>
      <w:r w:rsidR="00E32D9E">
        <w:t>, assuring the sample member of the privacy of their identity and information,</w:t>
      </w:r>
      <w:r w:rsidRPr="00C72CB7">
        <w:t xml:space="preserve"> and mentioning the $20 gift card</w:t>
      </w:r>
      <w:r w:rsidR="00E0084E">
        <w:t xml:space="preserve"> incentive</w:t>
      </w:r>
      <w:r w:rsidRPr="00C72CB7">
        <w:t>, (b) a brochure providing more details about what is expected and the nature of the information sample membe</w:t>
      </w:r>
      <w:r w:rsidR="00EC20F5">
        <w:t>rs will be asked to provide,</w:t>
      </w:r>
      <w:r w:rsidRPr="00C72CB7">
        <w:t xml:space="preserve"> (c) the enrollment and consent form, and (d) customized materials the HCCN </w:t>
      </w:r>
      <w:r w:rsidR="00EF3C45">
        <w:t xml:space="preserve">and/or health center </w:t>
      </w:r>
      <w:r w:rsidRPr="00C72CB7">
        <w:t>will need to keep track of the</w:t>
      </w:r>
      <w:r w:rsidR="0039012F">
        <w:t xml:space="preserve"> enrollment</w:t>
      </w:r>
      <w:r w:rsidR="00AB3203">
        <w:t xml:space="preserve"> process. </w:t>
      </w:r>
      <w:r w:rsidRPr="00C72CB7">
        <w:t>HRSA ex</w:t>
      </w:r>
      <w:r w:rsidR="00FD6896">
        <w:t>pects to enroll approximately 30</w:t>
      </w:r>
      <w:r w:rsidRPr="00C72CB7">
        <w:t xml:space="preserve">0 women per HCCN and to complete </w:t>
      </w:r>
      <w:r w:rsidR="00E0084E">
        <w:t xml:space="preserve">Round 1 </w:t>
      </w:r>
      <w:r w:rsidRPr="00C72CB7">
        <w:t>interviews with 240</w:t>
      </w:r>
      <w:r w:rsidR="00C24F5D">
        <w:t xml:space="preserve"> women</w:t>
      </w:r>
      <w:r w:rsidR="00FD6896">
        <w:t xml:space="preserve"> per HCCN</w:t>
      </w:r>
      <w:r w:rsidRPr="00C72CB7">
        <w:t xml:space="preserve">. In addition to training on </w:t>
      </w:r>
      <w:r w:rsidR="0039012F">
        <w:t>enrollment</w:t>
      </w:r>
      <w:r w:rsidRPr="00C72CB7">
        <w:t xml:space="preserve">, the </w:t>
      </w:r>
      <w:r w:rsidR="00EC20F5">
        <w:t>health center staff</w:t>
      </w:r>
      <w:r w:rsidRPr="00C72CB7">
        <w:t xml:space="preserve"> will be trained to convey sample information on all identified eligible women, whether or not they decide to enroll in the survey and sign the consent form. This information will enable HRSA to establish the total eligible sample and thus calculate a response rate</w:t>
      </w:r>
      <w:r w:rsidR="00EC20F5">
        <w:t xml:space="preserve"> and analysis weights.</w:t>
      </w:r>
    </w:p>
    <w:p w:rsidR="00C72CB7" w:rsidRPr="00C72CB7" w:rsidRDefault="00C72CB7" w:rsidP="003503B5">
      <w:pPr>
        <w:pStyle w:val="NormalSS"/>
        <w:ind w:firstLine="0"/>
      </w:pPr>
      <w:r w:rsidRPr="00252B36">
        <w:rPr>
          <w:b/>
          <w:i/>
        </w:rPr>
        <w:t xml:space="preserve">Implementing the Survey in Blaise and Survey Management Software. </w:t>
      </w:r>
      <w:r w:rsidRPr="00C72CB7">
        <w:t xml:space="preserve">The pretested text4baby questionnaires will be programmed into CATI using Blaise software.  The </w:t>
      </w:r>
      <w:r w:rsidR="00E32D9E">
        <w:t xml:space="preserve">Spanish translation of the </w:t>
      </w:r>
      <w:r w:rsidRPr="00C72CB7">
        <w:t>questionnaire will be implemented and tested in CATI as well. The instruments will undergo extensive testing by programmers, survey managers, and HRSA. Training materials will be finalized after the implementation and testing in Blaise is complete. In addition, Survey Management Software (SMS) w</w:t>
      </w:r>
      <w:r w:rsidR="0086464D">
        <w:t>ill be customized to manage the</w:t>
      </w:r>
      <w:r w:rsidR="00EF3C45">
        <w:t xml:space="preserve"> text4baby </w:t>
      </w:r>
      <w:r w:rsidRPr="00C72CB7">
        <w:t xml:space="preserve">surveys. The SMS will track the status of cases as they are called, scheduled, and interviewed and </w:t>
      </w:r>
      <w:r w:rsidR="00E32D9E">
        <w:t xml:space="preserve">will be </w:t>
      </w:r>
      <w:r w:rsidRPr="00C72CB7">
        <w:t xml:space="preserve">the source of all production reports. The SMS not only helps to improve survey productivity, but also is an important resource in maximizing response rates by scheduling calls at different times and days of the week. </w:t>
      </w:r>
    </w:p>
    <w:p w:rsidR="00C72CB7" w:rsidRPr="00C72CB7" w:rsidRDefault="00C72CB7" w:rsidP="003503B5">
      <w:pPr>
        <w:pStyle w:val="NormalSS"/>
        <w:ind w:firstLine="0"/>
      </w:pPr>
      <w:r w:rsidRPr="00252B36">
        <w:rPr>
          <w:b/>
          <w:i/>
        </w:rPr>
        <w:lastRenderedPageBreak/>
        <w:t xml:space="preserve">Interviewer Training. </w:t>
      </w:r>
      <w:r w:rsidRPr="00C72CB7">
        <w:t xml:space="preserve">The basis of interviewer training will be a training manual. The core sections of the manual will include background information on the text4baby surveys and its target population of pregnant and postpartum women receiving health services at the </w:t>
      </w:r>
      <w:r w:rsidR="0036171D">
        <w:t xml:space="preserve">selected </w:t>
      </w:r>
      <w:r w:rsidR="00990C0A">
        <w:t>health centers</w:t>
      </w:r>
      <w:r w:rsidRPr="00C72CB7">
        <w:t xml:space="preserve">, </w:t>
      </w:r>
      <w:r w:rsidR="00E32D9E">
        <w:t xml:space="preserve">question-by-question specifications, </w:t>
      </w:r>
      <w:r w:rsidRPr="00C72CB7">
        <w:t>basic respondent interaction techniques, and</w:t>
      </w:r>
      <w:r w:rsidR="00990C0A">
        <w:t xml:space="preserve"> strategies for</w:t>
      </w:r>
      <w:r w:rsidRPr="00C72CB7">
        <w:t xml:space="preserve"> averting refusals. Interviewers will receive 8 hours of training for the first survey and an additional 4 hours for the second survey. The training manual will serve as a day-to-day reference for the </w:t>
      </w:r>
      <w:r w:rsidR="0036171D">
        <w:t>interviewers’</w:t>
      </w:r>
      <w:r w:rsidR="0036171D" w:rsidRPr="00C72CB7">
        <w:t xml:space="preserve"> </w:t>
      </w:r>
      <w:r w:rsidRPr="00C72CB7">
        <w:t>use.</w:t>
      </w:r>
      <w:r w:rsidRPr="00C72CB7">
        <w:rPr>
          <w:b/>
        </w:rPr>
        <w:t xml:space="preserve"> </w:t>
      </w:r>
    </w:p>
    <w:p w:rsidR="00C72CB7" w:rsidRPr="00C72CB7" w:rsidRDefault="00252B36" w:rsidP="003503B5">
      <w:pPr>
        <w:pStyle w:val="NormalSS"/>
        <w:ind w:firstLine="0"/>
      </w:pPr>
      <w:r>
        <w:rPr>
          <w:b/>
          <w:i/>
        </w:rPr>
        <w:t xml:space="preserve">Collecting the </w:t>
      </w:r>
      <w:r w:rsidR="00C72CB7" w:rsidRPr="00252B36">
        <w:rPr>
          <w:b/>
          <w:i/>
        </w:rPr>
        <w:t xml:space="preserve">Information. </w:t>
      </w:r>
      <w:r w:rsidR="00C72CB7" w:rsidRPr="00C72CB7">
        <w:t>Data will be collected using CATI over a 16-week field period for each round of the survey. In addition to conducting the survey</w:t>
      </w:r>
      <w:r w:rsidR="00990C0A">
        <w:t>s</w:t>
      </w:r>
      <w:r w:rsidR="00C72CB7" w:rsidRPr="00C72CB7">
        <w:t xml:space="preserve"> in English and Spanish, </w:t>
      </w:r>
      <w:r w:rsidR="00E0084E">
        <w:t>interpreters</w:t>
      </w:r>
      <w:r w:rsidR="00E0084E" w:rsidRPr="00C72CB7">
        <w:t xml:space="preserve"> </w:t>
      </w:r>
      <w:r w:rsidR="00C72CB7" w:rsidRPr="00C72CB7">
        <w:t xml:space="preserve">in less commonly used languages will be available to ensure that language is not a barrier to participating in the survey. To encourage participation, a $20 respondent payment in the form of a gift card, tailored to the </w:t>
      </w:r>
      <w:r w:rsidR="00990C0A">
        <w:t>health center</w:t>
      </w:r>
      <w:r w:rsidR="00C72CB7" w:rsidRPr="00C72CB7">
        <w:t xml:space="preserve">, will be mailed to all respondents who complete the interview. As part of the </w:t>
      </w:r>
      <w:r w:rsidR="00E32D9E">
        <w:t xml:space="preserve">pre-interview </w:t>
      </w:r>
      <w:r w:rsidR="00990C0A">
        <w:t>consent process</w:t>
      </w:r>
      <w:r w:rsidR="00C72CB7" w:rsidRPr="00C72CB7">
        <w:t>, respondents will be asked to grant permission for the HCCN/</w:t>
      </w:r>
      <w:r w:rsidR="00990C0A">
        <w:t>health center</w:t>
      </w:r>
      <w:r w:rsidR="00C72CB7" w:rsidRPr="00C72CB7">
        <w:t xml:space="preserve"> to provide a </w:t>
      </w:r>
      <w:r w:rsidR="00FD6896">
        <w:t>sub</w:t>
      </w:r>
      <w:r w:rsidR="00C72CB7" w:rsidRPr="00C72CB7">
        <w:t xml:space="preserve">set of </w:t>
      </w:r>
      <w:r w:rsidR="00FD6896">
        <w:t>EHR data</w:t>
      </w:r>
      <w:r w:rsidR="00C72CB7" w:rsidRPr="00C72CB7">
        <w:t xml:space="preserve"> that will later be combined with their survey data. The </w:t>
      </w:r>
      <w:r w:rsidR="00FD6896">
        <w:t xml:space="preserve">EHR data </w:t>
      </w:r>
      <w:r w:rsidR="00C72CB7" w:rsidRPr="00C72CB7">
        <w:t xml:space="preserve">will be </w:t>
      </w:r>
      <w:r w:rsidR="00990C0A">
        <w:t>abstracted</w:t>
      </w:r>
      <w:r w:rsidR="00C72CB7" w:rsidRPr="00C72CB7">
        <w:t xml:space="preserve"> after the conclusion of </w:t>
      </w:r>
      <w:r w:rsidR="00FD6896">
        <w:t>the Round 2</w:t>
      </w:r>
      <w:r w:rsidR="00C72CB7" w:rsidRPr="00C72CB7">
        <w:t xml:space="preserve"> interviews.</w:t>
      </w:r>
    </w:p>
    <w:p w:rsidR="00C72CB7" w:rsidRPr="00C72CB7" w:rsidRDefault="00C72CB7" w:rsidP="003503B5">
      <w:pPr>
        <w:pStyle w:val="NormalSS"/>
        <w:ind w:firstLine="0"/>
      </w:pPr>
      <w:r w:rsidRPr="00C72CB7">
        <w:t xml:space="preserve">An important part of data collection involves monitoring the work of the interviewers. All </w:t>
      </w:r>
      <w:r w:rsidR="00E624DB">
        <w:t xml:space="preserve">of the interviewers’ </w:t>
      </w:r>
      <w:r w:rsidRPr="00C72CB7">
        <w:t xml:space="preserve">first </w:t>
      </w:r>
      <w:r w:rsidR="00E624DB">
        <w:t xml:space="preserve">few </w:t>
      </w:r>
      <w:r w:rsidRPr="00C72CB7">
        <w:t xml:space="preserve">interviews will be monitored and subsequently 10 percent of </w:t>
      </w:r>
      <w:r w:rsidR="00990C0A">
        <w:t>the</w:t>
      </w:r>
      <w:r w:rsidRPr="00C72CB7">
        <w:t xml:space="preserve"> interview</w:t>
      </w:r>
      <w:r w:rsidR="00990C0A">
        <w:t>s</w:t>
      </w:r>
      <w:r w:rsidRPr="00C72CB7">
        <w:t xml:space="preserve"> will be monitored</w:t>
      </w:r>
      <w:r w:rsidR="00032087" w:rsidRPr="00C72CB7">
        <w:t xml:space="preserve">. </w:t>
      </w:r>
      <w:r w:rsidRPr="00C72CB7">
        <w:t>Feedback will be given to interviewers immediately about their performances.</w:t>
      </w:r>
    </w:p>
    <w:p w:rsidR="00C72CB7" w:rsidRPr="00C72CB7" w:rsidRDefault="00C72CB7" w:rsidP="003503B5">
      <w:pPr>
        <w:pStyle w:val="NormalSS"/>
        <w:ind w:firstLine="0"/>
      </w:pPr>
      <w:r w:rsidRPr="00C72CB7">
        <w:t xml:space="preserve">Locating is another important element of data collection. When interviewers are unable to reach a respondent by telephone after trying on several days at different times of day, the case will be sent to locating staff who will carry out internet searches, telephone 411 Reach searches, as well as Google and White Pages searches. </w:t>
      </w:r>
      <w:r w:rsidR="00B1651A">
        <w:t>In addition, health center staff may be able to provide updated contact information on hard-to-locate respondents.</w:t>
      </w:r>
    </w:p>
    <w:p w:rsidR="00C72CB7" w:rsidRPr="00C72CB7" w:rsidRDefault="00C72CB7" w:rsidP="003503B5">
      <w:pPr>
        <w:pStyle w:val="NormalSS"/>
        <w:ind w:firstLine="0"/>
      </w:pPr>
      <w:r w:rsidRPr="00252B36">
        <w:rPr>
          <w:b/>
          <w:i/>
        </w:rPr>
        <w:t>Debriefings.</w:t>
      </w:r>
      <w:r w:rsidRPr="00C72CB7">
        <w:rPr>
          <w:b/>
        </w:rPr>
        <w:t xml:space="preserve"> </w:t>
      </w:r>
      <w:r w:rsidRPr="00C72CB7">
        <w:t xml:space="preserve">During the first two weeks of data collection, </w:t>
      </w:r>
      <w:r w:rsidR="00E1299A">
        <w:t>data collection</w:t>
      </w:r>
      <w:r w:rsidRPr="00C72CB7">
        <w:t xml:space="preserve"> staff will debrief several times with interviewers to identify and respond to any questions raised by respondents or interviewers. </w:t>
      </w:r>
      <w:r w:rsidR="0036171D">
        <w:t>A</w:t>
      </w:r>
      <w:r w:rsidRPr="00C72CB7">
        <w:t xml:space="preserve"> proactive stance means that </w:t>
      </w:r>
      <w:r w:rsidR="0036171D">
        <w:t xml:space="preserve">issues are </w:t>
      </w:r>
      <w:r w:rsidRPr="00C72CB7">
        <w:t>identif</w:t>
      </w:r>
      <w:r w:rsidR="0036171D">
        <w:t>ied</w:t>
      </w:r>
      <w:r w:rsidRPr="00C72CB7">
        <w:t xml:space="preserve"> before they evolve into problems. </w:t>
      </w:r>
    </w:p>
    <w:p w:rsidR="00C72CB7" w:rsidRDefault="00C72CB7" w:rsidP="003503B5">
      <w:pPr>
        <w:pStyle w:val="NormalSS"/>
        <w:ind w:firstLine="0"/>
      </w:pPr>
      <w:r w:rsidRPr="00252B36">
        <w:rPr>
          <w:b/>
          <w:i/>
        </w:rPr>
        <w:t>Weekly Reports.</w:t>
      </w:r>
      <w:r w:rsidRPr="00C72CB7">
        <w:rPr>
          <w:b/>
        </w:rPr>
        <w:t xml:space="preserve"> </w:t>
      </w:r>
      <w:r w:rsidRPr="00C72CB7">
        <w:t xml:space="preserve">During the field period, weekly reports </w:t>
      </w:r>
      <w:r w:rsidR="00E32D9E">
        <w:t>will be</w:t>
      </w:r>
      <w:r w:rsidR="00E32D9E" w:rsidRPr="00C72CB7">
        <w:t xml:space="preserve"> </w:t>
      </w:r>
      <w:r w:rsidRPr="00C72CB7">
        <w:t>generated to monitor actual production compared to the production forecast. Weekly reports provide the tool necessary to tak</w:t>
      </w:r>
      <w:r w:rsidR="00E1299A">
        <w:t>e</w:t>
      </w:r>
      <w:r w:rsidRPr="00C72CB7">
        <w:t xml:space="preserve"> corrective action when needed, for example, by identifying patterns in nonresponse among different sample members.</w:t>
      </w:r>
      <w:r w:rsidRPr="00C72CB7" w:rsidDel="00CD3DBB">
        <w:t xml:space="preserve"> </w:t>
      </w:r>
    </w:p>
    <w:p w:rsidR="00C72CB7" w:rsidRPr="00C72CB7" w:rsidRDefault="00C72CB7" w:rsidP="003503B5">
      <w:pPr>
        <w:pStyle w:val="NormalSS"/>
        <w:ind w:firstLine="0"/>
      </w:pPr>
      <w:r w:rsidRPr="00252B36">
        <w:rPr>
          <w:b/>
          <w:i/>
        </w:rPr>
        <w:t>Data Cleaning.</w:t>
      </w:r>
      <w:r w:rsidRPr="00C72CB7">
        <w:rPr>
          <w:b/>
        </w:rPr>
        <w:t xml:space="preserve"> </w:t>
      </w:r>
      <w:r w:rsidRPr="00C72CB7">
        <w:t>At the end of the survey all data will be compiled. Data will be cleaned based on specifications developed between the programming and survey staff. The final data f</w:t>
      </w:r>
      <w:r w:rsidR="003503B5">
        <w:t>ile will be used for analysis.</w:t>
      </w:r>
    </w:p>
    <w:p w:rsidR="00035BCF" w:rsidRDefault="00C72CB7" w:rsidP="0030726F">
      <w:pPr>
        <w:widowControl w:val="0"/>
        <w:tabs>
          <w:tab w:val="clear" w:pos="432"/>
        </w:tabs>
        <w:autoSpaceDE w:val="0"/>
        <w:autoSpaceDN w:val="0"/>
        <w:adjustRightInd w:val="0"/>
        <w:spacing w:line="240" w:lineRule="auto"/>
        <w:ind w:firstLine="0"/>
        <w:jc w:val="left"/>
        <w:rPr>
          <w:b/>
          <w:bCs/>
        </w:rPr>
      </w:pPr>
      <w:bookmarkStart w:id="1" w:name="_Toc270012071"/>
      <w:r w:rsidRPr="007F2DCC">
        <w:rPr>
          <w:b/>
          <w:bCs/>
        </w:rPr>
        <w:t>Consumer Focus Groups</w:t>
      </w:r>
    </w:p>
    <w:p w:rsidR="0030726F" w:rsidRDefault="0030726F" w:rsidP="0030726F">
      <w:pPr>
        <w:widowControl w:val="0"/>
        <w:tabs>
          <w:tab w:val="clear" w:pos="432"/>
        </w:tabs>
        <w:autoSpaceDE w:val="0"/>
        <w:autoSpaceDN w:val="0"/>
        <w:adjustRightInd w:val="0"/>
        <w:spacing w:line="240" w:lineRule="auto"/>
        <w:ind w:firstLine="0"/>
        <w:jc w:val="left"/>
        <w:rPr>
          <w:b/>
          <w:bCs/>
        </w:rPr>
      </w:pPr>
    </w:p>
    <w:p w:rsidR="00541E3C" w:rsidRPr="003503B5" w:rsidRDefault="00541E3C" w:rsidP="003503B5">
      <w:pPr>
        <w:pStyle w:val="NormalSS"/>
        <w:ind w:firstLine="0"/>
        <w:rPr>
          <w:highlight w:val="yellow"/>
        </w:rPr>
      </w:pPr>
      <w:r w:rsidRPr="003503B5">
        <w:t>Two groups will be conducted in each community, with 8 to 10 text4baby subscribers per group, for a total of 64 to 80 current text4baby subscribers. The groups will be conducted in an accessible location, such as a public library or community center. We will ensure that the space is private (such as an enclosed conference room) to maintain confidentiality and minimize distractions. In each site, we plan to schedule an afternoon and evening focus group on consecutive days to accommodate different schedules. Each focus group will last a total of 90 minutes. Fifteen minutes will be devoted to intake</w:t>
      </w:r>
      <w:r w:rsidR="00035BCF" w:rsidRPr="003503B5">
        <w:t xml:space="preserve"> (including obtaining consent)</w:t>
      </w:r>
      <w:r w:rsidRPr="003503B5">
        <w:t xml:space="preserve">, welcome, and introductions; 60 minutes to discussion; and </w:t>
      </w:r>
      <w:r w:rsidRPr="003503B5">
        <w:lastRenderedPageBreak/>
        <w:t xml:space="preserve">15 minutes to wrap-up and </w:t>
      </w:r>
      <w:r w:rsidR="00E624DB" w:rsidRPr="003503B5">
        <w:t>distribute</w:t>
      </w:r>
      <w:r w:rsidRPr="003503B5">
        <w:t xml:space="preserve"> the gift cards. The focus groups will be taped for transcription. Upon arriving, participants will receive a participant information form (PIF) to collect demographic information and responses to close-ended questions about their experience with text4baby. After completing the </w:t>
      </w:r>
      <w:r w:rsidR="00E624DB" w:rsidRPr="003503B5">
        <w:t>focus group</w:t>
      </w:r>
      <w:r w:rsidRPr="003503B5">
        <w:t>, women will receive a $20 gift card for their participation.</w:t>
      </w:r>
      <w:r w:rsidR="00035BCF" w:rsidRPr="003503B5">
        <w:t xml:space="preserve"> </w:t>
      </w:r>
      <w:r w:rsidRPr="003503B5">
        <w:t>Each focus group will be staffed with a moderator and facilitator. The facilitator will be responsible for intake, processing gift cards, welcoming late arrivals, recording the discussion, and taking notes. The moderator will lead the group discussion, ensuring that all participants have an opportunity to speak, drawing out those who are reticent, and cueing participants to share the diversity and similarity of their experiences</w:t>
      </w:r>
      <w:r w:rsidR="00035BCF" w:rsidRPr="003503B5">
        <w:t>.</w:t>
      </w:r>
    </w:p>
    <w:p w:rsidR="00541E3C" w:rsidRDefault="00541E3C" w:rsidP="0030726F">
      <w:pPr>
        <w:widowControl w:val="0"/>
        <w:tabs>
          <w:tab w:val="clear" w:pos="432"/>
        </w:tabs>
        <w:autoSpaceDE w:val="0"/>
        <w:autoSpaceDN w:val="0"/>
        <w:adjustRightInd w:val="0"/>
        <w:spacing w:line="240" w:lineRule="auto"/>
        <w:ind w:firstLine="0"/>
        <w:jc w:val="left"/>
        <w:rPr>
          <w:b/>
          <w:bCs/>
        </w:rPr>
      </w:pPr>
      <w:r w:rsidRPr="007F2DCC">
        <w:rPr>
          <w:b/>
          <w:bCs/>
        </w:rPr>
        <w:t>Key Informant Interviews</w:t>
      </w:r>
    </w:p>
    <w:p w:rsidR="0030726F" w:rsidRPr="007F2DCC" w:rsidRDefault="0030726F" w:rsidP="0030726F">
      <w:pPr>
        <w:widowControl w:val="0"/>
        <w:tabs>
          <w:tab w:val="clear" w:pos="432"/>
        </w:tabs>
        <w:autoSpaceDE w:val="0"/>
        <w:autoSpaceDN w:val="0"/>
        <w:adjustRightInd w:val="0"/>
        <w:spacing w:line="240" w:lineRule="auto"/>
        <w:ind w:firstLine="0"/>
        <w:jc w:val="left"/>
        <w:rPr>
          <w:b/>
          <w:bCs/>
        </w:rPr>
      </w:pPr>
    </w:p>
    <w:p w:rsidR="00035BCF" w:rsidRPr="007F2DCC" w:rsidRDefault="00035BCF" w:rsidP="003503B5">
      <w:pPr>
        <w:pStyle w:val="NormalSS"/>
        <w:ind w:firstLine="0"/>
      </w:pPr>
      <w:r w:rsidRPr="007F2DCC">
        <w:t>All key informant interviews will be in person. Individual interviews with clinicians will last 30 to 45 minutes. Group interviews with other professionals will last 45 to 60 minutes. At each site, we will attempt to schedule individual and group interviews to take place over two days and within regular work hours. The two-person interview team will include a senior person to lead the interviews and a junior person to help schedule, facilitate, and take detailed notes. We will audio-record the interviews if respondents agree. We do not plan to transcribe the recordings, but to have them available to clarify our notes or extract verbatim quotes.</w:t>
      </w:r>
    </w:p>
    <w:p w:rsidR="00C72CB7" w:rsidRDefault="00C72CB7" w:rsidP="0030726F">
      <w:pPr>
        <w:widowControl w:val="0"/>
        <w:tabs>
          <w:tab w:val="clear" w:pos="432"/>
        </w:tabs>
        <w:autoSpaceDE w:val="0"/>
        <w:autoSpaceDN w:val="0"/>
        <w:adjustRightInd w:val="0"/>
        <w:spacing w:line="240" w:lineRule="auto"/>
        <w:ind w:firstLine="0"/>
        <w:jc w:val="left"/>
        <w:rPr>
          <w:b/>
          <w:bCs/>
        </w:rPr>
      </w:pPr>
      <w:r w:rsidRPr="007F2DCC">
        <w:rPr>
          <w:b/>
          <w:bCs/>
        </w:rPr>
        <w:t>Stakeholder Interviews</w:t>
      </w:r>
    </w:p>
    <w:p w:rsidR="0030726F" w:rsidRPr="00C72CB7" w:rsidRDefault="0030726F" w:rsidP="0030726F">
      <w:pPr>
        <w:widowControl w:val="0"/>
        <w:tabs>
          <w:tab w:val="clear" w:pos="432"/>
        </w:tabs>
        <w:autoSpaceDE w:val="0"/>
        <w:autoSpaceDN w:val="0"/>
        <w:adjustRightInd w:val="0"/>
        <w:spacing w:line="240" w:lineRule="auto"/>
        <w:ind w:firstLine="0"/>
        <w:jc w:val="left"/>
        <w:rPr>
          <w:b/>
          <w:bCs/>
        </w:rPr>
      </w:pPr>
    </w:p>
    <w:p w:rsidR="00035BCF" w:rsidRPr="0030726F" w:rsidRDefault="00035BCF" w:rsidP="0030726F">
      <w:pPr>
        <w:pStyle w:val="NormalSS"/>
        <w:ind w:firstLine="0"/>
        <w:rPr>
          <w:rStyle w:val="NormalSScontinuedChar"/>
          <w:rFonts w:ascii="Garamond" w:hAnsi="Garamond"/>
        </w:rPr>
      </w:pPr>
      <w:r w:rsidRPr="0030726F">
        <w:rPr>
          <w:rStyle w:val="NormalSScontinuedChar"/>
          <w:rFonts w:ascii="Garamond" w:hAnsi="Garamond"/>
        </w:rPr>
        <w:t xml:space="preserve">Selected stakeholders will be contacted by phone or email to introduce the study and schedule an interview. All interviews will be conducted by phone and will use a semi-structured discussion guide that contains a core module </w:t>
      </w:r>
      <w:r w:rsidR="007F2DCC" w:rsidRPr="0030726F">
        <w:rPr>
          <w:rStyle w:val="NormalSScontinuedChar"/>
          <w:rFonts w:ascii="Garamond" w:hAnsi="Garamond"/>
        </w:rPr>
        <w:t xml:space="preserve">for all stakeholders </w:t>
      </w:r>
      <w:r w:rsidRPr="0030726F">
        <w:rPr>
          <w:rStyle w:val="NormalSScontinuedChar"/>
          <w:rFonts w:ascii="Garamond" w:hAnsi="Garamond"/>
        </w:rPr>
        <w:t>and targeted</w:t>
      </w:r>
      <w:r w:rsidR="007F2DCC" w:rsidRPr="0030726F">
        <w:rPr>
          <w:rStyle w:val="NormalSScontinuedChar"/>
          <w:rFonts w:ascii="Garamond" w:hAnsi="Garamond"/>
        </w:rPr>
        <w:t>, supplemental</w:t>
      </w:r>
      <w:r w:rsidRPr="0030726F">
        <w:rPr>
          <w:rStyle w:val="NormalSScontinuedChar"/>
          <w:rFonts w:ascii="Garamond" w:hAnsi="Garamond"/>
        </w:rPr>
        <w:t xml:space="preserve"> modules for </w:t>
      </w:r>
      <w:r w:rsidR="007F2DCC" w:rsidRPr="0030726F">
        <w:rPr>
          <w:rStyle w:val="NormalSScontinuedChar"/>
          <w:rFonts w:ascii="Garamond" w:hAnsi="Garamond"/>
        </w:rPr>
        <w:t xml:space="preserve">selected stakeholders, including </w:t>
      </w:r>
      <w:r w:rsidRPr="0030726F">
        <w:rPr>
          <w:rStyle w:val="NormalSScontinuedChar"/>
          <w:rFonts w:ascii="Garamond" w:hAnsi="Garamond"/>
        </w:rPr>
        <w:t xml:space="preserve">mobile technology partners, content development partners, health plans, and media partners. Each interview will last between 30 and 60 minutes. </w:t>
      </w:r>
      <w:r w:rsidRPr="0030726F">
        <w:t>The two-person interview team will include a senior person to lead the interviews and a junior person to help schedule, facilitate, and take detailed notes. We will audio-record the interviews if respondents agree. We do not plan to transcribe the recordings, but to have them available to clarify our notes or extract verbatim quotes.</w:t>
      </w:r>
    </w:p>
    <w:p w:rsidR="00C72CB7" w:rsidRDefault="00C72CB7" w:rsidP="0030726F">
      <w:pPr>
        <w:widowControl w:val="0"/>
        <w:tabs>
          <w:tab w:val="clear" w:pos="432"/>
        </w:tabs>
        <w:autoSpaceDE w:val="0"/>
        <w:autoSpaceDN w:val="0"/>
        <w:adjustRightInd w:val="0"/>
        <w:spacing w:line="240" w:lineRule="auto"/>
        <w:ind w:firstLine="0"/>
        <w:jc w:val="left"/>
        <w:rPr>
          <w:b/>
        </w:rPr>
      </w:pPr>
      <w:r w:rsidRPr="00C72CB7">
        <w:rPr>
          <w:b/>
        </w:rPr>
        <w:t>Information Collection Schedule</w:t>
      </w:r>
    </w:p>
    <w:p w:rsidR="0030726F" w:rsidRPr="00C72CB7" w:rsidRDefault="0030726F" w:rsidP="0030726F">
      <w:pPr>
        <w:widowControl w:val="0"/>
        <w:tabs>
          <w:tab w:val="clear" w:pos="432"/>
        </w:tabs>
        <w:autoSpaceDE w:val="0"/>
        <w:autoSpaceDN w:val="0"/>
        <w:adjustRightInd w:val="0"/>
        <w:spacing w:line="240" w:lineRule="auto"/>
        <w:ind w:firstLine="0"/>
        <w:jc w:val="left"/>
        <w:rPr>
          <w:b/>
        </w:rPr>
      </w:pPr>
    </w:p>
    <w:p w:rsidR="0015053F" w:rsidRDefault="002D4E3F" w:rsidP="003503B5">
      <w:pPr>
        <w:pStyle w:val="NormalSS"/>
        <w:ind w:firstLine="0"/>
      </w:pPr>
      <w:r>
        <w:t xml:space="preserve">Table </w:t>
      </w:r>
      <w:r w:rsidR="0036171D">
        <w:t>3</w:t>
      </w:r>
      <w:r>
        <w:t xml:space="preserve"> shows the survey schedule. </w:t>
      </w:r>
      <w:r w:rsidR="00C72CB7" w:rsidRPr="00C72CB7">
        <w:t xml:space="preserve">HCCNs and associated </w:t>
      </w:r>
      <w:r w:rsidR="00E1299A">
        <w:t>health centers</w:t>
      </w:r>
      <w:r w:rsidR="00C72CB7" w:rsidRPr="00C72CB7">
        <w:t xml:space="preserve"> will be rec</w:t>
      </w:r>
      <w:r>
        <w:t xml:space="preserve">ruited one time only, </w:t>
      </w:r>
      <w:r w:rsidR="00E624DB">
        <w:t xml:space="preserve">before </w:t>
      </w:r>
      <w:r>
        <w:t>R</w:t>
      </w:r>
      <w:r w:rsidR="00C72CB7" w:rsidRPr="00C72CB7">
        <w:t xml:space="preserve">ound 1 of the survey. </w:t>
      </w:r>
      <w:r w:rsidR="00E624DB">
        <w:t xml:space="preserve">After OMB approval is received, enrollment and consent procedures will be adapted for each HCCN/health center’s work flow and health center staff will be trained on how to implement the enrollment and consent procedures for the study. Upon completion of the training, health center staff </w:t>
      </w:r>
      <w:r w:rsidR="00C72CB7" w:rsidRPr="00C72CB7">
        <w:t xml:space="preserve">will begin </w:t>
      </w:r>
      <w:r w:rsidR="0039012F">
        <w:t>enrolling</w:t>
      </w:r>
      <w:r w:rsidR="00C72CB7" w:rsidRPr="00C72CB7">
        <w:t xml:space="preserve"> eligible pregnant women using the materials described above</w:t>
      </w:r>
      <w:r w:rsidR="00032087" w:rsidRPr="00C72CB7">
        <w:t xml:space="preserve">. </w:t>
      </w:r>
      <w:r w:rsidR="00C72CB7" w:rsidRPr="00C72CB7">
        <w:t>Information collection from pregnant women will begin in March and continue for 16 weeks</w:t>
      </w:r>
      <w:r w:rsidR="00032087" w:rsidRPr="00C72CB7">
        <w:t xml:space="preserve">. </w:t>
      </w:r>
      <w:r w:rsidR="00C72CB7" w:rsidRPr="00C72CB7">
        <w:t xml:space="preserve">The contractor will share weekly production reports with HRSA, and conduct </w:t>
      </w:r>
      <w:r w:rsidR="00437F08">
        <w:t>data quality</w:t>
      </w:r>
      <w:r w:rsidR="00C72CB7" w:rsidRPr="00C72CB7">
        <w:t xml:space="preserve"> reviews </w:t>
      </w:r>
      <w:r w:rsidR="00437F08">
        <w:t xml:space="preserve">periodically </w:t>
      </w:r>
      <w:r w:rsidR="00C72CB7" w:rsidRPr="00C72CB7">
        <w:t>during the field period</w:t>
      </w:r>
      <w:r w:rsidR="00032087" w:rsidRPr="00C72CB7">
        <w:t xml:space="preserve">. </w:t>
      </w:r>
    </w:p>
    <w:p w:rsidR="00C72CB7" w:rsidRPr="00C72CB7" w:rsidRDefault="00C72CB7" w:rsidP="003503B5">
      <w:pPr>
        <w:pStyle w:val="NormalSS"/>
        <w:ind w:firstLine="0"/>
      </w:pPr>
      <w:r w:rsidRPr="00CD23AC">
        <w:t>Attachment A</w:t>
      </w:r>
      <w:r w:rsidR="007F2DCC" w:rsidRPr="00CD23AC">
        <w:t xml:space="preserve"> includes all of the </w:t>
      </w:r>
      <w:r w:rsidR="0015053F">
        <w:t xml:space="preserve">data collection </w:t>
      </w:r>
      <w:r w:rsidR="007F2DCC" w:rsidRPr="00CD23AC">
        <w:t>instruments for the text4baby evaluation. Attachment A</w:t>
      </w:r>
      <w:r w:rsidRPr="00CD23AC">
        <w:t>1 consists of the Round 1</w:t>
      </w:r>
      <w:r w:rsidR="00D04813" w:rsidRPr="00CD23AC">
        <w:t xml:space="preserve"> Survey</w:t>
      </w:r>
      <w:r w:rsidRPr="00CD23AC">
        <w:t xml:space="preserve"> </w:t>
      </w:r>
      <w:r w:rsidR="007F2DCC" w:rsidRPr="00CD23AC">
        <w:t>(</w:t>
      </w:r>
      <w:r w:rsidRPr="00CD23AC">
        <w:t>Pregnant Women</w:t>
      </w:r>
      <w:r w:rsidR="007F2DCC" w:rsidRPr="00CD23AC">
        <w:t>)</w:t>
      </w:r>
      <w:r w:rsidRPr="00CD23AC">
        <w:t>. Attachment A2 consists o</w:t>
      </w:r>
      <w:r w:rsidR="00AB3203" w:rsidRPr="00CD23AC">
        <w:t>f the Round 2</w:t>
      </w:r>
      <w:r w:rsidR="00D04813" w:rsidRPr="00CD23AC">
        <w:t xml:space="preserve"> Survey</w:t>
      </w:r>
      <w:r w:rsidR="00AB3203" w:rsidRPr="00CD23AC">
        <w:t xml:space="preserve"> </w:t>
      </w:r>
      <w:r w:rsidR="007F2DCC" w:rsidRPr="00CD23AC">
        <w:t>(</w:t>
      </w:r>
      <w:r w:rsidR="00AB3203" w:rsidRPr="00CD23AC">
        <w:t>Post</w:t>
      </w:r>
      <w:r w:rsidR="00D04813" w:rsidRPr="00CD23AC">
        <w:t>partum Women</w:t>
      </w:r>
      <w:r w:rsidR="007F2DCC" w:rsidRPr="00CD23AC">
        <w:t>)</w:t>
      </w:r>
      <w:r w:rsidRPr="00CD23AC">
        <w:t>.</w:t>
      </w:r>
      <w:r w:rsidR="0015053F">
        <w:t xml:space="preserve"> Attachment A3</w:t>
      </w:r>
      <w:r w:rsidR="007F2DCC" w:rsidRPr="00CD23AC">
        <w:t xml:space="preserve"> consists of the focus group protocol and participant information forms. Attachment A4 consists of the key informant interview protocol (core and targeted modules). Attachment A5 consists of the stakeholder interview protocol.</w:t>
      </w:r>
      <w:r w:rsidRPr="00CD23AC">
        <w:t xml:space="preserve"> </w:t>
      </w:r>
    </w:p>
    <w:p w:rsidR="00F178B2" w:rsidRDefault="00F178B2">
      <w:pPr>
        <w:tabs>
          <w:tab w:val="clear" w:pos="432"/>
        </w:tabs>
        <w:spacing w:line="240" w:lineRule="auto"/>
        <w:ind w:firstLine="0"/>
        <w:jc w:val="left"/>
        <w:rPr>
          <w:rFonts w:ascii="Times New Roman" w:hAnsi="Times New Roman"/>
        </w:rPr>
      </w:pPr>
      <w:r>
        <w:rPr>
          <w:rFonts w:ascii="Times New Roman" w:hAnsi="Times New Roman"/>
        </w:rPr>
        <w:br w:type="page"/>
      </w:r>
    </w:p>
    <w:p w:rsidR="00C72CB7" w:rsidRPr="00CE1EA9" w:rsidRDefault="002D4E3F" w:rsidP="00CE1EA9">
      <w:pPr>
        <w:pStyle w:val="MarkforTableHeading"/>
        <w:rPr>
          <w:rFonts w:ascii="Garamond" w:hAnsi="Garamond"/>
          <w:sz w:val="24"/>
        </w:rPr>
      </w:pPr>
      <w:r>
        <w:rPr>
          <w:rFonts w:ascii="Garamond" w:hAnsi="Garamond"/>
          <w:sz w:val="24"/>
        </w:rPr>
        <w:lastRenderedPageBreak/>
        <w:t xml:space="preserve">Table </w:t>
      </w:r>
      <w:r w:rsidR="0036171D">
        <w:rPr>
          <w:rFonts w:ascii="Garamond" w:hAnsi="Garamond"/>
          <w:sz w:val="24"/>
        </w:rPr>
        <w:t>3</w:t>
      </w:r>
      <w:r w:rsidR="00F178B2" w:rsidRPr="00CE1EA9">
        <w:rPr>
          <w:rFonts w:ascii="Garamond" w:hAnsi="Garamond"/>
          <w:sz w:val="24"/>
        </w:rPr>
        <w:t xml:space="preserve">. </w:t>
      </w:r>
      <w:r w:rsidR="00032087" w:rsidRPr="00CE1EA9">
        <w:rPr>
          <w:rFonts w:ascii="Garamond" w:hAnsi="Garamond"/>
          <w:sz w:val="24"/>
        </w:rPr>
        <w:t>S</w:t>
      </w:r>
      <w:r>
        <w:rPr>
          <w:rFonts w:ascii="Garamond" w:hAnsi="Garamond"/>
          <w:sz w:val="24"/>
        </w:rPr>
        <w:t>urvey</w:t>
      </w:r>
      <w:r w:rsidR="00C72CB7" w:rsidRPr="00CE1EA9">
        <w:rPr>
          <w:rFonts w:ascii="Garamond" w:hAnsi="Garamond"/>
          <w:sz w:val="24"/>
        </w:rPr>
        <w:t xml:space="preserve"> Schedule</w:t>
      </w:r>
    </w:p>
    <w:tbl>
      <w:tblPr>
        <w:tblStyle w:val="TableGrid1"/>
        <w:tblW w:w="0" w:type="auto"/>
        <w:tblInd w:w="108" w:type="dxa"/>
        <w:tblLook w:val="00BF"/>
      </w:tblPr>
      <w:tblGrid>
        <w:gridCol w:w="5688"/>
        <w:gridCol w:w="3672"/>
      </w:tblGrid>
      <w:tr w:rsidR="00C72CB7" w:rsidRPr="00C72CB7" w:rsidTr="00F178B2">
        <w:tc>
          <w:tcPr>
            <w:tcW w:w="5688" w:type="dxa"/>
          </w:tcPr>
          <w:p w:rsidR="00C72CB7" w:rsidRPr="00C72CB7" w:rsidRDefault="00C72CB7" w:rsidP="00F178B2">
            <w:pPr>
              <w:widowControl w:val="0"/>
              <w:tabs>
                <w:tab w:val="clear" w:pos="432"/>
              </w:tabs>
              <w:autoSpaceDE w:val="0"/>
              <w:autoSpaceDN w:val="0"/>
              <w:adjustRightInd w:val="0"/>
              <w:spacing w:before="120" w:after="60" w:line="240" w:lineRule="auto"/>
              <w:ind w:firstLine="0"/>
              <w:rPr>
                <w:rFonts w:ascii="Garamond" w:hAnsi="Garamond"/>
                <w:b/>
              </w:rPr>
            </w:pPr>
            <w:r w:rsidRPr="00C72CB7">
              <w:rPr>
                <w:rFonts w:ascii="Garamond" w:hAnsi="Garamond"/>
                <w:b/>
              </w:rPr>
              <w:t>Task</w:t>
            </w:r>
          </w:p>
        </w:tc>
        <w:tc>
          <w:tcPr>
            <w:tcW w:w="3672" w:type="dxa"/>
            <w:vAlign w:val="bottom"/>
          </w:tcPr>
          <w:p w:rsidR="00C72CB7" w:rsidRPr="00C72CB7" w:rsidRDefault="00C72CB7" w:rsidP="00F178B2">
            <w:pPr>
              <w:widowControl w:val="0"/>
              <w:tabs>
                <w:tab w:val="clear" w:pos="432"/>
              </w:tabs>
              <w:autoSpaceDE w:val="0"/>
              <w:autoSpaceDN w:val="0"/>
              <w:adjustRightInd w:val="0"/>
              <w:spacing w:before="120" w:after="60" w:line="240" w:lineRule="auto"/>
              <w:ind w:firstLine="0"/>
              <w:rPr>
                <w:rFonts w:ascii="Garamond" w:hAnsi="Garamond"/>
                <w:b/>
              </w:rPr>
            </w:pPr>
            <w:r w:rsidRPr="00C72CB7">
              <w:rPr>
                <w:rFonts w:ascii="Garamond" w:hAnsi="Garamond"/>
                <w:b/>
              </w:rPr>
              <w:t>Time Schedule</w:t>
            </w:r>
          </w:p>
        </w:tc>
      </w:tr>
      <w:tr w:rsidR="00C72CB7" w:rsidRPr="00C72CB7" w:rsidTr="00F178B2">
        <w:tc>
          <w:tcPr>
            <w:tcW w:w="5688"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r w:rsidRPr="00C72CB7">
              <w:rPr>
                <w:rFonts w:ascii="Garamond" w:hAnsi="Garamond"/>
              </w:rPr>
              <w:t>Develop data collection tools</w:t>
            </w:r>
          </w:p>
        </w:tc>
        <w:tc>
          <w:tcPr>
            <w:tcW w:w="3672"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r w:rsidRPr="00C72CB7">
              <w:rPr>
                <w:rFonts w:ascii="Garamond" w:hAnsi="Garamond"/>
              </w:rPr>
              <w:t>September 2011</w:t>
            </w:r>
          </w:p>
        </w:tc>
      </w:tr>
      <w:tr w:rsidR="00C72CB7" w:rsidRPr="00C72CB7" w:rsidTr="00F178B2">
        <w:tc>
          <w:tcPr>
            <w:tcW w:w="5688"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r w:rsidRPr="00C72CB7">
              <w:rPr>
                <w:rFonts w:ascii="Garamond" w:hAnsi="Garamond"/>
              </w:rPr>
              <w:t>Receive OMB approval</w:t>
            </w:r>
          </w:p>
        </w:tc>
        <w:tc>
          <w:tcPr>
            <w:tcW w:w="3672" w:type="dxa"/>
          </w:tcPr>
          <w:p w:rsidR="00C72CB7" w:rsidRPr="00C72CB7" w:rsidRDefault="004252FD" w:rsidP="00F178B2">
            <w:pPr>
              <w:widowControl w:val="0"/>
              <w:tabs>
                <w:tab w:val="clear" w:pos="432"/>
              </w:tabs>
              <w:autoSpaceDE w:val="0"/>
              <w:autoSpaceDN w:val="0"/>
              <w:adjustRightInd w:val="0"/>
              <w:spacing w:before="60" w:after="60" w:line="240" w:lineRule="auto"/>
              <w:ind w:firstLine="0"/>
              <w:rPr>
                <w:rFonts w:ascii="Garamond" w:hAnsi="Garamond"/>
              </w:rPr>
            </w:pPr>
            <w:r>
              <w:rPr>
                <w:rFonts w:ascii="Garamond" w:hAnsi="Garamond"/>
              </w:rPr>
              <w:t>January 2012</w:t>
            </w:r>
          </w:p>
        </w:tc>
      </w:tr>
      <w:tr w:rsidR="00514635" w:rsidRPr="00C72CB7" w:rsidTr="00F178B2">
        <w:tc>
          <w:tcPr>
            <w:tcW w:w="5688" w:type="dxa"/>
          </w:tcPr>
          <w:p w:rsidR="00514635" w:rsidRPr="00C72CB7" w:rsidRDefault="00514635" w:rsidP="00F178B2">
            <w:pPr>
              <w:widowControl w:val="0"/>
              <w:tabs>
                <w:tab w:val="clear" w:pos="432"/>
              </w:tabs>
              <w:autoSpaceDE w:val="0"/>
              <w:autoSpaceDN w:val="0"/>
              <w:adjustRightInd w:val="0"/>
              <w:spacing w:before="60" w:after="60" w:line="240" w:lineRule="auto"/>
              <w:ind w:firstLine="0"/>
            </w:pPr>
          </w:p>
        </w:tc>
        <w:tc>
          <w:tcPr>
            <w:tcW w:w="3672" w:type="dxa"/>
          </w:tcPr>
          <w:p w:rsidR="00514635" w:rsidRPr="00C72CB7" w:rsidRDefault="00514635" w:rsidP="00F178B2">
            <w:pPr>
              <w:widowControl w:val="0"/>
              <w:tabs>
                <w:tab w:val="clear" w:pos="432"/>
              </w:tabs>
              <w:autoSpaceDE w:val="0"/>
              <w:autoSpaceDN w:val="0"/>
              <w:adjustRightInd w:val="0"/>
              <w:spacing w:before="60" w:after="60" w:line="240" w:lineRule="auto"/>
              <w:ind w:firstLine="0"/>
            </w:pPr>
          </w:p>
        </w:tc>
      </w:tr>
      <w:tr w:rsidR="00C72CB7" w:rsidRPr="00C72CB7" w:rsidTr="00F178B2">
        <w:tc>
          <w:tcPr>
            <w:tcW w:w="5688"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r w:rsidRPr="00C72CB7">
              <w:rPr>
                <w:rFonts w:ascii="Garamond" w:hAnsi="Garamond"/>
              </w:rPr>
              <w:t>Safety Net Consumer Survey</w:t>
            </w:r>
          </w:p>
        </w:tc>
        <w:tc>
          <w:tcPr>
            <w:tcW w:w="3672"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p>
        </w:tc>
      </w:tr>
      <w:tr w:rsidR="00C72CB7" w:rsidRPr="00C72CB7" w:rsidTr="00F178B2">
        <w:tc>
          <w:tcPr>
            <w:tcW w:w="5688"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r w:rsidRPr="00C72CB7">
              <w:rPr>
                <w:rFonts w:ascii="Garamond" w:hAnsi="Garamond"/>
              </w:rPr>
              <w:t xml:space="preserve">   Train health center staff on enrollment process</w:t>
            </w:r>
          </w:p>
        </w:tc>
        <w:tc>
          <w:tcPr>
            <w:tcW w:w="3672" w:type="dxa"/>
          </w:tcPr>
          <w:p w:rsidR="00C72CB7" w:rsidRPr="00C72CB7" w:rsidRDefault="006D771C" w:rsidP="00F178B2">
            <w:pPr>
              <w:widowControl w:val="0"/>
              <w:tabs>
                <w:tab w:val="clear" w:pos="432"/>
              </w:tabs>
              <w:autoSpaceDE w:val="0"/>
              <w:autoSpaceDN w:val="0"/>
              <w:adjustRightInd w:val="0"/>
              <w:spacing w:before="60" w:after="60" w:line="240" w:lineRule="auto"/>
              <w:ind w:firstLine="0"/>
              <w:rPr>
                <w:rFonts w:ascii="Garamond" w:hAnsi="Garamond"/>
              </w:rPr>
            </w:pPr>
            <w:r>
              <w:rPr>
                <w:rFonts w:ascii="Garamond" w:hAnsi="Garamond"/>
              </w:rPr>
              <w:t>February</w:t>
            </w:r>
            <w:r w:rsidR="00C72CB7" w:rsidRPr="00C72CB7">
              <w:rPr>
                <w:rFonts w:ascii="Garamond" w:hAnsi="Garamond"/>
              </w:rPr>
              <w:t xml:space="preserve"> 2012</w:t>
            </w:r>
          </w:p>
        </w:tc>
      </w:tr>
      <w:tr w:rsidR="00C72CB7" w:rsidRPr="00C72CB7" w:rsidTr="00F178B2">
        <w:tc>
          <w:tcPr>
            <w:tcW w:w="5688"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r w:rsidRPr="00C72CB7">
              <w:rPr>
                <w:rFonts w:ascii="Garamond" w:hAnsi="Garamond"/>
              </w:rPr>
              <w:t xml:space="preserve">   Enroll study sample</w:t>
            </w:r>
          </w:p>
        </w:tc>
        <w:tc>
          <w:tcPr>
            <w:tcW w:w="3672"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r w:rsidRPr="00C72CB7">
              <w:rPr>
                <w:rFonts w:ascii="Garamond" w:hAnsi="Garamond"/>
              </w:rPr>
              <w:t>February 2012-May 2012</w:t>
            </w:r>
          </w:p>
        </w:tc>
      </w:tr>
      <w:tr w:rsidR="00C72CB7" w:rsidRPr="00C72CB7" w:rsidTr="00F178B2">
        <w:tc>
          <w:tcPr>
            <w:tcW w:w="5688" w:type="dxa"/>
          </w:tcPr>
          <w:p w:rsidR="00C72CB7" w:rsidRPr="00C72CB7" w:rsidRDefault="00C72CB7" w:rsidP="00F178B2">
            <w:pPr>
              <w:widowControl w:val="0"/>
              <w:tabs>
                <w:tab w:val="clear" w:pos="432"/>
              </w:tabs>
              <w:autoSpaceDE w:val="0"/>
              <w:autoSpaceDN w:val="0"/>
              <w:adjustRightInd w:val="0"/>
              <w:spacing w:before="60" w:after="60" w:line="240" w:lineRule="auto"/>
              <w:ind w:left="180" w:firstLine="0"/>
              <w:rPr>
                <w:rFonts w:ascii="Garamond" w:hAnsi="Garamond"/>
              </w:rPr>
            </w:pPr>
            <w:r w:rsidRPr="00C72CB7">
              <w:rPr>
                <w:rFonts w:ascii="Garamond" w:hAnsi="Garamond"/>
              </w:rPr>
              <w:t>Collect survey data (Round 1)</w:t>
            </w:r>
          </w:p>
        </w:tc>
        <w:tc>
          <w:tcPr>
            <w:tcW w:w="3672"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r w:rsidRPr="00C72CB7">
              <w:rPr>
                <w:rFonts w:ascii="Garamond" w:hAnsi="Garamond"/>
              </w:rPr>
              <w:t>March 2012-June 2012</w:t>
            </w:r>
          </w:p>
        </w:tc>
      </w:tr>
      <w:tr w:rsidR="00C72CB7" w:rsidRPr="00C72CB7" w:rsidTr="00F178B2">
        <w:tc>
          <w:tcPr>
            <w:tcW w:w="5688" w:type="dxa"/>
          </w:tcPr>
          <w:p w:rsidR="00C72CB7" w:rsidRPr="00C72CB7" w:rsidRDefault="00C72CB7" w:rsidP="00F178B2">
            <w:pPr>
              <w:widowControl w:val="0"/>
              <w:tabs>
                <w:tab w:val="clear" w:pos="432"/>
              </w:tabs>
              <w:autoSpaceDE w:val="0"/>
              <w:autoSpaceDN w:val="0"/>
              <w:adjustRightInd w:val="0"/>
              <w:spacing w:before="60" w:after="60" w:line="240" w:lineRule="auto"/>
              <w:ind w:left="180" w:firstLine="0"/>
              <w:rPr>
                <w:rFonts w:ascii="Garamond" w:hAnsi="Garamond"/>
              </w:rPr>
            </w:pPr>
            <w:r w:rsidRPr="00C72CB7">
              <w:rPr>
                <w:rFonts w:ascii="Garamond" w:hAnsi="Garamond"/>
              </w:rPr>
              <w:t>Analyze data (Round 1)</w:t>
            </w:r>
          </w:p>
        </w:tc>
        <w:tc>
          <w:tcPr>
            <w:tcW w:w="3672"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r w:rsidRPr="00C72CB7">
              <w:rPr>
                <w:rFonts w:ascii="Garamond" w:hAnsi="Garamond"/>
              </w:rPr>
              <w:t>July 2012-September 2012</w:t>
            </w:r>
          </w:p>
        </w:tc>
      </w:tr>
      <w:tr w:rsidR="00C72CB7" w:rsidRPr="00C72CB7" w:rsidTr="00F178B2">
        <w:tc>
          <w:tcPr>
            <w:tcW w:w="5688" w:type="dxa"/>
          </w:tcPr>
          <w:p w:rsidR="00C72CB7" w:rsidRPr="00C72CB7" w:rsidRDefault="00C72CB7" w:rsidP="00F178B2">
            <w:pPr>
              <w:widowControl w:val="0"/>
              <w:tabs>
                <w:tab w:val="clear" w:pos="432"/>
              </w:tabs>
              <w:autoSpaceDE w:val="0"/>
              <w:autoSpaceDN w:val="0"/>
              <w:adjustRightInd w:val="0"/>
              <w:spacing w:before="60" w:after="60" w:line="240" w:lineRule="auto"/>
              <w:ind w:left="180" w:firstLine="0"/>
              <w:rPr>
                <w:rFonts w:ascii="Garamond" w:hAnsi="Garamond"/>
              </w:rPr>
            </w:pPr>
            <w:r w:rsidRPr="00C72CB7">
              <w:rPr>
                <w:rFonts w:ascii="Garamond" w:hAnsi="Garamond"/>
              </w:rPr>
              <w:t>Collect survey data (Round 2)</w:t>
            </w:r>
          </w:p>
        </w:tc>
        <w:tc>
          <w:tcPr>
            <w:tcW w:w="3672"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r w:rsidRPr="00C72CB7">
              <w:rPr>
                <w:rFonts w:ascii="Garamond" w:hAnsi="Garamond"/>
              </w:rPr>
              <w:t>December 2013-March 2013</w:t>
            </w:r>
          </w:p>
        </w:tc>
      </w:tr>
      <w:tr w:rsidR="00C72CB7" w:rsidRPr="00C72CB7" w:rsidTr="00F178B2">
        <w:tc>
          <w:tcPr>
            <w:tcW w:w="5688" w:type="dxa"/>
          </w:tcPr>
          <w:p w:rsidR="00C72CB7" w:rsidRPr="00C72CB7" w:rsidRDefault="00C72CB7" w:rsidP="00F178B2">
            <w:pPr>
              <w:widowControl w:val="0"/>
              <w:tabs>
                <w:tab w:val="clear" w:pos="432"/>
              </w:tabs>
              <w:autoSpaceDE w:val="0"/>
              <w:autoSpaceDN w:val="0"/>
              <w:adjustRightInd w:val="0"/>
              <w:spacing w:before="60" w:after="60" w:line="240" w:lineRule="auto"/>
              <w:ind w:left="180" w:firstLine="0"/>
              <w:rPr>
                <w:rFonts w:ascii="Garamond" w:hAnsi="Garamond"/>
              </w:rPr>
            </w:pPr>
            <w:r w:rsidRPr="00C72CB7">
              <w:rPr>
                <w:rFonts w:ascii="Garamond" w:hAnsi="Garamond"/>
              </w:rPr>
              <w:t xml:space="preserve">Obtain EHR data </w:t>
            </w:r>
          </w:p>
        </w:tc>
        <w:tc>
          <w:tcPr>
            <w:tcW w:w="3672"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r w:rsidRPr="00C72CB7">
              <w:rPr>
                <w:rFonts w:ascii="Garamond" w:hAnsi="Garamond"/>
              </w:rPr>
              <w:t>March 2013</w:t>
            </w:r>
          </w:p>
        </w:tc>
      </w:tr>
      <w:tr w:rsidR="00C72CB7" w:rsidRPr="00C72CB7" w:rsidTr="00F178B2">
        <w:tc>
          <w:tcPr>
            <w:tcW w:w="5688"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r w:rsidRPr="00C72CB7">
              <w:rPr>
                <w:rFonts w:ascii="Garamond" w:hAnsi="Garamond"/>
              </w:rPr>
              <w:t xml:space="preserve">   Analyze linked survey/EHR data (Rounds 1 &amp; 2)</w:t>
            </w:r>
          </w:p>
        </w:tc>
        <w:tc>
          <w:tcPr>
            <w:tcW w:w="3672"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r w:rsidRPr="00C72CB7">
              <w:rPr>
                <w:rFonts w:ascii="Garamond" w:hAnsi="Garamond"/>
              </w:rPr>
              <w:t>April 2013-June 2013</w:t>
            </w:r>
          </w:p>
        </w:tc>
      </w:tr>
      <w:tr w:rsidR="00C72CB7" w:rsidRPr="00C72CB7" w:rsidTr="00F178B2">
        <w:tc>
          <w:tcPr>
            <w:tcW w:w="5688"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p>
        </w:tc>
        <w:tc>
          <w:tcPr>
            <w:tcW w:w="3672"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p>
        </w:tc>
      </w:tr>
      <w:tr w:rsidR="00C72CB7" w:rsidRPr="00C72CB7" w:rsidTr="00F178B2">
        <w:tc>
          <w:tcPr>
            <w:tcW w:w="5688"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r w:rsidRPr="00C72CB7">
              <w:rPr>
                <w:rFonts w:ascii="Garamond" w:hAnsi="Garamond"/>
              </w:rPr>
              <w:t xml:space="preserve">Consumer Focus Groups and Key Informant Interviews </w:t>
            </w:r>
          </w:p>
        </w:tc>
        <w:tc>
          <w:tcPr>
            <w:tcW w:w="3672"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p>
        </w:tc>
      </w:tr>
      <w:tr w:rsidR="00C72CB7" w:rsidRPr="00C72CB7" w:rsidTr="00F178B2">
        <w:tc>
          <w:tcPr>
            <w:tcW w:w="5688" w:type="dxa"/>
          </w:tcPr>
          <w:p w:rsidR="00C72CB7" w:rsidRPr="00C72CB7" w:rsidRDefault="00C72CB7" w:rsidP="00F178B2">
            <w:pPr>
              <w:widowControl w:val="0"/>
              <w:tabs>
                <w:tab w:val="clear" w:pos="432"/>
              </w:tabs>
              <w:autoSpaceDE w:val="0"/>
              <w:autoSpaceDN w:val="0"/>
              <w:adjustRightInd w:val="0"/>
              <w:spacing w:before="60" w:after="60" w:line="240" w:lineRule="auto"/>
              <w:ind w:left="180" w:firstLine="0"/>
              <w:rPr>
                <w:rFonts w:ascii="Garamond" w:hAnsi="Garamond"/>
              </w:rPr>
            </w:pPr>
            <w:r w:rsidRPr="00C72CB7">
              <w:rPr>
                <w:rFonts w:ascii="Garamond" w:hAnsi="Garamond"/>
              </w:rPr>
              <w:t>Conduct site visits</w:t>
            </w:r>
          </w:p>
        </w:tc>
        <w:tc>
          <w:tcPr>
            <w:tcW w:w="3672"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r w:rsidRPr="00C72CB7">
              <w:rPr>
                <w:rFonts w:ascii="Garamond" w:hAnsi="Garamond"/>
              </w:rPr>
              <w:t>April 2012-May 2012</w:t>
            </w:r>
          </w:p>
        </w:tc>
      </w:tr>
      <w:tr w:rsidR="00C72CB7" w:rsidRPr="00C72CB7" w:rsidTr="00F178B2">
        <w:tc>
          <w:tcPr>
            <w:tcW w:w="5688" w:type="dxa"/>
          </w:tcPr>
          <w:p w:rsidR="00C72CB7" w:rsidRPr="00C72CB7" w:rsidRDefault="00C72CB7" w:rsidP="00F178B2">
            <w:pPr>
              <w:widowControl w:val="0"/>
              <w:tabs>
                <w:tab w:val="clear" w:pos="432"/>
              </w:tabs>
              <w:autoSpaceDE w:val="0"/>
              <w:autoSpaceDN w:val="0"/>
              <w:adjustRightInd w:val="0"/>
              <w:spacing w:before="60" w:after="60" w:line="240" w:lineRule="auto"/>
              <w:ind w:left="180" w:firstLine="0"/>
              <w:rPr>
                <w:rFonts w:ascii="Garamond" w:hAnsi="Garamond"/>
              </w:rPr>
            </w:pPr>
            <w:r w:rsidRPr="00C72CB7">
              <w:rPr>
                <w:rFonts w:ascii="Garamond" w:hAnsi="Garamond"/>
              </w:rPr>
              <w:t>Analyze data</w:t>
            </w:r>
          </w:p>
        </w:tc>
        <w:tc>
          <w:tcPr>
            <w:tcW w:w="3672"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r w:rsidRPr="00C72CB7">
              <w:rPr>
                <w:rFonts w:ascii="Garamond" w:hAnsi="Garamond"/>
              </w:rPr>
              <w:t>June 2012-August 2012</w:t>
            </w:r>
          </w:p>
        </w:tc>
      </w:tr>
      <w:tr w:rsidR="00C72CB7" w:rsidRPr="00C72CB7" w:rsidTr="00F178B2">
        <w:tc>
          <w:tcPr>
            <w:tcW w:w="5688"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p>
        </w:tc>
        <w:tc>
          <w:tcPr>
            <w:tcW w:w="3672"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p>
        </w:tc>
      </w:tr>
      <w:tr w:rsidR="00C72CB7" w:rsidRPr="00C72CB7" w:rsidTr="00F178B2">
        <w:tc>
          <w:tcPr>
            <w:tcW w:w="5688"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r w:rsidRPr="00C72CB7">
              <w:rPr>
                <w:rFonts w:ascii="Garamond" w:hAnsi="Garamond"/>
              </w:rPr>
              <w:t>Stakeholder Interviews</w:t>
            </w:r>
          </w:p>
        </w:tc>
        <w:tc>
          <w:tcPr>
            <w:tcW w:w="3672"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highlight w:val="yellow"/>
              </w:rPr>
            </w:pPr>
          </w:p>
        </w:tc>
      </w:tr>
      <w:tr w:rsidR="00C72CB7" w:rsidRPr="00C72CB7" w:rsidTr="00F178B2">
        <w:tc>
          <w:tcPr>
            <w:tcW w:w="5688"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r w:rsidRPr="00C72CB7">
              <w:rPr>
                <w:rFonts w:ascii="Garamond" w:hAnsi="Garamond"/>
              </w:rPr>
              <w:t xml:space="preserve">  Conduct interviews</w:t>
            </w:r>
          </w:p>
        </w:tc>
        <w:tc>
          <w:tcPr>
            <w:tcW w:w="3672" w:type="dxa"/>
            <w:shd w:val="clear" w:color="auto" w:fill="auto"/>
          </w:tcPr>
          <w:p w:rsidR="00C72CB7" w:rsidRPr="00C72CB7" w:rsidRDefault="00437F08" w:rsidP="00437F08">
            <w:pPr>
              <w:widowControl w:val="0"/>
              <w:tabs>
                <w:tab w:val="clear" w:pos="432"/>
              </w:tabs>
              <w:autoSpaceDE w:val="0"/>
              <w:autoSpaceDN w:val="0"/>
              <w:adjustRightInd w:val="0"/>
              <w:spacing w:before="60" w:after="60" w:line="240" w:lineRule="auto"/>
              <w:ind w:firstLine="0"/>
              <w:rPr>
                <w:rFonts w:ascii="Garamond" w:hAnsi="Garamond"/>
                <w:highlight w:val="yellow"/>
              </w:rPr>
            </w:pPr>
            <w:r>
              <w:rPr>
                <w:rFonts w:ascii="Garamond" w:hAnsi="Garamond"/>
              </w:rPr>
              <w:t>March</w:t>
            </w:r>
            <w:r w:rsidR="00C72CB7" w:rsidRPr="00C72CB7">
              <w:rPr>
                <w:rFonts w:ascii="Garamond" w:hAnsi="Garamond"/>
              </w:rPr>
              <w:t xml:space="preserve"> 2012-</w:t>
            </w:r>
            <w:r>
              <w:rPr>
                <w:rFonts w:ascii="Garamond" w:hAnsi="Garamond"/>
              </w:rPr>
              <w:t>April</w:t>
            </w:r>
            <w:r w:rsidR="00C72CB7" w:rsidRPr="00C72CB7">
              <w:rPr>
                <w:rFonts w:ascii="Garamond" w:hAnsi="Garamond"/>
              </w:rPr>
              <w:t xml:space="preserve"> 2012</w:t>
            </w:r>
          </w:p>
        </w:tc>
      </w:tr>
      <w:tr w:rsidR="00C72CB7" w:rsidRPr="00C72CB7" w:rsidTr="00F178B2">
        <w:tc>
          <w:tcPr>
            <w:tcW w:w="5688"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r w:rsidRPr="00C72CB7">
              <w:rPr>
                <w:rFonts w:ascii="Garamond" w:hAnsi="Garamond"/>
              </w:rPr>
              <w:t xml:space="preserve">  Analyze data</w:t>
            </w:r>
          </w:p>
        </w:tc>
        <w:tc>
          <w:tcPr>
            <w:tcW w:w="3672" w:type="dxa"/>
          </w:tcPr>
          <w:p w:rsidR="00C72CB7" w:rsidRPr="00C72CB7" w:rsidRDefault="00437F08" w:rsidP="00F178B2">
            <w:pPr>
              <w:widowControl w:val="0"/>
              <w:tabs>
                <w:tab w:val="clear" w:pos="432"/>
              </w:tabs>
              <w:autoSpaceDE w:val="0"/>
              <w:autoSpaceDN w:val="0"/>
              <w:adjustRightInd w:val="0"/>
              <w:spacing w:before="60" w:after="60" w:line="240" w:lineRule="auto"/>
              <w:ind w:firstLine="0"/>
              <w:rPr>
                <w:rFonts w:ascii="Garamond" w:hAnsi="Garamond"/>
              </w:rPr>
            </w:pPr>
            <w:r>
              <w:rPr>
                <w:rFonts w:ascii="Garamond" w:hAnsi="Garamond"/>
              </w:rPr>
              <w:t>May 2012-June</w:t>
            </w:r>
            <w:r w:rsidR="00C72CB7" w:rsidRPr="00C72CB7">
              <w:rPr>
                <w:rFonts w:ascii="Garamond" w:hAnsi="Garamond"/>
              </w:rPr>
              <w:t xml:space="preserve"> 2012</w:t>
            </w:r>
          </w:p>
        </w:tc>
      </w:tr>
      <w:tr w:rsidR="00C72CB7" w:rsidRPr="00C72CB7" w:rsidTr="00F178B2">
        <w:tc>
          <w:tcPr>
            <w:tcW w:w="5688"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p>
        </w:tc>
        <w:tc>
          <w:tcPr>
            <w:tcW w:w="3672"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highlight w:val="yellow"/>
              </w:rPr>
            </w:pPr>
          </w:p>
        </w:tc>
      </w:tr>
      <w:tr w:rsidR="00C72CB7" w:rsidRPr="00C72CB7" w:rsidTr="00F178B2">
        <w:tc>
          <w:tcPr>
            <w:tcW w:w="5688"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r w:rsidRPr="00C72CB7">
              <w:rPr>
                <w:rFonts w:ascii="Garamond" w:hAnsi="Garamond"/>
              </w:rPr>
              <w:t>Reports and Presentations</w:t>
            </w:r>
          </w:p>
        </w:tc>
        <w:tc>
          <w:tcPr>
            <w:tcW w:w="3672"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highlight w:val="yellow"/>
              </w:rPr>
            </w:pPr>
          </w:p>
        </w:tc>
      </w:tr>
      <w:tr w:rsidR="00C72CB7" w:rsidRPr="00C72CB7" w:rsidTr="00F178B2">
        <w:tc>
          <w:tcPr>
            <w:tcW w:w="5688"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r w:rsidRPr="00C72CB7">
              <w:rPr>
                <w:rFonts w:ascii="Garamond" w:hAnsi="Garamond"/>
              </w:rPr>
              <w:t xml:space="preserve">   Interim evaluation report</w:t>
            </w:r>
          </w:p>
        </w:tc>
        <w:tc>
          <w:tcPr>
            <w:tcW w:w="3672"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r w:rsidRPr="00C72CB7">
              <w:rPr>
                <w:rFonts w:ascii="Garamond" w:hAnsi="Garamond"/>
              </w:rPr>
              <w:t>September 2012</w:t>
            </w:r>
          </w:p>
        </w:tc>
      </w:tr>
      <w:tr w:rsidR="00C72CB7" w:rsidRPr="00C72CB7" w:rsidTr="00F178B2">
        <w:tc>
          <w:tcPr>
            <w:tcW w:w="5688"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r w:rsidRPr="00C72CB7">
              <w:rPr>
                <w:rFonts w:ascii="Garamond" w:hAnsi="Garamond"/>
              </w:rPr>
              <w:t xml:space="preserve">   Interim briefing</w:t>
            </w:r>
          </w:p>
        </w:tc>
        <w:tc>
          <w:tcPr>
            <w:tcW w:w="3672"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r w:rsidRPr="00C72CB7">
              <w:rPr>
                <w:rFonts w:ascii="Garamond" w:hAnsi="Garamond"/>
              </w:rPr>
              <w:t>October 2012</w:t>
            </w:r>
          </w:p>
        </w:tc>
      </w:tr>
      <w:tr w:rsidR="00C72CB7" w:rsidRPr="00C72CB7" w:rsidTr="00F178B2">
        <w:tc>
          <w:tcPr>
            <w:tcW w:w="5688"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r w:rsidRPr="00C72CB7">
              <w:rPr>
                <w:rFonts w:ascii="Garamond" w:hAnsi="Garamond"/>
              </w:rPr>
              <w:t xml:space="preserve">   Final synthesis report</w:t>
            </w:r>
          </w:p>
        </w:tc>
        <w:tc>
          <w:tcPr>
            <w:tcW w:w="3672" w:type="dxa"/>
            <w:shd w:val="clear" w:color="auto" w:fill="auto"/>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r w:rsidRPr="00C72CB7">
              <w:rPr>
                <w:rFonts w:ascii="Garamond" w:hAnsi="Garamond"/>
              </w:rPr>
              <w:t>August 2013</w:t>
            </w:r>
          </w:p>
        </w:tc>
      </w:tr>
      <w:tr w:rsidR="00C72CB7" w:rsidRPr="00C72CB7" w:rsidTr="00F178B2">
        <w:tc>
          <w:tcPr>
            <w:tcW w:w="5688" w:type="dxa"/>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r w:rsidRPr="00C72CB7">
              <w:rPr>
                <w:rFonts w:ascii="Garamond" w:hAnsi="Garamond"/>
              </w:rPr>
              <w:t xml:space="preserve">   Final study briefing</w:t>
            </w:r>
          </w:p>
        </w:tc>
        <w:tc>
          <w:tcPr>
            <w:tcW w:w="3672" w:type="dxa"/>
            <w:shd w:val="clear" w:color="auto" w:fill="auto"/>
          </w:tcPr>
          <w:p w:rsidR="00C72CB7" w:rsidRPr="00C72CB7" w:rsidRDefault="00C72CB7" w:rsidP="00F178B2">
            <w:pPr>
              <w:widowControl w:val="0"/>
              <w:tabs>
                <w:tab w:val="clear" w:pos="432"/>
              </w:tabs>
              <w:autoSpaceDE w:val="0"/>
              <w:autoSpaceDN w:val="0"/>
              <w:adjustRightInd w:val="0"/>
              <w:spacing w:before="60" w:after="60" w:line="240" w:lineRule="auto"/>
              <w:ind w:firstLine="0"/>
              <w:rPr>
                <w:rFonts w:ascii="Garamond" w:hAnsi="Garamond"/>
              </w:rPr>
            </w:pPr>
            <w:r w:rsidRPr="00C72CB7">
              <w:rPr>
                <w:rFonts w:ascii="Garamond" w:hAnsi="Garamond"/>
              </w:rPr>
              <w:t>September 2013</w:t>
            </w:r>
          </w:p>
        </w:tc>
      </w:tr>
    </w:tbl>
    <w:p w:rsidR="00C72CB7" w:rsidRPr="00C72CB7" w:rsidRDefault="00C72CB7" w:rsidP="00C72CB7">
      <w:pPr>
        <w:widowControl w:val="0"/>
        <w:tabs>
          <w:tab w:val="clear" w:pos="432"/>
        </w:tabs>
        <w:autoSpaceDE w:val="0"/>
        <w:autoSpaceDN w:val="0"/>
        <w:adjustRightInd w:val="0"/>
        <w:spacing w:line="240" w:lineRule="auto"/>
        <w:ind w:firstLine="0"/>
        <w:jc w:val="left"/>
        <w:rPr>
          <w:rFonts w:ascii="Times New Roman" w:hAnsi="Times New Roman"/>
          <w:sz w:val="20"/>
        </w:rPr>
      </w:pPr>
    </w:p>
    <w:p w:rsidR="00C72CB7" w:rsidRPr="00C72CB7" w:rsidRDefault="00C72CB7" w:rsidP="00C72CB7">
      <w:pPr>
        <w:tabs>
          <w:tab w:val="clear" w:pos="432"/>
        </w:tabs>
        <w:ind w:left="90" w:firstLine="0"/>
        <w:jc w:val="center"/>
        <w:rPr>
          <w:rFonts w:ascii="Times New Roman" w:hAnsi="Times New Roman"/>
          <w:caps/>
        </w:rPr>
        <w:sectPr w:rsidR="00C72CB7" w:rsidRPr="00C72CB7" w:rsidSect="003A1506">
          <w:headerReference w:type="default" r:id="rId13"/>
          <w:footerReference w:type="default" r:id="rId14"/>
          <w:endnotePr>
            <w:numFmt w:val="decimal"/>
          </w:endnotePr>
          <w:pgSz w:w="12240" w:h="15840" w:code="1"/>
          <w:pgMar w:top="1440" w:right="1440" w:bottom="576" w:left="1440" w:header="720" w:footer="576" w:gutter="0"/>
          <w:cols w:space="720"/>
          <w:docGrid w:linePitch="150"/>
        </w:sectPr>
      </w:pPr>
    </w:p>
    <w:bookmarkEnd w:id="1"/>
    <w:p w:rsidR="00C72CB7" w:rsidRPr="00C72CB7" w:rsidRDefault="00C72CB7" w:rsidP="00AC59EC">
      <w:pPr>
        <w:widowControl w:val="0"/>
        <w:tabs>
          <w:tab w:val="clear" w:pos="432"/>
        </w:tabs>
        <w:autoSpaceDE w:val="0"/>
        <w:autoSpaceDN w:val="0"/>
        <w:adjustRightInd w:val="0"/>
        <w:spacing w:after="240" w:line="240" w:lineRule="auto"/>
        <w:ind w:firstLine="0"/>
        <w:jc w:val="left"/>
        <w:rPr>
          <w:b/>
          <w:bCs/>
        </w:rPr>
      </w:pPr>
      <w:r w:rsidRPr="00C72CB7">
        <w:rPr>
          <w:b/>
          <w:bCs/>
        </w:rPr>
        <w:lastRenderedPageBreak/>
        <w:t>3.</w:t>
      </w:r>
      <w:r w:rsidR="00F178B2">
        <w:rPr>
          <w:b/>
          <w:bCs/>
        </w:rPr>
        <w:tab/>
      </w:r>
      <w:r w:rsidRPr="00C72CB7">
        <w:rPr>
          <w:b/>
          <w:u w:val="single"/>
        </w:rPr>
        <w:t>Methods to Maximize Response Rates and Deal with Nonresponse</w:t>
      </w:r>
    </w:p>
    <w:p w:rsidR="00C72CB7" w:rsidRDefault="00C72CB7" w:rsidP="0030726F">
      <w:pPr>
        <w:widowControl w:val="0"/>
        <w:tabs>
          <w:tab w:val="clear" w:pos="432"/>
        </w:tabs>
        <w:autoSpaceDE w:val="0"/>
        <w:autoSpaceDN w:val="0"/>
        <w:adjustRightInd w:val="0"/>
        <w:spacing w:line="240" w:lineRule="auto"/>
        <w:ind w:firstLine="0"/>
        <w:jc w:val="left"/>
        <w:rPr>
          <w:b/>
          <w:bCs/>
        </w:rPr>
      </w:pPr>
      <w:r w:rsidRPr="00C72CB7">
        <w:rPr>
          <w:b/>
          <w:bCs/>
        </w:rPr>
        <w:t>Safety Net Consumer Survey</w:t>
      </w:r>
    </w:p>
    <w:p w:rsidR="0030726F" w:rsidRPr="00C72CB7" w:rsidRDefault="0030726F" w:rsidP="0030726F">
      <w:pPr>
        <w:widowControl w:val="0"/>
        <w:tabs>
          <w:tab w:val="clear" w:pos="432"/>
        </w:tabs>
        <w:autoSpaceDE w:val="0"/>
        <w:autoSpaceDN w:val="0"/>
        <w:adjustRightInd w:val="0"/>
        <w:spacing w:line="240" w:lineRule="auto"/>
        <w:ind w:firstLine="0"/>
        <w:jc w:val="left"/>
        <w:rPr>
          <w:b/>
          <w:bCs/>
        </w:rPr>
      </w:pPr>
    </w:p>
    <w:p w:rsidR="00C72CB7" w:rsidRPr="00C72CB7" w:rsidRDefault="00C72CB7" w:rsidP="00AC59EC">
      <w:pPr>
        <w:pStyle w:val="NormalSS"/>
        <w:ind w:firstLine="0"/>
      </w:pPr>
      <w:r w:rsidRPr="00C72CB7">
        <w:t>The data collection procedures discussed below were designed to maximize response rates and to promote the accuracy and completen</w:t>
      </w:r>
      <w:r w:rsidR="00AC59EC">
        <w:t>ess of information collected.</w:t>
      </w:r>
    </w:p>
    <w:p w:rsidR="00C72CB7" w:rsidRPr="00C72CB7" w:rsidRDefault="005A2186" w:rsidP="00AC59EC">
      <w:pPr>
        <w:pStyle w:val="NormalSS"/>
        <w:ind w:firstLine="0"/>
      </w:pPr>
      <w:r w:rsidRPr="00252B36">
        <w:rPr>
          <w:b/>
          <w:i/>
        </w:rPr>
        <w:t xml:space="preserve">Obtaining </w:t>
      </w:r>
      <w:r w:rsidR="00C72CB7" w:rsidRPr="00252B36">
        <w:rPr>
          <w:b/>
          <w:i/>
        </w:rPr>
        <w:t xml:space="preserve">Assistance from </w:t>
      </w:r>
      <w:r w:rsidR="00E1299A" w:rsidRPr="00252B36">
        <w:rPr>
          <w:b/>
          <w:i/>
        </w:rPr>
        <w:t>Health Center</w:t>
      </w:r>
      <w:r w:rsidR="00C72CB7" w:rsidRPr="00252B36">
        <w:rPr>
          <w:b/>
          <w:i/>
        </w:rPr>
        <w:t xml:space="preserve">s. </w:t>
      </w:r>
      <w:r w:rsidR="00514635">
        <w:t>During the first round</w:t>
      </w:r>
      <w:r w:rsidR="00C72CB7" w:rsidRPr="00C72CB7">
        <w:t xml:space="preserve"> of data collection, we will build upon the </w:t>
      </w:r>
      <w:r w:rsidR="00E1299A">
        <w:t>health center</w:t>
      </w:r>
      <w:r w:rsidR="00C72CB7" w:rsidRPr="00C72CB7">
        <w:t xml:space="preserve"> staff relationships with their patients to promote the survey among eligible patients and engage them in participating in the surveys. Before data collection starts, participating HCCNs and associated </w:t>
      </w:r>
      <w:r w:rsidR="00E1299A">
        <w:t>health centers</w:t>
      </w:r>
      <w:r w:rsidR="00C72CB7" w:rsidRPr="00C72CB7">
        <w:t xml:space="preserve"> will be briefed and later trained to ensure they have a full understanding of the eligibility criteria, the </w:t>
      </w:r>
      <w:r w:rsidR="00E32D9E">
        <w:t>informed</w:t>
      </w:r>
      <w:r w:rsidR="00C72CB7" w:rsidRPr="00C72CB7">
        <w:t xml:space="preserve"> consent procedures </w:t>
      </w:r>
      <w:r w:rsidR="00E32D9E">
        <w:t xml:space="preserve">for adults and minors </w:t>
      </w:r>
      <w:r w:rsidR="00C72CB7" w:rsidRPr="00C72CB7">
        <w:t xml:space="preserve">that comprise enrollment, and the data collection plan. HRSA will train each </w:t>
      </w:r>
      <w:r w:rsidR="002B2D65">
        <w:t>health center</w:t>
      </w:r>
      <w:r w:rsidR="00C72CB7" w:rsidRPr="00C72CB7">
        <w:t xml:space="preserve"> to use procedures customized to </w:t>
      </w:r>
      <w:r w:rsidR="002B2D65">
        <w:t>its</w:t>
      </w:r>
      <w:r w:rsidR="00C72CB7" w:rsidRPr="00C72CB7">
        <w:t xml:space="preserve"> staffing arrangement</w:t>
      </w:r>
      <w:r w:rsidR="00514635" w:rsidRPr="00514635">
        <w:t xml:space="preserve"> </w:t>
      </w:r>
      <w:r w:rsidR="00514635" w:rsidRPr="00C72CB7">
        <w:t>and work</w:t>
      </w:r>
      <w:r w:rsidR="00514635">
        <w:t xml:space="preserve"> flow</w:t>
      </w:r>
      <w:r w:rsidR="00C72CB7" w:rsidRPr="00C72CB7">
        <w:t xml:space="preserve">. This will ensure that all sampling and consent procedures are clear and implementable at the site level. In addition, because the </w:t>
      </w:r>
      <w:r w:rsidR="00E1299A">
        <w:t>health center</w:t>
      </w:r>
      <w:r w:rsidR="00C72CB7" w:rsidRPr="00C72CB7">
        <w:t xml:space="preserve">s will be sending completed consent forms weekly to the contractor, we expect there will be a minimal gap between the </w:t>
      </w:r>
      <w:r w:rsidR="0039012F">
        <w:t>enroll</w:t>
      </w:r>
      <w:r w:rsidR="00C72CB7" w:rsidRPr="00C72CB7">
        <w:t xml:space="preserve">ment date and the interview date. This has two important implications: the contact information provided on the consent form will be fresh and the </w:t>
      </w:r>
      <w:r w:rsidR="0039012F">
        <w:t>enroll</w:t>
      </w:r>
      <w:r w:rsidR="00C72CB7" w:rsidRPr="00C72CB7">
        <w:t>ed participant will remember enrolling and th</w:t>
      </w:r>
      <w:r w:rsidR="00514635">
        <w:t>us be more likely to complete the telephone interview</w:t>
      </w:r>
      <w:r w:rsidR="00C72CB7" w:rsidRPr="00C72CB7">
        <w:t xml:space="preserve">. </w:t>
      </w:r>
    </w:p>
    <w:p w:rsidR="00C72CB7" w:rsidRPr="00C72CB7" w:rsidRDefault="00C72CB7" w:rsidP="00AC59EC">
      <w:pPr>
        <w:pStyle w:val="NormalSS"/>
        <w:ind w:firstLine="0"/>
      </w:pPr>
      <w:r w:rsidRPr="00C72CB7">
        <w:t xml:space="preserve">Importantly, during the first </w:t>
      </w:r>
      <w:r w:rsidR="00FB4E7B">
        <w:t>round</w:t>
      </w:r>
      <w:r w:rsidRPr="00C72CB7">
        <w:t xml:space="preserve"> of data collection, the </w:t>
      </w:r>
      <w:r w:rsidR="00E1299A">
        <w:t>health centers</w:t>
      </w:r>
      <w:r w:rsidRPr="00C72CB7">
        <w:t xml:space="preserve"> will report weekly about the </w:t>
      </w:r>
      <w:r w:rsidR="0039012F">
        <w:t>enroll</w:t>
      </w:r>
      <w:r w:rsidRPr="00C72CB7">
        <w:t>ment process: how many eligible women have been identified and how many have enrolled (</w:t>
      </w:r>
      <w:r w:rsidR="00FB4E7B">
        <w:t>signed a consent form</w:t>
      </w:r>
      <w:r w:rsidRPr="00C72CB7">
        <w:t xml:space="preserve">). As the </w:t>
      </w:r>
      <w:r w:rsidR="0039012F">
        <w:t>enroll</w:t>
      </w:r>
      <w:r w:rsidRPr="00C72CB7">
        <w:t xml:space="preserve">ment process will </w:t>
      </w:r>
      <w:r w:rsidR="00FB4E7B">
        <w:t xml:space="preserve">be </w:t>
      </w:r>
      <w:r w:rsidRPr="00C72CB7">
        <w:t>ongoing</w:t>
      </w:r>
      <w:r w:rsidR="00FB4E7B">
        <w:t xml:space="preserve"> for approximately 12 week</w:t>
      </w:r>
      <w:r w:rsidR="00113916">
        <w:t>s</w:t>
      </w:r>
      <w:r w:rsidR="00FB4E7B">
        <w:t>, the</w:t>
      </w:r>
      <w:r w:rsidRPr="00C72CB7">
        <w:t xml:space="preserve"> weekly report is critical to monitoring the progress of the sample accrual. This, in turn, is important to ge</w:t>
      </w:r>
      <w:r w:rsidR="00FB4E7B">
        <w:t>nerating a response rate report</w:t>
      </w:r>
      <w:r w:rsidRPr="00C72CB7">
        <w:t xml:space="preserve"> for the survey. The repo</w:t>
      </w:r>
      <w:r w:rsidR="00FB4E7B">
        <w:t>rt</w:t>
      </w:r>
      <w:r w:rsidRPr="00C72CB7">
        <w:t xml:space="preserve"> will enable HRSA to understand how well the completion projections are being met and whe</w:t>
      </w:r>
      <w:r w:rsidR="00FB4E7B">
        <w:t>n enrollment is complete</w:t>
      </w:r>
      <w:r w:rsidRPr="00C72CB7">
        <w:t xml:space="preserve">. </w:t>
      </w:r>
    </w:p>
    <w:p w:rsidR="00C72CB7" w:rsidRPr="00C72CB7" w:rsidRDefault="00FB4E7B" w:rsidP="00AC59EC">
      <w:pPr>
        <w:pStyle w:val="NormalSS"/>
        <w:ind w:firstLine="0"/>
      </w:pPr>
      <w:r>
        <w:t>During Round 2</w:t>
      </w:r>
      <w:r w:rsidR="00C72CB7" w:rsidRPr="00C72CB7">
        <w:t xml:space="preserve">, sample members for the postpartum survey will be women who responded to the </w:t>
      </w:r>
      <w:r>
        <w:t xml:space="preserve">Round 1 survey </w:t>
      </w:r>
      <w:r w:rsidR="00C72CB7" w:rsidRPr="00C72CB7">
        <w:t>pregnant women</w:t>
      </w:r>
      <w:r>
        <w:t>’s</w:t>
      </w:r>
      <w:r w:rsidR="00C72CB7" w:rsidRPr="00C72CB7">
        <w:t xml:space="preserve"> survey. H</w:t>
      </w:r>
      <w:r w:rsidR="002B2D65">
        <w:t>ealth centers</w:t>
      </w:r>
      <w:r w:rsidR="00C72CB7" w:rsidRPr="00C72CB7">
        <w:t xml:space="preserve"> will not need to assist with </w:t>
      </w:r>
      <w:r w:rsidR="0039012F">
        <w:t>enroll</w:t>
      </w:r>
      <w:r w:rsidR="00C72CB7" w:rsidRPr="00C72CB7">
        <w:t xml:space="preserve">ment. However, the </w:t>
      </w:r>
      <w:r w:rsidR="002B2D65">
        <w:t>health centers</w:t>
      </w:r>
      <w:r w:rsidR="002B2D65" w:rsidRPr="00C72CB7">
        <w:t xml:space="preserve"> </w:t>
      </w:r>
      <w:r w:rsidR="00C72CB7" w:rsidRPr="00C72CB7">
        <w:t>will be asked to provide updated locating information for women who are unlocatable and also encouragement to reluctant participants.</w:t>
      </w:r>
    </w:p>
    <w:p w:rsidR="00C72CB7" w:rsidRPr="00C72CB7" w:rsidRDefault="00C72CB7" w:rsidP="00AC59EC">
      <w:pPr>
        <w:pStyle w:val="NormalSS"/>
        <w:ind w:firstLine="0"/>
      </w:pPr>
      <w:r w:rsidRPr="00252B36">
        <w:rPr>
          <w:b/>
          <w:i/>
        </w:rPr>
        <w:t>Implementing th</w:t>
      </w:r>
      <w:r w:rsidR="00252B36" w:rsidRPr="00252B36">
        <w:rPr>
          <w:b/>
          <w:i/>
        </w:rPr>
        <w:t>e Instruments in Blaise Survey S</w:t>
      </w:r>
      <w:r w:rsidRPr="00252B36">
        <w:rPr>
          <w:b/>
          <w:i/>
        </w:rPr>
        <w:t>oftware.</w:t>
      </w:r>
      <w:r w:rsidR="00FB4E7B" w:rsidRPr="00252B36">
        <w:rPr>
          <w:i/>
        </w:rPr>
        <w:t xml:space="preserve"> </w:t>
      </w:r>
      <w:r w:rsidR="00FB4E7B">
        <w:t>Implementing the surv</w:t>
      </w:r>
      <w:r w:rsidRPr="00C72CB7">
        <w:t xml:space="preserve">ey in Blaise software will provide a controlled way to collect data that ensures high quality and consistency by </w:t>
      </w:r>
      <w:r w:rsidR="00E32D9E">
        <w:t>and enforcement of</w:t>
      </w:r>
      <w:r w:rsidRPr="00C72CB7">
        <w:t xml:space="preserve"> rules to avoid various kinds of error</w:t>
      </w:r>
      <w:r w:rsidR="00032087" w:rsidRPr="00C72CB7">
        <w:t xml:space="preserve">. </w:t>
      </w:r>
      <w:r w:rsidRPr="00C72CB7">
        <w:t>The Blaise program will (1) control the routing through the questionnaire, thus avoiding pathing errors; (2) control response ranges so that out of range values are checked and updated in real time by the interviewer; and (3) make consistency checks to ensure that the respondent’s answers are consistent throughout the questionnaire. In addition, it will fill responses from previous asked questions, thus helping interviewers smoothly administer the survey. Finally, Blaise software allows the review of metadata for management purposes.</w:t>
      </w:r>
    </w:p>
    <w:p w:rsidR="00C72CB7" w:rsidRPr="00C72CB7" w:rsidRDefault="005A2186" w:rsidP="00AC59EC">
      <w:pPr>
        <w:pStyle w:val="NormalSS"/>
        <w:ind w:firstLine="0"/>
      </w:pPr>
      <w:r w:rsidRPr="00252B36">
        <w:rPr>
          <w:b/>
          <w:i/>
        </w:rPr>
        <w:t xml:space="preserve">Conducting </w:t>
      </w:r>
      <w:r w:rsidR="00C72CB7" w:rsidRPr="00252B36">
        <w:rPr>
          <w:b/>
          <w:i/>
        </w:rPr>
        <w:t xml:space="preserve">Interviewer Training. </w:t>
      </w:r>
      <w:r w:rsidR="00C72CB7" w:rsidRPr="00C72CB7">
        <w:t xml:space="preserve">Well-trained interviewers are able </w:t>
      </w:r>
      <w:r w:rsidR="00437F08">
        <w:t xml:space="preserve">to </w:t>
      </w:r>
      <w:r w:rsidR="00C72CB7" w:rsidRPr="00C72CB7">
        <w:t xml:space="preserve">help improve response rates by successfully convincing participants to take part, avoiding refusals in reluctant or hostile respondents, and by conducting the survey in a professional but friendly manner that keeps the respondent actively engaged in the interview. Text4baby training will be based on a detailed training manual and supplemented by practice exercises in gaining cooperation, and multiple practice exercises to help them become comfortable with the various major paths of the surveys. During interviewer training, problems with language or routing are sometimes identified. HRSA will leave </w:t>
      </w:r>
      <w:r w:rsidR="00C72CB7" w:rsidRPr="00C72CB7">
        <w:lastRenderedPageBreak/>
        <w:t>sufficient time between training and the start of interviewing to correct and test any errors discovered during training.</w:t>
      </w:r>
    </w:p>
    <w:p w:rsidR="00C72CB7" w:rsidRPr="00C72CB7" w:rsidRDefault="00C72CB7" w:rsidP="00AC59EC">
      <w:pPr>
        <w:pStyle w:val="NormalSS"/>
        <w:ind w:firstLine="0"/>
      </w:pPr>
      <w:r w:rsidRPr="00252B36">
        <w:rPr>
          <w:b/>
          <w:i/>
        </w:rPr>
        <w:t>Locating</w:t>
      </w:r>
      <w:r w:rsidR="005A2186" w:rsidRPr="00252B36">
        <w:rPr>
          <w:b/>
          <w:i/>
        </w:rPr>
        <w:t xml:space="preserve"> Respondents</w:t>
      </w:r>
      <w:r w:rsidRPr="00252B36">
        <w:rPr>
          <w:i/>
        </w:rPr>
        <w:t>.</w:t>
      </w:r>
      <w:r w:rsidRPr="00C72CB7">
        <w:t xml:space="preserve"> If a text4baby sample member is unlocatable, she cannot be interviewed; thus successful locating becomes a critical step in achieving a high response rate. When interviewers are unable to reach a sample member by telephone, they send the case to highly trained locating staff who have skills using internet searches, telephone 411 Reach searches, as well as Google and White Pages searches. </w:t>
      </w:r>
    </w:p>
    <w:p w:rsidR="00C72CB7" w:rsidRPr="00C72CB7" w:rsidRDefault="002D4E3F" w:rsidP="00AC59EC">
      <w:pPr>
        <w:pStyle w:val="NormalSS"/>
        <w:ind w:firstLine="0"/>
      </w:pPr>
      <w:r w:rsidRPr="00252B36">
        <w:rPr>
          <w:b/>
          <w:i/>
        </w:rPr>
        <w:t>Monitoring Interviews to Ensure High Quality D</w:t>
      </w:r>
      <w:r w:rsidR="00C72CB7" w:rsidRPr="00252B36">
        <w:rPr>
          <w:b/>
          <w:i/>
        </w:rPr>
        <w:t xml:space="preserve">ata. </w:t>
      </w:r>
      <w:r w:rsidR="00C72CB7" w:rsidRPr="00C72CB7">
        <w:t xml:space="preserve">Monitoring how interviewers conduct surveys, especially the early ones, is critical to ensuring the high quality of the data. Highly trained monitors will review in “real time” interviews conducted by interviewers. During the first week of interviewing, they will monitor the first case completed by each interviewer. After this point, they monitor 10 percent of all interviews. The monitor listens on the telephone while sitting in front of two computer screens: one screen shows the keystrokes the interviewer is using to record answers, the other screen </w:t>
      </w:r>
      <w:r w:rsidR="00E32D9E">
        <w:t>provides</w:t>
      </w:r>
      <w:r w:rsidR="00C72CB7" w:rsidRPr="00C72CB7">
        <w:t xml:space="preserve"> an assessment form where the monitor records the quality of the interview. At any point the interviewer makes a serious error, potentially leading to missing information, the monitor will approach the interviewer and provide immediate corrective feedback. </w:t>
      </w:r>
    </w:p>
    <w:p w:rsidR="00C72CB7" w:rsidRPr="00C72CB7" w:rsidRDefault="002D4E3F" w:rsidP="00AC59EC">
      <w:pPr>
        <w:pStyle w:val="NormalSS"/>
        <w:ind w:firstLine="0"/>
      </w:pPr>
      <w:r w:rsidRPr="00252B36">
        <w:rPr>
          <w:b/>
          <w:i/>
        </w:rPr>
        <w:t>Debriefing I</w:t>
      </w:r>
      <w:r w:rsidR="00C72CB7" w:rsidRPr="00252B36">
        <w:rPr>
          <w:b/>
          <w:i/>
        </w:rPr>
        <w:t>nterview</w:t>
      </w:r>
      <w:r w:rsidRPr="00252B36">
        <w:rPr>
          <w:b/>
          <w:i/>
        </w:rPr>
        <w:t>ers to Identify Problems E</w:t>
      </w:r>
      <w:r w:rsidR="00C72CB7" w:rsidRPr="00252B36">
        <w:rPr>
          <w:b/>
          <w:i/>
        </w:rPr>
        <w:t xml:space="preserve">arly. </w:t>
      </w:r>
      <w:r w:rsidR="00C72CB7" w:rsidRPr="00C72CB7">
        <w:t>HRSA regards debriefing interviewers as a critical step in quality control of the surveys. Survey staff will be debriefed several times</w:t>
      </w:r>
      <w:r w:rsidR="005A2186">
        <w:t xml:space="preserve"> in the first week or two of data collection</w:t>
      </w:r>
      <w:r w:rsidR="00C72CB7" w:rsidRPr="00C72CB7">
        <w:t xml:space="preserve"> to identify problems in the question language or survey routing. Corrections will be made to errors identified during the debriefings. Update sheets will be sent to all interviewing staff to apprise them of updates to procedures, thus ensuring consistency across all staff. </w:t>
      </w:r>
    </w:p>
    <w:p w:rsidR="00C72CB7" w:rsidRDefault="002D4E3F" w:rsidP="00AC59EC">
      <w:pPr>
        <w:pStyle w:val="NormalSS"/>
        <w:ind w:firstLine="0"/>
      </w:pPr>
      <w:r w:rsidRPr="00252B36">
        <w:rPr>
          <w:b/>
          <w:i/>
        </w:rPr>
        <w:t>Reviewing Data Frequencies</w:t>
      </w:r>
      <w:r w:rsidR="00C72CB7" w:rsidRPr="00252B36">
        <w:rPr>
          <w:b/>
          <w:i/>
        </w:rPr>
        <w:t>.</w:t>
      </w:r>
      <w:r w:rsidR="00C72CB7" w:rsidRPr="00C72CB7">
        <w:rPr>
          <w:b/>
        </w:rPr>
        <w:t xml:space="preserve"> </w:t>
      </w:r>
      <w:r w:rsidR="00C72CB7" w:rsidRPr="00C72CB7">
        <w:t>Frequency reviews are an important tool in ensuring data quality. To determine whether the instrument is performing as specified, survey frequencies will be reviewed after the first 50 cases are completed. If any programming errors are detected, for example, erroneous skip logic or inadequate range specifications, interviewing will stop until the error has been corrected and the correction thoroughly tested. If any missing data need to be retrieved from respondents, specially trained quality control staff will telephone and obtain the missing information. Frequencies will be run a second time to verify that the error has been corrected.</w:t>
      </w:r>
      <w:r w:rsidR="00113916">
        <w:t xml:space="preserve"> We will also ask for a preliminary file of all eligible women for whom consent was attempted to ensure that the final file will be usable to construct analysis weights and compute response rates.</w:t>
      </w:r>
    </w:p>
    <w:p w:rsidR="00C72CB7" w:rsidRPr="00C72CB7" w:rsidRDefault="005A2186" w:rsidP="00AC59EC">
      <w:pPr>
        <w:pStyle w:val="NormalSS"/>
        <w:ind w:firstLine="0"/>
        <w:rPr>
          <w:rFonts w:ascii="Times New Roman" w:hAnsi="Times New Roman"/>
        </w:rPr>
      </w:pPr>
      <w:r w:rsidRPr="00252B36">
        <w:rPr>
          <w:b/>
          <w:i/>
        </w:rPr>
        <w:t xml:space="preserve">Minimizing </w:t>
      </w:r>
      <w:r w:rsidR="00C72CB7" w:rsidRPr="00252B36">
        <w:rPr>
          <w:b/>
          <w:i/>
        </w:rPr>
        <w:t>Nonresponse Bias.</w:t>
      </w:r>
      <w:r w:rsidR="00C72CB7" w:rsidRPr="00C72CB7">
        <w:t xml:space="preserve"> Nonresponse bias is a function of both response rate and how different respondents and nonrespondents are with respect to a particular measure. We will do everything possible to maximize the response rate, which will help mitigate the risk of nonresponse bias. However, because it is unlikely that we will achieve an 80 percent response rate or higher, and because we cannot directly determine how different respondents and nonrespondents are on our key outcome measures, we plan to compare what is known about both respondents and nonrespondents to get a sense of the risk for nonresponse bias. This in turn will point us to the best set of characteristics to use when adjusting the sampling weights for nonresponse. We will explore whatever data are available for both respondents and nonrespondents, using modeling to determine which ones are significantly related to the propensity to respond, and which of these are likely to be related to our key outcomes. We will then construct a propensity score from this logistic regression model to use to adjust our sampling weights for nonresponse.</w:t>
      </w:r>
    </w:p>
    <w:p w:rsidR="00517067" w:rsidRDefault="00517067">
      <w:pPr>
        <w:tabs>
          <w:tab w:val="clear" w:pos="432"/>
        </w:tabs>
        <w:spacing w:line="240" w:lineRule="auto"/>
        <w:ind w:firstLine="0"/>
        <w:jc w:val="left"/>
        <w:rPr>
          <w:b/>
          <w:bCs/>
        </w:rPr>
      </w:pPr>
      <w:r>
        <w:rPr>
          <w:b/>
          <w:bCs/>
        </w:rPr>
        <w:br w:type="page"/>
      </w:r>
    </w:p>
    <w:p w:rsidR="00517067" w:rsidRDefault="00C72CB7" w:rsidP="00610642">
      <w:pPr>
        <w:widowControl w:val="0"/>
        <w:tabs>
          <w:tab w:val="clear" w:pos="432"/>
        </w:tabs>
        <w:autoSpaceDE w:val="0"/>
        <w:autoSpaceDN w:val="0"/>
        <w:adjustRightInd w:val="0"/>
        <w:spacing w:line="240" w:lineRule="auto"/>
        <w:ind w:firstLine="0"/>
        <w:rPr>
          <w:b/>
          <w:bCs/>
        </w:rPr>
      </w:pPr>
      <w:r w:rsidRPr="00B65192">
        <w:rPr>
          <w:b/>
          <w:bCs/>
        </w:rPr>
        <w:lastRenderedPageBreak/>
        <w:t>Consumer Focus Groups, Key Informant Interviews, Stakeholder Interviews</w:t>
      </w:r>
      <w:r w:rsidR="002B2D65">
        <w:rPr>
          <w:b/>
          <w:bCs/>
        </w:rPr>
        <w:t xml:space="preserve"> </w:t>
      </w:r>
    </w:p>
    <w:p w:rsidR="00517067" w:rsidRDefault="00517067" w:rsidP="00610642">
      <w:pPr>
        <w:widowControl w:val="0"/>
        <w:tabs>
          <w:tab w:val="clear" w:pos="432"/>
        </w:tabs>
        <w:autoSpaceDE w:val="0"/>
        <w:autoSpaceDN w:val="0"/>
        <w:adjustRightInd w:val="0"/>
        <w:spacing w:line="240" w:lineRule="auto"/>
        <w:ind w:firstLine="0"/>
        <w:rPr>
          <w:b/>
          <w:bCs/>
        </w:rPr>
      </w:pPr>
    </w:p>
    <w:p w:rsidR="008A53B3" w:rsidRDefault="00613212" w:rsidP="00610642">
      <w:pPr>
        <w:widowControl w:val="0"/>
        <w:tabs>
          <w:tab w:val="clear" w:pos="432"/>
        </w:tabs>
        <w:autoSpaceDE w:val="0"/>
        <w:autoSpaceDN w:val="0"/>
        <w:adjustRightInd w:val="0"/>
        <w:spacing w:line="240" w:lineRule="auto"/>
        <w:ind w:firstLine="0"/>
      </w:pPr>
      <w:r w:rsidRPr="00613212">
        <w:rPr>
          <w:bCs/>
        </w:rPr>
        <w:t>Re</w:t>
      </w:r>
      <w:r w:rsidR="00CA2D22">
        <w:t>spons</w:t>
      </w:r>
      <w:r w:rsidR="008A53B3">
        <w:t xml:space="preserve">e to the three qualitative components—consumer focus groups, key informant interviews, and stakeholder interviews—is expected to be high because of the salience of text4baby as an innovative mobile health technology. </w:t>
      </w:r>
      <w:r w:rsidR="00D11E27">
        <w:t>Outreach to prospective focus group participants will take place via a text message on their cell phones, increasing the likelihood of reaching text4baby subscribers on a timely basis. They will be offered a</w:t>
      </w:r>
      <w:r w:rsidR="008A53B3">
        <w:t xml:space="preserve"> respondent payment of $20 to compensate them for their time. In addition, participants will be given a choice of two times (one afternoon and one evening) and the groups will be held in convenient locations to increase response. </w:t>
      </w:r>
      <w:r w:rsidR="007D79D1">
        <w:t>Reminders will be sent to confirmed participants by text message one week in advance and again the day before.</w:t>
      </w:r>
    </w:p>
    <w:p w:rsidR="00517067" w:rsidRPr="008A53B3" w:rsidRDefault="00517067" w:rsidP="00610642">
      <w:pPr>
        <w:widowControl w:val="0"/>
        <w:tabs>
          <w:tab w:val="clear" w:pos="432"/>
        </w:tabs>
        <w:autoSpaceDE w:val="0"/>
        <w:autoSpaceDN w:val="0"/>
        <w:adjustRightInd w:val="0"/>
        <w:spacing w:line="240" w:lineRule="auto"/>
        <w:ind w:firstLine="0"/>
      </w:pPr>
    </w:p>
    <w:p w:rsidR="00C72CB7" w:rsidRPr="00C72CB7" w:rsidRDefault="008A53B3" w:rsidP="00AC59EC">
      <w:pPr>
        <w:pStyle w:val="NormalSS"/>
        <w:ind w:firstLine="0"/>
      </w:pPr>
      <w:r>
        <w:t>Similarly, t</w:t>
      </w:r>
      <w:r w:rsidR="00C72CB7" w:rsidRPr="00C72CB7">
        <w:t xml:space="preserve">he key </w:t>
      </w:r>
      <w:r w:rsidR="005A2186">
        <w:t xml:space="preserve">informant interviews and </w:t>
      </w:r>
      <w:r w:rsidR="00C72CB7" w:rsidRPr="00C72CB7">
        <w:t xml:space="preserve">stakeholder interviews </w:t>
      </w:r>
      <w:r>
        <w:t xml:space="preserve">will be scheduled </w:t>
      </w:r>
      <w:r w:rsidR="00C72CB7" w:rsidRPr="00C72CB7">
        <w:t>at the convenience of the respondent</w:t>
      </w:r>
      <w:r>
        <w:t xml:space="preserve"> and will last between </w:t>
      </w:r>
      <w:r w:rsidR="007D79D1">
        <w:t>30 and 45</w:t>
      </w:r>
      <w:r w:rsidRPr="00C72CB7">
        <w:t xml:space="preserve"> minutes</w:t>
      </w:r>
      <w:r w:rsidR="00C72CB7" w:rsidRPr="00C72CB7">
        <w:t xml:space="preserve">. A response rate of 95 percent is expected for the key </w:t>
      </w:r>
      <w:r w:rsidR="00C8072B">
        <w:t xml:space="preserve">informant and </w:t>
      </w:r>
      <w:r w:rsidR="00C72CB7" w:rsidRPr="00C72CB7">
        <w:t>stakeholder interviews based on previous experience with similar activities and a typically high level of motivation from the partners involved.</w:t>
      </w:r>
    </w:p>
    <w:p w:rsidR="00C72CB7" w:rsidRPr="00C72CB7" w:rsidRDefault="00C72CB7" w:rsidP="00AC59EC">
      <w:pPr>
        <w:widowControl w:val="0"/>
        <w:tabs>
          <w:tab w:val="clear" w:pos="432"/>
        </w:tabs>
        <w:autoSpaceDE w:val="0"/>
        <w:autoSpaceDN w:val="0"/>
        <w:adjustRightInd w:val="0"/>
        <w:spacing w:after="240" w:line="240" w:lineRule="auto"/>
        <w:ind w:firstLine="0"/>
        <w:rPr>
          <w:b/>
          <w:bCs/>
        </w:rPr>
      </w:pPr>
      <w:r w:rsidRPr="00C72CB7">
        <w:rPr>
          <w:b/>
          <w:bCs/>
        </w:rPr>
        <w:t>4.</w:t>
      </w:r>
      <w:r w:rsidR="00F178B2">
        <w:rPr>
          <w:b/>
          <w:bCs/>
        </w:rPr>
        <w:tab/>
      </w:r>
      <w:r w:rsidRPr="00C72CB7">
        <w:rPr>
          <w:b/>
          <w:u w:val="single"/>
        </w:rPr>
        <w:t>Tests of Procedures or Methods to be Undertaken</w:t>
      </w:r>
    </w:p>
    <w:p w:rsidR="00C72CB7" w:rsidRPr="00CD23AC" w:rsidRDefault="00C72CB7" w:rsidP="00AC59EC">
      <w:pPr>
        <w:pStyle w:val="NormalSS"/>
        <w:ind w:firstLine="0"/>
      </w:pPr>
      <w:r w:rsidRPr="00C72CB7">
        <w:t>HRSA carried out a p</w:t>
      </w:r>
      <w:r w:rsidR="00E03812">
        <w:t xml:space="preserve">retest of </w:t>
      </w:r>
      <w:r w:rsidR="008A53B3">
        <w:t xml:space="preserve">the safety net consumer survey, including </w:t>
      </w:r>
      <w:r w:rsidR="00E03812">
        <w:t>both the pregnant wome</w:t>
      </w:r>
      <w:r w:rsidRPr="00C72CB7">
        <w:t>n</w:t>
      </w:r>
      <w:r w:rsidR="00E03812">
        <w:t>’s survey and the postpartum wome</w:t>
      </w:r>
      <w:r w:rsidRPr="00C72CB7">
        <w:t>n</w:t>
      </w:r>
      <w:r w:rsidR="00E03812">
        <w:t>’s</w:t>
      </w:r>
      <w:r w:rsidRPr="00C72CB7">
        <w:t xml:space="preserve"> survey. Key findings were that the timing of the survey was in line with the budgeted survey length (20 minutes), that the survey worked well but needed </w:t>
      </w:r>
      <w:r w:rsidR="00E03812">
        <w:t>a few</w:t>
      </w:r>
      <w:r w:rsidRPr="00C72CB7">
        <w:t xml:space="preserve"> </w:t>
      </w:r>
      <w:r w:rsidR="007D79D1">
        <w:t>wording</w:t>
      </w:r>
      <w:r w:rsidRPr="00C72CB7">
        <w:t xml:space="preserve"> changes</w:t>
      </w:r>
      <w:r w:rsidR="00D04813">
        <w:t xml:space="preserve"> (particularly </w:t>
      </w:r>
      <w:r w:rsidR="007D79D1">
        <w:t>for</w:t>
      </w:r>
      <w:r w:rsidR="00D04813">
        <w:t xml:space="preserve"> the usual source of care and health insurance questions)</w:t>
      </w:r>
      <w:r w:rsidRPr="00C72CB7">
        <w:t>,</w:t>
      </w:r>
      <w:r w:rsidR="00D04813">
        <w:t xml:space="preserve"> and</w:t>
      </w:r>
      <w:r w:rsidRPr="00C72CB7">
        <w:t xml:space="preserve"> that two questions nee</w:t>
      </w:r>
      <w:r w:rsidRPr="00CD23AC">
        <w:t xml:space="preserve">ded to be moved to the beginning of the surveys in order to make the survey entry flow </w:t>
      </w:r>
      <w:r w:rsidR="00E03812" w:rsidRPr="00CD23AC">
        <w:t>more smoothly</w:t>
      </w:r>
      <w:r w:rsidR="00032087" w:rsidRPr="00CD23AC">
        <w:t xml:space="preserve">. </w:t>
      </w:r>
      <w:r w:rsidRPr="00CD23AC">
        <w:t xml:space="preserve">Attachment </w:t>
      </w:r>
      <w:r w:rsidR="00FF3299">
        <w:t>B</w:t>
      </w:r>
      <w:r w:rsidR="008A53B3" w:rsidRPr="00CD23AC">
        <w:t xml:space="preserve"> contains</w:t>
      </w:r>
      <w:r w:rsidRPr="00CD23AC">
        <w:t xml:space="preserve"> the Pretest Report</w:t>
      </w:r>
      <w:r w:rsidR="0015053F">
        <w:t xml:space="preserve"> and Recommendations</w:t>
      </w:r>
      <w:r w:rsidRPr="00CD23AC">
        <w:t>.</w:t>
      </w:r>
    </w:p>
    <w:p w:rsidR="00C72CB7" w:rsidRPr="00CD23AC" w:rsidRDefault="00C72CB7" w:rsidP="00032087">
      <w:pPr>
        <w:widowControl w:val="0"/>
        <w:tabs>
          <w:tab w:val="clear" w:pos="432"/>
        </w:tabs>
        <w:autoSpaceDE w:val="0"/>
        <w:autoSpaceDN w:val="0"/>
        <w:adjustRightInd w:val="0"/>
        <w:spacing w:line="240" w:lineRule="auto"/>
        <w:ind w:firstLine="0"/>
        <w:rPr>
          <w:b/>
          <w:u w:val="single"/>
        </w:rPr>
      </w:pPr>
      <w:r w:rsidRPr="00CD23AC">
        <w:rPr>
          <w:b/>
          <w:bCs/>
        </w:rPr>
        <w:t>5.</w:t>
      </w:r>
      <w:r w:rsidR="00F178B2" w:rsidRPr="00CD23AC">
        <w:rPr>
          <w:b/>
          <w:bCs/>
        </w:rPr>
        <w:tab/>
      </w:r>
      <w:r w:rsidRPr="00CD23AC">
        <w:rPr>
          <w:b/>
          <w:u w:val="single"/>
        </w:rPr>
        <w:t>Individuals Consulted on Statistical Aspects and Individuals Collecting and/or</w:t>
      </w:r>
    </w:p>
    <w:p w:rsidR="00C72CB7" w:rsidRPr="00CD23AC" w:rsidRDefault="00C72CB7" w:rsidP="00AC59EC">
      <w:pPr>
        <w:widowControl w:val="0"/>
        <w:tabs>
          <w:tab w:val="clear" w:pos="432"/>
        </w:tabs>
        <w:autoSpaceDE w:val="0"/>
        <w:autoSpaceDN w:val="0"/>
        <w:adjustRightInd w:val="0"/>
        <w:spacing w:after="240" w:line="240" w:lineRule="auto"/>
        <w:ind w:left="450" w:firstLine="0"/>
        <w:rPr>
          <w:b/>
          <w:u w:val="single"/>
        </w:rPr>
      </w:pPr>
      <w:r w:rsidRPr="00CD23AC">
        <w:rPr>
          <w:b/>
          <w:u w:val="single"/>
        </w:rPr>
        <w:t>Analyzing Data</w:t>
      </w:r>
    </w:p>
    <w:p w:rsidR="00C72CB7" w:rsidRPr="00E03812" w:rsidRDefault="00C72CB7" w:rsidP="00AC59EC">
      <w:pPr>
        <w:pStyle w:val="NormalSS"/>
        <w:ind w:firstLine="0"/>
        <w:rPr>
          <w:bCs/>
        </w:rPr>
      </w:pPr>
      <w:r w:rsidRPr="00CD23AC">
        <w:t xml:space="preserve">Members of the text4baby TAG were consulted on a monthly basis about the </w:t>
      </w:r>
      <w:r w:rsidR="00E03812" w:rsidRPr="00CD23AC">
        <w:t xml:space="preserve">substantive and methodological </w:t>
      </w:r>
      <w:r w:rsidRPr="00CD23AC">
        <w:t xml:space="preserve">aspects of the study. </w:t>
      </w:r>
      <w:r w:rsidR="00E03812" w:rsidRPr="00CD23AC">
        <w:t xml:space="preserve">Their recommendations were incorporated into the study design and instruments on an ongoing basis. </w:t>
      </w:r>
      <w:r w:rsidR="00FF3299">
        <w:t>See Attachment C</w:t>
      </w:r>
      <w:r w:rsidRPr="00CD23AC">
        <w:t xml:space="preserve"> for a list of TAG members.</w:t>
      </w:r>
      <w:r w:rsidR="00D04813">
        <w:t xml:space="preserve"> </w:t>
      </w:r>
    </w:p>
    <w:p w:rsidR="00C72CB7" w:rsidRPr="00C72CB7" w:rsidRDefault="00C72CB7" w:rsidP="00AC59EC">
      <w:pPr>
        <w:pStyle w:val="NormalSS"/>
        <w:ind w:firstLine="0"/>
      </w:pPr>
      <w:r w:rsidRPr="00C72CB7">
        <w:t>The person responsible for receiving and approving contract deliverables is Emily DeCoster, HRSA.</w:t>
      </w:r>
    </w:p>
    <w:p w:rsidR="00E33FB4" w:rsidRPr="0001119F" w:rsidRDefault="00C72CB7" w:rsidP="00AC59EC">
      <w:pPr>
        <w:pStyle w:val="NormalSS"/>
        <w:ind w:firstLine="0"/>
      </w:pPr>
      <w:r w:rsidRPr="00C72CB7">
        <w:t xml:space="preserve">The design, data collection, and analysis are being conducted by Mathematica Policy Research, prime contractor, and Public Health Institute, subcontractor. </w:t>
      </w:r>
    </w:p>
    <w:sectPr w:rsidR="00E33FB4" w:rsidRPr="0001119F" w:rsidSect="007C0CD8">
      <w:headerReference w:type="default" r:id="rId15"/>
      <w:footerReference w:type="default" r:id="rId16"/>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C57" w:rsidRDefault="005C7C57">
      <w:pPr>
        <w:spacing w:line="240" w:lineRule="auto"/>
        <w:ind w:firstLine="0"/>
      </w:pPr>
    </w:p>
  </w:endnote>
  <w:endnote w:type="continuationSeparator" w:id="0">
    <w:p w:rsidR="005C7C57" w:rsidRDefault="005C7C57">
      <w:pPr>
        <w:spacing w:line="240" w:lineRule="auto"/>
        <w:ind w:firstLine="0"/>
      </w:pPr>
    </w:p>
  </w:endnote>
  <w:endnote w:type="continuationNotice" w:id="1">
    <w:p w:rsidR="005C7C57" w:rsidRDefault="005C7C57">
      <w:pPr>
        <w:spacing w:line="240" w:lineRule="auto"/>
        <w:ind w:firstLine="0"/>
      </w:pPr>
    </w:p>
    <w:p w:rsidR="005C7C57" w:rsidRDefault="005C7C57"/>
    <w:p w:rsidR="005C7C57" w:rsidRDefault="005C7C5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M:\Project\06874 TEXT4BABY\OMB Package REVISED January 2012\Cover Page and Narrative Part B_012212_KB_final.docx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F22" w:rsidRDefault="004B0F22">
    <w:pPr>
      <w:pStyle w:val="Footer"/>
      <w:tabs>
        <w:tab w:val="clear" w:pos="432"/>
        <w:tab w:val="clear" w:pos="4320"/>
        <w:tab w:val="clear" w:pos="8640"/>
        <w:tab w:val="center" w:pos="4770"/>
        <w:tab w:val="right" w:pos="9360"/>
      </w:tabs>
      <w:ind w:firstLine="0"/>
      <w:rPr>
        <w:rStyle w:val="PageNumber"/>
        <w:b/>
        <w:sz w:val="17"/>
      </w:rPr>
    </w:pPr>
    <w:r>
      <w:rPr>
        <w:sz w:val="16"/>
      </w:rPr>
      <w:tab/>
    </w:r>
    <w:r>
      <w:rPr>
        <w:rStyle w:val="PageNumbe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F22" w:rsidRDefault="004B0F22">
    <w:pPr>
      <w:pStyle w:val="Footer"/>
      <w:tabs>
        <w:tab w:val="clear" w:pos="432"/>
        <w:tab w:val="clear" w:pos="4320"/>
        <w:tab w:val="clear" w:pos="8640"/>
        <w:tab w:val="center" w:pos="4770"/>
        <w:tab w:val="right" w:pos="9360"/>
      </w:tabs>
      <w:ind w:firstLine="0"/>
      <w:rPr>
        <w:rStyle w:val="PageNumber"/>
        <w:b/>
        <w:sz w:val="17"/>
      </w:rPr>
    </w:pPr>
    <w:r>
      <w:rPr>
        <w:sz w:val="16"/>
      </w:rPr>
      <w:tab/>
    </w:r>
    <w:r w:rsidR="006A02C4">
      <w:rPr>
        <w:rStyle w:val="PageNumber"/>
      </w:rPr>
      <w:fldChar w:fldCharType="begin"/>
    </w:r>
    <w:r>
      <w:rPr>
        <w:rStyle w:val="PageNumber"/>
      </w:rPr>
      <w:instrText xml:space="preserve"> PAGE </w:instrText>
    </w:r>
    <w:r w:rsidR="006A02C4">
      <w:rPr>
        <w:rStyle w:val="PageNumber"/>
      </w:rPr>
      <w:fldChar w:fldCharType="separate"/>
    </w:r>
    <w:r w:rsidR="00296A99">
      <w:rPr>
        <w:rStyle w:val="PageNumber"/>
        <w:noProof/>
      </w:rPr>
      <w:t>4</w:t>
    </w:r>
    <w:r w:rsidR="006A02C4">
      <w:rPr>
        <w:rStyle w:val="PageNumber"/>
      </w:rPr>
      <w:fldChar w:fldCharType="end"/>
    </w:r>
    <w:r>
      <w:rPr>
        <w:rStyle w:val="PageNumber"/>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F22" w:rsidRDefault="004B0F22">
    <w:pPr>
      <w:pStyle w:val="Footer"/>
      <w:tabs>
        <w:tab w:val="clear" w:pos="432"/>
        <w:tab w:val="clear" w:pos="4320"/>
        <w:tab w:val="clear" w:pos="8640"/>
        <w:tab w:val="center" w:pos="4770"/>
        <w:tab w:val="right" w:pos="9360"/>
      </w:tabs>
      <w:ind w:firstLine="0"/>
      <w:rPr>
        <w:rStyle w:val="PageNumber"/>
        <w:b/>
        <w:sz w:val="17"/>
      </w:rPr>
    </w:pPr>
    <w:r>
      <w:rPr>
        <w:sz w:val="16"/>
      </w:rPr>
      <w:tab/>
    </w:r>
    <w:r w:rsidR="006A02C4">
      <w:rPr>
        <w:rStyle w:val="PageNumber"/>
      </w:rPr>
      <w:fldChar w:fldCharType="begin"/>
    </w:r>
    <w:r>
      <w:rPr>
        <w:rStyle w:val="PageNumber"/>
      </w:rPr>
      <w:instrText xml:space="preserve"> PAGE </w:instrText>
    </w:r>
    <w:r w:rsidR="006A02C4">
      <w:rPr>
        <w:rStyle w:val="PageNumber"/>
      </w:rPr>
      <w:fldChar w:fldCharType="separate"/>
    </w:r>
    <w:r w:rsidR="00296A99">
      <w:rPr>
        <w:rStyle w:val="PageNumber"/>
        <w:noProof/>
      </w:rPr>
      <w:t>11</w:t>
    </w:r>
    <w:r w:rsidR="006A02C4">
      <w:rPr>
        <w:rStyle w:val="PageNumber"/>
      </w:rPr>
      <w:fldChar w:fldCharType="end"/>
    </w:r>
    <w:r>
      <w:rPr>
        <w:rStyle w:val="PageNumbe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F22" w:rsidRDefault="006A02C4" w:rsidP="00C72CB7">
    <w:pPr>
      <w:pStyle w:val="Footer"/>
      <w:tabs>
        <w:tab w:val="clear" w:pos="432"/>
        <w:tab w:val="clear" w:pos="4320"/>
        <w:tab w:val="clear" w:pos="8640"/>
        <w:tab w:val="center" w:pos="4770"/>
        <w:tab w:val="right" w:pos="9360"/>
      </w:tabs>
      <w:spacing w:before="120"/>
      <w:ind w:firstLine="0"/>
      <w:jc w:val="center"/>
      <w:rPr>
        <w:rStyle w:val="PageNumber"/>
        <w:b/>
        <w:sz w:val="17"/>
      </w:rPr>
    </w:pPr>
    <w:r>
      <w:rPr>
        <w:rStyle w:val="PageNumber"/>
      </w:rPr>
      <w:fldChar w:fldCharType="begin"/>
    </w:r>
    <w:r w:rsidR="004B0F22">
      <w:rPr>
        <w:rStyle w:val="PageNumber"/>
      </w:rPr>
      <w:instrText xml:space="preserve"> PAGE </w:instrText>
    </w:r>
    <w:r>
      <w:rPr>
        <w:rStyle w:val="PageNumber"/>
      </w:rPr>
      <w:fldChar w:fldCharType="separate"/>
    </w:r>
    <w:r w:rsidR="00296A99">
      <w:rPr>
        <w:rStyle w:val="PageNumber"/>
        <w:noProof/>
      </w:rPr>
      <w:t>14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C57" w:rsidRDefault="005C7C57">
      <w:pPr>
        <w:spacing w:line="240" w:lineRule="auto"/>
        <w:ind w:firstLine="0"/>
      </w:pPr>
      <w:r>
        <w:separator/>
      </w:r>
    </w:p>
  </w:footnote>
  <w:footnote w:type="continuationSeparator" w:id="0">
    <w:p w:rsidR="005C7C57" w:rsidRDefault="005C7C57">
      <w:pPr>
        <w:spacing w:line="240" w:lineRule="auto"/>
        <w:ind w:firstLine="0"/>
      </w:pPr>
      <w:r>
        <w:separator/>
      </w:r>
    </w:p>
    <w:p w:rsidR="005C7C57" w:rsidRDefault="005C7C57">
      <w:pPr>
        <w:spacing w:line="240" w:lineRule="auto"/>
        <w:ind w:firstLine="0"/>
        <w:rPr>
          <w:i/>
        </w:rPr>
      </w:pPr>
      <w:r>
        <w:rPr>
          <w:i/>
        </w:rPr>
        <w:t>(continued)</w:t>
      </w:r>
    </w:p>
  </w:footnote>
  <w:footnote w:type="continuationNotice" w:id="1">
    <w:p w:rsidR="005C7C57" w:rsidRDefault="005C7C57">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F22" w:rsidRDefault="004B0F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F22" w:rsidRDefault="004B0F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F22" w:rsidRPr="00C72CB7" w:rsidRDefault="004B0F22" w:rsidP="00C72CB7">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77D53"/>
    <w:multiLevelType w:val="hybridMultilevel"/>
    <w:tmpl w:val="B83452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BD10282"/>
    <w:multiLevelType w:val="hybridMultilevel"/>
    <w:tmpl w:val="C55A8676"/>
    <w:lvl w:ilvl="0" w:tplc="4B16EFE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2086C43"/>
    <w:multiLevelType w:val="hybridMultilevel"/>
    <w:tmpl w:val="2282608A"/>
    <w:lvl w:ilvl="0" w:tplc="4B16EFE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0285B65"/>
    <w:multiLevelType w:val="hybridMultilevel"/>
    <w:tmpl w:val="96F6C76A"/>
    <w:lvl w:ilvl="0" w:tplc="4B16EFE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2DC406AC"/>
    <w:multiLevelType w:val="hybridMultilevel"/>
    <w:tmpl w:val="551A3F5E"/>
    <w:lvl w:ilvl="0" w:tplc="C6789608">
      <w:start w:val="1"/>
      <w:numFmt w:val="decimal"/>
      <w:pStyle w:val="NumberedBulletLAST"/>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3">
    <w:nsid w:val="3D5822F7"/>
    <w:multiLevelType w:val="hybridMultilevel"/>
    <w:tmpl w:val="44643BCC"/>
    <w:lvl w:ilvl="0" w:tplc="4B16EFE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4179C9"/>
    <w:multiLevelType w:val="hybridMultilevel"/>
    <w:tmpl w:val="DA22E0FA"/>
    <w:lvl w:ilvl="0" w:tplc="4B16EFE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6">
    <w:nsid w:val="5F4A6784"/>
    <w:multiLevelType w:val="hybridMultilevel"/>
    <w:tmpl w:val="F9CC90CC"/>
    <w:lvl w:ilvl="0" w:tplc="4B16EFE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547443"/>
    <w:multiLevelType w:val="hybridMultilevel"/>
    <w:tmpl w:val="E7DEE1F4"/>
    <w:lvl w:ilvl="0" w:tplc="9D2409C4">
      <w:start w:val="1"/>
      <w:numFmt w:val="bullet"/>
      <w:pStyle w:val="BulletBlueLastDS"/>
      <w:lvlText w:val=""/>
      <w:lvlJc w:val="left"/>
      <w:pPr>
        <w:ind w:left="1152" w:hanging="360"/>
      </w:pPr>
      <w:rPr>
        <w:rFonts w:ascii="Symbol" w:hAnsi="Symbol" w:hint="default"/>
        <w:color w:val="345294"/>
      </w:rPr>
    </w:lvl>
    <w:lvl w:ilvl="1" w:tplc="1E203226" w:tentative="1">
      <w:start w:val="1"/>
      <w:numFmt w:val="bullet"/>
      <w:lvlText w:val="o"/>
      <w:lvlJc w:val="left"/>
      <w:pPr>
        <w:ind w:left="1872" w:hanging="360"/>
      </w:pPr>
      <w:rPr>
        <w:rFonts w:ascii="Courier New" w:hAnsi="Courier New" w:cs="Courier New" w:hint="default"/>
      </w:rPr>
    </w:lvl>
    <w:lvl w:ilvl="2" w:tplc="21200D3C" w:tentative="1">
      <w:start w:val="1"/>
      <w:numFmt w:val="bullet"/>
      <w:lvlText w:val=""/>
      <w:lvlJc w:val="left"/>
      <w:pPr>
        <w:ind w:left="2592" w:hanging="360"/>
      </w:pPr>
      <w:rPr>
        <w:rFonts w:ascii="Wingdings" w:hAnsi="Wingdings" w:hint="default"/>
      </w:rPr>
    </w:lvl>
    <w:lvl w:ilvl="3" w:tplc="0D524904" w:tentative="1">
      <w:start w:val="1"/>
      <w:numFmt w:val="bullet"/>
      <w:lvlText w:val=""/>
      <w:lvlJc w:val="left"/>
      <w:pPr>
        <w:ind w:left="3312" w:hanging="360"/>
      </w:pPr>
      <w:rPr>
        <w:rFonts w:ascii="Symbol" w:hAnsi="Symbol" w:hint="default"/>
      </w:rPr>
    </w:lvl>
    <w:lvl w:ilvl="4" w:tplc="7A7E9474" w:tentative="1">
      <w:start w:val="1"/>
      <w:numFmt w:val="bullet"/>
      <w:lvlText w:val="o"/>
      <w:lvlJc w:val="left"/>
      <w:pPr>
        <w:ind w:left="4032" w:hanging="360"/>
      </w:pPr>
      <w:rPr>
        <w:rFonts w:ascii="Courier New" w:hAnsi="Courier New" w:cs="Courier New" w:hint="default"/>
      </w:rPr>
    </w:lvl>
    <w:lvl w:ilvl="5" w:tplc="B060D932" w:tentative="1">
      <w:start w:val="1"/>
      <w:numFmt w:val="bullet"/>
      <w:lvlText w:val=""/>
      <w:lvlJc w:val="left"/>
      <w:pPr>
        <w:ind w:left="4752" w:hanging="360"/>
      </w:pPr>
      <w:rPr>
        <w:rFonts w:ascii="Wingdings" w:hAnsi="Wingdings" w:hint="default"/>
      </w:rPr>
    </w:lvl>
    <w:lvl w:ilvl="6" w:tplc="E486A818" w:tentative="1">
      <w:start w:val="1"/>
      <w:numFmt w:val="bullet"/>
      <w:lvlText w:val=""/>
      <w:lvlJc w:val="left"/>
      <w:pPr>
        <w:ind w:left="5472" w:hanging="360"/>
      </w:pPr>
      <w:rPr>
        <w:rFonts w:ascii="Symbol" w:hAnsi="Symbol" w:hint="default"/>
      </w:rPr>
    </w:lvl>
    <w:lvl w:ilvl="7" w:tplc="4D8C44B4" w:tentative="1">
      <w:start w:val="1"/>
      <w:numFmt w:val="bullet"/>
      <w:lvlText w:val="o"/>
      <w:lvlJc w:val="left"/>
      <w:pPr>
        <w:ind w:left="6192" w:hanging="360"/>
      </w:pPr>
      <w:rPr>
        <w:rFonts w:ascii="Courier New" w:hAnsi="Courier New" w:cs="Courier New" w:hint="default"/>
      </w:rPr>
    </w:lvl>
    <w:lvl w:ilvl="8" w:tplc="34D89190" w:tentative="1">
      <w:start w:val="1"/>
      <w:numFmt w:val="bullet"/>
      <w:lvlText w:val=""/>
      <w:lvlJc w:val="left"/>
      <w:pPr>
        <w:ind w:left="6912" w:hanging="360"/>
      </w:pPr>
      <w:rPr>
        <w:rFonts w:ascii="Wingdings" w:hAnsi="Wingdings" w:hint="default"/>
      </w:rPr>
    </w:lvl>
  </w:abstractNum>
  <w:abstractNum w:abstractNumId="18">
    <w:nsid w:val="64014F7F"/>
    <w:multiLevelType w:val="hybridMultilevel"/>
    <w:tmpl w:val="18D27792"/>
    <w:lvl w:ilvl="0" w:tplc="4080ECB0">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40C62C1"/>
    <w:multiLevelType w:val="hybridMultilevel"/>
    <w:tmpl w:val="8AEC0C86"/>
    <w:lvl w:ilvl="0" w:tplc="04090001">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6678613F"/>
    <w:multiLevelType w:val="hybridMultilevel"/>
    <w:tmpl w:val="9564B2F6"/>
    <w:lvl w:ilvl="0" w:tplc="ADC0226E">
      <w:start w:val="1"/>
      <w:numFmt w:val="bullet"/>
      <w:lvlText w:val=""/>
      <w:lvlJc w:val="left"/>
      <w:pPr>
        <w:ind w:left="792" w:hanging="360"/>
      </w:pPr>
      <w:rPr>
        <w:rFonts w:ascii="Symbol" w:hAnsi="Symbol" w:hint="default"/>
      </w:rPr>
    </w:lvl>
    <w:lvl w:ilvl="1" w:tplc="25CC74B2" w:tentative="1">
      <w:start w:val="1"/>
      <w:numFmt w:val="bullet"/>
      <w:lvlText w:val="o"/>
      <w:lvlJc w:val="left"/>
      <w:pPr>
        <w:ind w:left="1872" w:hanging="360"/>
      </w:pPr>
      <w:rPr>
        <w:rFonts w:ascii="Courier New" w:hAnsi="Courier New" w:cs="Courier New" w:hint="default"/>
      </w:rPr>
    </w:lvl>
    <w:lvl w:ilvl="2" w:tplc="47AC1816" w:tentative="1">
      <w:start w:val="1"/>
      <w:numFmt w:val="bullet"/>
      <w:lvlText w:val=""/>
      <w:lvlJc w:val="left"/>
      <w:pPr>
        <w:ind w:left="2592" w:hanging="360"/>
      </w:pPr>
      <w:rPr>
        <w:rFonts w:ascii="Wingdings" w:hAnsi="Wingdings" w:hint="default"/>
      </w:rPr>
    </w:lvl>
    <w:lvl w:ilvl="3" w:tplc="857E99A8" w:tentative="1">
      <w:start w:val="1"/>
      <w:numFmt w:val="bullet"/>
      <w:lvlText w:val=""/>
      <w:lvlJc w:val="left"/>
      <w:pPr>
        <w:ind w:left="3312" w:hanging="360"/>
      </w:pPr>
      <w:rPr>
        <w:rFonts w:ascii="Symbol" w:hAnsi="Symbol" w:hint="default"/>
      </w:rPr>
    </w:lvl>
    <w:lvl w:ilvl="4" w:tplc="6630CD8C" w:tentative="1">
      <w:start w:val="1"/>
      <w:numFmt w:val="bullet"/>
      <w:lvlText w:val="o"/>
      <w:lvlJc w:val="left"/>
      <w:pPr>
        <w:ind w:left="4032" w:hanging="360"/>
      </w:pPr>
      <w:rPr>
        <w:rFonts w:ascii="Courier New" w:hAnsi="Courier New" w:cs="Courier New" w:hint="default"/>
      </w:rPr>
    </w:lvl>
    <w:lvl w:ilvl="5" w:tplc="330CDB4A" w:tentative="1">
      <w:start w:val="1"/>
      <w:numFmt w:val="bullet"/>
      <w:lvlText w:val=""/>
      <w:lvlJc w:val="left"/>
      <w:pPr>
        <w:ind w:left="4752" w:hanging="360"/>
      </w:pPr>
      <w:rPr>
        <w:rFonts w:ascii="Wingdings" w:hAnsi="Wingdings" w:hint="default"/>
      </w:rPr>
    </w:lvl>
    <w:lvl w:ilvl="6" w:tplc="60DEB4C8" w:tentative="1">
      <w:start w:val="1"/>
      <w:numFmt w:val="bullet"/>
      <w:lvlText w:val=""/>
      <w:lvlJc w:val="left"/>
      <w:pPr>
        <w:ind w:left="5472" w:hanging="360"/>
      </w:pPr>
      <w:rPr>
        <w:rFonts w:ascii="Symbol" w:hAnsi="Symbol" w:hint="default"/>
      </w:rPr>
    </w:lvl>
    <w:lvl w:ilvl="7" w:tplc="D6889FC8" w:tentative="1">
      <w:start w:val="1"/>
      <w:numFmt w:val="bullet"/>
      <w:lvlText w:val="o"/>
      <w:lvlJc w:val="left"/>
      <w:pPr>
        <w:ind w:left="6192" w:hanging="360"/>
      </w:pPr>
      <w:rPr>
        <w:rFonts w:ascii="Courier New" w:hAnsi="Courier New" w:cs="Courier New" w:hint="default"/>
      </w:rPr>
    </w:lvl>
    <w:lvl w:ilvl="8" w:tplc="2FB6E9E4" w:tentative="1">
      <w:start w:val="1"/>
      <w:numFmt w:val="bullet"/>
      <w:lvlText w:val=""/>
      <w:lvlJc w:val="left"/>
      <w:pPr>
        <w:ind w:left="6912" w:hanging="360"/>
      </w:pPr>
      <w:rPr>
        <w:rFonts w:ascii="Wingdings" w:hAnsi="Wingdings" w:hint="default"/>
      </w:rPr>
    </w:lvl>
  </w:abstractNum>
  <w:abstractNum w:abstractNumId="22">
    <w:nsid w:val="74BD3D44"/>
    <w:multiLevelType w:val="hybridMultilevel"/>
    <w:tmpl w:val="0FCA0D7E"/>
    <w:lvl w:ilvl="0" w:tplc="61A0D038">
      <w:start w:val="1"/>
      <w:numFmt w:val="decimal"/>
      <w:lvlText w:val="%1."/>
      <w:lvlJc w:val="left"/>
      <w:pPr>
        <w:ind w:left="1152" w:hanging="360"/>
      </w:pPr>
      <w:rPr>
        <w:rFonts w:ascii="Times New Roman" w:hAnsi="Times New Roman" w:hint="default"/>
        <w:sz w:val="24"/>
      </w:rPr>
    </w:lvl>
    <w:lvl w:ilvl="1" w:tplc="04090003" w:tentative="1">
      <w:start w:val="1"/>
      <w:numFmt w:val="lowerLetter"/>
      <w:lvlText w:val="%2."/>
      <w:lvlJc w:val="left"/>
      <w:pPr>
        <w:ind w:left="1872" w:hanging="360"/>
      </w:pPr>
    </w:lvl>
    <w:lvl w:ilvl="2" w:tplc="04090005" w:tentative="1">
      <w:start w:val="1"/>
      <w:numFmt w:val="lowerRoman"/>
      <w:lvlText w:val="%3."/>
      <w:lvlJc w:val="right"/>
      <w:pPr>
        <w:ind w:left="2592" w:hanging="180"/>
      </w:pPr>
    </w:lvl>
    <w:lvl w:ilvl="3" w:tplc="04090001" w:tentative="1">
      <w:start w:val="1"/>
      <w:numFmt w:val="decimal"/>
      <w:lvlText w:val="%4."/>
      <w:lvlJc w:val="left"/>
      <w:pPr>
        <w:ind w:left="3312" w:hanging="360"/>
      </w:pPr>
    </w:lvl>
    <w:lvl w:ilvl="4" w:tplc="04090003" w:tentative="1">
      <w:start w:val="1"/>
      <w:numFmt w:val="lowerLetter"/>
      <w:lvlText w:val="%5."/>
      <w:lvlJc w:val="left"/>
      <w:pPr>
        <w:ind w:left="4032" w:hanging="360"/>
      </w:pPr>
    </w:lvl>
    <w:lvl w:ilvl="5" w:tplc="04090005" w:tentative="1">
      <w:start w:val="1"/>
      <w:numFmt w:val="lowerRoman"/>
      <w:lvlText w:val="%6."/>
      <w:lvlJc w:val="right"/>
      <w:pPr>
        <w:ind w:left="4752" w:hanging="180"/>
      </w:pPr>
    </w:lvl>
    <w:lvl w:ilvl="6" w:tplc="04090001" w:tentative="1">
      <w:start w:val="1"/>
      <w:numFmt w:val="decimal"/>
      <w:lvlText w:val="%7."/>
      <w:lvlJc w:val="left"/>
      <w:pPr>
        <w:ind w:left="5472" w:hanging="360"/>
      </w:pPr>
    </w:lvl>
    <w:lvl w:ilvl="7" w:tplc="04090003" w:tentative="1">
      <w:start w:val="1"/>
      <w:numFmt w:val="lowerLetter"/>
      <w:lvlText w:val="%8."/>
      <w:lvlJc w:val="left"/>
      <w:pPr>
        <w:ind w:left="6192" w:hanging="360"/>
      </w:pPr>
    </w:lvl>
    <w:lvl w:ilvl="8" w:tplc="04090005" w:tentative="1">
      <w:start w:val="1"/>
      <w:numFmt w:val="lowerRoman"/>
      <w:lvlText w:val="%9."/>
      <w:lvlJc w:val="right"/>
      <w:pPr>
        <w:ind w:left="6912" w:hanging="180"/>
      </w:pPr>
    </w:lvl>
  </w:abstractNum>
  <w:abstractNum w:abstractNumId="23">
    <w:nsid w:val="78325ECE"/>
    <w:multiLevelType w:val="hybridMultilevel"/>
    <w:tmpl w:val="81D6611E"/>
    <w:lvl w:ilvl="0" w:tplc="4B16EFE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07794B"/>
    <w:multiLevelType w:val="hybridMultilevel"/>
    <w:tmpl w:val="ED6ABC92"/>
    <w:lvl w:ilvl="0" w:tplc="4A946B26">
      <w:start w:val="1"/>
      <w:numFmt w:val="bullet"/>
      <w:pStyle w:val="ListParagraph"/>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25">
    <w:nsid w:val="7C4404EA"/>
    <w:multiLevelType w:val="hybridMultilevel"/>
    <w:tmpl w:val="77A0AEEE"/>
    <w:lvl w:ilvl="0" w:tplc="04090001">
      <w:start w:val="1"/>
      <w:numFmt w:val="bullet"/>
      <w:lvlText w:val=""/>
      <w:lvlJc w:val="left"/>
      <w:pPr>
        <w:ind w:left="792" w:hanging="360"/>
      </w:pPr>
      <w:rPr>
        <w:rFonts w:ascii="Symbol" w:hAnsi="Symbol"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cs="Times New Roman" w:hint="default"/>
      </w:rPr>
    </w:lvl>
    <w:lvl w:ilvl="3" w:tplc="04090001">
      <w:start w:val="1"/>
      <w:numFmt w:val="bullet"/>
      <w:lvlText w:val=""/>
      <w:lvlJc w:val="left"/>
      <w:pPr>
        <w:ind w:left="2952" w:hanging="360"/>
      </w:pPr>
      <w:rPr>
        <w:rFonts w:ascii="Symbol" w:hAnsi="Symbol" w:cs="Times New Roman"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cs="Times New Roman" w:hint="default"/>
      </w:rPr>
    </w:lvl>
    <w:lvl w:ilvl="6" w:tplc="04090001">
      <w:start w:val="1"/>
      <w:numFmt w:val="bullet"/>
      <w:lvlText w:val=""/>
      <w:lvlJc w:val="left"/>
      <w:pPr>
        <w:ind w:left="5112" w:hanging="360"/>
      </w:pPr>
      <w:rPr>
        <w:rFonts w:ascii="Symbol" w:hAnsi="Symbol" w:cs="Times New Roman"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cs="Times New Roman" w:hint="default"/>
      </w:rPr>
    </w:lvl>
  </w:abstractNum>
  <w:num w:numId="1">
    <w:abstractNumId w:val="15"/>
  </w:num>
  <w:num w:numId="2">
    <w:abstractNumId w:val="22"/>
  </w:num>
  <w:num w:numId="3">
    <w:abstractNumId w:val="18"/>
  </w:num>
  <w:num w:numId="4">
    <w:abstractNumId w:val="3"/>
  </w:num>
  <w:num w:numId="5">
    <w:abstractNumId w:val="2"/>
  </w:num>
  <w:num w:numId="6">
    <w:abstractNumId w:val="24"/>
  </w:num>
  <w:num w:numId="7">
    <w:abstractNumId w:val="21"/>
  </w:num>
  <w:num w:numId="8">
    <w:abstractNumId w:val="7"/>
  </w:num>
  <w:num w:numId="9">
    <w:abstractNumId w:val="8"/>
  </w:num>
  <w:num w:numId="10">
    <w:abstractNumId w:val="11"/>
  </w:num>
  <w:num w:numId="11">
    <w:abstractNumId w:val="4"/>
  </w:num>
  <w:num w:numId="12">
    <w:abstractNumId w:val="19"/>
  </w:num>
  <w:num w:numId="13">
    <w:abstractNumId w:val="5"/>
  </w:num>
  <w:num w:numId="14">
    <w:abstractNumId w:val="17"/>
  </w:num>
  <w:num w:numId="15">
    <w:abstractNumId w:val="20"/>
  </w:num>
  <w:num w:numId="16">
    <w:abstractNumId w:val="10"/>
  </w:num>
  <w:num w:numId="17">
    <w:abstractNumId w:val="12"/>
  </w:num>
  <w:num w:numId="18">
    <w:abstractNumId w:val="25"/>
  </w:num>
  <w:num w:numId="1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6"/>
  </w:num>
  <w:num w:numId="22">
    <w:abstractNumId w:val="23"/>
  </w:num>
  <w:num w:numId="23">
    <w:abstractNumId w:val="1"/>
  </w:num>
  <w:num w:numId="24">
    <w:abstractNumId w:val="16"/>
  </w:num>
  <w:num w:numId="25">
    <w:abstractNumId w:val="13"/>
  </w:num>
  <w:num w:numId="26">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doNotTrackMoves/>
  <w:doNotTrackFormatting/>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9218"/>
  </w:hdrShapeDefaults>
  <w:footnotePr>
    <w:footnote w:id="-1"/>
    <w:footnote w:id="0"/>
    <w:footnote w:id="1"/>
  </w:footnotePr>
  <w:endnotePr>
    <w:numFmt w:val="decimal"/>
    <w:endnote w:id="-1"/>
    <w:endnote w:id="0"/>
    <w:endnote w:id="1"/>
  </w:endnotePr>
  <w:compat/>
  <w:rsids>
    <w:rsidRoot w:val="00F178B2"/>
    <w:rsid w:val="000015FB"/>
    <w:rsid w:val="000050E2"/>
    <w:rsid w:val="00005F28"/>
    <w:rsid w:val="00006E1F"/>
    <w:rsid w:val="00007CA0"/>
    <w:rsid w:val="0001119F"/>
    <w:rsid w:val="00012372"/>
    <w:rsid w:val="00012863"/>
    <w:rsid w:val="00017DD1"/>
    <w:rsid w:val="00021A62"/>
    <w:rsid w:val="000300AF"/>
    <w:rsid w:val="00032087"/>
    <w:rsid w:val="00035BCF"/>
    <w:rsid w:val="0003659A"/>
    <w:rsid w:val="00037098"/>
    <w:rsid w:val="00046CA3"/>
    <w:rsid w:val="00046E51"/>
    <w:rsid w:val="00052499"/>
    <w:rsid w:val="00053968"/>
    <w:rsid w:val="00055471"/>
    <w:rsid w:val="00063123"/>
    <w:rsid w:val="00063FEF"/>
    <w:rsid w:val="00066AB9"/>
    <w:rsid w:val="00074CBE"/>
    <w:rsid w:val="000769A1"/>
    <w:rsid w:val="00076CF0"/>
    <w:rsid w:val="00076DBA"/>
    <w:rsid w:val="00080DFA"/>
    <w:rsid w:val="000812AE"/>
    <w:rsid w:val="00081D47"/>
    <w:rsid w:val="00090529"/>
    <w:rsid w:val="000A4439"/>
    <w:rsid w:val="000A544F"/>
    <w:rsid w:val="000B2BD0"/>
    <w:rsid w:val="000B3A77"/>
    <w:rsid w:val="000B7E70"/>
    <w:rsid w:val="000C0118"/>
    <w:rsid w:val="000C15B4"/>
    <w:rsid w:val="000C21AF"/>
    <w:rsid w:val="000C70DC"/>
    <w:rsid w:val="000C72F8"/>
    <w:rsid w:val="000D26CE"/>
    <w:rsid w:val="000D5C4E"/>
    <w:rsid w:val="000D709F"/>
    <w:rsid w:val="000E1D9E"/>
    <w:rsid w:val="000E630E"/>
    <w:rsid w:val="000E6D11"/>
    <w:rsid w:val="000F79B9"/>
    <w:rsid w:val="001001FA"/>
    <w:rsid w:val="00105D23"/>
    <w:rsid w:val="001073C9"/>
    <w:rsid w:val="001110F1"/>
    <w:rsid w:val="00113916"/>
    <w:rsid w:val="001139E9"/>
    <w:rsid w:val="00123EF4"/>
    <w:rsid w:val="00130424"/>
    <w:rsid w:val="0013282C"/>
    <w:rsid w:val="00132E2F"/>
    <w:rsid w:val="001332C0"/>
    <w:rsid w:val="00135AF5"/>
    <w:rsid w:val="00141646"/>
    <w:rsid w:val="00141705"/>
    <w:rsid w:val="00141A0B"/>
    <w:rsid w:val="001425AF"/>
    <w:rsid w:val="00142AE3"/>
    <w:rsid w:val="00144DA7"/>
    <w:rsid w:val="0015053F"/>
    <w:rsid w:val="0015677A"/>
    <w:rsid w:val="00160306"/>
    <w:rsid w:val="00160E09"/>
    <w:rsid w:val="00162191"/>
    <w:rsid w:val="00176B4B"/>
    <w:rsid w:val="00181F53"/>
    <w:rsid w:val="0018564C"/>
    <w:rsid w:val="001927BD"/>
    <w:rsid w:val="001933B1"/>
    <w:rsid w:val="001A07D4"/>
    <w:rsid w:val="001A132D"/>
    <w:rsid w:val="001B360E"/>
    <w:rsid w:val="001B7611"/>
    <w:rsid w:val="001C6D08"/>
    <w:rsid w:val="001D11DE"/>
    <w:rsid w:val="001D247C"/>
    <w:rsid w:val="001D3C41"/>
    <w:rsid w:val="001D634E"/>
    <w:rsid w:val="001E0170"/>
    <w:rsid w:val="001E045B"/>
    <w:rsid w:val="001E0AB2"/>
    <w:rsid w:val="001E466A"/>
    <w:rsid w:val="001F5410"/>
    <w:rsid w:val="00200B10"/>
    <w:rsid w:val="00200CC4"/>
    <w:rsid w:val="002053F3"/>
    <w:rsid w:val="00223990"/>
    <w:rsid w:val="0022402B"/>
    <w:rsid w:val="00224F78"/>
    <w:rsid w:val="00236122"/>
    <w:rsid w:val="00237F6F"/>
    <w:rsid w:val="00242E3A"/>
    <w:rsid w:val="00243909"/>
    <w:rsid w:val="00243DEE"/>
    <w:rsid w:val="00244706"/>
    <w:rsid w:val="0025182E"/>
    <w:rsid w:val="002529B7"/>
    <w:rsid w:val="00252B36"/>
    <w:rsid w:val="002613D2"/>
    <w:rsid w:val="00264716"/>
    <w:rsid w:val="00267F6C"/>
    <w:rsid w:val="00271B2B"/>
    <w:rsid w:val="00280AB2"/>
    <w:rsid w:val="002812A2"/>
    <w:rsid w:val="00281C08"/>
    <w:rsid w:val="00282FD0"/>
    <w:rsid w:val="00284557"/>
    <w:rsid w:val="002849EE"/>
    <w:rsid w:val="00287FD7"/>
    <w:rsid w:val="002921C5"/>
    <w:rsid w:val="002942FB"/>
    <w:rsid w:val="00296A99"/>
    <w:rsid w:val="002A0847"/>
    <w:rsid w:val="002A1ADA"/>
    <w:rsid w:val="002A28C9"/>
    <w:rsid w:val="002A70E7"/>
    <w:rsid w:val="002A7359"/>
    <w:rsid w:val="002B1593"/>
    <w:rsid w:val="002B2D65"/>
    <w:rsid w:val="002B68A5"/>
    <w:rsid w:val="002B6DA0"/>
    <w:rsid w:val="002C413C"/>
    <w:rsid w:val="002C64E8"/>
    <w:rsid w:val="002C7011"/>
    <w:rsid w:val="002C734A"/>
    <w:rsid w:val="002D0A34"/>
    <w:rsid w:val="002D279D"/>
    <w:rsid w:val="002D4E3F"/>
    <w:rsid w:val="002D6999"/>
    <w:rsid w:val="002F1E71"/>
    <w:rsid w:val="002F440B"/>
    <w:rsid w:val="002F60A0"/>
    <w:rsid w:val="002F71D4"/>
    <w:rsid w:val="002F7C83"/>
    <w:rsid w:val="00300CE3"/>
    <w:rsid w:val="00303CF8"/>
    <w:rsid w:val="0030726F"/>
    <w:rsid w:val="00313671"/>
    <w:rsid w:val="00313E69"/>
    <w:rsid w:val="003142E6"/>
    <w:rsid w:val="00317EDA"/>
    <w:rsid w:val="00320EB3"/>
    <w:rsid w:val="00336A60"/>
    <w:rsid w:val="00342CD8"/>
    <w:rsid w:val="00343A0C"/>
    <w:rsid w:val="00350399"/>
    <w:rsid w:val="003503B5"/>
    <w:rsid w:val="00350E63"/>
    <w:rsid w:val="00353544"/>
    <w:rsid w:val="00353E51"/>
    <w:rsid w:val="00354942"/>
    <w:rsid w:val="00354C34"/>
    <w:rsid w:val="0035674B"/>
    <w:rsid w:val="003607F3"/>
    <w:rsid w:val="0036082B"/>
    <w:rsid w:val="0036171D"/>
    <w:rsid w:val="00362133"/>
    <w:rsid w:val="00372AB1"/>
    <w:rsid w:val="00374549"/>
    <w:rsid w:val="00381A96"/>
    <w:rsid w:val="00381B5C"/>
    <w:rsid w:val="00386508"/>
    <w:rsid w:val="0039012F"/>
    <w:rsid w:val="00394752"/>
    <w:rsid w:val="003A1506"/>
    <w:rsid w:val="003A1774"/>
    <w:rsid w:val="003A17E0"/>
    <w:rsid w:val="003A26BB"/>
    <w:rsid w:val="003B1FFC"/>
    <w:rsid w:val="003B303A"/>
    <w:rsid w:val="003B6F09"/>
    <w:rsid w:val="003C0A5F"/>
    <w:rsid w:val="003C27A1"/>
    <w:rsid w:val="003C57EB"/>
    <w:rsid w:val="003D1070"/>
    <w:rsid w:val="003D77B2"/>
    <w:rsid w:val="003E0A97"/>
    <w:rsid w:val="003E0D48"/>
    <w:rsid w:val="003E10A4"/>
    <w:rsid w:val="003E4DE6"/>
    <w:rsid w:val="003F5456"/>
    <w:rsid w:val="00401627"/>
    <w:rsid w:val="0040780A"/>
    <w:rsid w:val="00407BBB"/>
    <w:rsid w:val="00410D8F"/>
    <w:rsid w:val="00410F60"/>
    <w:rsid w:val="004118E0"/>
    <w:rsid w:val="00412D08"/>
    <w:rsid w:val="00414FF6"/>
    <w:rsid w:val="004178CB"/>
    <w:rsid w:val="00417B7A"/>
    <w:rsid w:val="0042039D"/>
    <w:rsid w:val="0042391D"/>
    <w:rsid w:val="0042461E"/>
    <w:rsid w:val="004252FD"/>
    <w:rsid w:val="004338D1"/>
    <w:rsid w:val="00437F08"/>
    <w:rsid w:val="0044551C"/>
    <w:rsid w:val="00446472"/>
    <w:rsid w:val="00446CE2"/>
    <w:rsid w:val="00447C39"/>
    <w:rsid w:val="00447C62"/>
    <w:rsid w:val="00450873"/>
    <w:rsid w:val="00455C7B"/>
    <w:rsid w:val="00463045"/>
    <w:rsid w:val="004642A9"/>
    <w:rsid w:val="00471BC1"/>
    <w:rsid w:val="00474405"/>
    <w:rsid w:val="0047478B"/>
    <w:rsid w:val="00475483"/>
    <w:rsid w:val="00476CB1"/>
    <w:rsid w:val="00490847"/>
    <w:rsid w:val="00491FBE"/>
    <w:rsid w:val="00492B73"/>
    <w:rsid w:val="00494DE9"/>
    <w:rsid w:val="004A0392"/>
    <w:rsid w:val="004A071B"/>
    <w:rsid w:val="004A46CC"/>
    <w:rsid w:val="004B0D54"/>
    <w:rsid w:val="004B0F22"/>
    <w:rsid w:val="004B2E34"/>
    <w:rsid w:val="004D62CD"/>
    <w:rsid w:val="004E7D79"/>
    <w:rsid w:val="004F0B74"/>
    <w:rsid w:val="004F493C"/>
    <w:rsid w:val="004F4E13"/>
    <w:rsid w:val="004F7785"/>
    <w:rsid w:val="00514635"/>
    <w:rsid w:val="00514703"/>
    <w:rsid w:val="00517067"/>
    <w:rsid w:val="00525772"/>
    <w:rsid w:val="00531424"/>
    <w:rsid w:val="00537F22"/>
    <w:rsid w:val="00541E3C"/>
    <w:rsid w:val="00542523"/>
    <w:rsid w:val="00556C74"/>
    <w:rsid w:val="00557FE1"/>
    <w:rsid w:val="005604DC"/>
    <w:rsid w:val="00561223"/>
    <w:rsid w:val="005637D0"/>
    <w:rsid w:val="0056487B"/>
    <w:rsid w:val="005736AF"/>
    <w:rsid w:val="0057678E"/>
    <w:rsid w:val="00576C4F"/>
    <w:rsid w:val="005811B3"/>
    <w:rsid w:val="00581EE2"/>
    <w:rsid w:val="00582CD2"/>
    <w:rsid w:val="00583141"/>
    <w:rsid w:val="00584664"/>
    <w:rsid w:val="0058753C"/>
    <w:rsid w:val="00591AE6"/>
    <w:rsid w:val="00592E1A"/>
    <w:rsid w:val="005944EC"/>
    <w:rsid w:val="00597C9C"/>
    <w:rsid w:val="00597FEB"/>
    <w:rsid w:val="005A19C0"/>
    <w:rsid w:val="005A2186"/>
    <w:rsid w:val="005A3631"/>
    <w:rsid w:val="005A3D02"/>
    <w:rsid w:val="005A4E2C"/>
    <w:rsid w:val="005A52EB"/>
    <w:rsid w:val="005A66CB"/>
    <w:rsid w:val="005B0472"/>
    <w:rsid w:val="005C228F"/>
    <w:rsid w:val="005C272F"/>
    <w:rsid w:val="005C7C57"/>
    <w:rsid w:val="005D01A8"/>
    <w:rsid w:val="005D6DBD"/>
    <w:rsid w:val="005D704C"/>
    <w:rsid w:val="005E1375"/>
    <w:rsid w:val="005E7695"/>
    <w:rsid w:val="005F162C"/>
    <w:rsid w:val="005F430F"/>
    <w:rsid w:val="005F53E1"/>
    <w:rsid w:val="00600494"/>
    <w:rsid w:val="00610642"/>
    <w:rsid w:val="0061254C"/>
    <w:rsid w:val="00613212"/>
    <w:rsid w:val="006150A8"/>
    <w:rsid w:val="0062522C"/>
    <w:rsid w:val="00626C58"/>
    <w:rsid w:val="00635EC3"/>
    <w:rsid w:val="00636860"/>
    <w:rsid w:val="00637A61"/>
    <w:rsid w:val="0064008B"/>
    <w:rsid w:val="00641AC0"/>
    <w:rsid w:val="00645FA6"/>
    <w:rsid w:val="00656171"/>
    <w:rsid w:val="00656761"/>
    <w:rsid w:val="006571CE"/>
    <w:rsid w:val="0065745D"/>
    <w:rsid w:val="00666769"/>
    <w:rsid w:val="00670448"/>
    <w:rsid w:val="006714AC"/>
    <w:rsid w:val="00671E2B"/>
    <w:rsid w:val="00672F90"/>
    <w:rsid w:val="0067684B"/>
    <w:rsid w:val="00677BF6"/>
    <w:rsid w:val="00682BCD"/>
    <w:rsid w:val="0068692D"/>
    <w:rsid w:val="00690B57"/>
    <w:rsid w:val="006959AF"/>
    <w:rsid w:val="006A02C4"/>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D771C"/>
    <w:rsid w:val="006E2AEF"/>
    <w:rsid w:val="006E3DE1"/>
    <w:rsid w:val="006F053F"/>
    <w:rsid w:val="006F0832"/>
    <w:rsid w:val="006F168E"/>
    <w:rsid w:val="006F18B0"/>
    <w:rsid w:val="00702D34"/>
    <w:rsid w:val="00707664"/>
    <w:rsid w:val="00711CA6"/>
    <w:rsid w:val="0071244B"/>
    <w:rsid w:val="00712A21"/>
    <w:rsid w:val="00717B10"/>
    <w:rsid w:val="00720A3E"/>
    <w:rsid w:val="00720F11"/>
    <w:rsid w:val="007214EF"/>
    <w:rsid w:val="00723C00"/>
    <w:rsid w:val="00724DE4"/>
    <w:rsid w:val="00726DD4"/>
    <w:rsid w:val="00730892"/>
    <w:rsid w:val="00731A4C"/>
    <w:rsid w:val="00742342"/>
    <w:rsid w:val="00742C8C"/>
    <w:rsid w:val="00744CFB"/>
    <w:rsid w:val="00745EB6"/>
    <w:rsid w:val="0074653C"/>
    <w:rsid w:val="00747001"/>
    <w:rsid w:val="0074778F"/>
    <w:rsid w:val="00747B99"/>
    <w:rsid w:val="007521DE"/>
    <w:rsid w:val="007525FD"/>
    <w:rsid w:val="00754E03"/>
    <w:rsid w:val="00756EFF"/>
    <w:rsid w:val="00760274"/>
    <w:rsid w:val="00763A57"/>
    <w:rsid w:val="00773734"/>
    <w:rsid w:val="00773E74"/>
    <w:rsid w:val="007761AF"/>
    <w:rsid w:val="0078127B"/>
    <w:rsid w:val="00783B9C"/>
    <w:rsid w:val="00784BA2"/>
    <w:rsid w:val="007906CE"/>
    <w:rsid w:val="007959C1"/>
    <w:rsid w:val="007A501F"/>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D79D1"/>
    <w:rsid w:val="007E1553"/>
    <w:rsid w:val="007E4B90"/>
    <w:rsid w:val="007E6625"/>
    <w:rsid w:val="007F0DA1"/>
    <w:rsid w:val="007F1C0F"/>
    <w:rsid w:val="007F2742"/>
    <w:rsid w:val="007F2DCC"/>
    <w:rsid w:val="007F3E0A"/>
    <w:rsid w:val="007F58E6"/>
    <w:rsid w:val="007F6540"/>
    <w:rsid w:val="007F686C"/>
    <w:rsid w:val="007F7198"/>
    <w:rsid w:val="007F76BA"/>
    <w:rsid w:val="00806376"/>
    <w:rsid w:val="00813568"/>
    <w:rsid w:val="00815170"/>
    <w:rsid w:val="00815ABB"/>
    <w:rsid w:val="008169DF"/>
    <w:rsid w:val="00816DF1"/>
    <w:rsid w:val="00821DD9"/>
    <w:rsid w:val="00833128"/>
    <w:rsid w:val="00837FA6"/>
    <w:rsid w:val="00840E7C"/>
    <w:rsid w:val="008421A1"/>
    <w:rsid w:val="008432EE"/>
    <w:rsid w:val="00850CF2"/>
    <w:rsid w:val="00851DFB"/>
    <w:rsid w:val="00855573"/>
    <w:rsid w:val="008568A8"/>
    <w:rsid w:val="00857845"/>
    <w:rsid w:val="0086314C"/>
    <w:rsid w:val="0086464D"/>
    <w:rsid w:val="0086519F"/>
    <w:rsid w:val="00865D38"/>
    <w:rsid w:val="008663FA"/>
    <w:rsid w:val="00872D54"/>
    <w:rsid w:val="00873713"/>
    <w:rsid w:val="00874265"/>
    <w:rsid w:val="00883BD4"/>
    <w:rsid w:val="008840EE"/>
    <w:rsid w:val="00884BC5"/>
    <w:rsid w:val="00887A63"/>
    <w:rsid w:val="00893B1D"/>
    <w:rsid w:val="00894485"/>
    <w:rsid w:val="00894FCD"/>
    <w:rsid w:val="00895A2A"/>
    <w:rsid w:val="008A3B53"/>
    <w:rsid w:val="008A53B3"/>
    <w:rsid w:val="008B032B"/>
    <w:rsid w:val="008B1F5A"/>
    <w:rsid w:val="008B43D6"/>
    <w:rsid w:val="008C0EA3"/>
    <w:rsid w:val="008C4666"/>
    <w:rsid w:val="008D0DC0"/>
    <w:rsid w:val="008D129A"/>
    <w:rsid w:val="008D5B53"/>
    <w:rsid w:val="008E12AE"/>
    <w:rsid w:val="008E27F1"/>
    <w:rsid w:val="008E602B"/>
    <w:rsid w:val="008F0865"/>
    <w:rsid w:val="008F312B"/>
    <w:rsid w:val="008F5A8F"/>
    <w:rsid w:val="009009D0"/>
    <w:rsid w:val="00902B68"/>
    <w:rsid w:val="00903CAA"/>
    <w:rsid w:val="00907754"/>
    <w:rsid w:val="00912344"/>
    <w:rsid w:val="009156D2"/>
    <w:rsid w:val="009200D9"/>
    <w:rsid w:val="0092134D"/>
    <w:rsid w:val="00931BDB"/>
    <w:rsid w:val="009333D4"/>
    <w:rsid w:val="00936037"/>
    <w:rsid w:val="00944D67"/>
    <w:rsid w:val="00945642"/>
    <w:rsid w:val="00945D20"/>
    <w:rsid w:val="00952494"/>
    <w:rsid w:val="009527CF"/>
    <w:rsid w:val="00952FE4"/>
    <w:rsid w:val="00954AD6"/>
    <w:rsid w:val="00955CD5"/>
    <w:rsid w:val="00956F27"/>
    <w:rsid w:val="0095754B"/>
    <w:rsid w:val="009603FE"/>
    <w:rsid w:val="009672E4"/>
    <w:rsid w:val="00972701"/>
    <w:rsid w:val="009754C4"/>
    <w:rsid w:val="009758F9"/>
    <w:rsid w:val="00977CB6"/>
    <w:rsid w:val="00980DB0"/>
    <w:rsid w:val="00984B0B"/>
    <w:rsid w:val="00990C0A"/>
    <w:rsid w:val="00994EDD"/>
    <w:rsid w:val="00997375"/>
    <w:rsid w:val="009A1591"/>
    <w:rsid w:val="009A5D2E"/>
    <w:rsid w:val="009B0B7A"/>
    <w:rsid w:val="009B20BD"/>
    <w:rsid w:val="009B4174"/>
    <w:rsid w:val="009B61A1"/>
    <w:rsid w:val="009C0EAF"/>
    <w:rsid w:val="009C1F87"/>
    <w:rsid w:val="009C4947"/>
    <w:rsid w:val="009C67C5"/>
    <w:rsid w:val="009E7EE8"/>
    <w:rsid w:val="009F0F58"/>
    <w:rsid w:val="009F3745"/>
    <w:rsid w:val="00A01202"/>
    <w:rsid w:val="00A0454B"/>
    <w:rsid w:val="00A0718C"/>
    <w:rsid w:val="00A10ACD"/>
    <w:rsid w:val="00A129F1"/>
    <w:rsid w:val="00A17E05"/>
    <w:rsid w:val="00A26CF0"/>
    <w:rsid w:val="00A274D2"/>
    <w:rsid w:val="00A31BC3"/>
    <w:rsid w:val="00A3304F"/>
    <w:rsid w:val="00A356E7"/>
    <w:rsid w:val="00A36752"/>
    <w:rsid w:val="00A37976"/>
    <w:rsid w:val="00A407B9"/>
    <w:rsid w:val="00A41ED7"/>
    <w:rsid w:val="00A42745"/>
    <w:rsid w:val="00A43B1C"/>
    <w:rsid w:val="00A467CE"/>
    <w:rsid w:val="00A5366E"/>
    <w:rsid w:val="00A55276"/>
    <w:rsid w:val="00A553D5"/>
    <w:rsid w:val="00A56BB5"/>
    <w:rsid w:val="00A56C6B"/>
    <w:rsid w:val="00A60FFF"/>
    <w:rsid w:val="00A61A2C"/>
    <w:rsid w:val="00A6306A"/>
    <w:rsid w:val="00A63890"/>
    <w:rsid w:val="00A63C5D"/>
    <w:rsid w:val="00A678FC"/>
    <w:rsid w:val="00A71B7A"/>
    <w:rsid w:val="00A72CF0"/>
    <w:rsid w:val="00A80A4F"/>
    <w:rsid w:val="00A82430"/>
    <w:rsid w:val="00A91891"/>
    <w:rsid w:val="00A9613A"/>
    <w:rsid w:val="00A973B2"/>
    <w:rsid w:val="00AB0F92"/>
    <w:rsid w:val="00AB3203"/>
    <w:rsid w:val="00AB567E"/>
    <w:rsid w:val="00AC08A8"/>
    <w:rsid w:val="00AC3943"/>
    <w:rsid w:val="00AC4317"/>
    <w:rsid w:val="00AC59EC"/>
    <w:rsid w:val="00AC5EBF"/>
    <w:rsid w:val="00AC6981"/>
    <w:rsid w:val="00AD4163"/>
    <w:rsid w:val="00AD796B"/>
    <w:rsid w:val="00AE3A26"/>
    <w:rsid w:val="00AF125E"/>
    <w:rsid w:val="00AF1B2F"/>
    <w:rsid w:val="00B13000"/>
    <w:rsid w:val="00B1651A"/>
    <w:rsid w:val="00B20019"/>
    <w:rsid w:val="00B21550"/>
    <w:rsid w:val="00B24137"/>
    <w:rsid w:val="00B25E8B"/>
    <w:rsid w:val="00B31FEF"/>
    <w:rsid w:val="00B325E1"/>
    <w:rsid w:val="00B34AC4"/>
    <w:rsid w:val="00B3588C"/>
    <w:rsid w:val="00B43736"/>
    <w:rsid w:val="00B47AB8"/>
    <w:rsid w:val="00B50776"/>
    <w:rsid w:val="00B528FB"/>
    <w:rsid w:val="00B559AA"/>
    <w:rsid w:val="00B564BC"/>
    <w:rsid w:val="00B62E57"/>
    <w:rsid w:val="00B63270"/>
    <w:rsid w:val="00B64400"/>
    <w:rsid w:val="00B65192"/>
    <w:rsid w:val="00B65228"/>
    <w:rsid w:val="00B70CD9"/>
    <w:rsid w:val="00B71319"/>
    <w:rsid w:val="00B714B7"/>
    <w:rsid w:val="00B80465"/>
    <w:rsid w:val="00B82337"/>
    <w:rsid w:val="00B82E71"/>
    <w:rsid w:val="00B83493"/>
    <w:rsid w:val="00B929B4"/>
    <w:rsid w:val="00B940DD"/>
    <w:rsid w:val="00B95847"/>
    <w:rsid w:val="00B966ED"/>
    <w:rsid w:val="00BA268A"/>
    <w:rsid w:val="00BA3D8F"/>
    <w:rsid w:val="00BA65A5"/>
    <w:rsid w:val="00BA6B31"/>
    <w:rsid w:val="00BB04B1"/>
    <w:rsid w:val="00BB6193"/>
    <w:rsid w:val="00BB6A0B"/>
    <w:rsid w:val="00BB756B"/>
    <w:rsid w:val="00BC15E4"/>
    <w:rsid w:val="00BD1A05"/>
    <w:rsid w:val="00BD1B80"/>
    <w:rsid w:val="00BD5FBC"/>
    <w:rsid w:val="00BE335A"/>
    <w:rsid w:val="00BF187B"/>
    <w:rsid w:val="00BF6B16"/>
    <w:rsid w:val="00BF7DDF"/>
    <w:rsid w:val="00C005D1"/>
    <w:rsid w:val="00C014E6"/>
    <w:rsid w:val="00C02961"/>
    <w:rsid w:val="00C02B5E"/>
    <w:rsid w:val="00C04EBE"/>
    <w:rsid w:val="00C057EF"/>
    <w:rsid w:val="00C07274"/>
    <w:rsid w:val="00C14296"/>
    <w:rsid w:val="00C16B6E"/>
    <w:rsid w:val="00C2333D"/>
    <w:rsid w:val="00C2452C"/>
    <w:rsid w:val="00C24F5D"/>
    <w:rsid w:val="00C2695D"/>
    <w:rsid w:val="00C32246"/>
    <w:rsid w:val="00C41693"/>
    <w:rsid w:val="00C4260B"/>
    <w:rsid w:val="00C43792"/>
    <w:rsid w:val="00C450AE"/>
    <w:rsid w:val="00C510A3"/>
    <w:rsid w:val="00C53387"/>
    <w:rsid w:val="00C546B7"/>
    <w:rsid w:val="00C56ED2"/>
    <w:rsid w:val="00C6623A"/>
    <w:rsid w:val="00C673E2"/>
    <w:rsid w:val="00C70000"/>
    <w:rsid w:val="00C70B6C"/>
    <w:rsid w:val="00C72CB7"/>
    <w:rsid w:val="00C74089"/>
    <w:rsid w:val="00C758F5"/>
    <w:rsid w:val="00C80605"/>
    <w:rsid w:val="00C8072B"/>
    <w:rsid w:val="00C85250"/>
    <w:rsid w:val="00C90E85"/>
    <w:rsid w:val="00C92E5D"/>
    <w:rsid w:val="00C93509"/>
    <w:rsid w:val="00C9777C"/>
    <w:rsid w:val="00CA0455"/>
    <w:rsid w:val="00CA2D22"/>
    <w:rsid w:val="00CA4A39"/>
    <w:rsid w:val="00CA4C69"/>
    <w:rsid w:val="00CA58CB"/>
    <w:rsid w:val="00CA5BC7"/>
    <w:rsid w:val="00CB137C"/>
    <w:rsid w:val="00CB385E"/>
    <w:rsid w:val="00CB4E54"/>
    <w:rsid w:val="00CB6AA7"/>
    <w:rsid w:val="00CC215D"/>
    <w:rsid w:val="00CC3F2F"/>
    <w:rsid w:val="00CC4A3E"/>
    <w:rsid w:val="00CC602E"/>
    <w:rsid w:val="00CC62E0"/>
    <w:rsid w:val="00CD0EB5"/>
    <w:rsid w:val="00CD23AC"/>
    <w:rsid w:val="00CD6D27"/>
    <w:rsid w:val="00CD6F65"/>
    <w:rsid w:val="00CE16E0"/>
    <w:rsid w:val="00CE1EA9"/>
    <w:rsid w:val="00CE3021"/>
    <w:rsid w:val="00CE457E"/>
    <w:rsid w:val="00CF1131"/>
    <w:rsid w:val="00CF3E4E"/>
    <w:rsid w:val="00CF5581"/>
    <w:rsid w:val="00D04813"/>
    <w:rsid w:val="00D11C16"/>
    <w:rsid w:val="00D11E27"/>
    <w:rsid w:val="00D1214E"/>
    <w:rsid w:val="00D14FDB"/>
    <w:rsid w:val="00D150CA"/>
    <w:rsid w:val="00D15D3F"/>
    <w:rsid w:val="00D20BD0"/>
    <w:rsid w:val="00D2311D"/>
    <w:rsid w:val="00D27605"/>
    <w:rsid w:val="00D27A79"/>
    <w:rsid w:val="00D31DCA"/>
    <w:rsid w:val="00D34192"/>
    <w:rsid w:val="00D3638A"/>
    <w:rsid w:val="00D36521"/>
    <w:rsid w:val="00D41F67"/>
    <w:rsid w:val="00D42C39"/>
    <w:rsid w:val="00D451FE"/>
    <w:rsid w:val="00D50D17"/>
    <w:rsid w:val="00D50E23"/>
    <w:rsid w:val="00D531A3"/>
    <w:rsid w:val="00D61BF4"/>
    <w:rsid w:val="00D627AE"/>
    <w:rsid w:val="00D62AA3"/>
    <w:rsid w:val="00D62DF9"/>
    <w:rsid w:val="00D67274"/>
    <w:rsid w:val="00D77566"/>
    <w:rsid w:val="00D90DB4"/>
    <w:rsid w:val="00D94283"/>
    <w:rsid w:val="00D94426"/>
    <w:rsid w:val="00DA371A"/>
    <w:rsid w:val="00DA39C5"/>
    <w:rsid w:val="00DA51B8"/>
    <w:rsid w:val="00DA621C"/>
    <w:rsid w:val="00DB3842"/>
    <w:rsid w:val="00DB4896"/>
    <w:rsid w:val="00DB4CA9"/>
    <w:rsid w:val="00DB5A55"/>
    <w:rsid w:val="00DB6227"/>
    <w:rsid w:val="00DB625D"/>
    <w:rsid w:val="00DB783D"/>
    <w:rsid w:val="00DC05C1"/>
    <w:rsid w:val="00DE1DED"/>
    <w:rsid w:val="00DE264C"/>
    <w:rsid w:val="00DE5628"/>
    <w:rsid w:val="00DE6AD2"/>
    <w:rsid w:val="00DE6E1C"/>
    <w:rsid w:val="00DF4385"/>
    <w:rsid w:val="00E0084E"/>
    <w:rsid w:val="00E008D5"/>
    <w:rsid w:val="00E03491"/>
    <w:rsid w:val="00E03812"/>
    <w:rsid w:val="00E04753"/>
    <w:rsid w:val="00E0544B"/>
    <w:rsid w:val="00E1299A"/>
    <w:rsid w:val="00E12C39"/>
    <w:rsid w:val="00E13871"/>
    <w:rsid w:val="00E16A37"/>
    <w:rsid w:val="00E25796"/>
    <w:rsid w:val="00E3155F"/>
    <w:rsid w:val="00E32D9E"/>
    <w:rsid w:val="00E33FB4"/>
    <w:rsid w:val="00E35802"/>
    <w:rsid w:val="00E36FE2"/>
    <w:rsid w:val="00E51F41"/>
    <w:rsid w:val="00E55B88"/>
    <w:rsid w:val="00E5691B"/>
    <w:rsid w:val="00E601F3"/>
    <w:rsid w:val="00E61505"/>
    <w:rsid w:val="00E6158B"/>
    <w:rsid w:val="00E61FC2"/>
    <w:rsid w:val="00E624DB"/>
    <w:rsid w:val="00E63ACD"/>
    <w:rsid w:val="00E673D2"/>
    <w:rsid w:val="00E701E0"/>
    <w:rsid w:val="00E72220"/>
    <w:rsid w:val="00E74213"/>
    <w:rsid w:val="00E76CD9"/>
    <w:rsid w:val="00E80549"/>
    <w:rsid w:val="00E85272"/>
    <w:rsid w:val="00E90191"/>
    <w:rsid w:val="00E91E19"/>
    <w:rsid w:val="00E95106"/>
    <w:rsid w:val="00E95F26"/>
    <w:rsid w:val="00EA023E"/>
    <w:rsid w:val="00EA0EBF"/>
    <w:rsid w:val="00EA2E9A"/>
    <w:rsid w:val="00EC0B2E"/>
    <w:rsid w:val="00EC20F5"/>
    <w:rsid w:val="00EC46CF"/>
    <w:rsid w:val="00ED1CC5"/>
    <w:rsid w:val="00ED47C6"/>
    <w:rsid w:val="00ED74EC"/>
    <w:rsid w:val="00ED79BB"/>
    <w:rsid w:val="00EE0957"/>
    <w:rsid w:val="00EE0E4E"/>
    <w:rsid w:val="00EF05D5"/>
    <w:rsid w:val="00EF0715"/>
    <w:rsid w:val="00EF0B95"/>
    <w:rsid w:val="00EF1732"/>
    <w:rsid w:val="00EF3ABF"/>
    <w:rsid w:val="00EF3C45"/>
    <w:rsid w:val="00EF636A"/>
    <w:rsid w:val="00EF6795"/>
    <w:rsid w:val="00EF776D"/>
    <w:rsid w:val="00EF7F86"/>
    <w:rsid w:val="00F03412"/>
    <w:rsid w:val="00F11FE7"/>
    <w:rsid w:val="00F142BF"/>
    <w:rsid w:val="00F1508D"/>
    <w:rsid w:val="00F178B2"/>
    <w:rsid w:val="00F24A52"/>
    <w:rsid w:val="00F25E31"/>
    <w:rsid w:val="00F30F6D"/>
    <w:rsid w:val="00F31F97"/>
    <w:rsid w:val="00F336F6"/>
    <w:rsid w:val="00F35860"/>
    <w:rsid w:val="00F36C1D"/>
    <w:rsid w:val="00F40E54"/>
    <w:rsid w:val="00F42C01"/>
    <w:rsid w:val="00F45261"/>
    <w:rsid w:val="00F5243D"/>
    <w:rsid w:val="00F570F0"/>
    <w:rsid w:val="00F5755F"/>
    <w:rsid w:val="00F62807"/>
    <w:rsid w:val="00F647CA"/>
    <w:rsid w:val="00F671C7"/>
    <w:rsid w:val="00F731D3"/>
    <w:rsid w:val="00F85567"/>
    <w:rsid w:val="00F96808"/>
    <w:rsid w:val="00F968DD"/>
    <w:rsid w:val="00FA2139"/>
    <w:rsid w:val="00FA63D5"/>
    <w:rsid w:val="00FA7F74"/>
    <w:rsid w:val="00FB0335"/>
    <w:rsid w:val="00FB3929"/>
    <w:rsid w:val="00FB4E7B"/>
    <w:rsid w:val="00FB6B35"/>
    <w:rsid w:val="00FB6B9E"/>
    <w:rsid w:val="00FC0EF5"/>
    <w:rsid w:val="00FC5611"/>
    <w:rsid w:val="00FC5F8C"/>
    <w:rsid w:val="00FC79B6"/>
    <w:rsid w:val="00FD1CCB"/>
    <w:rsid w:val="00FD35A2"/>
    <w:rsid w:val="00FD6896"/>
    <w:rsid w:val="00FE130F"/>
    <w:rsid w:val="00FE2767"/>
    <w:rsid w:val="00FF0DCF"/>
    <w:rsid w:val="00FF2EE3"/>
    <w:rsid w:val="00FF3299"/>
    <w:rsid w:val="00FF7D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35" w:qFormat="1"/>
    <w:lsdException w:name="footnote reference" w:uiPriority="0"/>
    <w:lsdException w:name="annotation reference" w:uiPriority="0"/>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rsid w:val="00C72CB7"/>
    <w:rPr>
      <w:sz w:val="16"/>
      <w:szCs w:val="16"/>
    </w:rPr>
  </w:style>
  <w:style w:type="paragraph" w:styleId="CommentText">
    <w:name w:val="annotation text"/>
    <w:basedOn w:val="Normal"/>
    <w:link w:val="CommentTextChar"/>
    <w:rsid w:val="00C72CB7"/>
    <w:pPr>
      <w:widowControl w:val="0"/>
      <w:tabs>
        <w:tab w:val="clear" w:pos="432"/>
      </w:tabs>
      <w:autoSpaceDE w:val="0"/>
      <w:autoSpaceDN w:val="0"/>
      <w:adjustRightInd w:val="0"/>
      <w:spacing w:line="240" w:lineRule="auto"/>
      <w:ind w:firstLine="0"/>
      <w:jc w:val="left"/>
    </w:pPr>
    <w:rPr>
      <w:rFonts w:ascii="Times New Roman" w:hAnsi="Times New Roman"/>
      <w:sz w:val="20"/>
      <w:szCs w:val="20"/>
    </w:rPr>
  </w:style>
  <w:style w:type="character" w:customStyle="1" w:styleId="CommentTextChar">
    <w:name w:val="Comment Text Char"/>
    <w:basedOn w:val="DefaultParagraphFont"/>
    <w:link w:val="CommentText"/>
    <w:uiPriority w:val="99"/>
    <w:rsid w:val="00C72CB7"/>
    <w:rPr>
      <w:rFonts w:ascii="Times New Roman" w:hAnsi="Times New Roman"/>
      <w:sz w:val="20"/>
      <w:szCs w:val="20"/>
    </w:rPr>
  </w:style>
  <w:style w:type="table" w:customStyle="1" w:styleId="TableGrid1">
    <w:name w:val="Table Grid1"/>
    <w:basedOn w:val="TableNormal"/>
    <w:next w:val="TableGrid"/>
    <w:uiPriority w:val="59"/>
    <w:rsid w:val="00C72CB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872D54"/>
    <w:pPr>
      <w:widowControl/>
      <w:tabs>
        <w:tab w:val="left" w:pos="432"/>
      </w:tabs>
      <w:autoSpaceDE/>
      <w:autoSpaceDN/>
      <w:adjustRightInd/>
      <w:ind w:firstLine="432"/>
      <w:jc w:val="both"/>
    </w:pPr>
    <w:rPr>
      <w:rFonts w:ascii="Garamond" w:hAnsi="Garamond"/>
      <w:b/>
      <w:bCs/>
    </w:rPr>
  </w:style>
  <w:style w:type="character" w:customStyle="1" w:styleId="CommentSubjectChar">
    <w:name w:val="Comment Subject Char"/>
    <w:basedOn w:val="CommentTextChar"/>
    <w:link w:val="CommentSubject"/>
    <w:uiPriority w:val="99"/>
    <w:semiHidden/>
    <w:rsid w:val="00872D54"/>
    <w:rPr>
      <w:rFonts w:ascii="Times New Roman" w:hAnsi="Times New Roman"/>
      <w:b/>
      <w:bCs/>
      <w:sz w:val="20"/>
      <w:szCs w:val="20"/>
    </w:rPr>
  </w:style>
  <w:style w:type="paragraph" w:styleId="Revision">
    <w:name w:val="Revision"/>
    <w:hidden/>
    <w:uiPriority w:val="99"/>
    <w:semiHidden/>
    <w:rsid w:val="00872D54"/>
  </w:style>
  <w:style w:type="paragraph" w:customStyle="1" w:styleId="NumberedBulletLAST">
    <w:name w:val="Numbered Bullet (LAST)"/>
    <w:basedOn w:val="NumberedBullet"/>
    <w:next w:val="Normal"/>
    <w:rsid w:val="00541E3C"/>
    <w:pPr>
      <w:numPr>
        <w:numId w:val="17"/>
      </w:numPr>
      <w:spacing w:after="480"/>
    </w:pPr>
    <w:rPr>
      <w:rFonts w:ascii="Times New Roman" w:hAnsi="Times New Roman"/>
    </w:rPr>
  </w:style>
  <w:style w:type="character" w:customStyle="1" w:styleId="NormalSScontinuedChar">
    <w:name w:val="NormalSS (continued) Char"/>
    <w:basedOn w:val="DefaultParagraphFont"/>
    <w:rsid w:val="00035BCF"/>
    <w:rPr>
      <w:rFonts w:ascii="Times New Roman" w:hAnsi="Times New Roman" w:cs="Times New Roman"/>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35" w:qFormat="1"/>
    <w:lsdException w:name="footnote reference" w:uiPriority="0"/>
    <w:lsdException w:name="annotation reference" w:uiPriority="0"/>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rsid w:val="00C72CB7"/>
    <w:rPr>
      <w:sz w:val="16"/>
      <w:szCs w:val="16"/>
    </w:rPr>
  </w:style>
  <w:style w:type="paragraph" w:styleId="CommentText">
    <w:name w:val="annotation text"/>
    <w:basedOn w:val="Normal"/>
    <w:link w:val="CommentTextChar"/>
    <w:rsid w:val="00C72CB7"/>
    <w:pPr>
      <w:widowControl w:val="0"/>
      <w:tabs>
        <w:tab w:val="clear" w:pos="432"/>
      </w:tabs>
      <w:autoSpaceDE w:val="0"/>
      <w:autoSpaceDN w:val="0"/>
      <w:adjustRightInd w:val="0"/>
      <w:spacing w:line="240" w:lineRule="auto"/>
      <w:ind w:firstLine="0"/>
      <w:jc w:val="left"/>
    </w:pPr>
    <w:rPr>
      <w:rFonts w:ascii="Times New Roman" w:hAnsi="Times New Roman"/>
      <w:sz w:val="20"/>
      <w:szCs w:val="20"/>
    </w:rPr>
  </w:style>
  <w:style w:type="character" w:customStyle="1" w:styleId="CommentTextChar">
    <w:name w:val="Comment Text Char"/>
    <w:basedOn w:val="DefaultParagraphFont"/>
    <w:link w:val="CommentText"/>
    <w:uiPriority w:val="99"/>
    <w:rsid w:val="00C72CB7"/>
    <w:rPr>
      <w:rFonts w:ascii="Times New Roman" w:hAnsi="Times New Roman"/>
      <w:sz w:val="20"/>
      <w:szCs w:val="20"/>
    </w:rPr>
  </w:style>
  <w:style w:type="table" w:customStyle="1" w:styleId="TableGrid1">
    <w:name w:val="Table Grid1"/>
    <w:basedOn w:val="TableNormal"/>
    <w:next w:val="TableGrid"/>
    <w:uiPriority w:val="59"/>
    <w:rsid w:val="00C72CB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872D54"/>
    <w:pPr>
      <w:widowControl/>
      <w:tabs>
        <w:tab w:val="left" w:pos="432"/>
      </w:tabs>
      <w:autoSpaceDE/>
      <w:autoSpaceDN/>
      <w:adjustRightInd/>
      <w:ind w:firstLine="432"/>
      <w:jc w:val="both"/>
    </w:pPr>
    <w:rPr>
      <w:rFonts w:ascii="Garamond" w:hAnsi="Garamond"/>
      <w:b/>
      <w:bCs/>
    </w:rPr>
  </w:style>
  <w:style w:type="character" w:customStyle="1" w:styleId="CommentSubjectChar">
    <w:name w:val="Comment Subject Char"/>
    <w:basedOn w:val="CommentTextChar"/>
    <w:link w:val="CommentSubject"/>
    <w:uiPriority w:val="99"/>
    <w:semiHidden/>
    <w:rsid w:val="00872D54"/>
    <w:rPr>
      <w:rFonts w:ascii="Times New Roman" w:hAnsi="Times New Roman"/>
      <w:b/>
      <w:bCs/>
      <w:sz w:val="20"/>
      <w:szCs w:val="20"/>
    </w:rPr>
  </w:style>
  <w:style w:type="paragraph" w:styleId="Revision">
    <w:name w:val="Revision"/>
    <w:hidden/>
    <w:uiPriority w:val="99"/>
    <w:semiHidden/>
    <w:rsid w:val="00872D54"/>
  </w:style>
  <w:style w:type="paragraph" w:customStyle="1" w:styleId="NumberedBulletLAST">
    <w:name w:val="Numbered Bullet (LAST)"/>
    <w:basedOn w:val="NumberedBullet"/>
    <w:next w:val="Normal"/>
    <w:rsid w:val="00541E3C"/>
    <w:pPr>
      <w:numPr>
        <w:numId w:val="17"/>
      </w:numPr>
      <w:spacing w:after="480"/>
    </w:pPr>
    <w:rPr>
      <w:rFonts w:ascii="Times New Roman" w:hAnsi="Times New Roman"/>
    </w:rPr>
  </w:style>
  <w:style w:type="character" w:customStyle="1" w:styleId="NormalSScontinuedChar">
    <w:name w:val="NormalSS (continued) Char"/>
    <w:basedOn w:val="DefaultParagraphFont"/>
    <w:rsid w:val="00035BCF"/>
    <w:rPr>
      <w:rFonts w:ascii="Times New Roman" w:hAnsi="Times New Roman" w:cs="Times New Roman"/>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043093190">
      <w:bodyDiv w:val="1"/>
      <w:marLeft w:val="0"/>
      <w:marRight w:val="0"/>
      <w:marTop w:val="0"/>
      <w:marBottom w:val="0"/>
      <w:divBdr>
        <w:top w:val="none" w:sz="0" w:space="0" w:color="auto"/>
        <w:left w:val="none" w:sz="0" w:space="0" w:color="auto"/>
        <w:bottom w:val="none" w:sz="0" w:space="0" w:color="auto"/>
        <w:right w:val="none" w:sz="0" w:space="0" w:color="auto"/>
      </w:divBdr>
      <w:divsChild>
        <w:div w:id="1184438158">
          <w:marLeft w:val="0"/>
          <w:marRight w:val="0"/>
          <w:marTop w:val="0"/>
          <w:marBottom w:val="0"/>
          <w:divBdr>
            <w:top w:val="none" w:sz="0" w:space="0" w:color="auto"/>
            <w:left w:val="none" w:sz="0" w:space="0" w:color="auto"/>
            <w:bottom w:val="none" w:sz="0" w:space="0" w:color="auto"/>
            <w:right w:val="none" w:sz="0" w:space="0" w:color="auto"/>
          </w:divBdr>
        </w:div>
      </w:divsChild>
    </w:div>
    <w:div w:id="160414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43569-1388-4D80-ABE7-EBE8E3542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16</Pages>
  <Words>5981</Words>
  <Characters>34097</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Beckmann</dc:creator>
  <cp:lastModifiedBy>ctac</cp:lastModifiedBy>
  <cp:revision>2</cp:revision>
  <cp:lastPrinted>2012-01-27T22:18:00Z</cp:lastPrinted>
  <dcterms:created xsi:type="dcterms:W3CDTF">2012-02-23T18:45:00Z</dcterms:created>
  <dcterms:modified xsi:type="dcterms:W3CDTF">2012-02-23T18:45:00Z</dcterms:modified>
</cp:coreProperties>
</file>