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66" w:rsidRDefault="00433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Information on Cost Sharing Requirements</w:t>
      </w:r>
    </w:p>
    <w:p w:rsidR="00B92B66" w:rsidRPr="00B92B66" w:rsidRDefault="00B92B66" w:rsidP="00B92B6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States have the option under section 1916 of the Social Security Act</w:t>
      </w:r>
      <w:r w:rsidR="004F3220">
        <w:rPr>
          <w:rFonts w:ascii="Times New Roman" w:hAnsi="Times New Roman" w:cs="Times New Roman"/>
          <w:sz w:val="24"/>
          <w:szCs w:val="24"/>
        </w:rPr>
        <w:t xml:space="preserve"> (the Act)</w:t>
      </w:r>
      <w:r>
        <w:rPr>
          <w:rFonts w:ascii="Times New Roman" w:hAnsi="Times New Roman" w:cs="Times New Roman"/>
          <w:sz w:val="24"/>
          <w:szCs w:val="24"/>
        </w:rPr>
        <w:t xml:space="preserve"> to establish nominal cost sharing for Medicaid beneficiaries.  Under section 1916A</w:t>
      </w:r>
      <w:r w:rsidR="004F3220">
        <w:rPr>
          <w:rFonts w:ascii="Times New Roman" w:hAnsi="Times New Roman" w:cs="Times New Roman"/>
          <w:sz w:val="24"/>
          <w:szCs w:val="24"/>
        </w:rPr>
        <w:t xml:space="preserve"> of the Act</w:t>
      </w:r>
      <w:r>
        <w:rPr>
          <w:rFonts w:ascii="Times New Roman" w:hAnsi="Times New Roman" w:cs="Times New Roman"/>
          <w:sz w:val="24"/>
          <w:szCs w:val="24"/>
        </w:rPr>
        <w:t>, States have greater flexibility to establish alternative cost sharing amounts</w:t>
      </w:r>
      <w:r w:rsidR="00164449">
        <w:rPr>
          <w:rFonts w:ascii="Times New Roman" w:hAnsi="Times New Roman" w:cs="Times New Roman"/>
          <w:sz w:val="24"/>
          <w:szCs w:val="24"/>
        </w:rPr>
        <w:t>, including copayments that exceed nominal as well as premiums for certain beneficiaries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37A2" w:rsidRDefault="004337A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40" w:type="dxa"/>
        <w:tblInd w:w="18" w:type="dxa"/>
        <w:tblLook w:val="04A0"/>
      </w:tblPr>
      <w:tblGrid>
        <w:gridCol w:w="1661"/>
        <w:gridCol w:w="4126"/>
        <w:gridCol w:w="4126"/>
        <w:gridCol w:w="4127"/>
      </w:tblGrid>
      <w:tr w:rsidR="004337A2" w:rsidRPr="002A3875" w:rsidTr="004337A2">
        <w:trPr>
          <w:trHeight w:val="431"/>
        </w:trPr>
        <w:tc>
          <w:tcPr>
            <w:tcW w:w="16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Populations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Exempt from 1916 Cost Sharing</w:t>
            </w:r>
          </w:p>
        </w:tc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Exempt from 1916A Cost Sharing</w:t>
            </w:r>
          </w:p>
        </w:tc>
        <w:tc>
          <w:tcPr>
            <w:tcW w:w="4127" w:type="dxa"/>
            <w:shd w:val="clear" w:color="auto" w:fill="D9D9D9" w:themeFill="background1" w:themeFillShade="D9"/>
            <w:vAlign w:val="center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Exempt under both 1916 &amp; 1916A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Children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Children under age 18 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At the State’s option, children under 21, 20, or 19, or any reasonable category of children aged 18 or older but younger than age 21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Mandatory categorically needy children under age 18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Optional disabled children eligible under the Family Opportunity Act (per sections 1902(a)(10)(A)(ii)(XIX) and 1902(cc) of the Act) </w:t>
            </w:r>
          </w:p>
        </w:tc>
        <w:tc>
          <w:tcPr>
            <w:tcW w:w="4127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Children with family income at or below 100% FPL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Mandatory categorically needy children under age 18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Optional disabled children eligible under the Family Opportunity Act 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Pregnant Women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Services related to pregnancy or to any medical condition which may complicate the pregnancy, including counseling and pharmacotherapy for smoking cessation  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States may elect to exempt pregnant women from all cost sharing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Services related to pregnancy or to any other medical condition which may complicate the pregnancy, including counseling and pharmacotherapy for smoking cessation  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Services related to pregnancy or to any other medical condition which may complicate the pregnancy, including counseling and pharmacotherapy for smoking cessation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Terminally Ill</w:t>
            </w:r>
          </w:p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Individuals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Individuals who are inpatients in a hospital, nursing facility, ICF-MR or other medical institution if subject to post-eligibility treatment of income rules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Individuals who are inpatients in a hospital, nursing facility, ICF-MR or other medical institution if subject to post-eligibility treatment of income rules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Individuals who are inpatients in a hospital, nursing facility, ICF-MR or other medical institution if subject to post-eligibility treatment of income rules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Individuals in Institutions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Terminally ill individuals receiving hospice care 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Terminally ill individuals receiving hospice care 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 xml:space="preserve">Terminally ill individuals receiving hospice care 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Indians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Indians who are currently or have ever received services from an Indian health care provider or through referral under contract health services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Indians who are currently or have ever received services from an Indian health care provider or through referral under contract health services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Indians who are currently or have ever received services from an Indian health care provider or through referral under contract health services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Women with Breast or Cervical Cancer</w:t>
            </w:r>
          </w:p>
        </w:tc>
        <w:tc>
          <w:tcPr>
            <w:tcW w:w="4126" w:type="dxa"/>
          </w:tcPr>
          <w:p w:rsidR="004337A2" w:rsidRDefault="004337A2" w:rsidP="004337A2">
            <w:pPr>
              <w:jc w:val="center"/>
              <w:rPr>
                <w:sz w:val="22"/>
                <w:szCs w:val="22"/>
              </w:rPr>
            </w:pPr>
          </w:p>
          <w:p w:rsidR="004337A2" w:rsidRPr="004337A2" w:rsidRDefault="004337A2" w:rsidP="004337A2">
            <w:pPr>
              <w:jc w:val="center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N/A</w:t>
            </w:r>
          </w:p>
        </w:tc>
        <w:tc>
          <w:tcPr>
            <w:tcW w:w="4126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Women who need treatment for breast or cervical cancer and are enrolled in Medicaid under  1902(a)(10)(A)(ii)(XVIII) and 1902(</w:t>
            </w:r>
            <w:proofErr w:type="spellStart"/>
            <w:r w:rsidRPr="004337A2">
              <w:rPr>
                <w:sz w:val="22"/>
                <w:szCs w:val="22"/>
              </w:rPr>
              <w:t>aa</w:t>
            </w:r>
            <w:proofErr w:type="spellEnd"/>
            <w:r w:rsidRPr="004337A2">
              <w:rPr>
                <w:sz w:val="22"/>
                <w:szCs w:val="22"/>
              </w:rPr>
              <w:t>) of the Act</w:t>
            </w:r>
          </w:p>
        </w:tc>
        <w:tc>
          <w:tcPr>
            <w:tcW w:w="4127" w:type="dxa"/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Women who need treatment for breast or cervical cancer and are enrolled in Medicaid under 1902(a)(10)(A)(ii)(XVIII) and 1902(</w:t>
            </w:r>
            <w:proofErr w:type="spellStart"/>
            <w:r w:rsidRPr="004337A2">
              <w:rPr>
                <w:sz w:val="22"/>
                <w:szCs w:val="22"/>
              </w:rPr>
              <w:t>aa</w:t>
            </w:r>
            <w:proofErr w:type="spellEnd"/>
            <w:r w:rsidRPr="004337A2">
              <w:rPr>
                <w:sz w:val="22"/>
                <w:szCs w:val="22"/>
              </w:rPr>
              <w:t>) of the Act</w:t>
            </w:r>
            <w:r w:rsidRPr="004337A2" w:rsidDel="006F0C5E">
              <w:rPr>
                <w:sz w:val="22"/>
                <w:szCs w:val="22"/>
              </w:rPr>
              <w:t xml:space="preserve"> </w:t>
            </w:r>
          </w:p>
        </w:tc>
      </w:tr>
      <w:tr w:rsidR="004337A2" w:rsidRPr="002A3875" w:rsidTr="004337A2">
        <w:tc>
          <w:tcPr>
            <w:tcW w:w="166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Other Individuals</w:t>
            </w:r>
          </w:p>
        </w:tc>
        <w:tc>
          <w:tcPr>
            <w:tcW w:w="4126" w:type="dxa"/>
            <w:tcBorders>
              <w:bottom w:val="single" w:sz="4" w:space="0" w:color="000000" w:themeColor="text1"/>
            </w:tcBorders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N/A – due to comparability requirements States cannot elect to exempt other groups of individuals</w:t>
            </w:r>
          </w:p>
        </w:tc>
        <w:tc>
          <w:tcPr>
            <w:tcW w:w="4126" w:type="dxa"/>
            <w:tcBorders>
              <w:bottom w:val="single" w:sz="4" w:space="0" w:color="000000" w:themeColor="text1"/>
            </w:tcBorders>
          </w:tcPr>
          <w:p w:rsidR="004337A2" w:rsidRPr="004337A2" w:rsidRDefault="004337A2" w:rsidP="00B92B66">
            <w:pPr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Any additional classes of individuals specified by a State in its Medicaid State plan</w:t>
            </w:r>
          </w:p>
        </w:tc>
        <w:tc>
          <w:tcPr>
            <w:tcW w:w="4127" w:type="dxa"/>
            <w:tcBorders>
              <w:bottom w:val="single" w:sz="4" w:space="0" w:color="000000" w:themeColor="text1"/>
            </w:tcBorders>
          </w:tcPr>
          <w:p w:rsidR="004337A2" w:rsidRDefault="004337A2" w:rsidP="004337A2">
            <w:pPr>
              <w:jc w:val="center"/>
              <w:rPr>
                <w:sz w:val="22"/>
                <w:szCs w:val="22"/>
              </w:rPr>
            </w:pPr>
          </w:p>
          <w:p w:rsidR="004337A2" w:rsidRPr="004337A2" w:rsidRDefault="004337A2" w:rsidP="004337A2">
            <w:pPr>
              <w:jc w:val="center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N/A</w:t>
            </w:r>
          </w:p>
        </w:tc>
      </w:tr>
      <w:tr w:rsidR="004337A2" w:rsidRPr="002A3875" w:rsidTr="004337A2">
        <w:tc>
          <w:tcPr>
            <w:tcW w:w="1661" w:type="dxa"/>
            <w:shd w:val="clear" w:color="auto" w:fill="D9D9D9" w:themeFill="background1" w:themeFillShade="D9"/>
          </w:tcPr>
          <w:p w:rsidR="004337A2" w:rsidRPr="004337A2" w:rsidRDefault="004337A2" w:rsidP="00B92B66">
            <w:pPr>
              <w:rPr>
                <w:b/>
                <w:sz w:val="22"/>
                <w:szCs w:val="22"/>
              </w:rPr>
            </w:pPr>
            <w:r w:rsidRPr="004337A2">
              <w:rPr>
                <w:b/>
                <w:sz w:val="22"/>
                <w:szCs w:val="22"/>
              </w:rPr>
              <w:t>Services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Emergency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Family planning services and supplies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Pregnancy-related services</w:t>
            </w:r>
          </w:p>
        </w:tc>
        <w:tc>
          <w:tcPr>
            <w:tcW w:w="4126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Emergency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Family planning services and supplies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Pregnancy-related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Preventive services for children</w:t>
            </w:r>
          </w:p>
        </w:tc>
        <w:tc>
          <w:tcPr>
            <w:tcW w:w="4127" w:type="dxa"/>
          </w:tcPr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Emergency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Family planning services and supplies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Pregnancy-related services</w:t>
            </w:r>
          </w:p>
          <w:p w:rsidR="004337A2" w:rsidRPr="004337A2" w:rsidRDefault="004337A2" w:rsidP="004337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1"/>
              <w:rPr>
                <w:sz w:val="22"/>
                <w:szCs w:val="22"/>
              </w:rPr>
            </w:pPr>
            <w:r w:rsidRPr="004337A2">
              <w:rPr>
                <w:sz w:val="22"/>
                <w:szCs w:val="22"/>
              </w:rPr>
              <w:t>Preventive services for children</w:t>
            </w:r>
          </w:p>
        </w:tc>
      </w:tr>
    </w:tbl>
    <w:p w:rsidR="004337A2" w:rsidRPr="004337A2" w:rsidRDefault="004337A2" w:rsidP="00F663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37A2" w:rsidRPr="004337A2" w:rsidSect="004337A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B25DA"/>
    <w:multiLevelType w:val="hybridMultilevel"/>
    <w:tmpl w:val="C77A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37A2"/>
    <w:rsid w:val="00164449"/>
    <w:rsid w:val="003A1488"/>
    <w:rsid w:val="004337A2"/>
    <w:rsid w:val="004F3220"/>
    <w:rsid w:val="00A416AA"/>
    <w:rsid w:val="00B81726"/>
    <w:rsid w:val="00B92B66"/>
    <w:rsid w:val="00F6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7A2"/>
    <w:pPr>
      <w:spacing w:after="200" w:line="276" w:lineRule="auto"/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4337A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Schubel</dc:creator>
  <cp:keywords/>
  <dc:description/>
  <cp:lastModifiedBy>Jessica Schubel</cp:lastModifiedBy>
  <cp:revision>4</cp:revision>
  <dcterms:created xsi:type="dcterms:W3CDTF">2012-05-21T20:09:00Z</dcterms:created>
  <dcterms:modified xsi:type="dcterms:W3CDTF">2012-05-22T00:12:00Z</dcterms:modified>
</cp:coreProperties>
</file>