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B30BB2" w:rsidRDefault="007D6E75" w:rsidP="00B30BB2">
      <w:pPr>
        <w:spacing w:after="0" w:line="240" w:lineRule="auto"/>
        <w:jc w:val="center"/>
        <w:rPr>
          <w:rFonts w:cs="Times New Roman"/>
          <w:b/>
          <w:szCs w:val="24"/>
        </w:rPr>
      </w:pPr>
      <w:r w:rsidRPr="00B30BB2">
        <w:rPr>
          <w:rFonts w:cs="Times New Roman"/>
          <w:b/>
          <w:szCs w:val="24"/>
        </w:rPr>
        <w:t>Information Collection #</w:t>
      </w:r>
      <w:r w:rsidR="00453FF8">
        <w:rPr>
          <w:rFonts w:cs="Times New Roman"/>
          <w:b/>
          <w:szCs w:val="24"/>
        </w:rPr>
        <w:t>27</w:t>
      </w:r>
      <w:r w:rsidR="00B30BB2" w:rsidRPr="00B30BB2">
        <w:rPr>
          <w:rFonts w:cs="Times New Roman"/>
          <w:b/>
          <w:bCs/>
          <w:szCs w:val="24"/>
        </w:rPr>
        <w:t xml:space="preserve"> </w:t>
      </w:r>
      <w:r w:rsidR="00B30BB2" w:rsidRPr="00B30BB2">
        <w:rPr>
          <w:rFonts w:cs="Times New Roman"/>
          <w:b/>
          <w:szCs w:val="24"/>
        </w:rPr>
        <w:t>MAGI Conversion Plan</w:t>
      </w:r>
      <w:r w:rsidR="00453FF8">
        <w:rPr>
          <w:rFonts w:cs="Times New Roman"/>
          <w:b/>
          <w:szCs w:val="24"/>
        </w:rPr>
        <w:t xml:space="preserve"> Part 2</w:t>
      </w:r>
    </w:p>
    <w:p w:rsidR="00B30BB2" w:rsidRPr="007D6E75" w:rsidRDefault="00B30BB2" w:rsidP="00B30BB2">
      <w:pPr>
        <w:spacing w:after="0" w:line="240" w:lineRule="auto"/>
        <w:jc w:val="center"/>
        <w:rPr>
          <w:b/>
        </w:rPr>
      </w:pPr>
    </w:p>
    <w:p w:rsidR="007D6E75" w:rsidRDefault="00453FF8" w:rsidP="00513F7D">
      <w:pPr>
        <w:spacing w:after="0" w:line="240" w:lineRule="auto"/>
        <w:jc w:val="center"/>
      </w:pPr>
      <w:r>
        <w:rPr>
          <w:b/>
        </w:rPr>
        <w:t>November 15, 2013</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453FF8" w:rsidRPr="00E809C3" w:rsidRDefault="00453FF8" w:rsidP="00453FF8">
      <w:pPr>
        <w:spacing w:after="0" w:line="240" w:lineRule="auto"/>
        <w:rPr>
          <w:rFonts w:cs="Times New Roman"/>
          <w:szCs w:val="24"/>
        </w:rPr>
      </w:pPr>
      <w:proofErr w:type="gramStart"/>
      <w:r w:rsidRPr="00886D94">
        <w:rPr>
          <w:rFonts w:cs="Times New Roman"/>
          <w:szCs w:val="24"/>
        </w:rPr>
        <w:t>Under the provisions of the Patient Protection and Affordable Care Act of 2010 and the Health Care and Education and Reconciliation Act of 2010 (collectively referred to as the Affordable Care Act) states can provide eligibility for certain adult populations in their Medicaid programs for which federal funding at increased federal medical assistance percentage (FMAP) rates is available effective beginning January 1, 2014.</w:t>
      </w:r>
      <w:proofErr w:type="gramEnd"/>
      <w:r w:rsidRPr="00886D94">
        <w:rPr>
          <w:rFonts w:cs="Times New Roman"/>
          <w:szCs w:val="24"/>
        </w:rPr>
        <w:t xml:space="preserve">  </w:t>
      </w:r>
      <w:r>
        <w:rPr>
          <w:rFonts w:cs="Times New Roman"/>
          <w:szCs w:val="24"/>
        </w:rPr>
        <w:t>T</w:t>
      </w:r>
      <w:r w:rsidRPr="00886D94">
        <w:rPr>
          <w:rFonts w:cs="Times New Roman"/>
          <w:szCs w:val="24"/>
        </w:rPr>
        <w:t xml:space="preserve">he final regulations implementing the requirements and describing the methodology for determining the availability of increased FMAP rates for the new adult eligibility group </w:t>
      </w:r>
      <w:r>
        <w:rPr>
          <w:rFonts w:cs="Times New Roman"/>
          <w:szCs w:val="24"/>
        </w:rPr>
        <w:t xml:space="preserve">were </w:t>
      </w:r>
      <w:r w:rsidRPr="00886D94">
        <w:rPr>
          <w:rFonts w:cs="Times New Roman"/>
          <w:szCs w:val="24"/>
        </w:rPr>
        <w:t xml:space="preserve">published in the Federal Register on April 2, 2013 (78 FR 19918, link: </w:t>
      </w:r>
      <w:hyperlink r:id="rId6" w:history="1">
        <w:r w:rsidRPr="00886D94">
          <w:rPr>
            <w:rStyle w:val="Hyperlink"/>
            <w:rFonts w:cs="Times New Roman"/>
            <w:szCs w:val="24"/>
          </w:rPr>
          <w:t>http://www.gpo.gov/fdsys/pkg/FR-2013-04-02/pdf/2013-07599.pdf</w:t>
        </w:r>
      </w:hyperlink>
      <w:r w:rsidRPr="00886D94">
        <w:rPr>
          <w:rFonts w:cs="Times New Roman"/>
          <w:szCs w:val="24"/>
        </w:rPr>
        <w:t>)</w:t>
      </w:r>
      <w:r>
        <w:rPr>
          <w:rFonts w:cs="Times New Roman"/>
          <w:szCs w:val="24"/>
        </w:rPr>
        <w:t xml:space="preserve">.  Pursuant to those regulations, </w:t>
      </w:r>
      <w:r w:rsidRPr="00E809C3">
        <w:rPr>
          <w:rFonts w:cs="Times New Roman"/>
          <w:szCs w:val="24"/>
        </w:rPr>
        <w:t xml:space="preserve">the state must make an individual income-based determination for </w:t>
      </w:r>
      <w:r>
        <w:rPr>
          <w:rFonts w:cs="Times New Roman"/>
          <w:szCs w:val="24"/>
        </w:rPr>
        <w:t xml:space="preserve">individuals in the adult group </w:t>
      </w:r>
      <w:r w:rsidRPr="00E809C3">
        <w:rPr>
          <w:rFonts w:cs="Times New Roman"/>
          <w:szCs w:val="24"/>
        </w:rPr>
        <w:t>by comparing individuals’ income</w:t>
      </w:r>
      <w:r>
        <w:rPr>
          <w:rFonts w:cs="Times New Roman"/>
          <w:szCs w:val="24"/>
        </w:rPr>
        <w:t>s</w:t>
      </w:r>
      <w:r w:rsidRPr="00E809C3">
        <w:rPr>
          <w:rFonts w:cs="Times New Roman"/>
          <w:szCs w:val="24"/>
        </w:rPr>
        <w:t xml:space="preserve"> to the relevant converted income eligibility standards in effect on December 1, 2009</w:t>
      </w:r>
      <w:r>
        <w:rPr>
          <w:rFonts w:cs="Times New Roman"/>
          <w:szCs w:val="24"/>
        </w:rPr>
        <w:t xml:space="preserve">.  Through the MAGI Conversion Plan (Part2) document, states will submit for approval the relevant converted income eligibility standards.  </w:t>
      </w:r>
      <w:r w:rsidRPr="00886D94">
        <w:rPr>
          <w:rFonts w:cs="Times New Roman"/>
          <w:szCs w:val="24"/>
        </w:rPr>
        <w:t>As described in the December 28, 2012 State Health Officials’ Letter on Modified Adjusted Gross Income (MAGI) income conversion, states can choose among three options to convert net standards for Medicaid to MAGI equivalent standards.  The purpose of the MAGI Conversion Plan</w:t>
      </w:r>
      <w:r>
        <w:rPr>
          <w:rFonts w:cs="Times New Roman"/>
          <w:szCs w:val="24"/>
        </w:rPr>
        <w:t xml:space="preserve"> (</w:t>
      </w:r>
      <w:r w:rsidRPr="00886D94">
        <w:rPr>
          <w:rFonts w:cs="Times New Roman"/>
          <w:szCs w:val="24"/>
        </w:rPr>
        <w:t>Part II</w:t>
      </w:r>
      <w:r>
        <w:rPr>
          <w:rFonts w:cs="Times New Roman"/>
          <w:szCs w:val="24"/>
        </w:rPr>
        <w:t>)</w:t>
      </w:r>
      <w:r w:rsidRPr="00886D94">
        <w:rPr>
          <w:rFonts w:cs="Times New Roman"/>
          <w:szCs w:val="24"/>
        </w:rPr>
        <w:t xml:space="preserve"> is to provide CMS with information about each state’s MAGI conversion methodology, as well as the data used and results of conversion for FMAP claiming purposes.  </w:t>
      </w:r>
      <w:r w:rsidRPr="00E809C3">
        <w:rPr>
          <w:rFonts w:cs="Times New Roman"/>
          <w:szCs w:val="24"/>
        </w:rPr>
        <w:t xml:space="preserve">Under the </w:t>
      </w:r>
      <w:r>
        <w:rPr>
          <w:rFonts w:cs="Times New Roman"/>
          <w:szCs w:val="24"/>
        </w:rPr>
        <w:t>“</w:t>
      </w:r>
      <w:r w:rsidRPr="00E809C3">
        <w:rPr>
          <w:rFonts w:cs="Times New Roman"/>
          <w:szCs w:val="24"/>
        </w:rPr>
        <w:t>threshold methodology</w:t>
      </w:r>
      <w:r>
        <w:rPr>
          <w:rFonts w:cs="Times New Roman"/>
          <w:szCs w:val="24"/>
        </w:rPr>
        <w:t>”</w:t>
      </w:r>
      <w:r w:rsidRPr="00E809C3">
        <w:rPr>
          <w:rFonts w:cs="Times New Roman"/>
          <w:szCs w:val="24"/>
        </w:rPr>
        <w:t xml:space="preserve">, the expenditures of individuals with incomes below the relevant converted income standards for the applicable subgroup </w:t>
      </w:r>
      <w:proofErr w:type="gramStart"/>
      <w:r w:rsidRPr="00E809C3">
        <w:rPr>
          <w:rFonts w:cs="Times New Roman"/>
          <w:szCs w:val="24"/>
        </w:rPr>
        <w:t>will be provisionally considered</w:t>
      </w:r>
      <w:proofErr w:type="gramEnd"/>
      <w:r w:rsidRPr="00E809C3">
        <w:rPr>
          <w:rFonts w:cs="Times New Roman"/>
          <w:szCs w:val="24"/>
        </w:rPr>
        <w:t xml:space="preserve"> as those for which the newly eligible FMAP is not available.</w:t>
      </w:r>
    </w:p>
    <w:p w:rsidR="0020026D" w:rsidRDefault="0020026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453FF8">
        <w:t>43,908</w:t>
      </w:r>
      <w:r>
        <w:t xml:space="preserve"> hours, leaving our burden ceiling at </w:t>
      </w:r>
      <w:r w:rsidR="00453FF8">
        <w:t>42,332</w:t>
      </w:r>
      <w:bookmarkStart w:id="0" w:name="_GoBack"/>
      <w:bookmarkEnd w:id="0"/>
      <w:r w:rsidR="00043D0E">
        <w:t xml:space="preserve"> </w:t>
      </w:r>
      <w:r>
        <w:t>hours. CMS estimates that each State will complete the collection of dat</w:t>
      </w:r>
      <w:r w:rsidR="00B30BB2">
        <w:t>a and submission to CMS within 2</w:t>
      </w:r>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453FF8" w:rsidRPr="00453FF8" w:rsidRDefault="00453FF8" w:rsidP="00453FF8">
      <w:pPr>
        <w:pStyle w:val="ListParagraph"/>
        <w:numPr>
          <w:ilvl w:val="0"/>
          <w:numId w:val="3"/>
        </w:numPr>
        <w:rPr>
          <w:sz w:val="22"/>
          <w:szCs w:val="28"/>
        </w:rPr>
      </w:pPr>
      <w:r w:rsidRPr="00453FF8">
        <w:rPr>
          <w:sz w:val="22"/>
          <w:szCs w:val="28"/>
        </w:rPr>
        <w:t>Part 2 of Modified Adjusted Gross Income (MAGI) Conversion Plan</w:t>
      </w:r>
    </w:p>
    <w:p w:rsidR="004062C5" w:rsidRDefault="004062C5" w:rsidP="004062C5">
      <w:pPr>
        <w:spacing w:after="0" w:line="240" w:lineRule="auto"/>
      </w:pP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6099E"/>
    <w:rsid w:val="00175A39"/>
    <w:rsid w:val="00185CB4"/>
    <w:rsid w:val="001A1FC6"/>
    <w:rsid w:val="001E66B6"/>
    <w:rsid w:val="0020026D"/>
    <w:rsid w:val="002041FA"/>
    <w:rsid w:val="00222B4F"/>
    <w:rsid w:val="00243A17"/>
    <w:rsid w:val="00252D20"/>
    <w:rsid w:val="0027114C"/>
    <w:rsid w:val="00281219"/>
    <w:rsid w:val="002B1F4A"/>
    <w:rsid w:val="003248D0"/>
    <w:rsid w:val="003918B4"/>
    <w:rsid w:val="003F4D04"/>
    <w:rsid w:val="004062C5"/>
    <w:rsid w:val="00453FF8"/>
    <w:rsid w:val="00454078"/>
    <w:rsid w:val="00467E98"/>
    <w:rsid w:val="00474257"/>
    <w:rsid w:val="00475EF8"/>
    <w:rsid w:val="00483058"/>
    <w:rsid w:val="004B13E8"/>
    <w:rsid w:val="005040B7"/>
    <w:rsid w:val="00513F7D"/>
    <w:rsid w:val="0052333E"/>
    <w:rsid w:val="005344DC"/>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305B6"/>
    <w:rsid w:val="00A571A6"/>
    <w:rsid w:val="00A718B4"/>
    <w:rsid w:val="00AB01BC"/>
    <w:rsid w:val="00AE1BD8"/>
    <w:rsid w:val="00B30BB2"/>
    <w:rsid w:val="00B43BBD"/>
    <w:rsid w:val="00B532F3"/>
    <w:rsid w:val="00B87957"/>
    <w:rsid w:val="00C22026"/>
    <w:rsid w:val="00C33092"/>
    <w:rsid w:val="00C74802"/>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3-04-02/pdf/2013-0759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3</cp:revision>
  <cp:lastPrinted>2012-11-08T15:50:00Z</cp:lastPrinted>
  <dcterms:created xsi:type="dcterms:W3CDTF">2013-11-15T14:20:00Z</dcterms:created>
  <dcterms:modified xsi:type="dcterms:W3CDTF">2013-11-15T14:22:00Z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-2002410361</vt:i4>
  </property>
  <property fmtid="{D5CDD505-2E9C-101B-9397-08002B2CF9AE}" pid="3" name="_NewReviewCycle">
    <vt:lpwstr/>
  </property>
  <property fmtid="{D5CDD505-2E9C-101B-9397-08002B2CF9AE}" pid="4" name="_EmailSubject">
    <vt:lpwstr>Generic Package Submission 1 of 1</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ies>
</file>