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E3FAC" w:rsidRPr="008111D2" w:rsidRDefault="00CB646D" w:rsidP="00BE2136">
      <w:pPr>
        <w:spacing w:after="0" w:line="240" w:lineRule="auto"/>
        <w:jc w:val="center"/>
        <w:rPr>
          <w:rFonts w:cs="Times New Roman"/>
          <w:szCs w:val="24"/>
        </w:rPr>
      </w:pPr>
      <w:r w:rsidRPr="008111D2">
        <w:rPr>
          <w:rFonts w:cs="Times New Roman"/>
          <w:b/>
          <w:szCs w:val="24"/>
        </w:rPr>
        <w:t xml:space="preserve">Information Collection </w:t>
      </w:r>
      <w:r w:rsidR="00FE644A" w:rsidRPr="008111D2">
        <w:rPr>
          <w:rFonts w:cs="Times New Roman"/>
          <w:b/>
          <w:szCs w:val="24"/>
        </w:rPr>
        <w:t>#</w:t>
      </w:r>
      <w:r w:rsidR="006020BA">
        <w:rPr>
          <w:rFonts w:cs="Times New Roman"/>
          <w:b/>
          <w:szCs w:val="24"/>
        </w:rPr>
        <w:t>38</w:t>
      </w:r>
      <w:r w:rsidR="0091347F">
        <w:rPr>
          <w:rFonts w:cs="Times New Roman"/>
          <w:b/>
          <w:szCs w:val="24"/>
        </w:rPr>
        <w:t xml:space="preserve"> </w:t>
      </w:r>
      <w:r w:rsidR="006020BA">
        <w:rPr>
          <w:rFonts w:cs="Times New Roman"/>
          <w:b/>
          <w:szCs w:val="24"/>
        </w:rPr>
        <w:t>Section 1115 Demonstration:  Long Term Services and Supports and Other Models for Individuals with Disabilities and Chronic Conditions</w:t>
      </w:r>
    </w:p>
    <w:p w:rsidR="007D6E75" w:rsidRPr="00BE2136" w:rsidRDefault="00BE2136" w:rsidP="00BE2136">
      <w:pPr>
        <w:spacing w:after="0" w:line="240" w:lineRule="auto"/>
        <w:jc w:val="center"/>
        <w:rPr>
          <w:b/>
          <w:i/>
          <w:szCs w:val="24"/>
        </w:rPr>
      </w:pPr>
      <w:r w:rsidRPr="00BE2136">
        <w:rPr>
          <w:b/>
          <w:i/>
          <w:szCs w:val="24"/>
        </w:rPr>
        <w:t>(previously approved under CMS-10412 (OCN 0938-1159)</w:t>
      </w:r>
    </w:p>
    <w:p w:rsidR="00BE2136" w:rsidRPr="008111D2" w:rsidRDefault="00BE2136" w:rsidP="008111D2">
      <w:pPr>
        <w:spacing w:after="0" w:line="240" w:lineRule="auto"/>
        <w:jc w:val="center"/>
        <w:rPr>
          <w:b/>
          <w:szCs w:val="24"/>
        </w:rPr>
      </w:pPr>
    </w:p>
    <w:p w:rsidR="007D6E75" w:rsidRPr="008111D2" w:rsidRDefault="006020BA" w:rsidP="008111D2">
      <w:pPr>
        <w:spacing w:after="0" w:line="240" w:lineRule="auto"/>
        <w:jc w:val="center"/>
        <w:rPr>
          <w:b/>
          <w:szCs w:val="24"/>
        </w:rPr>
      </w:pPr>
      <w:r>
        <w:rPr>
          <w:b/>
          <w:szCs w:val="24"/>
        </w:rPr>
        <w:t>October 8, 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1E01B1" w:rsidRPr="00841F10" w:rsidRDefault="00271924" w:rsidP="001E01B1">
      <w:pPr>
        <w:keepNext/>
        <w:keepLines/>
        <w:spacing w:after="0" w:line="240" w:lineRule="auto"/>
        <w:outlineLvl w:val="0"/>
        <w:rPr>
          <w:rFonts w:eastAsiaTheme="majorEastAsia" w:cstheme="majorBidi"/>
          <w:b/>
          <w:bCs/>
          <w:szCs w:val="28"/>
        </w:rPr>
      </w:pPr>
      <w:r w:rsidRPr="00841F10">
        <w:rPr>
          <w:rFonts w:eastAsiaTheme="majorEastAsia" w:cstheme="majorBidi"/>
          <w:b/>
          <w:bCs/>
          <w:szCs w:val="28"/>
          <w:u w:val="single"/>
        </w:rPr>
        <w:lastRenderedPageBreak/>
        <w:t>Please Note:</w:t>
      </w:r>
      <w:r>
        <w:rPr>
          <w:rFonts w:eastAsiaTheme="majorEastAsia" w:cstheme="majorBidi"/>
          <w:b/>
          <w:bCs/>
          <w:szCs w:val="28"/>
        </w:rPr>
        <w:t xml:space="preserve"> </w:t>
      </w:r>
      <w:r w:rsidRPr="00841F10">
        <w:rPr>
          <w:rFonts w:eastAsiaTheme="majorEastAsia" w:cstheme="majorBidi"/>
          <w:b/>
          <w:bCs/>
          <w:szCs w:val="28"/>
        </w:rPr>
        <w:t xml:space="preserve">The </w:t>
      </w:r>
      <w:r>
        <w:rPr>
          <w:rFonts w:eastAsiaTheme="majorEastAsia" w:cstheme="majorBidi"/>
          <w:b/>
          <w:bCs/>
          <w:szCs w:val="28"/>
        </w:rPr>
        <w:t xml:space="preserve">1115 </w:t>
      </w:r>
      <w:r w:rsidRPr="00841F10">
        <w:rPr>
          <w:rFonts w:eastAsiaTheme="majorEastAsia" w:cstheme="majorBidi"/>
          <w:b/>
          <w:bCs/>
          <w:szCs w:val="28"/>
        </w:rPr>
        <w:t xml:space="preserve">template </w:t>
      </w:r>
      <w:r>
        <w:rPr>
          <w:rFonts w:eastAsiaTheme="majorEastAsia" w:cstheme="majorBidi"/>
          <w:b/>
          <w:bCs/>
          <w:szCs w:val="28"/>
        </w:rPr>
        <w:t>is</w:t>
      </w:r>
      <w:r w:rsidRPr="00841F10">
        <w:rPr>
          <w:rFonts w:eastAsiaTheme="majorEastAsia" w:cstheme="majorBidi"/>
          <w:b/>
          <w:bCs/>
          <w:szCs w:val="28"/>
        </w:rPr>
        <w:t xml:space="preserve"> </w:t>
      </w:r>
      <w:r>
        <w:rPr>
          <w:rFonts w:eastAsiaTheme="majorEastAsia" w:cstheme="majorBidi"/>
          <w:b/>
          <w:bCs/>
          <w:szCs w:val="28"/>
        </w:rPr>
        <w:t xml:space="preserve">currently </w:t>
      </w:r>
      <w:r w:rsidRPr="00841F10">
        <w:rPr>
          <w:rFonts w:eastAsiaTheme="majorEastAsia" w:cstheme="majorBidi"/>
          <w:b/>
          <w:bCs/>
          <w:szCs w:val="28"/>
        </w:rPr>
        <w:t xml:space="preserve">approved under CMS-10412 (OCN 0938-1159) which is scheduled to expire on February 28, 2015.  </w:t>
      </w:r>
      <w:r>
        <w:rPr>
          <w:rFonts w:eastAsiaTheme="majorEastAsia" w:cstheme="majorBidi"/>
          <w:b/>
          <w:bCs/>
          <w:szCs w:val="28"/>
        </w:rPr>
        <w:t>In this request w</w:t>
      </w:r>
      <w:r w:rsidRPr="00841F10">
        <w:rPr>
          <w:rFonts w:eastAsiaTheme="majorEastAsia" w:cstheme="majorBidi"/>
          <w:b/>
          <w:bCs/>
          <w:szCs w:val="28"/>
        </w:rPr>
        <w:t xml:space="preserve">e are seeking to roll the CMS-10412 package under this generic </w:t>
      </w:r>
      <w:r w:rsidR="00B05852">
        <w:rPr>
          <w:rFonts w:eastAsiaTheme="majorEastAsia" w:cstheme="majorBidi"/>
          <w:b/>
          <w:bCs/>
          <w:szCs w:val="28"/>
        </w:rPr>
        <w:t>package</w:t>
      </w:r>
      <w:r w:rsidRPr="00841F10">
        <w:rPr>
          <w:rFonts w:eastAsiaTheme="majorEastAsia" w:cstheme="majorBidi"/>
          <w:b/>
          <w:bCs/>
          <w:szCs w:val="28"/>
        </w:rPr>
        <w:t xml:space="preserve">. </w:t>
      </w:r>
      <w:r w:rsidR="00841F10" w:rsidRPr="00841F10">
        <w:rPr>
          <w:rFonts w:eastAsiaTheme="majorEastAsia" w:cstheme="majorBidi"/>
          <w:b/>
          <w:bCs/>
          <w:szCs w:val="28"/>
        </w:rPr>
        <w:t>Once approved, we will formally Discontinue CMS-10412</w:t>
      </w:r>
      <w:r w:rsidR="006020BA" w:rsidRPr="00841F10">
        <w:rPr>
          <w:rFonts w:eastAsiaTheme="majorEastAsia" w:cstheme="majorBidi"/>
          <w:b/>
          <w:bCs/>
          <w:szCs w:val="28"/>
        </w:rPr>
        <w:t>.</w:t>
      </w:r>
    </w:p>
    <w:p w:rsidR="001E01B1" w:rsidRPr="00841F10" w:rsidRDefault="001E01B1" w:rsidP="001E01B1">
      <w:pPr>
        <w:keepNext/>
        <w:keepLines/>
        <w:spacing w:after="0" w:line="240" w:lineRule="auto"/>
        <w:outlineLvl w:val="0"/>
        <w:rPr>
          <w:rFonts w:eastAsiaTheme="majorEastAsia" w:cstheme="majorBidi"/>
          <w:b/>
          <w:bCs/>
          <w:szCs w:val="24"/>
        </w:rPr>
      </w:pPr>
    </w:p>
    <w:p w:rsidR="007D6E75" w:rsidRPr="00F54374" w:rsidRDefault="007D6E75" w:rsidP="00F54374">
      <w:pPr>
        <w:pStyle w:val="Heading1"/>
      </w:pPr>
      <w:r w:rsidRPr="00F54374">
        <w:t>A. Background</w:t>
      </w:r>
    </w:p>
    <w:p w:rsidR="001640E1" w:rsidRDefault="001640E1" w:rsidP="008111D2">
      <w:pPr>
        <w:spacing w:after="0" w:line="240" w:lineRule="auto"/>
        <w:rPr>
          <w:szCs w:val="24"/>
        </w:rPr>
      </w:pP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9B19E8" w:rsidRPr="008111D2" w:rsidRDefault="009B19E8" w:rsidP="00F54374">
      <w:pPr>
        <w:pStyle w:val="Heading1"/>
      </w:pPr>
    </w:p>
    <w:p w:rsidR="007D6E75" w:rsidRPr="008111D2" w:rsidRDefault="007D6E75" w:rsidP="00F54374">
      <w:pPr>
        <w:pStyle w:val="Heading1"/>
      </w:pPr>
      <w:r w:rsidRPr="008111D2">
        <w:t>B. Description of Information Collection</w:t>
      </w:r>
    </w:p>
    <w:p w:rsidR="001640E1" w:rsidRDefault="001640E1" w:rsidP="00F34393">
      <w:pPr>
        <w:spacing w:after="0" w:line="240" w:lineRule="auto"/>
        <w:rPr>
          <w:rFonts w:cs="Times New Roman"/>
        </w:rPr>
      </w:pPr>
    </w:p>
    <w:p w:rsidR="0091347F" w:rsidRDefault="006020BA" w:rsidP="00F34393">
      <w:pPr>
        <w:spacing w:after="0" w:line="240" w:lineRule="auto"/>
        <w:rPr>
          <w:rFonts w:cs="Times New Roman"/>
        </w:rPr>
      </w:pPr>
      <w:r w:rsidRPr="006020BA">
        <w:rPr>
          <w:rFonts w:cs="Times New Roman"/>
        </w:rPr>
        <w:t xml:space="preserve">Long term care represents a significant share of Medicaid budgets and a substantial opportunity to improve care for beneficiaries while lowering costs.  Under federal statute, nursing home services are mandatory and home and community-based services (HCBS) are optional, creating what has traditionally been known as “an institutional bias.”  Despite the considerable progress States have made in recent decades to maximize opportunities for community living, most States are still striving to “rebalance” their long term service systems.  Several States have successfully used 1115 demonstrations </w:t>
      </w:r>
      <w:r w:rsidR="00364AE4">
        <w:rPr>
          <w:rFonts w:cs="Times New Roman"/>
        </w:rPr>
        <w:t xml:space="preserve">as one tool </w:t>
      </w:r>
      <w:r w:rsidRPr="006020BA">
        <w:rPr>
          <w:rFonts w:cs="Times New Roman"/>
        </w:rPr>
        <w:t>to “tip the institutional bias” within Medicaid by providing HCBS as a prevention measure rather than having to offer HCBS access only as an equivalent to institutional services.</w:t>
      </w:r>
    </w:p>
    <w:p w:rsidR="00D12ABB" w:rsidRDefault="00D12ABB" w:rsidP="00D4736A">
      <w:pPr>
        <w:spacing w:after="0" w:line="240" w:lineRule="auto"/>
      </w:pPr>
    </w:p>
    <w:p w:rsidR="006020BA" w:rsidRDefault="006020BA" w:rsidP="006020BA">
      <w:pPr>
        <w:spacing w:after="0" w:line="240" w:lineRule="auto"/>
      </w:pPr>
      <w:r>
        <w:t>Section 1115 of the Social Security Act provides the Secretary of Health and Human Services broad authority to authorize experimental, pilot, or demonstration projects likely to assist in promoting the objectives of the Medicaid statute. Flexibility under Section 1115 is sufficiently broad to allow states to test substantially new ideas of policy merit. States seeking interventions for individuals needing LTSS to lower costs, improve care and improve health can utilize the 1115 demonstration to test and deliver innovative services and approaches to better and more efficiently meet the needs of this population.  States frequently seek to achieve better outcomes through improved care coordination, and reduced institutional and preventable hospital utilization for individuals with disabilities, individuals with chronic conditions, and individuals who are aging.  Some States have chosen to deliver these services through managed care service delivery models.  Section 1115 demonstrations provide a vehicle for innovations in both care delivery and payment methodologies.</w:t>
      </w:r>
    </w:p>
    <w:p w:rsidR="006020BA" w:rsidRDefault="006020BA" w:rsidP="006020BA">
      <w:pPr>
        <w:spacing w:after="0" w:line="240" w:lineRule="auto"/>
      </w:pPr>
      <w:r>
        <w:tab/>
      </w:r>
    </w:p>
    <w:p w:rsidR="006020BA" w:rsidRDefault="006020BA" w:rsidP="006020BA">
      <w:pPr>
        <w:spacing w:after="0" w:line="240" w:lineRule="auto"/>
      </w:pPr>
      <w:r>
        <w:lastRenderedPageBreak/>
        <w:t>The application for a section 1115 Demonstration must be submitted by the single state Medicaid agency. Proposals are subject to the Centers for Medicare &amp; Medicaid Services (CMS), Office of Management and Budget (OMB), and Department of Health and Human Services (HHS) approval, and may be subject to additional requirements such as site visits before implementation. CMS does not have a specific timeframe to approve, deny, or request additional information on the proposal. Additionally, CMS usually develops terms and conditions that outline the operation of the demonstration project when it is approved.</w:t>
      </w:r>
    </w:p>
    <w:p w:rsidR="006020BA" w:rsidRDefault="006020BA" w:rsidP="006020BA">
      <w:pPr>
        <w:spacing w:after="0" w:line="240" w:lineRule="auto"/>
      </w:pPr>
    </w:p>
    <w:p w:rsidR="006020BA" w:rsidRDefault="006020BA" w:rsidP="006020BA">
      <w:pPr>
        <w:spacing w:after="0" w:line="240" w:lineRule="auto"/>
      </w:pPr>
      <w:r>
        <w:t>Projects are generally approved to operate for a five-year period, and states may submit renewal requests to continue the project for additional periods of time. Demonstrations must be "budget neutral" over the life of the project, meaning they cannot be expected to cost the Federal government more than it would cost without the waiver.</w:t>
      </w:r>
    </w:p>
    <w:p w:rsidR="006020BA" w:rsidRDefault="006020BA" w:rsidP="00D4736A">
      <w:pPr>
        <w:spacing w:after="0" w:line="240" w:lineRule="auto"/>
      </w:pPr>
    </w:p>
    <w:p w:rsidR="007D6E75" w:rsidRPr="008111D2" w:rsidRDefault="007D6E75" w:rsidP="00F54374">
      <w:pPr>
        <w:pStyle w:val="Heading1"/>
      </w:pPr>
      <w:r w:rsidRPr="008111D2">
        <w:t>C. Deviations from Generic Request</w:t>
      </w:r>
    </w:p>
    <w:p w:rsidR="001640E1" w:rsidRDefault="001640E1" w:rsidP="008111D2">
      <w:pPr>
        <w:spacing w:after="0" w:line="240" w:lineRule="auto"/>
        <w:rPr>
          <w:szCs w:val="24"/>
        </w:rPr>
      </w:pP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1640E1" w:rsidRDefault="001640E1" w:rsidP="008111D2">
      <w:pPr>
        <w:spacing w:after="0" w:line="240" w:lineRule="auto"/>
        <w:rPr>
          <w:szCs w:val="24"/>
        </w:rPr>
      </w:pPr>
    </w:p>
    <w:p w:rsidR="004F45EF" w:rsidRDefault="00975D02" w:rsidP="008111D2">
      <w:pPr>
        <w:spacing w:after="0" w:line="240" w:lineRule="auto"/>
        <w:rPr>
          <w:szCs w:val="24"/>
        </w:rPr>
      </w:pPr>
      <w:r w:rsidRPr="00975D02">
        <w:rPr>
          <w:szCs w:val="24"/>
        </w:rPr>
        <w:t xml:space="preserve">The total approved burden ceiling of the generic ICR is 86,240 hours, and CMS previously requested to use </w:t>
      </w:r>
      <w:r w:rsidR="00E932C4">
        <w:rPr>
          <w:szCs w:val="24"/>
        </w:rPr>
        <w:t>65</w:t>
      </w:r>
      <w:r w:rsidRPr="00975D02">
        <w:rPr>
          <w:szCs w:val="24"/>
        </w:rPr>
        <w:t>,</w:t>
      </w:r>
      <w:r w:rsidR="00E932C4">
        <w:rPr>
          <w:szCs w:val="24"/>
        </w:rPr>
        <w:t>8</w:t>
      </w:r>
      <w:r>
        <w:rPr>
          <w:szCs w:val="24"/>
        </w:rPr>
        <w:t>13</w:t>
      </w:r>
      <w:r w:rsidRPr="00975D02">
        <w:rPr>
          <w:szCs w:val="24"/>
        </w:rPr>
        <w:t xml:space="preserve"> hours, leaving our burden ceiling at </w:t>
      </w:r>
      <w:r>
        <w:rPr>
          <w:szCs w:val="24"/>
        </w:rPr>
        <w:t>2</w:t>
      </w:r>
      <w:r w:rsidR="00E932C4">
        <w:rPr>
          <w:szCs w:val="24"/>
        </w:rPr>
        <w:t>0</w:t>
      </w:r>
      <w:r>
        <w:rPr>
          <w:szCs w:val="24"/>
        </w:rPr>
        <w:t>,</w:t>
      </w:r>
      <w:r w:rsidR="00E932C4">
        <w:rPr>
          <w:szCs w:val="24"/>
        </w:rPr>
        <w:t>4</w:t>
      </w:r>
      <w:r>
        <w:rPr>
          <w:szCs w:val="24"/>
        </w:rPr>
        <w:t>27</w:t>
      </w:r>
      <w:r w:rsidRPr="00975D02">
        <w:rPr>
          <w:szCs w:val="24"/>
        </w:rPr>
        <w:t xml:space="preserve"> hours. </w:t>
      </w:r>
      <w:r w:rsidR="00E932C4">
        <w:rPr>
          <w:szCs w:val="24"/>
        </w:rPr>
        <w:t xml:space="preserve"> </w:t>
      </w:r>
    </w:p>
    <w:p w:rsidR="004F45EF" w:rsidRDefault="004F45EF" w:rsidP="008111D2">
      <w:pPr>
        <w:spacing w:after="0" w:line="240" w:lineRule="auto"/>
        <w:rPr>
          <w:szCs w:val="24"/>
        </w:rPr>
      </w:pPr>
    </w:p>
    <w:p w:rsidR="00975D02" w:rsidRDefault="00E932C4" w:rsidP="008111D2">
      <w:pPr>
        <w:spacing w:after="0" w:line="240" w:lineRule="auto"/>
        <w:rPr>
          <w:szCs w:val="24"/>
        </w:rPr>
      </w:pPr>
      <w:r w:rsidRPr="00E932C4">
        <w:rPr>
          <w:szCs w:val="24"/>
        </w:rPr>
        <w:t>The estimate of time involved for completing the application for the Section 1115 demonstration is 40 hours. In the above scenario, each State could spend 40 hours to produce  0.2 responses per year, resulting in 8 hours per year per respondent (40 hours * 0.2 responses = 8 hours) or 448 total hours (8 hours per year per respondent * 56 respondents).</w:t>
      </w:r>
    </w:p>
    <w:p w:rsidR="00975D02" w:rsidRDefault="00975D02" w:rsidP="008111D2">
      <w:pPr>
        <w:spacing w:after="0" w:line="240" w:lineRule="auto"/>
        <w:rPr>
          <w:szCs w:val="24"/>
        </w:rPr>
      </w:pPr>
    </w:p>
    <w:p w:rsidR="006020BA" w:rsidRPr="006020BA" w:rsidRDefault="006020BA" w:rsidP="004F45EF">
      <w:pPr>
        <w:spacing w:after="0" w:line="240" w:lineRule="auto"/>
        <w:rPr>
          <w:szCs w:val="24"/>
        </w:rPr>
      </w:pPr>
      <w:r w:rsidRPr="006020BA">
        <w:rPr>
          <w:szCs w:val="24"/>
        </w:rPr>
        <w:t>Each respondent would submit an application that would be approved for 5 years, meaning each respondent could provide two responses per decade. This means each respondent would respond 0.2 times per year (2 responses ÷ 10 years = 0.2 responses per year). This means the potential annual number of responses is 11.2 per year (56 respondents * 0.2 responses = 11.2 responses per year.)</w:t>
      </w:r>
    </w:p>
    <w:p w:rsidR="008111D2" w:rsidRDefault="008111D2" w:rsidP="004F45EF">
      <w:pPr>
        <w:pStyle w:val="Heading1"/>
      </w:pPr>
    </w:p>
    <w:p w:rsidR="004F45EF" w:rsidRDefault="004F45EF" w:rsidP="004F45EF">
      <w:pPr>
        <w:spacing w:after="0" w:line="240" w:lineRule="auto"/>
      </w:pPr>
      <w:r>
        <w:t xml:space="preserve">Respondents: </w:t>
      </w:r>
      <w:r>
        <w:tab/>
      </w:r>
      <w:r>
        <w:tab/>
        <w:t xml:space="preserve">56 </w:t>
      </w:r>
    </w:p>
    <w:p w:rsidR="00F2757B" w:rsidRDefault="00F2757B" w:rsidP="004F45EF">
      <w:pPr>
        <w:spacing w:after="0" w:line="240" w:lineRule="auto"/>
      </w:pPr>
      <w:r>
        <w:t>Responses:</w:t>
      </w:r>
      <w:r>
        <w:tab/>
      </w:r>
      <w:r>
        <w:tab/>
        <w:t>1/5 years</w:t>
      </w:r>
    </w:p>
    <w:p w:rsidR="004F45EF" w:rsidRDefault="004F45EF" w:rsidP="004F45EF">
      <w:pPr>
        <w:spacing w:after="0" w:line="240" w:lineRule="auto"/>
      </w:pPr>
      <w:r>
        <w:t>Responses/year:</w:t>
      </w:r>
      <w:r>
        <w:tab/>
        <w:t>11.2</w:t>
      </w:r>
      <w:r w:rsidR="00CF2AFD">
        <w:t xml:space="preserve"> (or 56/5)</w:t>
      </w:r>
    </w:p>
    <w:p w:rsidR="00F2757B" w:rsidRDefault="004F45EF" w:rsidP="004F45EF">
      <w:pPr>
        <w:spacing w:after="0" w:line="240" w:lineRule="auto"/>
      </w:pPr>
      <w:r>
        <w:t xml:space="preserve">Hours: </w:t>
      </w:r>
      <w:r>
        <w:tab/>
      </w:r>
      <w:r>
        <w:tab/>
      </w:r>
      <w:r>
        <w:tab/>
      </w:r>
      <w:r w:rsidR="00F2757B">
        <w:t>40 (per response)</w:t>
      </w:r>
    </w:p>
    <w:p w:rsidR="004F45EF" w:rsidRPr="004F45EF" w:rsidRDefault="004F45EF" w:rsidP="004F45EF">
      <w:pPr>
        <w:spacing w:after="0" w:line="240" w:lineRule="auto"/>
        <w:rPr>
          <w:b/>
        </w:rPr>
      </w:pPr>
      <w:r w:rsidRPr="004F45EF">
        <w:rPr>
          <w:b/>
        </w:rPr>
        <w:t>TOTAL HOURS</w:t>
      </w:r>
      <w:r w:rsidR="004471FC">
        <w:rPr>
          <w:b/>
        </w:rPr>
        <w:tab/>
      </w:r>
      <w:r w:rsidR="00E67E61">
        <w:rPr>
          <w:b/>
        </w:rPr>
        <w:t>448</w:t>
      </w:r>
      <w:bookmarkStart w:id="0" w:name="_GoBack"/>
      <w:bookmarkEnd w:id="0"/>
      <w:r w:rsidR="004471FC">
        <w:rPr>
          <w:b/>
        </w:rPr>
        <w:t xml:space="preserve"> (aggregate, per year</w:t>
      </w:r>
      <w:r w:rsidRPr="004F45EF">
        <w:rPr>
          <w:b/>
        </w:rPr>
        <w:t>)</w:t>
      </w:r>
    </w:p>
    <w:p w:rsidR="004F45EF" w:rsidRPr="004F45EF" w:rsidRDefault="004F45EF" w:rsidP="004F45EF">
      <w:pPr>
        <w:spacing w:after="0" w:line="240" w:lineRule="auto"/>
      </w:pPr>
    </w:p>
    <w:p w:rsidR="007D6E75" w:rsidRPr="008111D2" w:rsidRDefault="007D6E75" w:rsidP="004F45EF">
      <w:pPr>
        <w:pStyle w:val="Heading1"/>
      </w:pPr>
      <w:r w:rsidRPr="008111D2">
        <w:t>E. Timeline</w:t>
      </w:r>
    </w:p>
    <w:p w:rsidR="001640E1" w:rsidRDefault="001640E1" w:rsidP="008111D2">
      <w:pPr>
        <w:spacing w:after="0" w:line="240" w:lineRule="auto"/>
        <w:rPr>
          <w:szCs w:val="24"/>
        </w:rPr>
      </w:pPr>
    </w:p>
    <w:p w:rsidR="003248D0" w:rsidRDefault="003248D0" w:rsidP="008111D2">
      <w:pPr>
        <w:spacing w:after="0" w:line="240" w:lineRule="auto"/>
        <w:rPr>
          <w:szCs w:val="24"/>
        </w:rPr>
      </w:pPr>
      <w:r w:rsidRPr="0052552A">
        <w:rPr>
          <w:szCs w:val="24"/>
        </w:rPr>
        <w:t>CMS hop</w:t>
      </w:r>
      <w:r w:rsidR="009E3FAC" w:rsidRPr="0052552A">
        <w:rPr>
          <w:szCs w:val="24"/>
        </w:rPr>
        <w:t>e</w:t>
      </w:r>
      <w:r w:rsidRPr="0052552A">
        <w:rPr>
          <w:szCs w:val="24"/>
        </w:rPr>
        <w:t xml:space="preserve">s to deploy this collection in </w:t>
      </w:r>
      <w:r w:rsidR="00E932C4">
        <w:rPr>
          <w:szCs w:val="24"/>
        </w:rPr>
        <w:t>October</w:t>
      </w:r>
      <w:r w:rsidR="00651796">
        <w:rPr>
          <w:szCs w:val="24"/>
        </w:rPr>
        <w:t xml:space="preserve"> of 2014</w:t>
      </w:r>
      <w:r w:rsidR="001E01B1">
        <w:rPr>
          <w:szCs w:val="24"/>
        </w:rPr>
        <w:t>.</w:t>
      </w:r>
    </w:p>
    <w:p w:rsidR="001E01B1" w:rsidRDefault="001E01B1" w:rsidP="008111D2">
      <w:pPr>
        <w:spacing w:after="0" w:line="240" w:lineRule="auto"/>
        <w:rPr>
          <w:szCs w:val="24"/>
        </w:rPr>
      </w:pPr>
    </w:p>
    <w:p w:rsidR="00467E98" w:rsidRDefault="00467E98" w:rsidP="00335313">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rsidR="006A68FA" w:rsidRPr="00AB2514" w:rsidRDefault="00AB2514" w:rsidP="006A68FA">
      <w:pPr>
        <w:pStyle w:val="ListParagraph"/>
        <w:numPr>
          <w:ilvl w:val="0"/>
          <w:numId w:val="11"/>
        </w:numPr>
        <w:rPr>
          <w:rFonts w:ascii="Times New Roman" w:hAnsi="Times New Roman"/>
          <w:sz w:val="24"/>
        </w:rPr>
      </w:pPr>
      <w:r>
        <w:rPr>
          <w:rFonts w:ascii="Times New Roman" w:hAnsi="Times New Roman"/>
          <w:sz w:val="24"/>
        </w:rPr>
        <w:t>Section 1115 Application Template</w:t>
      </w:r>
    </w:p>
    <w:sectPr w:rsidR="006A68FA" w:rsidRPr="00AB2514"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65CE0"/>
    <w:rsid w:val="000712B4"/>
    <w:rsid w:val="000745C0"/>
    <w:rsid w:val="000D1CFD"/>
    <w:rsid w:val="000E55DA"/>
    <w:rsid w:val="00111672"/>
    <w:rsid w:val="001213D3"/>
    <w:rsid w:val="00122C0E"/>
    <w:rsid w:val="001640E1"/>
    <w:rsid w:val="00175A39"/>
    <w:rsid w:val="00185CB4"/>
    <w:rsid w:val="001A1FC6"/>
    <w:rsid w:val="001D197A"/>
    <w:rsid w:val="001E01B1"/>
    <w:rsid w:val="001E1FA0"/>
    <w:rsid w:val="001E66B6"/>
    <w:rsid w:val="001F2628"/>
    <w:rsid w:val="001F6741"/>
    <w:rsid w:val="0020026D"/>
    <w:rsid w:val="00222B4F"/>
    <w:rsid w:val="00252D20"/>
    <w:rsid w:val="00262B47"/>
    <w:rsid w:val="00270765"/>
    <w:rsid w:val="0027114C"/>
    <w:rsid w:val="00271924"/>
    <w:rsid w:val="00317E1D"/>
    <w:rsid w:val="003248D0"/>
    <w:rsid w:val="00325F87"/>
    <w:rsid w:val="00335313"/>
    <w:rsid w:val="003627C8"/>
    <w:rsid w:val="00364AE4"/>
    <w:rsid w:val="003918B4"/>
    <w:rsid w:val="003F4D04"/>
    <w:rsid w:val="00405CF9"/>
    <w:rsid w:val="00432C17"/>
    <w:rsid w:val="004471FC"/>
    <w:rsid w:val="00465B2D"/>
    <w:rsid w:val="00467E98"/>
    <w:rsid w:val="00474257"/>
    <w:rsid w:val="00475EF8"/>
    <w:rsid w:val="00483058"/>
    <w:rsid w:val="004A0A30"/>
    <w:rsid w:val="004B13E8"/>
    <w:rsid w:val="004F45EF"/>
    <w:rsid w:val="0052333E"/>
    <w:rsid w:val="0052552A"/>
    <w:rsid w:val="00597229"/>
    <w:rsid w:val="005B6A37"/>
    <w:rsid w:val="005C580D"/>
    <w:rsid w:val="005D001F"/>
    <w:rsid w:val="005E3B79"/>
    <w:rsid w:val="005E52BE"/>
    <w:rsid w:val="006020BA"/>
    <w:rsid w:val="006026DA"/>
    <w:rsid w:val="00647812"/>
    <w:rsid w:val="00651796"/>
    <w:rsid w:val="00685368"/>
    <w:rsid w:val="006A68FA"/>
    <w:rsid w:val="006C0B96"/>
    <w:rsid w:val="006C4626"/>
    <w:rsid w:val="006D6A5D"/>
    <w:rsid w:val="006F4FF9"/>
    <w:rsid w:val="00707666"/>
    <w:rsid w:val="0071650B"/>
    <w:rsid w:val="00716824"/>
    <w:rsid w:val="00723A9E"/>
    <w:rsid w:val="007D6E75"/>
    <w:rsid w:val="007F1711"/>
    <w:rsid w:val="00802598"/>
    <w:rsid w:val="008111D2"/>
    <w:rsid w:val="00836E8F"/>
    <w:rsid w:val="00841F10"/>
    <w:rsid w:val="00873459"/>
    <w:rsid w:val="0088756F"/>
    <w:rsid w:val="008C11BC"/>
    <w:rsid w:val="008D52D1"/>
    <w:rsid w:val="008E6143"/>
    <w:rsid w:val="008F2AED"/>
    <w:rsid w:val="009004E1"/>
    <w:rsid w:val="0091347F"/>
    <w:rsid w:val="0095297C"/>
    <w:rsid w:val="00975D02"/>
    <w:rsid w:val="009903AB"/>
    <w:rsid w:val="009B19E8"/>
    <w:rsid w:val="009C2F36"/>
    <w:rsid w:val="009E3FAC"/>
    <w:rsid w:val="00A138F7"/>
    <w:rsid w:val="00A718B4"/>
    <w:rsid w:val="00AA37EC"/>
    <w:rsid w:val="00AB01BC"/>
    <w:rsid w:val="00AB2514"/>
    <w:rsid w:val="00AD6953"/>
    <w:rsid w:val="00AE1BD8"/>
    <w:rsid w:val="00B05852"/>
    <w:rsid w:val="00B151B4"/>
    <w:rsid w:val="00B34B2F"/>
    <w:rsid w:val="00B43BBD"/>
    <w:rsid w:val="00B532F3"/>
    <w:rsid w:val="00B87957"/>
    <w:rsid w:val="00BB109D"/>
    <w:rsid w:val="00BD32FA"/>
    <w:rsid w:val="00BE2136"/>
    <w:rsid w:val="00C00FEA"/>
    <w:rsid w:val="00C2142E"/>
    <w:rsid w:val="00C94C5E"/>
    <w:rsid w:val="00CB241F"/>
    <w:rsid w:val="00CB646D"/>
    <w:rsid w:val="00CF2AFD"/>
    <w:rsid w:val="00CF6C1D"/>
    <w:rsid w:val="00D12ABB"/>
    <w:rsid w:val="00D215B4"/>
    <w:rsid w:val="00D42E31"/>
    <w:rsid w:val="00D46C38"/>
    <w:rsid w:val="00D4736A"/>
    <w:rsid w:val="00DD4E91"/>
    <w:rsid w:val="00DD794C"/>
    <w:rsid w:val="00DF098E"/>
    <w:rsid w:val="00E2219D"/>
    <w:rsid w:val="00E31F50"/>
    <w:rsid w:val="00E67E61"/>
    <w:rsid w:val="00E83C3E"/>
    <w:rsid w:val="00E932C4"/>
    <w:rsid w:val="00E93F3F"/>
    <w:rsid w:val="00EA4AB1"/>
    <w:rsid w:val="00EB1115"/>
    <w:rsid w:val="00EC7FD5"/>
    <w:rsid w:val="00EE1AD1"/>
    <w:rsid w:val="00EE43E7"/>
    <w:rsid w:val="00EE617A"/>
    <w:rsid w:val="00EF3A74"/>
    <w:rsid w:val="00F01D40"/>
    <w:rsid w:val="00F04F6D"/>
    <w:rsid w:val="00F2757B"/>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paragraph" w:styleId="Revision">
    <w:name w:val="Revision"/>
    <w:hidden/>
    <w:uiPriority w:val="99"/>
    <w:semiHidden/>
    <w:rsid w:val="00364AE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64AE4"/>
    <w:rPr>
      <w:sz w:val="16"/>
      <w:szCs w:val="16"/>
    </w:rPr>
  </w:style>
  <w:style w:type="paragraph" w:styleId="CommentText">
    <w:name w:val="annotation text"/>
    <w:basedOn w:val="Normal"/>
    <w:link w:val="CommentTextChar"/>
    <w:uiPriority w:val="99"/>
    <w:semiHidden/>
    <w:unhideWhenUsed/>
    <w:rsid w:val="00364AE4"/>
    <w:pPr>
      <w:spacing w:line="240" w:lineRule="auto"/>
    </w:pPr>
    <w:rPr>
      <w:sz w:val="20"/>
      <w:szCs w:val="20"/>
    </w:rPr>
  </w:style>
  <w:style w:type="character" w:customStyle="1" w:styleId="CommentTextChar">
    <w:name w:val="Comment Text Char"/>
    <w:basedOn w:val="DefaultParagraphFont"/>
    <w:link w:val="CommentText"/>
    <w:uiPriority w:val="99"/>
    <w:semiHidden/>
    <w:rsid w:val="00364A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4AE4"/>
    <w:rPr>
      <w:b/>
      <w:bCs/>
    </w:rPr>
  </w:style>
  <w:style w:type="character" w:customStyle="1" w:styleId="CommentSubjectChar">
    <w:name w:val="Comment Subject Char"/>
    <w:basedOn w:val="CommentTextChar"/>
    <w:link w:val="CommentSubject"/>
    <w:uiPriority w:val="99"/>
    <w:semiHidden/>
    <w:rsid w:val="00364AE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paragraph" w:styleId="Revision">
    <w:name w:val="Revision"/>
    <w:hidden/>
    <w:uiPriority w:val="99"/>
    <w:semiHidden/>
    <w:rsid w:val="00364AE4"/>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64AE4"/>
    <w:rPr>
      <w:sz w:val="16"/>
      <w:szCs w:val="16"/>
    </w:rPr>
  </w:style>
  <w:style w:type="paragraph" w:styleId="CommentText">
    <w:name w:val="annotation text"/>
    <w:basedOn w:val="Normal"/>
    <w:link w:val="CommentTextChar"/>
    <w:uiPriority w:val="99"/>
    <w:semiHidden/>
    <w:unhideWhenUsed/>
    <w:rsid w:val="00364AE4"/>
    <w:pPr>
      <w:spacing w:line="240" w:lineRule="auto"/>
    </w:pPr>
    <w:rPr>
      <w:sz w:val="20"/>
      <w:szCs w:val="20"/>
    </w:rPr>
  </w:style>
  <w:style w:type="character" w:customStyle="1" w:styleId="CommentTextChar">
    <w:name w:val="Comment Text Char"/>
    <w:basedOn w:val="DefaultParagraphFont"/>
    <w:link w:val="CommentText"/>
    <w:uiPriority w:val="99"/>
    <w:semiHidden/>
    <w:rsid w:val="00364A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4AE4"/>
    <w:rPr>
      <w:b/>
      <w:bCs/>
    </w:rPr>
  </w:style>
  <w:style w:type="character" w:customStyle="1" w:styleId="CommentSubjectChar">
    <w:name w:val="Comment Subject Char"/>
    <w:basedOn w:val="CommentTextChar"/>
    <w:link w:val="CommentSubject"/>
    <w:uiPriority w:val="99"/>
    <w:semiHidden/>
    <w:rsid w:val="00364AE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5019</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2014-10-28T12:36:00Z</dcterms:created>
  <dcterms:modified xsi:type="dcterms:W3CDTF">2014-10-28T12:36:00Z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1431192573</vt:i4>
  </property>
  <property fmtid="{D5CDD505-2E9C-101B-9397-08002B2CF9AE}" pid="3" name="_NewReviewCycle">
    <vt:lpwstr/>
  </property>
  <property fmtid="{D5CDD505-2E9C-101B-9397-08002B2CF9AE}" pid="4" name="_PreviousAdHocReviewCycleID">
    <vt:i4>-411669570</vt:i4>
  </property>
</Properties>
</file>