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D02" w:rsidRDefault="006B1D02" w:rsidP="006B1D02">
      <w:pPr>
        <w:tabs>
          <w:tab w:val="left" w:pos="2070"/>
        </w:tabs>
        <w:suppressAutoHyphens/>
        <w:ind w:left="4320" w:firstLine="720"/>
      </w:pPr>
      <w:r>
        <w:t xml:space="preserve">OMB Control No: </w:t>
      </w:r>
      <w:r w:rsidR="0003344B">
        <w:t>xxxx-xxxx</w:t>
      </w:r>
    </w:p>
    <w:p w:rsidR="006B1D02" w:rsidRDefault="006B1D02" w:rsidP="006B1D02">
      <w:pPr>
        <w:suppressAutoHyphens/>
        <w:ind w:left="5040"/>
      </w:pPr>
      <w:r w:rsidRPr="00D82527">
        <w:t>Expirat</w:t>
      </w:r>
      <w:r>
        <w:t xml:space="preserve">ion Date: </w:t>
      </w:r>
      <w:r w:rsidR="003A4E37" w:rsidRPr="00D82527">
        <w:fldChar w:fldCharType="begin"/>
      </w:r>
      <w:r w:rsidRPr="00D82527">
        <w:instrText xml:space="preserve">PRIVATE </w:instrText>
      </w:r>
      <w:r w:rsidR="003A4E37" w:rsidRPr="00D82527">
        <w:fldChar w:fldCharType="end"/>
      </w:r>
    </w:p>
    <w:p w:rsidR="006B1D02" w:rsidRDefault="006B1D02" w:rsidP="006B1D02"/>
    <w:tbl>
      <w:tblPr>
        <w:tblW w:w="0" w:type="auto"/>
        <w:tblInd w:w="-330" w:type="dxa"/>
        <w:tblLayout w:type="fixed"/>
        <w:tblCellMar>
          <w:left w:w="120" w:type="dxa"/>
          <w:right w:w="120" w:type="dxa"/>
        </w:tblCellMar>
        <w:tblLook w:val="0000"/>
      </w:tblPr>
      <w:tblGrid>
        <w:gridCol w:w="2700"/>
        <w:gridCol w:w="3600"/>
        <w:gridCol w:w="4050"/>
      </w:tblGrid>
      <w:tr w:rsidR="006B1D02" w:rsidTr="00AF6FB1">
        <w:tc>
          <w:tcPr>
            <w:tcW w:w="2700" w:type="dxa"/>
            <w:tcBorders>
              <w:top w:val="single" w:sz="30" w:space="0" w:color="auto"/>
              <w:left w:val="single" w:sz="30" w:space="0" w:color="auto"/>
            </w:tcBorders>
          </w:tcPr>
          <w:p w:rsidR="006B1D02" w:rsidRDefault="003A4E37" w:rsidP="00AF6FB1">
            <w:pPr>
              <w:tabs>
                <w:tab w:val="left" w:pos="0"/>
              </w:tabs>
              <w:suppressAutoHyphens/>
              <w:spacing w:before="90" w:after="54"/>
              <w:ind w:right="-120" w:firstLine="60"/>
              <w:jc w:val="center"/>
              <w:rPr>
                <w:spacing w:val="-5"/>
                <w:sz w:val="40"/>
              </w:rPr>
            </w:pPr>
            <w:r>
              <w:rPr>
                <w:spacing w:val="-2"/>
              </w:rPr>
              <w:fldChar w:fldCharType="begin"/>
            </w:r>
            <w:r w:rsidR="006B1D02">
              <w:rPr>
                <w:spacing w:val="-2"/>
              </w:rPr>
              <w:instrText xml:space="preserve">PRIVATE </w:instrText>
            </w:r>
            <w:r>
              <w:rPr>
                <w:spacing w:val="-2"/>
              </w:rPr>
              <w:fldChar w:fldCharType="end"/>
            </w:r>
            <w:r w:rsidR="006B1D02">
              <w:rPr>
                <w:spacing w:val="-12"/>
                <w:sz w:val="100"/>
              </w:rPr>
              <w:t>ACF</w:t>
            </w:r>
          </w:p>
        </w:tc>
        <w:tc>
          <w:tcPr>
            <w:tcW w:w="7650" w:type="dxa"/>
            <w:gridSpan w:val="2"/>
            <w:tcBorders>
              <w:top w:val="single" w:sz="30" w:space="0" w:color="auto"/>
              <w:left w:val="single" w:sz="6" w:space="0" w:color="auto"/>
              <w:right w:val="single" w:sz="30" w:space="0" w:color="auto"/>
            </w:tcBorders>
          </w:tcPr>
          <w:p w:rsidR="006B1D02" w:rsidRDefault="006B1D02" w:rsidP="00AF6FB1">
            <w:pPr>
              <w:tabs>
                <w:tab w:val="center" w:pos="3719"/>
              </w:tabs>
              <w:suppressAutoHyphens/>
              <w:spacing w:before="90"/>
              <w:rPr>
                <w:spacing w:val="-3"/>
              </w:rPr>
            </w:pPr>
          </w:p>
          <w:p w:rsidR="006B1D02" w:rsidRDefault="006B1D02" w:rsidP="00AF6FB1">
            <w:pPr>
              <w:tabs>
                <w:tab w:val="center" w:pos="3719"/>
              </w:tabs>
              <w:suppressAutoHyphens/>
              <w:spacing w:before="90"/>
              <w:jc w:val="center"/>
              <w:rPr>
                <w:spacing w:val="-3"/>
              </w:rPr>
            </w:pPr>
            <w:smartTag w:uri="urn:schemas-microsoft-com:office:smarttags" w:element="country-region">
              <w:smartTag w:uri="urn:schemas-microsoft-com:office:smarttags" w:element="place">
                <w:r>
                  <w:rPr>
                    <w:spacing w:val="-3"/>
                  </w:rPr>
                  <w:t>U.S.</w:t>
                </w:r>
              </w:smartTag>
            </w:smartTag>
            <w:r>
              <w:rPr>
                <w:spacing w:val="-3"/>
              </w:rPr>
              <w:t xml:space="preserve"> DEPARTMENT OF HEALTH AND HUMAN SERVICES</w:t>
            </w:r>
            <w:r w:rsidR="003A4E37">
              <w:rPr>
                <w:spacing w:val="-3"/>
              </w:rPr>
              <w:fldChar w:fldCharType="begin"/>
            </w:r>
            <w:r>
              <w:rPr>
                <w:spacing w:val="-3"/>
              </w:rPr>
              <w:instrText xml:space="preserve">PRIVATE </w:instrText>
            </w:r>
            <w:r w:rsidR="003A4E37">
              <w:rPr>
                <w:spacing w:val="-3"/>
              </w:rPr>
              <w:fldChar w:fldCharType="end"/>
            </w:r>
          </w:p>
          <w:p w:rsidR="006B1D02" w:rsidRDefault="006B1D02" w:rsidP="00AF6FB1">
            <w:pPr>
              <w:tabs>
                <w:tab w:val="center" w:pos="3719"/>
              </w:tabs>
              <w:suppressAutoHyphens/>
              <w:spacing w:after="54"/>
              <w:jc w:val="center"/>
              <w:rPr>
                <w:spacing w:val="-3"/>
              </w:rPr>
            </w:pPr>
            <w:r>
              <w:rPr>
                <w:spacing w:val="-3"/>
              </w:rPr>
              <w:t>Administration for Children and Families</w:t>
            </w:r>
          </w:p>
        </w:tc>
      </w:tr>
      <w:tr w:rsidR="006B1D02" w:rsidTr="00AF6FB1">
        <w:tc>
          <w:tcPr>
            <w:tcW w:w="2700" w:type="dxa"/>
            <w:tcBorders>
              <w:left w:val="single" w:sz="30" w:space="0" w:color="auto"/>
            </w:tcBorders>
          </w:tcPr>
          <w:p w:rsidR="006B1D02" w:rsidRDefault="006B1D02" w:rsidP="00AF6FB1">
            <w:pPr>
              <w:tabs>
                <w:tab w:val="left" w:pos="-720"/>
              </w:tabs>
              <w:suppressAutoHyphens/>
              <w:spacing w:before="90" w:after="54"/>
              <w:ind w:firstLine="60"/>
              <w:rPr>
                <w:spacing w:val="-3"/>
              </w:rPr>
            </w:pPr>
            <w:r>
              <w:rPr>
                <w:spacing w:val="-5"/>
                <w:sz w:val="40"/>
              </w:rPr>
              <w:t>Administration</w:t>
            </w:r>
          </w:p>
        </w:tc>
        <w:tc>
          <w:tcPr>
            <w:tcW w:w="3600" w:type="dxa"/>
            <w:tcBorders>
              <w:top w:val="single" w:sz="6" w:space="0" w:color="auto"/>
              <w:left w:val="single" w:sz="6" w:space="0" w:color="auto"/>
            </w:tcBorders>
          </w:tcPr>
          <w:p w:rsidR="006B1D02" w:rsidRPr="00D82527" w:rsidRDefault="006B1D02" w:rsidP="0047483A">
            <w:pPr>
              <w:pStyle w:val="ListParagraph"/>
              <w:numPr>
                <w:ilvl w:val="0"/>
                <w:numId w:val="10"/>
              </w:numPr>
              <w:tabs>
                <w:tab w:val="left" w:pos="-720"/>
              </w:tabs>
              <w:suppressAutoHyphens/>
              <w:spacing w:before="90" w:after="54"/>
            </w:pPr>
            <w:r w:rsidRPr="00D82527">
              <w:rPr>
                <w:b/>
                <w:spacing w:val="-3"/>
              </w:rPr>
              <w:t>Log No:</w:t>
            </w:r>
            <w:r w:rsidRPr="00D82527">
              <w:rPr>
                <w:spacing w:val="-3"/>
              </w:rPr>
              <w:t xml:space="preserve">  </w:t>
            </w:r>
            <w:r w:rsidR="006B0835">
              <w:rPr>
                <w:spacing w:val="-3"/>
              </w:rPr>
              <w:t>ACYF-CB-PI</w:t>
            </w:r>
          </w:p>
          <w:p w:rsidR="006B1D02" w:rsidRPr="00D82527" w:rsidRDefault="006B1D02" w:rsidP="00AF6FB1">
            <w:pPr>
              <w:pStyle w:val="ListParagraph"/>
              <w:tabs>
                <w:tab w:val="left" w:pos="-720"/>
              </w:tabs>
              <w:suppressAutoHyphens/>
              <w:spacing w:before="90" w:after="54"/>
              <w:rPr>
                <w:spacing w:val="-3"/>
              </w:rPr>
            </w:pPr>
          </w:p>
        </w:tc>
        <w:tc>
          <w:tcPr>
            <w:tcW w:w="4050" w:type="dxa"/>
            <w:tcBorders>
              <w:top w:val="single" w:sz="6" w:space="0" w:color="auto"/>
              <w:left w:val="single" w:sz="6" w:space="0" w:color="auto"/>
              <w:right w:val="single" w:sz="30" w:space="0" w:color="auto"/>
            </w:tcBorders>
          </w:tcPr>
          <w:p w:rsidR="006B1D02" w:rsidRPr="00D82527" w:rsidRDefault="006B1D02" w:rsidP="00AF6FB1">
            <w:pPr>
              <w:suppressAutoHyphens/>
              <w:spacing w:before="90" w:after="54"/>
              <w:rPr>
                <w:spacing w:val="-3"/>
              </w:rPr>
            </w:pPr>
            <w:r w:rsidRPr="00D82527">
              <w:rPr>
                <w:b/>
                <w:spacing w:val="-3"/>
              </w:rPr>
              <w:t>2. Issuance Date:</w:t>
            </w:r>
            <w:r w:rsidRPr="00D82527">
              <w:rPr>
                <w:spacing w:val="-3"/>
              </w:rPr>
              <w:t xml:space="preserve">  </w:t>
            </w:r>
          </w:p>
        </w:tc>
      </w:tr>
      <w:tr w:rsidR="006B1D02" w:rsidTr="00AF6FB1">
        <w:tc>
          <w:tcPr>
            <w:tcW w:w="2700" w:type="dxa"/>
            <w:tcBorders>
              <w:left w:val="single" w:sz="30" w:space="0" w:color="auto"/>
            </w:tcBorders>
          </w:tcPr>
          <w:p w:rsidR="006B1D02" w:rsidRDefault="006B1D02" w:rsidP="00AF6FB1">
            <w:pPr>
              <w:tabs>
                <w:tab w:val="left" w:pos="-720"/>
              </w:tabs>
              <w:suppressAutoHyphens/>
              <w:spacing w:before="90" w:after="54"/>
              <w:ind w:firstLine="60"/>
              <w:jc w:val="center"/>
              <w:rPr>
                <w:spacing w:val="-3"/>
              </w:rPr>
            </w:pPr>
            <w:r>
              <w:rPr>
                <w:spacing w:val="-5"/>
                <w:sz w:val="40"/>
              </w:rPr>
              <w:t>For Children</w:t>
            </w:r>
          </w:p>
        </w:tc>
        <w:tc>
          <w:tcPr>
            <w:tcW w:w="7650" w:type="dxa"/>
            <w:gridSpan w:val="2"/>
            <w:tcBorders>
              <w:top w:val="single" w:sz="6" w:space="0" w:color="auto"/>
              <w:left w:val="single" w:sz="6" w:space="0" w:color="auto"/>
              <w:right w:val="single" w:sz="30" w:space="0" w:color="auto"/>
            </w:tcBorders>
          </w:tcPr>
          <w:p w:rsidR="006B1D02" w:rsidRDefault="006B1D02" w:rsidP="00AF6FB1">
            <w:pPr>
              <w:tabs>
                <w:tab w:val="left" w:pos="-720"/>
              </w:tabs>
              <w:suppressAutoHyphens/>
              <w:spacing w:before="90" w:after="54"/>
              <w:rPr>
                <w:spacing w:val="-3"/>
              </w:rPr>
            </w:pPr>
            <w:r>
              <w:rPr>
                <w:b/>
                <w:spacing w:val="-3"/>
              </w:rPr>
              <w:t>3. Originating Office:</w:t>
            </w:r>
            <w:r>
              <w:t xml:space="preserve">  Children’s Bureau</w:t>
            </w:r>
          </w:p>
        </w:tc>
        <w:bookmarkStart w:id="0" w:name="_GoBack"/>
        <w:bookmarkEnd w:id="0"/>
      </w:tr>
      <w:tr w:rsidR="006B1D02" w:rsidTr="00AF6FB1">
        <w:tc>
          <w:tcPr>
            <w:tcW w:w="2700" w:type="dxa"/>
            <w:tcBorders>
              <w:left w:val="single" w:sz="30" w:space="0" w:color="auto"/>
              <w:bottom w:val="single" w:sz="30" w:space="0" w:color="auto"/>
            </w:tcBorders>
          </w:tcPr>
          <w:p w:rsidR="006B1D02" w:rsidRDefault="006B1D02" w:rsidP="00AF6FB1">
            <w:pPr>
              <w:tabs>
                <w:tab w:val="left" w:pos="-720"/>
              </w:tabs>
              <w:suppressAutoHyphens/>
              <w:spacing w:before="90" w:after="54"/>
              <w:ind w:firstLine="60"/>
              <w:jc w:val="center"/>
              <w:rPr>
                <w:spacing w:val="-3"/>
              </w:rPr>
            </w:pPr>
            <w:r>
              <w:rPr>
                <w:spacing w:val="-5"/>
                <w:sz w:val="40"/>
              </w:rPr>
              <w:t>And Families</w:t>
            </w:r>
          </w:p>
        </w:tc>
        <w:tc>
          <w:tcPr>
            <w:tcW w:w="7650" w:type="dxa"/>
            <w:gridSpan w:val="2"/>
            <w:tcBorders>
              <w:top w:val="single" w:sz="6" w:space="0" w:color="auto"/>
              <w:left w:val="single" w:sz="6" w:space="0" w:color="auto"/>
              <w:bottom w:val="single" w:sz="30" w:space="0" w:color="auto"/>
              <w:right w:val="single" w:sz="30" w:space="0" w:color="auto"/>
            </w:tcBorders>
          </w:tcPr>
          <w:p w:rsidR="006B1D02" w:rsidRDefault="006B1D02" w:rsidP="00AF6FB1">
            <w:pPr>
              <w:tabs>
                <w:tab w:val="left" w:pos="-720"/>
              </w:tabs>
              <w:suppressAutoHyphens/>
              <w:spacing w:before="90" w:after="54"/>
              <w:rPr>
                <w:spacing w:val="-3"/>
              </w:rPr>
            </w:pPr>
            <w:r>
              <w:rPr>
                <w:b/>
                <w:spacing w:val="-3"/>
              </w:rPr>
              <w:t>4. Key Words:</w:t>
            </w:r>
            <w:r>
              <w:rPr>
                <w:spacing w:val="-3"/>
              </w:rPr>
              <w:t xml:space="preserve">  State Court Improvement Program Basic, Data Collection and Analysis and Training Grants</w:t>
            </w:r>
          </w:p>
        </w:tc>
      </w:tr>
    </w:tbl>
    <w:p w:rsidR="006B1D02" w:rsidRDefault="006B1D02" w:rsidP="006B1D02">
      <w:pPr>
        <w:ind w:left="720"/>
      </w:pPr>
    </w:p>
    <w:p w:rsidR="0092054D" w:rsidRDefault="0092054D" w:rsidP="0092054D">
      <w:pPr>
        <w:ind w:left="720"/>
      </w:pPr>
    </w:p>
    <w:p w:rsidR="0092054D" w:rsidRDefault="0092054D" w:rsidP="0092054D">
      <w:pPr>
        <w:ind w:left="720"/>
        <w:jc w:val="center"/>
        <w:rPr>
          <w:b/>
        </w:rPr>
      </w:pPr>
      <w:r>
        <w:rPr>
          <w:b/>
        </w:rPr>
        <w:t>PROGRAM INSTRUCTION</w:t>
      </w:r>
    </w:p>
    <w:p w:rsidR="0092054D" w:rsidRDefault="0092054D" w:rsidP="0092054D">
      <w:pPr>
        <w:jc w:val="center"/>
      </w:pPr>
    </w:p>
    <w:p w:rsidR="0092054D" w:rsidRDefault="0092054D" w:rsidP="0092054D">
      <w:pPr>
        <w:tabs>
          <w:tab w:val="left" w:pos="2160"/>
        </w:tabs>
        <w:ind w:left="2160" w:hanging="2160"/>
      </w:pPr>
      <w:r>
        <w:rPr>
          <w:b/>
        </w:rPr>
        <w:t>TO</w:t>
      </w:r>
      <w:r w:rsidRPr="005B48DE">
        <w:rPr>
          <w:b/>
        </w:rPr>
        <w:t>:</w:t>
      </w:r>
      <w:r>
        <w:t xml:space="preserve">  </w:t>
      </w:r>
      <w:r>
        <w:tab/>
        <w:t>Highest State Courts of Appeal</w:t>
      </w:r>
    </w:p>
    <w:p w:rsidR="0092054D" w:rsidRDefault="0092054D" w:rsidP="0092054D">
      <w:pPr>
        <w:tabs>
          <w:tab w:val="left" w:pos="2160"/>
        </w:tabs>
        <w:ind w:left="2160" w:hanging="2160"/>
      </w:pPr>
    </w:p>
    <w:p w:rsidR="0092054D" w:rsidRDefault="0092054D" w:rsidP="0092054D">
      <w:pPr>
        <w:tabs>
          <w:tab w:val="left" w:pos="2160"/>
        </w:tabs>
        <w:ind w:left="2160" w:hanging="2160"/>
      </w:pPr>
      <w:r>
        <w:rPr>
          <w:b/>
        </w:rPr>
        <w:t>SUBJECT</w:t>
      </w:r>
      <w:r w:rsidRPr="005B48DE">
        <w:rPr>
          <w:b/>
        </w:rPr>
        <w:t>:</w:t>
      </w:r>
      <w:r>
        <w:t xml:space="preserve">  </w:t>
      </w:r>
      <w:r>
        <w:tab/>
        <w:t>Instructions for State Courts Applying for Court Improvement Program (CIP) Funds for Fiscal Years (FYs) 2012-2016</w:t>
      </w:r>
      <w:r w:rsidRPr="008A2CFF">
        <w:t>.</w:t>
      </w:r>
      <w:r>
        <w:t xml:space="preserve"> </w:t>
      </w:r>
    </w:p>
    <w:p w:rsidR="0092054D" w:rsidRDefault="0092054D" w:rsidP="0092054D">
      <w:pPr>
        <w:tabs>
          <w:tab w:val="left" w:pos="2160"/>
        </w:tabs>
        <w:ind w:left="2160" w:hanging="2160"/>
      </w:pPr>
    </w:p>
    <w:p w:rsidR="0092054D" w:rsidRDefault="0092054D" w:rsidP="0092054D">
      <w:pPr>
        <w:tabs>
          <w:tab w:val="left" w:pos="2160"/>
        </w:tabs>
        <w:ind w:left="2160" w:hanging="2160"/>
      </w:pPr>
      <w:r>
        <w:rPr>
          <w:b/>
        </w:rPr>
        <w:t>REFERENCES</w:t>
      </w:r>
      <w:r>
        <w:t xml:space="preserve">:  </w:t>
      </w:r>
      <w:r>
        <w:tab/>
        <w:t>Section 438 of the Social Security Act; Section 7401 of the Deficit Reduction Act of 2005 (Public Law (P.L.) 109-171); Titles IV-B and IV-E of the Social Security Act (the Act).</w:t>
      </w:r>
      <w:r w:rsidR="00716262">
        <w:t xml:space="preserve"> </w:t>
      </w:r>
      <w:r>
        <w:t xml:space="preserve"> </w:t>
      </w:r>
      <w:r w:rsidR="00716262" w:rsidRPr="007E613F">
        <w:t>The Child and Family Services Improvement and Innovation Act (P.L.</w:t>
      </w:r>
      <w:r w:rsidR="007E613F" w:rsidRPr="007E613F">
        <w:t xml:space="preserve"> 112-34</w:t>
      </w:r>
      <w:r w:rsidR="00716262" w:rsidRPr="007E613F">
        <w:t>)</w:t>
      </w:r>
    </w:p>
    <w:p w:rsidR="00716262" w:rsidRDefault="00716262" w:rsidP="0092054D">
      <w:pPr>
        <w:tabs>
          <w:tab w:val="left" w:pos="2160"/>
        </w:tabs>
        <w:ind w:left="2160" w:hanging="2160"/>
      </w:pPr>
    </w:p>
    <w:p w:rsidR="0092054D" w:rsidRDefault="0092054D" w:rsidP="0092054D">
      <w:pPr>
        <w:tabs>
          <w:tab w:val="left" w:pos="2160"/>
        </w:tabs>
        <w:ind w:left="2160" w:hanging="2160"/>
      </w:pPr>
      <w:r w:rsidRPr="008B4DA1">
        <w:rPr>
          <w:b/>
        </w:rPr>
        <w:t>PURPOSE</w:t>
      </w:r>
      <w:r w:rsidRPr="005B48DE">
        <w:t>:</w:t>
      </w:r>
      <w:r>
        <w:t xml:space="preserve">  </w:t>
      </w:r>
      <w:r>
        <w:tab/>
        <w:t>The purpose of this Program Instruction is to set forth the eligibility requirements and grant</w:t>
      </w:r>
      <w:r w:rsidR="008F11B1">
        <w:t xml:space="preserve"> application procedures for CIP</w:t>
      </w:r>
      <w:r>
        <w:t xml:space="preserve"> grants for FYs </w:t>
      </w:r>
      <w:r w:rsidRPr="008A2CFF">
        <w:t xml:space="preserve">2012 through </w:t>
      </w:r>
      <w:r>
        <w:t xml:space="preserve">2016 and provide guidance on the requirements </w:t>
      </w:r>
      <w:r w:rsidR="00AF6FB1">
        <w:t>for State courts to assess and improve</w:t>
      </w:r>
      <w:r w:rsidR="00185AFC">
        <w:t xml:space="preserve"> the</w:t>
      </w:r>
      <w:r w:rsidR="00AF6FB1">
        <w:t xml:space="preserve"> hand</w:t>
      </w:r>
      <w:r w:rsidR="00C92E88">
        <w:t>ling of proceedings related to f</w:t>
      </w:r>
      <w:r w:rsidR="00332E37">
        <w:t>oster care and adoption, and engagement of the entire family in court processes relating to child welfare, family preservation, family reunification and adoption</w:t>
      </w:r>
    </w:p>
    <w:p w:rsidR="0092054D" w:rsidRDefault="0092054D" w:rsidP="0092054D">
      <w:pPr>
        <w:tabs>
          <w:tab w:val="left" w:pos="2160"/>
        </w:tabs>
        <w:ind w:left="2160" w:hanging="2160"/>
        <w:rPr>
          <w:b/>
        </w:rPr>
      </w:pPr>
    </w:p>
    <w:p w:rsidR="0092054D" w:rsidRDefault="0092054D" w:rsidP="0092054D">
      <w:pPr>
        <w:tabs>
          <w:tab w:val="left" w:pos="2160"/>
        </w:tabs>
        <w:ind w:left="2160" w:hanging="2160"/>
      </w:pPr>
      <w:r w:rsidRPr="008B4DA1">
        <w:rPr>
          <w:b/>
        </w:rPr>
        <w:t>BACKGROUND</w:t>
      </w:r>
      <w:r>
        <w:rPr>
          <w:b/>
        </w:rPr>
        <w:t xml:space="preserve">:  </w:t>
      </w:r>
      <w:r>
        <w:tab/>
        <w:t>The CIP funds three grants that the highest State court of each State can apply for: a basic</w:t>
      </w:r>
      <w:r w:rsidR="00A63DE0">
        <w:t xml:space="preserve"> grant</w:t>
      </w:r>
      <w:r>
        <w:t>, a grant for data collection and analysis, and a grant for training.  The basic CIP grant was funded under the</w:t>
      </w:r>
      <w:r w:rsidRPr="00AD370C">
        <w:t xml:space="preserve"> Promoting Safe and </w:t>
      </w:r>
      <w:r>
        <w:t>Stable Families Program to enable State courts to conduct assessments of the role, responsibilities and effectiveness of State courts in carrying out State laws relating to foster care and adoption proceedings.  Improvements made under the grant are required to</w:t>
      </w:r>
      <w:r w:rsidRPr="00AD370C">
        <w:t xml:space="preserve"> provide for the safety, well-being, and permanence of children in foster care and</w:t>
      </w:r>
      <w:r w:rsidR="00C92E88">
        <w:t xml:space="preserve"> assist in the</w:t>
      </w:r>
      <w:r w:rsidRPr="00AD370C">
        <w:t xml:space="preserve"> implement</w:t>
      </w:r>
      <w:r w:rsidR="00C92E88">
        <w:t>ation of</w:t>
      </w:r>
      <w:r w:rsidRPr="00AD370C">
        <w:t xml:space="preserve"> Program Improvement Plans (PIPs)</w:t>
      </w:r>
      <w:r w:rsidR="00C92E88">
        <w:t xml:space="preserve"> jointly</w:t>
      </w:r>
      <w:r w:rsidRPr="00AD370C">
        <w:t xml:space="preserve"> developed</w:t>
      </w:r>
      <w:r w:rsidR="00C92E88">
        <w:t xml:space="preserve"> </w:t>
      </w:r>
      <w:r w:rsidR="00C92E88">
        <w:lastRenderedPageBreak/>
        <w:t>by the State agency, courts and CB staff</w:t>
      </w:r>
      <w:r w:rsidRPr="00AD370C">
        <w:t xml:space="preserve"> as a result of the Child and Family Servi</w:t>
      </w:r>
      <w:r>
        <w:t>ces and t</w:t>
      </w:r>
      <w:r w:rsidRPr="00AD370C">
        <w:t>itle IV-E Foster Care Eligibility Reviews. The basic CIP grant was first enacted in 1993 an</w:t>
      </w:r>
      <w:r>
        <w:t xml:space="preserve">d reauthorized in 1997, 2001 and 2006. </w:t>
      </w:r>
      <w:r w:rsidRPr="00AD370C">
        <w:t xml:space="preserve">  </w:t>
      </w:r>
    </w:p>
    <w:p w:rsidR="0092054D" w:rsidRDefault="0092054D" w:rsidP="0092054D">
      <w:pPr>
        <w:tabs>
          <w:tab w:val="left" w:pos="2160"/>
        </w:tabs>
        <w:ind w:left="2160" w:hanging="2160"/>
      </w:pPr>
    </w:p>
    <w:p w:rsidR="0092054D" w:rsidRDefault="0092054D" w:rsidP="0092054D">
      <w:pPr>
        <w:tabs>
          <w:tab w:val="left" w:pos="2160"/>
        </w:tabs>
        <w:ind w:left="2160" w:hanging="2160"/>
      </w:pPr>
      <w:r>
        <w:tab/>
        <w:t>The data and training grants were authorized</w:t>
      </w:r>
      <w:r w:rsidR="00A63DE0">
        <w:t xml:space="preserve"> for five years</w:t>
      </w:r>
      <w:r>
        <w:t xml:space="preserve"> by t</w:t>
      </w:r>
      <w:r w:rsidRPr="00AD370C">
        <w:t>h</w:t>
      </w:r>
      <w:r>
        <w:t>e Deficit R</w:t>
      </w:r>
      <w:r w:rsidR="0080490D">
        <w:t>eduction Act</w:t>
      </w:r>
      <w:r w:rsidR="00A63DE0">
        <w:t xml:space="preserve"> of 2005</w:t>
      </w:r>
      <w:r w:rsidR="0080490D">
        <w:t xml:space="preserve"> </w:t>
      </w:r>
      <w:r w:rsidRPr="00AD370C">
        <w:t>(P.L. 109-171)</w:t>
      </w:r>
      <w:r w:rsidR="00A63DE0">
        <w:t xml:space="preserve"> </w:t>
      </w:r>
      <w:r>
        <w:t>beginning in FY 2006</w:t>
      </w:r>
      <w:r w:rsidRPr="00147840">
        <w:t>.</w:t>
      </w:r>
      <w:r>
        <w:t xml:space="preserve">  The data grant was created to facilitate State court data collection and analysis and promote data sharing between State courts and child welfare agencies.  The training grant was created to increa</w:t>
      </w:r>
      <w:r w:rsidR="00C92E88">
        <w:t>se child welfare expertise within</w:t>
      </w:r>
      <w:r>
        <w:t xml:space="preserve"> the legal community and facilitate cros</w:t>
      </w:r>
      <w:r w:rsidR="00C92E88">
        <w:t>s-training opportunities among</w:t>
      </w:r>
      <w:r>
        <w:t xml:space="preserve"> agencies, courts and other key stakeholders.  The basic, training and data grants all received continued funding for FY 2011 under a Continuing Resolution.</w:t>
      </w:r>
    </w:p>
    <w:p w:rsidR="0092054D" w:rsidRDefault="0092054D" w:rsidP="0092054D">
      <w:pPr>
        <w:tabs>
          <w:tab w:val="left" w:pos="2160"/>
        </w:tabs>
        <w:ind w:left="2160" w:hanging="2160"/>
      </w:pPr>
    </w:p>
    <w:p w:rsidR="0092054D" w:rsidRDefault="0092054D" w:rsidP="006776F4">
      <w:pPr>
        <w:spacing w:after="192"/>
        <w:ind w:left="2160"/>
      </w:pPr>
      <w:r>
        <w:t xml:space="preserve"> </w:t>
      </w:r>
      <w:r w:rsidR="009641BF" w:rsidRPr="007E613F">
        <w:t>On September 30,</w:t>
      </w:r>
      <w:r w:rsidR="0080490D" w:rsidRPr="007E613F">
        <w:t xml:space="preserve"> 2011, </w:t>
      </w:r>
      <w:r w:rsidRPr="007E613F">
        <w:t>the President signed</w:t>
      </w:r>
      <w:r w:rsidR="00A63DE0" w:rsidRPr="007E613F">
        <w:t xml:space="preserve"> T</w:t>
      </w:r>
      <w:r w:rsidR="00591E33" w:rsidRPr="007E613F">
        <w:t xml:space="preserve">he Child and Family Services Improvement and Innovation </w:t>
      </w:r>
      <w:r w:rsidR="00C14FF9" w:rsidRPr="007E613F">
        <w:t>Act</w:t>
      </w:r>
      <w:r w:rsidR="009641BF" w:rsidRPr="007E613F">
        <w:t xml:space="preserve"> (P.L.</w:t>
      </w:r>
      <w:r w:rsidR="007E613F" w:rsidRPr="007E613F">
        <w:t xml:space="preserve"> 112-34</w:t>
      </w:r>
      <w:r w:rsidR="009641BF" w:rsidRPr="007E613F">
        <w:t xml:space="preserve">) </w:t>
      </w:r>
      <w:r w:rsidR="00C14FF9" w:rsidRPr="007E613F">
        <w:t xml:space="preserve">into law, </w:t>
      </w:r>
      <w:r w:rsidRPr="007E613F">
        <w:t xml:space="preserve">reauthorizing all three CIP grants </w:t>
      </w:r>
      <w:r w:rsidR="00C92E88" w:rsidRPr="007E613F">
        <w:t xml:space="preserve">through </w:t>
      </w:r>
      <w:r w:rsidR="00C263FC" w:rsidRPr="007E613F">
        <w:t xml:space="preserve">FY </w:t>
      </w:r>
      <w:r w:rsidRPr="007E613F">
        <w:t>2016</w:t>
      </w:r>
      <w:r w:rsidR="00591E33" w:rsidRPr="007E613F">
        <w:t>.</w:t>
      </w:r>
      <w:r w:rsidR="00591E33" w:rsidRPr="00C14FF9">
        <w:t xml:space="preserve">  The Child and Family Services Improvement and Innovation Act adds </w:t>
      </w:r>
      <w:r w:rsidR="00C263FC" w:rsidRPr="00C14FF9">
        <w:t xml:space="preserve">provisions </w:t>
      </w:r>
      <w:r w:rsidR="00C14FF9" w:rsidRPr="00C14FF9">
        <w:t>encouraging State courts</w:t>
      </w:r>
      <w:r w:rsidR="00C263FC" w:rsidRPr="00C14FF9">
        <w:t xml:space="preserve"> </w:t>
      </w:r>
      <w:r w:rsidRPr="00C14FF9">
        <w:t>to promote the use of concurrent planning and increase and improve engagement of the entire family in court processes relating to child welfare, family preservation, fam</w:t>
      </w:r>
      <w:r w:rsidR="00C263FC" w:rsidRPr="00C14FF9">
        <w:t>ily reunificati</w:t>
      </w:r>
      <w:r w:rsidR="00C14FF9" w:rsidRPr="00C14FF9">
        <w:t>on</w:t>
      </w:r>
      <w:r w:rsidR="00A63DE0">
        <w:t xml:space="preserve"> and adoption</w:t>
      </w:r>
      <w:r w:rsidR="00C14FF9" w:rsidRPr="00C14FF9">
        <w:t xml:space="preserve">.  </w:t>
      </w:r>
      <w:r w:rsidR="00C14FF9">
        <w:t xml:space="preserve">It </w:t>
      </w:r>
      <w:r w:rsidR="00C14FF9" w:rsidRPr="00C14FF9">
        <w:t>also</w:t>
      </w:r>
      <w:r w:rsidR="00BF0A6F">
        <w:t xml:space="preserve"> allocated one million dollars to establish </w:t>
      </w:r>
      <w:r w:rsidR="00C14FF9">
        <w:t>a Trib</w:t>
      </w:r>
      <w:r w:rsidR="00BF0A6F">
        <w:t>al Court Improvement Program.  Awards for the Tribal CIP will be made on</w:t>
      </w:r>
      <w:r w:rsidR="00A63DE0">
        <w:t xml:space="preserve"> a competitive basis.  Information on the Tribal CIP Funding Opportunity Announcement will be published separately</w:t>
      </w:r>
      <w:r w:rsidR="00BF0A6F">
        <w:t>.</w:t>
      </w:r>
    </w:p>
    <w:p w:rsidR="0092054D" w:rsidRPr="009A27A3" w:rsidRDefault="0092054D" w:rsidP="0092054D">
      <w:pPr>
        <w:pStyle w:val="NoSpacing"/>
        <w:ind w:left="1440" w:firstLine="720"/>
        <w:rPr>
          <w:b/>
          <w:bCs/>
          <w:szCs w:val="24"/>
        </w:rPr>
      </w:pPr>
      <w:r w:rsidRPr="009A27A3">
        <w:rPr>
          <w:b/>
          <w:bCs/>
          <w:szCs w:val="24"/>
        </w:rPr>
        <w:t>INFORMATION</w:t>
      </w:r>
      <w:r w:rsidRPr="009A27A3">
        <w:rPr>
          <w:bCs/>
          <w:szCs w:val="24"/>
        </w:rPr>
        <w:t>:</w:t>
      </w:r>
      <w:r w:rsidRPr="009A27A3">
        <w:rPr>
          <w:b/>
          <w:bCs/>
          <w:szCs w:val="24"/>
        </w:rPr>
        <w:t xml:space="preserve">  Organization of the Program Instruction:</w:t>
      </w:r>
    </w:p>
    <w:p w:rsidR="0092054D" w:rsidRPr="009A27A3" w:rsidRDefault="0092054D" w:rsidP="0092054D">
      <w:pPr>
        <w:pStyle w:val="NoSpacing"/>
        <w:rPr>
          <w:b/>
          <w:bCs/>
          <w:szCs w:val="24"/>
        </w:rPr>
      </w:pPr>
    </w:p>
    <w:p w:rsidR="0092054D" w:rsidRPr="00E82F74" w:rsidRDefault="00A63DE0" w:rsidP="0092054D">
      <w:pPr>
        <w:pStyle w:val="NoSpacing"/>
        <w:tabs>
          <w:tab w:val="left" w:pos="1210"/>
        </w:tabs>
        <w:rPr>
          <w:bCs/>
          <w:szCs w:val="24"/>
        </w:rPr>
      </w:pPr>
      <w:r>
        <w:rPr>
          <w:bCs/>
          <w:szCs w:val="24"/>
        </w:rPr>
        <w:tab/>
      </w:r>
      <w:r>
        <w:rPr>
          <w:bCs/>
          <w:szCs w:val="24"/>
        </w:rPr>
        <w:tab/>
      </w:r>
      <w:r>
        <w:rPr>
          <w:bCs/>
          <w:szCs w:val="24"/>
        </w:rPr>
        <w:tab/>
        <w:t>Section I.</w:t>
      </w:r>
      <w:r w:rsidR="0092054D">
        <w:rPr>
          <w:bCs/>
          <w:szCs w:val="24"/>
        </w:rPr>
        <w:t xml:space="preserve"> </w:t>
      </w:r>
      <w:r>
        <w:rPr>
          <w:bCs/>
          <w:szCs w:val="24"/>
        </w:rPr>
        <w:tab/>
      </w:r>
      <w:r w:rsidR="0092054D">
        <w:rPr>
          <w:bCs/>
          <w:szCs w:val="24"/>
        </w:rPr>
        <w:t>Instruction for State Courts</w:t>
      </w:r>
    </w:p>
    <w:p w:rsidR="0092054D" w:rsidRPr="00E82F74" w:rsidRDefault="00A63DE0" w:rsidP="0092054D">
      <w:pPr>
        <w:pStyle w:val="NoSpacing"/>
        <w:tabs>
          <w:tab w:val="left" w:pos="1210"/>
        </w:tabs>
        <w:rPr>
          <w:szCs w:val="24"/>
        </w:rPr>
      </w:pPr>
      <w:r>
        <w:rPr>
          <w:szCs w:val="24"/>
        </w:rPr>
        <w:tab/>
      </w:r>
      <w:r>
        <w:rPr>
          <w:szCs w:val="24"/>
        </w:rPr>
        <w:tab/>
      </w:r>
      <w:r>
        <w:rPr>
          <w:szCs w:val="24"/>
        </w:rPr>
        <w:tab/>
        <w:t xml:space="preserve">Section II. </w:t>
      </w:r>
      <w:r>
        <w:rPr>
          <w:szCs w:val="24"/>
        </w:rPr>
        <w:tab/>
      </w:r>
      <w:r w:rsidR="0092054D">
        <w:rPr>
          <w:szCs w:val="24"/>
        </w:rPr>
        <w:t>Programmatic Requirements for CIP Grants</w:t>
      </w:r>
    </w:p>
    <w:p w:rsidR="009419C6" w:rsidRDefault="00A63DE0" w:rsidP="0092054D">
      <w:pPr>
        <w:pStyle w:val="NoSpacing"/>
        <w:tabs>
          <w:tab w:val="left" w:pos="1210"/>
        </w:tabs>
        <w:rPr>
          <w:szCs w:val="24"/>
        </w:rPr>
      </w:pPr>
      <w:r>
        <w:rPr>
          <w:szCs w:val="24"/>
        </w:rPr>
        <w:tab/>
      </w:r>
      <w:r>
        <w:rPr>
          <w:szCs w:val="24"/>
        </w:rPr>
        <w:tab/>
      </w:r>
      <w:r>
        <w:rPr>
          <w:szCs w:val="24"/>
        </w:rPr>
        <w:tab/>
        <w:t xml:space="preserve">Section III. </w:t>
      </w:r>
      <w:r>
        <w:rPr>
          <w:szCs w:val="24"/>
        </w:rPr>
        <w:tab/>
      </w:r>
      <w:r w:rsidR="0092054D">
        <w:rPr>
          <w:szCs w:val="24"/>
        </w:rPr>
        <w:t>Application Requirements</w:t>
      </w:r>
    </w:p>
    <w:p w:rsidR="0092054D" w:rsidRPr="00E82F74" w:rsidRDefault="00A63DE0" w:rsidP="0092054D">
      <w:pPr>
        <w:pStyle w:val="NoSpacing"/>
        <w:tabs>
          <w:tab w:val="left" w:pos="1210"/>
        </w:tabs>
        <w:rPr>
          <w:szCs w:val="24"/>
        </w:rPr>
      </w:pPr>
      <w:r>
        <w:rPr>
          <w:szCs w:val="24"/>
        </w:rPr>
        <w:tab/>
      </w:r>
      <w:r>
        <w:rPr>
          <w:szCs w:val="24"/>
        </w:rPr>
        <w:tab/>
      </w:r>
      <w:r>
        <w:rPr>
          <w:szCs w:val="24"/>
        </w:rPr>
        <w:tab/>
        <w:t xml:space="preserve">Section IV. </w:t>
      </w:r>
      <w:r>
        <w:rPr>
          <w:szCs w:val="24"/>
        </w:rPr>
        <w:tab/>
      </w:r>
      <w:r w:rsidR="00ED2AA5">
        <w:rPr>
          <w:szCs w:val="24"/>
        </w:rPr>
        <w:t>Strategic Plan Requirements</w:t>
      </w:r>
      <w:r w:rsidR="0092054D">
        <w:rPr>
          <w:szCs w:val="24"/>
        </w:rPr>
        <w:tab/>
      </w:r>
    </w:p>
    <w:p w:rsidR="00ED2AA5" w:rsidRDefault="0092054D" w:rsidP="0092054D">
      <w:pPr>
        <w:pStyle w:val="NoSpacing"/>
        <w:tabs>
          <w:tab w:val="left" w:pos="1210"/>
        </w:tabs>
        <w:ind w:left="1210" w:hanging="1210"/>
        <w:rPr>
          <w:szCs w:val="24"/>
        </w:rPr>
      </w:pPr>
      <w:r>
        <w:rPr>
          <w:szCs w:val="24"/>
        </w:rPr>
        <w:tab/>
      </w:r>
      <w:r>
        <w:rPr>
          <w:szCs w:val="24"/>
        </w:rPr>
        <w:tab/>
      </w:r>
      <w:r>
        <w:rPr>
          <w:szCs w:val="24"/>
        </w:rPr>
        <w:tab/>
      </w:r>
      <w:r w:rsidRPr="00E82F74">
        <w:rPr>
          <w:szCs w:val="24"/>
        </w:rPr>
        <w:t xml:space="preserve">Section </w:t>
      </w:r>
      <w:r w:rsidR="0080490D">
        <w:rPr>
          <w:szCs w:val="24"/>
        </w:rPr>
        <w:t>V</w:t>
      </w:r>
      <w:r w:rsidR="00A63DE0">
        <w:rPr>
          <w:szCs w:val="24"/>
        </w:rPr>
        <w:t xml:space="preserve">. </w:t>
      </w:r>
      <w:r w:rsidR="00A63DE0">
        <w:rPr>
          <w:szCs w:val="24"/>
        </w:rPr>
        <w:tab/>
      </w:r>
      <w:r w:rsidR="00ED2AA5">
        <w:rPr>
          <w:szCs w:val="24"/>
        </w:rPr>
        <w:t xml:space="preserve">Data Collection and </w:t>
      </w:r>
      <w:r>
        <w:rPr>
          <w:szCs w:val="24"/>
        </w:rPr>
        <w:t>Report</w:t>
      </w:r>
      <w:r w:rsidR="00BA78DD">
        <w:rPr>
          <w:szCs w:val="24"/>
        </w:rPr>
        <w:t>ing</w:t>
      </w:r>
      <w:r>
        <w:rPr>
          <w:szCs w:val="24"/>
        </w:rPr>
        <w:t xml:space="preserve"> Requirements</w:t>
      </w:r>
    </w:p>
    <w:p w:rsidR="0092054D" w:rsidRPr="00E82F74" w:rsidRDefault="00ED2AA5" w:rsidP="0092054D">
      <w:pPr>
        <w:pStyle w:val="NoSpacing"/>
        <w:tabs>
          <w:tab w:val="left" w:pos="1210"/>
        </w:tabs>
        <w:ind w:left="1210" w:hanging="1210"/>
        <w:rPr>
          <w:szCs w:val="24"/>
        </w:rPr>
      </w:pPr>
      <w:r>
        <w:rPr>
          <w:szCs w:val="24"/>
        </w:rPr>
        <w:tab/>
      </w:r>
      <w:r>
        <w:rPr>
          <w:szCs w:val="24"/>
        </w:rPr>
        <w:tab/>
      </w:r>
      <w:r>
        <w:rPr>
          <w:szCs w:val="24"/>
        </w:rPr>
        <w:tab/>
        <w:t>Section VI.</w:t>
      </w:r>
      <w:r>
        <w:rPr>
          <w:szCs w:val="24"/>
        </w:rPr>
        <w:tab/>
        <w:t>Annual Program Assessment Report Requirements</w:t>
      </w:r>
      <w:r w:rsidR="0092054D">
        <w:rPr>
          <w:szCs w:val="24"/>
        </w:rPr>
        <w:tab/>
      </w:r>
    </w:p>
    <w:p w:rsidR="0092054D" w:rsidRPr="006776F4" w:rsidRDefault="0092054D" w:rsidP="006776F4">
      <w:pPr>
        <w:pStyle w:val="NoSpacing"/>
        <w:tabs>
          <w:tab w:val="left" w:pos="1210"/>
        </w:tabs>
        <w:rPr>
          <w:szCs w:val="24"/>
        </w:rPr>
      </w:pPr>
      <w:r>
        <w:rPr>
          <w:szCs w:val="24"/>
        </w:rPr>
        <w:tab/>
      </w:r>
      <w:r>
        <w:rPr>
          <w:szCs w:val="24"/>
        </w:rPr>
        <w:tab/>
      </w:r>
      <w:r>
        <w:rPr>
          <w:szCs w:val="24"/>
        </w:rPr>
        <w:tab/>
        <w:t>Section V</w:t>
      </w:r>
      <w:r w:rsidR="00CD2A6D">
        <w:rPr>
          <w:szCs w:val="24"/>
        </w:rPr>
        <w:t>I</w:t>
      </w:r>
      <w:r w:rsidR="00ED2AA5">
        <w:rPr>
          <w:szCs w:val="24"/>
        </w:rPr>
        <w:t>I</w:t>
      </w:r>
      <w:r w:rsidR="00A63DE0">
        <w:rPr>
          <w:szCs w:val="24"/>
        </w:rPr>
        <w:t xml:space="preserve">. </w:t>
      </w:r>
      <w:r w:rsidR="00A63DE0">
        <w:rPr>
          <w:szCs w:val="24"/>
        </w:rPr>
        <w:tab/>
      </w:r>
      <w:r w:rsidR="00BA78DD">
        <w:rPr>
          <w:szCs w:val="24"/>
        </w:rPr>
        <w:t xml:space="preserve">Annual </w:t>
      </w:r>
      <w:r>
        <w:rPr>
          <w:szCs w:val="24"/>
        </w:rPr>
        <w:t>Fiscal Report</w:t>
      </w:r>
      <w:r w:rsidR="00BA78DD">
        <w:rPr>
          <w:szCs w:val="24"/>
        </w:rPr>
        <w:t>ing</w:t>
      </w:r>
      <w:r>
        <w:rPr>
          <w:szCs w:val="24"/>
        </w:rPr>
        <w:t xml:space="preserve"> Requirements </w:t>
      </w:r>
    </w:p>
    <w:p w:rsidR="0092054D" w:rsidRDefault="0092054D" w:rsidP="0092054D">
      <w:pPr>
        <w:ind w:left="2160"/>
      </w:pPr>
      <w:r w:rsidRPr="00E865E3">
        <w:tab/>
      </w:r>
    </w:p>
    <w:p w:rsidR="0092054D" w:rsidRPr="00A96C2C" w:rsidRDefault="0092054D" w:rsidP="0047483A">
      <w:pPr>
        <w:pStyle w:val="ListParagraph"/>
        <w:numPr>
          <w:ilvl w:val="0"/>
          <w:numId w:val="8"/>
        </w:numPr>
        <w:tabs>
          <w:tab w:val="left" w:pos="4320"/>
        </w:tabs>
        <w:rPr>
          <w:b/>
        </w:rPr>
      </w:pPr>
      <w:r w:rsidRPr="00A96C2C">
        <w:rPr>
          <w:b/>
        </w:rPr>
        <w:t>INSTRUCTION</w:t>
      </w:r>
    </w:p>
    <w:p w:rsidR="0092054D" w:rsidRDefault="0092054D" w:rsidP="0092054D"/>
    <w:p w:rsidR="0092054D" w:rsidRPr="00147840" w:rsidRDefault="0092054D" w:rsidP="0092054D">
      <w:pPr>
        <w:ind w:left="2160"/>
      </w:pPr>
      <w:r>
        <w:t>This Program Instruction describes the application procedures and reporting requirements for CIP grants for FYs 2012-2016 and explains how State courts must plan for, implement, amend, update and report on the programs and activities they support using grant funds.  State courts must comply with the requirements delineated in this Program Instruction</w:t>
      </w:r>
      <w:r w:rsidR="00C92E88">
        <w:t xml:space="preserve"> as a prerequisite to receiving</w:t>
      </w:r>
      <w:r>
        <w:t xml:space="preserve"> CIP funds. </w:t>
      </w:r>
    </w:p>
    <w:p w:rsidR="0092054D" w:rsidRDefault="0092054D" w:rsidP="0092054D">
      <w:pPr>
        <w:ind w:left="2160"/>
        <w:rPr>
          <w:b/>
        </w:rPr>
      </w:pPr>
    </w:p>
    <w:p w:rsidR="00716262" w:rsidRDefault="00716262" w:rsidP="0092054D">
      <w:pPr>
        <w:ind w:left="2160"/>
        <w:rPr>
          <w:b/>
        </w:rPr>
      </w:pPr>
    </w:p>
    <w:p w:rsidR="00716262" w:rsidRDefault="00716262" w:rsidP="0092054D">
      <w:pPr>
        <w:ind w:left="2160"/>
        <w:rPr>
          <w:b/>
        </w:rPr>
      </w:pPr>
    </w:p>
    <w:p w:rsidR="0092054D" w:rsidRPr="00B756A2" w:rsidRDefault="0092054D" w:rsidP="0092054D">
      <w:pPr>
        <w:ind w:left="2160"/>
        <w:rPr>
          <w:b/>
        </w:rPr>
      </w:pPr>
      <w:r w:rsidRPr="00B756A2">
        <w:rPr>
          <w:b/>
        </w:rPr>
        <w:t>Eligibility</w:t>
      </w:r>
    </w:p>
    <w:p w:rsidR="0092054D" w:rsidRDefault="0092054D" w:rsidP="0092054D">
      <w:pPr>
        <w:ind w:left="2160"/>
      </w:pPr>
    </w:p>
    <w:p w:rsidR="0092054D" w:rsidRDefault="0092054D" w:rsidP="0092054D">
      <w:pPr>
        <w:ind w:left="2160"/>
      </w:pPr>
      <w:r>
        <w:t>The highest State court of each State that particip</w:t>
      </w:r>
      <w:r w:rsidR="00C92E88">
        <w:t>ates in the programs funded under t</w:t>
      </w:r>
      <w:r>
        <w:t>itle IV-E of the Act is eligible to apply for CIP funds.  The term “highest State court” means the judicial tribunal that is the ultimate c</w:t>
      </w:r>
      <w:r w:rsidR="0049045D">
        <w:t>ourt of appeals in the State and responsible for the implementation of the CIP grants</w:t>
      </w:r>
      <w:r>
        <w:t>.  Although the highest St</w:t>
      </w:r>
      <w:r w:rsidR="0049045D">
        <w:t xml:space="preserve">ate court is the designated applicant </w:t>
      </w:r>
      <w:r>
        <w:t>fo</w:t>
      </w:r>
      <w:r w:rsidR="0049045D">
        <w:t xml:space="preserve">r the grant, </w:t>
      </w:r>
      <w:r>
        <w:t>the application must reflect meaningful and ongoing collaboration among State and local courts, State a</w:t>
      </w:r>
      <w:r w:rsidR="00C71419">
        <w:t>nd local child welfare agencies</w:t>
      </w:r>
      <w:r>
        <w:t xml:space="preserve"> and</w:t>
      </w:r>
      <w:r w:rsidR="00C71419">
        <w:t>, where applicable, Indian Tribes</w:t>
      </w:r>
      <w:r>
        <w:t xml:space="preserve">.     </w:t>
      </w:r>
    </w:p>
    <w:p w:rsidR="0092054D" w:rsidRDefault="0092054D" w:rsidP="0092054D">
      <w:pPr>
        <w:ind w:left="2160"/>
      </w:pPr>
    </w:p>
    <w:p w:rsidR="0092054D" w:rsidRPr="00116B62" w:rsidRDefault="0092054D" w:rsidP="0092054D">
      <w:pPr>
        <w:ind w:left="2160"/>
      </w:pPr>
      <w:r>
        <w:t xml:space="preserve">A State court may apply for one or any combination of CIP grants.  </w:t>
      </w:r>
      <w:smartTag w:uri="urn:schemas-microsoft-com:office:smarttags" w:element="PersonName">
        <w:r>
          <w:t>It</w:t>
        </w:r>
      </w:smartTag>
      <w:r>
        <w:t xml:space="preserve"> is not necessary for a State to receive the basic CIP grant to be eligible to receive either the data or training grant.  </w:t>
      </w:r>
    </w:p>
    <w:p w:rsidR="00EE0CAB" w:rsidRDefault="00EE0CAB" w:rsidP="006D2254">
      <w:pPr>
        <w:rPr>
          <w:b/>
        </w:rPr>
      </w:pPr>
    </w:p>
    <w:p w:rsidR="0092054D" w:rsidRPr="00B756A2" w:rsidRDefault="0092054D" w:rsidP="0092054D">
      <w:pPr>
        <w:ind w:left="2160"/>
        <w:rPr>
          <w:b/>
        </w:rPr>
      </w:pPr>
      <w:r w:rsidRPr="00B756A2">
        <w:rPr>
          <w:b/>
        </w:rPr>
        <w:t>Funding</w:t>
      </w:r>
    </w:p>
    <w:p w:rsidR="0092054D" w:rsidRPr="00C3681B" w:rsidRDefault="0092054D" w:rsidP="0092054D">
      <w:pPr>
        <w:ind w:left="2160"/>
        <w:rPr>
          <w:b/>
          <w:u w:val="single"/>
        </w:rPr>
      </w:pPr>
    </w:p>
    <w:p w:rsidR="0092054D" w:rsidRPr="0034697A" w:rsidRDefault="0092054D" w:rsidP="0047483A">
      <w:pPr>
        <w:numPr>
          <w:ilvl w:val="0"/>
          <w:numId w:val="6"/>
        </w:numPr>
        <w:tabs>
          <w:tab w:val="clear" w:pos="2880"/>
          <w:tab w:val="num" w:pos="2520"/>
        </w:tabs>
        <w:ind w:left="2520"/>
      </w:pPr>
      <w:r>
        <w:t xml:space="preserve">Allotments:  For each grant, each State court with an approved application will be allotted $85,000 and, after the sum of all States’ base amounts is subtracted from the total appropriation, a percentage of the remainder based on the State’s proportionate share of children under age 21.  </w:t>
      </w:r>
      <w:r w:rsidR="00655E37">
        <w:t>(</w:t>
      </w:r>
      <w:r w:rsidRPr="0034697A">
        <w:t xml:space="preserve">See </w:t>
      </w:r>
      <w:r>
        <w:t>S</w:t>
      </w:r>
      <w:r w:rsidRPr="0034697A">
        <w:t>ection 438(c)</w:t>
      </w:r>
      <w:r w:rsidR="0049045D">
        <w:t xml:space="preserve"> of the Act</w:t>
      </w:r>
      <w:r w:rsidRPr="0034697A">
        <w:t>.</w:t>
      </w:r>
      <w:r w:rsidR="00655E37">
        <w:t>)</w:t>
      </w:r>
      <w:r w:rsidRPr="0034697A">
        <w:t xml:space="preserve">  </w:t>
      </w:r>
      <w:r w:rsidR="00A63DE0">
        <w:t>Estimated allotments</w:t>
      </w:r>
      <w:r w:rsidR="00185AFC">
        <w:t xml:space="preserve"> for FY 2012</w:t>
      </w:r>
      <w:r w:rsidR="00A63DE0">
        <w:t xml:space="preserve"> are based on the FY 2011 allotments for each of the three grants and included as Attachment E of this document.</w:t>
      </w:r>
      <w:r>
        <w:t xml:space="preserve"> The Administration for Children and Families (</w:t>
      </w:r>
      <w:r w:rsidRPr="0034697A">
        <w:rPr>
          <w:rFonts w:cs="Arial"/>
        </w:rPr>
        <w:t>ACF</w:t>
      </w:r>
      <w:r>
        <w:rPr>
          <w:rFonts w:cs="Arial"/>
        </w:rPr>
        <w:t>)</w:t>
      </w:r>
      <w:r w:rsidRPr="0034697A">
        <w:rPr>
          <w:rFonts w:cs="Arial"/>
        </w:rPr>
        <w:t xml:space="preserve"> will issue estimated </w:t>
      </w:r>
      <w:r>
        <w:rPr>
          <w:rFonts w:cs="Arial"/>
        </w:rPr>
        <w:t>allotments annually for FYs 2012-2016</w:t>
      </w:r>
      <w:r w:rsidRPr="0034697A">
        <w:rPr>
          <w:rFonts w:cs="Arial"/>
        </w:rPr>
        <w:t>.</w:t>
      </w:r>
    </w:p>
    <w:p w:rsidR="0092054D" w:rsidRPr="0034697A" w:rsidRDefault="0092054D" w:rsidP="0092054D">
      <w:pPr>
        <w:ind w:left="2520" w:hanging="360"/>
      </w:pPr>
    </w:p>
    <w:p w:rsidR="0092054D" w:rsidRDefault="0092054D" w:rsidP="0047483A">
      <w:pPr>
        <w:numPr>
          <w:ilvl w:val="0"/>
          <w:numId w:val="4"/>
        </w:numPr>
        <w:tabs>
          <w:tab w:val="left" w:pos="-720"/>
          <w:tab w:val="left" w:pos="720"/>
        </w:tabs>
        <w:suppressAutoHyphens/>
        <w:ind w:left="2520"/>
        <w:rPr>
          <w:u w:val="single"/>
        </w:rPr>
      </w:pPr>
      <w:r>
        <w:t xml:space="preserve">Project </w:t>
      </w:r>
      <w:r w:rsidRPr="000E1919">
        <w:t>Period</w:t>
      </w:r>
      <w:r>
        <w:t xml:space="preserve">:  Each State court must obligate its Federal funds by the end of the following fiscal year, with an additional 90 days to liquidate any outstanding obligations.  ACF does not have the authority to grant an extension of a program expenditure period.  Any funds remaining unobligated or un-liquidated by the respective deadlines will be recouped by ACF and returned to the U.S. Treasury through the issuance of a negative grant award.   </w:t>
      </w:r>
    </w:p>
    <w:p w:rsidR="0092054D" w:rsidRDefault="0092054D" w:rsidP="0092054D">
      <w:pPr>
        <w:ind w:left="2520" w:hanging="360"/>
      </w:pPr>
    </w:p>
    <w:p w:rsidR="0092054D" w:rsidRDefault="0092054D" w:rsidP="0092054D">
      <w:pPr>
        <w:numPr>
          <w:ilvl w:val="0"/>
          <w:numId w:val="1"/>
        </w:numPr>
        <w:tabs>
          <w:tab w:val="left" w:pos="0"/>
          <w:tab w:val="left" w:pos="720"/>
          <w:tab w:val="left" w:pos="889"/>
          <w:tab w:val="left" w:pos="1316"/>
          <w:tab w:val="left" w:pos="1746"/>
          <w:tab w:val="left" w:pos="2598"/>
          <w:tab w:val="left" w:pos="3025"/>
          <w:tab w:val="left" w:pos="3452"/>
          <w:tab w:val="left" w:pos="3882"/>
          <w:tab w:val="left" w:pos="4320"/>
          <w:tab w:val="left" w:pos="4734"/>
          <w:tab w:val="left" w:pos="5161"/>
          <w:tab w:val="left" w:pos="5588"/>
          <w:tab w:val="left" w:pos="6018"/>
          <w:tab w:val="left" w:pos="6444"/>
          <w:tab w:val="left" w:pos="6870"/>
          <w:tab w:val="left" w:pos="7200"/>
        </w:tabs>
        <w:suppressAutoHyphens/>
        <w:ind w:left="2520"/>
      </w:pPr>
      <w:r>
        <w:t>Cost Sharing Requirement:</w:t>
      </w:r>
      <w:r w:rsidRPr="00AF7838">
        <w:t xml:space="preserve"> </w:t>
      </w:r>
      <w:r>
        <w:t xml:space="preserve"> A non-Federal share is required for each CIP grant at the rate of 25 percent of the total budget (1/3 of the Federal share).  For example, a project totaling $100,000 would require a State court contribution of $25,000 to receive Federal funds totaling $75,000.  Funds eligible to be used as non-Federal share must meet the regulatory provisions of</w:t>
      </w:r>
      <w:r w:rsidR="00BA78DD">
        <w:t xml:space="preserve"> 45 CFR 92.24, </w:t>
      </w:r>
      <w:r>
        <w:t xml:space="preserve">which establishes the rules for cost sharing.   </w:t>
      </w:r>
    </w:p>
    <w:p w:rsidR="0092054D" w:rsidRDefault="0092054D" w:rsidP="0092054D">
      <w:pPr>
        <w:tabs>
          <w:tab w:val="left" w:pos="0"/>
          <w:tab w:val="left" w:pos="889"/>
          <w:tab w:val="left" w:pos="1316"/>
          <w:tab w:val="left" w:pos="1746"/>
          <w:tab w:val="left" w:pos="2160"/>
          <w:tab w:val="left" w:pos="2598"/>
          <w:tab w:val="left" w:pos="3025"/>
          <w:tab w:val="left" w:pos="3452"/>
          <w:tab w:val="left" w:pos="3882"/>
          <w:tab w:val="left" w:pos="4320"/>
          <w:tab w:val="left" w:pos="4734"/>
          <w:tab w:val="left" w:pos="5161"/>
          <w:tab w:val="left" w:pos="5588"/>
          <w:tab w:val="left" w:pos="6018"/>
          <w:tab w:val="left" w:pos="6444"/>
          <w:tab w:val="left" w:pos="6870"/>
          <w:tab w:val="left" w:pos="7200"/>
        </w:tabs>
        <w:suppressAutoHyphens/>
        <w:ind w:left="2160"/>
      </w:pPr>
    </w:p>
    <w:p w:rsidR="0092054D" w:rsidRDefault="0092054D" w:rsidP="0092054D">
      <w:pPr>
        <w:pStyle w:val="BodyTextIndent"/>
        <w:spacing w:after="0"/>
        <w:ind w:left="2160"/>
      </w:pPr>
      <w:r>
        <w:t xml:space="preserve">In accordance with these provisions, funds eligible to be used as non-Federal share, among other things: </w:t>
      </w:r>
    </w:p>
    <w:p w:rsidR="0092054D" w:rsidRDefault="0092054D" w:rsidP="0092054D">
      <w:pPr>
        <w:pStyle w:val="BodyTextIndent"/>
        <w:spacing w:after="0"/>
        <w:ind w:left="2160"/>
      </w:pPr>
    </w:p>
    <w:p w:rsidR="0092054D" w:rsidRDefault="0092054D" w:rsidP="0047483A">
      <w:pPr>
        <w:pStyle w:val="Footer"/>
        <w:numPr>
          <w:ilvl w:val="0"/>
          <w:numId w:val="7"/>
        </w:numPr>
        <w:tabs>
          <w:tab w:val="clear" w:pos="720"/>
          <w:tab w:val="clear" w:pos="8640"/>
          <w:tab w:val="left" w:pos="0"/>
          <w:tab w:val="left" w:pos="462"/>
          <w:tab w:val="left" w:pos="889"/>
          <w:tab w:val="left" w:pos="1249"/>
          <w:tab w:val="left" w:pos="1746"/>
          <w:tab w:val="num" w:pos="2160"/>
          <w:tab w:val="left" w:pos="2880"/>
          <w:tab w:val="left" w:pos="3025"/>
          <w:tab w:val="left" w:pos="3452"/>
          <w:tab w:val="left" w:pos="3882"/>
          <w:tab w:val="left" w:pos="4320"/>
          <w:tab w:val="left" w:pos="4734"/>
          <w:tab w:val="left" w:pos="5161"/>
          <w:tab w:val="left" w:pos="5588"/>
          <w:tab w:val="left" w:pos="6018"/>
          <w:tab w:val="left" w:pos="6444"/>
          <w:tab w:val="left" w:pos="6870"/>
          <w:tab w:val="left" w:pos="7200"/>
        </w:tabs>
        <w:suppressAutoHyphens/>
        <w:ind w:left="2880"/>
      </w:pPr>
      <w:r>
        <w:t xml:space="preserve">Must not be Federal grant funds, unless specifically allowed by Federal statute; </w:t>
      </w:r>
    </w:p>
    <w:p w:rsidR="0092054D" w:rsidRDefault="0092054D" w:rsidP="0047483A">
      <w:pPr>
        <w:numPr>
          <w:ilvl w:val="0"/>
          <w:numId w:val="7"/>
        </w:numPr>
        <w:tabs>
          <w:tab w:val="clear" w:pos="720"/>
          <w:tab w:val="left" w:pos="0"/>
          <w:tab w:val="left" w:pos="462"/>
          <w:tab w:val="left" w:pos="889"/>
          <w:tab w:val="left" w:pos="1249"/>
          <w:tab w:val="left" w:pos="1746"/>
          <w:tab w:val="num" w:pos="2160"/>
          <w:tab w:val="left" w:pos="2880"/>
          <w:tab w:val="left" w:pos="3025"/>
          <w:tab w:val="left" w:pos="3452"/>
          <w:tab w:val="left" w:pos="3882"/>
          <w:tab w:val="left" w:pos="4320"/>
          <w:tab w:val="left" w:pos="4734"/>
          <w:tab w:val="left" w:pos="5161"/>
          <w:tab w:val="left" w:pos="5588"/>
          <w:tab w:val="left" w:pos="6018"/>
          <w:tab w:val="left" w:pos="6444"/>
          <w:tab w:val="left" w:pos="6870"/>
          <w:tab w:val="left" w:pos="7200"/>
        </w:tabs>
        <w:suppressAutoHyphens/>
        <w:ind w:left="2880"/>
      </w:pPr>
      <w:r>
        <w:t>Must not be used to match any other Federal grant;</w:t>
      </w:r>
    </w:p>
    <w:p w:rsidR="0092054D" w:rsidRDefault="0092054D" w:rsidP="0047483A">
      <w:pPr>
        <w:numPr>
          <w:ilvl w:val="0"/>
          <w:numId w:val="7"/>
        </w:numPr>
        <w:tabs>
          <w:tab w:val="clear" w:pos="720"/>
          <w:tab w:val="left" w:pos="0"/>
          <w:tab w:val="left" w:pos="462"/>
          <w:tab w:val="left" w:pos="889"/>
          <w:tab w:val="left" w:pos="1249"/>
          <w:tab w:val="left" w:pos="1746"/>
          <w:tab w:val="num" w:pos="2160"/>
          <w:tab w:val="left" w:pos="2880"/>
          <w:tab w:val="left" w:pos="3025"/>
          <w:tab w:val="left" w:pos="3452"/>
          <w:tab w:val="left" w:pos="3882"/>
          <w:tab w:val="left" w:pos="4320"/>
          <w:tab w:val="left" w:pos="4734"/>
          <w:tab w:val="left" w:pos="5161"/>
          <w:tab w:val="left" w:pos="5588"/>
          <w:tab w:val="left" w:pos="6018"/>
          <w:tab w:val="left" w:pos="6444"/>
          <w:tab w:val="left" w:pos="6870"/>
          <w:tab w:val="left" w:pos="7200"/>
        </w:tabs>
        <w:suppressAutoHyphens/>
        <w:ind w:left="2880"/>
      </w:pPr>
      <w:r>
        <w:t>Must be used for costs that are otherwise allowable.  (i.e. t</w:t>
      </w:r>
      <w:r w:rsidR="00C429DB">
        <w:t>he non-Federal share, like the F</w:t>
      </w:r>
      <w:r>
        <w:t>ederal share must also be used for the purposes described in</w:t>
      </w:r>
      <w:r w:rsidR="00E74480">
        <w:t xml:space="preserve"> Section 438 of the Act and</w:t>
      </w:r>
      <w:r>
        <w:t xml:space="preserve"> this program instruction);</w:t>
      </w:r>
    </w:p>
    <w:p w:rsidR="0092054D" w:rsidRDefault="0092054D" w:rsidP="0047483A">
      <w:pPr>
        <w:numPr>
          <w:ilvl w:val="0"/>
          <w:numId w:val="7"/>
        </w:numPr>
        <w:tabs>
          <w:tab w:val="clear" w:pos="720"/>
          <w:tab w:val="left" w:pos="0"/>
          <w:tab w:val="left" w:pos="462"/>
          <w:tab w:val="left" w:pos="889"/>
          <w:tab w:val="left" w:pos="1249"/>
          <w:tab w:val="left" w:pos="1316"/>
          <w:tab w:val="left" w:pos="1746"/>
          <w:tab w:val="num" w:pos="2160"/>
          <w:tab w:val="left" w:pos="2880"/>
          <w:tab w:val="left" w:pos="3025"/>
          <w:tab w:val="left" w:pos="3452"/>
          <w:tab w:val="left" w:pos="3882"/>
          <w:tab w:val="left" w:pos="4320"/>
          <w:tab w:val="left" w:pos="4734"/>
          <w:tab w:val="left" w:pos="5161"/>
          <w:tab w:val="left" w:pos="5588"/>
          <w:tab w:val="left" w:pos="6018"/>
          <w:tab w:val="left" w:pos="6444"/>
          <w:tab w:val="left" w:pos="6870"/>
          <w:tab w:val="left" w:pos="7200"/>
        </w:tabs>
        <w:suppressAutoHyphens/>
        <w:ind w:left="2880"/>
      </w:pPr>
      <w:r>
        <w:t>May originate with a third party, public or non-public; and</w:t>
      </w:r>
    </w:p>
    <w:p w:rsidR="0092054D" w:rsidRDefault="0092054D" w:rsidP="0047483A">
      <w:pPr>
        <w:numPr>
          <w:ilvl w:val="0"/>
          <w:numId w:val="7"/>
        </w:numPr>
        <w:tabs>
          <w:tab w:val="clear" w:pos="720"/>
          <w:tab w:val="left" w:pos="0"/>
          <w:tab w:val="left" w:pos="462"/>
          <w:tab w:val="left" w:pos="889"/>
          <w:tab w:val="left" w:pos="1249"/>
          <w:tab w:val="left" w:pos="1316"/>
          <w:tab w:val="left" w:pos="1746"/>
          <w:tab w:val="num" w:pos="2160"/>
          <w:tab w:val="left" w:pos="2880"/>
          <w:tab w:val="left" w:pos="3025"/>
          <w:tab w:val="left" w:pos="3452"/>
          <w:tab w:val="left" w:pos="3882"/>
          <w:tab w:val="left" w:pos="4320"/>
          <w:tab w:val="left" w:pos="4734"/>
          <w:tab w:val="left" w:pos="5161"/>
          <w:tab w:val="left" w:pos="5588"/>
          <w:tab w:val="left" w:pos="6018"/>
          <w:tab w:val="left" w:pos="6444"/>
          <w:tab w:val="left" w:pos="6870"/>
          <w:tab w:val="left" w:pos="7200"/>
        </w:tabs>
        <w:suppressAutoHyphens/>
        <w:ind w:left="2880"/>
      </w:pPr>
      <w:r>
        <w:t xml:space="preserve">May be in-kind contributions of services, equipment, or property. </w:t>
      </w:r>
    </w:p>
    <w:p w:rsidR="0092054D" w:rsidRDefault="0092054D" w:rsidP="0092054D">
      <w:pPr>
        <w:tabs>
          <w:tab w:val="left" w:pos="0"/>
          <w:tab w:val="left" w:pos="462"/>
          <w:tab w:val="left" w:pos="889"/>
          <w:tab w:val="left" w:pos="1316"/>
          <w:tab w:val="left" w:pos="1746"/>
          <w:tab w:val="left" w:pos="2520"/>
          <w:tab w:val="left" w:pos="2598"/>
          <w:tab w:val="left" w:pos="3025"/>
          <w:tab w:val="left" w:pos="3452"/>
          <w:tab w:val="left" w:pos="3882"/>
          <w:tab w:val="left" w:pos="4320"/>
          <w:tab w:val="left" w:pos="4734"/>
          <w:tab w:val="left" w:pos="5161"/>
          <w:tab w:val="left" w:pos="5588"/>
          <w:tab w:val="left" w:pos="6018"/>
          <w:tab w:val="left" w:pos="6444"/>
          <w:tab w:val="left" w:pos="6870"/>
          <w:tab w:val="left" w:pos="7200"/>
        </w:tabs>
        <w:suppressAutoHyphens/>
        <w:ind w:left="2520" w:hanging="360"/>
      </w:pPr>
    </w:p>
    <w:p w:rsidR="0092054D" w:rsidRDefault="0092054D" w:rsidP="0092054D">
      <w:pPr>
        <w:numPr>
          <w:ilvl w:val="0"/>
          <w:numId w:val="1"/>
        </w:numPr>
        <w:tabs>
          <w:tab w:val="left" w:pos="0"/>
          <w:tab w:val="left" w:pos="462"/>
          <w:tab w:val="left" w:pos="822"/>
          <w:tab w:val="left" w:pos="889"/>
          <w:tab w:val="left" w:pos="1316"/>
          <w:tab w:val="left" w:pos="1746"/>
          <w:tab w:val="left" w:pos="2520"/>
          <w:tab w:val="left" w:pos="2598"/>
          <w:tab w:val="left" w:pos="3025"/>
          <w:tab w:val="left" w:pos="3452"/>
          <w:tab w:val="left" w:pos="3882"/>
          <w:tab w:val="left" w:pos="4320"/>
          <w:tab w:val="left" w:pos="4734"/>
          <w:tab w:val="left" w:pos="5161"/>
          <w:tab w:val="left" w:pos="5588"/>
          <w:tab w:val="left" w:pos="6018"/>
          <w:tab w:val="left" w:pos="6444"/>
          <w:tab w:val="left" w:pos="6870"/>
          <w:tab w:val="left" w:pos="7200"/>
        </w:tabs>
        <w:suppressAutoHyphens/>
        <w:ind w:left="2520"/>
      </w:pPr>
      <w:r w:rsidRPr="00533CC7">
        <w:t>Indirect Costs</w:t>
      </w:r>
      <w:r>
        <w:t xml:space="preserve">:  If a State court wishes to receive reimbursement for indirect costs within its allotment as a part of a CIP grant, it must have an approved indirect cost rate with the cognizant Federal agency.  The cognizant Federal agency is that Federal agency that provides the most funds to the State court.  If a State court has not been assigned a cognizant agency, it should work with the Federal agency from which it receives the largest amount of funds to negotiate and receive approval of indirect cost proposals.  </w:t>
      </w:r>
    </w:p>
    <w:p w:rsidR="0092054D" w:rsidRDefault="0092054D" w:rsidP="0092054D">
      <w:pPr>
        <w:tabs>
          <w:tab w:val="left" w:pos="0"/>
          <w:tab w:val="left" w:pos="462"/>
          <w:tab w:val="left" w:pos="822"/>
          <w:tab w:val="left" w:pos="889"/>
          <w:tab w:val="left" w:pos="1316"/>
          <w:tab w:val="left" w:pos="1746"/>
          <w:tab w:val="left" w:pos="2598"/>
          <w:tab w:val="left" w:pos="3025"/>
          <w:tab w:val="left" w:pos="3452"/>
          <w:tab w:val="left" w:pos="3882"/>
          <w:tab w:val="left" w:pos="4320"/>
          <w:tab w:val="left" w:pos="4734"/>
          <w:tab w:val="left" w:pos="5161"/>
          <w:tab w:val="left" w:pos="5588"/>
          <w:tab w:val="left" w:pos="6018"/>
          <w:tab w:val="left" w:pos="6444"/>
          <w:tab w:val="left" w:pos="6870"/>
          <w:tab w:val="left" w:pos="7200"/>
        </w:tabs>
        <w:suppressAutoHyphens/>
        <w:ind w:left="2160"/>
      </w:pPr>
    </w:p>
    <w:p w:rsidR="0092054D" w:rsidRPr="000D5D92" w:rsidRDefault="0092054D" w:rsidP="006776F4">
      <w:pPr>
        <w:numPr>
          <w:ilvl w:val="0"/>
          <w:numId w:val="6"/>
        </w:numPr>
        <w:tabs>
          <w:tab w:val="clear" w:pos="2880"/>
          <w:tab w:val="left" w:pos="-720"/>
          <w:tab w:val="left" w:pos="0"/>
          <w:tab w:val="left" w:pos="822"/>
          <w:tab w:val="num" w:pos="2520"/>
        </w:tabs>
        <w:suppressAutoHyphens/>
        <w:ind w:left="2520"/>
      </w:pPr>
      <w:r w:rsidRPr="00533CC7">
        <w:t>Drawdown of Funds from the Payment Management System:</w:t>
      </w:r>
      <w:r>
        <w:t xml:space="preserve">  In accordance with P.L. 101-510, any grant funds that have been expended within the two-year program expenditure period must be drawn down within five years from the fiscal year for which the funds were awarded (e.g., FY 2012 funds must be drawn down by no later than September 30, 2016).  Requests for adjustments/revisions to the Payment Management account after five years will not be approved.  </w:t>
      </w:r>
    </w:p>
    <w:p w:rsidR="0092054D" w:rsidRDefault="0092054D" w:rsidP="0092054D">
      <w:pPr>
        <w:pStyle w:val="ListParagraph"/>
        <w:ind w:left="2520"/>
        <w:rPr>
          <w:b/>
          <w:u w:val="single"/>
        </w:rPr>
      </w:pPr>
    </w:p>
    <w:p w:rsidR="0092054D" w:rsidRDefault="00454F36" w:rsidP="0047483A">
      <w:pPr>
        <w:pStyle w:val="ListParagraph"/>
        <w:numPr>
          <w:ilvl w:val="0"/>
          <w:numId w:val="8"/>
        </w:numPr>
        <w:rPr>
          <w:b/>
        </w:rPr>
      </w:pPr>
      <w:r>
        <w:rPr>
          <w:b/>
        </w:rPr>
        <w:t>P</w:t>
      </w:r>
      <w:r w:rsidR="0080490D">
        <w:rPr>
          <w:b/>
        </w:rPr>
        <w:t xml:space="preserve">ROGRAMMATIC REQUIREMENTS FOR </w:t>
      </w:r>
      <w:r>
        <w:rPr>
          <w:b/>
        </w:rPr>
        <w:t>CIP GRANTS</w:t>
      </w:r>
    </w:p>
    <w:p w:rsidR="0092054D" w:rsidRPr="009419C6" w:rsidRDefault="0092054D" w:rsidP="009419C6">
      <w:pPr>
        <w:rPr>
          <w:b/>
          <w:u w:val="single"/>
        </w:rPr>
      </w:pPr>
    </w:p>
    <w:p w:rsidR="0092054D" w:rsidRPr="000B01FD" w:rsidRDefault="0092054D" w:rsidP="0047483A">
      <w:pPr>
        <w:pStyle w:val="ListParagraph"/>
        <w:numPr>
          <w:ilvl w:val="1"/>
          <w:numId w:val="8"/>
        </w:numPr>
        <w:rPr>
          <w:b/>
          <w:u w:val="single"/>
        </w:rPr>
      </w:pPr>
      <w:r>
        <w:rPr>
          <w:b/>
        </w:rPr>
        <w:t>Meaningful and Ongoing Collaboration</w:t>
      </w:r>
    </w:p>
    <w:p w:rsidR="0092054D" w:rsidRDefault="0092054D" w:rsidP="0092054D">
      <w:pPr>
        <w:rPr>
          <w:b/>
          <w:u w:val="single"/>
        </w:rPr>
      </w:pPr>
    </w:p>
    <w:p w:rsidR="0092054D" w:rsidRDefault="0092054D" w:rsidP="00ED2186">
      <w:pPr>
        <w:ind w:left="2160"/>
        <w:rPr>
          <w:b/>
          <w:u w:val="single"/>
        </w:rPr>
      </w:pPr>
      <w:r w:rsidRPr="00824069">
        <w:t>State courts</w:t>
      </w:r>
      <w:r>
        <w:t xml:space="preserve"> are required</w:t>
      </w:r>
      <w:r w:rsidRPr="00824069">
        <w:t xml:space="preserve"> to</w:t>
      </w:r>
      <w:r>
        <w:t xml:space="preserve"> demonstrate</w:t>
      </w:r>
      <w:r w:rsidRPr="00824069">
        <w:t xml:space="preserve"> “meaningful, ongoing collaboration” among the courts in the Stat</w:t>
      </w:r>
      <w:r>
        <w:t>e, the title IV-B/IV-E agency, and</w:t>
      </w:r>
      <w:r w:rsidRPr="00824069">
        <w:t xml:space="preserve"> where applicab</w:t>
      </w:r>
      <w:r>
        <w:t>le, Indian Tribes in their</w:t>
      </w:r>
      <w:r w:rsidRPr="00824069">
        <w:t xml:space="preserve"> CIP applications</w:t>
      </w:r>
      <w:r>
        <w:t xml:space="preserve"> in order to receive funding</w:t>
      </w:r>
      <w:r w:rsidR="00A63DE0">
        <w:t xml:space="preserve"> (</w:t>
      </w:r>
      <w:r w:rsidRPr="00905B53">
        <w:t>Section 438(b)(1)(C)</w:t>
      </w:r>
      <w:r w:rsidR="00C71419">
        <w:t xml:space="preserve"> of the Act</w:t>
      </w:r>
      <w:r w:rsidRPr="00905B53">
        <w:t>.</w:t>
      </w:r>
      <w:r w:rsidR="00655E37">
        <w:t>)</w:t>
      </w:r>
      <w:r>
        <w:t xml:space="preserve"> </w:t>
      </w:r>
      <w:r w:rsidR="00655E37">
        <w:t xml:space="preserve"> </w:t>
      </w:r>
      <w:r w:rsidRPr="00824069">
        <w:t>“Meaningful, ongoing collaboration” means that the</w:t>
      </w:r>
      <w:r w:rsidR="00185AFC">
        <w:t xml:space="preserve"> courts and title IV-B/IV-E </w:t>
      </w:r>
      <w:r w:rsidRPr="00824069">
        <w:t>agencies will identify and work toward shared goals and activities to increase the safety, permanency, and well-being of children in the child welfare system.</w:t>
      </w:r>
      <w:r>
        <w:t xml:space="preserve">  To satisfy this requirement, State courts must: (1) create a multi-disciplinary statewide task force to guide CIP activities; and (2) describe how they will work with the title IV-B/IV-E agency to meet grant requirements.</w:t>
      </w:r>
      <w:r w:rsidR="00D54722">
        <w:t xml:space="preserve">  Please note that the creation of the Tribal CIP in no way diminishes the requirement for ongoing and meaningful collaboration with the Tribes under the basic, data collection and analysis and training grants.</w:t>
      </w:r>
    </w:p>
    <w:p w:rsidR="00C71419" w:rsidRDefault="00C71419" w:rsidP="0092054D">
      <w:pPr>
        <w:rPr>
          <w:b/>
          <w:u w:val="single"/>
        </w:rPr>
      </w:pPr>
    </w:p>
    <w:p w:rsidR="006776F4" w:rsidRPr="000B01FD" w:rsidRDefault="006776F4" w:rsidP="0092054D">
      <w:pPr>
        <w:rPr>
          <w:b/>
          <w:u w:val="single"/>
        </w:rPr>
      </w:pPr>
    </w:p>
    <w:p w:rsidR="0092054D" w:rsidRPr="00454F36" w:rsidRDefault="0092054D" w:rsidP="0047483A">
      <w:pPr>
        <w:pStyle w:val="ListParagraph"/>
        <w:numPr>
          <w:ilvl w:val="2"/>
          <w:numId w:val="8"/>
        </w:numPr>
        <w:rPr>
          <w:b/>
        </w:rPr>
      </w:pPr>
      <w:r w:rsidRPr="00454F36">
        <w:rPr>
          <w:b/>
        </w:rPr>
        <w:t>Statewide Multidisciplinary Task Force</w:t>
      </w:r>
    </w:p>
    <w:p w:rsidR="0092054D" w:rsidRDefault="0092054D" w:rsidP="0092054D">
      <w:pPr>
        <w:ind w:left="2160"/>
      </w:pPr>
    </w:p>
    <w:p w:rsidR="00EE0CAB" w:rsidRPr="006D2254" w:rsidRDefault="0092054D" w:rsidP="006D2254">
      <w:pPr>
        <w:ind w:left="2160"/>
      </w:pPr>
      <w:r>
        <w:t>State courts must form a statewide multid</w:t>
      </w:r>
      <w:r w:rsidR="00C71419">
        <w:t>isciplinary task force which includes</w:t>
      </w:r>
      <w:r>
        <w:t xml:space="preserve">, State and local courts, the State title IV-B/IV-E agency, and where applicable Indian Tribes.  In addition to </w:t>
      </w:r>
      <w:r w:rsidR="0003344B">
        <w:t xml:space="preserve">the </w:t>
      </w:r>
      <w:r>
        <w:t>mandatory task force members, other suggested members include representatives of:  parent’s counsel; children’s attorneys or guardians ad litem; coun</w:t>
      </w:r>
      <w:r w:rsidR="00185AFC">
        <w:t>sel for the IV-B/IV-E agency</w:t>
      </w:r>
      <w:r>
        <w:t xml:space="preserve"> or State; Court Appointed Special Advocate (CASA) programs; the mental health/behavioral health treatment </w:t>
      </w:r>
      <w:r w:rsidR="008477C6">
        <w:t xml:space="preserve">provider </w:t>
      </w:r>
      <w:r>
        <w:t>community; the substance abuse treatment</w:t>
      </w:r>
      <w:r w:rsidR="008477C6">
        <w:t xml:space="preserve"> provider</w:t>
      </w:r>
      <w:r>
        <w:t xml:space="preserve"> community; the State department of education; other relevant State departments or agencies;</w:t>
      </w:r>
      <w:r w:rsidR="00905AE3">
        <w:t xml:space="preserve"> relevant county agencies; </w:t>
      </w:r>
      <w:r>
        <w:t xml:space="preserve">local school </w:t>
      </w:r>
      <w:r w:rsidR="008477C6">
        <w:t>districts</w:t>
      </w:r>
      <w:r w:rsidR="00905AE3">
        <w:t xml:space="preserve"> and, foster care alumni</w:t>
      </w:r>
      <w:r>
        <w:t>. State courts must convene the task force at least annually and consult with the task force in developing and implementing strategic plans and monitoring progress toward outcomes to meet the requirements of this program instruction.</w:t>
      </w:r>
    </w:p>
    <w:p w:rsidR="00EE0CAB" w:rsidRPr="000B01FD" w:rsidRDefault="00EE0CAB" w:rsidP="0092054D">
      <w:pPr>
        <w:rPr>
          <w:b/>
          <w:u w:val="single"/>
        </w:rPr>
      </w:pPr>
    </w:p>
    <w:p w:rsidR="0092054D" w:rsidRPr="00454F36" w:rsidRDefault="0092054D" w:rsidP="0047483A">
      <w:pPr>
        <w:pStyle w:val="ListParagraph"/>
        <w:numPr>
          <w:ilvl w:val="2"/>
          <w:numId w:val="8"/>
        </w:numPr>
        <w:rPr>
          <w:b/>
        </w:rPr>
      </w:pPr>
      <w:r w:rsidRPr="00454F36">
        <w:rPr>
          <w:b/>
        </w:rPr>
        <w:t>Collaboration with Title IV-B/IV-E Agency</w:t>
      </w:r>
      <w:r w:rsidR="00286123">
        <w:rPr>
          <w:b/>
        </w:rPr>
        <w:t xml:space="preserve"> and </w:t>
      </w:r>
      <w:r w:rsidR="00286123" w:rsidRPr="00AF6FB1">
        <w:rPr>
          <w:b/>
        </w:rPr>
        <w:t>Tribes</w:t>
      </w:r>
    </w:p>
    <w:p w:rsidR="0092054D" w:rsidRPr="000B01FD" w:rsidRDefault="0092054D" w:rsidP="0092054D">
      <w:pPr>
        <w:ind w:left="3780"/>
        <w:rPr>
          <w:b/>
          <w:u w:val="single"/>
        </w:rPr>
      </w:pPr>
    </w:p>
    <w:p w:rsidR="0092054D" w:rsidRDefault="0092054D" w:rsidP="0092054D">
      <w:pPr>
        <w:ind w:left="2160"/>
      </w:pPr>
      <w:r w:rsidRPr="005B2096">
        <w:t>State courts</w:t>
      </w:r>
      <w:r>
        <w:t xml:space="preserve"> must demonstrate collaboration with the title IV-B/IV-E agency in applications for CIP funding</w:t>
      </w:r>
      <w:r w:rsidRPr="005B2096">
        <w:t xml:space="preserve"> by</w:t>
      </w:r>
      <w:r>
        <w:t xml:space="preserve"> </w:t>
      </w:r>
      <w:r w:rsidRPr="005B2096">
        <w:t>describing how the title IV-B/IV-E agency</w:t>
      </w:r>
      <w:r w:rsidR="00286123">
        <w:t xml:space="preserve"> </w:t>
      </w:r>
      <w:r w:rsidR="0003344B">
        <w:t>and T</w:t>
      </w:r>
      <w:r w:rsidR="00286123" w:rsidRPr="00AF6FB1">
        <w:t>ribes, where applicable</w:t>
      </w:r>
      <w:r w:rsidR="0003344B">
        <w:t>,</w:t>
      </w:r>
      <w:r w:rsidR="00286123">
        <w:t xml:space="preserve"> are</w:t>
      </w:r>
      <w:r>
        <w:t xml:space="preserve"> involved</w:t>
      </w:r>
      <w:r w:rsidRPr="005B2096">
        <w:t xml:space="preserve"> in</w:t>
      </w:r>
      <w:r>
        <w:t>:</w:t>
      </w:r>
    </w:p>
    <w:p w:rsidR="0092054D" w:rsidRDefault="0092054D" w:rsidP="0092054D">
      <w:pPr>
        <w:ind w:left="2160"/>
      </w:pPr>
    </w:p>
    <w:p w:rsidR="0092054D" w:rsidRDefault="00FA32ED" w:rsidP="0047483A">
      <w:pPr>
        <w:pStyle w:val="ListParagraph"/>
        <w:numPr>
          <w:ilvl w:val="3"/>
          <w:numId w:val="4"/>
        </w:numPr>
      </w:pPr>
      <w:r>
        <w:t>i</w:t>
      </w:r>
      <w:r w:rsidR="0092054D" w:rsidRPr="005B2096">
        <w:t>dentifying</w:t>
      </w:r>
      <w:r w:rsidR="0092054D">
        <w:t>, defining and assessing outcomes;</w:t>
      </w:r>
    </w:p>
    <w:p w:rsidR="0092054D" w:rsidRDefault="00FA32ED" w:rsidP="0047483A">
      <w:pPr>
        <w:pStyle w:val="ListParagraph"/>
        <w:numPr>
          <w:ilvl w:val="3"/>
          <w:numId w:val="4"/>
        </w:numPr>
      </w:pPr>
      <w:r>
        <w:t>d</w:t>
      </w:r>
      <w:r w:rsidR="0092054D" w:rsidRPr="005B2096">
        <w:t>eveloping the</w:t>
      </w:r>
      <w:r w:rsidR="0092054D">
        <w:t xml:space="preserve"> strategic plan;</w:t>
      </w:r>
      <w:r w:rsidR="0092054D" w:rsidRPr="005B2096">
        <w:t xml:space="preserve"> and </w:t>
      </w:r>
    </w:p>
    <w:p w:rsidR="0092054D" w:rsidRPr="00824069" w:rsidRDefault="00FA32ED" w:rsidP="0047483A">
      <w:pPr>
        <w:pStyle w:val="ListParagraph"/>
        <w:numPr>
          <w:ilvl w:val="3"/>
          <w:numId w:val="4"/>
        </w:numPr>
      </w:pPr>
      <w:r>
        <w:t>p</w:t>
      </w:r>
      <w:r w:rsidR="0092054D">
        <w:t xml:space="preserve">lanning </w:t>
      </w:r>
      <w:r w:rsidR="0092054D" w:rsidRPr="005B2096">
        <w:t>how the State court will resp</w:t>
      </w:r>
      <w:r w:rsidR="0092054D">
        <w:t>ond to CFSR and title IV-E</w:t>
      </w:r>
      <w:r w:rsidR="00C429DB">
        <w:t xml:space="preserve"> foster care</w:t>
      </w:r>
      <w:r w:rsidR="0092054D">
        <w:t xml:space="preserve"> eligibility review findings and participate in</w:t>
      </w:r>
      <w:r w:rsidR="0092054D" w:rsidRPr="005B2096">
        <w:t xml:space="preserve"> program improvement plan (PIP) activities related to court functioning and performance that relate to the purposes of the Act within PIP timeframes</w:t>
      </w:r>
      <w:r w:rsidR="0092054D" w:rsidRPr="00824069">
        <w:t>.</w:t>
      </w:r>
      <w:r w:rsidR="0092054D" w:rsidRPr="00824069">
        <w:rPr>
          <w:rStyle w:val="FootnoteReference"/>
        </w:rPr>
        <w:footnoteReference w:id="1"/>
      </w:r>
    </w:p>
    <w:p w:rsidR="0092054D" w:rsidRPr="00824069" w:rsidRDefault="0092054D" w:rsidP="0092054D">
      <w:pPr>
        <w:ind w:left="2160"/>
      </w:pPr>
    </w:p>
    <w:p w:rsidR="00D54722" w:rsidRDefault="008477C6" w:rsidP="007E613F">
      <w:pPr>
        <w:ind w:left="2160"/>
      </w:pPr>
      <w:r>
        <w:t xml:space="preserve">Collaboration </w:t>
      </w:r>
      <w:r w:rsidR="0003344B">
        <w:t xml:space="preserve">should </w:t>
      </w:r>
      <w:r w:rsidR="0092054D" w:rsidRPr="00824069">
        <w:t>result in institutional and infrastructural changes that lead to measurably improved outcomes for the children and families that the State is serving.</w:t>
      </w:r>
      <w:r w:rsidR="0092054D">
        <w:t xml:space="preserve">  One example of the above is for the State court and the</w:t>
      </w:r>
      <w:r w:rsidR="00D54722">
        <w:t xml:space="preserve"> title</w:t>
      </w:r>
      <w:r w:rsidR="0092054D">
        <w:t xml:space="preserve"> IV-B/IV-E agency to regularly meet to examine State </w:t>
      </w:r>
      <w:r w:rsidR="0092054D">
        <w:rPr>
          <w:rFonts w:cs="Arial"/>
          <w:color w:val="000000"/>
        </w:rPr>
        <w:t xml:space="preserve">Adoption and Foster Care Analysis and Reporting System (AFCARS) data and establish activities for both the court and agency to target for improvement, such as improving placement stability or increasing the </w:t>
      </w:r>
      <w:r w:rsidR="0092054D">
        <w:rPr>
          <w:rFonts w:cs="Arial"/>
          <w:color w:val="000000"/>
        </w:rPr>
        <w:lastRenderedPageBreak/>
        <w:t>number of children that achieve timely</w:t>
      </w:r>
      <w:r>
        <w:rPr>
          <w:rFonts w:cs="Arial"/>
          <w:color w:val="000000"/>
        </w:rPr>
        <w:t xml:space="preserve"> reunification,</w:t>
      </w:r>
      <w:r w:rsidR="0092054D">
        <w:rPr>
          <w:rFonts w:cs="Arial"/>
          <w:color w:val="000000"/>
        </w:rPr>
        <w:t xml:space="preserve"> adoptions</w:t>
      </w:r>
      <w:r>
        <w:rPr>
          <w:rFonts w:cs="Arial"/>
          <w:color w:val="000000"/>
        </w:rPr>
        <w:t xml:space="preserve"> or guardianships</w:t>
      </w:r>
      <w:r w:rsidR="0092054D">
        <w:rPr>
          <w:rFonts w:cs="Arial"/>
          <w:color w:val="000000"/>
        </w:rPr>
        <w:t>.</w:t>
      </w:r>
    </w:p>
    <w:p w:rsidR="00D54722" w:rsidRPr="00163913" w:rsidRDefault="00D54722" w:rsidP="0092054D"/>
    <w:p w:rsidR="0092054D" w:rsidRPr="00A06945" w:rsidRDefault="0092054D" w:rsidP="0047483A">
      <w:pPr>
        <w:pStyle w:val="ListParagraph"/>
        <w:numPr>
          <w:ilvl w:val="1"/>
          <w:numId w:val="8"/>
        </w:numPr>
        <w:rPr>
          <w:b/>
        </w:rPr>
      </w:pPr>
      <w:r>
        <w:rPr>
          <w:b/>
        </w:rPr>
        <w:t>Assessment and Continuous Quality Improvement</w:t>
      </w:r>
    </w:p>
    <w:p w:rsidR="00D54722" w:rsidRDefault="00D54722" w:rsidP="00D54722">
      <w:pPr>
        <w:ind w:left="2160"/>
      </w:pPr>
    </w:p>
    <w:p w:rsidR="0092054D" w:rsidRPr="00D23FCE" w:rsidRDefault="0092054D" w:rsidP="00D54722">
      <w:pPr>
        <w:ind w:left="2160"/>
      </w:pPr>
      <w:r w:rsidRPr="00D23FCE">
        <w:t xml:space="preserve">Previous program </w:t>
      </w:r>
      <w:r>
        <w:t>instructions for CIP grants</w:t>
      </w:r>
      <w:r w:rsidRPr="00D23FCE">
        <w:t xml:space="preserve"> required periodic assessments</w:t>
      </w:r>
      <w:r w:rsidR="00C54C5D">
        <w:rPr>
          <w:rStyle w:val="FootnoteReference"/>
        </w:rPr>
        <w:footnoteReference w:id="2"/>
      </w:r>
      <w:r w:rsidRPr="00D23FCE">
        <w:t xml:space="preserve"> to prompt examination of current</w:t>
      </w:r>
      <w:r w:rsidR="00185AFC">
        <w:t xml:space="preserve"> law,</w:t>
      </w:r>
      <w:r w:rsidRPr="00D23FCE">
        <w:t xml:space="preserve"> policy and practice and to identify areas in need of improvement to be addressed through CIP grant activity.  However, there were no r</w:t>
      </w:r>
      <w:r>
        <w:t>equirements for</w:t>
      </w:r>
      <w:r w:rsidRPr="00D23FCE">
        <w:t xml:space="preserve"> assessment activities to continue beyond the reporting period or for CIP activities to be explicitly linked to assessment findings and recommendations.</w:t>
      </w:r>
      <w:r>
        <w:t xml:space="preserve">  While the requirement led many States to revisit and revise certain aspects of policy and practice and make point-in-time interventions, few interventions were designed to promote ongoing monitoring and assessment.     </w:t>
      </w:r>
    </w:p>
    <w:p w:rsidR="0092054D" w:rsidRPr="006F70AE" w:rsidRDefault="0092054D" w:rsidP="0092054D">
      <w:pPr>
        <w:ind w:left="2160"/>
        <w:rPr>
          <w:highlight w:val="yellow"/>
        </w:rPr>
      </w:pPr>
    </w:p>
    <w:p w:rsidR="0092054D" w:rsidRPr="00D23FCE" w:rsidRDefault="0092054D" w:rsidP="0092054D">
      <w:pPr>
        <w:ind w:left="2160"/>
      </w:pPr>
      <w:r w:rsidRPr="00D23FCE">
        <w:t>A significant</w:t>
      </w:r>
      <w:r>
        <w:t xml:space="preserve"> body of research literature now</w:t>
      </w:r>
      <w:r w:rsidRPr="00D23FCE">
        <w:t xml:space="preserve"> highlight</w:t>
      </w:r>
      <w:r>
        <w:t>s</w:t>
      </w:r>
      <w:r w:rsidRPr="00D23FCE">
        <w:t xml:space="preserve"> the importance of using data to identify, inform and </w:t>
      </w:r>
      <w:r>
        <w:t xml:space="preserve">systematically </w:t>
      </w:r>
      <w:r w:rsidRPr="00D23FCE">
        <w:t xml:space="preserve">monitor the </w:t>
      </w:r>
      <w:r>
        <w:t xml:space="preserve">implementation and results </w:t>
      </w:r>
      <w:r w:rsidRPr="00D23FCE">
        <w:t>of programs and interventions in an ongoing fashion. Rather than one-time assessments and interventions, efforts to implement continuous quality improvement</w:t>
      </w:r>
      <w:r w:rsidR="00067553">
        <w:rPr>
          <w:rStyle w:val="FootnoteReference"/>
        </w:rPr>
        <w:footnoteReference w:id="3"/>
      </w:r>
      <w:r w:rsidR="00067553" w:rsidRPr="00D23FCE">
        <w:t xml:space="preserve"> </w:t>
      </w:r>
      <w:r>
        <w:t>(CQI)</w:t>
      </w:r>
      <w:r w:rsidRPr="00D23FCE">
        <w:t xml:space="preserve"> have pr</w:t>
      </w:r>
      <w:r w:rsidR="00C429DB">
        <w:t>oven more effective in achieving positive</w:t>
      </w:r>
      <w:r w:rsidRPr="00D23FCE">
        <w:t xml:space="preserve"> outcomes. </w:t>
      </w:r>
    </w:p>
    <w:p w:rsidR="0092054D" w:rsidRPr="00D23FCE" w:rsidRDefault="0092054D" w:rsidP="0092054D"/>
    <w:p w:rsidR="0092054D" w:rsidRDefault="0092054D" w:rsidP="0092054D">
      <w:pPr>
        <w:ind w:left="2160"/>
      </w:pPr>
      <w:r w:rsidRPr="00526D90">
        <w:t>The Children’s Bureau, in consultation with key stakeholders</w:t>
      </w:r>
      <w:r>
        <w:t>,</w:t>
      </w:r>
      <w:r w:rsidRPr="00526D90">
        <w:t xml:space="preserve"> determined that CQI </w:t>
      </w:r>
      <w:r>
        <w:t xml:space="preserve">is </w:t>
      </w:r>
      <w:r w:rsidRPr="00526D90">
        <w:t>critical to improving outcomes for children and families</w:t>
      </w:r>
      <w:r w:rsidR="00185AFC">
        <w:t xml:space="preserve"> for both title IV-B/IV-E</w:t>
      </w:r>
      <w:r>
        <w:t xml:space="preserve"> agencies and State courts.</w:t>
      </w:r>
      <w:r w:rsidRPr="00D23FCE">
        <w:t xml:space="preserve">  </w:t>
      </w:r>
      <w:r>
        <w:t>Many State courts have made significant progress in improving outcomes for children and families t</w:t>
      </w:r>
      <w:r w:rsidRPr="00D23FCE">
        <w:t>hrough collaborati</w:t>
      </w:r>
      <w:r>
        <w:t>ve efforts</w:t>
      </w:r>
      <w:r w:rsidR="00185AFC">
        <w:t xml:space="preserve"> with title IV-B/IV-E </w:t>
      </w:r>
      <w:r w:rsidRPr="00D23FCE">
        <w:t>agencies</w:t>
      </w:r>
      <w:r>
        <w:t>, such as jointly training staff, exchanging data</w:t>
      </w:r>
      <w:r w:rsidR="0003344B">
        <w:t>,</w:t>
      </w:r>
      <w:r>
        <w:t xml:space="preserve"> and worki</w:t>
      </w:r>
      <w:r w:rsidR="008477C6">
        <w:t>ng together to identify challenges</w:t>
      </w:r>
      <w:r w:rsidR="00C429DB">
        <w:t>, promising practices</w:t>
      </w:r>
      <w:r>
        <w:t xml:space="preserve"> and stra</w:t>
      </w:r>
      <w:r w:rsidR="00067553">
        <w:t>tegies</w:t>
      </w:r>
      <w:r w:rsidR="00185AFC">
        <w:t xml:space="preserve"> for improvement.</w:t>
      </w:r>
      <w:r w:rsidR="00067553" w:rsidRPr="0026170D">
        <w:t xml:space="preserve"> </w:t>
      </w:r>
      <w:r w:rsidR="00067553" w:rsidRPr="00067553">
        <w:rPr>
          <w:highlight w:val="yellow"/>
        </w:rPr>
        <w:t xml:space="preserve"> </w:t>
      </w:r>
      <w:r w:rsidRPr="00067553">
        <w:rPr>
          <w:highlight w:val="yellow"/>
        </w:rPr>
        <w:t xml:space="preserve"> </w:t>
      </w:r>
    </w:p>
    <w:p w:rsidR="00ED2186" w:rsidRDefault="00ED2186" w:rsidP="00655E37">
      <w:pPr>
        <w:ind w:left="2160"/>
      </w:pPr>
    </w:p>
    <w:p w:rsidR="00ED2AA5" w:rsidRDefault="0092054D" w:rsidP="000A2F0C">
      <w:pPr>
        <w:ind w:left="2160"/>
      </w:pPr>
      <w:r>
        <w:t>C</w:t>
      </w:r>
      <w:r w:rsidR="00067553">
        <w:t>onsistent with CB’s focus on continuous improvement</w:t>
      </w:r>
      <w:r>
        <w:t>, State court</w:t>
      </w:r>
      <w:r w:rsidR="00D54722">
        <w:t xml:space="preserve">s receiving CIP grants are now </w:t>
      </w:r>
      <w:r w:rsidR="00655E37">
        <w:t xml:space="preserve">required to implement </w:t>
      </w:r>
      <w:r>
        <w:t>approaches</w:t>
      </w:r>
      <w:r w:rsidR="00655E37">
        <w:t xml:space="preserve"> for CQI</w:t>
      </w:r>
      <w:r>
        <w:t xml:space="preserve"> to </w:t>
      </w:r>
      <w:r w:rsidRPr="000A0E40">
        <w:t xml:space="preserve">ensure that proceedings related </w:t>
      </w:r>
      <w:r w:rsidR="00D54722">
        <w:t>to child abuse and neglect</w:t>
      </w:r>
      <w:r w:rsidRPr="000A0E40">
        <w:t xml:space="preserve"> promote:</w:t>
      </w:r>
    </w:p>
    <w:p w:rsidR="00ED2AA5" w:rsidRDefault="00ED2AA5" w:rsidP="00C86D0B">
      <w:pPr>
        <w:ind w:left="2160"/>
      </w:pPr>
    </w:p>
    <w:p w:rsidR="00905AE3" w:rsidRDefault="00905AE3" w:rsidP="00C86D0B">
      <w:pPr>
        <w:ind w:left="2160"/>
      </w:pPr>
    </w:p>
    <w:p w:rsidR="00905AE3" w:rsidRPr="000A0E40" w:rsidRDefault="00905AE3" w:rsidP="00C86D0B">
      <w:pPr>
        <w:ind w:left="2160"/>
      </w:pPr>
    </w:p>
    <w:p w:rsidR="0092054D" w:rsidRPr="000A0E40" w:rsidRDefault="0092054D" w:rsidP="0047483A">
      <w:pPr>
        <w:pStyle w:val="ListParagraph"/>
        <w:numPr>
          <w:ilvl w:val="0"/>
          <w:numId w:val="14"/>
        </w:numPr>
      </w:pPr>
      <w:r w:rsidRPr="000A0E40">
        <w:t xml:space="preserve">due process of law; </w:t>
      </w:r>
    </w:p>
    <w:p w:rsidR="0092054D" w:rsidRPr="000A0E40" w:rsidRDefault="0092054D" w:rsidP="0047483A">
      <w:pPr>
        <w:pStyle w:val="ListParagraph"/>
        <w:numPr>
          <w:ilvl w:val="0"/>
          <w:numId w:val="14"/>
        </w:numPr>
      </w:pPr>
      <w:r w:rsidRPr="000A0E40">
        <w:t>timely, thorough and complete</w:t>
      </w:r>
      <w:r w:rsidRPr="000A0E40">
        <w:rPr>
          <w:rStyle w:val="FootnoteReference"/>
        </w:rPr>
        <w:footnoteReference w:id="4"/>
      </w:r>
      <w:r w:rsidR="00905AE3">
        <w:t xml:space="preserve"> court hearings;</w:t>
      </w:r>
    </w:p>
    <w:p w:rsidR="00905AE3" w:rsidRDefault="0092054D" w:rsidP="0047483A">
      <w:pPr>
        <w:pStyle w:val="ListParagraph"/>
        <w:numPr>
          <w:ilvl w:val="0"/>
          <w:numId w:val="14"/>
        </w:numPr>
      </w:pPr>
      <w:r w:rsidRPr="000A0E40">
        <w:t xml:space="preserve"> high quality legal representation</w:t>
      </w:r>
      <w:r w:rsidRPr="000A0E40">
        <w:rPr>
          <w:rStyle w:val="FootnoteReference"/>
        </w:rPr>
        <w:footnoteReference w:id="5"/>
      </w:r>
      <w:r w:rsidRPr="000A0E40">
        <w:t xml:space="preserve"> to parents, children and </w:t>
      </w:r>
      <w:r w:rsidR="00185AFC">
        <w:t xml:space="preserve">title IV-B/IV-E </w:t>
      </w:r>
      <w:r w:rsidRPr="000A0E40">
        <w:t>agencies, both in and out of court, in an ongoing fashion</w:t>
      </w:r>
      <w:r w:rsidR="00905AE3">
        <w:t>; and</w:t>
      </w:r>
    </w:p>
    <w:p w:rsidR="00905AE3" w:rsidRDefault="00905AE3" w:rsidP="00905AE3">
      <w:pPr>
        <w:pStyle w:val="ListParagraph"/>
        <w:numPr>
          <w:ilvl w:val="0"/>
          <w:numId w:val="14"/>
        </w:numPr>
        <w:tabs>
          <w:tab w:val="left" w:pos="2160"/>
        </w:tabs>
      </w:pPr>
      <w:r>
        <w:t>engagement of the entire family</w:t>
      </w:r>
      <w:r w:rsidRPr="000A0E40">
        <w:rPr>
          <w:rStyle w:val="FootnoteReference"/>
        </w:rPr>
        <w:t xml:space="preserve"> </w:t>
      </w:r>
      <w:r>
        <w:t>in court processes relating to child welfare, family preservation, family reunification and adoption.</w:t>
      </w:r>
    </w:p>
    <w:p w:rsidR="0092054D" w:rsidRDefault="0092054D" w:rsidP="00905AE3"/>
    <w:p w:rsidR="0003344B" w:rsidRDefault="0092054D" w:rsidP="0092054D">
      <w:pPr>
        <w:ind w:left="2160"/>
      </w:pPr>
      <w:r w:rsidRPr="0003344B">
        <w:t xml:space="preserve">State courts must focus </w:t>
      </w:r>
      <w:r w:rsidR="00B9684F" w:rsidRPr="0003344B">
        <w:t xml:space="preserve">on incorporating CQI </w:t>
      </w:r>
      <w:r w:rsidRPr="0003344B">
        <w:t>into CIP activities</w:t>
      </w:r>
      <w:r w:rsidR="0003344B">
        <w:t xml:space="preserve"> for each grant</w:t>
      </w:r>
      <w:r w:rsidRPr="0003344B">
        <w:t xml:space="preserve"> by</w:t>
      </w:r>
      <w:r w:rsidR="0003344B">
        <w:t xml:space="preserve"> identifying:</w:t>
      </w:r>
      <w:r w:rsidRPr="0003344B">
        <w:t xml:space="preserve"> </w:t>
      </w:r>
    </w:p>
    <w:p w:rsidR="009F599C" w:rsidRDefault="009F599C" w:rsidP="0092054D">
      <w:pPr>
        <w:ind w:left="2160"/>
      </w:pPr>
    </w:p>
    <w:p w:rsidR="0003344B" w:rsidRDefault="0092054D" w:rsidP="0003344B">
      <w:pPr>
        <w:pStyle w:val="ListParagraph"/>
        <w:numPr>
          <w:ilvl w:val="0"/>
          <w:numId w:val="26"/>
        </w:numPr>
      </w:pPr>
      <w:r w:rsidRPr="0003344B">
        <w:t xml:space="preserve">the </w:t>
      </w:r>
      <w:r w:rsidR="00C86D0B">
        <w:t>outcomes they intend to achieve;</w:t>
      </w:r>
      <w:r w:rsidRPr="0003344B">
        <w:t xml:space="preserve"> </w:t>
      </w:r>
    </w:p>
    <w:p w:rsidR="0003344B" w:rsidRDefault="0092054D" w:rsidP="0003344B">
      <w:pPr>
        <w:pStyle w:val="ListParagraph"/>
        <w:numPr>
          <w:ilvl w:val="0"/>
          <w:numId w:val="26"/>
        </w:numPr>
      </w:pPr>
      <w:r w:rsidRPr="0003344B">
        <w:t>measurable objectives to determine pro</w:t>
      </w:r>
      <w:r w:rsidR="00C86D0B">
        <w:t>gress toward achieving outcomes;</w:t>
      </w:r>
      <w:r w:rsidRPr="0003344B">
        <w:t xml:space="preserve"> </w:t>
      </w:r>
    </w:p>
    <w:p w:rsidR="0003344B" w:rsidRDefault="0092054D" w:rsidP="0003344B">
      <w:pPr>
        <w:pStyle w:val="ListParagraph"/>
        <w:numPr>
          <w:ilvl w:val="0"/>
          <w:numId w:val="26"/>
        </w:numPr>
      </w:pPr>
      <w:r w:rsidRPr="0003344B">
        <w:t>the data that will be necessary to monit</w:t>
      </w:r>
      <w:r w:rsidR="00C86D0B">
        <w:t>or progress and measure success;</w:t>
      </w:r>
      <w:r w:rsidRPr="0003344B">
        <w:t xml:space="preserve"> </w:t>
      </w:r>
    </w:p>
    <w:p w:rsidR="000A2F0C" w:rsidRDefault="0003344B" w:rsidP="0003344B">
      <w:pPr>
        <w:pStyle w:val="ListParagraph"/>
        <w:numPr>
          <w:ilvl w:val="0"/>
          <w:numId w:val="26"/>
        </w:numPr>
      </w:pPr>
      <w:r>
        <w:t>how those data</w:t>
      </w:r>
      <w:r w:rsidR="0092054D" w:rsidRPr="0003344B">
        <w:t xml:space="preserve"> will be measured</w:t>
      </w:r>
      <w:r w:rsidR="000A2F0C">
        <w:t xml:space="preserve">; and </w:t>
      </w:r>
    </w:p>
    <w:p w:rsidR="0003344B" w:rsidRDefault="000A2F0C" w:rsidP="0003344B">
      <w:pPr>
        <w:pStyle w:val="ListParagraph"/>
        <w:numPr>
          <w:ilvl w:val="0"/>
          <w:numId w:val="26"/>
        </w:numPr>
      </w:pPr>
      <w:r>
        <w:t xml:space="preserve">who will be responsible for measuring and presenting the data. </w:t>
      </w:r>
    </w:p>
    <w:p w:rsidR="0003344B" w:rsidRDefault="0092054D" w:rsidP="0003344B">
      <w:pPr>
        <w:pStyle w:val="ListParagraph"/>
        <w:ind w:left="2880"/>
      </w:pPr>
      <w:r>
        <w:t xml:space="preserve"> </w:t>
      </w:r>
    </w:p>
    <w:p w:rsidR="0092054D" w:rsidRDefault="0092054D" w:rsidP="0003344B">
      <w:pPr>
        <w:ind w:left="2160"/>
      </w:pPr>
      <w:r>
        <w:t>State courts must develop activiti</w:t>
      </w:r>
      <w:r w:rsidR="00513072">
        <w:t>es to meet stated outcomes and a</w:t>
      </w:r>
      <w:r>
        <w:t>pproaches</w:t>
      </w:r>
      <w:r w:rsidR="00EA0545">
        <w:t xml:space="preserve"> that </w:t>
      </w:r>
      <w:r>
        <w:t xml:space="preserve">include the following components: </w:t>
      </w:r>
    </w:p>
    <w:p w:rsidR="0092054D" w:rsidRDefault="0092054D" w:rsidP="0092054D">
      <w:pPr>
        <w:ind w:left="2160"/>
      </w:pPr>
    </w:p>
    <w:p w:rsidR="0092054D" w:rsidRDefault="0092054D" w:rsidP="0047483A">
      <w:pPr>
        <w:numPr>
          <w:ilvl w:val="0"/>
          <w:numId w:val="11"/>
        </w:numPr>
      </w:pPr>
      <w:r>
        <w:t>use of data to identify needs and shape the type of interventions undertaken;</w:t>
      </w:r>
    </w:p>
    <w:p w:rsidR="0092054D" w:rsidRDefault="0092054D" w:rsidP="0047483A">
      <w:pPr>
        <w:numPr>
          <w:ilvl w:val="0"/>
          <w:numId w:val="11"/>
        </w:numPr>
      </w:pPr>
      <w:r>
        <w:t>ongoing m</w:t>
      </w:r>
      <w:r w:rsidR="00185AFC">
        <w:t>onitoring and data collection</w:t>
      </w:r>
      <w:r>
        <w:t xml:space="preserve"> to measure and track</w:t>
      </w:r>
      <w:r w:rsidR="00185AFC">
        <w:t xml:space="preserve"> the</w:t>
      </w:r>
      <w:r>
        <w:t xml:space="preserve"> progress of interventions and activities, including but not lim</w:t>
      </w:r>
      <w:r w:rsidR="00D54722">
        <w:t xml:space="preserve">ited to timeliness and quality </w:t>
      </w:r>
      <w:r>
        <w:t xml:space="preserve">indicators of hearings and legal representation; </w:t>
      </w:r>
    </w:p>
    <w:p w:rsidR="0092054D" w:rsidRDefault="0092054D" w:rsidP="0047483A">
      <w:pPr>
        <w:numPr>
          <w:ilvl w:val="0"/>
          <w:numId w:val="11"/>
        </w:numPr>
      </w:pPr>
      <w:r>
        <w:t xml:space="preserve">a method for analyzing data on CIP interventions and activities, including, but not limited to:  timeliness and quality indicators of hearings and legal representation; and </w:t>
      </w:r>
    </w:p>
    <w:p w:rsidR="0092054D" w:rsidRDefault="0092054D" w:rsidP="0047483A">
      <w:pPr>
        <w:numPr>
          <w:ilvl w:val="0"/>
          <w:numId w:val="11"/>
        </w:numPr>
      </w:pPr>
      <w:r>
        <w:lastRenderedPageBreak/>
        <w:t>a feedback mechanism involving stakeholders for using data to identify, inform, and implement midcourse adjustments and modifications to improve CIP interventions and activities.</w:t>
      </w:r>
    </w:p>
    <w:p w:rsidR="0092054D" w:rsidRDefault="0092054D" w:rsidP="0092054D"/>
    <w:p w:rsidR="0092054D" w:rsidRDefault="00C429DB" w:rsidP="0092054D">
      <w:pPr>
        <w:ind w:left="2160"/>
      </w:pPr>
      <w:r>
        <w:t xml:space="preserve">The scope of </w:t>
      </w:r>
      <w:r w:rsidR="0092054D">
        <w:t xml:space="preserve">activities may </w:t>
      </w:r>
      <w:r w:rsidR="0092054D" w:rsidRPr="00C22C3A">
        <w:t>vary among State</w:t>
      </w:r>
      <w:r w:rsidR="0092054D">
        <w:t xml:space="preserve"> courts</w:t>
      </w:r>
      <w:r w:rsidR="0092054D" w:rsidRPr="00C22C3A">
        <w:t xml:space="preserve"> based on the size of the award received, structure of the court system, current court data capacities, number of CIP staff and other avail</w:t>
      </w:r>
      <w:r w:rsidR="0092054D">
        <w:t xml:space="preserve">able resources.  </w:t>
      </w:r>
    </w:p>
    <w:p w:rsidR="0092054D" w:rsidRDefault="0092054D" w:rsidP="0092054D">
      <w:pPr>
        <w:ind w:left="2160"/>
      </w:pPr>
    </w:p>
    <w:p w:rsidR="00EA0545" w:rsidRPr="00716262" w:rsidRDefault="0092054D" w:rsidP="00716262">
      <w:pPr>
        <w:ind w:left="2160"/>
        <w:rPr>
          <w:u w:val="single"/>
        </w:rPr>
      </w:pPr>
      <w:r w:rsidRPr="004372A4">
        <w:rPr>
          <w:u w:val="single"/>
        </w:rPr>
        <w:t xml:space="preserve">In addition to the activities identified </w:t>
      </w:r>
      <w:r>
        <w:rPr>
          <w:u w:val="single"/>
        </w:rPr>
        <w:t xml:space="preserve">and developed </w:t>
      </w:r>
      <w:r w:rsidRPr="004372A4">
        <w:rPr>
          <w:u w:val="single"/>
        </w:rPr>
        <w:t xml:space="preserve">by the State </w:t>
      </w:r>
      <w:r>
        <w:rPr>
          <w:u w:val="single"/>
        </w:rPr>
        <w:t>c</w:t>
      </w:r>
      <w:r w:rsidRPr="004372A4">
        <w:rPr>
          <w:u w:val="single"/>
        </w:rPr>
        <w:t xml:space="preserve">ourt, </w:t>
      </w:r>
      <w:r w:rsidRPr="00A76D42">
        <w:rPr>
          <w:u w:val="single"/>
        </w:rPr>
        <w:t xml:space="preserve">specific </w:t>
      </w:r>
      <w:r w:rsidR="00D54722">
        <w:rPr>
          <w:u w:val="single"/>
        </w:rPr>
        <w:t xml:space="preserve">court related </w:t>
      </w:r>
      <w:r w:rsidRPr="00A76D42">
        <w:rPr>
          <w:u w:val="single"/>
        </w:rPr>
        <w:t>is</w:t>
      </w:r>
      <w:r>
        <w:rPr>
          <w:u w:val="single"/>
        </w:rPr>
        <w:t>sues or concerns identified in</w:t>
      </w:r>
      <w:r w:rsidR="00EA0545">
        <w:rPr>
          <w:u w:val="single"/>
        </w:rPr>
        <w:t xml:space="preserve"> the</w:t>
      </w:r>
      <w:r>
        <w:rPr>
          <w:u w:val="single"/>
        </w:rPr>
        <w:t xml:space="preserve"> CFSR and title</w:t>
      </w:r>
      <w:r w:rsidRPr="00A76D42">
        <w:rPr>
          <w:u w:val="single"/>
        </w:rPr>
        <w:t xml:space="preserve"> IV-E</w:t>
      </w:r>
      <w:r>
        <w:rPr>
          <w:u w:val="single"/>
        </w:rPr>
        <w:t xml:space="preserve"> foster care eligibility</w:t>
      </w:r>
      <w:r w:rsidRPr="00A76D42">
        <w:rPr>
          <w:u w:val="single"/>
        </w:rPr>
        <w:t xml:space="preserve"> review</w:t>
      </w:r>
      <w:r w:rsidR="00EA0545">
        <w:rPr>
          <w:u w:val="single"/>
        </w:rPr>
        <w:t xml:space="preserve"> processes</w:t>
      </w:r>
      <w:r w:rsidR="00655E37">
        <w:rPr>
          <w:u w:val="single"/>
        </w:rPr>
        <w:t>, and in par</w:t>
      </w:r>
      <w:r w:rsidR="00EA0545">
        <w:rPr>
          <w:u w:val="single"/>
        </w:rPr>
        <w:t>t</w:t>
      </w:r>
      <w:r w:rsidR="00655E37">
        <w:rPr>
          <w:u w:val="single"/>
        </w:rPr>
        <w:t>icular issues under court responsibility identified as in need of improvement, not in substantial conformity</w:t>
      </w:r>
      <w:r w:rsidR="00EA0545">
        <w:rPr>
          <w:u w:val="single"/>
        </w:rPr>
        <w:t>, or in error,</w:t>
      </w:r>
      <w:r w:rsidR="00B9684F">
        <w:rPr>
          <w:u w:val="single"/>
        </w:rPr>
        <w:t xml:space="preserve"> must</w:t>
      </w:r>
      <w:r w:rsidRPr="00A76D42">
        <w:rPr>
          <w:u w:val="single"/>
        </w:rPr>
        <w:t xml:space="preserve"> be explicitly stated and addres</w:t>
      </w:r>
      <w:r w:rsidR="00EA0545">
        <w:rPr>
          <w:u w:val="single"/>
        </w:rPr>
        <w:t xml:space="preserve">sed in </w:t>
      </w:r>
      <w:r w:rsidRPr="00A76D42">
        <w:rPr>
          <w:u w:val="single"/>
        </w:rPr>
        <w:t>strategic plan</w:t>
      </w:r>
      <w:r w:rsidR="00EA0545">
        <w:rPr>
          <w:u w:val="single"/>
        </w:rPr>
        <w:t>s and addressed to ensure continuous improvement.</w:t>
      </w:r>
      <w:r>
        <w:t xml:space="preserve">   </w:t>
      </w:r>
    </w:p>
    <w:p w:rsidR="002F74E9" w:rsidRDefault="002F74E9" w:rsidP="0092054D"/>
    <w:p w:rsidR="0092054D" w:rsidRPr="000A0E40" w:rsidRDefault="0092054D" w:rsidP="0047483A">
      <w:pPr>
        <w:pStyle w:val="ListParagraph"/>
        <w:numPr>
          <w:ilvl w:val="0"/>
          <w:numId w:val="15"/>
        </w:numPr>
        <w:rPr>
          <w:b/>
        </w:rPr>
      </w:pPr>
      <w:r>
        <w:rPr>
          <w:b/>
        </w:rPr>
        <w:t xml:space="preserve"> Outcome Focused CIP </w:t>
      </w:r>
      <w:r w:rsidRPr="000A0E40">
        <w:rPr>
          <w:b/>
        </w:rPr>
        <w:t>Activities</w:t>
      </w:r>
    </w:p>
    <w:p w:rsidR="0092054D" w:rsidRDefault="0092054D" w:rsidP="0092054D"/>
    <w:p w:rsidR="004063B3" w:rsidRDefault="0092054D" w:rsidP="0092054D">
      <w:pPr>
        <w:ind w:left="2160"/>
      </w:pPr>
      <w:r>
        <w:t>State courts must clearly identify the outc</w:t>
      </w:r>
      <w:r w:rsidR="00B27992">
        <w:t>omes they seek to achieve with CIP activities</w:t>
      </w:r>
      <w:r w:rsidR="006D2254">
        <w:t xml:space="preserve"> and</w:t>
      </w:r>
      <w:r>
        <w:t xml:space="preserve"> develop measu</w:t>
      </w:r>
      <w:r w:rsidR="00B27992">
        <w:t xml:space="preserve">rable objectives to determine progress </w:t>
      </w:r>
      <w:r w:rsidR="006D2254">
        <w:t>in achieving those</w:t>
      </w:r>
      <w:r>
        <w:t xml:space="preserve"> outcomes.</w:t>
      </w:r>
      <w:r w:rsidR="004063B3">
        <w:t xml:space="preserve">  While some CIP activities may tie exclusively to one particular</w:t>
      </w:r>
      <w:r w:rsidR="0026170D">
        <w:t xml:space="preserve"> grant funding stream, most</w:t>
      </w:r>
      <w:r w:rsidR="004063B3">
        <w:t xml:space="preserve"> outcomes require com</w:t>
      </w:r>
      <w:r w:rsidR="0026170D">
        <w:t xml:space="preserve">binations </w:t>
      </w:r>
      <w:r w:rsidR="004063B3">
        <w:t>of</w:t>
      </w:r>
      <w:r w:rsidR="0026170D">
        <w:t xml:space="preserve"> all three funding streams and a comprehensive, coordinated approach. </w:t>
      </w:r>
      <w:r w:rsidR="00B27992">
        <w:t xml:space="preserve">  </w:t>
      </w:r>
    </w:p>
    <w:p w:rsidR="004063B3" w:rsidRDefault="004063B3" w:rsidP="0092054D">
      <w:pPr>
        <w:ind w:left="2160"/>
      </w:pPr>
    </w:p>
    <w:p w:rsidR="0092054D" w:rsidRDefault="0092054D" w:rsidP="0092054D">
      <w:pPr>
        <w:ind w:left="2160"/>
      </w:pPr>
      <w:r>
        <w:t xml:space="preserve">Activities are required to </w:t>
      </w:r>
      <w:r w:rsidRPr="00EB39FA">
        <w:t>fall into one or more of the following</w:t>
      </w:r>
      <w:r w:rsidR="004063B3">
        <w:t xml:space="preserve"> strategic</w:t>
      </w:r>
      <w:r w:rsidRPr="00EB39FA">
        <w:t xml:space="preserve"> categories</w:t>
      </w:r>
      <w:r>
        <w:t xml:space="preserve"> to help achieve measurable outcomes</w:t>
      </w:r>
      <w:r w:rsidR="0026170D">
        <w:t>, each equally applicable to all combinations of CIP grants</w:t>
      </w:r>
      <w:r w:rsidR="00FA32ED">
        <w:t>.</w:t>
      </w:r>
    </w:p>
    <w:p w:rsidR="0092054D" w:rsidRPr="00EB39FA" w:rsidRDefault="0092054D" w:rsidP="0092054D">
      <w:pPr>
        <w:ind w:left="2160"/>
      </w:pPr>
    </w:p>
    <w:p w:rsidR="0092054D" w:rsidRDefault="0092054D" w:rsidP="0047483A">
      <w:pPr>
        <w:numPr>
          <w:ilvl w:val="0"/>
          <w:numId w:val="16"/>
        </w:numPr>
      </w:pPr>
      <w:r w:rsidRPr="0080058C">
        <w:rPr>
          <w:b/>
        </w:rPr>
        <w:t>Court Function Improvemen</w:t>
      </w:r>
      <w:r>
        <w:rPr>
          <w:b/>
        </w:rPr>
        <w:t>t</w:t>
      </w:r>
      <w:r w:rsidRPr="00AF0882">
        <w:t xml:space="preserve"> (e.g., improving and monitoring the timeliness</w:t>
      </w:r>
      <w:r>
        <w:t xml:space="preserve"> and quality</w:t>
      </w:r>
      <w:r w:rsidRPr="00AF0882">
        <w:t xml:space="preserve"> of court hearings</w:t>
      </w:r>
      <w:r w:rsidR="001E4D2E">
        <w:t xml:space="preserve"> and legal representation</w:t>
      </w:r>
      <w:r w:rsidRPr="00AF0882">
        <w:t>,</w:t>
      </w:r>
      <w:r w:rsidR="00C54C5D">
        <w:t xml:space="preserve"> improving court orders, </w:t>
      </w:r>
      <w:r w:rsidR="00BF0A6F">
        <w:t>in</w:t>
      </w:r>
      <w:r w:rsidR="001E4D2E">
        <w:t>creasing and improving</w:t>
      </w:r>
      <w:r w:rsidR="00BF0A6F">
        <w:t xml:space="preserve"> the engagement of the entire family in court processes</w:t>
      </w:r>
      <w:r w:rsidR="0017053F">
        <w:t xml:space="preserve"> relating to child welfare, family preservation, family reunification and adoption</w:t>
      </w:r>
      <w:r w:rsidR="00ED2AA5">
        <w:t xml:space="preserve">; </w:t>
      </w:r>
      <w:r w:rsidR="00840A44">
        <w:t xml:space="preserve">ensuring full participation of parties with limited English proficiency in court processes; </w:t>
      </w:r>
      <w:r w:rsidR="00C54C5D">
        <w:t>improving the handling of cases involving the interstate placement of children</w:t>
      </w:r>
      <w:r w:rsidR="00ED2AA5">
        <w:t>;</w:t>
      </w:r>
      <w:r w:rsidR="00840A44">
        <w:t xml:space="preserve"> improving the handling of cases involving Indian children and the Indian Child Welfare Act;</w:t>
      </w:r>
      <w:r w:rsidR="000A2F0C" w:rsidRPr="000A2F0C">
        <w:t xml:space="preserve"> </w:t>
      </w:r>
      <w:r w:rsidR="000A2F0C">
        <w:t>incorporating trauma-informed services and evidence based practices into court and legal representation practice</w:t>
      </w:r>
      <w:r w:rsidRPr="00AF0882">
        <w:t>)</w:t>
      </w:r>
      <w:r w:rsidR="00FA32ED">
        <w:t>.</w:t>
      </w:r>
    </w:p>
    <w:p w:rsidR="006776F4" w:rsidRPr="00795771" w:rsidRDefault="006776F4" w:rsidP="006776F4">
      <w:pPr>
        <w:ind w:left="2880"/>
      </w:pPr>
    </w:p>
    <w:p w:rsidR="007E613F" w:rsidRDefault="0092054D" w:rsidP="007E613F">
      <w:pPr>
        <w:numPr>
          <w:ilvl w:val="0"/>
          <w:numId w:val="16"/>
        </w:numPr>
      </w:pPr>
      <w:r w:rsidRPr="007E613F">
        <w:rPr>
          <w:b/>
        </w:rPr>
        <w:t>Capacity Building</w:t>
      </w:r>
      <w:r w:rsidR="00D810B2">
        <w:rPr>
          <w:b/>
        </w:rPr>
        <w:t xml:space="preserve"> </w:t>
      </w:r>
      <w:r w:rsidR="007E613F" w:rsidRPr="00AF0882">
        <w:t>(e.g.,</w:t>
      </w:r>
      <w:r w:rsidR="007E613F" w:rsidRPr="006B525D">
        <w:t xml:space="preserve"> Increasing judicial</w:t>
      </w:r>
      <w:r w:rsidR="007E613F">
        <w:t xml:space="preserve"> and attorney</w:t>
      </w:r>
      <w:r w:rsidR="007E613F" w:rsidRPr="006B525D">
        <w:t xml:space="preserve"> knowledge and exp</w:t>
      </w:r>
      <w:r w:rsidR="007E613F">
        <w:t>ertise</w:t>
      </w:r>
      <w:r w:rsidR="007E613F" w:rsidRPr="006B525D">
        <w:t xml:space="preserve">; </w:t>
      </w:r>
      <w:r w:rsidR="00C037A1">
        <w:t xml:space="preserve">cross-training with multidisciplinary stakeholders; </w:t>
      </w:r>
      <w:r w:rsidR="007E613F" w:rsidRPr="006B525D">
        <w:t>collecting data and developing data collection infrastructure</w:t>
      </w:r>
      <w:r w:rsidR="007E613F">
        <w:t>,</w:t>
      </w:r>
      <w:r w:rsidR="007E613F" w:rsidRPr="006B525D">
        <w:rPr>
          <w:rStyle w:val="FootnoteReference"/>
        </w:rPr>
        <w:footnoteReference w:id="6"/>
      </w:r>
      <w:r w:rsidR="007E613F">
        <w:t xml:space="preserve"> sharing data with the title IV-B/IV-E child welfare </w:t>
      </w:r>
      <w:r w:rsidR="007E613F">
        <w:lastRenderedPageBreak/>
        <w:t>agency</w:t>
      </w:r>
      <w:r w:rsidR="00D810B2">
        <w:t>,</w:t>
      </w:r>
      <w:r w:rsidR="00D810B2" w:rsidRPr="00D810B2">
        <w:t xml:space="preserve"> </w:t>
      </w:r>
      <w:r w:rsidR="00D810B2" w:rsidRPr="006B525D">
        <w:t>State departments of education and other State agencies r</w:t>
      </w:r>
      <w:r w:rsidR="00D810B2">
        <w:t>esponsible for child well-being</w:t>
      </w:r>
      <w:r w:rsidR="007E613F" w:rsidRPr="006B525D">
        <w:t xml:space="preserve"> (in</w:t>
      </w:r>
      <w:r w:rsidR="007E613F">
        <w:t>cluding</w:t>
      </w:r>
      <w:r w:rsidR="007E613F">
        <w:rPr>
          <w:color w:val="00B050"/>
        </w:rPr>
        <w:t xml:space="preserve"> </w:t>
      </w:r>
      <w:r w:rsidR="007E613F" w:rsidRPr="00704B97">
        <w:rPr>
          <w:color w:val="000000" w:themeColor="text1"/>
        </w:rPr>
        <w:t>automated efforts to achieve interoperability with other systems through the use of a national data exchange standard such as the National Information Exchange Model (NIEM),</w:t>
      </w:r>
      <w:r w:rsidR="007E613F">
        <w:rPr>
          <w:rStyle w:val="FootnoteReference"/>
          <w:color w:val="000000" w:themeColor="text1"/>
        </w:rPr>
        <w:footnoteReference w:id="7"/>
      </w:r>
      <w:r w:rsidR="007E613F">
        <w:t xml:space="preserve"> </w:t>
      </w:r>
      <w:r w:rsidR="00C86D0B">
        <w:t>and</w:t>
      </w:r>
      <w:r w:rsidR="007E613F">
        <w:t xml:space="preserve"> bi-directional interfaces with Statewide Automated Child Welfare Information Systems (SACWIS</w:t>
      </w:r>
      <w:r w:rsidR="007E613F" w:rsidRPr="006B525D">
        <w:t>)</w:t>
      </w:r>
      <w:r w:rsidR="007E613F">
        <w:rPr>
          <w:rStyle w:val="FootnoteReference"/>
        </w:rPr>
        <w:footnoteReference w:id="8"/>
      </w:r>
      <w:r w:rsidR="007E613F">
        <w:t xml:space="preserve">); </w:t>
      </w:r>
      <w:r w:rsidR="007E613F" w:rsidRPr="006B525D">
        <w:t>improving</w:t>
      </w:r>
      <w:r w:rsidR="007E613F">
        <w:t xml:space="preserve"> and increasing the engagement of the e</w:t>
      </w:r>
      <w:r w:rsidR="00D810B2">
        <w:t>ntire family in court processes;</w:t>
      </w:r>
      <w:r w:rsidR="00C54C5D">
        <w:t xml:space="preserve"> increasing </w:t>
      </w:r>
      <w:r w:rsidR="00D810B2">
        <w:t>collaborative work with Tribes,</w:t>
      </w:r>
      <w:r w:rsidR="000A2F0C">
        <w:t xml:space="preserve"> incorporating trauma-informed services and evidence based practices into court and legal representation practice, </w:t>
      </w:r>
      <w:r w:rsidR="007E613F" w:rsidRPr="006B525D">
        <w:t>and</w:t>
      </w:r>
      <w:r w:rsidR="007E613F">
        <w:t xml:space="preserve"> improving and</w:t>
      </w:r>
      <w:r w:rsidR="007E613F" w:rsidRPr="006B525D">
        <w:t xml:space="preserve"> monitoring dependency court emergency and disaster preparedness</w:t>
      </w:r>
      <w:r w:rsidR="007E613F" w:rsidRPr="006B525D">
        <w:rPr>
          <w:rStyle w:val="FootnoteReference"/>
        </w:rPr>
        <w:footnoteReference w:id="9"/>
      </w:r>
      <w:r w:rsidR="00D810B2">
        <w:t>).</w:t>
      </w:r>
    </w:p>
    <w:p w:rsidR="006776F4" w:rsidRPr="006B525D" w:rsidRDefault="006776F4" w:rsidP="006776F4"/>
    <w:p w:rsidR="0092054D" w:rsidRDefault="00D810B2" w:rsidP="0047483A">
      <w:pPr>
        <w:numPr>
          <w:ilvl w:val="0"/>
          <w:numId w:val="17"/>
        </w:numPr>
      </w:pPr>
      <w:r>
        <w:t xml:space="preserve"> </w:t>
      </w:r>
      <w:r w:rsidR="0092054D" w:rsidRPr="007E613F">
        <w:rPr>
          <w:b/>
        </w:rPr>
        <w:t>Systemic Reform</w:t>
      </w:r>
      <w:r w:rsidR="0092054D" w:rsidRPr="00AF0882">
        <w:t xml:space="preserve"> (e.g., State legislative and law reform initiatives, judicial leadership activities, CIP participation in Statewide committees, work</w:t>
      </w:r>
      <w:r w:rsidR="0023226F">
        <w:t xml:space="preserve"> </w:t>
      </w:r>
      <w:r w:rsidR="0092054D" w:rsidRPr="00AF0882">
        <w:t>groups</w:t>
      </w:r>
      <w:r w:rsidR="00185AFC">
        <w:t xml:space="preserve"> and other collaborative bodies;</w:t>
      </w:r>
      <w:r w:rsidR="001E4D2E">
        <w:t xml:space="preserve"> </w:t>
      </w:r>
      <w:r w:rsidR="0092054D" w:rsidRPr="00AF0882">
        <w:t>collaboration with Tribes</w:t>
      </w:r>
      <w:r w:rsidR="00185AFC">
        <w:t>;</w:t>
      </w:r>
      <w:r w:rsidR="001E4D2E">
        <w:t xml:space="preserve"> efforts to encourage and promote concu</w:t>
      </w:r>
      <w:r w:rsidR="0017053F">
        <w:t>rrent planning pursuant to ASFA,</w:t>
      </w:r>
      <w:r w:rsidR="001E4D2E">
        <w:t xml:space="preserve"> increasing and improving the engagement of the entire family in court processes relating to child welfare, family pre</w:t>
      </w:r>
      <w:r w:rsidR="00840A44">
        <w:t xml:space="preserve">servation, </w:t>
      </w:r>
      <w:r w:rsidR="001E4D2E">
        <w:t>family reunification and adoption</w:t>
      </w:r>
      <w:r w:rsidR="0092054D" w:rsidRPr="00AF0882">
        <w:t>)</w:t>
      </w:r>
      <w:r w:rsidR="00FA32ED">
        <w:t>.</w:t>
      </w:r>
    </w:p>
    <w:p w:rsidR="0092054D" w:rsidRDefault="0092054D" w:rsidP="0092054D"/>
    <w:p w:rsidR="0092054D" w:rsidRPr="00B81772" w:rsidRDefault="0092054D" w:rsidP="0092054D">
      <w:pPr>
        <w:ind w:left="2160"/>
      </w:pPr>
      <w:r>
        <w:t>If</w:t>
      </w:r>
      <w:r w:rsidRPr="000A0E40">
        <w:t xml:space="preserve"> a State court </w:t>
      </w:r>
      <w:r>
        <w:t>would like</w:t>
      </w:r>
      <w:r w:rsidRPr="000A0E40">
        <w:t xml:space="preserve"> to pursue an activity with CIP funding that does not fall within or directly connect to one of the above catego</w:t>
      </w:r>
      <w:r>
        <w:t>ries, prior approval from the CB Regional Office</w:t>
      </w:r>
      <w:r w:rsidRPr="000A0E40">
        <w:t xml:space="preserve"> is necessary.</w:t>
      </w:r>
    </w:p>
    <w:p w:rsidR="0092054D" w:rsidRDefault="0092054D" w:rsidP="0092054D">
      <w:pPr>
        <w:rPr>
          <w:u w:val="single"/>
        </w:rPr>
      </w:pPr>
    </w:p>
    <w:p w:rsidR="00905AE3" w:rsidRDefault="00905AE3" w:rsidP="0092054D">
      <w:pPr>
        <w:rPr>
          <w:u w:val="single"/>
        </w:rPr>
      </w:pPr>
    </w:p>
    <w:p w:rsidR="00454F36" w:rsidRDefault="00454F36" w:rsidP="0047483A">
      <w:pPr>
        <w:pStyle w:val="ListParagraph"/>
        <w:numPr>
          <w:ilvl w:val="0"/>
          <w:numId w:val="8"/>
        </w:numPr>
        <w:rPr>
          <w:b/>
        </w:rPr>
      </w:pPr>
      <w:r>
        <w:rPr>
          <w:b/>
        </w:rPr>
        <w:lastRenderedPageBreak/>
        <w:t>APPLICATION REQUIREMENTS</w:t>
      </w:r>
    </w:p>
    <w:p w:rsidR="00454F36" w:rsidRDefault="00454F36" w:rsidP="00454F36">
      <w:pPr>
        <w:rPr>
          <w:highlight w:val="yellow"/>
        </w:rPr>
      </w:pPr>
    </w:p>
    <w:p w:rsidR="00454F36" w:rsidRPr="005B55EC" w:rsidRDefault="00454F36" w:rsidP="00454F36">
      <w:pPr>
        <w:ind w:left="2160"/>
      </w:pPr>
      <w:r w:rsidRPr="005B55EC">
        <w:t>A complete application including all of the requirements detailed below will be due for FY 2012.   New applications will not be required for States that receive CIP grants in FY 2012 until the close of FY 2016.  Continued funding for interim years (2013, 2014, 2015 and 2016) will be contingent upon successful demonstration of progress toward outcomes through periodic review calls hosted by CB</w:t>
      </w:r>
      <w:r w:rsidR="00CD2A6D">
        <w:t xml:space="preserve">, </w:t>
      </w:r>
      <w:r w:rsidRPr="005B55EC">
        <w:t>a</w:t>
      </w:r>
      <w:r w:rsidR="006D2254">
        <w:t>nnually updated strategic plans</w:t>
      </w:r>
      <w:r w:rsidRPr="005B55EC">
        <w:t xml:space="preserve"> and year</w:t>
      </w:r>
      <w:r w:rsidR="0023226F">
        <w:t>-</w:t>
      </w:r>
      <w:r w:rsidRPr="005B55EC">
        <w:t xml:space="preserve">end program assessment reports.  Annual letters of assurance from the highest State court and the </w:t>
      </w:r>
      <w:r w:rsidR="00CD2A6D">
        <w:t>Title IV-B/IV-E agency are</w:t>
      </w:r>
      <w:r w:rsidRPr="005B55EC">
        <w:t xml:space="preserve"> required to demonstrate continued com</w:t>
      </w:r>
      <w:r w:rsidR="00CD2A6D">
        <w:t>mitment and satisfaction of CIP requirements</w:t>
      </w:r>
      <w:r w:rsidRPr="005B55EC">
        <w:t>.</w:t>
      </w:r>
    </w:p>
    <w:p w:rsidR="00454F36" w:rsidRPr="005B55EC" w:rsidRDefault="00454F36" w:rsidP="00454F36">
      <w:pPr>
        <w:ind w:left="2160"/>
      </w:pPr>
    </w:p>
    <w:p w:rsidR="007E613F" w:rsidRPr="00C037A1" w:rsidRDefault="00454F36" w:rsidP="00C037A1">
      <w:pPr>
        <w:ind w:left="2160"/>
      </w:pPr>
      <w:r w:rsidRPr="005B55EC">
        <w:t>State courts that elect not to apply for all of the CIP grants in FY 2012</w:t>
      </w:r>
      <w:r w:rsidR="00CD2A6D">
        <w:t xml:space="preserve">, but wish to do so in a </w:t>
      </w:r>
      <w:r w:rsidRPr="005B55EC">
        <w:t>future</w:t>
      </w:r>
      <w:r w:rsidR="00CD2A6D">
        <w:t xml:space="preserve"> year</w:t>
      </w:r>
      <w:r w:rsidRPr="005B55EC">
        <w:t xml:space="preserve"> may apply for any of the CIP grants not received in FY 2012 at the close of the interim</w:t>
      </w:r>
      <w:r w:rsidR="00CD2A6D">
        <w:t xml:space="preserve"> federal fiscal</w:t>
      </w:r>
      <w:r w:rsidRPr="005B55EC">
        <w:t xml:space="preserve"> years.  To receive funding</w:t>
      </w:r>
      <w:r w:rsidR="0023226F">
        <w:t>,</w:t>
      </w:r>
      <w:r w:rsidRPr="005B55EC">
        <w:t xml:space="preserve"> State courts applying in interim years must submit applications meeting all of the requirements below.</w:t>
      </w:r>
    </w:p>
    <w:p w:rsidR="006776F4" w:rsidRDefault="006776F4" w:rsidP="000A2F0C">
      <w:pPr>
        <w:rPr>
          <w:b/>
        </w:rPr>
      </w:pPr>
    </w:p>
    <w:p w:rsidR="00454F36" w:rsidRPr="00B756A2" w:rsidRDefault="00454F36" w:rsidP="00454F36">
      <w:pPr>
        <w:ind w:left="2160"/>
        <w:rPr>
          <w:b/>
        </w:rPr>
      </w:pPr>
      <w:r w:rsidRPr="00B756A2">
        <w:rPr>
          <w:b/>
        </w:rPr>
        <w:t>Applications for FY 20</w:t>
      </w:r>
      <w:r>
        <w:rPr>
          <w:b/>
        </w:rPr>
        <w:t>12</w:t>
      </w:r>
      <w:r w:rsidR="00CD2A6D">
        <w:rPr>
          <w:b/>
        </w:rPr>
        <w:t xml:space="preserve"> CIP Grants</w:t>
      </w:r>
    </w:p>
    <w:p w:rsidR="00454F36" w:rsidRDefault="00454F36" w:rsidP="00454F36">
      <w:pPr>
        <w:ind w:left="2160"/>
      </w:pPr>
    </w:p>
    <w:p w:rsidR="00454F36" w:rsidRDefault="00454F36" w:rsidP="00454F36">
      <w:pPr>
        <w:ind w:left="2160"/>
      </w:pPr>
      <w:r>
        <w:t>For FY 2012, State courts must submit a single application to the appropriate CB Regional Office</w:t>
      </w:r>
      <w:r w:rsidR="006D2254">
        <w:t xml:space="preserve"> and Federal Project Officer</w:t>
      </w:r>
      <w:r>
        <w:t xml:space="preserve"> clearly identifying each type of </w:t>
      </w:r>
      <w:r w:rsidR="00EA0545">
        <w:t>CIP grant for which they wish to apply</w:t>
      </w:r>
      <w:r>
        <w:t xml:space="preserve">.  </w:t>
      </w:r>
      <w:r w:rsidRPr="006A16F9">
        <w:t>Each application must include the following components:</w:t>
      </w:r>
    </w:p>
    <w:p w:rsidR="00CD2A6D" w:rsidRDefault="00CD2A6D" w:rsidP="00454F36">
      <w:pPr>
        <w:ind w:left="2160"/>
      </w:pPr>
    </w:p>
    <w:p w:rsidR="00A109B8" w:rsidRPr="00FA32ED" w:rsidRDefault="00A109B8" w:rsidP="0047483A">
      <w:pPr>
        <w:pStyle w:val="ListParagraph"/>
        <w:numPr>
          <w:ilvl w:val="0"/>
          <w:numId w:val="21"/>
        </w:numPr>
      </w:pPr>
      <w:r w:rsidRPr="002F74E9">
        <w:t xml:space="preserve"> </w:t>
      </w:r>
      <w:r w:rsidR="002F74E9" w:rsidRPr="00FA32ED">
        <w:t>A</w:t>
      </w:r>
      <w:r w:rsidR="0023226F" w:rsidRPr="00FA32ED">
        <w:t xml:space="preserve"> </w:t>
      </w:r>
      <w:r w:rsidR="00944591">
        <w:t>budget narrative</w:t>
      </w:r>
      <w:r w:rsidR="009F599C" w:rsidRPr="00FA32ED">
        <w:t>;</w:t>
      </w:r>
    </w:p>
    <w:p w:rsidR="00A109B8" w:rsidRPr="00A109B8" w:rsidRDefault="00A109B8" w:rsidP="00A109B8">
      <w:pPr>
        <w:pStyle w:val="ListParagraph"/>
        <w:ind w:left="2520"/>
      </w:pPr>
    </w:p>
    <w:p w:rsidR="00A109B8" w:rsidRDefault="00454F36" w:rsidP="0047483A">
      <w:pPr>
        <w:pStyle w:val="ListParagraph"/>
        <w:numPr>
          <w:ilvl w:val="0"/>
          <w:numId w:val="21"/>
        </w:numPr>
      </w:pPr>
      <w:r w:rsidRPr="008A2CFF">
        <w:t>A letter from the highest State court requesting funding for FY 2012,</w:t>
      </w:r>
      <w:r>
        <w:t xml:space="preserve"> specifying which CIP grants the State wishes to apply for</w:t>
      </w:r>
      <w:r w:rsidRPr="008A2CFF">
        <w:t xml:space="preserve"> including</w:t>
      </w:r>
      <w:r>
        <w:t xml:space="preserve"> assurances that:</w:t>
      </w:r>
    </w:p>
    <w:p w:rsidR="00A109B8" w:rsidRDefault="00454F36" w:rsidP="0047483A">
      <w:pPr>
        <w:pStyle w:val="ListParagraph"/>
        <w:numPr>
          <w:ilvl w:val="1"/>
          <w:numId w:val="21"/>
        </w:numPr>
      </w:pPr>
      <w:r>
        <w:t xml:space="preserve">the court has in effect a rule requiring State courts to ensure that foster parents, pre-adoptive parents, and relative caregivers of a child in foster care under the responsibility of the State </w:t>
      </w:r>
      <w:r w:rsidR="0091518B">
        <w:t xml:space="preserve">are notified of any proceeding </w:t>
      </w:r>
      <w:r>
        <w:t>held with respect to the child and are afforded the right to be heard;</w:t>
      </w:r>
    </w:p>
    <w:p w:rsidR="00454F36" w:rsidRDefault="00454F36" w:rsidP="0047483A">
      <w:pPr>
        <w:pStyle w:val="ListParagraph"/>
        <w:numPr>
          <w:ilvl w:val="1"/>
          <w:numId w:val="21"/>
        </w:numPr>
      </w:pPr>
      <w:r w:rsidRPr="008A2CFF">
        <w:t>at least one representative per</w:t>
      </w:r>
      <w:r>
        <w:t xml:space="preserve"> each</w:t>
      </w:r>
      <w:r w:rsidRPr="008A2CFF">
        <w:t xml:space="preserve"> CIP grant received (with a m</w:t>
      </w:r>
      <w:r>
        <w:t>aximum of five reps per State) will attend</w:t>
      </w:r>
      <w:r w:rsidRPr="008A2CFF">
        <w:t xml:space="preserve"> the annual CIP Grantee Meeting each year funding is received;</w:t>
      </w:r>
    </w:p>
    <w:p w:rsidR="00CD2A6D" w:rsidRPr="008A2CFF" w:rsidRDefault="00CD2A6D" w:rsidP="00CD2A6D">
      <w:pPr>
        <w:ind w:left="3240"/>
      </w:pPr>
    </w:p>
    <w:p w:rsidR="00A109B8" w:rsidRPr="00A109B8" w:rsidRDefault="00454F36" w:rsidP="0047483A">
      <w:pPr>
        <w:pStyle w:val="ListParagraph"/>
        <w:numPr>
          <w:ilvl w:val="0"/>
          <w:numId w:val="21"/>
        </w:numPr>
      </w:pPr>
      <w:r w:rsidRPr="008A2CFF">
        <w:t>A letter of support from the State</w:t>
      </w:r>
      <w:r w:rsidR="002F74E9">
        <w:t xml:space="preserve"> agency administering the title IV-B and IV-E programs </w:t>
      </w:r>
      <w:r w:rsidRPr="00A109B8">
        <w:rPr>
          <w:rFonts w:cs="Arial"/>
          <w:color w:val="000000"/>
        </w:rPr>
        <w:t>that assures:</w:t>
      </w:r>
    </w:p>
    <w:p w:rsidR="00A109B8" w:rsidRPr="00A109B8" w:rsidRDefault="00454F36" w:rsidP="0047483A">
      <w:pPr>
        <w:pStyle w:val="ListParagraph"/>
        <w:numPr>
          <w:ilvl w:val="1"/>
          <w:numId w:val="21"/>
        </w:numPr>
      </w:pPr>
      <w:r w:rsidRPr="00A109B8">
        <w:rPr>
          <w:rFonts w:cs="Arial"/>
          <w:color w:val="000000"/>
        </w:rPr>
        <w:t xml:space="preserve">ongoing collaboration with the State court on CIP and PIP activities; </w:t>
      </w:r>
    </w:p>
    <w:p w:rsidR="00A109B8" w:rsidRPr="0091518B" w:rsidRDefault="00454F36" w:rsidP="0047483A">
      <w:pPr>
        <w:pStyle w:val="ListParagraph"/>
        <w:numPr>
          <w:ilvl w:val="1"/>
          <w:numId w:val="21"/>
        </w:numPr>
      </w:pPr>
      <w:r w:rsidRPr="00A109B8">
        <w:rPr>
          <w:rFonts w:cs="Arial"/>
          <w:color w:val="000000"/>
        </w:rPr>
        <w:t>invitation and inclusion of the State court or appointed designees to participate in the CFSR, title IV-E foster care eligibility review and program improvement processes;</w:t>
      </w:r>
    </w:p>
    <w:p w:rsidR="0091518B" w:rsidRPr="00896A39" w:rsidRDefault="00EA0545" w:rsidP="0047483A">
      <w:pPr>
        <w:pStyle w:val="ListParagraph"/>
        <w:numPr>
          <w:ilvl w:val="1"/>
          <w:numId w:val="21"/>
        </w:numPr>
      </w:pPr>
      <w:r w:rsidRPr="00896A39">
        <w:rPr>
          <w:rFonts w:cs="Arial"/>
          <w:color w:val="000000"/>
        </w:rPr>
        <w:lastRenderedPageBreak/>
        <w:t>ongoing engagement, con</w:t>
      </w:r>
      <w:r w:rsidR="00896A39">
        <w:rPr>
          <w:rFonts w:cs="Arial"/>
          <w:color w:val="000000"/>
        </w:rPr>
        <w:t>sultation and coordination with the State court on</w:t>
      </w:r>
      <w:r w:rsidRPr="00896A39">
        <w:rPr>
          <w:rFonts w:cs="Arial"/>
          <w:color w:val="000000"/>
        </w:rPr>
        <w:t xml:space="preserve"> the </w:t>
      </w:r>
      <w:r w:rsidR="0091518B" w:rsidRPr="00896A39">
        <w:rPr>
          <w:rFonts w:cs="Arial"/>
          <w:color w:val="000000"/>
        </w:rPr>
        <w:t>Child and Family Service</w:t>
      </w:r>
      <w:r w:rsidRPr="00896A39">
        <w:rPr>
          <w:rFonts w:cs="Arial"/>
          <w:color w:val="000000"/>
        </w:rPr>
        <w:t>s</w:t>
      </w:r>
      <w:r w:rsidR="0091518B" w:rsidRPr="00896A39">
        <w:rPr>
          <w:rFonts w:cs="Arial"/>
          <w:color w:val="000000"/>
        </w:rPr>
        <w:t xml:space="preserve"> Plan (CFSP)</w:t>
      </w:r>
      <w:r w:rsidRPr="00896A39">
        <w:rPr>
          <w:rFonts w:cs="Arial"/>
          <w:color w:val="000000"/>
        </w:rPr>
        <w:t xml:space="preserve"> and  </w:t>
      </w:r>
      <w:r w:rsidR="0091518B" w:rsidRPr="00896A39">
        <w:rPr>
          <w:rFonts w:cs="Arial"/>
          <w:color w:val="000000"/>
        </w:rPr>
        <w:t>Annual</w:t>
      </w:r>
      <w:r w:rsidRPr="00896A39">
        <w:rPr>
          <w:rFonts w:cs="Arial"/>
          <w:color w:val="000000"/>
        </w:rPr>
        <w:t xml:space="preserve"> Progress and Services Report</w:t>
      </w:r>
      <w:r w:rsidR="0091518B" w:rsidRPr="00896A39">
        <w:rPr>
          <w:rFonts w:cs="Arial"/>
          <w:color w:val="000000"/>
        </w:rPr>
        <w:t xml:space="preserve"> (APSR)</w:t>
      </w:r>
      <w:r w:rsidRPr="00896A39">
        <w:rPr>
          <w:rFonts w:cs="Arial"/>
          <w:color w:val="000000"/>
        </w:rPr>
        <w:t xml:space="preserve"> as required by 45 CFR 1357.16.</w:t>
      </w:r>
    </w:p>
    <w:p w:rsidR="00454F36" w:rsidRPr="00CD2A6D" w:rsidRDefault="00EA0545" w:rsidP="0047483A">
      <w:pPr>
        <w:pStyle w:val="ListParagraph"/>
        <w:numPr>
          <w:ilvl w:val="1"/>
          <w:numId w:val="21"/>
        </w:numPr>
      </w:pPr>
      <w:r>
        <w:rPr>
          <w:rFonts w:cs="Arial"/>
          <w:color w:val="000000"/>
        </w:rPr>
        <w:t>ongoing</w:t>
      </w:r>
      <w:r w:rsidR="00896A39">
        <w:rPr>
          <w:rFonts w:cs="Arial"/>
          <w:color w:val="000000"/>
        </w:rPr>
        <w:t xml:space="preserve"> administrative data</w:t>
      </w:r>
      <w:r>
        <w:rPr>
          <w:rFonts w:cs="Arial"/>
          <w:color w:val="000000"/>
        </w:rPr>
        <w:t xml:space="preserve"> </w:t>
      </w:r>
      <w:r w:rsidR="00454F36" w:rsidRPr="00A109B8">
        <w:rPr>
          <w:rFonts w:cs="Arial"/>
          <w:color w:val="000000"/>
        </w:rPr>
        <w:t>sharing, including AFCARS</w:t>
      </w:r>
      <w:r w:rsidR="00896A39">
        <w:rPr>
          <w:rFonts w:cs="Arial"/>
          <w:color w:val="000000"/>
        </w:rPr>
        <w:t xml:space="preserve"> and SACWIS</w:t>
      </w:r>
      <w:r w:rsidR="00454F36" w:rsidRPr="00A109B8">
        <w:rPr>
          <w:rFonts w:cs="Arial"/>
          <w:color w:val="000000"/>
        </w:rPr>
        <w:t xml:space="preserve"> data with the State court.</w:t>
      </w:r>
    </w:p>
    <w:p w:rsidR="00CD2A6D" w:rsidRPr="008A2CFF" w:rsidRDefault="00CD2A6D" w:rsidP="00CD2A6D">
      <w:pPr>
        <w:ind w:left="3600"/>
      </w:pPr>
    </w:p>
    <w:p w:rsidR="00454F36" w:rsidRDefault="00A109B8" w:rsidP="0047483A">
      <w:pPr>
        <w:pStyle w:val="ListParagraph"/>
        <w:numPr>
          <w:ilvl w:val="0"/>
          <w:numId w:val="21"/>
        </w:numPr>
        <w:tabs>
          <w:tab w:val="left" w:pos="0"/>
          <w:tab w:val="left" w:pos="462"/>
          <w:tab w:val="left" w:pos="889"/>
          <w:tab w:val="left" w:pos="1316"/>
          <w:tab w:val="left" w:pos="1746"/>
          <w:tab w:val="left" w:pos="2160"/>
          <w:tab w:val="left" w:pos="2598"/>
          <w:tab w:val="left" w:pos="3025"/>
          <w:tab w:val="left" w:pos="3452"/>
          <w:tab w:val="left" w:pos="3882"/>
          <w:tab w:val="left" w:pos="4320"/>
          <w:tab w:val="left" w:pos="4734"/>
          <w:tab w:val="left" w:pos="5161"/>
          <w:tab w:val="left" w:pos="5588"/>
          <w:tab w:val="left" w:pos="6018"/>
          <w:tab w:val="left" w:pos="6444"/>
          <w:tab w:val="left" w:pos="6870"/>
          <w:tab w:val="left" w:pos="7200"/>
        </w:tabs>
        <w:suppressAutoHyphens/>
        <w:spacing w:line="240" w:lineRule="atLeast"/>
      </w:pPr>
      <w:r>
        <w:t xml:space="preserve"> </w:t>
      </w:r>
      <w:r w:rsidR="00454F36" w:rsidRPr="005B55EC">
        <w:t>A description clearly articulating why each individual grant for which the State court is applying is necessary and how the funds specific to each grant will be used to promote the identified objectives;</w:t>
      </w:r>
    </w:p>
    <w:p w:rsidR="00CD2A6D" w:rsidRPr="005B55EC" w:rsidRDefault="00CD2A6D" w:rsidP="00CD2A6D">
      <w:pPr>
        <w:tabs>
          <w:tab w:val="left" w:pos="0"/>
          <w:tab w:val="left" w:pos="462"/>
          <w:tab w:val="left" w:pos="889"/>
          <w:tab w:val="left" w:pos="1316"/>
          <w:tab w:val="left" w:pos="1746"/>
          <w:tab w:val="left" w:pos="2160"/>
          <w:tab w:val="left" w:pos="2598"/>
          <w:tab w:val="left" w:pos="3025"/>
          <w:tab w:val="left" w:pos="3452"/>
          <w:tab w:val="left" w:pos="3882"/>
          <w:tab w:val="left" w:pos="4320"/>
          <w:tab w:val="left" w:pos="4734"/>
          <w:tab w:val="left" w:pos="5161"/>
          <w:tab w:val="left" w:pos="5588"/>
          <w:tab w:val="left" w:pos="6018"/>
          <w:tab w:val="left" w:pos="6444"/>
          <w:tab w:val="left" w:pos="6870"/>
          <w:tab w:val="left" w:pos="7200"/>
        </w:tabs>
        <w:suppressAutoHyphens/>
        <w:spacing w:line="240" w:lineRule="atLeast"/>
        <w:ind w:left="2520"/>
      </w:pPr>
    </w:p>
    <w:p w:rsidR="00CD2A6D" w:rsidRDefault="00454F36" w:rsidP="0047483A">
      <w:pPr>
        <w:numPr>
          <w:ilvl w:val="0"/>
          <w:numId w:val="21"/>
        </w:numPr>
        <w:tabs>
          <w:tab w:val="left" w:pos="0"/>
          <w:tab w:val="left" w:pos="462"/>
          <w:tab w:val="left" w:pos="889"/>
          <w:tab w:val="left" w:pos="1316"/>
          <w:tab w:val="left" w:pos="1746"/>
          <w:tab w:val="left" w:pos="2160"/>
          <w:tab w:val="left" w:pos="2520"/>
          <w:tab w:val="left" w:pos="2598"/>
          <w:tab w:val="left" w:pos="3025"/>
          <w:tab w:val="left" w:pos="3452"/>
          <w:tab w:val="left" w:pos="3882"/>
          <w:tab w:val="left" w:pos="4320"/>
          <w:tab w:val="left" w:pos="4734"/>
          <w:tab w:val="left" w:pos="5161"/>
          <w:tab w:val="left" w:pos="5588"/>
          <w:tab w:val="left" w:pos="6018"/>
          <w:tab w:val="left" w:pos="6444"/>
          <w:tab w:val="left" w:pos="6870"/>
          <w:tab w:val="left" w:pos="7200"/>
        </w:tabs>
        <w:suppressAutoHyphens/>
        <w:spacing w:line="240" w:lineRule="atLeast"/>
      </w:pPr>
      <w:r>
        <w:t xml:space="preserve">A description of how the State court will implement </w:t>
      </w:r>
      <w:r w:rsidRPr="008A2CFF">
        <w:t xml:space="preserve">CQI </w:t>
      </w:r>
      <w:r>
        <w:t>approaches to use data in identifying needs and desired outcomes and measuring progress toward those outcomes;</w:t>
      </w:r>
    </w:p>
    <w:p w:rsidR="00CD2A6D" w:rsidRPr="008A2CFF" w:rsidRDefault="00CD2A6D" w:rsidP="00CD2A6D">
      <w:pPr>
        <w:tabs>
          <w:tab w:val="left" w:pos="0"/>
          <w:tab w:val="left" w:pos="462"/>
          <w:tab w:val="left" w:pos="889"/>
          <w:tab w:val="left" w:pos="1316"/>
          <w:tab w:val="left" w:pos="1746"/>
          <w:tab w:val="left" w:pos="2160"/>
          <w:tab w:val="left" w:pos="2598"/>
          <w:tab w:val="left" w:pos="3025"/>
          <w:tab w:val="left" w:pos="3452"/>
          <w:tab w:val="left" w:pos="3882"/>
          <w:tab w:val="left" w:pos="4320"/>
          <w:tab w:val="left" w:pos="4734"/>
          <w:tab w:val="left" w:pos="5161"/>
          <w:tab w:val="left" w:pos="5588"/>
          <w:tab w:val="left" w:pos="6018"/>
          <w:tab w:val="left" w:pos="6444"/>
          <w:tab w:val="left" w:pos="6870"/>
          <w:tab w:val="left" w:pos="7200"/>
        </w:tabs>
        <w:suppressAutoHyphens/>
        <w:spacing w:line="240" w:lineRule="atLeast"/>
        <w:ind w:left="2520"/>
      </w:pPr>
    </w:p>
    <w:p w:rsidR="00454F36" w:rsidRDefault="00454F36" w:rsidP="0047483A">
      <w:pPr>
        <w:numPr>
          <w:ilvl w:val="0"/>
          <w:numId w:val="21"/>
        </w:numPr>
        <w:tabs>
          <w:tab w:val="left" w:pos="0"/>
          <w:tab w:val="left" w:pos="462"/>
          <w:tab w:val="left" w:pos="889"/>
          <w:tab w:val="left" w:pos="1316"/>
          <w:tab w:val="left" w:pos="1746"/>
          <w:tab w:val="left" w:pos="2160"/>
          <w:tab w:val="left" w:pos="2520"/>
          <w:tab w:val="left" w:pos="3025"/>
          <w:tab w:val="left" w:pos="3452"/>
          <w:tab w:val="left" w:pos="3882"/>
          <w:tab w:val="left" w:pos="4320"/>
          <w:tab w:val="left" w:pos="4734"/>
          <w:tab w:val="left" w:pos="5161"/>
          <w:tab w:val="left" w:pos="5588"/>
          <w:tab w:val="left" w:pos="6018"/>
          <w:tab w:val="left" w:pos="6444"/>
          <w:tab w:val="left" w:pos="6870"/>
          <w:tab w:val="left" w:pos="7200"/>
        </w:tabs>
        <w:suppressAutoHyphens/>
        <w:spacing w:line="240" w:lineRule="atLeast"/>
      </w:pPr>
      <w:r>
        <w:t xml:space="preserve">A description of the collaboration (who and how) that has taken place in preparing the grant application; </w:t>
      </w:r>
    </w:p>
    <w:p w:rsidR="00CD2A6D" w:rsidRDefault="00CD2A6D" w:rsidP="00CD2A6D">
      <w:pPr>
        <w:tabs>
          <w:tab w:val="left" w:pos="0"/>
          <w:tab w:val="left" w:pos="462"/>
          <w:tab w:val="left" w:pos="889"/>
          <w:tab w:val="left" w:pos="1316"/>
          <w:tab w:val="left" w:pos="1746"/>
          <w:tab w:val="left" w:pos="2160"/>
          <w:tab w:val="left" w:pos="3025"/>
          <w:tab w:val="left" w:pos="3452"/>
          <w:tab w:val="left" w:pos="3882"/>
          <w:tab w:val="left" w:pos="4320"/>
          <w:tab w:val="left" w:pos="4734"/>
          <w:tab w:val="left" w:pos="5161"/>
          <w:tab w:val="left" w:pos="5588"/>
          <w:tab w:val="left" w:pos="6018"/>
          <w:tab w:val="left" w:pos="6444"/>
          <w:tab w:val="left" w:pos="6870"/>
          <w:tab w:val="left" w:pos="7200"/>
        </w:tabs>
        <w:suppressAutoHyphens/>
        <w:spacing w:line="240" w:lineRule="atLeast"/>
        <w:ind w:left="2520"/>
      </w:pPr>
    </w:p>
    <w:p w:rsidR="00454F36" w:rsidRDefault="00454F36" w:rsidP="0047483A">
      <w:pPr>
        <w:numPr>
          <w:ilvl w:val="0"/>
          <w:numId w:val="21"/>
        </w:numPr>
      </w:pPr>
      <w:r>
        <w:t>A list of the members of the statewide multidisciplinary taskforce including the:</w:t>
      </w:r>
    </w:p>
    <w:p w:rsidR="00454F36" w:rsidRDefault="00FA32ED" w:rsidP="0047483A">
      <w:pPr>
        <w:numPr>
          <w:ilvl w:val="1"/>
          <w:numId w:val="21"/>
        </w:numPr>
      </w:pPr>
      <w:r>
        <w:t>n</w:t>
      </w:r>
      <w:r w:rsidR="00454F36">
        <w:t>ame of the member</w:t>
      </w:r>
      <w:r>
        <w:t>;</w:t>
      </w:r>
    </w:p>
    <w:p w:rsidR="00454F36" w:rsidRDefault="00FA32ED" w:rsidP="0047483A">
      <w:pPr>
        <w:numPr>
          <w:ilvl w:val="1"/>
          <w:numId w:val="21"/>
        </w:numPr>
      </w:pPr>
      <w:r>
        <w:t>p</w:t>
      </w:r>
      <w:r w:rsidR="00454F36">
        <w:t>rofessional affiliation, and</w:t>
      </w:r>
    </w:p>
    <w:p w:rsidR="00454F36" w:rsidRDefault="00FA32ED" w:rsidP="0047483A">
      <w:pPr>
        <w:numPr>
          <w:ilvl w:val="1"/>
          <w:numId w:val="21"/>
        </w:numPr>
      </w:pPr>
      <w:r>
        <w:t>t</w:t>
      </w:r>
      <w:r w:rsidR="00454F36">
        <w:t>itle</w:t>
      </w:r>
    </w:p>
    <w:p w:rsidR="00CD2A6D" w:rsidRDefault="00CD2A6D" w:rsidP="00CD2A6D">
      <w:pPr>
        <w:ind w:left="3240"/>
      </w:pPr>
    </w:p>
    <w:p w:rsidR="00454F36" w:rsidRDefault="00454F36" w:rsidP="0047483A">
      <w:pPr>
        <w:numPr>
          <w:ilvl w:val="0"/>
          <w:numId w:val="21"/>
        </w:numPr>
      </w:pPr>
      <w:r>
        <w:t>A description of how the identified stakeholders will meaningfully collaborate on the activities for which the grant funds will be used;</w:t>
      </w:r>
    </w:p>
    <w:p w:rsidR="00CD2A6D" w:rsidRDefault="00CD2A6D" w:rsidP="00CD2A6D">
      <w:pPr>
        <w:ind w:left="2520"/>
      </w:pPr>
    </w:p>
    <w:p w:rsidR="00454F36" w:rsidRDefault="00454F36" w:rsidP="0047483A">
      <w:pPr>
        <w:numPr>
          <w:ilvl w:val="0"/>
          <w:numId w:val="21"/>
        </w:numPr>
      </w:pPr>
      <w:r>
        <w:t xml:space="preserve">A </w:t>
      </w:r>
      <w:r w:rsidR="0091518B">
        <w:t>proposed strategic plan that reflects use of all three grants for at least two years and incorporates</w:t>
      </w:r>
      <w:r w:rsidR="0058721C">
        <w:t xml:space="preserve"> identified </w:t>
      </w:r>
      <w:r>
        <w:t xml:space="preserve"> approaches</w:t>
      </w:r>
      <w:r w:rsidR="0058721C">
        <w:t xml:space="preserve"> to ensure continuous quality </w:t>
      </w:r>
      <w:r w:rsidR="0017053F">
        <w:t>improvement</w:t>
      </w:r>
      <w:r>
        <w:t xml:space="preserve"> </w:t>
      </w:r>
      <w:r w:rsidRPr="009419C6">
        <w:t>(State courts have</w:t>
      </w:r>
      <w:r w:rsidR="009419C6" w:rsidRPr="009419C6">
        <w:t xml:space="preserve"> discretion to plan for</w:t>
      </w:r>
      <w:r w:rsidR="0091518B">
        <w:t xml:space="preserve"> up</w:t>
      </w:r>
      <w:r w:rsidR="009419C6" w:rsidRPr="009419C6">
        <w:t xml:space="preserve"> to five </w:t>
      </w:r>
      <w:r w:rsidRPr="009419C6">
        <w:t xml:space="preserve"> years); </w:t>
      </w:r>
      <w:r w:rsidR="000C17EF">
        <w:t>and</w:t>
      </w:r>
    </w:p>
    <w:p w:rsidR="00CD2A6D" w:rsidRDefault="00CD2A6D" w:rsidP="00CD2A6D"/>
    <w:p w:rsidR="00454F36" w:rsidRDefault="00454F36" w:rsidP="0047483A">
      <w:pPr>
        <w:numPr>
          <w:ilvl w:val="0"/>
          <w:numId w:val="21"/>
        </w:numPr>
      </w:pPr>
      <w:r>
        <w:t xml:space="preserve">Certifications: </w:t>
      </w:r>
    </w:p>
    <w:p w:rsidR="00454F36" w:rsidRDefault="00454F36" w:rsidP="0047483A">
      <w:pPr>
        <w:numPr>
          <w:ilvl w:val="1"/>
          <w:numId w:val="21"/>
        </w:numPr>
        <w:tabs>
          <w:tab w:val="left" w:pos="0"/>
          <w:tab w:val="left" w:pos="720"/>
        </w:tabs>
        <w:suppressAutoHyphens/>
        <w:ind w:left="2880"/>
      </w:pPr>
      <w:r>
        <w:t>Anti-Lobbying Certification and Disclosure Form (pursuant to 45 CFR Part 93, an Anti-Lobbying Certification and Disclosure Form must be signed and submitted with the State’s CIP application(s), and</w:t>
      </w:r>
    </w:p>
    <w:p w:rsidR="00454F36" w:rsidRDefault="00454F36" w:rsidP="0047483A">
      <w:pPr>
        <w:numPr>
          <w:ilvl w:val="1"/>
          <w:numId w:val="21"/>
        </w:numPr>
        <w:tabs>
          <w:tab w:val="left" w:pos="0"/>
          <w:tab w:val="left" w:pos="720"/>
        </w:tabs>
        <w:suppressAutoHyphens/>
        <w:ind w:left="2880"/>
      </w:pPr>
      <w:r>
        <w:t xml:space="preserve">If applicable, a SF-LLL, which discloses lobbying payments, also must be submitted.      </w:t>
      </w:r>
    </w:p>
    <w:p w:rsidR="00454F36" w:rsidRDefault="00454F36" w:rsidP="00454F36">
      <w:pPr>
        <w:tabs>
          <w:tab w:val="left" w:pos="0"/>
          <w:tab w:val="left" w:pos="720"/>
        </w:tabs>
        <w:suppressAutoHyphens/>
        <w:ind w:left="2880"/>
      </w:pPr>
    </w:p>
    <w:p w:rsidR="00454F36" w:rsidRDefault="00454F36" w:rsidP="00454F36">
      <w:pPr>
        <w:numPr>
          <w:ilvl w:val="12"/>
          <w:numId w:val="0"/>
        </w:numPr>
        <w:tabs>
          <w:tab w:val="left" w:pos="0"/>
          <w:tab w:val="left" w:pos="360"/>
          <w:tab w:val="left" w:pos="720"/>
        </w:tabs>
        <w:suppressAutoHyphens/>
        <w:ind w:left="2520"/>
      </w:pPr>
      <w:r>
        <w:t>The signature on the State court’s CIP application by an authorized official attests to the applicant’s intent to comply with each of the following certifications:</w:t>
      </w:r>
      <w:r>
        <w:rPr>
          <w:rStyle w:val="FootnoteReference"/>
        </w:rPr>
        <w:footnoteReference w:id="10"/>
      </w:r>
      <w:r>
        <w:t xml:space="preserve">  </w:t>
      </w:r>
    </w:p>
    <w:p w:rsidR="00454F36" w:rsidRDefault="00454F36" w:rsidP="00454F36">
      <w:pPr>
        <w:numPr>
          <w:ilvl w:val="12"/>
          <w:numId w:val="0"/>
        </w:numPr>
        <w:tabs>
          <w:tab w:val="left" w:pos="0"/>
          <w:tab w:val="left" w:pos="360"/>
          <w:tab w:val="left" w:pos="720"/>
        </w:tabs>
        <w:suppressAutoHyphens/>
        <w:ind w:left="2520"/>
      </w:pPr>
    </w:p>
    <w:p w:rsidR="00454F36" w:rsidRDefault="00454F36" w:rsidP="0047483A">
      <w:pPr>
        <w:numPr>
          <w:ilvl w:val="0"/>
          <w:numId w:val="5"/>
        </w:numPr>
        <w:tabs>
          <w:tab w:val="left" w:pos="0"/>
          <w:tab w:val="left" w:pos="1800"/>
        </w:tabs>
        <w:suppressAutoHyphens/>
        <w:ind w:left="2880"/>
      </w:pPr>
      <w:r>
        <w:t xml:space="preserve">Certification Regarding Drug-Free Work Place;       </w:t>
      </w:r>
    </w:p>
    <w:p w:rsidR="00454F36" w:rsidRDefault="00454F36" w:rsidP="0047483A">
      <w:pPr>
        <w:numPr>
          <w:ilvl w:val="0"/>
          <w:numId w:val="5"/>
        </w:numPr>
        <w:tabs>
          <w:tab w:val="left" w:pos="0"/>
          <w:tab w:val="left" w:pos="1800"/>
        </w:tabs>
        <w:suppressAutoHyphens/>
        <w:ind w:left="2880"/>
      </w:pPr>
      <w:r>
        <w:lastRenderedPageBreak/>
        <w:t>Debarment Certification; and</w:t>
      </w:r>
    </w:p>
    <w:p w:rsidR="00454F36" w:rsidRDefault="00454F36" w:rsidP="0047483A">
      <w:pPr>
        <w:pStyle w:val="BodyTextIndent2"/>
        <w:numPr>
          <w:ilvl w:val="0"/>
          <w:numId w:val="5"/>
        </w:numPr>
        <w:tabs>
          <w:tab w:val="clear" w:pos="2160"/>
          <w:tab w:val="clear" w:pos="3025"/>
          <w:tab w:val="left" w:pos="1800"/>
          <w:tab w:val="left" w:pos="2880"/>
        </w:tabs>
        <w:ind w:left="2880"/>
      </w:pPr>
      <w:r>
        <w:t>Certification Regarding Environmental Tobacco Smoke.</w:t>
      </w:r>
    </w:p>
    <w:p w:rsidR="00454F36" w:rsidRDefault="00454F36" w:rsidP="00454F36">
      <w:pPr>
        <w:rPr>
          <w:b/>
        </w:rPr>
      </w:pPr>
    </w:p>
    <w:p w:rsidR="00840A44" w:rsidRDefault="00840A44" w:rsidP="00454F36">
      <w:pPr>
        <w:ind w:left="2160"/>
        <w:rPr>
          <w:b/>
        </w:rPr>
      </w:pPr>
    </w:p>
    <w:p w:rsidR="00454F36" w:rsidRPr="00B756A2" w:rsidRDefault="00454F36" w:rsidP="00454F36">
      <w:pPr>
        <w:ind w:left="2160"/>
        <w:rPr>
          <w:b/>
        </w:rPr>
      </w:pPr>
      <w:r w:rsidRPr="00B756A2">
        <w:rPr>
          <w:b/>
        </w:rPr>
        <w:t>Submitting an Application</w:t>
      </w:r>
    </w:p>
    <w:p w:rsidR="00454F36" w:rsidRDefault="00454F36" w:rsidP="00454F36">
      <w:pPr>
        <w:ind w:left="2160"/>
      </w:pPr>
    </w:p>
    <w:p w:rsidR="00454F36" w:rsidRPr="000550EF" w:rsidRDefault="00454F36" w:rsidP="00944591">
      <w:pPr>
        <w:tabs>
          <w:tab w:val="left" w:pos="0"/>
          <w:tab w:val="left" w:pos="889"/>
          <w:tab w:val="left" w:pos="1316"/>
          <w:tab w:val="left" w:pos="1746"/>
          <w:tab w:val="left" w:pos="2160"/>
          <w:tab w:val="left" w:pos="2598"/>
          <w:tab w:val="left" w:pos="3025"/>
          <w:tab w:val="left" w:pos="3452"/>
          <w:tab w:val="left" w:pos="3882"/>
          <w:tab w:val="left" w:pos="4320"/>
          <w:tab w:val="left" w:pos="4734"/>
          <w:tab w:val="left" w:pos="5161"/>
          <w:tab w:val="left" w:pos="5588"/>
          <w:tab w:val="left" w:pos="6018"/>
          <w:tab w:val="left" w:pos="6444"/>
          <w:tab w:val="left" w:pos="6870"/>
          <w:tab w:val="left" w:pos="7200"/>
        </w:tabs>
        <w:suppressAutoHyphens/>
        <w:spacing w:line="240" w:lineRule="atLeast"/>
        <w:ind w:left="2160"/>
      </w:pPr>
      <w:r>
        <w:t>State courts must submit applications</w:t>
      </w:r>
      <w:r w:rsidR="00F22CC7">
        <w:t xml:space="preserve"> in MS Word,</w:t>
      </w:r>
      <w:r>
        <w:t xml:space="preserve"> electronically to the appropriate CB Regional Office</w:t>
      </w:r>
      <w:r w:rsidR="0091518B">
        <w:t xml:space="preserve"> (See Attachment F)</w:t>
      </w:r>
      <w:r w:rsidR="00F22CC7">
        <w:t xml:space="preserve"> and David Kelly, Federal Project Officer, at </w:t>
      </w:r>
      <w:hyperlink r:id="rId8" w:history="1">
        <w:r w:rsidR="00F22CC7" w:rsidRPr="00E4667D">
          <w:rPr>
            <w:rStyle w:val="Hyperlink"/>
          </w:rPr>
          <w:t>david.kelly@acf.hhs.gov</w:t>
        </w:r>
      </w:hyperlink>
      <w:r w:rsidR="00F22CC7">
        <w:t xml:space="preserve"> via e-mail</w:t>
      </w:r>
      <w:r>
        <w:t>.  CB will approve applications that satisfy the requirements and purposes described at Section 438 of the Act and the requirements described in this Program Instructio</w:t>
      </w:r>
      <w:r w:rsidRPr="00CE0AB7">
        <w:t xml:space="preserve">n.  </w:t>
      </w:r>
      <w:r w:rsidRPr="00332E37">
        <w:rPr>
          <w:b/>
        </w:rPr>
        <w:t>Applications</w:t>
      </w:r>
      <w:r w:rsidR="0023226F" w:rsidRPr="00332E37">
        <w:rPr>
          <w:b/>
        </w:rPr>
        <w:t xml:space="preserve"> for FY 2012</w:t>
      </w:r>
      <w:r w:rsidRPr="00332E37">
        <w:rPr>
          <w:b/>
        </w:rPr>
        <w:t xml:space="preserve"> will be due on</w:t>
      </w:r>
      <w:r w:rsidR="00573EEB">
        <w:rPr>
          <w:b/>
        </w:rPr>
        <w:t xml:space="preserve"> January 20</w:t>
      </w:r>
      <w:r w:rsidR="00F22CC7" w:rsidRPr="00332E37">
        <w:rPr>
          <w:b/>
        </w:rPr>
        <w:t>, 201</w:t>
      </w:r>
      <w:r w:rsidR="009F599C" w:rsidRPr="00332E37">
        <w:rPr>
          <w:b/>
        </w:rPr>
        <w:t>2</w:t>
      </w:r>
      <w:r w:rsidR="007E613F">
        <w:rPr>
          <w:b/>
        </w:rPr>
        <w:t>.</w:t>
      </w:r>
    </w:p>
    <w:p w:rsidR="00944591" w:rsidRPr="00C45233" w:rsidRDefault="00944591" w:rsidP="00944591">
      <w:pPr>
        <w:tabs>
          <w:tab w:val="left" w:pos="0"/>
          <w:tab w:val="left" w:pos="889"/>
          <w:tab w:val="left" w:pos="1316"/>
          <w:tab w:val="left" w:pos="1746"/>
          <w:tab w:val="left" w:pos="2160"/>
          <w:tab w:val="left" w:pos="2598"/>
          <w:tab w:val="left" w:pos="3025"/>
          <w:tab w:val="left" w:pos="3452"/>
          <w:tab w:val="left" w:pos="3882"/>
          <w:tab w:val="left" w:pos="4320"/>
          <w:tab w:val="left" w:pos="4734"/>
          <w:tab w:val="left" w:pos="5161"/>
          <w:tab w:val="left" w:pos="5588"/>
          <w:tab w:val="left" w:pos="6018"/>
          <w:tab w:val="left" w:pos="6444"/>
          <w:tab w:val="left" w:pos="6870"/>
          <w:tab w:val="left" w:pos="7200"/>
        </w:tabs>
        <w:suppressAutoHyphens/>
        <w:spacing w:line="240" w:lineRule="atLeast"/>
        <w:ind w:left="2160"/>
      </w:pPr>
      <w:r>
        <w:t>Please note that the</w:t>
      </w:r>
      <w:r w:rsidR="00225EB8">
        <w:t xml:space="preserve"> obligation period for FY 2012 grants began on 10/1/2011.</w:t>
      </w:r>
      <w:r w:rsidRPr="00944591">
        <w:t xml:space="preserve"> </w:t>
      </w:r>
      <w:r>
        <w:t xml:space="preserve"> </w:t>
      </w:r>
    </w:p>
    <w:p w:rsidR="00944591" w:rsidRPr="0023226F" w:rsidRDefault="00944591" w:rsidP="00944591">
      <w:pPr>
        <w:tabs>
          <w:tab w:val="left" w:pos="0"/>
          <w:tab w:val="left" w:pos="889"/>
          <w:tab w:val="left" w:pos="1316"/>
          <w:tab w:val="left" w:pos="1746"/>
          <w:tab w:val="left" w:pos="2160"/>
          <w:tab w:val="left" w:pos="2598"/>
          <w:tab w:val="left" w:pos="3025"/>
          <w:tab w:val="left" w:pos="3452"/>
          <w:tab w:val="left" w:pos="3882"/>
          <w:tab w:val="left" w:pos="4320"/>
          <w:tab w:val="left" w:pos="4734"/>
          <w:tab w:val="left" w:pos="5161"/>
          <w:tab w:val="left" w:pos="5588"/>
          <w:tab w:val="left" w:pos="6018"/>
          <w:tab w:val="left" w:pos="6444"/>
          <w:tab w:val="left" w:pos="6870"/>
          <w:tab w:val="left" w:pos="7200"/>
        </w:tabs>
        <w:suppressAutoHyphens/>
        <w:spacing w:line="240" w:lineRule="atLeast"/>
      </w:pPr>
    </w:p>
    <w:p w:rsidR="00944591" w:rsidRPr="00C45233" w:rsidRDefault="003A3542" w:rsidP="00944591">
      <w:pPr>
        <w:tabs>
          <w:tab w:val="left" w:pos="0"/>
          <w:tab w:val="left" w:pos="889"/>
          <w:tab w:val="left" w:pos="1316"/>
          <w:tab w:val="left" w:pos="1746"/>
          <w:tab w:val="left" w:pos="2160"/>
          <w:tab w:val="left" w:pos="2598"/>
          <w:tab w:val="left" w:pos="3025"/>
          <w:tab w:val="left" w:pos="3452"/>
          <w:tab w:val="left" w:pos="3882"/>
          <w:tab w:val="left" w:pos="4320"/>
          <w:tab w:val="left" w:pos="4734"/>
          <w:tab w:val="left" w:pos="5161"/>
          <w:tab w:val="left" w:pos="5588"/>
          <w:tab w:val="left" w:pos="6018"/>
          <w:tab w:val="left" w:pos="6444"/>
          <w:tab w:val="left" w:pos="6870"/>
          <w:tab w:val="left" w:pos="7200"/>
        </w:tabs>
        <w:suppressAutoHyphens/>
        <w:spacing w:line="240" w:lineRule="atLeast"/>
        <w:ind w:left="2160"/>
      </w:pPr>
      <w:r>
        <w:t xml:space="preserve">For </w:t>
      </w:r>
      <w:r w:rsidR="00944591">
        <w:t>State courts that elect not to apply for all three CIP grants for FY 2012,</w:t>
      </w:r>
      <w:r>
        <w:t xml:space="preserve"> applications will be due during </w:t>
      </w:r>
      <w:r w:rsidR="0023226F">
        <w:t>interim ye</w:t>
      </w:r>
      <w:r>
        <w:t>ars (FYs 2013-2016) on</w:t>
      </w:r>
      <w:r w:rsidR="00E74480">
        <w:t xml:space="preserve"> </w:t>
      </w:r>
      <w:r w:rsidR="0023226F">
        <w:t>August 30.</w:t>
      </w:r>
      <w:r w:rsidR="00904AF0">
        <w:t xml:space="preserve">  </w:t>
      </w:r>
      <w:r w:rsidR="00944591">
        <w:t>Annual letters of assurance as described in the applicati</w:t>
      </w:r>
      <w:r>
        <w:t xml:space="preserve">on section of this PI will </w:t>
      </w:r>
      <w:r w:rsidR="00944591">
        <w:t>be due on August 30 for each of the interim years</w:t>
      </w:r>
      <w:r>
        <w:t xml:space="preserve"> for all States applying for or receiving CIP grants</w:t>
      </w:r>
      <w:r w:rsidR="00944591">
        <w:t>.</w:t>
      </w:r>
    </w:p>
    <w:p w:rsidR="006776F4" w:rsidRPr="005403EF" w:rsidRDefault="006776F4" w:rsidP="003A3542">
      <w:pPr>
        <w:rPr>
          <w:b/>
        </w:rPr>
      </w:pPr>
    </w:p>
    <w:p w:rsidR="00454F36" w:rsidRDefault="00454F36" w:rsidP="0047483A">
      <w:pPr>
        <w:pStyle w:val="ListParagraph"/>
        <w:numPr>
          <w:ilvl w:val="0"/>
          <w:numId w:val="8"/>
        </w:numPr>
        <w:rPr>
          <w:b/>
        </w:rPr>
      </w:pPr>
      <w:r>
        <w:rPr>
          <w:b/>
        </w:rPr>
        <w:t>STRATEGIC PLAN REQUIREMENTS</w:t>
      </w:r>
    </w:p>
    <w:p w:rsidR="0092054D" w:rsidRPr="009A603C" w:rsidRDefault="0092054D" w:rsidP="00454F36"/>
    <w:p w:rsidR="0092054D" w:rsidRDefault="006D2254" w:rsidP="0092054D">
      <w:pPr>
        <w:pStyle w:val="NormalWeb4"/>
        <w:ind w:left="2160"/>
        <w:rPr>
          <w:rFonts w:ascii="Times New Roman" w:hAnsi="Times New Roman"/>
        </w:rPr>
      </w:pPr>
      <w:r w:rsidRPr="00824069">
        <w:rPr>
          <w:rFonts w:ascii="Times New Roman" w:hAnsi="Times New Roman"/>
        </w:rPr>
        <w:t>St</w:t>
      </w:r>
      <w:r>
        <w:rPr>
          <w:rFonts w:ascii="Times New Roman" w:hAnsi="Times New Roman"/>
        </w:rPr>
        <w:t>ate courts are required to submit a</w:t>
      </w:r>
      <w:r w:rsidR="0091518B">
        <w:rPr>
          <w:rFonts w:ascii="Times New Roman" w:hAnsi="Times New Roman"/>
        </w:rPr>
        <w:t xml:space="preserve"> single strategic plan for at least two years that includes outcomes and activities for all CIP grants received</w:t>
      </w:r>
      <w:r>
        <w:rPr>
          <w:rFonts w:ascii="Times New Roman" w:hAnsi="Times New Roman"/>
        </w:rPr>
        <w:t>.</w:t>
      </w:r>
      <w:r w:rsidRPr="00824069">
        <w:rPr>
          <w:rFonts w:ascii="Times New Roman" w:hAnsi="Times New Roman"/>
        </w:rPr>
        <w:t xml:space="preserve"> </w:t>
      </w:r>
      <w:r w:rsidR="0092054D" w:rsidRPr="00CD7986">
        <w:rPr>
          <w:rFonts w:ascii="Times New Roman" w:hAnsi="Times New Roman"/>
        </w:rPr>
        <w:t xml:space="preserve">Strategic plans </w:t>
      </w:r>
      <w:r w:rsidR="0092054D">
        <w:rPr>
          <w:rFonts w:ascii="Times New Roman" w:hAnsi="Times New Roman"/>
        </w:rPr>
        <w:t>are the primary way</w:t>
      </w:r>
      <w:r w:rsidR="0091518B">
        <w:rPr>
          <w:rFonts w:ascii="Times New Roman" w:hAnsi="Times New Roman"/>
        </w:rPr>
        <w:t xml:space="preserve"> that</w:t>
      </w:r>
      <w:r w:rsidR="008442F3">
        <w:rPr>
          <w:rFonts w:ascii="Times New Roman" w:hAnsi="Times New Roman"/>
        </w:rPr>
        <w:t xml:space="preserve"> State courts</w:t>
      </w:r>
      <w:r w:rsidR="0091518B">
        <w:rPr>
          <w:rFonts w:ascii="Times New Roman" w:hAnsi="Times New Roman"/>
        </w:rPr>
        <w:t xml:space="preserve"> will communicate</w:t>
      </w:r>
      <w:r w:rsidR="0092054D">
        <w:rPr>
          <w:rFonts w:ascii="Times New Roman" w:hAnsi="Times New Roman"/>
        </w:rPr>
        <w:t xml:space="preserve"> </w:t>
      </w:r>
      <w:r w:rsidR="0091518B">
        <w:rPr>
          <w:rFonts w:ascii="Times New Roman" w:hAnsi="Times New Roman"/>
        </w:rPr>
        <w:t xml:space="preserve">their </w:t>
      </w:r>
      <w:r w:rsidR="0092054D">
        <w:rPr>
          <w:rFonts w:ascii="Times New Roman" w:hAnsi="Times New Roman"/>
        </w:rPr>
        <w:t xml:space="preserve">intended </w:t>
      </w:r>
      <w:r w:rsidR="0092054D" w:rsidRPr="00CD7986">
        <w:rPr>
          <w:rFonts w:ascii="Times New Roman" w:hAnsi="Times New Roman"/>
        </w:rPr>
        <w:t>outco</w:t>
      </w:r>
      <w:r w:rsidR="0091518B">
        <w:rPr>
          <w:rFonts w:ascii="Times New Roman" w:hAnsi="Times New Roman"/>
        </w:rPr>
        <w:t xml:space="preserve">mes and objectives to CB. </w:t>
      </w:r>
      <w:r w:rsidR="008442F3">
        <w:rPr>
          <w:rFonts w:ascii="Times New Roman" w:hAnsi="Times New Roman"/>
        </w:rPr>
        <w:t xml:space="preserve"> </w:t>
      </w:r>
      <w:r w:rsidR="0092054D">
        <w:rPr>
          <w:rFonts w:ascii="Times New Roman" w:hAnsi="Times New Roman"/>
        </w:rPr>
        <w:t xml:space="preserve">Strategic plans are living documents that </w:t>
      </w:r>
      <w:r w:rsidR="00AD4730">
        <w:rPr>
          <w:rFonts w:ascii="Times New Roman" w:hAnsi="Times New Roman"/>
        </w:rPr>
        <w:t xml:space="preserve">are required to be reviewed, </w:t>
      </w:r>
      <w:r w:rsidR="0092054D">
        <w:rPr>
          <w:rFonts w:ascii="Times New Roman" w:hAnsi="Times New Roman"/>
        </w:rPr>
        <w:t>updated</w:t>
      </w:r>
      <w:r w:rsidR="00AD4730">
        <w:rPr>
          <w:rFonts w:ascii="Times New Roman" w:hAnsi="Times New Roman"/>
        </w:rPr>
        <w:t xml:space="preserve"> and approved</w:t>
      </w:r>
      <w:r w:rsidR="0092054D">
        <w:rPr>
          <w:rFonts w:ascii="Times New Roman" w:hAnsi="Times New Roman"/>
        </w:rPr>
        <w:t xml:space="preserve"> annually to demonstrate progress toward objectives</w:t>
      </w:r>
      <w:r w:rsidR="0092054D" w:rsidRPr="00824069">
        <w:rPr>
          <w:rFonts w:ascii="Times New Roman" w:hAnsi="Times New Roman"/>
        </w:rPr>
        <w:t xml:space="preserve">.  Progress reported on the strategic plan will form the centerpiece of year-end program assessment reports for interim years (FYs 2013-2016).  </w:t>
      </w:r>
      <w:r w:rsidR="00360EB2">
        <w:rPr>
          <w:rFonts w:ascii="Times New Roman" w:hAnsi="Times New Roman"/>
        </w:rPr>
        <w:t>Strategic plans must incorporate</w:t>
      </w:r>
      <w:r w:rsidR="00AD4730">
        <w:rPr>
          <w:rFonts w:ascii="Times New Roman" w:hAnsi="Times New Roman"/>
        </w:rPr>
        <w:t xml:space="preserve"> </w:t>
      </w:r>
      <w:r w:rsidR="0092054D">
        <w:rPr>
          <w:rFonts w:ascii="Times New Roman" w:hAnsi="Times New Roman"/>
        </w:rPr>
        <w:t>approach</w:t>
      </w:r>
      <w:r w:rsidR="00360EB2">
        <w:rPr>
          <w:rFonts w:ascii="Times New Roman" w:hAnsi="Times New Roman"/>
        </w:rPr>
        <w:t>es</w:t>
      </w:r>
      <w:r w:rsidR="00AD4730">
        <w:rPr>
          <w:rFonts w:ascii="Times New Roman" w:hAnsi="Times New Roman"/>
        </w:rPr>
        <w:t xml:space="preserve"> for CQI</w:t>
      </w:r>
      <w:r w:rsidR="00360EB2">
        <w:rPr>
          <w:rFonts w:ascii="Times New Roman" w:hAnsi="Times New Roman"/>
        </w:rPr>
        <w:t xml:space="preserve"> and accurately reflect</w:t>
      </w:r>
      <w:r w:rsidR="0092054D">
        <w:rPr>
          <w:rFonts w:ascii="Times New Roman" w:hAnsi="Times New Roman"/>
        </w:rPr>
        <w:t>:</w:t>
      </w:r>
    </w:p>
    <w:p w:rsidR="00AD4730" w:rsidRDefault="0092054D" w:rsidP="00AD4730">
      <w:pPr>
        <w:pStyle w:val="ListParagraph"/>
        <w:numPr>
          <w:ilvl w:val="0"/>
          <w:numId w:val="17"/>
        </w:numPr>
      </w:pPr>
      <w:r>
        <w:t>a</w:t>
      </w:r>
      <w:r w:rsidRPr="00CD30F0">
        <w:t>nticipated outcomes  for</w:t>
      </w:r>
      <w:r>
        <w:t xml:space="preserve"> improved</w:t>
      </w:r>
      <w:r w:rsidRPr="00CD30F0">
        <w:t xml:space="preserve"> court functioning, family improvement, and/or capacity building for the court</w:t>
      </w:r>
      <w:r>
        <w:t>;</w:t>
      </w:r>
    </w:p>
    <w:p w:rsidR="00AD4730" w:rsidRDefault="0092054D" w:rsidP="00AD4730">
      <w:pPr>
        <w:pStyle w:val="ListParagraph"/>
        <w:numPr>
          <w:ilvl w:val="0"/>
          <w:numId w:val="17"/>
        </w:numPr>
      </w:pPr>
      <w:r>
        <w:t xml:space="preserve">measurable </w:t>
      </w:r>
      <w:r w:rsidRPr="00CD30F0">
        <w:t xml:space="preserve">objectives and </w:t>
      </w:r>
      <w:r>
        <w:t xml:space="preserve">related </w:t>
      </w:r>
      <w:r w:rsidRPr="00CD30F0">
        <w:t>activities to be</w:t>
      </w:r>
      <w:r>
        <w:t xml:space="preserve"> conducted fo</w:t>
      </w:r>
      <w:r w:rsidRPr="00CD30F0">
        <w:t>r each</w:t>
      </w:r>
      <w:r>
        <w:t xml:space="preserve"> anticipated outcome under each CIP grant received; and</w:t>
      </w:r>
      <w:r w:rsidRPr="00CD30F0">
        <w:t xml:space="preserve"> </w:t>
      </w:r>
    </w:p>
    <w:p w:rsidR="0092054D" w:rsidRDefault="00A47591" w:rsidP="00AD4730">
      <w:pPr>
        <w:pStyle w:val="ListParagraph"/>
        <w:numPr>
          <w:ilvl w:val="0"/>
          <w:numId w:val="17"/>
        </w:numPr>
      </w:pPr>
      <w:r>
        <w:t>use of data and findings in improving or retooling program components.</w:t>
      </w:r>
      <w:r w:rsidR="0092054D" w:rsidRPr="00CD30F0">
        <w:t xml:space="preserve"> </w:t>
      </w:r>
    </w:p>
    <w:p w:rsidR="0092054D" w:rsidRDefault="0092054D" w:rsidP="0092054D"/>
    <w:p w:rsidR="0095591B" w:rsidRPr="00417833" w:rsidRDefault="0092054D" w:rsidP="00417833">
      <w:pPr>
        <w:ind w:left="2160"/>
      </w:pPr>
      <w:r>
        <w:t>CIP strategic plans are required to include specific plans for participat</w:t>
      </w:r>
      <w:r w:rsidR="00AD4730">
        <w:t>ion in the CFSR and title IV-E foster care eligibility r</w:t>
      </w:r>
      <w:r>
        <w:t>eview processes including efforts to assist in preparation for reviews</w:t>
      </w:r>
      <w:r w:rsidR="0023226F">
        <w:t>,</w:t>
      </w:r>
      <w:r>
        <w:t xml:space="preserve"> and participation in and on:</w:t>
      </w:r>
    </w:p>
    <w:p w:rsidR="0092054D" w:rsidRDefault="0092054D" w:rsidP="0047483A">
      <w:pPr>
        <w:numPr>
          <w:ilvl w:val="0"/>
          <w:numId w:val="18"/>
        </w:numPr>
      </w:pPr>
      <w:r>
        <w:t xml:space="preserve">review teams; </w:t>
      </w:r>
    </w:p>
    <w:p w:rsidR="0092054D" w:rsidRDefault="008442F3" w:rsidP="0047483A">
      <w:pPr>
        <w:numPr>
          <w:ilvl w:val="0"/>
          <w:numId w:val="18"/>
        </w:numPr>
      </w:pPr>
      <w:r>
        <w:t>entrance and exit interviews;</w:t>
      </w:r>
      <w:r w:rsidR="0058721C">
        <w:t xml:space="preserve"> and</w:t>
      </w:r>
      <w:r w:rsidR="0092054D">
        <w:t xml:space="preserve"> </w:t>
      </w:r>
    </w:p>
    <w:p w:rsidR="0092054D" w:rsidRDefault="0092054D" w:rsidP="0047483A">
      <w:pPr>
        <w:numPr>
          <w:ilvl w:val="0"/>
          <w:numId w:val="18"/>
        </w:numPr>
      </w:pPr>
      <w:r>
        <w:lastRenderedPageBreak/>
        <w:t>program improvement plan (PIP) te</w:t>
      </w:r>
      <w:r w:rsidR="0058721C">
        <w:t>ams</w:t>
      </w:r>
      <w:r w:rsidR="008442F3">
        <w:t>.</w:t>
      </w:r>
      <w:r>
        <w:t xml:space="preserve"> </w:t>
      </w:r>
    </w:p>
    <w:p w:rsidR="0092054D" w:rsidRDefault="0092054D" w:rsidP="0092054D">
      <w:pPr>
        <w:ind w:left="2160"/>
      </w:pPr>
    </w:p>
    <w:p w:rsidR="0092054D" w:rsidRPr="000A0E40" w:rsidRDefault="0092054D" w:rsidP="0092054D">
      <w:pPr>
        <w:ind w:left="2160"/>
      </w:pPr>
      <w:r>
        <w:t>State courts should provide performance, outcome and any additional relevant data collected through required CIP activities to the teams working on the CFSR and title IV-E eligibility reviews.</w:t>
      </w:r>
    </w:p>
    <w:p w:rsidR="0092054D" w:rsidRDefault="0092054D" w:rsidP="0092054D"/>
    <w:p w:rsidR="0092054D" w:rsidRDefault="0058721C" w:rsidP="0092054D">
      <w:pPr>
        <w:ind w:left="2160"/>
      </w:pPr>
      <w:r>
        <w:t xml:space="preserve">CIP strategic plans and annual </w:t>
      </w:r>
      <w:r w:rsidR="0092054D">
        <w:t>program assessment reports are required to</w:t>
      </w:r>
      <w:r w:rsidR="0092054D" w:rsidRPr="00C22C3A">
        <w:t xml:space="preserve"> clearly demonstrate meaningful and ongoing collaboration among the courts of the</w:t>
      </w:r>
      <w:r w:rsidR="0092054D">
        <w:t xml:space="preserve"> State, the title IV-B/IV-E agency</w:t>
      </w:r>
      <w:r w:rsidR="0092054D" w:rsidRPr="00C22C3A">
        <w:t xml:space="preserve"> and, where applicable, Indian Tribes. </w:t>
      </w:r>
    </w:p>
    <w:p w:rsidR="0092054D" w:rsidRDefault="0092054D" w:rsidP="0092054D">
      <w:pPr>
        <w:ind w:left="2160"/>
      </w:pPr>
    </w:p>
    <w:p w:rsidR="0092054D" w:rsidRPr="00207F59" w:rsidRDefault="0092054D" w:rsidP="0092054D">
      <w:pPr>
        <w:ind w:left="2160"/>
      </w:pPr>
      <w:r>
        <w:t>In an effort to strengthen the CIP and allow for enhanced appraisal of overall program success, a new single, combined</w:t>
      </w:r>
      <w:r w:rsidRPr="00A70BDD">
        <w:t xml:space="preserve">, Strategic Plan </w:t>
      </w:r>
      <w:r>
        <w:t xml:space="preserve">/ Annual </w:t>
      </w:r>
      <w:r w:rsidRPr="00A70BDD">
        <w:t xml:space="preserve">Program Assessment Report template </w:t>
      </w:r>
      <w:r w:rsidR="00CC6A24">
        <w:t xml:space="preserve">is included as Attachment C of this document.  </w:t>
      </w:r>
      <w:r>
        <w:t>The template is designed to e</w:t>
      </w:r>
      <w:r w:rsidR="00AD4730">
        <w:t xml:space="preserve">nhance uniformity in reporting and to </w:t>
      </w:r>
      <w:r>
        <w:t>ensure that</w:t>
      </w:r>
      <w:r w:rsidR="00AD4730">
        <w:t xml:space="preserve"> the State court is utilizing </w:t>
      </w:r>
      <w:r>
        <w:t>CQI process</w:t>
      </w:r>
      <w:r w:rsidR="00AD4730">
        <w:t>es</w:t>
      </w:r>
      <w:r>
        <w:t xml:space="preserve"> and accurately addressing and reporting activities.  The template serves as the central component of the required annual program assessment report as it enables users to easily provide chronological annual strategic plan and narrative updates.  State courts are strongly encouraged to utilize the template; however, </w:t>
      </w:r>
      <w:r w:rsidR="00AD4730" w:rsidRPr="00AD4730">
        <w:rPr>
          <w:u w:val="single"/>
        </w:rPr>
        <w:t xml:space="preserve">its </w:t>
      </w:r>
      <w:r w:rsidRPr="00AD4730">
        <w:rPr>
          <w:u w:val="single"/>
        </w:rPr>
        <w:t>use is</w:t>
      </w:r>
      <w:r w:rsidRPr="00303098">
        <w:rPr>
          <w:u w:val="single"/>
        </w:rPr>
        <w:t xml:space="preserve"> not mandatory</w:t>
      </w:r>
      <w:r>
        <w:t xml:space="preserve">. </w:t>
      </w:r>
    </w:p>
    <w:p w:rsidR="0092054D" w:rsidRDefault="0092054D" w:rsidP="0092054D">
      <w:pPr>
        <w:ind w:left="2160"/>
      </w:pPr>
    </w:p>
    <w:p w:rsidR="0092054D" w:rsidRPr="00461F2D" w:rsidRDefault="0092054D" w:rsidP="0092054D">
      <w:pPr>
        <w:pStyle w:val="NormalWeb4"/>
        <w:ind w:left="2160"/>
        <w:rPr>
          <w:rFonts w:ascii="Times New Roman" w:hAnsi="Times New Roman"/>
          <w:b/>
        </w:rPr>
      </w:pPr>
      <w:r w:rsidRPr="00461F2D">
        <w:rPr>
          <w:rFonts w:ascii="Times New Roman" w:hAnsi="Times New Roman"/>
          <w:b/>
        </w:rPr>
        <w:t xml:space="preserve">Regardless of whether the template is used, Strategic Plans must provide the following information </w:t>
      </w:r>
      <w:r w:rsidRPr="00417833">
        <w:rPr>
          <w:rFonts w:ascii="Times New Roman" w:hAnsi="Times New Roman"/>
          <w:b/>
          <w:u w:val="single"/>
        </w:rPr>
        <w:t>for each activity</w:t>
      </w:r>
      <w:r w:rsidRPr="00461F2D">
        <w:rPr>
          <w:rFonts w:ascii="Times New Roman" w:hAnsi="Times New Roman"/>
          <w:b/>
        </w:rPr>
        <w:t xml:space="preserve">: </w:t>
      </w:r>
    </w:p>
    <w:p w:rsidR="0092054D" w:rsidRPr="0095591B" w:rsidRDefault="0092054D" w:rsidP="0047483A">
      <w:pPr>
        <w:pStyle w:val="NormalWeb4"/>
        <w:numPr>
          <w:ilvl w:val="0"/>
          <w:numId w:val="9"/>
        </w:numPr>
        <w:rPr>
          <w:rFonts w:ascii="Times New Roman" w:hAnsi="Times New Roman"/>
        </w:rPr>
      </w:pPr>
      <w:r>
        <w:rPr>
          <w:rFonts w:ascii="Times New Roman" w:hAnsi="Times New Roman"/>
          <w:b/>
        </w:rPr>
        <w:t>N</w:t>
      </w:r>
      <w:r w:rsidRPr="00B630EE">
        <w:rPr>
          <w:rFonts w:ascii="Times New Roman" w:hAnsi="Times New Roman"/>
          <w:b/>
        </w:rPr>
        <w:t>eed</w:t>
      </w:r>
      <w:r>
        <w:rPr>
          <w:rFonts w:ascii="Times New Roman" w:hAnsi="Times New Roman"/>
          <w:b/>
        </w:rPr>
        <w:t>(s)</w:t>
      </w:r>
      <w:r w:rsidR="0095591B">
        <w:rPr>
          <w:rFonts w:ascii="Times New Roman" w:hAnsi="Times New Roman"/>
        </w:rPr>
        <w:t xml:space="preserve">: </w:t>
      </w:r>
      <w:r w:rsidR="00461F2D">
        <w:rPr>
          <w:rFonts w:ascii="Times New Roman" w:hAnsi="Times New Roman"/>
        </w:rPr>
        <w:t xml:space="preserve"> </w:t>
      </w:r>
      <w:r w:rsidR="0095591B" w:rsidRPr="0095591B">
        <w:rPr>
          <w:rFonts w:ascii="Times New Roman" w:hAnsi="Times New Roman"/>
        </w:rPr>
        <w:t xml:space="preserve">Identify the issue(s) </w:t>
      </w:r>
      <w:r w:rsidRPr="0095591B">
        <w:rPr>
          <w:rFonts w:ascii="Times New Roman" w:hAnsi="Times New Roman"/>
        </w:rPr>
        <w:t>driving the implementation of the activity and the data source that justifies or supports the need: How was the need identified?  What dat</w:t>
      </w:r>
      <w:r w:rsidR="0095591B" w:rsidRPr="0095591B">
        <w:rPr>
          <w:rFonts w:ascii="Times New Roman" w:hAnsi="Times New Roman"/>
        </w:rPr>
        <w:t>a was used to identify it? ( e.g</w:t>
      </w:r>
      <w:r w:rsidRPr="0095591B">
        <w:rPr>
          <w:rFonts w:ascii="Times New Roman" w:hAnsi="Times New Roman"/>
        </w:rPr>
        <w:t xml:space="preserve">., CIP assessment or reassessment, CFSR report, </w:t>
      </w:r>
      <w:r w:rsidR="008442F3">
        <w:rPr>
          <w:rFonts w:ascii="Times New Roman" w:hAnsi="Times New Roman"/>
        </w:rPr>
        <w:t xml:space="preserve">title </w:t>
      </w:r>
      <w:r w:rsidRPr="0095591B">
        <w:rPr>
          <w:rFonts w:ascii="Times New Roman" w:hAnsi="Times New Roman"/>
        </w:rPr>
        <w:t>IV-E</w:t>
      </w:r>
      <w:r w:rsidR="0095591B" w:rsidRPr="0095591B">
        <w:rPr>
          <w:rFonts w:ascii="Times New Roman" w:hAnsi="Times New Roman"/>
        </w:rPr>
        <w:t xml:space="preserve"> foster care</w:t>
      </w:r>
      <w:r w:rsidRPr="0095591B">
        <w:rPr>
          <w:rFonts w:ascii="Times New Roman" w:hAnsi="Times New Roman"/>
        </w:rPr>
        <w:t xml:space="preserve"> eligibility</w:t>
      </w:r>
      <w:r w:rsidR="0095591B" w:rsidRPr="0095591B">
        <w:rPr>
          <w:rFonts w:ascii="Times New Roman" w:hAnsi="Times New Roman"/>
        </w:rPr>
        <w:t xml:space="preserve"> review</w:t>
      </w:r>
      <w:r w:rsidRPr="0095591B">
        <w:rPr>
          <w:rFonts w:ascii="Times New Roman" w:hAnsi="Times New Roman"/>
        </w:rPr>
        <w:t xml:space="preserve"> report, focus group work, survey work, data review, case file review, etc.)</w:t>
      </w:r>
      <w:r w:rsidR="00FA32ED">
        <w:rPr>
          <w:rFonts w:ascii="Times New Roman" w:hAnsi="Times New Roman"/>
        </w:rPr>
        <w:t>.</w:t>
      </w:r>
    </w:p>
    <w:p w:rsidR="0092054D" w:rsidRPr="0095591B" w:rsidRDefault="0092054D" w:rsidP="0047483A">
      <w:pPr>
        <w:pStyle w:val="NormalWeb4"/>
        <w:numPr>
          <w:ilvl w:val="0"/>
          <w:numId w:val="9"/>
        </w:numPr>
        <w:rPr>
          <w:rFonts w:ascii="Times New Roman" w:hAnsi="Times New Roman"/>
        </w:rPr>
      </w:pPr>
      <w:r>
        <w:rPr>
          <w:rFonts w:ascii="Times New Roman" w:hAnsi="Times New Roman"/>
          <w:b/>
        </w:rPr>
        <w:t>O</w:t>
      </w:r>
      <w:r w:rsidRPr="00B630EE">
        <w:rPr>
          <w:rFonts w:ascii="Times New Roman" w:hAnsi="Times New Roman"/>
          <w:b/>
        </w:rPr>
        <w:t>utcome</w:t>
      </w:r>
      <w:r>
        <w:rPr>
          <w:rFonts w:ascii="Times New Roman" w:hAnsi="Times New Roman"/>
          <w:b/>
        </w:rPr>
        <w:t>(s)</w:t>
      </w:r>
      <w:r w:rsidRPr="00A8592A">
        <w:rPr>
          <w:rFonts w:ascii="Times New Roman" w:hAnsi="Times New Roman"/>
        </w:rPr>
        <w:t xml:space="preserve">: </w:t>
      </w:r>
      <w:r w:rsidR="00461F2D">
        <w:rPr>
          <w:rFonts w:ascii="Times New Roman" w:hAnsi="Times New Roman"/>
        </w:rPr>
        <w:t xml:space="preserve"> </w:t>
      </w:r>
      <w:r w:rsidR="0095591B" w:rsidRPr="0095591B">
        <w:rPr>
          <w:rFonts w:ascii="Times New Roman" w:hAnsi="Times New Roman"/>
        </w:rPr>
        <w:t>Specify t</w:t>
      </w:r>
      <w:r w:rsidRPr="0095591B">
        <w:rPr>
          <w:rFonts w:ascii="Times New Roman" w:hAnsi="Times New Roman"/>
        </w:rPr>
        <w:t>he change in law, proc</w:t>
      </w:r>
      <w:r w:rsidR="00417833">
        <w:rPr>
          <w:rFonts w:ascii="Times New Roman" w:hAnsi="Times New Roman"/>
        </w:rPr>
        <w:t>ess, or practice or target audience</w:t>
      </w:r>
      <w:r w:rsidRPr="0095591B">
        <w:rPr>
          <w:rFonts w:ascii="Times New Roman" w:hAnsi="Times New Roman"/>
        </w:rPr>
        <w:t xml:space="preserve"> in terms of content, procedure, knowledge, skills, attitudes, behaviors, capacity, or conditions the State court seeks to make.</w:t>
      </w:r>
    </w:p>
    <w:p w:rsidR="00036703" w:rsidRDefault="00A47591" w:rsidP="0047483A">
      <w:pPr>
        <w:pStyle w:val="NormalWeb4"/>
        <w:numPr>
          <w:ilvl w:val="0"/>
          <w:numId w:val="9"/>
        </w:numPr>
        <w:rPr>
          <w:rFonts w:ascii="Times New Roman" w:hAnsi="Times New Roman"/>
        </w:rPr>
      </w:pPr>
      <w:r>
        <w:rPr>
          <w:rFonts w:ascii="Times New Roman" w:hAnsi="Times New Roman"/>
          <w:b/>
        </w:rPr>
        <w:t xml:space="preserve">Measurable </w:t>
      </w:r>
      <w:r w:rsidR="0092054D">
        <w:rPr>
          <w:rFonts w:ascii="Times New Roman" w:hAnsi="Times New Roman"/>
          <w:b/>
        </w:rPr>
        <w:t>O</w:t>
      </w:r>
      <w:r w:rsidR="0092054D" w:rsidRPr="00B630EE">
        <w:rPr>
          <w:rFonts w:ascii="Times New Roman" w:hAnsi="Times New Roman"/>
          <w:b/>
        </w:rPr>
        <w:t>bjective</w:t>
      </w:r>
      <w:r w:rsidR="0092054D">
        <w:rPr>
          <w:rFonts w:ascii="Times New Roman" w:hAnsi="Times New Roman"/>
          <w:b/>
        </w:rPr>
        <w:t>(</w:t>
      </w:r>
      <w:r w:rsidR="0092054D" w:rsidRPr="00B630EE">
        <w:rPr>
          <w:rFonts w:ascii="Times New Roman" w:hAnsi="Times New Roman"/>
          <w:b/>
        </w:rPr>
        <w:t>s</w:t>
      </w:r>
      <w:r w:rsidR="0092054D">
        <w:rPr>
          <w:rFonts w:ascii="Times New Roman" w:hAnsi="Times New Roman"/>
          <w:b/>
        </w:rPr>
        <w:t>)</w:t>
      </w:r>
      <w:r w:rsidR="0092054D">
        <w:rPr>
          <w:rFonts w:ascii="Times New Roman" w:hAnsi="Times New Roman"/>
        </w:rPr>
        <w:t>:</w:t>
      </w:r>
      <w:r w:rsidR="00461F2D">
        <w:rPr>
          <w:rFonts w:ascii="Times New Roman" w:hAnsi="Times New Roman"/>
        </w:rPr>
        <w:t xml:space="preserve"> </w:t>
      </w:r>
      <w:r w:rsidR="0092054D" w:rsidRPr="00A8592A">
        <w:rPr>
          <w:rFonts w:ascii="Times New Roman" w:hAnsi="Times New Roman"/>
        </w:rPr>
        <w:t xml:space="preserve"> </w:t>
      </w:r>
      <w:r w:rsidR="0095591B">
        <w:rPr>
          <w:rFonts w:ascii="Times New Roman" w:hAnsi="Times New Roman"/>
        </w:rPr>
        <w:t>Identify the m</w:t>
      </w:r>
      <w:r w:rsidR="0092054D" w:rsidRPr="0095591B">
        <w:rPr>
          <w:rFonts w:ascii="Times New Roman" w:hAnsi="Times New Roman"/>
        </w:rPr>
        <w:t>easurable step(s) toward accomplishing the outcome within a specified period of time.</w:t>
      </w:r>
    </w:p>
    <w:p w:rsidR="0092054D" w:rsidRPr="005E20B8" w:rsidRDefault="00036703" w:rsidP="0047483A">
      <w:pPr>
        <w:pStyle w:val="NormalWeb4"/>
        <w:numPr>
          <w:ilvl w:val="0"/>
          <w:numId w:val="9"/>
        </w:numPr>
        <w:rPr>
          <w:rFonts w:ascii="Times New Roman" w:hAnsi="Times New Roman"/>
        </w:rPr>
      </w:pPr>
      <w:r>
        <w:rPr>
          <w:rFonts w:ascii="Times New Roman" w:hAnsi="Times New Roman"/>
          <w:b/>
        </w:rPr>
        <w:t>Strategic Category</w:t>
      </w:r>
      <w:r w:rsidRPr="00036703">
        <w:rPr>
          <w:rFonts w:ascii="Times New Roman" w:hAnsi="Times New Roman"/>
        </w:rPr>
        <w:t>:</w:t>
      </w:r>
      <w:r>
        <w:rPr>
          <w:rFonts w:ascii="Times New Roman" w:hAnsi="Times New Roman"/>
        </w:rPr>
        <w:t xml:space="preserve">  Classify the type of activities or projects</w:t>
      </w:r>
      <w:r w:rsidR="002C13A9">
        <w:rPr>
          <w:rFonts w:ascii="Times New Roman" w:hAnsi="Times New Roman"/>
        </w:rPr>
        <w:t xml:space="preserve"> (can be more than one)</w:t>
      </w:r>
      <w:r>
        <w:rPr>
          <w:rFonts w:ascii="Times New Roman" w:hAnsi="Times New Roman"/>
        </w:rPr>
        <w:t xml:space="preserve"> necessary to reach the desired outcome (e.g. court function improvement, capacity building, systemic reform</w:t>
      </w:r>
      <w:r w:rsidR="002C13A9">
        <w:rPr>
          <w:rFonts w:ascii="Times New Roman" w:hAnsi="Times New Roman"/>
        </w:rPr>
        <w:t>).</w:t>
      </w:r>
    </w:p>
    <w:p w:rsidR="0092054D" w:rsidRPr="0095591B" w:rsidRDefault="0092054D" w:rsidP="0047483A">
      <w:pPr>
        <w:pStyle w:val="NormalWeb4"/>
        <w:numPr>
          <w:ilvl w:val="0"/>
          <w:numId w:val="9"/>
        </w:numPr>
        <w:rPr>
          <w:rFonts w:ascii="Times New Roman" w:hAnsi="Times New Roman"/>
        </w:rPr>
      </w:pPr>
      <w:r w:rsidRPr="00C70F93">
        <w:rPr>
          <w:rFonts w:ascii="Times New Roman" w:hAnsi="Times New Roman"/>
          <w:b/>
        </w:rPr>
        <w:t>Description of Activity or Project</w:t>
      </w:r>
      <w:r w:rsidRPr="00A8592A">
        <w:rPr>
          <w:rFonts w:ascii="Times New Roman" w:hAnsi="Times New Roman"/>
        </w:rPr>
        <w:t xml:space="preserve">: </w:t>
      </w:r>
      <w:r w:rsidR="00461F2D">
        <w:rPr>
          <w:rFonts w:ascii="Times New Roman" w:hAnsi="Times New Roman"/>
        </w:rPr>
        <w:t xml:space="preserve"> </w:t>
      </w:r>
      <w:r w:rsidR="0095591B">
        <w:rPr>
          <w:rFonts w:ascii="Times New Roman" w:hAnsi="Times New Roman"/>
        </w:rPr>
        <w:t>Describe the s</w:t>
      </w:r>
      <w:r w:rsidRPr="0095591B">
        <w:rPr>
          <w:rFonts w:ascii="Times New Roman" w:hAnsi="Times New Roman"/>
        </w:rPr>
        <w:t>pecific actions or projects that will be completed to produce specific outputs and demonstrate progress toward the outcome.</w:t>
      </w:r>
    </w:p>
    <w:p w:rsidR="0092054D" w:rsidRPr="0095591B" w:rsidRDefault="0092054D" w:rsidP="0047483A">
      <w:pPr>
        <w:pStyle w:val="NormalWeb4"/>
        <w:numPr>
          <w:ilvl w:val="0"/>
          <w:numId w:val="9"/>
        </w:numPr>
        <w:rPr>
          <w:rFonts w:ascii="Times New Roman" w:hAnsi="Times New Roman"/>
          <w:i/>
        </w:rPr>
      </w:pPr>
      <w:r w:rsidRPr="001401B0">
        <w:rPr>
          <w:rFonts w:ascii="Times New Roman" w:hAnsi="Times New Roman"/>
          <w:b/>
        </w:rPr>
        <w:lastRenderedPageBreak/>
        <w:t xml:space="preserve">CIP Funding </w:t>
      </w:r>
      <w:r>
        <w:rPr>
          <w:rFonts w:ascii="Times New Roman" w:hAnsi="Times New Roman"/>
          <w:b/>
        </w:rPr>
        <w:t>S</w:t>
      </w:r>
      <w:r w:rsidRPr="001401B0">
        <w:rPr>
          <w:rFonts w:ascii="Times New Roman" w:hAnsi="Times New Roman"/>
          <w:b/>
        </w:rPr>
        <w:t>tream</w:t>
      </w:r>
      <w:r>
        <w:rPr>
          <w:rFonts w:ascii="Times New Roman" w:hAnsi="Times New Roman"/>
          <w:b/>
        </w:rPr>
        <w:t>(s)</w:t>
      </w:r>
      <w:r w:rsidR="00461F2D" w:rsidRPr="00461F2D">
        <w:rPr>
          <w:rFonts w:ascii="Times New Roman" w:hAnsi="Times New Roman"/>
        </w:rPr>
        <w:t>:</w:t>
      </w:r>
      <w:r w:rsidR="00461F2D">
        <w:rPr>
          <w:rFonts w:ascii="Times New Roman" w:hAnsi="Times New Roman"/>
          <w:b/>
        </w:rPr>
        <w:t xml:space="preserve">  </w:t>
      </w:r>
      <w:r w:rsidR="00AD4730">
        <w:rPr>
          <w:rFonts w:ascii="Times New Roman" w:hAnsi="Times New Roman"/>
        </w:rPr>
        <w:t>Specify which CIP grant</w:t>
      </w:r>
      <w:r>
        <w:rPr>
          <w:rFonts w:ascii="Times New Roman" w:hAnsi="Times New Roman"/>
        </w:rPr>
        <w:t xml:space="preserve"> </w:t>
      </w:r>
      <w:r w:rsidRPr="0095591B">
        <w:rPr>
          <w:rFonts w:ascii="Times New Roman" w:hAnsi="Times New Roman"/>
        </w:rPr>
        <w:t>(basic, data, training grant)</w:t>
      </w:r>
      <w:r w:rsidR="00461F2D">
        <w:rPr>
          <w:rFonts w:ascii="Times New Roman" w:hAnsi="Times New Roman"/>
        </w:rPr>
        <w:t xml:space="preserve"> will be</w:t>
      </w:r>
      <w:r w:rsidRPr="0095591B">
        <w:rPr>
          <w:rFonts w:ascii="Times New Roman" w:hAnsi="Times New Roman"/>
        </w:rPr>
        <w:t xml:space="preserve"> used to fund</w:t>
      </w:r>
      <w:r w:rsidR="00461F2D">
        <w:rPr>
          <w:rFonts w:ascii="Times New Roman" w:hAnsi="Times New Roman"/>
        </w:rPr>
        <w:t xml:space="preserve"> the</w:t>
      </w:r>
      <w:r w:rsidRPr="0095591B">
        <w:rPr>
          <w:rFonts w:ascii="Times New Roman" w:hAnsi="Times New Roman"/>
        </w:rPr>
        <w:t xml:space="preserve"> activity</w:t>
      </w:r>
      <w:r w:rsidRPr="0095591B" w:rsidDel="00221B78">
        <w:rPr>
          <w:rFonts w:ascii="Times New Roman" w:hAnsi="Times New Roman"/>
        </w:rPr>
        <w:t xml:space="preserve"> </w:t>
      </w:r>
      <w:r w:rsidRPr="0095591B">
        <w:rPr>
          <w:rFonts w:ascii="Times New Roman" w:hAnsi="Times New Roman"/>
        </w:rPr>
        <w:t>(can be more than one), and any additional non</w:t>
      </w:r>
      <w:r w:rsidR="00461F2D">
        <w:rPr>
          <w:rFonts w:ascii="Times New Roman" w:hAnsi="Times New Roman"/>
        </w:rPr>
        <w:t>-</w:t>
      </w:r>
      <w:r w:rsidRPr="0095591B">
        <w:rPr>
          <w:rFonts w:ascii="Times New Roman" w:hAnsi="Times New Roman"/>
        </w:rPr>
        <w:t>CIP funding being used</w:t>
      </w:r>
      <w:r w:rsidR="00AD4730">
        <w:rPr>
          <w:rFonts w:ascii="Times New Roman" w:hAnsi="Times New Roman"/>
        </w:rPr>
        <w:t xml:space="preserve"> that</w:t>
      </w:r>
      <w:r w:rsidRPr="0095591B">
        <w:rPr>
          <w:rFonts w:ascii="Times New Roman" w:hAnsi="Times New Roman"/>
        </w:rPr>
        <w:t xml:space="preserve"> the court wishes to identify</w:t>
      </w:r>
      <w:r w:rsidRPr="0095591B">
        <w:rPr>
          <w:rFonts w:ascii="Times New Roman" w:hAnsi="Times New Roman"/>
          <w:i/>
        </w:rPr>
        <w:t xml:space="preserve">. </w:t>
      </w:r>
    </w:p>
    <w:p w:rsidR="0092054D" w:rsidRPr="00461F2D" w:rsidRDefault="0092054D" w:rsidP="0047483A">
      <w:pPr>
        <w:pStyle w:val="NormalWeb4"/>
        <w:numPr>
          <w:ilvl w:val="0"/>
          <w:numId w:val="9"/>
        </w:numPr>
        <w:rPr>
          <w:rFonts w:ascii="Times New Roman" w:hAnsi="Times New Roman"/>
          <w:i/>
        </w:rPr>
      </w:pPr>
      <w:r w:rsidRPr="001401B0">
        <w:rPr>
          <w:rFonts w:ascii="Times New Roman" w:hAnsi="Times New Roman"/>
          <w:b/>
        </w:rPr>
        <w:t>Collaborative Partner</w:t>
      </w:r>
      <w:r>
        <w:rPr>
          <w:rFonts w:ascii="Times New Roman" w:hAnsi="Times New Roman"/>
          <w:b/>
        </w:rPr>
        <w:t>(</w:t>
      </w:r>
      <w:r w:rsidRPr="001401B0">
        <w:rPr>
          <w:rFonts w:ascii="Times New Roman" w:hAnsi="Times New Roman"/>
          <w:b/>
        </w:rPr>
        <w:t>s</w:t>
      </w:r>
      <w:r>
        <w:rPr>
          <w:rFonts w:ascii="Times New Roman" w:hAnsi="Times New Roman"/>
          <w:b/>
        </w:rPr>
        <w:t>)</w:t>
      </w:r>
      <w:r w:rsidRPr="00A8592A">
        <w:rPr>
          <w:rFonts w:ascii="Times New Roman" w:hAnsi="Times New Roman"/>
        </w:rPr>
        <w:t>:</w:t>
      </w:r>
      <w:r w:rsidR="00461F2D">
        <w:rPr>
          <w:rFonts w:ascii="Times New Roman" w:hAnsi="Times New Roman"/>
        </w:rPr>
        <w:t xml:space="preserve">  </w:t>
      </w:r>
      <w:r w:rsidR="00461F2D" w:rsidRPr="00461F2D">
        <w:rPr>
          <w:rFonts w:ascii="Times New Roman" w:hAnsi="Times New Roman"/>
        </w:rPr>
        <w:t>Identify the</w:t>
      </w:r>
      <w:r w:rsidRPr="00461F2D">
        <w:rPr>
          <w:rFonts w:ascii="Times New Roman" w:hAnsi="Times New Roman"/>
        </w:rPr>
        <w:t xml:space="preserve"> </w:t>
      </w:r>
      <w:r w:rsidR="00461F2D" w:rsidRPr="00461F2D">
        <w:rPr>
          <w:rFonts w:ascii="Times New Roman" w:hAnsi="Times New Roman"/>
        </w:rPr>
        <w:t>r</w:t>
      </w:r>
      <w:r w:rsidRPr="00461F2D">
        <w:rPr>
          <w:rFonts w:ascii="Times New Roman" w:hAnsi="Times New Roman"/>
        </w:rPr>
        <w:t>esponsible parties and partners involved in implementation of the activity.</w:t>
      </w:r>
    </w:p>
    <w:p w:rsidR="0092054D" w:rsidRPr="00A8592A" w:rsidRDefault="0092054D" w:rsidP="0047483A">
      <w:pPr>
        <w:pStyle w:val="NormalWeb4"/>
        <w:numPr>
          <w:ilvl w:val="0"/>
          <w:numId w:val="9"/>
        </w:numPr>
        <w:rPr>
          <w:rFonts w:ascii="Times New Roman" w:hAnsi="Times New Roman"/>
        </w:rPr>
      </w:pPr>
      <w:r w:rsidRPr="001401B0">
        <w:rPr>
          <w:rFonts w:ascii="Times New Roman" w:hAnsi="Times New Roman"/>
          <w:b/>
        </w:rPr>
        <w:t>Timeframe:</w:t>
      </w:r>
      <w:r w:rsidRPr="00A8592A">
        <w:rPr>
          <w:rFonts w:ascii="Times New Roman" w:hAnsi="Times New Roman"/>
        </w:rPr>
        <w:t xml:space="preserve"> </w:t>
      </w:r>
      <w:r w:rsidRPr="00461F2D">
        <w:rPr>
          <w:rFonts w:ascii="Times New Roman" w:hAnsi="Times New Roman"/>
        </w:rPr>
        <w:t>P</w:t>
      </w:r>
      <w:r w:rsidR="00461F2D">
        <w:rPr>
          <w:rFonts w:ascii="Times New Roman" w:hAnsi="Times New Roman"/>
        </w:rPr>
        <w:t>rovide the p</w:t>
      </w:r>
      <w:r w:rsidRPr="00461F2D">
        <w:rPr>
          <w:rFonts w:ascii="Times New Roman" w:hAnsi="Times New Roman"/>
        </w:rPr>
        <w:t>roposed completion date or, if appropriate, “ongoing”.</w:t>
      </w:r>
      <w:r>
        <w:rPr>
          <w:rFonts w:ascii="Times New Roman" w:hAnsi="Times New Roman"/>
          <w:i/>
        </w:rPr>
        <w:t xml:space="preserve">  </w:t>
      </w:r>
    </w:p>
    <w:p w:rsidR="0092054D" w:rsidRPr="00461F2D" w:rsidRDefault="0092054D" w:rsidP="0047483A">
      <w:pPr>
        <w:pStyle w:val="NormalWeb4"/>
        <w:numPr>
          <w:ilvl w:val="0"/>
          <w:numId w:val="9"/>
        </w:numPr>
        <w:rPr>
          <w:rFonts w:ascii="Times New Roman" w:hAnsi="Times New Roman"/>
        </w:rPr>
      </w:pPr>
      <w:r w:rsidRPr="001401B0">
        <w:rPr>
          <w:rFonts w:ascii="Times New Roman" w:hAnsi="Times New Roman"/>
          <w:b/>
        </w:rPr>
        <w:t>Anticipated Output</w:t>
      </w:r>
      <w:r>
        <w:rPr>
          <w:rFonts w:ascii="Times New Roman" w:hAnsi="Times New Roman"/>
          <w:b/>
        </w:rPr>
        <w:t>(</w:t>
      </w:r>
      <w:r w:rsidRPr="001401B0">
        <w:rPr>
          <w:rFonts w:ascii="Times New Roman" w:hAnsi="Times New Roman"/>
          <w:b/>
        </w:rPr>
        <w:t>s</w:t>
      </w:r>
      <w:r>
        <w:rPr>
          <w:rFonts w:ascii="Times New Roman" w:hAnsi="Times New Roman"/>
          <w:b/>
        </w:rPr>
        <w:t>)</w:t>
      </w:r>
      <w:r w:rsidRPr="001401B0">
        <w:rPr>
          <w:rFonts w:ascii="Times New Roman" w:hAnsi="Times New Roman"/>
          <w:b/>
        </w:rPr>
        <w:t xml:space="preserve"> and Result</w:t>
      </w:r>
      <w:r>
        <w:rPr>
          <w:rFonts w:ascii="Times New Roman" w:hAnsi="Times New Roman"/>
          <w:b/>
        </w:rPr>
        <w:t>(</w:t>
      </w:r>
      <w:r w:rsidRPr="001401B0">
        <w:rPr>
          <w:rFonts w:ascii="Times New Roman" w:hAnsi="Times New Roman"/>
          <w:b/>
        </w:rPr>
        <w:t>s</w:t>
      </w:r>
      <w:r>
        <w:rPr>
          <w:rFonts w:ascii="Times New Roman" w:hAnsi="Times New Roman"/>
          <w:b/>
        </w:rPr>
        <w:t>)</w:t>
      </w:r>
      <w:r w:rsidRPr="001401B0">
        <w:rPr>
          <w:rFonts w:ascii="Times New Roman" w:hAnsi="Times New Roman"/>
          <w:b/>
        </w:rPr>
        <w:t xml:space="preserve"> of the Activity</w:t>
      </w:r>
      <w:r w:rsidR="00461F2D">
        <w:rPr>
          <w:rFonts w:ascii="Times New Roman" w:hAnsi="Times New Roman"/>
        </w:rPr>
        <w:t xml:space="preserve">:  </w:t>
      </w:r>
      <w:r w:rsidR="00461F2D" w:rsidRPr="00461F2D">
        <w:rPr>
          <w:rFonts w:ascii="Times New Roman" w:hAnsi="Times New Roman"/>
        </w:rPr>
        <w:t>Identify</w:t>
      </w:r>
      <w:r w:rsidR="00383211">
        <w:rPr>
          <w:rFonts w:ascii="Times New Roman" w:hAnsi="Times New Roman"/>
        </w:rPr>
        <w:t>, define</w:t>
      </w:r>
      <w:r w:rsidR="00461F2D" w:rsidRPr="00461F2D">
        <w:rPr>
          <w:rFonts w:ascii="Times New Roman" w:hAnsi="Times New Roman"/>
        </w:rPr>
        <w:t xml:space="preserve"> and describe w</w:t>
      </w:r>
      <w:r w:rsidRPr="00461F2D">
        <w:rPr>
          <w:rFonts w:ascii="Times New Roman" w:hAnsi="Times New Roman"/>
        </w:rPr>
        <w:t>hat the State court intends to produce, provide or accomplish through the activity.</w:t>
      </w:r>
      <w:r w:rsidR="00461F2D">
        <w:rPr>
          <w:rFonts w:ascii="Times New Roman" w:hAnsi="Times New Roman"/>
        </w:rPr>
        <w:t xml:space="preserve"> </w:t>
      </w:r>
      <w:r w:rsidRPr="00461F2D">
        <w:rPr>
          <w:rFonts w:ascii="Times New Roman" w:hAnsi="Times New Roman"/>
        </w:rPr>
        <w:t xml:space="preserve"> Measurable units of service provided, or </w:t>
      </w:r>
      <w:r w:rsidR="00383211">
        <w:rPr>
          <w:rFonts w:ascii="Times New Roman" w:hAnsi="Times New Roman"/>
        </w:rPr>
        <w:t xml:space="preserve">number of </w:t>
      </w:r>
      <w:r w:rsidRPr="00461F2D">
        <w:rPr>
          <w:rFonts w:ascii="Times New Roman" w:hAnsi="Times New Roman"/>
        </w:rPr>
        <w:t>people served by a program or policy; or a count of goods</w:t>
      </w:r>
      <w:r w:rsidR="00AD4730">
        <w:rPr>
          <w:rFonts w:ascii="Times New Roman" w:hAnsi="Times New Roman"/>
        </w:rPr>
        <w:t xml:space="preserve"> and services produced (e.g.</w:t>
      </w:r>
      <w:r w:rsidRPr="00461F2D">
        <w:rPr>
          <w:rFonts w:ascii="Times New Roman" w:hAnsi="Times New Roman"/>
        </w:rPr>
        <w:t>, training a certain number of judges, creation of a bench book or curriculum, new legislative proposal, establishment of an MOU)</w:t>
      </w:r>
      <w:r w:rsidR="00383211">
        <w:rPr>
          <w:rFonts w:ascii="Times New Roman" w:hAnsi="Times New Roman"/>
        </w:rPr>
        <w:t xml:space="preserve"> are all examples of acceptable quantifiable achievements</w:t>
      </w:r>
      <w:r w:rsidRPr="00461F2D">
        <w:rPr>
          <w:rFonts w:ascii="Times New Roman" w:hAnsi="Times New Roman"/>
        </w:rPr>
        <w:t>.</w:t>
      </w:r>
    </w:p>
    <w:p w:rsidR="0092054D" w:rsidRPr="00461F2D" w:rsidRDefault="0092054D" w:rsidP="0047483A">
      <w:pPr>
        <w:pStyle w:val="NormalWeb4"/>
        <w:numPr>
          <w:ilvl w:val="0"/>
          <w:numId w:val="9"/>
        </w:numPr>
        <w:rPr>
          <w:rFonts w:ascii="Times New Roman" w:hAnsi="Times New Roman"/>
        </w:rPr>
      </w:pPr>
      <w:r>
        <w:rPr>
          <w:rFonts w:ascii="Times New Roman" w:hAnsi="Times New Roman"/>
          <w:b/>
        </w:rPr>
        <w:t>Target I</w:t>
      </w:r>
      <w:r w:rsidRPr="001401B0">
        <w:rPr>
          <w:rFonts w:ascii="Times New Roman" w:hAnsi="Times New Roman"/>
          <w:b/>
        </w:rPr>
        <w:t>mprovement</w:t>
      </w:r>
      <w:r>
        <w:rPr>
          <w:rFonts w:ascii="Times New Roman" w:hAnsi="Times New Roman"/>
          <w:b/>
        </w:rPr>
        <w:t>(s)</w:t>
      </w:r>
      <w:r w:rsidRPr="001401B0">
        <w:rPr>
          <w:rFonts w:ascii="Times New Roman" w:hAnsi="Times New Roman"/>
          <w:b/>
        </w:rPr>
        <w:t>:</w:t>
      </w:r>
      <w:r w:rsidRPr="00A8592A">
        <w:rPr>
          <w:rFonts w:ascii="Times New Roman" w:hAnsi="Times New Roman"/>
        </w:rPr>
        <w:t xml:space="preserve"> </w:t>
      </w:r>
      <w:r w:rsidR="00461F2D">
        <w:rPr>
          <w:rFonts w:ascii="Times New Roman" w:hAnsi="Times New Roman"/>
        </w:rPr>
        <w:t xml:space="preserve"> Indicate, w</w:t>
      </w:r>
      <w:r w:rsidRPr="00461F2D">
        <w:rPr>
          <w:rFonts w:ascii="Times New Roman" w:hAnsi="Times New Roman"/>
        </w:rPr>
        <w:t>here relevant and practicable</w:t>
      </w:r>
      <w:r w:rsidR="00461F2D">
        <w:rPr>
          <w:rFonts w:ascii="Times New Roman" w:hAnsi="Times New Roman"/>
        </w:rPr>
        <w:t>,</w:t>
      </w:r>
      <w:r w:rsidR="00461F2D" w:rsidRPr="00461F2D">
        <w:rPr>
          <w:rFonts w:ascii="Times New Roman" w:hAnsi="Times New Roman"/>
        </w:rPr>
        <w:t xml:space="preserve"> the</w:t>
      </w:r>
      <w:r w:rsidRPr="00461F2D">
        <w:rPr>
          <w:rFonts w:ascii="Times New Roman" w:hAnsi="Times New Roman"/>
        </w:rPr>
        <w:t xml:space="preserve"> specific changes </w:t>
      </w:r>
      <w:r w:rsidR="00461F2D" w:rsidRPr="00461F2D">
        <w:rPr>
          <w:rFonts w:ascii="Times New Roman" w:hAnsi="Times New Roman"/>
        </w:rPr>
        <w:t xml:space="preserve">in data the </w:t>
      </w:r>
      <w:r w:rsidR="00461F2D">
        <w:rPr>
          <w:rFonts w:ascii="Times New Roman" w:hAnsi="Times New Roman"/>
        </w:rPr>
        <w:t>State court intends to achieve (</w:t>
      </w:r>
      <w:r w:rsidR="00AD4730">
        <w:rPr>
          <w:rFonts w:ascii="Times New Roman" w:hAnsi="Times New Roman"/>
        </w:rPr>
        <w:t>e.g., 95 percent</w:t>
      </w:r>
      <w:r w:rsidRPr="00461F2D">
        <w:rPr>
          <w:rFonts w:ascii="Times New Roman" w:hAnsi="Times New Roman"/>
        </w:rPr>
        <w:t xml:space="preserve"> of permanency</w:t>
      </w:r>
      <w:r w:rsidR="00AD4730">
        <w:rPr>
          <w:rFonts w:ascii="Times New Roman" w:hAnsi="Times New Roman"/>
        </w:rPr>
        <w:t xml:space="preserve"> hearings occurring on time, 50 percent</w:t>
      </w:r>
      <w:r w:rsidRPr="00461F2D">
        <w:rPr>
          <w:rFonts w:ascii="Times New Roman" w:hAnsi="Times New Roman"/>
        </w:rPr>
        <w:t xml:space="preserve"> increase in the number of children and youth attending hearing).  </w:t>
      </w:r>
    </w:p>
    <w:p w:rsidR="00C037A1" w:rsidRPr="00602E41" w:rsidRDefault="0092054D" w:rsidP="00602E41">
      <w:pPr>
        <w:pStyle w:val="NormalWeb4"/>
        <w:numPr>
          <w:ilvl w:val="0"/>
          <w:numId w:val="9"/>
        </w:numPr>
        <w:rPr>
          <w:rFonts w:ascii="Times New Roman" w:hAnsi="Times New Roman"/>
        </w:rPr>
      </w:pPr>
      <w:r>
        <w:rPr>
          <w:rFonts w:ascii="Times New Roman" w:hAnsi="Times New Roman"/>
          <w:b/>
        </w:rPr>
        <w:t>Feedback V</w:t>
      </w:r>
      <w:r w:rsidRPr="001401B0">
        <w:rPr>
          <w:rFonts w:ascii="Times New Roman" w:hAnsi="Times New Roman"/>
          <w:b/>
        </w:rPr>
        <w:t>ehicle</w:t>
      </w:r>
      <w:r>
        <w:rPr>
          <w:rFonts w:ascii="Times New Roman" w:hAnsi="Times New Roman"/>
          <w:b/>
        </w:rPr>
        <w:t>(s)</w:t>
      </w:r>
      <w:r w:rsidRPr="00461F2D">
        <w:rPr>
          <w:rFonts w:ascii="Times New Roman" w:hAnsi="Times New Roman"/>
        </w:rPr>
        <w:t>:</w:t>
      </w:r>
      <w:r w:rsidR="00461F2D" w:rsidRPr="00461F2D">
        <w:rPr>
          <w:rFonts w:ascii="Times New Roman" w:hAnsi="Times New Roman"/>
        </w:rPr>
        <w:t xml:space="preserve">  </w:t>
      </w:r>
      <w:r w:rsidR="00461F2D">
        <w:rPr>
          <w:rFonts w:ascii="Times New Roman" w:hAnsi="Times New Roman"/>
        </w:rPr>
        <w:t>P</w:t>
      </w:r>
      <w:r w:rsidR="00461F2D" w:rsidRPr="00461F2D">
        <w:rPr>
          <w:rFonts w:ascii="Times New Roman" w:hAnsi="Times New Roman"/>
        </w:rPr>
        <w:t>rovide</w:t>
      </w:r>
      <w:r w:rsidR="00461F2D">
        <w:rPr>
          <w:rFonts w:ascii="Times New Roman" w:hAnsi="Times New Roman"/>
        </w:rPr>
        <w:t xml:space="preserve"> a</w:t>
      </w:r>
      <w:r w:rsidRPr="00A8592A">
        <w:rPr>
          <w:rFonts w:ascii="Times New Roman" w:hAnsi="Times New Roman"/>
        </w:rPr>
        <w:t xml:space="preserve"> </w:t>
      </w:r>
      <w:r w:rsidR="00461F2D">
        <w:rPr>
          <w:rFonts w:ascii="Times New Roman" w:hAnsi="Times New Roman"/>
        </w:rPr>
        <w:t>b</w:t>
      </w:r>
      <w:r>
        <w:rPr>
          <w:rFonts w:ascii="Times New Roman" w:hAnsi="Times New Roman"/>
        </w:rPr>
        <w:t>rief description of</w:t>
      </w:r>
      <w:r w:rsidR="00AD4730">
        <w:rPr>
          <w:rFonts w:ascii="Times New Roman" w:hAnsi="Times New Roman"/>
        </w:rPr>
        <w:t xml:space="preserve"> the stakeholders</w:t>
      </w:r>
      <w:r>
        <w:rPr>
          <w:rFonts w:ascii="Times New Roman" w:hAnsi="Times New Roman"/>
        </w:rPr>
        <w:t xml:space="preserve"> with whom the data will be shared and how it will be used to guide improvement work </w:t>
      </w:r>
      <w:r w:rsidR="00AD4730">
        <w:rPr>
          <w:rFonts w:ascii="Times New Roman" w:hAnsi="Times New Roman"/>
        </w:rPr>
        <w:t>(e.g.</w:t>
      </w:r>
      <w:r w:rsidRPr="00461F2D">
        <w:rPr>
          <w:rFonts w:ascii="Times New Roman" w:hAnsi="Times New Roman"/>
        </w:rPr>
        <w:t>, CIP multidisc</w:t>
      </w:r>
      <w:r w:rsidR="00461F2D">
        <w:rPr>
          <w:rFonts w:ascii="Times New Roman" w:hAnsi="Times New Roman"/>
        </w:rPr>
        <w:t>iplinary task force reviews, administrative office of the courts (AOC)</w:t>
      </w:r>
      <w:r w:rsidRPr="00461F2D">
        <w:rPr>
          <w:rFonts w:ascii="Times New Roman" w:hAnsi="Times New Roman"/>
        </w:rPr>
        <w:t xml:space="preserve"> review, judicial districts, joint reviews with the</w:t>
      </w:r>
      <w:r w:rsidR="008442F3">
        <w:rPr>
          <w:rFonts w:ascii="Times New Roman" w:hAnsi="Times New Roman"/>
        </w:rPr>
        <w:t xml:space="preserve"> title IV-B/IV-E</w:t>
      </w:r>
      <w:r w:rsidRPr="00461F2D">
        <w:rPr>
          <w:rFonts w:ascii="Times New Roman" w:hAnsi="Times New Roman"/>
        </w:rPr>
        <w:t xml:space="preserve"> agency).</w:t>
      </w:r>
    </w:p>
    <w:p w:rsidR="009419C6" w:rsidRDefault="009419C6" w:rsidP="0047483A">
      <w:pPr>
        <w:pStyle w:val="ListParagraph"/>
        <w:numPr>
          <w:ilvl w:val="0"/>
          <w:numId w:val="8"/>
        </w:numPr>
        <w:rPr>
          <w:b/>
        </w:rPr>
      </w:pPr>
      <w:r>
        <w:rPr>
          <w:b/>
        </w:rPr>
        <w:t>DATA COLLECTION AND REPORTING REQUIREMENTS</w:t>
      </w:r>
    </w:p>
    <w:p w:rsidR="0092054D" w:rsidRDefault="0092054D" w:rsidP="009419C6">
      <w:pPr>
        <w:rPr>
          <w:u w:val="single"/>
        </w:rPr>
      </w:pPr>
    </w:p>
    <w:p w:rsidR="0092054D" w:rsidRDefault="0092054D" w:rsidP="0092054D">
      <w:pPr>
        <w:ind w:left="2160"/>
      </w:pPr>
      <w:r w:rsidRPr="00107EE1">
        <w:t>Given the critical</w:t>
      </w:r>
      <w:r w:rsidR="001D307C">
        <w:t xml:space="preserve"> role data play in promoting continuous </w:t>
      </w:r>
      <w:r w:rsidR="0058721C">
        <w:t>improvement</w:t>
      </w:r>
      <w:r w:rsidRPr="00107EE1">
        <w:t xml:space="preserve"> and demonstrating progress, CB worked with stakeholders to identify specific timeliness measures to assist courts in tracking</w:t>
      </w:r>
      <w:r w:rsidR="00573EEB">
        <w:t xml:space="preserve"> and assessing</w:t>
      </w:r>
      <w:r w:rsidRPr="00107EE1">
        <w:t xml:space="preserve"> compliance with fe</w:t>
      </w:r>
      <w:r>
        <w:t>derally required timelines.  Four of the</w:t>
      </w:r>
      <w:r w:rsidRPr="00107EE1">
        <w:t xml:space="preserve"> measures </w:t>
      </w:r>
      <w:r>
        <w:t>a</w:t>
      </w:r>
      <w:r w:rsidRPr="00107EE1">
        <w:t xml:space="preserve">re taken from </w:t>
      </w:r>
      <w:r w:rsidRPr="00107EE1">
        <w:rPr>
          <w:i/>
        </w:rPr>
        <w:t>Court Performance Measures in Child Abuse and Neglect Cases</w:t>
      </w:r>
      <w:r w:rsidRPr="00107EE1">
        <w:t xml:space="preserve"> </w:t>
      </w:r>
      <w:r>
        <w:t>(</w:t>
      </w:r>
      <w:r w:rsidRPr="00107EE1">
        <w:t>commonly known as the “</w:t>
      </w:r>
      <w:r>
        <w:t>Toolkit</w:t>
      </w:r>
      <w:r w:rsidRPr="00107EE1">
        <w:t>”</w:t>
      </w:r>
      <w:r>
        <w:t>).  The Toolkit is</w:t>
      </w:r>
      <w:r w:rsidRPr="00107EE1">
        <w:t xml:space="preserve"> </w:t>
      </w:r>
      <w:r>
        <w:t xml:space="preserve">a set of resources </w:t>
      </w:r>
      <w:r w:rsidRPr="00107EE1">
        <w:t>developed by the Office of Juvenile Justice</w:t>
      </w:r>
      <w:r w:rsidR="00ED2AA5">
        <w:t xml:space="preserve"> and Delinquency Prevention </w:t>
      </w:r>
      <w:r w:rsidRPr="00107EE1">
        <w:t>the National Center on State Courts</w:t>
      </w:r>
      <w:r w:rsidR="00A868DE">
        <w:t xml:space="preserve">, the National Council of Juvenile and Family Court Judges and </w:t>
      </w:r>
      <w:r w:rsidR="00ED2AA5">
        <w:t xml:space="preserve">the </w:t>
      </w:r>
      <w:r w:rsidR="00A868DE">
        <w:t>American Bar Association’s Center on Children and the Law</w:t>
      </w:r>
      <w:r w:rsidRPr="00107EE1">
        <w:t xml:space="preserve"> in 2008</w:t>
      </w:r>
      <w:r>
        <w:t>.</w:t>
      </w:r>
      <w:r w:rsidRPr="00496DA4">
        <w:rPr>
          <w:rStyle w:val="FootnoteReference"/>
        </w:rPr>
        <w:t xml:space="preserve"> </w:t>
      </w:r>
      <w:r>
        <w:rPr>
          <w:rStyle w:val="FootnoteReference"/>
        </w:rPr>
        <w:footnoteReference w:id="11"/>
      </w:r>
      <w:r>
        <w:t xml:space="preserve">   One measure is an expansion of a Toolkit Measure</w:t>
      </w:r>
      <w:r w:rsidRPr="00107EE1">
        <w:t>.</w:t>
      </w:r>
      <w:r>
        <w:t xml:space="preserve">  The Toolkit Measures were selected based on importance to court function, relevance of these data to CFSR and title </w:t>
      </w:r>
      <w:r w:rsidR="00AD4730">
        <w:t xml:space="preserve"> </w:t>
      </w:r>
      <w:r>
        <w:lastRenderedPageBreak/>
        <w:t>IV-E</w:t>
      </w:r>
      <w:r w:rsidR="00AD4730">
        <w:t xml:space="preserve"> foster care</w:t>
      </w:r>
      <w:r>
        <w:t xml:space="preserve"> eligibility reviews and the feasibility of courts collecting the relevant data.</w:t>
      </w:r>
      <w:r w:rsidRPr="00107EE1">
        <w:t xml:space="preserve"> </w:t>
      </w:r>
    </w:p>
    <w:p w:rsidR="0092054D" w:rsidRDefault="0092054D" w:rsidP="0092054D">
      <w:pPr>
        <w:ind w:left="2160"/>
      </w:pPr>
    </w:p>
    <w:p w:rsidR="0092054D" w:rsidRDefault="0092054D" w:rsidP="0092054D">
      <w:pPr>
        <w:ind w:left="2160"/>
      </w:pPr>
      <w:r>
        <w:t xml:space="preserve">The timeliness measures that will be </w:t>
      </w:r>
      <w:r w:rsidRPr="00A66B63">
        <w:rPr>
          <w:u w:val="single"/>
        </w:rPr>
        <w:t>required</w:t>
      </w:r>
      <w:r>
        <w:t xml:space="preserve"> for data collection and reporting are:  </w:t>
      </w:r>
    </w:p>
    <w:p w:rsidR="0092054D" w:rsidRDefault="0092054D" w:rsidP="0092054D">
      <w:pPr>
        <w:ind w:left="2160"/>
      </w:pPr>
    </w:p>
    <w:p w:rsidR="001D307C" w:rsidRDefault="0092054D" w:rsidP="0047483A">
      <w:pPr>
        <w:pStyle w:val="ListParagraph"/>
        <w:numPr>
          <w:ilvl w:val="0"/>
          <w:numId w:val="20"/>
        </w:numPr>
      </w:pPr>
      <w:r w:rsidRPr="001D307C">
        <w:rPr>
          <w:b/>
        </w:rPr>
        <w:t>Time to First Permanency Hearing (Toolkit Measure 4G):</w:t>
      </w:r>
      <w:r w:rsidR="00D8401A">
        <w:rPr>
          <w:b/>
        </w:rPr>
        <w:t xml:space="preserve"> </w:t>
      </w:r>
      <w:r w:rsidR="00FA32ED">
        <w:rPr>
          <w:b/>
        </w:rPr>
        <w:t xml:space="preserve"> </w:t>
      </w:r>
      <w:r w:rsidR="00D8401A">
        <w:t>The  median</w:t>
      </w:r>
      <w:r>
        <w:t xml:space="preserve"> time from</w:t>
      </w:r>
      <w:r w:rsidRPr="00D67FA5">
        <w:t xml:space="preserve"> the filing of the original petition to first permanency hearing (how long it takes to complete the first permanency hearing).</w:t>
      </w:r>
    </w:p>
    <w:p w:rsidR="001D307C" w:rsidRDefault="001D307C" w:rsidP="001D307C">
      <w:pPr>
        <w:pStyle w:val="ListParagraph"/>
        <w:ind w:left="2520"/>
      </w:pPr>
    </w:p>
    <w:p w:rsidR="001D307C" w:rsidRDefault="0092054D" w:rsidP="0047483A">
      <w:pPr>
        <w:pStyle w:val="ListParagraph"/>
        <w:numPr>
          <w:ilvl w:val="0"/>
          <w:numId w:val="20"/>
        </w:numPr>
      </w:pPr>
      <w:r w:rsidRPr="001D307C">
        <w:rPr>
          <w:b/>
        </w:rPr>
        <w:t>Time to all Subsequent Permanency Hearings</w:t>
      </w:r>
      <w:r w:rsidR="00036703">
        <w:rPr>
          <w:b/>
        </w:rPr>
        <w:t xml:space="preserve"> (No Toolkit Measure Available)</w:t>
      </w:r>
      <w:r w:rsidRPr="001D307C">
        <w:rPr>
          <w:b/>
        </w:rPr>
        <w:t xml:space="preserve">: </w:t>
      </w:r>
      <w:r w:rsidRPr="00D8401A">
        <w:t>The</w:t>
      </w:r>
      <w:r w:rsidR="00D8401A" w:rsidRPr="00D8401A">
        <w:t xml:space="preserve"> </w:t>
      </w:r>
      <w:r w:rsidR="00D8401A">
        <w:t>median</w:t>
      </w:r>
      <w:r w:rsidRPr="005A3A6B">
        <w:t xml:space="preserve"> length of time in days between each subsequent permanency hearing that occurs until final permanency is achieved.  For example, the number of days between the first permanency hearing and the second permanency hearing, the second permanency hearing and third, etc, for each hearing that occurs while the child remains in care.</w:t>
      </w:r>
    </w:p>
    <w:p w:rsidR="001D307C" w:rsidRDefault="001D307C" w:rsidP="001D307C"/>
    <w:p w:rsidR="001D307C" w:rsidRDefault="0092054D" w:rsidP="0047483A">
      <w:pPr>
        <w:pStyle w:val="ListParagraph"/>
        <w:numPr>
          <w:ilvl w:val="0"/>
          <w:numId w:val="20"/>
        </w:numPr>
      </w:pPr>
      <w:r w:rsidRPr="001D307C">
        <w:rPr>
          <w:b/>
        </w:rPr>
        <w:t>Time to Permanent Placement (Toolkit Measure 4A):</w:t>
      </w:r>
      <w:r w:rsidR="00D8401A">
        <w:t xml:space="preserve">  The median</w:t>
      </w:r>
      <w:r w:rsidRPr="002E6FF0">
        <w:t xml:space="preserve"> time from filing of the original petition to legal permanency (how long it takes for children in abuse and neglect cases to achieve legal permanency, following the filing of the original petition</w:t>
      </w:r>
      <w:r>
        <w:t>)</w:t>
      </w:r>
      <w:r w:rsidRPr="002E6FF0">
        <w:t>.  “Legal Permanency” means that there is a permanent and secure legal relationship between the adult caregiver and the child</w:t>
      </w:r>
      <w:r>
        <w:t>, including reunification, adoption, legal guardianship or placement with a fit and willing relative</w:t>
      </w:r>
      <w:r w:rsidRPr="002E6FF0">
        <w:t>.</w:t>
      </w:r>
    </w:p>
    <w:p w:rsidR="0058721C" w:rsidRDefault="0058721C" w:rsidP="0058721C"/>
    <w:p w:rsidR="001D307C" w:rsidRDefault="0092054D" w:rsidP="0047483A">
      <w:pPr>
        <w:pStyle w:val="ListParagraph"/>
        <w:numPr>
          <w:ilvl w:val="0"/>
          <w:numId w:val="20"/>
        </w:numPr>
      </w:pPr>
      <w:r w:rsidRPr="001D307C">
        <w:rPr>
          <w:b/>
        </w:rPr>
        <w:t>Time to Termination of Parental Rights Petition (Toolkit Measure 4H):</w:t>
      </w:r>
      <w:r w:rsidRPr="00D67FA5">
        <w:t xml:space="preserve"> </w:t>
      </w:r>
      <w:r>
        <w:t>Where reunificat</w:t>
      </w:r>
      <w:r w:rsidR="00D8401A">
        <w:t>ion has not been achieved, the median</w:t>
      </w:r>
      <w:r w:rsidRPr="00D67FA5">
        <w:t xml:space="preserve"> time from filing of the original petition to filing the petition to terminate parental rights (how long it takes from the dat</w:t>
      </w:r>
      <w:r>
        <w:t>e</w:t>
      </w:r>
      <w:r w:rsidRPr="00D67FA5">
        <w:t xml:space="preserve"> the original child abuse or neglect petition is filed to the date the termination of parental rights petition is filed).</w:t>
      </w:r>
    </w:p>
    <w:p w:rsidR="001D307C" w:rsidRDefault="001D307C" w:rsidP="001D307C">
      <w:pPr>
        <w:pStyle w:val="ListParagraph"/>
        <w:ind w:left="2520"/>
      </w:pPr>
    </w:p>
    <w:p w:rsidR="0092054D" w:rsidRDefault="0092054D" w:rsidP="0047483A">
      <w:pPr>
        <w:pStyle w:val="ListParagraph"/>
        <w:numPr>
          <w:ilvl w:val="0"/>
          <w:numId w:val="20"/>
        </w:numPr>
      </w:pPr>
      <w:r w:rsidRPr="001D307C">
        <w:rPr>
          <w:b/>
        </w:rPr>
        <w:t>Time to Termination of Parental Rights (Toolkit Measure 4I):</w:t>
      </w:r>
      <w:r w:rsidRPr="00D67FA5">
        <w:t xml:space="preserve"> </w:t>
      </w:r>
      <w:r>
        <w:t xml:space="preserve">Where reunification has not been </w:t>
      </w:r>
      <w:r w:rsidR="00D8401A">
        <w:t>achieved, the median</w:t>
      </w:r>
      <w:r w:rsidRPr="00D67FA5">
        <w:t xml:space="preserve"> time from filing of the original child abuse and neglect petition to the termination of parental rights (how long it takes from the date the original child abuse and neglect petition was filed to the date the termination of parental</w:t>
      </w:r>
      <w:r>
        <w:t xml:space="preserve"> rights proceeding is completed</w:t>
      </w:r>
      <w:r w:rsidRPr="00D67FA5">
        <w:t>)</w:t>
      </w:r>
      <w:r>
        <w:t>.</w:t>
      </w:r>
      <w:r w:rsidRPr="00D67FA5">
        <w:t xml:space="preserve">  </w:t>
      </w:r>
    </w:p>
    <w:p w:rsidR="0092054D" w:rsidRDefault="0092054D" w:rsidP="0092054D">
      <w:pPr>
        <w:ind w:left="2160"/>
      </w:pPr>
    </w:p>
    <w:p w:rsidR="0092054D" w:rsidRDefault="0092054D" w:rsidP="0092054D">
      <w:pPr>
        <w:ind w:left="2160"/>
      </w:pPr>
      <w:r w:rsidRPr="00461F2D">
        <w:rPr>
          <w:u w:val="single"/>
        </w:rPr>
        <w:t>To meet the timeliness measures re</w:t>
      </w:r>
      <w:r w:rsidR="00B00ACA">
        <w:rPr>
          <w:u w:val="single"/>
        </w:rPr>
        <w:t>porting requirement, States, at a minimum, are</w:t>
      </w:r>
      <w:r w:rsidRPr="00461F2D">
        <w:rPr>
          <w:u w:val="single"/>
        </w:rPr>
        <w:t xml:space="preserve"> required to develop a plan to impl</w:t>
      </w:r>
      <w:r w:rsidR="00B00ACA">
        <w:rPr>
          <w:u w:val="single"/>
        </w:rPr>
        <w:t>ement and report on the above</w:t>
      </w:r>
      <w:r w:rsidRPr="00461F2D">
        <w:rPr>
          <w:u w:val="single"/>
        </w:rPr>
        <w:t xml:space="preserve"> the</w:t>
      </w:r>
      <w:r w:rsidR="00B00ACA">
        <w:rPr>
          <w:u w:val="single"/>
        </w:rPr>
        <w:t xml:space="preserve"> measures as part of the</w:t>
      </w:r>
      <w:r w:rsidRPr="00461F2D">
        <w:rPr>
          <w:u w:val="single"/>
        </w:rPr>
        <w:t xml:space="preserve"> FY 2012 application.  Submission of data on each of the measures listed will be required annually beginning in FY 2013</w:t>
      </w:r>
      <w:r w:rsidRPr="004000B0">
        <w:t xml:space="preserve">.  States that currently have the ability to report on these </w:t>
      </w:r>
      <w:r w:rsidRPr="004000B0">
        <w:lastRenderedPageBreak/>
        <w:t>measures, additional toolkit measures</w:t>
      </w:r>
      <w:r>
        <w:t xml:space="preserve">, or other data relevant to the CFSR </w:t>
      </w:r>
      <w:r w:rsidRPr="004000B0">
        <w:t>are</w:t>
      </w:r>
      <w:r>
        <w:t xml:space="preserve"> strongly</w:t>
      </w:r>
      <w:r w:rsidRPr="004000B0">
        <w:t xml:space="preserve"> encouraged to do so.</w:t>
      </w:r>
    </w:p>
    <w:p w:rsidR="0092054D" w:rsidRDefault="0092054D" w:rsidP="0092054D"/>
    <w:p w:rsidR="0092054D" w:rsidRDefault="0092054D" w:rsidP="0092054D">
      <w:pPr>
        <w:ind w:left="2160"/>
      </w:pPr>
      <w:r>
        <w:t xml:space="preserve">Monitoring these data will provide courts a point to begin identifying strengths and areas in need of improvement.  For example, if hearings are occurring timely, the court can monitor to ensure that they continue to be so and begin examining the quality of those hearings.  If hearings are not timely, or stop being so, a flag is raised indicating possible system or practice problems for which additional inquiry is necessary.  </w:t>
      </w:r>
    </w:p>
    <w:p w:rsidR="0092054D" w:rsidRDefault="0092054D" w:rsidP="0092054D">
      <w:pPr>
        <w:ind w:left="2160"/>
      </w:pPr>
    </w:p>
    <w:p w:rsidR="0092054D" w:rsidRDefault="0092054D" w:rsidP="0092054D">
      <w:pPr>
        <w:ind w:left="2160"/>
      </w:pPr>
      <w:r>
        <w:t xml:space="preserve">For State courts that do not currently have automated systems, or </w:t>
      </w:r>
      <w:r w:rsidR="00B00ACA">
        <w:t>for whom statewide court data are</w:t>
      </w:r>
      <w:r>
        <w:t xml:space="preserve"> not available, alternativ</w:t>
      </w:r>
      <w:r w:rsidR="00461F2D">
        <w:t>e data collection methods are required.</w:t>
      </w:r>
      <w:r w:rsidR="00C92DB9">
        <w:t xml:space="preserve">  State courts are required to indentify, explain and report on the methods selected. </w:t>
      </w:r>
      <w:r w:rsidR="00461F2D">
        <w:t>Alternative options to consider include</w:t>
      </w:r>
      <w:r>
        <w:t>:</w:t>
      </w:r>
    </w:p>
    <w:p w:rsidR="0092054D" w:rsidRDefault="0092054D" w:rsidP="0092054D">
      <w:pPr>
        <w:ind w:left="1440"/>
      </w:pPr>
    </w:p>
    <w:p w:rsidR="0092054D" w:rsidRDefault="0092054D" w:rsidP="0047483A">
      <w:pPr>
        <w:pStyle w:val="ListParagraph"/>
        <w:numPr>
          <w:ilvl w:val="0"/>
          <w:numId w:val="12"/>
        </w:numPr>
        <w:tabs>
          <w:tab w:val="clear" w:pos="2880"/>
          <w:tab w:val="num" w:pos="2520"/>
        </w:tabs>
        <w:ind w:hanging="720"/>
      </w:pPr>
      <w:r>
        <w:t>Data from local court databases, where available</w:t>
      </w:r>
      <w:r w:rsidR="00461F2D">
        <w:t>;</w:t>
      </w:r>
    </w:p>
    <w:p w:rsidR="0092054D" w:rsidRDefault="00B00ACA" w:rsidP="0047483A">
      <w:pPr>
        <w:pStyle w:val="ListParagraph"/>
        <w:numPr>
          <w:ilvl w:val="0"/>
          <w:numId w:val="12"/>
        </w:numPr>
        <w:tabs>
          <w:tab w:val="clear" w:pos="2880"/>
          <w:tab w:val="num" w:pos="2520"/>
        </w:tabs>
        <w:ind w:hanging="720"/>
      </w:pPr>
      <w:r>
        <w:t>Data from State title IV-B/IV-E agency</w:t>
      </w:r>
      <w:r w:rsidR="0092054D">
        <w:t xml:space="preserve"> databases (e.g.</w:t>
      </w:r>
      <w:r>
        <w:t xml:space="preserve">, SACWIS, </w:t>
      </w:r>
      <w:r w:rsidR="00573EEB">
        <w:t xml:space="preserve">AFCARS); </w:t>
      </w:r>
    </w:p>
    <w:p w:rsidR="00C92DB9" w:rsidRDefault="000550EF" w:rsidP="00C92DB9">
      <w:pPr>
        <w:pStyle w:val="ListParagraph"/>
        <w:numPr>
          <w:ilvl w:val="0"/>
          <w:numId w:val="12"/>
        </w:numPr>
        <w:tabs>
          <w:tab w:val="clear" w:pos="2880"/>
          <w:tab w:val="num" w:pos="2520"/>
        </w:tabs>
        <w:ind w:left="2520"/>
      </w:pPr>
      <w:r>
        <w:t xml:space="preserve">Systematic or </w:t>
      </w:r>
      <w:r w:rsidR="0092054D">
        <w:t>sampling methods to collect data on a county, pilot or multiple county basis</w:t>
      </w:r>
      <w:r w:rsidR="00C92DB9">
        <w:t>; and</w:t>
      </w:r>
      <w:r w:rsidR="0092054D">
        <w:t xml:space="preserve"> </w:t>
      </w:r>
    </w:p>
    <w:p w:rsidR="00C92DB9" w:rsidRDefault="00C92DB9" w:rsidP="00C92DB9">
      <w:pPr>
        <w:pStyle w:val="ListParagraph"/>
        <w:numPr>
          <w:ilvl w:val="0"/>
          <w:numId w:val="12"/>
        </w:numPr>
        <w:tabs>
          <w:tab w:val="clear" w:pos="2880"/>
          <w:tab w:val="num" w:pos="2520"/>
        </w:tabs>
        <w:ind w:left="2520"/>
      </w:pPr>
      <w:r>
        <w:t>Manual data collection activities:</w:t>
      </w:r>
    </w:p>
    <w:p w:rsidR="00C92DB9" w:rsidRDefault="00C92DB9" w:rsidP="00C92DB9">
      <w:pPr>
        <w:pStyle w:val="ListParagraph"/>
        <w:numPr>
          <w:ilvl w:val="1"/>
          <w:numId w:val="12"/>
        </w:numPr>
      </w:pPr>
      <w:r>
        <w:t>Periodic court observation using a standardized protocol;</w:t>
      </w:r>
    </w:p>
    <w:p w:rsidR="00C92DB9" w:rsidRDefault="00C92DB9" w:rsidP="00C92DB9">
      <w:pPr>
        <w:pStyle w:val="ListParagraph"/>
        <w:numPr>
          <w:ilvl w:val="1"/>
          <w:numId w:val="12"/>
        </w:numPr>
      </w:pPr>
      <w:r>
        <w:t>Periodic court file review using a standardized protocol;</w:t>
      </w:r>
    </w:p>
    <w:p w:rsidR="00C92DB9" w:rsidRDefault="00C92DB9" w:rsidP="00C92DB9">
      <w:pPr>
        <w:pStyle w:val="ListParagraph"/>
        <w:numPr>
          <w:ilvl w:val="1"/>
          <w:numId w:val="12"/>
        </w:numPr>
      </w:pPr>
      <w:r>
        <w:t>Judicial and attorney individual interviews, focus groups or surveys;</w:t>
      </w:r>
    </w:p>
    <w:p w:rsidR="00C92DB9" w:rsidRDefault="00C92DB9" w:rsidP="00C92DB9">
      <w:pPr>
        <w:pStyle w:val="ListParagraph"/>
        <w:numPr>
          <w:ilvl w:val="1"/>
          <w:numId w:val="12"/>
        </w:numPr>
      </w:pPr>
      <w:r>
        <w:t>Agency and stakeholder interviews, focus groups or surveys; and</w:t>
      </w:r>
    </w:p>
    <w:p w:rsidR="0092054D" w:rsidRDefault="00C92DB9" w:rsidP="00C92DB9">
      <w:pPr>
        <w:pStyle w:val="ListParagraph"/>
        <w:numPr>
          <w:ilvl w:val="1"/>
          <w:numId w:val="12"/>
        </w:numPr>
      </w:pPr>
      <w:r>
        <w:t>Other (State courts should describe)</w:t>
      </w:r>
      <w:r w:rsidR="00573EEB">
        <w:t>.</w:t>
      </w:r>
    </w:p>
    <w:p w:rsidR="0092054D" w:rsidRDefault="0092054D" w:rsidP="0092054D">
      <w:pPr>
        <w:pStyle w:val="ListParagraph"/>
        <w:ind w:left="2160"/>
      </w:pPr>
    </w:p>
    <w:p w:rsidR="0092054D" w:rsidRDefault="00C92DB9" w:rsidP="0092054D">
      <w:pPr>
        <w:pStyle w:val="ListParagraph"/>
        <w:ind w:left="2160"/>
      </w:pPr>
      <w:r>
        <w:t xml:space="preserve">Each of the above methods should be useful in meeting data reporting requirements and </w:t>
      </w:r>
      <w:r w:rsidR="0092054D">
        <w:t>help</w:t>
      </w:r>
      <w:r>
        <w:t>ing to</w:t>
      </w:r>
      <w:r w:rsidR="0092054D">
        <w:t xml:space="preserve"> identify str</w:t>
      </w:r>
      <w:r>
        <w:t>engths and areas in need of</w:t>
      </w:r>
      <w:r w:rsidR="0092054D">
        <w:t xml:space="preserve"> improvement in current</w:t>
      </w:r>
      <w:r w:rsidR="005605EA">
        <w:t xml:space="preserve"> processes and</w:t>
      </w:r>
      <w:r w:rsidR="0092054D">
        <w:t xml:space="preserve"> practice.  </w:t>
      </w:r>
    </w:p>
    <w:p w:rsidR="00C92DB9" w:rsidRPr="00C92DB9" w:rsidRDefault="00C92DB9" w:rsidP="006776F4">
      <w:pPr>
        <w:pStyle w:val="BodyTextIndent2"/>
        <w:ind w:left="0" w:firstLine="0"/>
      </w:pPr>
      <w:bookmarkStart w:id="1" w:name="title"/>
      <w:bookmarkStart w:id="2" w:name="_Toc33615556"/>
      <w:bookmarkEnd w:id="1"/>
    </w:p>
    <w:p w:rsidR="0092054D" w:rsidRDefault="0058721C" w:rsidP="0047483A">
      <w:pPr>
        <w:pStyle w:val="ListParagraph"/>
        <w:numPr>
          <w:ilvl w:val="0"/>
          <w:numId w:val="8"/>
        </w:numPr>
        <w:rPr>
          <w:b/>
        </w:rPr>
      </w:pPr>
      <w:r>
        <w:rPr>
          <w:b/>
        </w:rPr>
        <w:t xml:space="preserve">ANNUAL </w:t>
      </w:r>
      <w:r w:rsidR="00454F36">
        <w:rPr>
          <w:b/>
        </w:rPr>
        <w:t>PROGRAM ASSESSMENT REPORT REQUIREMENTS</w:t>
      </w:r>
    </w:p>
    <w:p w:rsidR="00A109B8" w:rsidRPr="00A109B8" w:rsidRDefault="00A109B8" w:rsidP="00A109B8">
      <w:pPr>
        <w:ind w:left="2160"/>
        <w:rPr>
          <w:b/>
        </w:rPr>
      </w:pPr>
    </w:p>
    <w:p w:rsidR="0092054D" w:rsidRDefault="0092054D" w:rsidP="0092054D">
      <w:pPr>
        <w:ind w:left="2160"/>
      </w:pPr>
      <w:r>
        <w:t xml:space="preserve">State courts must submit a single, consolidated annual program assessment report, in MS Word, covering all CIP grants received.  Rather than simply providing a catalog of activities undertaken, the report must demonstrate how activities have advanced outcomes identified in the strategic plan.  </w:t>
      </w:r>
    </w:p>
    <w:p w:rsidR="0092054D" w:rsidRDefault="0092054D" w:rsidP="0092054D">
      <w:pPr>
        <w:ind w:left="2160"/>
      </w:pPr>
    </w:p>
    <w:p w:rsidR="0092054D" w:rsidRDefault="0092054D" w:rsidP="0092054D">
      <w:pPr>
        <w:ind w:left="2160"/>
      </w:pPr>
      <w:r w:rsidRPr="006960D4">
        <w:t xml:space="preserve">The primary content required in the program assessment report can be provided </w:t>
      </w:r>
      <w:r>
        <w:t>by</w:t>
      </w:r>
      <w:r w:rsidRPr="006960D4">
        <w:t xml:space="preserve"> updating the </w:t>
      </w:r>
      <w:r w:rsidRPr="00A70BDD">
        <w:t xml:space="preserve">Strategic Plan </w:t>
      </w:r>
      <w:r w:rsidR="004A68EE">
        <w:t>/</w:t>
      </w:r>
      <w:r>
        <w:t xml:space="preserve">Annual </w:t>
      </w:r>
      <w:r w:rsidRPr="00A70BDD">
        <w:t>Program Assessment Report</w:t>
      </w:r>
      <w:r>
        <w:t xml:space="preserve"> </w:t>
      </w:r>
      <w:r w:rsidRPr="006960D4">
        <w:t>template to reflect progress made toward anticipated outcomes and activities completed during the reporting period (for FY 2012 that would mean from 10/1/11 through 9/30/12).</w:t>
      </w:r>
      <w:r>
        <w:t xml:space="preserve"> </w:t>
      </w:r>
      <w:r w:rsidR="00896A39">
        <w:t xml:space="preserve"> </w:t>
      </w:r>
      <w:r>
        <w:t>The template</w:t>
      </w:r>
      <w:r w:rsidR="00B00ACA">
        <w:t xml:space="preserve"> is</w:t>
      </w:r>
      <w:r w:rsidR="00896A39">
        <w:t xml:space="preserve"> included as </w:t>
      </w:r>
      <w:r w:rsidR="00896A39">
        <w:lastRenderedPageBreak/>
        <w:t>Attachment C to this document and</w:t>
      </w:r>
      <w:r w:rsidR="00B00ACA">
        <w:t xml:space="preserve"> also available on the National Child Welfare Resource Center for Legal and Judicial Issues (NRCLJI)</w:t>
      </w:r>
      <w:r>
        <w:t xml:space="preserve"> website and the CIP Community of Practice.  State courts are strongly encouraged to utilize the template; however, </w:t>
      </w:r>
      <w:r w:rsidR="00B00ACA" w:rsidRPr="00B00ACA">
        <w:rPr>
          <w:u w:val="single"/>
        </w:rPr>
        <w:t xml:space="preserve">its </w:t>
      </w:r>
      <w:r>
        <w:rPr>
          <w:u w:val="single"/>
        </w:rPr>
        <w:t>use is not mandatory.</w:t>
      </w:r>
      <w:r>
        <w:t xml:space="preserve"> </w:t>
      </w:r>
    </w:p>
    <w:p w:rsidR="0092054D" w:rsidRDefault="0092054D" w:rsidP="0092054D">
      <w:pPr>
        <w:ind w:left="2160"/>
      </w:pPr>
      <w:r>
        <w:tab/>
      </w:r>
    </w:p>
    <w:p w:rsidR="0058721C" w:rsidRDefault="004A68EE" w:rsidP="0058721C">
      <w:pPr>
        <w:ind w:left="2160"/>
      </w:pPr>
      <w:r>
        <w:t xml:space="preserve">All annual year-end program assessment </w:t>
      </w:r>
      <w:r w:rsidR="0092054D">
        <w:t>report</w:t>
      </w:r>
      <w:r>
        <w:t>s</w:t>
      </w:r>
      <w:r w:rsidR="0092054D">
        <w:t xml:space="preserve"> must include the following:</w:t>
      </w:r>
      <w:r w:rsidR="0092054D" w:rsidRPr="00B7398A">
        <w:t xml:space="preserve"> </w:t>
      </w:r>
      <w:r w:rsidR="00FA32ED">
        <w:t xml:space="preserve">   </w:t>
      </w:r>
    </w:p>
    <w:p w:rsidR="00FA32ED" w:rsidRDefault="00FA32ED" w:rsidP="0058721C">
      <w:pPr>
        <w:ind w:left="2160"/>
      </w:pPr>
    </w:p>
    <w:p w:rsidR="0092054D" w:rsidRDefault="002C13A9" w:rsidP="0047483A">
      <w:pPr>
        <w:numPr>
          <w:ilvl w:val="0"/>
          <w:numId w:val="13"/>
        </w:numPr>
        <w:tabs>
          <w:tab w:val="clear" w:pos="2880"/>
          <w:tab w:val="num" w:pos="2520"/>
        </w:tabs>
        <w:ind w:left="2520"/>
      </w:pPr>
      <w:r>
        <w:t>An accounting of the eleven</w:t>
      </w:r>
      <w:r w:rsidR="0092054D">
        <w:t xml:space="preserve"> required elements of the Strategic Plan as detailed in </w:t>
      </w:r>
      <w:r w:rsidR="0092054D" w:rsidRPr="0080176E">
        <w:t xml:space="preserve">section </w:t>
      </w:r>
      <w:r w:rsidR="0080176E" w:rsidRPr="0080176E">
        <w:t>IV</w:t>
      </w:r>
      <w:r w:rsidR="0092054D">
        <w:t xml:space="preserve"> of these instructions</w:t>
      </w:r>
      <w:r>
        <w:t>, including results of implemented activities</w:t>
      </w:r>
      <w:r w:rsidR="0092054D">
        <w:t>;</w:t>
      </w:r>
    </w:p>
    <w:p w:rsidR="0092054D" w:rsidRPr="00824B03" w:rsidRDefault="0092054D" w:rsidP="0047483A">
      <w:pPr>
        <w:numPr>
          <w:ilvl w:val="0"/>
          <w:numId w:val="11"/>
        </w:numPr>
        <w:tabs>
          <w:tab w:val="num" w:pos="2520"/>
        </w:tabs>
        <w:ind w:left="2520"/>
      </w:pPr>
      <w:r w:rsidRPr="00824B03">
        <w:t xml:space="preserve">For FY 2012, an analysis of collected and/or available data on timeliness and quality indicators of hearings and legal representation;  </w:t>
      </w:r>
    </w:p>
    <w:p w:rsidR="0092054D" w:rsidRDefault="002C13A9" w:rsidP="0047483A">
      <w:pPr>
        <w:numPr>
          <w:ilvl w:val="0"/>
          <w:numId w:val="11"/>
        </w:numPr>
        <w:tabs>
          <w:tab w:val="num" w:pos="2520"/>
        </w:tabs>
        <w:ind w:left="2520"/>
      </w:pPr>
      <w:r>
        <w:t>An explanation of how the data have</w:t>
      </w:r>
      <w:r w:rsidR="0092054D">
        <w:t xml:space="preserve"> </w:t>
      </w:r>
      <w:r w:rsidR="0092054D" w:rsidRPr="00824B03">
        <w:t>or will be used to identify, inform, and implement necessary interventions and reforms to improve the timeliness and quality of hearin</w:t>
      </w:r>
      <w:r w:rsidR="0092054D">
        <w:t>gs and legal representation;</w:t>
      </w:r>
    </w:p>
    <w:p w:rsidR="0092054D" w:rsidRDefault="002C13A9" w:rsidP="0047483A">
      <w:pPr>
        <w:numPr>
          <w:ilvl w:val="0"/>
          <w:numId w:val="11"/>
        </w:numPr>
        <w:tabs>
          <w:tab w:val="num" w:pos="2520"/>
        </w:tabs>
        <w:ind w:left="2520"/>
      </w:pPr>
      <w:r>
        <w:t>A description of i</w:t>
      </w:r>
      <w:r w:rsidR="0092054D">
        <w:t>mprovements in data collection both in quantity and quality;</w:t>
      </w:r>
    </w:p>
    <w:p w:rsidR="0092054D" w:rsidRPr="00824B03" w:rsidRDefault="002C13A9" w:rsidP="0047483A">
      <w:pPr>
        <w:numPr>
          <w:ilvl w:val="0"/>
          <w:numId w:val="11"/>
        </w:numPr>
        <w:tabs>
          <w:tab w:val="num" w:pos="2520"/>
        </w:tabs>
        <w:ind w:left="2520"/>
      </w:pPr>
      <w:r>
        <w:t>Suggestions</w:t>
      </w:r>
      <w:r w:rsidR="0092054D">
        <w:t xml:space="preserve"> of how alternative or enhanced data collection (e.g. data mining) may be possible and the creation of action plans towards that end; and</w:t>
      </w:r>
    </w:p>
    <w:p w:rsidR="0058721C" w:rsidRDefault="005605EA" w:rsidP="0047483A">
      <w:pPr>
        <w:numPr>
          <w:ilvl w:val="0"/>
          <w:numId w:val="11"/>
        </w:numPr>
        <w:tabs>
          <w:tab w:val="num" w:pos="2520"/>
        </w:tabs>
        <w:ind w:left="2520"/>
      </w:pPr>
      <w:r>
        <w:t xml:space="preserve">Beginning with </w:t>
      </w:r>
      <w:r w:rsidR="0092054D">
        <w:t xml:space="preserve">FY 2013, data to measure timeliness of hearings and indicators of the quality of hearings and legal representation, including: </w:t>
      </w:r>
    </w:p>
    <w:p w:rsidR="0058721C" w:rsidRDefault="0058721C" w:rsidP="0058721C">
      <w:pPr>
        <w:ind w:left="2520"/>
      </w:pPr>
    </w:p>
    <w:p w:rsidR="00A109B8" w:rsidRDefault="0092054D" w:rsidP="0047483A">
      <w:pPr>
        <w:pStyle w:val="ListParagraph"/>
        <w:numPr>
          <w:ilvl w:val="0"/>
          <w:numId w:val="22"/>
        </w:numPr>
        <w:tabs>
          <w:tab w:val="left" w:pos="2520"/>
        </w:tabs>
      </w:pPr>
      <w:r>
        <w:t>Time to first permanency hearing</w:t>
      </w:r>
      <w:r w:rsidR="00B00ACA">
        <w:t>;</w:t>
      </w:r>
    </w:p>
    <w:p w:rsidR="00A109B8" w:rsidRDefault="0092054D" w:rsidP="0047483A">
      <w:pPr>
        <w:pStyle w:val="ListParagraph"/>
        <w:numPr>
          <w:ilvl w:val="0"/>
          <w:numId w:val="22"/>
        </w:numPr>
        <w:tabs>
          <w:tab w:val="left" w:pos="2520"/>
        </w:tabs>
      </w:pPr>
      <w:r>
        <w:t>Time to subsequent permanency hearings</w:t>
      </w:r>
      <w:r w:rsidR="00B00ACA">
        <w:t>;</w:t>
      </w:r>
    </w:p>
    <w:p w:rsidR="00A109B8" w:rsidRDefault="0092054D" w:rsidP="0047483A">
      <w:pPr>
        <w:pStyle w:val="ListParagraph"/>
        <w:numPr>
          <w:ilvl w:val="0"/>
          <w:numId w:val="22"/>
        </w:numPr>
        <w:tabs>
          <w:tab w:val="left" w:pos="2520"/>
        </w:tabs>
      </w:pPr>
      <w:r>
        <w:t>Time to filing of termination of parental rights petition</w:t>
      </w:r>
      <w:r w:rsidR="00B00ACA">
        <w:t>;</w:t>
      </w:r>
    </w:p>
    <w:p w:rsidR="00A109B8" w:rsidRDefault="0092054D" w:rsidP="0047483A">
      <w:pPr>
        <w:pStyle w:val="ListParagraph"/>
        <w:numPr>
          <w:ilvl w:val="0"/>
          <w:numId w:val="22"/>
        </w:numPr>
        <w:tabs>
          <w:tab w:val="left" w:pos="2520"/>
        </w:tabs>
      </w:pPr>
      <w:r>
        <w:t>Time to termination of parental rights</w:t>
      </w:r>
      <w:r w:rsidR="00B00ACA">
        <w:t>;</w:t>
      </w:r>
    </w:p>
    <w:p w:rsidR="0092054D" w:rsidRDefault="0092054D" w:rsidP="0047483A">
      <w:pPr>
        <w:pStyle w:val="ListParagraph"/>
        <w:numPr>
          <w:ilvl w:val="0"/>
          <w:numId w:val="22"/>
        </w:numPr>
        <w:tabs>
          <w:tab w:val="left" w:pos="2520"/>
        </w:tabs>
      </w:pPr>
      <w:r>
        <w:t>Time to permanent placement</w:t>
      </w:r>
      <w:r w:rsidR="00B00ACA">
        <w:t>.</w:t>
      </w:r>
    </w:p>
    <w:p w:rsidR="0092054D" w:rsidRDefault="0092054D" w:rsidP="0092054D">
      <w:pPr>
        <w:tabs>
          <w:tab w:val="left" w:pos="0"/>
          <w:tab w:val="left" w:pos="889"/>
          <w:tab w:val="left" w:pos="1316"/>
          <w:tab w:val="left" w:pos="1746"/>
          <w:tab w:val="left" w:pos="2160"/>
          <w:tab w:val="left" w:pos="2598"/>
          <w:tab w:val="left" w:pos="3025"/>
          <w:tab w:val="left" w:pos="3452"/>
          <w:tab w:val="left" w:pos="3882"/>
          <w:tab w:val="left" w:pos="4320"/>
          <w:tab w:val="left" w:pos="4734"/>
          <w:tab w:val="left" w:pos="5161"/>
          <w:tab w:val="left" w:pos="5588"/>
          <w:tab w:val="left" w:pos="6018"/>
          <w:tab w:val="left" w:pos="6444"/>
          <w:tab w:val="left" w:pos="6870"/>
          <w:tab w:val="left" w:pos="7200"/>
        </w:tabs>
        <w:suppressAutoHyphens/>
        <w:spacing w:line="240" w:lineRule="atLeast"/>
        <w:ind w:left="2160"/>
      </w:pPr>
    </w:p>
    <w:p w:rsidR="00A109B8" w:rsidRDefault="005605EA" w:rsidP="00A109B8">
      <w:pPr>
        <w:ind w:left="2160"/>
      </w:pPr>
      <w:r>
        <w:t xml:space="preserve">Beginning with FY </w:t>
      </w:r>
      <w:r w:rsidR="0092054D">
        <w:t>2013, data on the</w:t>
      </w:r>
      <w:r>
        <w:t xml:space="preserve"> above</w:t>
      </w:r>
      <w:r w:rsidR="0092054D">
        <w:t xml:space="preserve"> five timeliness measures must be included in the program assessment report</w:t>
      </w:r>
      <w:r>
        <w:t xml:space="preserve"> due December 29, 2013 (for the period of October 1, 2012 through September 30, 2013). The data report</w:t>
      </w:r>
      <w:r w:rsidR="0092054D">
        <w:t xml:space="preserve"> must include:</w:t>
      </w:r>
    </w:p>
    <w:p w:rsidR="0058721C" w:rsidRDefault="0058721C" w:rsidP="00A109B8">
      <w:pPr>
        <w:ind w:left="2160"/>
      </w:pPr>
    </w:p>
    <w:p w:rsidR="00B00ACA" w:rsidRDefault="0092054D" w:rsidP="00B00ACA">
      <w:pPr>
        <w:pStyle w:val="ListParagraph"/>
        <w:numPr>
          <w:ilvl w:val="0"/>
          <w:numId w:val="25"/>
        </w:numPr>
      </w:pPr>
      <w:r>
        <w:t>Initial baseline data at the beginning of the grant period</w:t>
      </w:r>
      <w:r w:rsidR="000723AF">
        <w:t>;</w:t>
      </w:r>
    </w:p>
    <w:p w:rsidR="000723AF" w:rsidRDefault="0092054D" w:rsidP="000723AF">
      <w:pPr>
        <w:pStyle w:val="ListParagraph"/>
        <w:numPr>
          <w:ilvl w:val="0"/>
          <w:numId w:val="25"/>
        </w:numPr>
      </w:pPr>
      <w:r>
        <w:t>The targeted or projected level</w:t>
      </w:r>
      <w:r w:rsidR="00C86D0B">
        <w:t>s of improvement in the measure;</w:t>
      </w:r>
    </w:p>
    <w:p w:rsidR="000723AF" w:rsidRDefault="0092054D" w:rsidP="000723AF">
      <w:pPr>
        <w:pStyle w:val="ListParagraph"/>
        <w:numPr>
          <w:ilvl w:val="0"/>
          <w:numId w:val="25"/>
        </w:numPr>
      </w:pPr>
      <w:r>
        <w:t>The annual rate or level of performance after each year of implementation</w:t>
      </w:r>
      <w:r w:rsidR="000723AF">
        <w:t>;</w:t>
      </w:r>
    </w:p>
    <w:p w:rsidR="000723AF" w:rsidRDefault="0092054D" w:rsidP="000723AF">
      <w:pPr>
        <w:pStyle w:val="ListParagraph"/>
        <w:numPr>
          <w:ilvl w:val="0"/>
          <w:numId w:val="25"/>
        </w:numPr>
      </w:pPr>
      <w:r>
        <w:t>The difference from the previous annual rate</w:t>
      </w:r>
      <w:r w:rsidR="000723AF">
        <w:t>;</w:t>
      </w:r>
    </w:p>
    <w:p w:rsidR="000723AF" w:rsidRDefault="0092054D" w:rsidP="000723AF">
      <w:pPr>
        <w:pStyle w:val="ListParagraph"/>
        <w:numPr>
          <w:ilvl w:val="0"/>
          <w:numId w:val="25"/>
        </w:numPr>
      </w:pPr>
      <w:r>
        <w:t>The difference from the baseline (starting af</w:t>
      </w:r>
      <w:r w:rsidR="000723AF">
        <w:t>ter year two of implementation);</w:t>
      </w:r>
      <w:r>
        <w:t xml:space="preserve"> and</w:t>
      </w:r>
    </w:p>
    <w:p w:rsidR="0092054D" w:rsidRPr="00824069" w:rsidRDefault="0003565C" w:rsidP="000723AF">
      <w:pPr>
        <w:pStyle w:val="ListParagraph"/>
        <w:numPr>
          <w:ilvl w:val="0"/>
          <w:numId w:val="25"/>
        </w:numPr>
      </w:pPr>
      <w:r>
        <w:t>Identification of any of the above measures that were targeted for improvement with CIP activities</w:t>
      </w:r>
      <w:r w:rsidR="0092054D" w:rsidRPr="00824069">
        <w:t>.</w:t>
      </w:r>
    </w:p>
    <w:p w:rsidR="0092054D" w:rsidRDefault="0092054D" w:rsidP="0092054D">
      <w:pPr>
        <w:ind w:left="2160"/>
      </w:pPr>
    </w:p>
    <w:p w:rsidR="0092054D" w:rsidRDefault="0092054D" w:rsidP="00896A39">
      <w:pPr>
        <w:ind w:left="2160"/>
      </w:pPr>
      <w:r>
        <w:t>A template for the timeliness measures to guide State courts in reporting the elements of these data for each measure is</w:t>
      </w:r>
      <w:r w:rsidR="00896A39">
        <w:t xml:space="preserve"> included in Attachment D.</w:t>
      </w:r>
    </w:p>
    <w:p w:rsidR="0092054D" w:rsidRDefault="0092054D" w:rsidP="0092054D">
      <w:pPr>
        <w:tabs>
          <w:tab w:val="left" w:pos="0"/>
          <w:tab w:val="left" w:pos="889"/>
          <w:tab w:val="left" w:pos="1316"/>
          <w:tab w:val="left" w:pos="1746"/>
          <w:tab w:val="left" w:pos="2160"/>
          <w:tab w:val="left" w:pos="2598"/>
          <w:tab w:val="left" w:pos="3025"/>
          <w:tab w:val="left" w:pos="3452"/>
          <w:tab w:val="left" w:pos="3882"/>
          <w:tab w:val="left" w:pos="4320"/>
          <w:tab w:val="left" w:pos="4734"/>
          <w:tab w:val="left" w:pos="5161"/>
          <w:tab w:val="left" w:pos="5588"/>
          <w:tab w:val="left" w:pos="6018"/>
          <w:tab w:val="left" w:pos="6444"/>
          <w:tab w:val="left" w:pos="6870"/>
          <w:tab w:val="left" w:pos="7200"/>
        </w:tabs>
        <w:suppressAutoHyphens/>
        <w:spacing w:line="240" w:lineRule="atLeast"/>
        <w:ind w:left="2160"/>
      </w:pPr>
    </w:p>
    <w:p w:rsidR="005158A5" w:rsidRDefault="0092054D" w:rsidP="005158A5">
      <w:pPr>
        <w:tabs>
          <w:tab w:val="left" w:pos="0"/>
          <w:tab w:val="left" w:pos="889"/>
          <w:tab w:val="left" w:pos="1316"/>
          <w:tab w:val="left" w:pos="1746"/>
          <w:tab w:val="left" w:pos="2160"/>
          <w:tab w:val="left" w:pos="2598"/>
          <w:tab w:val="left" w:pos="3025"/>
          <w:tab w:val="left" w:pos="3452"/>
          <w:tab w:val="left" w:pos="3882"/>
          <w:tab w:val="left" w:pos="4320"/>
          <w:tab w:val="left" w:pos="4734"/>
          <w:tab w:val="left" w:pos="5161"/>
          <w:tab w:val="left" w:pos="5588"/>
          <w:tab w:val="left" w:pos="6018"/>
          <w:tab w:val="left" w:pos="6444"/>
          <w:tab w:val="left" w:pos="6870"/>
          <w:tab w:val="left" w:pos="7200"/>
        </w:tabs>
        <w:suppressAutoHyphens/>
        <w:spacing w:line="240" w:lineRule="atLeast"/>
        <w:ind w:left="2160"/>
      </w:pPr>
      <w:r>
        <w:t>Program assessment reports are due 90 days after the end of the fiscal year (December 29).  State courts must submit the reports to the appropriate CB Regional Office</w:t>
      </w:r>
      <w:r w:rsidR="005158A5">
        <w:t xml:space="preserve"> and The Federal Project Officer, David Kelly at </w:t>
      </w:r>
      <w:hyperlink r:id="rId9" w:history="1">
        <w:r w:rsidR="005158A5" w:rsidRPr="00451705">
          <w:rPr>
            <w:rStyle w:val="Hyperlink"/>
          </w:rPr>
          <w:t>david.kelly@acf.hhs.gov</w:t>
        </w:r>
      </w:hyperlink>
      <w:r w:rsidR="005158A5">
        <w:t xml:space="preserve"> </w:t>
      </w:r>
      <w:r w:rsidR="00C86D0B">
        <w:t>electronically via e</w:t>
      </w:r>
      <w:r>
        <w:t>mail.</w:t>
      </w:r>
    </w:p>
    <w:p w:rsidR="0092054D" w:rsidRDefault="0092054D" w:rsidP="005158A5">
      <w:pPr>
        <w:tabs>
          <w:tab w:val="left" w:pos="0"/>
          <w:tab w:val="left" w:pos="889"/>
          <w:tab w:val="left" w:pos="1316"/>
          <w:tab w:val="left" w:pos="1746"/>
          <w:tab w:val="left" w:pos="2160"/>
          <w:tab w:val="left" w:pos="2598"/>
          <w:tab w:val="left" w:pos="3025"/>
          <w:tab w:val="left" w:pos="3452"/>
          <w:tab w:val="left" w:pos="3882"/>
          <w:tab w:val="left" w:pos="4320"/>
          <w:tab w:val="left" w:pos="4734"/>
          <w:tab w:val="left" w:pos="5161"/>
          <w:tab w:val="left" w:pos="5588"/>
          <w:tab w:val="left" w:pos="6018"/>
          <w:tab w:val="left" w:pos="6444"/>
          <w:tab w:val="left" w:pos="6870"/>
          <w:tab w:val="left" w:pos="7200"/>
        </w:tabs>
        <w:suppressAutoHyphens/>
        <w:spacing w:line="240" w:lineRule="atLeast"/>
      </w:pPr>
    </w:p>
    <w:p w:rsidR="00C86D0B" w:rsidRPr="001D307C" w:rsidRDefault="00421212" w:rsidP="00C86D0B">
      <w:pPr>
        <w:tabs>
          <w:tab w:val="left" w:pos="0"/>
          <w:tab w:val="left" w:pos="889"/>
          <w:tab w:val="left" w:pos="1316"/>
          <w:tab w:val="left" w:pos="1746"/>
          <w:tab w:val="left" w:pos="2160"/>
          <w:tab w:val="left" w:pos="2598"/>
          <w:tab w:val="left" w:pos="3025"/>
          <w:tab w:val="left" w:pos="3452"/>
          <w:tab w:val="left" w:pos="3882"/>
          <w:tab w:val="left" w:pos="4320"/>
          <w:tab w:val="left" w:pos="4734"/>
          <w:tab w:val="left" w:pos="5161"/>
          <w:tab w:val="left" w:pos="5588"/>
          <w:tab w:val="left" w:pos="6018"/>
          <w:tab w:val="left" w:pos="6444"/>
          <w:tab w:val="left" w:pos="6870"/>
          <w:tab w:val="left" w:pos="7200"/>
        </w:tabs>
        <w:suppressAutoHyphens/>
        <w:spacing w:line="240" w:lineRule="atLeast"/>
        <w:ind w:left="2160"/>
      </w:pPr>
      <w:r>
        <w:t xml:space="preserve"> In addition a </w:t>
      </w:r>
      <w:r w:rsidR="0092054D">
        <w:t>copy of the program assessment report mu</w:t>
      </w:r>
      <w:r w:rsidR="007671EB">
        <w:t xml:space="preserve">st be submitted concurrently to Alicia Davis of the National Resource Center </w:t>
      </w:r>
      <w:r w:rsidR="00C86D0B">
        <w:t xml:space="preserve">for Legal and Judicial Issues at the </w:t>
      </w:r>
      <w:r w:rsidR="00354228" w:rsidRPr="00CE3883">
        <w:t>National Center for State Courts</w:t>
      </w:r>
      <w:r w:rsidR="00C86D0B">
        <w:t xml:space="preserve"> at</w:t>
      </w:r>
      <w:r w:rsidR="0092054D" w:rsidRPr="00CE3883">
        <w:t xml:space="preserve"> </w:t>
      </w:r>
      <w:hyperlink r:id="rId10" w:history="1">
        <w:r w:rsidR="00CE3883" w:rsidRPr="00CE3883">
          <w:rPr>
            <w:rStyle w:val="Hyperlink"/>
          </w:rPr>
          <w:t>Adavis@ncsc.org</w:t>
        </w:r>
      </w:hyperlink>
      <w:r w:rsidR="00C86D0B">
        <w:t xml:space="preserve"> electronically via email.</w:t>
      </w:r>
    </w:p>
    <w:p w:rsidR="0092054D" w:rsidRDefault="0092054D" w:rsidP="0092054D">
      <w:pPr>
        <w:tabs>
          <w:tab w:val="left" w:pos="0"/>
          <w:tab w:val="left" w:pos="889"/>
          <w:tab w:val="left" w:pos="1316"/>
          <w:tab w:val="left" w:pos="1746"/>
          <w:tab w:val="left" w:pos="2160"/>
          <w:tab w:val="left" w:pos="2598"/>
          <w:tab w:val="left" w:pos="3025"/>
          <w:tab w:val="left" w:pos="3452"/>
          <w:tab w:val="left" w:pos="3882"/>
          <w:tab w:val="left" w:pos="4320"/>
          <w:tab w:val="left" w:pos="4734"/>
          <w:tab w:val="left" w:pos="5161"/>
          <w:tab w:val="left" w:pos="5588"/>
          <w:tab w:val="left" w:pos="6018"/>
          <w:tab w:val="left" w:pos="6444"/>
          <w:tab w:val="left" w:pos="6870"/>
          <w:tab w:val="left" w:pos="7200"/>
        </w:tabs>
        <w:suppressAutoHyphens/>
        <w:spacing w:line="240" w:lineRule="atLeast"/>
        <w:ind w:left="2160"/>
        <w:rPr>
          <w:u w:val="single"/>
        </w:rPr>
      </w:pPr>
    </w:p>
    <w:p w:rsidR="00C86D0B" w:rsidRDefault="0092054D" w:rsidP="00C45233">
      <w:pPr>
        <w:tabs>
          <w:tab w:val="left" w:pos="0"/>
          <w:tab w:val="left" w:pos="889"/>
          <w:tab w:val="left" w:pos="1316"/>
          <w:tab w:val="left" w:pos="1746"/>
          <w:tab w:val="left" w:pos="2160"/>
          <w:tab w:val="left" w:pos="2598"/>
          <w:tab w:val="left" w:pos="3025"/>
          <w:tab w:val="left" w:pos="3452"/>
          <w:tab w:val="left" w:pos="3882"/>
          <w:tab w:val="left" w:pos="4320"/>
          <w:tab w:val="left" w:pos="4734"/>
          <w:tab w:val="left" w:pos="5161"/>
          <w:tab w:val="left" w:pos="5588"/>
          <w:tab w:val="left" w:pos="6018"/>
          <w:tab w:val="left" w:pos="6444"/>
          <w:tab w:val="left" w:pos="6870"/>
          <w:tab w:val="left" w:pos="7200"/>
        </w:tabs>
        <w:suppressAutoHyphens/>
        <w:spacing w:line="240" w:lineRule="atLeast"/>
        <w:ind w:left="2160"/>
      </w:pPr>
      <w:r w:rsidRPr="000723AF">
        <w:t>CB will host individual calls with each State court to review State court progress in meeting grant requirements, identified outcomes and to provide guidance and support at least annually.</w:t>
      </w:r>
    </w:p>
    <w:p w:rsidR="001D307C" w:rsidRDefault="001D307C" w:rsidP="001D307C">
      <w:pPr>
        <w:tabs>
          <w:tab w:val="left" w:pos="0"/>
          <w:tab w:val="left" w:pos="889"/>
          <w:tab w:val="left" w:pos="1316"/>
          <w:tab w:val="left" w:pos="1746"/>
          <w:tab w:val="left" w:pos="2160"/>
          <w:tab w:val="left" w:pos="2598"/>
          <w:tab w:val="left" w:pos="3025"/>
          <w:tab w:val="left" w:pos="3452"/>
          <w:tab w:val="left" w:pos="3882"/>
          <w:tab w:val="left" w:pos="4320"/>
          <w:tab w:val="left" w:pos="4734"/>
          <w:tab w:val="left" w:pos="5161"/>
          <w:tab w:val="left" w:pos="5588"/>
          <w:tab w:val="left" w:pos="6018"/>
          <w:tab w:val="left" w:pos="6444"/>
          <w:tab w:val="left" w:pos="6870"/>
          <w:tab w:val="left" w:pos="7200"/>
        </w:tabs>
        <w:suppressAutoHyphens/>
        <w:spacing w:line="240" w:lineRule="atLeast"/>
        <w:ind w:left="2160"/>
      </w:pPr>
    </w:p>
    <w:p w:rsidR="00840A44" w:rsidRPr="001D307C" w:rsidRDefault="00840A44" w:rsidP="001D307C">
      <w:pPr>
        <w:tabs>
          <w:tab w:val="left" w:pos="0"/>
          <w:tab w:val="left" w:pos="889"/>
          <w:tab w:val="left" w:pos="1316"/>
          <w:tab w:val="left" w:pos="1746"/>
          <w:tab w:val="left" w:pos="2160"/>
          <w:tab w:val="left" w:pos="2598"/>
          <w:tab w:val="left" w:pos="3025"/>
          <w:tab w:val="left" w:pos="3452"/>
          <w:tab w:val="left" w:pos="3882"/>
          <w:tab w:val="left" w:pos="4320"/>
          <w:tab w:val="left" w:pos="4734"/>
          <w:tab w:val="left" w:pos="5161"/>
          <w:tab w:val="left" w:pos="5588"/>
          <w:tab w:val="left" w:pos="6018"/>
          <w:tab w:val="left" w:pos="6444"/>
          <w:tab w:val="left" w:pos="6870"/>
          <w:tab w:val="left" w:pos="7200"/>
        </w:tabs>
        <w:suppressAutoHyphens/>
        <w:spacing w:line="240" w:lineRule="atLeast"/>
        <w:ind w:left="2160"/>
        <w:rPr>
          <w:u w:val="single"/>
        </w:rPr>
      </w:pPr>
    </w:p>
    <w:p w:rsidR="004A68EE" w:rsidRPr="00454F36" w:rsidRDefault="007203CA" w:rsidP="0047483A">
      <w:pPr>
        <w:pStyle w:val="ListParagraph"/>
        <w:numPr>
          <w:ilvl w:val="0"/>
          <w:numId w:val="8"/>
        </w:numPr>
        <w:rPr>
          <w:b/>
        </w:rPr>
      </w:pPr>
      <w:r>
        <w:rPr>
          <w:b/>
        </w:rPr>
        <w:t>ANNUAL</w:t>
      </w:r>
      <w:r w:rsidR="004A68EE">
        <w:rPr>
          <w:b/>
        </w:rPr>
        <w:t xml:space="preserve"> FISCAL REPORTING REQUIREMENTS</w:t>
      </w:r>
    </w:p>
    <w:p w:rsidR="004A68EE" w:rsidRDefault="004A68EE" w:rsidP="004A68EE">
      <w:pPr>
        <w:rPr>
          <w:b/>
          <w:bCs/>
        </w:rPr>
      </w:pPr>
    </w:p>
    <w:p w:rsidR="0092054D" w:rsidRDefault="0092054D" w:rsidP="004A68EE">
      <w:pPr>
        <w:ind w:left="2160"/>
      </w:pPr>
      <w:r>
        <w:t>Expenditures under the basic, data collection and analysis grants and the training grants must be reported annually on an SF-425</w:t>
      </w:r>
      <w:r w:rsidRPr="00691BD8">
        <w:t xml:space="preserve"> Financial</w:t>
      </w:r>
      <w:r>
        <w:t xml:space="preserve"> Status Report.  A separate report is required for each grant received.</w:t>
      </w:r>
    </w:p>
    <w:p w:rsidR="0092054D" w:rsidRDefault="0092054D" w:rsidP="0092054D">
      <w:pPr>
        <w:ind w:left="2160"/>
      </w:pPr>
    </w:p>
    <w:p w:rsidR="000723AF" w:rsidRDefault="0092054D" w:rsidP="00896A39">
      <w:pPr>
        <w:ind w:left="2160"/>
      </w:pPr>
      <w:r>
        <w:t xml:space="preserve">This fiscal report is due 90 days after the close of each twelve months of each grant’s two-year program expenditure period (December 29).  The first fiscal report for a program period is an interim report covering the first twelve months of the program period.  The final report should cover the entire 24-month program period.  Fiscal reports and program and evaluation reports must be current before new funding will be awarded each year.  </w:t>
      </w:r>
    </w:p>
    <w:p w:rsidR="000723AF" w:rsidRDefault="000723AF" w:rsidP="00896A39"/>
    <w:p w:rsidR="0092054D" w:rsidRDefault="0092054D" w:rsidP="0092054D">
      <w:pPr>
        <w:ind w:left="2160"/>
      </w:pPr>
      <w:r>
        <w:t xml:space="preserve">The original </w:t>
      </w:r>
      <w:r w:rsidRPr="005E6875">
        <w:t>SF-425</w:t>
      </w:r>
      <w:r w:rsidRPr="00691BD8">
        <w:t xml:space="preserve"> for each grant should be submitted to</w:t>
      </w:r>
      <w:r w:rsidR="007671EB">
        <w:t xml:space="preserve"> the CB R</w:t>
      </w:r>
      <w:r w:rsidR="0080127F">
        <w:t>egional Office and David Kelly at</w:t>
      </w:r>
      <w:r w:rsidR="007671EB">
        <w:t xml:space="preserve"> </w:t>
      </w:r>
      <w:hyperlink r:id="rId11" w:history="1">
        <w:r w:rsidR="007671EB" w:rsidRPr="00BA5457">
          <w:rPr>
            <w:rStyle w:val="Hyperlink"/>
          </w:rPr>
          <w:t>david.kelly@acf.hhs.gov</w:t>
        </w:r>
      </w:hyperlink>
      <w:r w:rsidR="007671EB">
        <w:t xml:space="preserve"> via email and to</w:t>
      </w:r>
      <w:r w:rsidRPr="00691BD8">
        <w:t xml:space="preserve"> the following address:</w:t>
      </w:r>
      <w:r>
        <w:t xml:space="preserve">     </w:t>
      </w:r>
    </w:p>
    <w:p w:rsidR="0092054D" w:rsidRDefault="0092054D" w:rsidP="0092054D">
      <w:pPr>
        <w:tabs>
          <w:tab w:val="left" w:pos="0"/>
          <w:tab w:val="left" w:pos="462"/>
          <w:tab w:val="left" w:pos="889"/>
          <w:tab w:val="left" w:pos="1316"/>
          <w:tab w:val="left" w:pos="1746"/>
          <w:tab w:val="left" w:pos="2160"/>
          <w:tab w:val="left" w:pos="2598"/>
          <w:tab w:val="left" w:pos="3025"/>
          <w:tab w:val="left" w:pos="3452"/>
          <w:tab w:val="left" w:pos="3882"/>
          <w:tab w:val="left" w:pos="4320"/>
          <w:tab w:val="left" w:pos="4734"/>
          <w:tab w:val="left" w:pos="5161"/>
          <w:tab w:val="left" w:pos="5588"/>
          <w:tab w:val="left" w:pos="6018"/>
          <w:tab w:val="left" w:pos="6444"/>
          <w:tab w:val="left" w:pos="6870"/>
          <w:tab w:val="left" w:pos="7200"/>
        </w:tabs>
        <w:suppressAutoHyphens/>
        <w:spacing w:line="240" w:lineRule="atLeast"/>
        <w:ind w:left="2160"/>
      </w:pPr>
    </w:p>
    <w:p w:rsidR="0092054D" w:rsidRPr="00701978" w:rsidRDefault="0092054D" w:rsidP="0092054D">
      <w:pPr>
        <w:pStyle w:val="PlainText"/>
        <w:ind w:left="2520"/>
        <w:rPr>
          <w:rFonts w:ascii="Times New Roman" w:hAnsi="Times New Roman"/>
          <w:color w:val="auto"/>
          <w:sz w:val="24"/>
          <w:szCs w:val="24"/>
        </w:rPr>
      </w:pPr>
      <w:r w:rsidRPr="00701978">
        <w:rPr>
          <w:rFonts w:ascii="Times New Roman" w:hAnsi="Times New Roman"/>
          <w:color w:val="auto"/>
          <w:sz w:val="24"/>
          <w:szCs w:val="24"/>
        </w:rPr>
        <w:t>Division of Mandatory Grants</w:t>
      </w:r>
    </w:p>
    <w:p w:rsidR="0092054D" w:rsidRPr="00701978" w:rsidRDefault="0092054D" w:rsidP="0092054D">
      <w:pPr>
        <w:pStyle w:val="PlainText"/>
        <w:ind w:left="2520"/>
        <w:rPr>
          <w:rFonts w:ascii="Times New Roman" w:hAnsi="Times New Roman"/>
          <w:color w:val="auto"/>
          <w:sz w:val="24"/>
          <w:szCs w:val="24"/>
        </w:rPr>
      </w:pPr>
      <w:r w:rsidRPr="00701978">
        <w:rPr>
          <w:rFonts w:ascii="Times New Roman" w:hAnsi="Times New Roman"/>
          <w:color w:val="auto"/>
          <w:sz w:val="24"/>
          <w:szCs w:val="24"/>
        </w:rPr>
        <w:t>Office of Administration</w:t>
      </w:r>
    </w:p>
    <w:p w:rsidR="0092054D" w:rsidRPr="00701978" w:rsidRDefault="0092054D" w:rsidP="0092054D">
      <w:pPr>
        <w:pStyle w:val="PlainText"/>
        <w:ind w:left="2520"/>
        <w:rPr>
          <w:rFonts w:ascii="Times New Roman" w:hAnsi="Times New Roman"/>
          <w:color w:val="auto"/>
          <w:sz w:val="24"/>
          <w:szCs w:val="24"/>
        </w:rPr>
      </w:pPr>
      <w:r w:rsidRPr="00701978">
        <w:rPr>
          <w:rFonts w:ascii="Times New Roman" w:hAnsi="Times New Roman"/>
          <w:color w:val="auto"/>
          <w:sz w:val="24"/>
          <w:szCs w:val="24"/>
        </w:rPr>
        <w:t>Administration for Children and Families</w:t>
      </w:r>
    </w:p>
    <w:p w:rsidR="0092054D" w:rsidRPr="00701978" w:rsidRDefault="0092054D" w:rsidP="0092054D">
      <w:pPr>
        <w:pStyle w:val="PlainText"/>
        <w:ind w:left="2520"/>
        <w:rPr>
          <w:rFonts w:ascii="Times New Roman" w:hAnsi="Times New Roman"/>
          <w:color w:val="auto"/>
          <w:sz w:val="24"/>
          <w:szCs w:val="24"/>
        </w:rPr>
      </w:pPr>
      <w:r w:rsidRPr="00701978">
        <w:rPr>
          <w:rFonts w:ascii="Times New Roman" w:hAnsi="Times New Roman"/>
          <w:color w:val="auto"/>
          <w:sz w:val="24"/>
          <w:szCs w:val="24"/>
        </w:rPr>
        <w:t>370 L</w:t>
      </w:r>
      <w:r>
        <w:rPr>
          <w:rFonts w:ascii="Times New Roman" w:hAnsi="Times New Roman"/>
          <w:color w:val="auto"/>
          <w:sz w:val="24"/>
          <w:szCs w:val="24"/>
        </w:rPr>
        <w:t>’</w:t>
      </w:r>
      <w:r w:rsidRPr="00701978">
        <w:rPr>
          <w:rFonts w:ascii="Times New Roman" w:hAnsi="Times New Roman"/>
          <w:color w:val="auto"/>
          <w:sz w:val="24"/>
          <w:szCs w:val="24"/>
        </w:rPr>
        <w:t>Enfant Promenade, S.W.</w:t>
      </w:r>
    </w:p>
    <w:p w:rsidR="0092054D" w:rsidRPr="00701978" w:rsidRDefault="0092054D" w:rsidP="0092054D">
      <w:pPr>
        <w:pStyle w:val="PlainText"/>
        <w:ind w:left="2520"/>
        <w:rPr>
          <w:rFonts w:ascii="Times New Roman" w:hAnsi="Times New Roman"/>
          <w:color w:val="auto"/>
          <w:sz w:val="24"/>
          <w:szCs w:val="24"/>
        </w:rPr>
      </w:pPr>
      <w:r w:rsidRPr="00701978">
        <w:rPr>
          <w:rFonts w:ascii="Times New Roman" w:hAnsi="Times New Roman"/>
          <w:color w:val="auto"/>
          <w:sz w:val="24"/>
          <w:szCs w:val="24"/>
        </w:rPr>
        <w:t xml:space="preserve">Washington, D.C. </w:t>
      </w:r>
      <w:r>
        <w:rPr>
          <w:rFonts w:ascii="Times New Roman" w:hAnsi="Times New Roman"/>
          <w:color w:val="auto"/>
          <w:sz w:val="24"/>
          <w:szCs w:val="24"/>
        </w:rPr>
        <w:t xml:space="preserve"> </w:t>
      </w:r>
      <w:r w:rsidRPr="00701978">
        <w:rPr>
          <w:rFonts w:ascii="Times New Roman" w:hAnsi="Times New Roman"/>
          <w:color w:val="auto"/>
          <w:sz w:val="24"/>
          <w:szCs w:val="24"/>
        </w:rPr>
        <w:t>20447</w:t>
      </w:r>
    </w:p>
    <w:p w:rsidR="0092054D" w:rsidRDefault="0092054D" w:rsidP="0092054D">
      <w:pPr>
        <w:tabs>
          <w:tab w:val="left" w:pos="0"/>
          <w:tab w:val="left" w:pos="462"/>
          <w:tab w:val="left" w:pos="889"/>
          <w:tab w:val="left" w:pos="1316"/>
          <w:tab w:val="left" w:pos="1746"/>
          <w:tab w:val="left" w:pos="2160"/>
          <w:tab w:val="left" w:pos="2598"/>
          <w:tab w:val="left" w:pos="3025"/>
          <w:tab w:val="left" w:pos="3452"/>
          <w:tab w:val="left" w:pos="3882"/>
          <w:tab w:val="left" w:pos="4320"/>
          <w:tab w:val="left" w:pos="4734"/>
          <w:tab w:val="left" w:pos="5161"/>
          <w:tab w:val="left" w:pos="5588"/>
          <w:tab w:val="left" w:pos="6018"/>
          <w:tab w:val="left" w:pos="6444"/>
          <w:tab w:val="left" w:pos="6870"/>
          <w:tab w:val="left" w:pos="7200"/>
        </w:tabs>
        <w:suppressAutoHyphens/>
        <w:spacing w:line="240" w:lineRule="atLeast"/>
        <w:ind w:left="2160"/>
      </w:pPr>
    </w:p>
    <w:p w:rsidR="0092054D" w:rsidRPr="009103E0" w:rsidRDefault="0092054D" w:rsidP="0092054D">
      <w:pPr>
        <w:pStyle w:val="PlainText"/>
        <w:ind w:left="2160"/>
        <w:rPr>
          <w:rFonts w:ascii="Times New Roman" w:hAnsi="Times New Roman"/>
          <w:sz w:val="24"/>
          <w:szCs w:val="24"/>
        </w:rPr>
      </w:pPr>
      <w:r w:rsidRPr="002A13E2">
        <w:rPr>
          <w:rFonts w:ascii="Times New Roman" w:hAnsi="Times New Roman"/>
          <w:color w:val="auto"/>
          <w:sz w:val="24"/>
          <w:szCs w:val="24"/>
        </w:rPr>
        <w:t xml:space="preserve">Alternatively, an electronic </w:t>
      </w:r>
      <w:r w:rsidRPr="005E6875">
        <w:rPr>
          <w:rFonts w:ascii="Times New Roman" w:hAnsi="Times New Roman"/>
          <w:color w:val="auto"/>
          <w:sz w:val="24"/>
          <w:szCs w:val="24"/>
        </w:rPr>
        <w:t>SF-425</w:t>
      </w:r>
      <w:r w:rsidRPr="002A13E2">
        <w:rPr>
          <w:rFonts w:ascii="Times New Roman" w:hAnsi="Times New Roman"/>
          <w:color w:val="auto"/>
          <w:sz w:val="24"/>
          <w:szCs w:val="24"/>
        </w:rPr>
        <w:t xml:space="preserve"> submission for the CIP grants may be made through the ACF Online Data Collection </w:t>
      </w:r>
      <w:r>
        <w:rPr>
          <w:rFonts w:ascii="Times New Roman" w:hAnsi="Times New Roman"/>
          <w:color w:val="auto"/>
          <w:sz w:val="24"/>
          <w:szCs w:val="24"/>
        </w:rPr>
        <w:t xml:space="preserve">(OLDC) system.  Contact </w:t>
      </w:r>
      <w:r>
        <w:rPr>
          <w:rFonts w:ascii="Times New Roman" w:hAnsi="Times New Roman"/>
          <w:color w:val="auto"/>
          <w:sz w:val="24"/>
          <w:szCs w:val="24"/>
        </w:rPr>
        <w:lastRenderedPageBreak/>
        <w:t>your CB</w:t>
      </w:r>
      <w:r w:rsidRPr="002A13E2">
        <w:rPr>
          <w:rFonts w:ascii="Times New Roman" w:hAnsi="Times New Roman"/>
          <w:color w:val="auto"/>
          <w:sz w:val="24"/>
          <w:szCs w:val="24"/>
        </w:rPr>
        <w:t xml:space="preserve"> Regional Office for more information on gaining access to and using the OLDC submission process.  </w:t>
      </w:r>
      <w:r w:rsidRPr="009103E0">
        <w:rPr>
          <w:rFonts w:ascii="Times New Roman" w:hAnsi="Times New Roman"/>
          <w:sz w:val="24"/>
          <w:szCs w:val="24"/>
        </w:rPr>
        <w:t xml:space="preserve"> </w:t>
      </w:r>
    </w:p>
    <w:p w:rsidR="0092054D" w:rsidRDefault="0092054D" w:rsidP="0092054D">
      <w:pPr>
        <w:ind w:left="2160"/>
      </w:pPr>
    </w:p>
    <w:p w:rsidR="0092054D" w:rsidRPr="00B756A2" w:rsidRDefault="0092054D" w:rsidP="0092054D">
      <w:pPr>
        <w:ind w:left="2160"/>
        <w:rPr>
          <w:b/>
        </w:rPr>
      </w:pPr>
      <w:r w:rsidRPr="00B756A2">
        <w:rPr>
          <w:b/>
        </w:rPr>
        <w:t>Forms</w:t>
      </w:r>
    </w:p>
    <w:p w:rsidR="0092054D" w:rsidRPr="00C3681B" w:rsidRDefault="0092054D" w:rsidP="0092054D">
      <w:pPr>
        <w:ind w:left="2160"/>
        <w:rPr>
          <w:b/>
        </w:rPr>
      </w:pPr>
    </w:p>
    <w:p w:rsidR="0092054D" w:rsidRDefault="0092054D" w:rsidP="0092054D">
      <w:pPr>
        <w:ind w:left="2160"/>
        <w:rPr>
          <w:u w:val="single"/>
        </w:rPr>
      </w:pPr>
      <w:r>
        <w:t xml:space="preserve">The following forms are available electronically at </w:t>
      </w:r>
      <w:hyperlink r:id="rId12" w:history="1">
        <w:r w:rsidRPr="00573451">
          <w:rPr>
            <w:rStyle w:val="Hyperlink"/>
          </w:rPr>
          <w:t>http://www.acf.dhhs.gov/programs/ofs/forms.htm</w:t>
        </w:r>
      </w:hyperlink>
    </w:p>
    <w:p w:rsidR="0092054D" w:rsidRDefault="0092054D" w:rsidP="0092054D">
      <w:pPr>
        <w:ind w:left="2160"/>
      </w:pPr>
    </w:p>
    <w:p w:rsidR="0092054D" w:rsidRPr="005E6875" w:rsidRDefault="0092054D" w:rsidP="0092054D">
      <w:pPr>
        <w:numPr>
          <w:ilvl w:val="0"/>
          <w:numId w:val="2"/>
        </w:numPr>
        <w:ind w:left="2520"/>
      </w:pPr>
      <w:r w:rsidRPr="005E6875">
        <w:t xml:space="preserve">SF-425 </w:t>
      </w:r>
    </w:p>
    <w:p w:rsidR="0092054D" w:rsidRDefault="0092054D" w:rsidP="0092054D">
      <w:pPr>
        <w:numPr>
          <w:ilvl w:val="0"/>
          <w:numId w:val="3"/>
        </w:numPr>
        <w:tabs>
          <w:tab w:val="clear" w:pos="360"/>
          <w:tab w:val="num" w:pos="720"/>
        </w:tabs>
        <w:ind w:left="2520"/>
      </w:pPr>
      <w:r>
        <w:t xml:space="preserve">Anti-Lobbying Certification and Disclosure Form </w:t>
      </w:r>
    </w:p>
    <w:p w:rsidR="0092054D" w:rsidRDefault="0092054D" w:rsidP="0092054D">
      <w:pPr>
        <w:numPr>
          <w:ilvl w:val="0"/>
          <w:numId w:val="3"/>
        </w:numPr>
        <w:tabs>
          <w:tab w:val="clear" w:pos="360"/>
          <w:tab w:val="left" w:pos="0"/>
          <w:tab w:val="num" w:pos="720"/>
          <w:tab w:val="left" w:pos="1800"/>
        </w:tabs>
        <w:suppressAutoHyphens/>
        <w:ind w:left="2520"/>
      </w:pPr>
      <w:r>
        <w:t xml:space="preserve">Certification Regarding Drug-Free Work Place       </w:t>
      </w:r>
    </w:p>
    <w:p w:rsidR="0092054D" w:rsidRDefault="0092054D" w:rsidP="0092054D">
      <w:pPr>
        <w:numPr>
          <w:ilvl w:val="0"/>
          <w:numId w:val="3"/>
        </w:numPr>
        <w:tabs>
          <w:tab w:val="clear" w:pos="360"/>
          <w:tab w:val="left" w:pos="0"/>
          <w:tab w:val="num" w:pos="720"/>
          <w:tab w:val="left" w:pos="1800"/>
        </w:tabs>
        <w:suppressAutoHyphens/>
        <w:ind w:left="2520"/>
      </w:pPr>
      <w:r>
        <w:t>Debarment Certification</w:t>
      </w:r>
    </w:p>
    <w:p w:rsidR="0092054D" w:rsidRDefault="0092054D" w:rsidP="0092054D">
      <w:pPr>
        <w:pStyle w:val="BodyTextIndent2"/>
        <w:numPr>
          <w:ilvl w:val="0"/>
          <w:numId w:val="3"/>
        </w:numPr>
        <w:tabs>
          <w:tab w:val="clear" w:pos="360"/>
          <w:tab w:val="clear" w:pos="2160"/>
          <w:tab w:val="clear" w:pos="2598"/>
          <w:tab w:val="num" w:pos="720"/>
          <w:tab w:val="left" w:pos="1800"/>
          <w:tab w:val="left" w:pos="2520"/>
        </w:tabs>
        <w:ind w:left="2520"/>
      </w:pPr>
      <w:r>
        <w:t>Certification Regarding Environmental Tobacco Smoke</w:t>
      </w:r>
    </w:p>
    <w:bookmarkEnd w:id="2"/>
    <w:p w:rsidR="00C45233" w:rsidRDefault="00C45233" w:rsidP="00C45233">
      <w:pPr>
        <w:rPr>
          <w:b/>
        </w:rPr>
      </w:pPr>
    </w:p>
    <w:p w:rsidR="0092054D" w:rsidRPr="00B756A2" w:rsidRDefault="0092054D" w:rsidP="0092054D">
      <w:pPr>
        <w:ind w:left="2160"/>
        <w:rPr>
          <w:b/>
        </w:rPr>
      </w:pPr>
      <w:r w:rsidRPr="00B756A2">
        <w:rPr>
          <w:b/>
        </w:rPr>
        <w:t>Resources for State Courts</w:t>
      </w:r>
    </w:p>
    <w:p w:rsidR="0092054D" w:rsidRDefault="0092054D" w:rsidP="0092054D">
      <w:pPr>
        <w:ind w:left="2160"/>
      </w:pPr>
    </w:p>
    <w:p w:rsidR="0092054D" w:rsidRDefault="0092054D" w:rsidP="0092054D">
      <w:pPr>
        <w:ind w:left="2160"/>
      </w:pPr>
      <w:r>
        <w:t>For training and technical assistance regarding implementing programs under these grants, including technical assistance in developing CQI processes and strategic plans, State courts should contact the Children’s Bureau’s National Child Welfare Resource Center on Legal and Judicial Issues (NRCLJI).</w:t>
      </w:r>
      <w:r>
        <w:rPr>
          <w:rStyle w:val="FootnoteReference"/>
        </w:rPr>
        <w:footnoteReference w:id="12"/>
      </w:r>
      <w:r>
        <w:t xml:space="preserve">  The NRCLJI is composed of three organizations</w:t>
      </w:r>
      <w:r>
        <w:rPr>
          <w:rStyle w:val="FootnoteReference"/>
        </w:rPr>
        <w:footnoteReference w:id="13"/>
      </w:r>
      <w:r>
        <w:t xml:space="preserve"> with long </w:t>
      </w:r>
      <w:r w:rsidRPr="00012B71">
        <w:t xml:space="preserve">histories of providing training and technical assistance to State courts.  </w:t>
      </w:r>
      <w:r w:rsidR="00B27992">
        <w:t>Tr</w:t>
      </w:r>
      <w:r w:rsidR="00517A4A">
        <w:t xml:space="preserve">aining and technical assistance </w:t>
      </w:r>
      <w:r w:rsidR="00B27992">
        <w:t>on issues related to the new data reporting requirements</w:t>
      </w:r>
      <w:r w:rsidR="00896A39">
        <w:t xml:space="preserve"> and developing CQI approaches</w:t>
      </w:r>
      <w:r w:rsidR="004063B3">
        <w:t xml:space="preserve"> is also available from the Children’s </w:t>
      </w:r>
      <w:r w:rsidR="009641BF">
        <w:t xml:space="preserve">Bureau’s National </w:t>
      </w:r>
      <w:r w:rsidR="004063B3">
        <w:t>Resource Center</w:t>
      </w:r>
      <w:r w:rsidR="009641BF">
        <w:t xml:space="preserve"> for Child Welfare</w:t>
      </w:r>
      <w:r w:rsidR="004063B3">
        <w:t xml:space="preserve"> Data and Technology (NRC</w:t>
      </w:r>
      <w:r w:rsidR="009641BF">
        <w:t>-CW</w:t>
      </w:r>
      <w:r w:rsidR="004063B3">
        <w:t>DT)</w:t>
      </w:r>
      <w:r w:rsidR="009641BF">
        <w:rPr>
          <w:rStyle w:val="FootnoteReference"/>
        </w:rPr>
        <w:footnoteReference w:id="14"/>
      </w:r>
      <w:r w:rsidR="00896A39">
        <w:t xml:space="preserve"> and</w:t>
      </w:r>
      <w:r w:rsidR="009641BF">
        <w:t xml:space="preserve"> National Child Welfare Resource Center for</w:t>
      </w:r>
      <w:r w:rsidR="00896A39">
        <w:t xml:space="preserve"> Organizational Improvement (NRCOI)</w:t>
      </w:r>
      <w:r w:rsidR="009641BF">
        <w:rPr>
          <w:rStyle w:val="FootnoteReference"/>
        </w:rPr>
        <w:footnoteReference w:id="15"/>
      </w:r>
      <w:r w:rsidR="00896A39">
        <w:t xml:space="preserve">.  </w:t>
      </w:r>
      <w:r w:rsidR="004063B3" w:rsidRPr="004063B3">
        <w:rPr>
          <w:rStyle w:val="FootnoteReference"/>
        </w:rPr>
        <w:t xml:space="preserve"> </w:t>
      </w:r>
    </w:p>
    <w:p w:rsidR="000723AF" w:rsidRDefault="000723AF" w:rsidP="0092054D">
      <w:pPr>
        <w:rPr>
          <w:b/>
        </w:rPr>
      </w:pPr>
      <w:bookmarkStart w:id="3" w:name="_Toc33615564"/>
    </w:p>
    <w:p w:rsidR="0092054D" w:rsidRPr="00B756A2" w:rsidRDefault="0092054D" w:rsidP="0092054D">
      <w:pPr>
        <w:ind w:left="2160"/>
        <w:rPr>
          <w:b/>
        </w:rPr>
      </w:pPr>
      <w:r w:rsidRPr="00B756A2">
        <w:rPr>
          <w:b/>
        </w:rPr>
        <w:t>Paperwork Reduction Act</w:t>
      </w:r>
      <w:bookmarkEnd w:id="3"/>
      <w:r w:rsidRPr="00B756A2">
        <w:rPr>
          <w:b/>
        </w:rPr>
        <w:t xml:space="preserve"> </w:t>
      </w:r>
    </w:p>
    <w:p w:rsidR="0092054D" w:rsidRPr="003C0DC9" w:rsidRDefault="0092054D" w:rsidP="0092054D">
      <w:pPr>
        <w:ind w:left="2160"/>
        <w:rPr>
          <w:b/>
        </w:rPr>
      </w:pPr>
    </w:p>
    <w:p w:rsidR="0080176E" w:rsidRDefault="0092054D" w:rsidP="0080176E">
      <w:pPr>
        <w:ind w:left="2160"/>
      </w:pPr>
      <w:r w:rsidRPr="003C0DC9">
        <w:t>Under the Paperwork Reduction Act of 1995 (</w:t>
      </w:r>
      <w:r>
        <w:t>P.L.</w:t>
      </w:r>
      <w:r w:rsidRPr="003C0DC9">
        <w:t xml:space="preserve"> 104-13), an agency may not conduct or sponsor, and a person is not required to respond to, a collection of information unless it displays a currently valid </w:t>
      </w:r>
      <w:r>
        <w:t>Office of Management and Budget (</w:t>
      </w:r>
      <w:r w:rsidRPr="003C0DC9">
        <w:t>OMB</w:t>
      </w:r>
      <w:r>
        <w:t>)</w:t>
      </w:r>
      <w:r w:rsidRPr="003C0DC9">
        <w:t xml:space="preserve"> Control Number.  </w:t>
      </w:r>
      <w:r w:rsidRPr="00481BFB">
        <w:t>The public reporting burden for each of the CIP grants covered under this Program Instruction is estimated</w:t>
      </w:r>
      <w:r w:rsidR="00EB45DF">
        <w:t xml:space="preserve"> to average 92</w:t>
      </w:r>
      <w:r w:rsidRPr="00481BFB">
        <w:t xml:space="preserve"> hours per response for States applying for all three CIP grants. </w:t>
      </w:r>
      <w:bookmarkStart w:id="4" w:name="_Toc33615565"/>
    </w:p>
    <w:p w:rsidR="007E613F" w:rsidRDefault="007E613F" w:rsidP="00C45233">
      <w:pPr>
        <w:rPr>
          <w:b/>
        </w:rPr>
      </w:pPr>
    </w:p>
    <w:p w:rsidR="0092054D" w:rsidRPr="0080176E" w:rsidRDefault="0092054D" w:rsidP="0080176E">
      <w:pPr>
        <w:ind w:left="2160"/>
      </w:pPr>
      <w:r w:rsidRPr="003E06E2">
        <w:rPr>
          <w:b/>
        </w:rPr>
        <w:t>INQUIRIES TO:</w:t>
      </w:r>
      <w:r w:rsidRPr="003C0DC9">
        <w:t xml:space="preserve"> </w:t>
      </w:r>
      <w:r>
        <w:t xml:space="preserve"> </w:t>
      </w:r>
      <w:r>
        <w:tab/>
      </w:r>
      <w:r>
        <w:rPr>
          <w:b/>
        </w:rPr>
        <w:t>CB</w:t>
      </w:r>
      <w:r w:rsidRPr="003C0DC9">
        <w:rPr>
          <w:b/>
        </w:rPr>
        <w:t xml:space="preserve"> Regional Offices</w:t>
      </w:r>
      <w:bookmarkEnd w:id="4"/>
    </w:p>
    <w:p w:rsidR="0092054D" w:rsidRPr="003C0DC9" w:rsidRDefault="0092054D" w:rsidP="0092054D">
      <w:pPr>
        <w:ind w:left="2160"/>
      </w:pPr>
    </w:p>
    <w:p w:rsidR="0092054D" w:rsidRDefault="0092054D" w:rsidP="0092054D">
      <w:pPr>
        <w:ind w:left="2160"/>
      </w:pPr>
      <w:r w:rsidRPr="003C0DC9">
        <w:lastRenderedPageBreak/>
        <w:tab/>
      </w:r>
      <w:r w:rsidRPr="003C0DC9">
        <w:tab/>
      </w:r>
    </w:p>
    <w:p w:rsidR="0092054D" w:rsidRDefault="0092054D" w:rsidP="0092054D">
      <w:pPr>
        <w:ind w:left="2160"/>
      </w:pPr>
      <w:r w:rsidRPr="003C0DC9">
        <w:tab/>
      </w:r>
      <w:r w:rsidRPr="003C0DC9">
        <w:tab/>
        <w:t xml:space="preserve">        </w:t>
      </w:r>
    </w:p>
    <w:p w:rsidR="00B13BE3" w:rsidRDefault="0092054D" w:rsidP="006776F4">
      <w:pPr>
        <w:ind w:left="2160"/>
      </w:pPr>
      <w:r>
        <w:t xml:space="preserve"> </w:t>
      </w:r>
    </w:p>
    <w:p w:rsidR="001D7AE1" w:rsidRDefault="001D7AE1" w:rsidP="006776F4">
      <w:pPr>
        <w:ind w:left="2160"/>
      </w:pPr>
    </w:p>
    <w:p w:rsidR="0092054D" w:rsidRDefault="0092054D" w:rsidP="0092054D">
      <w:pPr>
        <w:ind w:left="2160"/>
      </w:pPr>
    </w:p>
    <w:p w:rsidR="0092054D" w:rsidRPr="003C0DC9" w:rsidRDefault="0092054D" w:rsidP="0092054D"/>
    <w:p w:rsidR="0092054D" w:rsidRPr="003C0DC9" w:rsidRDefault="0092054D" w:rsidP="0092054D">
      <w:pPr>
        <w:ind w:left="2160"/>
      </w:pPr>
      <w:r w:rsidRPr="003C0DC9">
        <w:tab/>
      </w:r>
      <w:r w:rsidRPr="003C0DC9">
        <w:tab/>
      </w:r>
      <w:r w:rsidRPr="003C0DC9">
        <w:tab/>
      </w:r>
      <w:r w:rsidRPr="003C0DC9">
        <w:tab/>
      </w:r>
      <w:r w:rsidRPr="003C0DC9">
        <w:tab/>
      </w:r>
      <w:r>
        <w:t>Bryan Samuels</w:t>
      </w:r>
    </w:p>
    <w:p w:rsidR="0092054D" w:rsidRPr="003C0DC9" w:rsidRDefault="0092054D" w:rsidP="0092054D">
      <w:pPr>
        <w:ind w:left="2160"/>
      </w:pPr>
      <w:r w:rsidRPr="003C0DC9">
        <w:tab/>
      </w:r>
      <w:r w:rsidRPr="003C0DC9">
        <w:tab/>
      </w:r>
      <w:r w:rsidRPr="003C0DC9">
        <w:tab/>
      </w:r>
      <w:r w:rsidRPr="003C0DC9">
        <w:tab/>
      </w:r>
      <w:r w:rsidRPr="003C0DC9">
        <w:tab/>
        <w:t>Commissioner</w:t>
      </w:r>
    </w:p>
    <w:p w:rsidR="0092054D" w:rsidRPr="003C0DC9" w:rsidRDefault="0092054D" w:rsidP="0092054D">
      <w:pPr>
        <w:ind w:left="2160"/>
      </w:pPr>
      <w:r w:rsidRPr="003C0DC9">
        <w:tab/>
      </w:r>
      <w:r w:rsidRPr="003C0DC9">
        <w:tab/>
      </w:r>
      <w:r w:rsidRPr="003C0DC9">
        <w:tab/>
      </w:r>
      <w:r w:rsidRPr="003C0DC9">
        <w:tab/>
      </w:r>
      <w:r w:rsidRPr="003C0DC9">
        <w:tab/>
        <w:t xml:space="preserve">Administration on Children, </w:t>
      </w:r>
    </w:p>
    <w:p w:rsidR="0092054D" w:rsidRPr="007E613F" w:rsidRDefault="0092054D" w:rsidP="007E613F">
      <w:pPr>
        <w:ind w:left="2160"/>
      </w:pPr>
      <w:r w:rsidRPr="003C0DC9">
        <w:t xml:space="preserve">    </w:t>
      </w:r>
      <w:r>
        <w:tab/>
      </w:r>
      <w:r>
        <w:tab/>
      </w:r>
      <w:r>
        <w:tab/>
      </w:r>
      <w:r>
        <w:tab/>
      </w:r>
      <w:r>
        <w:tab/>
        <w:t xml:space="preserve"> </w:t>
      </w:r>
      <w:r w:rsidRPr="003C0DC9">
        <w:t>Youth and Families</w:t>
      </w:r>
    </w:p>
    <w:p w:rsidR="007671EB" w:rsidRDefault="007671EB" w:rsidP="0092054D">
      <w:pPr>
        <w:rPr>
          <w:b/>
        </w:rPr>
      </w:pPr>
    </w:p>
    <w:p w:rsidR="0092054D" w:rsidRDefault="0092054D" w:rsidP="0092054D">
      <w:r w:rsidRPr="00203DD2">
        <w:rPr>
          <w:b/>
        </w:rPr>
        <w:t>Attachment</w:t>
      </w:r>
      <w:r>
        <w:rPr>
          <w:b/>
        </w:rPr>
        <w:t>s</w:t>
      </w:r>
      <w:r>
        <w:t xml:space="preserve">:  </w:t>
      </w:r>
    </w:p>
    <w:p w:rsidR="0092054D" w:rsidRDefault="0092054D" w:rsidP="0092054D">
      <w:r>
        <w:t>A:  Indicators of Quality Hearings</w:t>
      </w:r>
    </w:p>
    <w:p w:rsidR="0092054D" w:rsidRDefault="0092054D" w:rsidP="0092054D">
      <w:r>
        <w:t>B:  Indicators of Quality Legal Representation</w:t>
      </w:r>
    </w:p>
    <w:p w:rsidR="0092054D" w:rsidRDefault="0092054D" w:rsidP="0092054D">
      <w:r>
        <w:t>C:  Optional Strategic Plan/Annual Program Assessment Report Template</w:t>
      </w:r>
    </w:p>
    <w:p w:rsidR="0092054D" w:rsidRDefault="0092054D" w:rsidP="0092054D">
      <w:r>
        <w:t xml:space="preserve">D:  Optional Timeliness Measures Template </w:t>
      </w:r>
    </w:p>
    <w:p w:rsidR="0092054D" w:rsidRDefault="0092054D" w:rsidP="0092054D">
      <w:r>
        <w:t>E:  FY 2012 Tentative Allocations for Each Court Improvement Program Grants</w:t>
      </w:r>
    </w:p>
    <w:p w:rsidR="0092054D" w:rsidRDefault="0092054D" w:rsidP="0092054D">
      <w:r>
        <w:t>F:  CB Regional</w:t>
      </w:r>
      <w:r w:rsidR="00BA78DD">
        <w:t xml:space="preserve"> Office</w:t>
      </w:r>
      <w:r>
        <w:t xml:space="preserve"> Program Manager Directory</w:t>
      </w:r>
    </w:p>
    <w:sectPr w:rsidR="0092054D" w:rsidSect="00B13A12">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F1D" w:rsidRDefault="00454F1D" w:rsidP="0092054D">
      <w:r>
        <w:separator/>
      </w:r>
    </w:p>
  </w:endnote>
  <w:endnote w:type="continuationSeparator" w:id="0">
    <w:p w:rsidR="00454F1D" w:rsidRDefault="00454F1D" w:rsidP="009205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591" w:rsidRDefault="0094459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0348672"/>
      <w:docPartObj>
        <w:docPartGallery w:val="Page Numbers (Bottom of Page)"/>
        <w:docPartUnique/>
      </w:docPartObj>
    </w:sdtPr>
    <w:sdtContent>
      <w:p w:rsidR="00944591" w:rsidRDefault="003A4E37">
        <w:pPr>
          <w:pStyle w:val="Footer"/>
          <w:jc w:val="right"/>
        </w:pPr>
        <w:fldSimple w:instr=" PAGE   \* MERGEFORMAT ">
          <w:r w:rsidR="001170E1">
            <w:rPr>
              <w:noProof/>
            </w:rPr>
            <w:t>1</w:t>
          </w:r>
        </w:fldSimple>
      </w:p>
    </w:sdtContent>
  </w:sdt>
  <w:p w:rsidR="00944591" w:rsidRDefault="0094459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591" w:rsidRDefault="009445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F1D" w:rsidRDefault="00454F1D" w:rsidP="0092054D">
      <w:r>
        <w:separator/>
      </w:r>
    </w:p>
  </w:footnote>
  <w:footnote w:type="continuationSeparator" w:id="0">
    <w:p w:rsidR="00454F1D" w:rsidRDefault="00454F1D" w:rsidP="0092054D">
      <w:r>
        <w:continuationSeparator/>
      </w:r>
    </w:p>
  </w:footnote>
  <w:footnote w:id="1">
    <w:p w:rsidR="00944591" w:rsidRPr="00BF0A6F" w:rsidRDefault="00944591" w:rsidP="00BF0A6F">
      <w:pPr>
        <w:rPr>
          <w:sz w:val="20"/>
          <w:szCs w:val="20"/>
        </w:rPr>
      </w:pPr>
      <w:r w:rsidRPr="00A141F3">
        <w:rPr>
          <w:rStyle w:val="FootnoteReference"/>
          <w:sz w:val="18"/>
          <w:szCs w:val="18"/>
        </w:rPr>
        <w:footnoteRef/>
      </w:r>
      <w:r w:rsidRPr="00A141F3">
        <w:rPr>
          <w:sz w:val="18"/>
          <w:szCs w:val="18"/>
        </w:rPr>
        <w:t xml:space="preserve"> </w:t>
      </w:r>
      <w:r w:rsidRPr="00BF0A6F">
        <w:rPr>
          <w:sz w:val="20"/>
          <w:szCs w:val="20"/>
        </w:rPr>
        <w:t xml:space="preserve">It is also important to note that there is a corresponding State agency requirement to demonstrate collaboration with State courts.  Specifically, the Act requires State child welfare agencies to demonstrate substantial, ongoing and meaningful collaboration with State courts in the development and implementation of its State plans under titles IV-B and IV-E and PIPs developed as a result of the Child and Family Services and IV-E Foster Care Eligibility Reviews.  </w:t>
      </w:r>
      <w:r w:rsidRPr="00BF0A6F">
        <w:rPr>
          <w:i/>
          <w:sz w:val="20"/>
          <w:szCs w:val="20"/>
        </w:rPr>
        <w:t>See</w:t>
      </w:r>
      <w:r w:rsidRPr="00BF0A6F">
        <w:rPr>
          <w:sz w:val="20"/>
          <w:szCs w:val="20"/>
        </w:rPr>
        <w:t xml:space="preserve"> Section 422(b)(13)</w:t>
      </w:r>
      <w:r>
        <w:rPr>
          <w:sz w:val="20"/>
          <w:szCs w:val="20"/>
        </w:rPr>
        <w:t xml:space="preserve"> of the Act</w:t>
      </w:r>
      <w:r w:rsidRPr="00BF0A6F">
        <w:rPr>
          <w:sz w:val="20"/>
          <w:szCs w:val="20"/>
        </w:rPr>
        <w:t xml:space="preserve">. </w:t>
      </w:r>
    </w:p>
  </w:footnote>
  <w:footnote w:id="2">
    <w:p w:rsidR="00944591" w:rsidRDefault="00944591">
      <w:pPr>
        <w:pStyle w:val="FootnoteText"/>
      </w:pPr>
      <w:r>
        <w:rPr>
          <w:rStyle w:val="FootnoteReference"/>
        </w:rPr>
        <w:footnoteRef/>
      </w:r>
      <w:r>
        <w:t xml:space="preserve"> </w:t>
      </w:r>
      <w:r w:rsidRPr="00BF0A6F">
        <w:t xml:space="preserve">The first Program Instruction </w:t>
      </w:r>
      <w:r>
        <w:t xml:space="preserve">in 1994 </w:t>
      </w:r>
      <w:r w:rsidRPr="00BF0A6F">
        <w:t>required an assessment of the functioning of the State court systems</w:t>
      </w:r>
      <w:r>
        <w:t xml:space="preserve"> </w:t>
      </w:r>
      <w:r w:rsidRPr="002300CB">
        <w:rPr>
          <w:i/>
        </w:rPr>
        <w:t>(see</w:t>
      </w:r>
      <w:r>
        <w:t xml:space="preserve"> </w:t>
      </w:r>
      <w:hyperlink r:id="rId1" w:history="1">
        <w:r w:rsidRPr="001F6A2B">
          <w:rPr>
            <w:rStyle w:val="Hyperlink"/>
          </w:rPr>
          <w:t>http://www.acf.hhs.gov/programs/cb/laws_policies/policy/pi/1994/pi9412.htm</w:t>
        </w:r>
      </w:hyperlink>
      <w:r>
        <w:t>).</w:t>
      </w:r>
      <w:r w:rsidRPr="00BF0A6F">
        <w:t xml:space="preserve">  In 2004, State courts were required to re-assess their earlier findings, particularly in light of ASFA and CIP reform efforts.  State courts were also directed to update the reports to address strengths and weaknesses discovered during the first round of CFSRs (</w:t>
      </w:r>
      <w:r w:rsidRPr="00BF0A6F">
        <w:rPr>
          <w:i/>
        </w:rPr>
        <w:t>see</w:t>
      </w:r>
      <w:r w:rsidRPr="00BF0A6F">
        <w:t xml:space="preserve"> </w:t>
      </w:r>
      <w:hyperlink r:id="rId2" w:anchor="five" w:history="1">
        <w:r w:rsidRPr="00BF0A6F">
          <w:rPr>
            <w:rStyle w:val="Hyperlink"/>
          </w:rPr>
          <w:t>http://www.acf.hhs.gov/programs/cb/laws_policies/policy/pi/2003/pi0304.htm#five</w:t>
        </w:r>
      </w:hyperlink>
      <w:r w:rsidRPr="00BF0A6F">
        <w:t xml:space="preserve">).  Finally, in 2007, State courts were required to conduct an assessment of their effectiveness in carrying out laws related to the Safe and Timely Interstate Placement of Foster Children Act, Public Law (P.L.) 109-239 (see: </w:t>
      </w:r>
      <w:hyperlink r:id="rId3" w:history="1">
        <w:r w:rsidRPr="001F6A2B">
          <w:rPr>
            <w:rStyle w:val="Hyperlink"/>
          </w:rPr>
          <w:t>http://www.acf.hhs.gov/programs/cb/laws_policies/policy/pi/2007/pi0709.htm</w:t>
        </w:r>
      </w:hyperlink>
      <w:r>
        <w:t>)</w:t>
      </w:r>
    </w:p>
  </w:footnote>
  <w:footnote w:id="3">
    <w:p w:rsidR="00944591" w:rsidRDefault="00944591" w:rsidP="00067553">
      <w:pPr>
        <w:pStyle w:val="FootnoteText"/>
      </w:pPr>
      <w:r>
        <w:rPr>
          <w:rStyle w:val="FootnoteReference"/>
        </w:rPr>
        <w:footnoteRef/>
      </w:r>
      <w:r>
        <w:t xml:space="preserve"> For purposes of this PI, ‘continuous quality improvement (CQI)” is used and defined in a general, programmatic fashion to mean that data is used to identify, inform, monitor and improve progress toward outcomes in an ongoing fashion.  State courts may design systems and approaches to ensure continuous quality improvement that meet their particular needs with available resources.</w:t>
      </w:r>
    </w:p>
  </w:footnote>
  <w:footnote w:id="4">
    <w:p w:rsidR="00944591" w:rsidRPr="00A141F3" w:rsidRDefault="00944591" w:rsidP="0092054D">
      <w:pPr>
        <w:pStyle w:val="FootnoteText"/>
      </w:pPr>
      <w:r>
        <w:rPr>
          <w:rStyle w:val="FootnoteReference"/>
        </w:rPr>
        <w:footnoteRef/>
      </w:r>
      <w:r>
        <w:t xml:space="preserve"> There are a number of indicators that may increase the likelihood that a quality hearing will or has occurred.  Such indicators provide evidence that the hearing was timely, thorough and complete including a meaningful review of safety, case plans and permanency goals.  A list of quality indicators is provided in Attachment A</w:t>
      </w:r>
      <w:r w:rsidRPr="00A141F3">
        <w:t>.</w:t>
      </w:r>
      <w:r>
        <w:t xml:space="preserve">  For further discussion of what constitutes quality court hearings s</w:t>
      </w:r>
      <w:r w:rsidRPr="00A141F3">
        <w:rPr>
          <w:i/>
        </w:rPr>
        <w:t>ee</w:t>
      </w:r>
      <w:r>
        <w:rPr>
          <w:i/>
        </w:rPr>
        <w:t xml:space="preserve"> </w:t>
      </w:r>
      <w:r>
        <w:t>the National Council of Juvenile and Family Court Judges</w:t>
      </w:r>
      <w:r w:rsidRPr="00A141F3">
        <w:rPr>
          <w:i/>
        </w:rPr>
        <w:t xml:space="preserve"> </w:t>
      </w:r>
      <w:r>
        <w:rPr>
          <w:i/>
        </w:rPr>
        <w:t>(</w:t>
      </w:r>
      <w:r w:rsidRPr="00A141F3">
        <w:t>NCJFCJ</w:t>
      </w:r>
      <w:r>
        <w:t>)</w:t>
      </w:r>
      <w:r w:rsidRPr="00A141F3">
        <w:t xml:space="preserve"> </w:t>
      </w:r>
      <w:r w:rsidRPr="00B45183">
        <w:rPr>
          <w:i/>
        </w:rPr>
        <w:t>Resource Guidelines</w:t>
      </w:r>
      <w:r>
        <w:t xml:space="preserve">, </w:t>
      </w:r>
      <w:hyperlink r:id="rId4" w:history="1">
        <w:r w:rsidRPr="00AE4186">
          <w:rPr>
            <w:rStyle w:val="Hyperlink"/>
          </w:rPr>
          <w:t>http://www.ncjfcj.org/images/stories/dept/ppcd/pdf/resguide.pdf</w:t>
        </w:r>
      </w:hyperlink>
      <w:r>
        <w:t xml:space="preserve">; see also the National Center for State Courts (NCSC) </w:t>
      </w:r>
      <w:r w:rsidRPr="00B45183">
        <w:rPr>
          <w:i/>
        </w:rPr>
        <w:t>Building a Better Court</w:t>
      </w:r>
      <w:r>
        <w:t xml:space="preserve">, </w:t>
      </w:r>
      <w:hyperlink r:id="rId5" w:history="1">
        <w:r w:rsidRPr="00AE4186">
          <w:rPr>
            <w:rStyle w:val="Hyperlink"/>
          </w:rPr>
          <w:t>http://contentdm.ncsconline.org/cgi-bin/showfile.exe?CISOROOT=/famct&amp;CISOPTR=63</w:t>
        </w:r>
      </w:hyperlink>
      <w:r>
        <w:t>.</w:t>
      </w:r>
    </w:p>
  </w:footnote>
  <w:footnote w:id="5">
    <w:p w:rsidR="00944591" w:rsidRDefault="00944591" w:rsidP="0092054D">
      <w:pPr>
        <w:pStyle w:val="FootnoteText"/>
      </w:pPr>
      <w:r w:rsidRPr="00A141F3">
        <w:rPr>
          <w:rStyle w:val="FootnoteReference"/>
        </w:rPr>
        <w:footnoteRef/>
      </w:r>
      <w:r>
        <w:t xml:space="preserve"> Attachment</w:t>
      </w:r>
      <w:r w:rsidRPr="00A141F3">
        <w:t xml:space="preserve"> B c</w:t>
      </w:r>
      <w:r>
        <w:t xml:space="preserve">ontains a list of indicators that may provide evidence that parties are receiving quality </w:t>
      </w:r>
      <w:r w:rsidRPr="00A141F3">
        <w:t>legal representation</w:t>
      </w:r>
      <w:r>
        <w:t xml:space="preserve">.  </w:t>
      </w:r>
      <w:r w:rsidRPr="008F4308">
        <w:t>For further information on improving the quality of legal representation in dependency cases</w:t>
      </w:r>
      <w:r w:rsidRPr="008F4308">
        <w:rPr>
          <w:i/>
        </w:rPr>
        <w:t xml:space="preserve"> see </w:t>
      </w:r>
      <w:r w:rsidRPr="008F4308">
        <w:t xml:space="preserve">the Quality Improvement Center on the Legal Representation of Children in Child Welfare System website at: </w:t>
      </w:r>
      <w:hyperlink r:id="rId6" w:history="1">
        <w:r w:rsidRPr="008F4308">
          <w:rPr>
            <w:rStyle w:val="Hyperlink"/>
          </w:rPr>
          <w:t>http://www.improvechildrep.org</w:t>
        </w:r>
      </w:hyperlink>
      <w:r w:rsidRPr="008F4308">
        <w:t xml:space="preserve">.  </w:t>
      </w:r>
      <w:r w:rsidRPr="008F4308">
        <w:rPr>
          <w:i/>
        </w:rPr>
        <w:t>See also</w:t>
      </w:r>
      <w:r>
        <w:rPr>
          <w:i/>
        </w:rPr>
        <w:t xml:space="preserve"> </w:t>
      </w:r>
      <w:r>
        <w:t>the</w:t>
      </w:r>
      <w:r w:rsidRPr="008F4308">
        <w:rPr>
          <w:i/>
        </w:rPr>
        <w:t xml:space="preserve"> </w:t>
      </w:r>
      <w:r w:rsidRPr="008F4308">
        <w:t xml:space="preserve">ABA Parents Representation Project website at: </w:t>
      </w:r>
      <w:hyperlink r:id="rId7" w:history="1">
        <w:r w:rsidRPr="008F4308">
          <w:rPr>
            <w:rStyle w:val="Hyperlink"/>
          </w:rPr>
          <w:t>http://www.americanbar.org/groups/child_law/projects_initiatives/parentrepresentation.html</w:t>
        </w:r>
      </w:hyperlink>
    </w:p>
    <w:p w:rsidR="00944591" w:rsidRPr="00BE56B0" w:rsidRDefault="00944591" w:rsidP="0092054D">
      <w:pPr>
        <w:pStyle w:val="FootnoteText"/>
      </w:pPr>
    </w:p>
    <w:p w:rsidR="00944591" w:rsidRDefault="00944591" w:rsidP="0092054D">
      <w:pPr>
        <w:pStyle w:val="FootnoteText"/>
      </w:pPr>
    </w:p>
  </w:footnote>
  <w:footnote w:id="6">
    <w:p w:rsidR="00944591" w:rsidRPr="001E4D2E" w:rsidRDefault="00944591" w:rsidP="007E613F">
      <w:pPr>
        <w:rPr>
          <w:sz w:val="20"/>
          <w:szCs w:val="20"/>
        </w:rPr>
      </w:pPr>
      <w:r w:rsidRPr="00A12843">
        <w:rPr>
          <w:rStyle w:val="FootnoteReference"/>
          <w:sz w:val="20"/>
          <w:szCs w:val="20"/>
        </w:rPr>
        <w:footnoteRef/>
      </w:r>
      <w:r w:rsidRPr="00A12843">
        <w:rPr>
          <w:sz w:val="20"/>
          <w:szCs w:val="20"/>
        </w:rPr>
        <w:t xml:space="preserve"> </w:t>
      </w:r>
      <w:r w:rsidRPr="001E4D2E">
        <w:rPr>
          <w:sz w:val="20"/>
          <w:szCs w:val="20"/>
        </w:rPr>
        <w:t>Funds from the CIP data collection and analysis grant must be used to improve proceedings related to child abuse and neglect cases.  Funds cannot be used to build segments of a management inf</w:t>
      </w:r>
      <w:r>
        <w:rPr>
          <w:sz w:val="20"/>
          <w:szCs w:val="20"/>
        </w:rPr>
        <w:t>ormation system (MIS) that are intended for other types of cases</w:t>
      </w:r>
      <w:r w:rsidRPr="001E4D2E">
        <w:rPr>
          <w:sz w:val="20"/>
          <w:szCs w:val="20"/>
        </w:rPr>
        <w:t xml:space="preserve"> (i.e., an MIS for the entire family court or for all juvenile court proceedings).  State courts are highly enc</w:t>
      </w:r>
      <w:r>
        <w:rPr>
          <w:sz w:val="20"/>
          <w:szCs w:val="20"/>
        </w:rPr>
        <w:t>ouraged to use these funds to:  p</w:t>
      </w:r>
      <w:r w:rsidRPr="001E4D2E">
        <w:rPr>
          <w:sz w:val="20"/>
          <w:szCs w:val="20"/>
        </w:rPr>
        <w:t>ay for a proportionate share of the common architecture of a larger specialized segment of the MIS (i.e., for</w:t>
      </w:r>
      <w:r>
        <w:rPr>
          <w:sz w:val="20"/>
          <w:szCs w:val="20"/>
        </w:rPr>
        <w:t xml:space="preserve"> family court or juvenile justice proceedings); p</w:t>
      </w:r>
      <w:r w:rsidRPr="001E4D2E">
        <w:rPr>
          <w:sz w:val="20"/>
          <w:szCs w:val="20"/>
        </w:rPr>
        <w:t>ay for the child abuse and neglect portion of the MIS or of</w:t>
      </w:r>
      <w:r>
        <w:rPr>
          <w:sz w:val="20"/>
          <w:szCs w:val="20"/>
        </w:rPr>
        <w:t xml:space="preserve"> a larger segment of the MIS;  a</w:t>
      </w:r>
      <w:r w:rsidRPr="001E4D2E">
        <w:rPr>
          <w:sz w:val="20"/>
          <w:szCs w:val="20"/>
        </w:rPr>
        <w:t>dapt or customize existing MIS systems speci</w:t>
      </w:r>
      <w:r>
        <w:rPr>
          <w:sz w:val="20"/>
          <w:szCs w:val="20"/>
        </w:rPr>
        <w:t>fically for abuse and neglect; c</w:t>
      </w:r>
      <w:r w:rsidRPr="001E4D2E">
        <w:rPr>
          <w:sz w:val="20"/>
          <w:szCs w:val="20"/>
        </w:rPr>
        <w:t>reate abuse and neglect modules within the</w:t>
      </w:r>
      <w:r>
        <w:rPr>
          <w:sz w:val="20"/>
          <w:szCs w:val="20"/>
        </w:rPr>
        <w:t xml:space="preserve"> MIS system;  p</w:t>
      </w:r>
      <w:r w:rsidRPr="001E4D2E">
        <w:rPr>
          <w:sz w:val="20"/>
          <w:szCs w:val="20"/>
        </w:rPr>
        <w:t>ay for interfaces for exchange of information with the child welfare ag</w:t>
      </w:r>
      <w:r>
        <w:rPr>
          <w:sz w:val="20"/>
          <w:szCs w:val="20"/>
        </w:rPr>
        <w:t>ency (SACWIS) and others; and  p</w:t>
      </w:r>
      <w:r w:rsidRPr="001E4D2E">
        <w:rPr>
          <w:sz w:val="20"/>
          <w:szCs w:val="20"/>
        </w:rPr>
        <w:t>ay for projects to share data with other entities.</w:t>
      </w:r>
    </w:p>
  </w:footnote>
  <w:footnote w:id="7">
    <w:p w:rsidR="00944591" w:rsidRDefault="00944591" w:rsidP="007E613F">
      <w:pPr>
        <w:pStyle w:val="FootnoteText"/>
      </w:pPr>
      <w:r>
        <w:rPr>
          <w:rStyle w:val="FootnoteReference"/>
        </w:rPr>
        <w:footnoteRef/>
      </w:r>
      <w:r>
        <w:t xml:space="preserve"> The National Information Exchange Model </w:t>
      </w:r>
      <w:r w:rsidRPr="00704B97">
        <w:t xml:space="preserve">(NIEM) enables information sharing among government agencies by offering an XML standard, proven methodology, and a tool suite for developing data exchange specifications.  The NIEM exchange framework represents a collaborative partnership of agencies and organizations across all levels of government (federal, state, tribal, and local) and with private industry.  </w:t>
      </w:r>
      <w:r w:rsidRPr="00704B97">
        <w:rPr>
          <w:i/>
          <w:iCs/>
        </w:rPr>
        <w:t>See</w:t>
      </w:r>
      <w:r w:rsidRPr="00704B97">
        <w:t xml:space="preserve"> </w:t>
      </w:r>
      <w:hyperlink r:id="rId8" w:history="1">
        <w:r w:rsidRPr="00704B97">
          <w:rPr>
            <w:rStyle w:val="Hyperlink"/>
            <w:color w:val="auto"/>
          </w:rPr>
          <w:t>https://www.niem.gov</w:t>
        </w:r>
      </w:hyperlink>
      <w:r w:rsidRPr="00704B97">
        <w:t xml:space="preserve"> .  NIEM training and technical assistance are available to State Court Improvement Programs through the Children’s Bureau’s National Resource Centers and other avenues.</w:t>
      </w:r>
    </w:p>
  </w:footnote>
  <w:footnote w:id="8">
    <w:p w:rsidR="00944591" w:rsidRPr="001E4D2E" w:rsidRDefault="00944591" w:rsidP="007E613F">
      <w:pPr>
        <w:pStyle w:val="FootnoteText"/>
      </w:pPr>
      <w:r w:rsidRPr="001E4D2E">
        <w:rPr>
          <w:rStyle w:val="FootnoteReference"/>
        </w:rPr>
        <w:footnoteRef/>
      </w:r>
      <w:r w:rsidRPr="001E4D2E">
        <w:t xml:space="preserve"> State courts are highly encouraged to explore and discuss</w:t>
      </w:r>
      <w:r w:rsidRPr="002F74E9">
        <w:t xml:space="preserve"> </w:t>
      </w:r>
      <w:r w:rsidRPr="001E4D2E">
        <w:t>with the title IV-B/IV-E</w:t>
      </w:r>
      <w:r>
        <w:t xml:space="preserve">  child welfare agency the possibility</w:t>
      </w:r>
      <w:r w:rsidRPr="001E4D2E">
        <w:t xml:space="preserve"> of </w:t>
      </w:r>
      <w:r>
        <w:t>implementing information sharing interfaces with existing f SACWIS systems that support the calculation of court-specific  performance measures, as such activity may</w:t>
      </w:r>
      <w:r w:rsidRPr="001E4D2E">
        <w:t xml:space="preserve"> be eligible for SACWIS funding.</w:t>
      </w:r>
    </w:p>
  </w:footnote>
  <w:footnote w:id="9">
    <w:p w:rsidR="00944591" w:rsidRPr="001E4D2E" w:rsidRDefault="00944591" w:rsidP="007E613F">
      <w:pPr>
        <w:pStyle w:val="FootnoteText"/>
      </w:pPr>
      <w:r w:rsidRPr="001E4D2E">
        <w:rPr>
          <w:rStyle w:val="FootnoteReference"/>
        </w:rPr>
        <w:footnoteRef/>
      </w:r>
      <w:r w:rsidRPr="001E4D2E">
        <w:t xml:space="preserve"> </w:t>
      </w:r>
      <w:r>
        <w:t xml:space="preserve">The ABA Center on Children and the Law and National Council for Juvenile and Family Court Judges issued a technical assistance bulletin especially for disaster planning in dependency court, which is available at </w:t>
      </w:r>
      <w:hyperlink r:id="rId9" w:history="1">
        <w:r>
          <w:rPr>
            <w:rStyle w:val="Hyperlink"/>
          </w:rPr>
          <w:t>http://www.ncjfcj.org/images/stories/dept/ppcd/pdf/katrina%20ta%20brief%20final.pdf</w:t>
        </w:r>
      </w:hyperlink>
      <w:r>
        <w:t xml:space="preserve">. </w:t>
      </w:r>
      <w:r w:rsidRPr="001E4D2E">
        <w:rPr>
          <w:i/>
        </w:rPr>
        <w:t>See</w:t>
      </w:r>
      <w:r>
        <w:rPr>
          <w:i/>
        </w:rPr>
        <w:t xml:space="preserve"> also</w:t>
      </w:r>
      <w:r w:rsidRPr="001E4D2E">
        <w:t xml:space="preserve"> </w:t>
      </w:r>
      <w:hyperlink r:id="rId10" w:history="1">
        <w:r w:rsidRPr="001E4D2E">
          <w:rPr>
            <w:rStyle w:val="Hyperlink"/>
          </w:rPr>
          <w:t>https://www.ncsconline.org/What'sNew/NewsAlerts/NewsAlertHaveRecoveryPlan.html</w:t>
        </w:r>
      </w:hyperlink>
      <w:r>
        <w:t>; and</w:t>
      </w:r>
    </w:p>
    <w:p w:rsidR="00944591" w:rsidRPr="001E4D2E" w:rsidRDefault="003A4E37" w:rsidP="007E613F">
      <w:pPr>
        <w:pStyle w:val="FootnoteText"/>
      </w:pPr>
      <w:hyperlink r:id="rId11" w:history="1">
        <w:r w:rsidR="00944591" w:rsidRPr="001E4D2E">
          <w:rPr>
            <w:rStyle w:val="Hyperlink"/>
          </w:rPr>
          <w:t>http://www.icmeducation.org/katrina/content.html</w:t>
        </w:r>
      </w:hyperlink>
    </w:p>
    <w:p w:rsidR="00944591" w:rsidRDefault="00944591" w:rsidP="007E613F">
      <w:pPr>
        <w:pStyle w:val="FootnoteText"/>
      </w:pPr>
    </w:p>
  </w:footnote>
  <w:footnote w:id="10">
    <w:p w:rsidR="00944591" w:rsidRDefault="00944591" w:rsidP="00454F36">
      <w:pPr>
        <w:pStyle w:val="FootnoteText"/>
      </w:pPr>
      <w:r>
        <w:rPr>
          <w:rStyle w:val="FootnoteReference"/>
        </w:rPr>
        <w:footnoteRef/>
      </w:r>
      <w:r>
        <w:t xml:space="preserve"> It is not necessary to include these certifications with the application.   </w:t>
      </w:r>
    </w:p>
  </w:footnote>
  <w:footnote w:id="11">
    <w:p w:rsidR="00944591" w:rsidRDefault="00944591" w:rsidP="0092054D">
      <w:pPr>
        <w:pStyle w:val="FootnoteText"/>
      </w:pPr>
      <w:r>
        <w:rPr>
          <w:rStyle w:val="FootnoteReference"/>
        </w:rPr>
        <w:footnoteRef/>
      </w:r>
      <w:r>
        <w:t xml:space="preserve"> </w:t>
      </w:r>
      <w:hyperlink r:id="rId12" w:history="1">
        <w:r w:rsidRPr="00AE4186">
          <w:rPr>
            <w:rStyle w:val="Hyperlink"/>
          </w:rPr>
          <w:t>http://ojjdp.ncjrs.gov/publications/courttoolkit.html</w:t>
        </w:r>
      </w:hyperlink>
    </w:p>
    <w:p w:rsidR="00944591" w:rsidRDefault="00944591" w:rsidP="0092054D">
      <w:pPr>
        <w:pStyle w:val="FootnoteText"/>
      </w:pPr>
    </w:p>
  </w:footnote>
  <w:footnote w:id="12">
    <w:p w:rsidR="00944591" w:rsidRDefault="00944591" w:rsidP="0092054D">
      <w:pPr>
        <w:pStyle w:val="FootnoteText"/>
      </w:pPr>
      <w:r>
        <w:rPr>
          <w:rStyle w:val="FootnoteReference"/>
        </w:rPr>
        <w:footnoteRef/>
      </w:r>
      <w:r>
        <w:t xml:space="preserve"> See </w:t>
      </w:r>
      <w:hyperlink r:id="rId13" w:history="1">
        <w:r w:rsidRPr="00294B81">
          <w:rPr>
            <w:rStyle w:val="Hyperlink"/>
          </w:rPr>
          <w:t>http://www.americanbar.org/groups/child_law/projects_initiatives/rclji.html</w:t>
        </w:r>
      </w:hyperlink>
      <w:r>
        <w:t xml:space="preserve"> </w:t>
      </w:r>
    </w:p>
  </w:footnote>
  <w:footnote w:id="13">
    <w:p w:rsidR="00944591" w:rsidRDefault="00944591" w:rsidP="0092054D">
      <w:pPr>
        <w:pStyle w:val="FootnoteText"/>
      </w:pPr>
      <w:r>
        <w:rPr>
          <w:rStyle w:val="FootnoteReference"/>
        </w:rPr>
        <w:footnoteRef/>
      </w:r>
      <w:r>
        <w:t xml:space="preserve"> The NRCLJI is currently composed of the American Bar Association Center on Children and the Law, The National Council of Juvenile and Family Court Judges and the National Center for State Courts.</w:t>
      </w:r>
    </w:p>
  </w:footnote>
  <w:footnote w:id="14">
    <w:p w:rsidR="00944591" w:rsidRDefault="00944591">
      <w:pPr>
        <w:pStyle w:val="FootnoteText"/>
      </w:pPr>
      <w:r>
        <w:rPr>
          <w:rStyle w:val="FootnoteReference"/>
        </w:rPr>
        <w:footnoteRef/>
      </w:r>
      <w:r>
        <w:t xml:space="preserve"> </w:t>
      </w:r>
      <w:hyperlink r:id="rId14" w:history="1">
        <w:r w:rsidRPr="00C91575">
          <w:rPr>
            <w:rStyle w:val="Hyperlink"/>
          </w:rPr>
          <w:t>https://www.nrccwdt.org/index.html</w:t>
        </w:r>
      </w:hyperlink>
      <w:r>
        <w:t xml:space="preserve"> </w:t>
      </w:r>
    </w:p>
  </w:footnote>
  <w:footnote w:id="15">
    <w:p w:rsidR="00944591" w:rsidRDefault="00944591">
      <w:pPr>
        <w:pStyle w:val="FootnoteText"/>
      </w:pPr>
      <w:r>
        <w:rPr>
          <w:rStyle w:val="FootnoteReference"/>
        </w:rPr>
        <w:footnoteRef/>
      </w:r>
      <w:r>
        <w:t xml:space="preserve"> </w:t>
      </w:r>
      <w:hyperlink r:id="rId15" w:history="1">
        <w:r w:rsidRPr="00C91575">
          <w:rPr>
            <w:rStyle w:val="Hyperlink"/>
          </w:rPr>
          <w:t>http://muskie.usm.maine.edu/helpkids/</w:t>
        </w:r>
      </w:hyperlink>
    </w:p>
    <w:p w:rsidR="00944591" w:rsidRDefault="00944591">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591" w:rsidRDefault="003A4E3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041360" o:spid="_x0000_s11266" type="#_x0000_t136" style="position:absolute;margin-left:0;margin-top:0;width:471.3pt;height:188.5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591" w:rsidRDefault="003A4E3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041361" o:spid="_x0000_s11267" type="#_x0000_t136" style="position:absolute;margin-left:0;margin-top:0;width:471.3pt;height:188.5pt;rotation:315;z-index:-25165209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591" w:rsidRDefault="003A4E3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041359" o:spid="_x0000_s11265" type="#_x0000_t136" style="position:absolute;margin-left:0;margin-top:0;width:471.3pt;height:188.5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17445046"/>
    <w:multiLevelType w:val="hybridMultilevel"/>
    <w:tmpl w:val="C7F0FB4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F67F0A"/>
    <w:multiLevelType w:val="hybridMultilevel"/>
    <w:tmpl w:val="FABEE82A"/>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nsid w:val="233C763F"/>
    <w:multiLevelType w:val="hybridMultilevel"/>
    <w:tmpl w:val="3BFCAAC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2955538D"/>
    <w:multiLevelType w:val="hybridMultilevel"/>
    <w:tmpl w:val="24A4F168"/>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318D1A96"/>
    <w:multiLevelType w:val="hybridMultilevel"/>
    <w:tmpl w:val="5CD6EC9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
    <w:nsid w:val="31B1211C"/>
    <w:multiLevelType w:val="hybridMultilevel"/>
    <w:tmpl w:val="04904B4A"/>
    <w:lvl w:ilvl="0" w:tplc="F4D668D4">
      <w:start w:val="3"/>
      <w:numFmt w:val="lowerLetter"/>
      <w:lvlText w:val="%1."/>
      <w:lvlJc w:val="left"/>
      <w:pPr>
        <w:ind w:left="3240" w:hanging="360"/>
      </w:pPr>
      <w:rPr>
        <w:rFonts w:cs="Times New Roman" w:hint="default"/>
      </w:rPr>
    </w:lvl>
    <w:lvl w:ilvl="1" w:tplc="04090019">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7">
    <w:nsid w:val="34D4743D"/>
    <w:multiLevelType w:val="hybridMultilevel"/>
    <w:tmpl w:val="10B089F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nsid w:val="3A8C404B"/>
    <w:multiLevelType w:val="hybridMultilevel"/>
    <w:tmpl w:val="56404522"/>
    <w:lvl w:ilvl="0" w:tplc="59F6CB28">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9">
    <w:nsid w:val="440E7D36"/>
    <w:multiLevelType w:val="hybridMultilevel"/>
    <w:tmpl w:val="286C077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0">
    <w:nsid w:val="45662FFC"/>
    <w:multiLevelType w:val="hybridMultilevel"/>
    <w:tmpl w:val="165666BE"/>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nsid w:val="4B413A7B"/>
    <w:multiLevelType w:val="hybridMultilevel"/>
    <w:tmpl w:val="E898A4BA"/>
    <w:lvl w:ilvl="0" w:tplc="5A6C37D8">
      <w:start w:val="1"/>
      <w:numFmt w:val="upperRoman"/>
      <w:lvlText w:val="%1."/>
      <w:lvlJc w:val="left"/>
      <w:pPr>
        <w:ind w:left="2880" w:hanging="720"/>
      </w:pPr>
      <w:rPr>
        <w:rFonts w:cs="Times New Roman" w:hint="default"/>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2">
    <w:nsid w:val="4D9E6881"/>
    <w:multiLevelType w:val="hybridMultilevel"/>
    <w:tmpl w:val="B6B49B88"/>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3">
    <w:nsid w:val="518B080A"/>
    <w:multiLevelType w:val="hybridMultilevel"/>
    <w:tmpl w:val="4E72DA0E"/>
    <w:lvl w:ilvl="0" w:tplc="04090001">
      <w:start w:val="1"/>
      <w:numFmt w:val="bullet"/>
      <w:lvlText w:val=""/>
      <w:lvlJc w:val="left"/>
      <w:pPr>
        <w:tabs>
          <w:tab w:val="num" w:pos="2940"/>
        </w:tabs>
        <w:ind w:left="2940" w:hanging="360"/>
      </w:pPr>
      <w:rPr>
        <w:rFonts w:ascii="Symbol" w:hAnsi="Symbol" w:hint="default"/>
      </w:rPr>
    </w:lvl>
    <w:lvl w:ilvl="1" w:tplc="04090003" w:tentative="1">
      <w:start w:val="1"/>
      <w:numFmt w:val="bullet"/>
      <w:lvlText w:val="o"/>
      <w:lvlJc w:val="left"/>
      <w:pPr>
        <w:tabs>
          <w:tab w:val="num" w:pos="3660"/>
        </w:tabs>
        <w:ind w:left="3660" w:hanging="360"/>
      </w:pPr>
      <w:rPr>
        <w:rFonts w:ascii="Courier New" w:hAnsi="Courier New" w:hint="default"/>
      </w:rPr>
    </w:lvl>
    <w:lvl w:ilvl="2" w:tplc="04090005" w:tentative="1">
      <w:start w:val="1"/>
      <w:numFmt w:val="bullet"/>
      <w:lvlText w:val=""/>
      <w:lvlJc w:val="left"/>
      <w:pPr>
        <w:tabs>
          <w:tab w:val="num" w:pos="4380"/>
        </w:tabs>
        <w:ind w:left="4380" w:hanging="360"/>
      </w:pPr>
      <w:rPr>
        <w:rFonts w:ascii="Wingdings" w:hAnsi="Wingdings" w:hint="default"/>
      </w:rPr>
    </w:lvl>
    <w:lvl w:ilvl="3" w:tplc="04090001" w:tentative="1">
      <w:start w:val="1"/>
      <w:numFmt w:val="bullet"/>
      <w:lvlText w:val=""/>
      <w:lvlJc w:val="left"/>
      <w:pPr>
        <w:tabs>
          <w:tab w:val="num" w:pos="5100"/>
        </w:tabs>
        <w:ind w:left="5100" w:hanging="360"/>
      </w:pPr>
      <w:rPr>
        <w:rFonts w:ascii="Symbol" w:hAnsi="Symbol" w:hint="default"/>
      </w:rPr>
    </w:lvl>
    <w:lvl w:ilvl="4" w:tplc="04090003" w:tentative="1">
      <w:start w:val="1"/>
      <w:numFmt w:val="bullet"/>
      <w:lvlText w:val="o"/>
      <w:lvlJc w:val="left"/>
      <w:pPr>
        <w:tabs>
          <w:tab w:val="num" w:pos="5820"/>
        </w:tabs>
        <w:ind w:left="5820" w:hanging="360"/>
      </w:pPr>
      <w:rPr>
        <w:rFonts w:ascii="Courier New" w:hAnsi="Courier New" w:hint="default"/>
      </w:rPr>
    </w:lvl>
    <w:lvl w:ilvl="5" w:tplc="04090005" w:tentative="1">
      <w:start w:val="1"/>
      <w:numFmt w:val="bullet"/>
      <w:lvlText w:val=""/>
      <w:lvlJc w:val="left"/>
      <w:pPr>
        <w:tabs>
          <w:tab w:val="num" w:pos="6540"/>
        </w:tabs>
        <w:ind w:left="6540" w:hanging="360"/>
      </w:pPr>
      <w:rPr>
        <w:rFonts w:ascii="Wingdings" w:hAnsi="Wingdings" w:hint="default"/>
      </w:rPr>
    </w:lvl>
    <w:lvl w:ilvl="6" w:tplc="04090001" w:tentative="1">
      <w:start w:val="1"/>
      <w:numFmt w:val="bullet"/>
      <w:lvlText w:val=""/>
      <w:lvlJc w:val="left"/>
      <w:pPr>
        <w:tabs>
          <w:tab w:val="num" w:pos="7260"/>
        </w:tabs>
        <w:ind w:left="7260" w:hanging="360"/>
      </w:pPr>
      <w:rPr>
        <w:rFonts w:ascii="Symbol" w:hAnsi="Symbol" w:hint="default"/>
      </w:rPr>
    </w:lvl>
    <w:lvl w:ilvl="7" w:tplc="04090003" w:tentative="1">
      <w:start w:val="1"/>
      <w:numFmt w:val="bullet"/>
      <w:lvlText w:val="o"/>
      <w:lvlJc w:val="left"/>
      <w:pPr>
        <w:tabs>
          <w:tab w:val="num" w:pos="7980"/>
        </w:tabs>
        <w:ind w:left="7980" w:hanging="360"/>
      </w:pPr>
      <w:rPr>
        <w:rFonts w:ascii="Courier New" w:hAnsi="Courier New" w:hint="default"/>
      </w:rPr>
    </w:lvl>
    <w:lvl w:ilvl="8" w:tplc="04090005" w:tentative="1">
      <w:start w:val="1"/>
      <w:numFmt w:val="bullet"/>
      <w:lvlText w:val=""/>
      <w:lvlJc w:val="left"/>
      <w:pPr>
        <w:tabs>
          <w:tab w:val="num" w:pos="8700"/>
        </w:tabs>
        <w:ind w:left="8700" w:hanging="360"/>
      </w:pPr>
      <w:rPr>
        <w:rFonts w:ascii="Wingdings" w:hAnsi="Wingdings" w:hint="default"/>
      </w:rPr>
    </w:lvl>
  </w:abstractNum>
  <w:abstractNum w:abstractNumId="14">
    <w:nsid w:val="534079CA"/>
    <w:multiLevelType w:val="hybridMultilevel"/>
    <w:tmpl w:val="3712387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nsid w:val="58452522"/>
    <w:multiLevelType w:val="hybridMultilevel"/>
    <w:tmpl w:val="85940BF8"/>
    <w:lvl w:ilvl="0" w:tplc="DBD0412C">
      <w:start w:val="1"/>
      <w:numFmt w:val="decimal"/>
      <w:lvlText w:val="(%1)"/>
      <w:lvlJc w:val="left"/>
      <w:pPr>
        <w:ind w:left="2880" w:hanging="360"/>
      </w:pPr>
      <w:rPr>
        <w:rFonts w:cs="Times New Roman" w:hint="default"/>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16">
    <w:nsid w:val="5B4375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2D43087"/>
    <w:multiLevelType w:val="hybridMultilevel"/>
    <w:tmpl w:val="E250BE36"/>
    <w:lvl w:ilvl="0" w:tplc="CB646D02">
      <w:start w:val="1"/>
      <w:numFmt w:val="decimal"/>
      <w:lvlText w:val="%1."/>
      <w:lvlJc w:val="left"/>
      <w:pPr>
        <w:ind w:left="25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66A34A4B"/>
    <w:multiLevelType w:val="hybridMultilevel"/>
    <w:tmpl w:val="4DDC476C"/>
    <w:lvl w:ilvl="0" w:tplc="4D5E929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nsid w:val="67AF7428"/>
    <w:multiLevelType w:val="hybridMultilevel"/>
    <w:tmpl w:val="C2A495C0"/>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0">
    <w:nsid w:val="67BE2307"/>
    <w:multiLevelType w:val="hybridMultilevel"/>
    <w:tmpl w:val="004A59D4"/>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1">
    <w:nsid w:val="6EAA3E97"/>
    <w:multiLevelType w:val="hybridMultilevel"/>
    <w:tmpl w:val="68C47E28"/>
    <w:lvl w:ilvl="0" w:tplc="0409000F">
      <w:start w:val="1"/>
      <w:numFmt w:val="decimal"/>
      <w:lvlText w:val="%1."/>
      <w:lvlJc w:val="left"/>
      <w:pPr>
        <w:ind w:left="3248" w:hanging="360"/>
      </w:pPr>
    </w:lvl>
    <w:lvl w:ilvl="1" w:tplc="04090019" w:tentative="1">
      <w:start w:val="1"/>
      <w:numFmt w:val="lowerLetter"/>
      <w:lvlText w:val="%2."/>
      <w:lvlJc w:val="left"/>
      <w:pPr>
        <w:ind w:left="3968" w:hanging="360"/>
      </w:pPr>
    </w:lvl>
    <w:lvl w:ilvl="2" w:tplc="0409001B" w:tentative="1">
      <w:start w:val="1"/>
      <w:numFmt w:val="lowerRoman"/>
      <w:lvlText w:val="%3."/>
      <w:lvlJc w:val="right"/>
      <w:pPr>
        <w:ind w:left="4688" w:hanging="180"/>
      </w:pPr>
    </w:lvl>
    <w:lvl w:ilvl="3" w:tplc="0409000F" w:tentative="1">
      <w:start w:val="1"/>
      <w:numFmt w:val="decimal"/>
      <w:lvlText w:val="%4."/>
      <w:lvlJc w:val="left"/>
      <w:pPr>
        <w:ind w:left="5408" w:hanging="360"/>
      </w:pPr>
    </w:lvl>
    <w:lvl w:ilvl="4" w:tplc="04090019" w:tentative="1">
      <w:start w:val="1"/>
      <w:numFmt w:val="lowerLetter"/>
      <w:lvlText w:val="%5."/>
      <w:lvlJc w:val="left"/>
      <w:pPr>
        <w:ind w:left="6128" w:hanging="360"/>
      </w:pPr>
    </w:lvl>
    <w:lvl w:ilvl="5" w:tplc="0409001B" w:tentative="1">
      <w:start w:val="1"/>
      <w:numFmt w:val="lowerRoman"/>
      <w:lvlText w:val="%6."/>
      <w:lvlJc w:val="right"/>
      <w:pPr>
        <w:ind w:left="6848" w:hanging="180"/>
      </w:pPr>
    </w:lvl>
    <w:lvl w:ilvl="6" w:tplc="0409000F" w:tentative="1">
      <w:start w:val="1"/>
      <w:numFmt w:val="decimal"/>
      <w:lvlText w:val="%7."/>
      <w:lvlJc w:val="left"/>
      <w:pPr>
        <w:ind w:left="7568" w:hanging="360"/>
      </w:pPr>
    </w:lvl>
    <w:lvl w:ilvl="7" w:tplc="04090019" w:tentative="1">
      <w:start w:val="1"/>
      <w:numFmt w:val="lowerLetter"/>
      <w:lvlText w:val="%8."/>
      <w:lvlJc w:val="left"/>
      <w:pPr>
        <w:ind w:left="8288" w:hanging="360"/>
      </w:pPr>
    </w:lvl>
    <w:lvl w:ilvl="8" w:tplc="0409001B" w:tentative="1">
      <w:start w:val="1"/>
      <w:numFmt w:val="lowerRoman"/>
      <w:lvlText w:val="%9."/>
      <w:lvlJc w:val="right"/>
      <w:pPr>
        <w:ind w:left="9008" w:hanging="180"/>
      </w:pPr>
    </w:lvl>
  </w:abstractNum>
  <w:abstractNum w:abstractNumId="22">
    <w:nsid w:val="77D16DA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3">
    <w:nsid w:val="79EA6B65"/>
    <w:multiLevelType w:val="hybridMultilevel"/>
    <w:tmpl w:val="C22C8E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A805E3A"/>
    <w:multiLevelType w:val="hybridMultilevel"/>
    <w:tmpl w:val="74C8A294"/>
    <w:lvl w:ilvl="0" w:tplc="7F72C62E">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7B56777D"/>
    <w:multiLevelType w:val="hybridMultilevel"/>
    <w:tmpl w:val="A014BEE4"/>
    <w:lvl w:ilvl="0" w:tplc="B1546B80">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abstractNumId w:val="22"/>
  </w:num>
  <w:num w:numId="3">
    <w:abstractNumId w:val="16"/>
  </w:num>
  <w:num w:numId="4">
    <w:abstractNumId w:val="23"/>
  </w:num>
  <w:num w:numId="5">
    <w:abstractNumId w:val="4"/>
  </w:num>
  <w:num w:numId="6">
    <w:abstractNumId w:val="8"/>
  </w:num>
  <w:num w:numId="7">
    <w:abstractNumId w:val="1"/>
  </w:num>
  <w:num w:numId="8">
    <w:abstractNumId w:val="11"/>
  </w:num>
  <w:num w:numId="9">
    <w:abstractNumId w:val="17"/>
  </w:num>
  <w:num w:numId="10">
    <w:abstractNumId w:val="24"/>
  </w:num>
  <w:num w:numId="11">
    <w:abstractNumId w:val="12"/>
  </w:num>
  <w:num w:numId="12">
    <w:abstractNumId w:val="20"/>
  </w:num>
  <w:num w:numId="13">
    <w:abstractNumId w:val="19"/>
  </w:num>
  <w:num w:numId="14">
    <w:abstractNumId w:val="15"/>
  </w:num>
  <w:num w:numId="15">
    <w:abstractNumId w:val="6"/>
  </w:num>
  <w:num w:numId="16">
    <w:abstractNumId w:val="9"/>
  </w:num>
  <w:num w:numId="17">
    <w:abstractNumId w:val="5"/>
  </w:num>
  <w:num w:numId="18">
    <w:abstractNumId w:val="13"/>
  </w:num>
  <w:num w:numId="19">
    <w:abstractNumId w:val="7"/>
  </w:num>
  <w:num w:numId="20">
    <w:abstractNumId w:val="18"/>
  </w:num>
  <w:num w:numId="21">
    <w:abstractNumId w:val="25"/>
  </w:num>
  <w:num w:numId="22">
    <w:abstractNumId w:val="21"/>
  </w:num>
  <w:num w:numId="23">
    <w:abstractNumId w:val="3"/>
  </w:num>
  <w:num w:numId="24">
    <w:abstractNumId w:val="2"/>
  </w:num>
  <w:num w:numId="25">
    <w:abstractNumId w:val="10"/>
  </w:num>
  <w:num w:numId="26">
    <w:abstractNumId w:val="14"/>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29698"/>
    <o:shapelayout v:ext="edit">
      <o:idmap v:ext="edit" data="11"/>
    </o:shapelayout>
  </w:hdrShapeDefaults>
  <w:footnotePr>
    <w:footnote w:id="-1"/>
    <w:footnote w:id="0"/>
  </w:footnotePr>
  <w:endnotePr>
    <w:endnote w:id="-1"/>
    <w:endnote w:id="0"/>
  </w:endnotePr>
  <w:compat/>
  <w:rsids>
    <w:rsidRoot w:val="0092054D"/>
    <w:rsid w:val="000247EE"/>
    <w:rsid w:val="00033147"/>
    <w:rsid w:val="0003344B"/>
    <w:rsid w:val="0003565C"/>
    <w:rsid w:val="00036703"/>
    <w:rsid w:val="000550EF"/>
    <w:rsid w:val="00067553"/>
    <w:rsid w:val="000723AF"/>
    <w:rsid w:val="00094F0C"/>
    <w:rsid w:val="000A2F0C"/>
    <w:rsid w:val="000C17EF"/>
    <w:rsid w:val="000D0851"/>
    <w:rsid w:val="000F4091"/>
    <w:rsid w:val="00100AAC"/>
    <w:rsid w:val="001013A7"/>
    <w:rsid w:val="00116050"/>
    <w:rsid w:val="001170E1"/>
    <w:rsid w:val="0012451C"/>
    <w:rsid w:val="00161BC3"/>
    <w:rsid w:val="0017053F"/>
    <w:rsid w:val="001719EA"/>
    <w:rsid w:val="00185AFC"/>
    <w:rsid w:val="001C2C5D"/>
    <w:rsid w:val="001C50AC"/>
    <w:rsid w:val="001D307C"/>
    <w:rsid w:val="001D7AE1"/>
    <w:rsid w:val="001E4D2E"/>
    <w:rsid w:val="00225EB8"/>
    <w:rsid w:val="0022700C"/>
    <w:rsid w:val="002300CB"/>
    <w:rsid w:val="0023226F"/>
    <w:rsid w:val="0026170D"/>
    <w:rsid w:val="00266E01"/>
    <w:rsid w:val="00286123"/>
    <w:rsid w:val="002A7FEA"/>
    <w:rsid w:val="002B3CE8"/>
    <w:rsid w:val="002C13A9"/>
    <w:rsid w:val="002F74E9"/>
    <w:rsid w:val="00330394"/>
    <w:rsid w:val="00332E37"/>
    <w:rsid w:val="00354228"/>
    <w:rsid w:val="00360EB2"/>
    <w:rsid w:val="00383211"/>
    <w:rsid w:val="00392C39"/>
    <w:rsid w:val="003A3542"/>
    <w:rsid w:val="003A4E37"/>
    <w:rsid w:val="003A7938"/>
    <w:rsid w:val="003C4F3F"/>
    <w:rsid w:val="003F4989"/>
    <w:rsid w:val="004063B3"/>
    <w:rsid w:val="00417833"/>
    <w:rsid w:val="00421212"/>
    <w:rsid w:val="00451B2A"/>
    <w:rsid w:val="00454F1D"/>
    <w:rsid w:val="00454F36"/>
    <w:rsid w:val="00461F2D"/>
    <w:rsid w:val="0047483A"/>
    <w:rsid w:val="0048595D"/>
    <w:rsid w:val="0049045D"/>
    <w:rsid w:val="004A68EE"/>
    <w:rsid w:val="004D0BF1"/>
    <w:rsid w:val="004F2030"/>
    <w:rsid w:val="00502A59"/>
    <w:rsid w:val="00513072"/>
    <w:rsid w:val="005158A5"/>
    <w:rsid w:val="00517A4A"/>
    <w:rsid w:val="00546804"/>
    <w:rsid w:val="00547F19"/>
    <w:rsid w:val="005605EA"/>
    <w:rsid w:val="00573EEB"/>
    <w:rsid w:val="0058721C"/>
    <w:rsid w:val="00591E33"/>
    <w:rsid w:val="005A1189"/>
    <w:rsid w:val="005E6875"/>
    <w:rsid w:val="00602E41"/>
    <w:rsid w:val="00655E37"/>
    <w:rsid w:val="006776F4"/>
    <w:rsid w:val="006B0835"/>
    <w:rsid w:val="006B1D02"/>
    <w:rsid w:val="006D2254"/>
    <w:rsid w:val="006F1877"/>
    <w:rsid w:val="00716262"/>
    <w:rsid w:val="007203CA"/>
    <w:rsid w:val="00761F12"/>
    <w:rsid w:val="007671EB"/>
    <w:rsid w:val="0079273E"/>
    <w:rsid w:val="007A48B6"/>
    <w:rsid w:val="007E613F"/>
    <w:rsid w:val="0080127F"/>
    <w:rsid w:val="0080176E"/>
    <w:rsid w:val="0080490D"/>
    <w:rsid w:val="0081237E"/>
    <w:rsid w:val="00820239"/>
    <w:rsid w:val="00823769"/>
    <w:rsid w:val="00840A44"/>
    <w:rsid w:val="008442F3"/>
    <w:rsid w:val="00846A1A"/>
    <w:rsid w:val="008477C6"/>
    <w:rsid w:val="008522FC"/>
    <w:rsid w:val="00892C4B"/>
    <w:rsid w:val="00896A39"/>
    <w:rsid w:val="008A1507"/>
    <w:rsid w:val="008E6037"/>
    <w:rsid w:val="008F11B1"/>
    <w:rsid w:val="008F18A6"/>
    <w:rsid w:val="00904AF0"/>
    <w:rsid w:val="00905AE3"/>
    <w:rsid w:val="0091518B"/>
    <w:rsid w:val="0092054D"/>
    <w:rsid w:val="009419C6"/>
    <w:rsid w:val="00944591"/>
    <w:rsid w:val="0095591B"/>
    <w:rsid w:val="009641BF"/>
    <w:rsid w:val="009B1FBD"/>
    <w:rsid w:val="009D6662"/>
    <w:rsid w:val="009E53DC"/>
    <w:rsid w:val="009F599C"/>
    <w:rsid w:val="009F686D"/>
    <w:rsid w:val="00A109B8"/>
    <w:rsid w:val="00A47591"/>
    <w:rsid w:val="00A63DE0"/>
    <w:rsid w:val="00A66B63"/>
    <w:rsid w:val="00A85B88"/>
    <w:rsid w:val="00A868DE"/>
    <w:rsid w:val="00AB523D"/>
    <w:rsid w:val="00AD4730"/>
    <w:rsid w:val="00AF6FB1"/>
    <w:rsid w:val="00B00ACA"/>
    <w:rsid w:val="00B02920"/>
    <w:rsid w:val="00B13A12"/>
    <w:rsid w:val="00B13BE3"/>
    <w:rsid w:val="00B27992"/>
    <w:rsid w:val="00B33157"/>
    <w:rsid w:val="00B45183"/>
    <w:rsid w:val="00B736FB"/>
    <w:rsid w:val="00B75539"/>
    <w:rsid w:val="00B76731"/>
    <w:rsid w:val="00B9684F"/>
    <w:rsid w:val="00BA78DD"/>
    <w:rsid w:val="00BE49D7"/>
    <w:rsid w:val="00BF0A6F"/>
    <w:rsid w:val="00BF7DF8"/>
    <w:rsid w:val="00C037A1"/>
    <w:rsid w:val="00C14FF9"/>
    <w:rsid w:val="00C2071B"/>
    <w:rsid w:val="00C263FC"/>
    <w:rsid w:val="00C429DB"/>
    <w:rsid w:val="00C42DFE"/>
    <w:rsid w:val="00C42F43"/>
    <w:rsid w:val="00C45233"/>
    <w:rsid w:val="00C54C5D"/>
    <w:rsid w:val="00C71419"/>
    <w:rsid w:val="00C86D0B"/>
    <w:rsid w:val="00C92DB9"/>
    <w:rsid w:val="00C92E88"/>
    <w:rsid w:val="00CC6A24"/>
    <w:rsid w:val="00CD2A6D"/>
    <w:rsid w:val="00CE3883"/>
    <w:rsid w:val="00D54722"/>
    <w:rsid w:val="00D810B2"/>
    <w:rsid w:val="00D8401A"/>
    <w:rsid w:val="00D84029"/>
    <w:rsid w:val="00D92A5C"/>
    <w:rsid w:val="00DA0E5B"/>
    <w:rsid w:val="00DE0D37"/>
    <w:rsid w:val="00DF14F6"/>
    <w:rsid w:val="00E20DDE"/>
    <w:rsid w:val="00E34D82"/>
    <w:rsid w:val="00E41299"/>
    <w:rsid w:val="00E74480"/>
    <w:rsid w:val="00EA0545"/>
    <w:rsid w:val="00EB32A9"/>
    <w:rsid w:val="00EB45DF"/>
    <w:rsid w:val="00ED2186"/>
    <w:rsid w:val="00ED2AA5"/>
    <w:rsid w:val="00EE0CAB"/>
    <w:rsid w:val="00EE348A"/>
    <w:rsid w:val="00F05E75"/>
    <w:rsid w:val="00F22CC7"/>
    <w:rsid w:val="00F35538"/>
    <w:rsid w:val="00F417DB"/>
    <w:rsid w:val="00F623E4"/>
    <w:rsid w:val="00F763FC"/>
    <w:rsid w:val="00FA32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54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92054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92054D"/>
    <w:pPr>
      <w:keepNext/>
      <w:tabs>
        <w:tab w:val="left" w:pos="0"/>
        <w:tab w:val="left" w:pos="900"/>
      </w:tabs>
      <w:suppressAutoHyphens/>
      <w:outlineLvl w:val="1"/>
    </w:pPr>
    <w:rPr>
      <w:b/>
      <w:szCs w:val="20"/>
    </w:rPr>
  </w:style>
  <w:style w:type="paragraph" w:styleId="Heading3">
    <w:name w:val="heading 3"/>
    <w:basedOn w:val="Normal"/>
    <w:next w:val="BodyTextIndent2"/>
    <w:link w:val="Heading3Char"/>
    <w:uiPriority w:val="99"/>
    <w:qFormat/>
    <w:rsid w:val="0092054D"/>
    <w:pPr>
      <w:keepNext/>
      <w:tabs>
        <w:tab w:val="left" w:pos="2016"/>
      </w:tabs>
      <w:spacing w:before="360"/>
      <w:outlineLvl w:val="2"/>
    </w:pPr>
    <w:rPr>
      <w:rFonts w:ascii="Arial" w:hAnsi="Arial"/>
      <w:b/>
      <w:bCs/>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2054D"/>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9"/>
    <w:rsid w:val="0092054D"/>
    <w:rPr>
      <w:rFonts w:ascii="Times New Roman" w:eastAsia="Times New Roman" w:hAnsi="Times New Roman" w:cs="Times New Roman"/>
      <w:b/>
      <w:sz w:val="24"/>
      <w:szCs w:val="20"/>
    </w:rPr>
  </w:style>
  <w:style w:type="character" w:customStyle="1" w:styleId="Heading3Char">
    <w:name w:val="Heading 3 Char"/>
    <w:basedOn w:val="DefaultParagraphFont"/>
    <w:link w:val="Heading3"/>
    <w:uiPriority w:val="99"/>
    <w:rsid w:val="0092054D"/>
    <w:rPr>
      <w:rFonts w:ascii="Arial" w:eastAsia="Times New Roman" w:hAnsi="Arial" w:cs="Times New Roman"/>
      <w:b/>
      <w:bCs/>
      <w:i/>
      <w:sz w:val="16"/>
      <w:szCs w:val="24"/>
    </w:rPr>
  </w:style>
  <w:style w:type="paragraph" w:styleId="BodyTextIndent2">
    <w:name w:val="Body Text Indent 2"/>
    <w:basedOn w:val="Normal"/>
    <w:link w:val="BodyTextIndent2Char"/>
    <w:uiPriority w:val="99"/>
    <w:rsid w:val="0092054D"/>
    <w:pPr>
      <w:tabs>
        <w:tab w:val="left" w:pos="0"/>
        <w:tab w:val="left" w:pos="462"/>
        <w:tab w:val="left" w:pos="889"/>
        <w:tab w:val="left" w:pos="1316"/>
        <w:tab w:val="left" w:pos="1746"/>
        <w:tab w:val="left" w:pos="2160"/>
        <w:tab w:val="left" w:pos="2598"/>
        <w:tab w:val="left" w:pos="3025"/>
        <w:tab w:val="left" w:pos="3452"/>
        <w:tab w:val="left" w:pos="3882"/>
        <w:tab w:val="left" w:pos="4320"/>
        <w:tab w:val="left" w:pos="4734"/>
        <w:tab w:val="left" w:pos="5161"/>
        <w:tab w:val="left" w:pos="5588"/>
        <w:tab w:val="left" w:pos="6018"/>
        <w:tab w:val="left" w:pos="6444"/>
        <w:tab w:val="left" w:pos="6870"/>
        <w:tab w:val="left" w:pos="7200"/>
      </w:tabs>
      <w:suppressAutoHyphens/>
      <w:spacing w:line="240" w:lineRule="atLeast"/>
      <w:ind w:left="462" w:hanging="462"/>
    </w:pPr>
    <w:rPr>
      <w:szCs w:val="20"/>
    </w:rPr>
  </w:style>
  <w:style w:type="character" w:customStyle="1" w:styleId="BodyTextIndent2Char">
    <w:name w:val="Body Text Indent 2 Char"/>
    <w:basedOn w:val="DefaultParagraphFont"/>
    <w:link w:val="BodyTextIndent2"/>
    <w:uiPriority w:val="99"/>
    <w:rsid w:val="0092054D"/>
    <w:rPr>
      <w:rFonts w:ascii="Times New Roman" w:eastAsia="Times New Roman" w:hAnsi="Times New Roman" w:cs="Times New Roman"/>
      <w:sz w:val="24"/>
      <w:szCs w:val="20"/>
    </w:rPr>
  </w:style>
  <w:style w:type="character" w:customStyle="1" w:styleId="CommentTextChar">
    <w:name w:val="Comment Text Char"/>
    <w:uiPriority w:val="99"/>
    <w:semiHidden/>
    <w:locked/>
    <w:rsid w:val="0092054D"/>
    <w:rPr>
      <w:rFonts w:ascii="Times New Roman" w:hAnsi="Times New Roman"/>
      <w:sz w:val="20"/>
    </w:rPr>
  </w:style>
  <w:style w:type="paragraph" w:styleId="CommentText">
    <w:name w:val="annotation text"/>
    <w:basedOn w:val="Normal"/>
    <w:link w:val="CommentTextChar1"/>
    <w:uiPriority w:val="99"/>
    <w:semiHidden/>
    <w:rsid w:val="0092054D"/>
    <w:rPr>
      <w:rFonts w:eastAsia="Calibri"/>
      <w:sz w:val="20"/>
      <w:szCs w:val="20"/>
    </w:rPr>
  </w:style>
  <w:style w:type="character" w:customStyle="1" w:styleId="CommentTextChar1">
    <w:name w:val="Comment Text Char1"/>
    <w:basedOn w:val="DefaultParagraphFont"/>
    <w:link w:val="CommentText"/>
    <w:uiPriority w:val="99"/>
    <w:semiHidden/>
    <w:rsid w:val="0092054D"/>
    <w:rPr>
      <w:rFonts w:ascii="Times New Roman" w:eastAsia="Calibri" w:hAnsi="Times New Roman" w:cs="Times New Roman"/>
      <w:sz w:val="20"/>
      <w:szCs w:val="20"/>
    </w:rPr>
  </w:style>
  <w:style w:type="paragraph" w:styleId="Footer">
    <w:name w:val="footer"/>
    <w:basedOn w:val="Normal"/>
    <w:link w:val="FooterChar"/>
    <w:uiPriority w:val="99"/>
    <w:rsid w:val="0092054D"/>
    <w:pPr>
      <w:tabs>
        <w:tab w:val="center" w:pos="4320"/>
        <w:tab w:val="right" w:pos="8640"/>
      </w:tabs>
    </w:pPr>
  </w:style>
  <w:style w:type="character" w:customStyle="1" w:styleId="FooterChar">
    <w:name w:val="Footer Char"/>
    <w:basedOn w:val="DefaultParagraphFont"/>
    <w:link w:val="Footer"/>
    <w:uiPriority w:val="99"/>
    <w:rsid w:val="0092054D"/>
    <w:rPr>
      <w:rFonts w:ascii="Times New Roman" w:eastAsia="Times New Roman" w:hAnsi="Times New Roman" w:cs="Times New Roman"/>
      <w:sz w:val="24"/>
      <w:szCs w:val="24"/>
    </w:rPr>
  </w:style>
  <w:style w:type="character" w:customStyle="1" w:styleId="BalloonTextChar">
    <w:name w:val="Balloon Text Char"/>
    <w:uiPriority w:val="99"/>
    <w:semiHidden/>
    <w:locked/>
    <w:rsid w:val="0092054D"/>
    <w:rPr>
      <w:rFonts w:ascii="Tahoma" w:hAnsi="Tahoma"/>
      <w:sz w:val="16"/>
    </w:rPr>
  </w:style>
  <w:style w:type="paragraph" w:styleId="BalloonText">
    <w:name w:val="Balloon Text"/>
    <w:basedOn w:val="Normal"/>
    <w:link w:val="BalloonTextChar1"/>
    <w:uiPriority w:val="99"/>
    <w:semiHidden/>
    <w:rsid w:val="0092054D"/>
    <w:rPr>
      <w:rFonts w:ascii="Tahoma" w:eastAsia="Calibri" w:hAnsi="Tahoma"/>
      <w:sz w:val="16"/>
      <w:szCs w:val="16"/>
    </w:rPr>
  </w:style>
  <w:style w:type="character" w:customStyle="1" w:styleId="BalloonTextChar1">
    <w:name w:val="Balloon Text Char1"/>
    <w:basedOn w:val="DefaultParagraphFont"/>
    <w:link w:val="BalloonText"/>
    <w:uiPriority w:val="99"/>
    <w:semiHidden/>
    <w:rsid w:val="0092054D"/>
    <w:rPr>
      <w:rFonts w:ascii="Tahoma" w:eastAsia="Calibri" w:hAnsi="Tahoma" w:cs="Times New Roman"/>
      <w:sz w:val="16"/>
      <w:szCs w:val="16"/>
    </w:rPr>
  </w:style>
  <w:style w:type="paragraph" w:styleId="FootnoteText">
    <w:name w:val="footnote text"/>
    <w:basedOn w:val="Normal"/>
    <w:link w:val="FootnoteTextChar"/>
    <w:uiPriority w:val="99"/>
    <w:semiHidden/>
    <w:rsid w:val="0092054D"/>
    <w:rPr>
      <w:sz w:val="20"/>
      <w:szCs w:val="20"/>
    </w:rPr>
  </w:style>
  <w:style w:type="character" w:customStyle="1" w:styleId="FootnoteTextChar">
    <w:name w:val="Footnote Text Char"/>
    <w:basedOn w:val="DefaultParagraphFont"/>
    <w:link w:val="FootnoteText"/>
    <w:uiPriority w:val="99"/>
    <w:semiHidden/>
    <w:rsid w:val="0092054D"/>
    <w:rPr>
      <w:rFonts w:ascii="Times New Roman" w:eastAsia="Times New Roman" w:hAnsi="Times New Roman" w:cs="Times New Roman"/>
      <w:sz w:val="20"/>
      <w:szCs w:val="20"/>
    </w:rPr>
  </w:style>
  <w:style w:type="character" w:styleId="FootnoteReference">
    <w:name w:val="footnote reference"/>
    <w:uiPriority w:val="99"/>
    <w:semiHidden/>
    <w:rsid w:val="0092054D"/>
    <w:rPr>
      <w:rFonts w:cs="Times New Roman"/>
      <w:vertAlign w:val="superscript"/>
    </w:rPr>
  </w:style>
  <w:style w:type="character" w:styleId="Hyperlink">
    <w:name w:val="Hyperlink"/>
    <w:uiPriority w:val="99"/>
    <w:rsid w:val="0092054D"/>
    <w:rPr>
      <w:rFonts w:cs="Times New Roman"/>
      <w:color w:val="0000FF"/>
      <w:u w:val="single"/>
    </w:rPr>
  </w:style>
  <w:style w:type="paragraph" w:styleId="BodyText2">
    <w:name w:val="Body Text 2"/>
    <w:basedOn w:val="Normal"/>
    <w:link w:val="BodyText2Char"/>
    <w:uiPriority w:val="99"/>
    <w:rsid w:val="0092054D"/>
    <w:pPr>
      <w:spacing w:after="120" w:line="480" w:lineRule="auto"/>
    </w:pPr>
  </w:style>
  <w:style w:type="character" w:customStyle="1" w:styleId="BodyText2Char">
    <w:name w:val="Body Text 2 Char"/>
    <w:basedOn w:val="DefaultParagraphFont"/>
    <w:link w:val="BodyText2"/>
    <w:uiPriority w:val="99"/>
    <w:rsid w:val="0092054D"/>
    <w:rPr>
      <w:rFonts w:ascii="Times New Roman" w:eastAsia="Times New Roman" w:hAnsi="Times New Roman" w:cs="Times New Roman"/>
      <w:sz w:val="24"/>
      <w:szCs w:val="24"/>
    </w:rPr>
  </w:style>
  <w:style w:type="character" w:styleId="PageNumber">
    <w:name w:val="page number"/>
    <w:uiPriority w:val="99"/>
    <w:rsid w:val="0092054D"/>
    <w:rPr>
      <w:rFonts w:cs="Times New Roman"/>
    </w:rPr>
  </w:style>
  <w:style w:type="paragraph" w:styleId="Header">
    <w:name w:val="header"/>
    <w:basedOn w:val="Normal"/>
    <w:link w:val="HeaderChar"/>
    <w:uiPriority w:val="99"/>
    <w:rsid w:val="0092054D"/>
    <w:pPr>
      <w:tabs>
        <w:tab w:val="center" w:pos="4320"/>
        <w:tab w:val="right" w:pos="8640"/>
      </w:tabs>
    </w:pPr>
  </w:style>
  <w:style w:type="character" w:customStyle="1" w:styleId="HeaderChar">
    <w:name w:val="Header Char"/>
    <w:basedOn w:val="DefaultParagraphFont"/>
    <w:link w:val="Header"/>
    <w:uiPriority w:val="99"/>
    <w:rsid w:val="0092054D"/>
    <w:rPr>
      <w:rFonts w:ascii="Times New Roman" w:eastAsia="Times New Roman" w:hAnsi="Times New Roman" w:cs="Times New Roman"/>
      <w:sz w:val="24"/>
      <w:szCs w:val="24"/>
    </w:rPr>
  </w:style>
  <w:style w:type="paragraph" w:styleId="BodyTextIndent">
    <w:name w:val="Body Text Indent"/>
    <w:basedOn w:val="Normal"/>
    <w:link w:val="BodyTextIndentChar"/>
    <w:uiPriority w:val="99"/>
    <w:rsid w:val="0092054D"/>
    <w:pPr>
      <w:spacing w:after="120"/>
      <w:ind w:left="360"/>
    </w:pPr>
  </w:style>
  <w:style w:type="character" w:customStyle="1" w:styleId="BodyTextIndentChar">
    <w:name w:val="Body Text Indent Char"/>
    <w:basedOn w:val="DefaultParagraphFont"/>
    <w:link w:val="BodyTextIndent"/>
    <w:uiPriority w:val="99"/>
    <w:rsid w:val="0092054D"/>
    <w:rPr>
      <w:rFonts w:ascii="Times New Roman" w:eastAsia="Times New Roman" w:hAnsi="Times New Roman" w:cs="Times New Roman"/>
      <w:sz w:val="24"/>
      <w:szCs w:val="24"/>
    </w:rPr>
  </w:style>
  <w:style w:type="character" w:customStyle="1" w:styleId="CommentSubjectChar">
    <w:name w:val="Comment Subject Char"/>
    <w:uiPriority w:val="99"/>
    <w:semiHidden/>
    <w:locked/>
    <w:rsid w:val="0092054D"/>
    <w:rPr>
      <w:rFonts w:ascii="Times New Roman" w:hAnsi="Times New Roman"/>
      <w:b/>
      <w:sz w:val="20"/>
    </w:rPr>
  </w:style>
  <w:style w:type="paragraph" w:styleId="CommentSubject">
    <w:name w:val="annotation subject"/>
    <w:basedOn w:val="CommentText"/>
    <w:next w:val="CommentText"/>
    <w:link w:val="CommentSubjectChar1"/>
    <w:uiPriority w:val="99"/>
    <w:semiHidden/>
    <w:rsid w:val="0092054D"/>
    <w:rPr>
      <w:b/>
      <w:bCs/>
    </w:rPr>
  </w:style>
  <w:style w:type="character" w:customStyle="1" w:styleId="CommentSubjectChar1">
    <w:name w:val="Comment Subject Char1"/>
    <w:basedOn w:val="CommentTextChar1"/>
    <w:link w:val="CommentSubject"/>
    <w:uiPriority w:val="99"/>
    <w:semiHidden/>
    <w:rsid w:val="0092054D"/>
    <w:rPr>
      <w:b/>
      <w:bCs/>
    </w:rPr>
  </w:style>
  <w:style w:type="paragraph" w:styleId="PlainText">
    <w:name w:val="Plain Text"/>
    <w:basedOn w:val="Normal"/>
    <w:link w:val="PlainTextChar"/>
    <w:uiPriority w:val="99"/>
    <w:rsid w:val="0092054D"/>
    <w:rPr>
      <w:rFonts w:ascii="Courier New" w:hAnsi="Courier New"/>
      <w:color w:val="000080"/>
      <w:sz w:val="20"/>
      <w:szCs w:val="20"/>
    </w:rPr>
  </w:style>
  <w:style w:type="character" w:customStyle="1" w:styleId="PlainTextChar">
    <w:name w:val="Plain Text Char"/>
    <w:basedOn w:val="DefaultParagraphFont"/>
    <w:link w:val="PlainText"/>
    <w:uiPriority w:val="99"/>
    <w:rsid w:val="0092054D"/>
    <w:rPr>
      <w:rFonts w:ascii="Courier New" w:eastAsia="Times New Roman" w:hAnsi="Courier New" w:cs="Times New Roman"/>
      <w:color w:val="000080"/>
      <w:sz w:val="20"/>
      <w:szCs w:val="20"/>
    </w:rPr>
  </w:style>
  <w:style w:type="paragraph" w:customStyle="1" w:styleId="NormalWeb3">
    <w:name w:val="Normal (Web)3"/>
    <w:basedOn w:val="Normal"/>
    <w:uiPriority w:val="99"/>
    <w:rsid w:val="0092054D"/>
    <w:pPr>
      <w:spacing w:after="192"/>
    </w:pPr>
    <w:rPr>
      <w:rFonts w:ascii="Verdana" w:hAnsi="Verdana" w:cs="Arial"/>
    </w:rPr>
  </w:style>
  <w:style w:type="paragraph" w:customStyle="1" w:styleId="NormalWeb2">
    <w:name w:val="Normal (Web)2"/>
    <w:basedOn w:val="Normal"/>
    <w:uiPriority w:val="99"/>
    <w:rsid w:val="0092054D"/>
    <w:pPr>
      <w:spacing w:after="192"/>
    </w:pPr>
    <w:rPr>
      <w:rFonts w:ascii="Verdana" w:hAnsi="Verdana" w:cs="Arial"/>
    </w:rPr>
  </w:style>
  <w:style w:type="character" w:styleId="FollowedHyperlink">
    <w:name w:val="FollowedHyperlink"/>
    <w:uiPriority w:val="99"/>
    <w:rsid w:val="0092054D"/>
    <w:rPr>
      <w:rFonts w:cs="Times New Roman"/>
      <w:color w:val="800080"/>
      <w:u w:val="single"/>
    </w:rPr>
  </w:style>
  <w:style w:type="paragraph" w:customStyle="1" w:styleId="NormalWeb4">
    <w:name w:val="Normal (Web)4"/>
    <w:basedOn w:val="Normal"/>
    <w:uiPriority w:val="99"/>
    <w:rsid w:val="0092054D"/>
    <w:pPr>
      <w:spacing w:after="192"/>
    </w:pPr>
    <w:rPr>
      <w:rFonts w:ascii="Verdana" w:hAnsi="Verdana"/>
    </w:rPr>
  </w:style>
  <w:style w:type="paragraph" w:styleId="ListParagraph">
    <w:name w:val="List Paragraph"/>
    <w:basedOn w:val="Normal"/>
    <w:uiPriority w:val="99"/>
    <w:qFormat/>
    <w:rsid w:val="0092054D"/>
    <w:pPr>
      <w:ind w:left="720"/>
      <w:contextualSpacing/>
    </w:pPr>
  </w:style>
  <w:style w:type="character" w:styleId="CommentReference">
    <w:name w:val="annotation reference"/>
    <w:uiPriority w:val="99"/>
    <w:semiHidden/>
    <w:rsid w:val="0092054D"/>
    <w:rPr>
      <w:rFonts w:cs="Times New Roman"/>
      <w:sz w:val="16"/>
      <w:szCs w:val="16"/>
    </w:rPr>
  </w:style>
  <w:style w:type="paragraph" w:styleId="NoSpacing">
    <w:name w:val="No Spacing"/>
    <w:qFormat/>
    <w:rsid w:val="0092054D"/>
    <w:pPr>
      <w:spacing w:after="0" w:line="240" w:lineRule="auto"/>
    </w:pPr>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kelly@acf.hhs.gov"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cf.dhhs.gov/programs/ofs/forms.ht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d.kelly@acf.hhs.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davis@ncsc.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vid.kelly@acf.hhs.gov"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niem.gov" TargetMode="External"/><Relationship Id="rId13" Type="http://schemas.openxmlformats.org/officeDocument/2006/relationships/hyperlink" Target="http://www.americanbar.org/groups/child_law/projects_initiatives/rclji.html" TargetMode="External"/><Relationship Id="rId3" Type="http://schemas.openxmlformats.org/officeDocument/2006/relationships/hyperlink" Target="http://www.acf.hhs.gov/programs/cb/laws_policies/policy/pi/2007/pi0709.htm" TargetMode="External"/><Relationship Id="rId7" Type="http://schemas.openxmlformats.org/officeDocument/2006/relationships/hyperlink" Target="http://www.americanbar.org/groups/child_law/projects_initiatives/parentrepresentation.html" TargetMode="External"/><Relationship Id="rId12" Type="http://schemas.openxmlformats.org/officeDocument/2006/relationships/hyperlink" Target="http://ojjdp.ncjrs.gov/publications/courttoolkit.html" TargetMode="External"/><Relationship Id="rId2" Type="http://schemas.openxmlformats.org/officeDocument/2006/relationships/hyperlink" Target="http://www.acf.hhs.gov/programs/cb/laws_policies/policy/pi/2003/pi0304.htm" TargetMode="External"/><Relationship Id="rId1" Type="http://schemas.openxmlformats.org/officeDocument/2006/relationships/hyperlink" Target="http://www.acf.hhs.gov/programs/cb/laws_policies/policy/pi/1994/pi9412.htm" TargetMode="External"/><Relationship Id="rId6" Type="http://schemas.openxmlformats.org/officeDocument/2006/relationships/hyperlink" Target="http://www.improvechildrep.org" TargetMode="External"/><Relationship Id="rId11" Type="http://schemas.openxmlformats.org/officeDocument/2006/relationships/hyperlink" Target="http://www.icmeducation.org/katrina/content.html" TargetMode="External"/><Relationship Id="rId5" Type="http://schemas.openxmlformats.org/officeDocument/2006/relationships/hyperlink" Target="http://contentdm.ncsconline.org/cgi-bin/showfile.exe?CISOROOT=/famct&amp;CISOPTR=63" TargetMode="External"/><Relationship Id="rId15" Type="http://schemas.openxmlformats.org/officeDocument/2006/relationships/hyperlink" Target="http://muskie.usm.maine.edu/helpkids/" TargetMode="External"/><Relationship Id="rId10" Type="http://schemas.openxmlformats.org/officeDocument/2006/relationships/hyperlink" Target="https://www.ncsconline.org/What'sNew/NewsAlerts/NewsAlertHaveRecoveryPlan.html" TargetMode="External"/><Relationship Id="rId4" Type="http://schemas.openxmlformats.org/officeDocument/2006/relationships/hyperlink" Target="http://www.ncjfcj.org/images/stories/dept/ppcd/pdf/resguide.pdf" TargetMode="External"/><Relationship Id="rId9" Type="http://schemas.openxmlformats.org/officeDocument/2006/relationships/hyperlink" Target="http://www.ncjfcj.org/images/stories/dept/ppcd/pdf/katrina%20ta%20brief%20final.pdf" TargetMode="External"/><Relationship Id="rId14" Type="http://schemas.openxmlformats.org/officeDocument/2006/relationships/hyperlink" Target="https://www.nrccwdt.org/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916BC-EA96-4DFA-B3F6-60B57AA2E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6028</Words>
  <Characters>34364</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40312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Dkelly</dc:creator>
  <cp:keywords/>
  <dc:description/>
  <cp:lastModifiedBy>Dkelly</cp:lastModifiedBy>
  <cp:revision>2</cp:revision>
  <cp:lastPrinted>2011-10-12T23:11:00Z</cp:lastPrinted>
  <dcterms:created xsi:type="dcterms:W3CDTF">2011-11-28T19:35:00Z</dcterms:created>
  <dcterms:modified xsi:type="dcterms:W3CDTF">2011-11-28T19:35:00Z</dcterms:modified>
</cp:coreProperties>
</file>