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15" w:rsidRDefault="00355315" w:rsidP="00355315">
      <w:pPr>
        <w:pStyle w:val="Default"/>
      </w:pPr>
    </w:p>
    <w:p w:rsidR="00355315" w:rsidRPr="00355315" w:rsidRDefault="00355315" w:rsidP="00355315">
      <w:pPr>
        <w:pStyle w:val="Default"/>
      </w:pPr>
      <w:r w:rsidRPr="00355315">
        <w:rPr>
          <w:b/>
          <w:bCs/>
        </w:rPr>
        <w:t xml:space="preserve">Justification for OMB approval of no material or </w:t>
      </w:r>
      <w:proofErr w:type="spellStart"/>
      <w:r w:rsidRPr="00355315">
        <w:rPr>
          <w:b/>
          <w:bCs/>
        </w:rPr>
        <w:t>nonsubstantive</w:t>
      </w:r>
      <w:proofErr w:type="spellEnd"/>
      <w:r w:rsidRPr="00355315">
        <w:rPr>
          <w:b/>
          <w:bCs/>
        </w:rPr>
        <w:t xml:space="preserve"> change to currently approved information collection 1212-0013 </w:t>
      </w:r>
    </w:p>
    <w:p w:rsidR="00355315" w:rsidRDefault="00355315" w:rsidP="00355315">
      <w:pPr>
        <w:pStyle w:val="Default"/>
      </w:pPr>
    </w:p>
    <w:p w:rsidR="00355315" w:rsidRDefault="00355315" w:rsidP="00355315">
      <w:pPr>
        <w:pStyle w:val="Default"/>
      </w:pPr>
      <w:r w:rsidRPr="00355315">
        <w:t xml:space="preserve">The Pension Protection Act of 2006 (PPA 2006) changed plan funding rules and the related variable-rate premium (VRP) rules. PBGC’s reportable events regulation contains provisions — dealing with waivers, extensions, and reporting thresholds — that refer to the funding and VRP rules. </w:t>
      </w:r>
      <w:r>
        <w:t xml:space="preserve"> </w:t>
      </w:r>
      <w:r>
        <w:t xml:space="preserve">In 2009, PBGC published a proposed rule to amend the reportable events regulation to accommodate the changes (and make other modifications), </w:t>
      </w:r>
      <w:hyperlink r:id="rId4" w:history="1">
        <w:r w:rsidR="00A45A1E" w:rsidRPr="001E370C">
          <w:rPr>
            <w:rStyle w:val="Hyperlink"/>
          </w:rPr>
          <w:t>http://www.pbgc.gov/Documents/E9-28056.pdf</w:t>
        </w:r>
      </w:hyperlink>
      <w:r w:rsidR="00A45A1E">
        <w:t xml:space="preserve"> </w:t>
      </w:r>
      <w:r>
        <w:t xml:space="preserve">.  Based on comments and in the spirit of Executive Order 13563, PBGC will re-repropose the rule.  However, practitioners need guidance about how to apply the existing regulation before the amendments go into effect.  </w:t>
      </w:r>
    </w:p>
    <w:p w:rsidR="00355315" w:rsidRDefault="00355315" w:rsidP="00355315">
      <w:pPr>
        <w:pStyle w:val="Default"/>
      </w:pPr>
    </w:p>
    <w:p w:rsidR="000E3D05" w:rsidRPr="00355315" w:rsidRDefault="00355315" w:rsidP="00355315">
      <w:pPr>
        <w:pStyle w:val="Default"/>
      </w:pPr>
      <w:r>
        <w:t xml:space="preserve">Technical Update 11-1 would simply maintain the status quo by extending </w:t>
      </w:r>
      <w:r w:rsidR="00A45A1E">
        <w:t xml:space="preserve">for 2012 plan years </w:t>
      </w:r>
      <w:r>
        <w:t xml:space="preserve">the guidance PBGC provided for 2011 plan years.  </w:t>
      </w:r>
    </w:p>
    <w:sectPr w:rsidR="000E3D05" w:rsidRPr="00355315" w:rsidSect="000E3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5315"/>
    <w:rsid w:val="000E3D05"/>
    <w:rsid w:val="00355315"/>
    <w:rsid w:val="00A4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53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5A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bgc.gov/Documents/E9-2805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>PBGC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ldoon39</dc:creator>
  <cp:keywords/>
  <dc:description/>
  <cp:lastModifiedBy>ldoon39</cp:lastModifiedBy>
  <cp:revision>2</cp:revision>
  <dcterms:created xsi:type="dcterms:W3CDTF">2011-11-10T16:31:00Z</dcterms:created>
  <dcterms:modified xsi:type="dcterms:W3CDTF">2011-11-10T16:31:00Z</dcterms:modified>
</cp:coreProperties>
</file>