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971" w:rsidRDefault="006E2971">
      <w:pPr>
        <w:keepNext/>
        <w:keepLines/>
        <w:widowControl w:val="0"/>
        <w:spacing w:after="360"/>
        <w:jc w:val="center"/>
        <w:rPr>
          <w:b/>
          <w:sz w:val="32"/>
        </w:rPr>
      </w:pPr>
      <w:r>
        <w:rPr>
          <w:b/>
          <w:sz w:val="32"/>
        </w:rPr>
        <w:t xml:space="preserve">SUPPORTING STATEMENT FOR </w:t>
      </w:r>
      <w:r>
        <w:rPr>
          <w:b/>
          <w:sz w:val="32"/>
        </w:rPr>
        <w:br/>
        <w:t>PAPERWORK REDUCTION ACT SUBMISSION</w:t>
      </w:r>
    </w:p>
    <w:p w:rsidR="006E2971" w:rsidRDefault="006E2971">
      <w:pPr>
        <w:keepNext/>
        <w:keepLines/>
        <w:widowControl w:val="0"/>
        <w:jc w:val="center"/>
        <w:rPr>
          <w:b/>
          <w:sz w:val="32"/>
          <w:lang w:val="fr-FR"/>
        </w:rPr>
      </w:pPr>
      <w:r>
        <w:rPr>
          <w:b/>
          <w:sz w:val="32"/>
          <w:lang w:val="fr-FR"/>
        </w:rPr>
        <w:t xml:space="preserve">1405-0135, </w:t>
      </w:r>
      <w:r w:rsidR="00451458">
        <w:rPr>
          <w:b/>
          <w:sz w:val="32"/>
          <w:lang w:val="fr-FR"/>
        </w:rPr>
        <w:t>J-1 visa</w:t>
      </w:r>
      <w:r>
        <w:rPr>
          <w:b/>
          <w:sz w:val="32"/>
          <w:lang w:val="fr-FR"/>
        </w:rPr>
        <w:t xml:space="preserve"> </w:t>
      </w:r>
      <w:proofErr w:type="spellStart"/>
      <w:r>
        <w:rPr>
          <w:b/>
          <w:sz w:val="32"/>
          <w:lang w:val="fr-FR"/>
        </w:rPr>
        <w:t>Waiver</w:t>
      </w:r>
      <w:proofErr w:type="spellEnd"/>
      <w:r>
        <w:rPr>
          <w:b/>
          <w:sz w:val="32"/>
          <w:lang w:val="fr-FR"/>
        </w:rPr>
        <w:t xml:space="preserve"> </w:t>
      </w:r>
      <w:proofErr w:type="spellStart"/>
      <w:r>
        <w:rPr>
          <w:b/>
          <w:sz w:val="32"/>
          <w:lang w:val="fr-FR"/>
        </w:rPr>
        <w:t>Recommendation</w:t>
      </w:r>
      <w:proofErr w:type="spellEnd"/>
      <w:r>
        <w:rPr>
          <w:b/>
          <w:sz w:val="32"/>
          <w:lang w:val="fr-FR"/>
        </w:rPr>
        <w:t xml:space="preserve"> Application</w:t>
      </w:r>
    </w:p>
    <w:p w:rsidR="006E2971" w:rsidRDefault="006E2971">
      <w:pPr>
        <w:keepNext/>
        <w:keepLines/>
        <w:widowControl w:val="0"/>
        <w:jc w:val="center"/>
        <w:rPr>
          <w:b/>
          <w:sz w:val="32"/>
          <w:lang w:val="fr-FR"/>
        </w:rPr>
      </w:pPr>
      <w:r>
        <w:rPr>
          <w:b/>
          <w:sz w:val="32"/>
          <w:lang w:val="fr-FR"/>
        </w:rPr>
        <w:t>(</w:t>
      </w:r>
      <w:proofErr w:type="spellStart"/>
      <w:r>
        <w:rPr>
          <w:b/>
          <w:sz w:val="32"/>
          <w:lang w:val="fr-FR"/>
        </w:rPr>
        <w:t>Form</w:t>
      </w:r>
      <w:proofErr w:type="spellEnd"/>
      <w:r>
        <w:rPr>
          <w:b/>
          <w:sz w:val="32"/>
          <w:lang w:val="fr-FR"/>
        </w:rPr>
        <w:t xml:space="preserve"> DS-3035)</w:t>
      </w:r>
    </w:p>
    <w:p w:rsidR="006E2971" w:rsidRDefault="006E2971">
      <w:pPr>
        <w:pStyle w:val="Heading1"/>
        <w:jc w:val="left"/>
      </w:pPr>
    </w:p>
    <w:p w:rsidR="006E2971" w:rsidRDefault="006E2971">
      <w:pPr>
        <w:pStyle w:val="Heading1"/>
        <w:jc w:val="left"/>
      </w:pPr>
    </w:p>
    <w:p w:rsidR="006E2971" w:rsidRDefault="006E2971">
      <w:pPr>
        <w:pStyle w:val="Heading1"/>
        <w:jc w:val="left"/>
      </w:pPr>
      <w:r>
        <w:t>A.</w:t>
      </w:r>
      <w:r>
        <w:tab/>
        <w:t>JUSTIFICATION</w:t>
      </w:r>
    </w:p>
    <w:p w:rsidR="006E2971" w:rsidRDefault="006E2971">
      <w:pPr>
        <w:pStyle w:val="p6"/>
        <w:widowControl/>
        <w:tabs>
          <w:tab w:val="clear" w:pos="204"/>
        </w:tabs>
        <w:spacing w:line="240" w:lineRule="auto"/>
      </w:pPr>
    </w:p>
    <w:p w:rsidR="00374BDD" w:rsidRPr="0064190D" w:rsidRDefault="00FE1F86" w:rsidP="00374BDD">
      <w:pPr>
        <w:pStyle w:val="p5"/>
        <w:numPr>
          <w:ilvl w:val="0"/>
          <w:numId w:val="16"/>
        </w:numPr>
        <w:tabs>
          <w:tab w:val="clear" w:pos="515"/>
          <w:tab w:val="clear" w:pos="720"/>
          <w:tab w:val="left" w:pos="540"/>
        </w:tabs>
        <w:spacing w:line="240" w:lineRule="auto"/>
        <w:ind w:left="0" w:firstLine="0"/>
      </w:pPr>
      <w:r w:rsidRPr="00FE1F86">
        <w:rPr>
          <w:szCs w:val="24"/>
        </w:rPr>
        <w:t xml:space="preserve"> </w:t>
      </w:r>
      <w:r w:rsidR="00374BDD">
        <w:t xml:space="preserve">The Immigration and Nationality Act (“INA”), 8 U.S.C. 1101 </w:t>
      </w:r>
      <w:r w:rsidR="00374BDD">
        <w:rPr>
          <w:u w:val="single"/>
        </w:rPr>
        <w:t>et seq</w:t>
      </w:r>
      <w:r w:rsidR="00374BDD">
        <w:t>., statutorily mandates the application and eligibility requirements for aliens seeking to obtain nonimmigrant visas.  INA Section 212(e) (Attachment 1) provides that a person admitted under Section 101(a)(15)(J) (Attachment 2) or acquiring such status after admission:</w:t>
      </w:r>
    </w:p>
    <w:p w:rsidR="00374BDD" w:rsidRDefault="00374BDD" w:rsidP="00374BDD">
      <w:pPr>
        <w:tabs>
          <w:tab w:val="left" w:pos="515"/>
        </w:tabs>
        <w:rPr>
          <w:sz w:val="24"/>
        </w:rPr>
      </w:pPr>
      <w:r>
        <w:rPr>
          <w:sz w:val="24"/>
        </w:rPr>
        <w:t>(</w:t>
      </w:r>
      <w:proofErr w:type="spellStart"/>
      <w:r>
        <w:rPr>
          <w:sz w:val="24"/>
        </w:rPr>
        <w:t>i</w:t>
      </w:r>
      <w:proofErr w:type="spellEnd"/>
      <w:r>
        <w:rPr>
          <w:sz w:val="24"/>
        </w:rPr>
        <w:t xml:space="preserve">) </w:t>
      </w:r>
      <w:r>
        <w:rPr>
          <w:sz w:val="24"/>
        </w:rPr>
        <w:tab/>
        <w:t>Whose participation in the program for which he came to the United States was financed in whole or in part, directly or indirectly, by an agency of the United States Government or by the government of the country of his nationality or of his last legal permanent residence;</w:t>
      </w:r>
    </w:p>
    <w:p w:rsidR="00374BDD" w:rsidRPr="0064190D" w:rsidRDefault="00374BDD" w:rsidP="00374BDD">
      <w:pPr>
        <w:tabs>
          <w:tab w:val="left" w:pos="515"/>
        </w:tabs>
        <w:rPr>
          <w:sz w:val="24"/>
          <w:szCs w:val="24"/>
        </w:rPr>
      </w:pPr>
      <w:r>
        <w:rPr>
          <w:sz w:val="24"/>
        </w:rPr>
        <w:t>(</w:t>
      </w:r>
      <w:r w:rsidRPr="0064190D">
        <w:rPr>
          <w:sz w:val="24"/>
          <w:szCs w:val="24"/>
        </w:rPr>
        <w:t xml:space="preserve">ii) </w:t>
      </w:r>
      <w:r w:rsidRPr="0064190D">
        <w:rPr>
          <w:sz w:val="24"/>
          <w:szCs w:val="24"/>
        </w:rPr>
        <w:tab/>
        <w:t>Who at the time of admission or acquisition of status under 101(a</w:t>
      </w:r>
      <w:proofErr w:type="gramStart"/>
      <w:r w:rsidRPr="0064190D">
        <w:rPr>
          <w:sz w:val="24"/>
          <w:szCs w:val="24"/>
        </w:rPr>
        <w:t>)(</w:t>
      </w:r>
      <w:proofErr w:type="gramEnd"/>
      <w:r w:rsidRPr="0064190D">
        <w:rPr>
          <w:sz w:val="24"/>
          <w:szCs w:val="24"/>
        </w:rPr>
        <w:t>15)(J) was a national or resident of a country which the Director of the United States Information Agency, pursuant to regulations prescribed by him, had designated as clearly requiring the services of persons engaged in the field of specialized knowledge or skill in which the alien was engaged; or</w:t>
      </w:r>
    </w:p>
    <w:p w:rsidR="0064190D" w:rsidRPr="0064190D" w:rsidRDefault="00374BDD" w:rsidP="00374BDD">
      <w:pPr>
        <w:numPr>
          <w:ilvl w:val="0"/>
          <w:numId w:val="15"/>
        </w:numPr>
        <w:tabs>
          <w:tab w:val="left" w:pos="515"/>
        </w:tabs>
        <w:ind w:left="0" w:firstLine="0"/>
        <w:rPr>
          <w:sz w:val="24"/>
          <w:szCs w:val="24"/>
        </w:rPr>
      </w:pPr>
      <w:r w:rsidRPr="0064190D">
        <w:rPr>
          <w:sz w:val="24"/>
          <w:szCs w:val="24"/>
        </w:rPr>
        <w:t xml:space="preserve">Who came to the United States or acquired such status in order to receive graduate medical education or training, </w:t>
      </w:r>
    </w:p>
    <w:p w:rsidR="00374BDD" w:rsidRPr="0064190D" w:rsidRDefault="00374BDD" w:rsidP="0064190D">
      <w:pPr>
        <w:tabs>
          <w:tab w:val="left" w:pos="515"/>
        </w:tabs>
        <w:rPr>
          <w:sz w:val="24"/>
          <w:szCs w:val="24"/>
        </w:rPr>
      </w:pPr>
      <w:r w:rsidRPr="0064190D">
        <w:rPr>
          <w:sz w:val="24"/>
          <w:szCs w:val="24"/>
        </w:rPr>
        <w:t>shall not be eligible to apply for an immigrant visa, or for permanent residence, or for a nonimmigrant visa under section 101(a</w:t>
      </w:r>
      <w:proofErr w:type="gramStart"/>
      <w:r w:rsidRPr="0064190D">
        <w:rPr>
          <w:sz w:val="24"/>
          <w:szCs w:val="24"/>
        </w:rPr>
        <w:t>)(</w:t>
      </w:r>
      <w:proofErr w:type="gramEnd"/>
      <w:r w:rsidRPr="0064190D">
        <w:rPr>
          <w:sz w:val="24"/>
          <w:szCs w:val="24"/>
        </w:rPr>
        <w:t>15)(H) or section 101(a)(15)(L) until it is established that such person has resided and been physically present in the country of his nationality or his last legal permanent residence for an aggregate of at least two years following departure from the United States.</w:t>
      </w:r>
    </w:p>
    <w:p w:rsidR="00374BDD" w:rsidRDefault="00374BDD" w:rsidP="00374BDD">
      <w:pPr>
        <w:tabs>
          <w:tab w:val="left" w:pos="617"/>
        </w:tabs>
        <w:rPr>
          <w:sz w:val="24"/>
        </w:rPr>
      </w:pPr>
    </w:p>
    <w:p w:rsidR="00374BDD" w:rsidRDefault="00374BDD" w:rsidP="00374BDD">
      <w:pPr>
        <w:pStyle w:val="p3"/>
        <w:tabs>
          <w:tab w:val="clear" w:pos="617"/>
          <w:tab w:val="left" w:pos="518"/>
        </w:tabs>
        <w:spacing w:line="240" w:lineRule="auto"/>
        <w:ind w:firstLine="0"/>
      </w:pPr>
      <w:r>
        <w:t>INA Section 212(e) also provides for a waiver of the two-year foreign residence requirement if the Secretary of State recommends a waiver to the Attorney General in the public interest or if the return of the alien to his or her country of nationality would result in exceptional hardship or probable persecution on account of race, religion, or political opinion.  INA section 214(l) (Attachment 3) also provides for a waiver of the 212(e) residence requirement if the alien is a health care professional who agrees to practice medicine for at least 3 years in a geographic area or areas designated by the Secretary of Health and Human Services as having a shortage of health care professionals.</w:t>
      </w:r>
    </w:p>
    <w:p w:rsidR="00374BDD" w:rsidRDefault="00374BDD" w:rsidP="00374BDD">
      <w:pPr>
        <w:pStyle w:val="p3"/>
        <w:tabs>
          <w:tab w:val="clear" w:pos="617"/>
          <w:tab w:val="left" w:pos="518"/>
        </w:tabs>
        <w:spacing w:line="240" w:lineRule="auto"/>
        <w:ind w:firstLine="0"/>
      </w:pPr>
    </w:p>
    <w:p w:rsidR="00374BDD" w:rsidRDefault="00374BDD" w:rsidP="00374BDD">
      <w:pPr>
        <w:pStyle w:val="p3"/>
        <w:tabs>
          <w:tab w:val="clear" w:pos="617"/>
          <w:tab w:val="left" w:pos="518"/>
        </w:tabs>
        <w:spacing w:line="240" w:lineRule="auto"/>
        <w:ind w:firstLine="0"/>
      </w:pPr>
      <w:r>
        <w:t xml:space="preserve">Department of State regulations pertaining to the waiver of the 2-year residence requirement are published at 22 CFR 41.63 (Attachment 4).  </w:t>
      </w:r>
    </w:p>
    <w:p w:rsidR="006E2971" w:rsidRDefault="006E2971" w:rsidP="00374BDD"/>
    <w:p w:rsidR="006E2971" w:rsidRDefault="006E2971">
      <w:pPr>
        <w:pStyle w:val="p5"/>
        <w:tabs>
          <w:tab w:val="clear" w:pos="515"/>
        </w:tabs>
        <w:spacing w:line="240" w:lineRule="auto"/>
      </w:pPr>
      <w:r>
        <w:t xml:space="preserve">2.  The </w:t>
      </w:r>
      <w:r w:rsidR="00451458">
        <w:t>J-1 visa</w:t>
      </w:r>
      <w:r>
        <w:t xml:space="preserve"> Waiver Recommendation App</w:t>
      </w:r>
      <w:r w:rsidR="005B1902">
        <w:t>lication, DS-3035</w:t>
      </w:r>
      <w:r>
        <w:t xml:space="preserve">, is used to record the information required by 22 CFR 41.63 for a waiver request filed with the Secretary of State.  The information requested on the form is limited to that which is necessary to </w:t>
      </w:r>
      <w:r>
        <w:lastRenderedPageBreak/>
        <w:t xml:space="preserve">enable the Waiver Review Division of the Visa Office of the Department of State (CA/VO/L/W) to act on the request.  Applicants provide biographic data and details of their periods of stay on </w:t>
      </w:r>
      <w:r w:rsidR="00451458">
        <w:t>J-1 visa</w:t>
      </w:r>
      <w:r>
        <w:t xml:space="preserve">s in the </w:t>
      </w:r>
      <w:smartTag w:uri="urn:schemas-microsoft-com:office:smarttags" w:element="place">
        <w:smartTag w:uri="urn:schemas-microsoft-com:office:smarttags" w:element="country-region">
          <w:r>
            <w:t>United States</w:t>
          </w:r>
        </w:smartTag>
      </w:smartTag>
      <w:r>
        <w:t xml:space="preserve">.  The Department is unable to approve a nonimmigrant visa without collecting this information. </w:t>
      </w:r>
    </w:p>
    <w:p w:rsidR="006E2971" w:rsidRDefault="006E2971">
      <w:pPr>
        <w:rPr>
          <w:sz w:val="24"/>
        </w:rPr>
      </w:pPr>
    </w:p>
    <w:p w:rsidR="00FE1F86" w:rsidRDefault="006E2971" w:rsidP="00FE1F86">
      <w:pPr>
        <w:widowControl w:val="0"/>
        <w:tabs>
          <w:tab w:val="left" w:pos="204"/>
        </w:tabs>
        <w:autoSpaceDE w:val="0"/>
        <w:autoSpaceDN w:val="0"/>
        <w:adjustRightInd w:val="0"/>
        <w:spacing w:line="238" w:lineRule="atLeast"/>
        <w:rPr>
          <w:sz w:val="24"/>
          <w:szCs w:val="24"/>
        </w:rPr>
      </w:pPr>
      <w:r>
        <w:rPr>
          <w:sz w:val="24"/>
          <w:szCs w:val="24"/>
        </w:rPr>
        <w:t>3.</w:t>
      </w:r>
      <w:r>
        <w:rPr>
          <w:b/>
          <w:bCs/>
          <w:sz w:val="24"/>
          <w:szCs w:val="24"/>
        </w:rPr>
        <w:t xml:space="preserve">   </w:t>
      </w:r>
      <w:r w:rsidR="00FE1F86">
        <w:rPr>
          <w:sz w:val="24"/>
          <w:szCs w:val="24"/>
        </w:rPr>
        <w:t xml:space="preserve">The Department has developed a process to automate the entry of the J-1 visa Waiver Recommendation Application data into consular systems and to provide forms on the Department of State websites that afford an electronic option consistent with requirements of both homeland security and the Government Paperwork Elimination Act.  As of February 1, 2009, all applicants complete </w:t>
      </w:r>
      <w:r w:rsidR="00C607AF">
        <w:rPr>
          <w:sz w:val="24"/>
          <w:szCs w:val="24"/>
        </w:rPr>
        <w:t>the</w:t>
      </w:r>
      <w:r w:rsidR="00FE1F86">
        <w:rPr>
          <w:sz w:val="24"/>
          <w:szCs w:val="24"/>
        </w:rPr>
        <w:t xml:space="preserve"> electronic version of the form.  The online J-1 visa Waiver Recommendation Application prints three 2-D bar codes, which eliminate significant data entry burdens.  (When the form is completed on-line, the data is incorporated into three 2-D barcodes and printed on an additional sheet that accompanies the form.  When the Waiver Review Division receives the form, the data entry clerk scans the barcodes and all relevant fields of information are thereby downloaded into the Department’s computer system for electronic storage and retrieval.) The Department is in the process of developing an electronic</w:t>
      </w:r>
      <w:r w:rsidR="00C607AF">
        <w:rPr>
          <w:sz w:val="24"/>
          <w:szCs w:val="24"/>
        </w:rPr>
        <w:t>, user-guided</w:t>
      </w:r>
      <w:r w:rsidR="00FE1F86">
        <w:rPr>
          <w:sz w:val="24"/>
          <w:szCs w:val="24"/>
        </w:rPr>
        <w:t xml:space="preserve"> version of the DS-3035, which is scheduled to be released in </w:t>
      </w:r>
      <w:r w:rsidR="00C607AF">
        <w:rPr>
          <w:sz w:val="24"/>
          <w:szCs w:val="24"/>
        </w:rPr>
        <w:t>fall</w:t>
      </w:r>
      <w:r w:rsidR="00FE1F86">
        <w:rPr>
          <w:sz w:val="24"/>
          <w:szCs w:val="24"/>
        </w:rPr>
        <w:t xml:space="preserve"> of 201</w:t>
      </w:r>
      <w:r w:rsidR="00C607AF">
        <w:rPr>
          <w:sz w:val="24"/>
          <w:szCs w:val="24"/>
        </w:rPr>
        <w:t>1</w:t>
      </w:r>
      <w:r w:rsidR="00FE1F86">
        <w:rPr>
          <w:sz w:val="24"/>
          <w:szCs w:val="24"/>
        </w:rPr>
        <w:t xml:space="preserve">. </w:t>
      </w:r>
    </w:p>
    <w:p w:rsidR="00FE1F86" w:rsidRDefault="00FE1F86" w:rsidP="00FE1F86">
      <w:pPr>
        <w:widowControl w:val="0"/>
        <w:tabs>
          <w:tab w:val="left" w:pos="204"/>
        </w:tabs>
        <w:autoSpaceDE w:val="0"/>
        <w:autoSpaceDN w:val="0"/>
        <w:adjustRightInd w:val="0"/>
        <w:spacing w:line="238" w:lineRule="atLeast"/>
        <w:rPr>
          <w:sz w:val="24"/>
        </w:rPr>
      </w:pPr>
    </w:p>
    <w:p w:rsidR="006E2971" w:rsidRDefault="00FE1F86">
      <w:pPr>
        <w:pStyle w:val="p6"/>
        <w:widowControl/>
        <w:tabs>
          <w:tab w:val="clear" w:pos="204"/>
        </w:tabs>
        <w:spacing w:line="240" w:lineRule="auto"/>
      </w:pPr>
      <w:r>
        <w:t xml:space="preserve">4. The Department is unable to approve relevant immigrant or nonimmigrant visas and DHS is unable to approve some adjustments of status without collecting this information.  </w:t>
      </w:r>
    </w:p>
    <w:p w:rsidR="006E2971" w:rsidRDefault="006E2971">
      <w:pPr>
        <w:rPr>
          <w:sz w:val="24"/>
        </w:rPr>
      </w:pPr>
    </w:p>
    <w:p w:rsidR="00FE1F86" w:rsidRDefault="006E2971" w:rsidP="00FE1F86">
      <w:pPr>
        <w:rPr>
          <w:sz w:val="24"/>
        </w:rPr>
      </w:pPr>
      <w:r>
        <w:rPr>
          <w:sz w:val="24"/>
        </w:rPr>
        <w:t xml:space="preserve">5.  </w:t>
      </w:r>
      <w:r w:rsidR="00FE1F86">
        <w:rPr>
          <w:sz w:val="24"/>
        </w:rPr>
        <w:t>The information collection does not involve small businesses or other small entities.</w:t>
      </w:r>
    </w:p>
    <w:p w:rsidR="006E2971" w:rsidRDefault="006E2971">
      <w:pPr>
        <w:rPr>
          <w:sz w:val="24"/>
        </w:rPr>
      </w:pPr>
    </w:p>
    <w:p w:rsidR="006E2971" w:rsidRDefault="006E2971">
      <w:pPr>
        <w:rPr>
          <w:sz w:val="24"/>
        </w:rPr>
      </w:pPr>
      <w:r>
        <w:rPr>
          <w:sz w:val="24"/>
        </w:rPr>
        <w:t>6.  This information collection is essential for determining whether applicants are recommended for 212(e) waivers.  The Department of State could not carry out its statutorily mandated requirement to recommend applicants for waivers without obtaining the information on this form.  An applicant fills out the form one time per application; thus, it is not possible to collect the information less frequently.</w:t>
      </w:r>
    </w:p>
    <w:p w:rsidR="006E2971" w:rsidRDefault="006E2971">
      <w:pPr>
        <w:rPr>
          <w:sz w:val="24"/>
        </w:rPr>
      </w:pPr>
    </w:p>
    <w:p w:rsidR="006E2971" w:rsidRDefault="006E2971">
      <w:pPr>
        <w:rPr>
          <w:sz w:val="24"/>
        </w:rPr>
      </w:pPr>
      <w:r>
        <w:rPr>
          <w:sz w:val="24"/>
        </w:rPr>
        <w:t>7.  Not applicable; no such circumstances exist.</w:t>
      </w:r>
    </w:p>
    <w:p w:rsidR="006E2971" w:rsidRDefault="006E2971">
      <w:pPr>
        <w:rPr>
          <w:sz w:val="24"/>
        </w:rPr>
      </w:pPr>
    </w:p>
    <w:p w:rsidR="005F470A" w:rsidRDefault="006E2971" w:rsidP="005F470A">
      <w:pPr>
        <w:pStyle w:val="p6"/>
        <w:widowControl/>
        <w:tabs>
          <w:tab w:val="clear" w:pos="204"/>
        </w:tabs>
        <w:spacing w:line="240" w:lineRule="auto"/>
      </w:pPr>
      <w:r>
        <w:t xml:space="preserve">8.  </w:t>
      </w:r>
      <w:r w:rsidR="00FE1F86">
        <w:t>The Department of State (Visa Services (CA/VO), Bureau of Co</w:t>
      </w:r>
      <w:r w:rsidR="00BF2146">
        <w:t xml:space="preserve">nsular Affairs) </w:t>
      </w:r>
      <w:r w:rsidR="00C607AF">
        <w:t>publish</w:t>
      </w:r>
      <w:r w:rsidR="00BF2146">
        <w:t>ed a 6</w:t>
      </w:r>
      <w:r w:rsidR="00FE1F86">
        <w:t>0-day notice to solicit public comments for this collection.</w:t>
      </w:r>
      <w:r w:rsidR="00BF2146">
        <w:t xml:space="preserve"> No comments were received.</w:t>
      </w:r>
      <w:r w:rsidR="00FE1F86">
        <w:t xml:space="preserve">  CA/VO meets regularly with immigration experts of the Department of Homeland Security to coordinate policy.  CA/VO also holds regularly scheduled formal meetings with representatives of the Immigration Bar, during which their opinions and suggestions regarding visa procedures and operations are discussed.</w:t>
      </w:r>
    </w:p>
    <w:p w:rsidR="006E2971" w:rsidRDefault="006E2971" w:rsidP="005F470A">
      <w:pPr>
        <w:pStyle w:val="p6"/>
        <w:widowControl/>
        <w:tabs>
          <w:tab w:val="clear" w:pos="204"/>
        </w:tabs>
        <w:spacing w:line="240" w:lineRule="auto"/>
      </w:pPr>
    </w:p>
    <w:p w:rsidR="006E2971" w:rsidRDefault="006E2971">
      <w:pPr>
        <w:numPr>
          <w:ilvl w:val="0"/>
          <w:numId w:val="5"/>
        </w:numPr>
        <w:rPr>
          <w:sz w:val="24"/>
        </w:rPr>
      </w:pPr>
      <w:r>
        <w:rPr>
          <w:sz w:val="24"/>
        </w:rPr>
        <w:t xml:space="preserve">No payment or gift is provided to respondents. </w:t>
      </w:r>
    </w:p>
    <w:p w:rsidR="006E2971" w:rsidRDefault="006E2971">
      <w:pPr>
        <w:rPr>
          <w:sz w:val="24"/>
        </w:rPr>
      </w:pPr>
    </w:p>
    <w:p w:rsidR="006E2971" w:rsidRDefault="006E2971">
      <w:pPr>
        <w:pStyle w:val="p6"/>
        <w:tabs>
          <w:tab w:val="clear" w:pos="204"/>
          <w:tab w:val="left" w:pos="720"/>
        </w:tabs>
        <w:rPr>
          <w:color w:val="000000"/>
        </w:rPr>
      </w:pPr>
      <w:r>
        <w:t xml:space="preserve">10.  </w:t>
      </w:r>
      <w:r>
        <w:rPr>
          <w:color w:val="000000"/>
        </w:rPr>
        <w:t>In accordance with Section</w:t>
      </w:r>
      <w:r w:rsidR="005B1902">
        <w:rPr>
          <w:color w:val="000000"/>
        </w:rPr>
        <w:t xml:space="preserve"> 222(f) of the INA (Attachment 5</w:t>
      </w:r>
      <w:r>
        <w:rPr>
          <w:color w:val="000000"/>
        </w:rPr>
        <w:t xml:space="preserve">), information obtained from applicants in the nonimmigrant visa process is considered confidential and is to be used only for the formulation, amendment, administration, or enforcement of the immigration, nationality, and other laws of the </w:t>
      </w:r>
      <w:smartTag w:uri="urn:schemas-microsoft-com:office:smarttags" w:element="country-region">
        <w:smartTag w:uri="urn:schemas-microsoft-com:office:smarttags" w:element="place">
          <w:r>
            <w:rPr>
              <w:color w:val="000000"/>
            </w:rPr>
            <w:t>United States</w:t>
          </w:r>
        </w:smartTag>
      </w:smartTag>
      <w:r>
        <w:rPr>
          <w:color w:val="000000"/>
        </w:rPr>
        <w:t>.</w:t>
      </w:r>
    </w:p>
    <w:p w:rsidR="006E2971" w:rsidRDefault="006E2971">
      <w:pPr>
        <w:pStyle w:val="p6"/>
      </w:pPr>
    </w:p>
    <w:p w:rsidR="006E2971" w:rsidRDefault="006E2971">
      <w:pPr>
        <w:pStyle w:val="p6"/>
        <w:numPr>
          <w:ilvl w:val="0"/>
          <w:numId w:val="13"/>
        </w:numPr>
      </w:pPr>
      <w:r>
        <w:lastRenderedPageBreak/>
        <w:t>The DS-3035 does not ask any questions of a sensitive nature.</w:t>
      </w:r>
    </w:p>
    <w:p w:rsidR="006E2971" w:rsidRDefault="006E2971">
      <w:pPr>
        <w:pStyle w:val="p6"/>
      </w:pPr>
    </w:p>
    <w:p w:rsidR="006E2971" w:rsidRDefault="006E2971">
      <w:pPr>
        <w:rPr>
          <w:sz w:val="24"/>
        </w:rPr>
      </w:pPr>
      <w:r>
        <w:rPr>
          <w:sz w:val="24"/>
        </w:rPr>
        <w:t xml:space="preserve">12.  </w:t>
      </w:r>
      <w:r w:rsidR="008575DC">
        <w:rPr>
          <w:sz w:val="24"/>
          <w:szCs w:val="24"/>
        </w:rPr>
        <w:t>CA/VO/L/W expects</w:t>
      </w:r>
      <w:r>
        <w:rPr>
          <w:sz w:val="24"/>
          <w:szCs w:val="24"/>
        </w:rPr>
        <w:t xml:space="preserve"> 10,000 J-visa recipients to apply for waivers annually.  The estimated amount of time it takes for a resp</w:t>
      </w:r>
      <w:r w:rsidR="00B61AAA">
        <w:rPr>
          <w:sz w:val="24"/>
          <w:szCs w:val="24"/>
        </w:rPr>
        <w:t>ondent to complete the form is 1</w:t>
      </w:r>
      <w:r>
        <w:rPr>
          <w:sz w:val="24"/>
          <w:szCs w:val="24"/>
        </w:rPr>
        <w:t xml:space="preserve"> </w:t>
      </w:r>
      <w:r w:rsidR="008575DC">
        <w:rPr>
          <w:sz w:val="24"/>
          <w:szCs w:val="24"/>
        </w:rPr>
        <w:t>hour. T</w:t>
      </w:r>
      <w:r>
        <w:rPr>
          <w:sz w:val="24"/>
          <w:szCs w:val="24"/>
        </w:rPr>
        <w:t>he estimated annual hour burden of th</w:t>
      </w:r>
      <w:r w:rsidR="00B61AAA">
        <w:rPr>
          <w:sz w:val="24"/>
          <w:szCs w:val="24"/>
        </w:rPr>
        <w:t>e collection of information is 1</w:t>
      </w:r>
      <w:r>
        <w:rPr>
          <w:sz w:val="24"/>
          <w:szCs w:val="24"/>
        </w:rPr>
        <w:t>0,000 hours.</w:t>
      </w:r>
    </w:p>
    <w:p w:rsidR="006E2971" w:rsidRDefault="006E2971">
      <w:pPr>
        <w:tabs>
          <w:tab w:val="left" w:pos="360"/>
        </w:tabs>
        <w:rPr>
          <w:sz w:val="24"/>
        </w:rPr>
      </w:pPr>
    </w:p>
    <w:p w:rsidR="006E2971" w:rsidRDefault="006E2971">
      <w:pPr>
        <w:widowControl w:val="0"/>
        <w:autoSpaceDE w:val="0"/>
        <w:autoSpaceDN w:val="0"/>
        <w:adjustRightInd w:val="0"/>
        <w:rPr>
          <w:sz w:val="24"/>
          <w:szCs w:val="24"/>
        </w:rPr>
      </w:pPr>
      <w:r>
        <w:rPr>
          <w:sz w:val="24"/>
        </w:rPr>
        <w:t xml:space="preserve">13.  </w:t>
      </w:r>
      <w:r>
        <w:rPr>
          <w:sz w:val="24"/>
          <w:szCs w:val="24"/>
        </w:rPr>
        <w:t>Application for a waiver of the 212(e) foreign residence requirement is r</w:t>
      </w:r>
      <w:r>
        <w:rPr>
          <w:bCs/>
          <w:iCs/>
          <w:sz w:val="24"/>
        </w:rPr>
        <w:t>equired to obtain a benefit</w:t>
      </w:r>
      <w:r>
        <w:rPr>
          <w:sz w:val="24"/>
          <w:szCs w:val="24"/>
        </w:rPr>
        <w:t xml:space="preserve">.  The information required by the form is generally already known to the alien and does not require any special effort to assemble.  The Department of State charges an application fee of $215 per application, giving an estimated total annual cost burden of $2,150,000.  </w:t>
      </w:r>
    </w:p>
    <w:p w:rsidR="006E2971" w:rsidRDefault="006E2971">
      <w:pPr>
        <w:pStyle w:val="p6"/>
        <w:widowControl/>
        <w:tabs>
          <w:tab w:val="clear" w:pos="204"/>
        </w:tabs>
        <w:spacing w:line="240" w:lineRule="auto"/>
      </w:pPr>
    </w:p>
    <w:p w:rsidR="006E2971" w:rsidRDefault="006E2971">
      <w:pPr>
        <w:pStyle w:val="p6"/>
        <w:widowControl/>
        <w:tabs>
          <w:tab w:val="clear" w:pos="204"/>
        </w:tabs>
        <w:autoSpaceDE w:val="0"/>
        <w:autoSpaceDN w:val="0"/>
        <w:adjustRightInd w:val="0"/>
        <w:spacing w:line="240" w:lineRule="auto"/>
      </w:pPr>
      <w:r>
        <w:t xml:space="preserve">14.  The fee was established to cover the cost of processing waiver applications.  </w:t>
      </w:r>
      <w:proofErr w:type="gramStart"/>
      <w:r>
        <w:t xml:space="preserve">Based on a recent cost of service study performed by IBM Business Consulting Service, the Department of State estimates that the cost to the Federal Government for processing a single </w:t>
      </w:r>
      <w:r w:rsidR="00451458">
        <w:t>J-1 visa</w:t>
      </w:r>
      <w:r>
        <w:t xml:space="preserve"> waiver recommendation application is $215.</w:t>
      </w:r>
      <w:proofErr w:type="gramEnd"/>
      <w:r w:rsidR="00342F95">
        <w:t xml:space="preserve">  </w:t>
      </w:r>
      <w:r>
        <w:t xml:space="preserve"> </w:t>
      </w:r>
      <w:r w:rsidR="00342F95">
        <w:t xml:space="preserve">Similarly, applicants are charged $215 to submit at DS-3035.  </w:t>
      </w:r>
      <w:r>
        <w:t xml:space="preserve">In the past few years the Waiver </w:t>
      </w:r>
      <w:proofErr w:type="gramStart"/>
      <w:r>
        <w:t>Review  Division</w:t>
      </w:r>
      <w:proofErr w:type="gramEnd"/>
      <w:r>
        <w:t xml:space="preserve"> processed approximately 10,000 applications per year.  Thus, the estimated annual cost to the Federal Government is $2,150,000 ($215 x 10,000 applications).  The study to determine the cost of all consular services, including this particular service, was based on Activity Based Costing (ABC) Methodology.  ABC is a business management tool that provides insight into the relationship between inputs (resources) and outputs (products and services) by quantifying how work is performed in an organization (activities).  Direct and indirect costs are included in the calculation.  Direct costs included salaries and expenses and indirect costs consist of a broad range of indirect and support costs related to consular services.</w:t>
      </w:r>
    </w:p>
    <w:p w:rsidR="006E2971" w:rsidRDefault="006E2971">
      <w:pPr>
        <w:rPr>
          <w:sz w:val="24"/>
        </w:rPr>
      </w:pPr>
    </w:p>
    <w:p w:rsidR="006E2971" w:rsidRPr="002E58D2" w:rsidRDefault="006E2971" w:rsidP="002E58D2">
      <w:pPr>
        <w:rPr>
          <w:sz w:val="24"/>
          <w:szCs w:val="24"/>
        </w:rPr>
      </w:pPr>
      <w:r w:rsidRPr="002E58D2">
        <w:rPr>
          <w:sz w:val="24"/>
          <w:szCs w:val="24"/>
        </w:rPr>
        <w:t xml:space="preserve">15.  </w:t>
      </w:r>
      <w:r w:rsidR="002E58D2" w:rsidRPr="002E58D2">
        <w:rPr>
          <w:sz w:val="24"/>
          <w:szCs w:val="24"/>
        </w:rPr>
        <w:t xml:space="preserve">No program change or adjustment is associated with this reauthorization.  </w:t>
      </w:r>
    </w:p>
    <w:p w:rsidR="006E2971" w:rsidRDefault="006E2971">
      <w:pPr>
        <w:rPr>
          <w:sz w:val="24"/>
        </w:rPr>
      </w:pPr>
    </w:p>
    <w:p w:rsidR="006E2971" w:rsidRDefault="006E2971">
      <w:pPr>
        <w:rPr>
          <w:sz w:val="24"/>
        </w:rPr>
      </w:pPr>
      <w:r>
        <w:rPr>
          <w:sz w:val="24"/>
        </w:rPr>
        <w:t xml:space="preserve">16.  A quantitative summary of all Department of State visa activities is published in the annual </w:t>
      </w:r>
      <w:r>
        <w:rPr>
          <w:sz w:val="24"/>
          <w:u w:val="single"/>
        </w:rPr>
        <w:t>Report of the Visa Office</w:t>
      </w:r>
      <w:r>
        <w:rPr>
          <w:sz w:val="24"/>
        </w:rPr>
        <w:t>.</w:t>
      </w:r>
    </w:p>
    <w:p w:rsidR="006E2971" w:rsidRDefault="006E2971">
      <w:pPr>
        <w:pStyle w:val="Header"/>
        <w:tabs>
          <w:tab w:val="clear" w:pos="4320"/>
          <w:tab w:val="clear" w:pos="8640"/>
        </w:tabs>
      </w:pPr>
    </w:p>
    <w:p w:rsidR="006E2971" w:rsidRDefault="006E2971">
      <w:pPr>
        <w:rPr>
          <w:sz w:val="24"/>
        </w:rPr>
      </w:pPr>
      <w:r>
        <w:rPr>
          <w:sz w:val="24"/>
        </w:rPr>
        <w:t xml:space="preserve">17.  </w:t>
      </w:r>
      <w:r w:rsidR="00FE1F86">
        <w:rPr>
          <w:sz w:val="24"/>
        </w:rPr>
        <w:t xml:space="preserve">The Department will display the expiration date for OMB approval of the information collection.  </w:t>
      </w:r>
    </w:p>
    <w:p w:rsidR="00FE1F86" w:rsidRDefault="00FE1F86">
      <w:pPr>
        <w:rPr>
          <w:sz w:val="24"/>
        </w:rPr>
      </w:pPr>
    </w:p>
    <w:p w:rsidR="006E2971" w:rsidRDefault="006E2971">
      <w:pPr>
        <w:rPr>
          <w:sz w:val="24"/>
        </w:rPr>
      </w:pPr>
      <w:r>
        <w:rPr>
          <w:sz w:val="24"/>
        </w:rPr>
        <w:t xml:space="preserve">18.  </w:t>
      </w:r>
      <w:r w:rsidR="00FE1F86">
        <w:rPr>
          <w:sz w:val="24"/>
        </w:rPr>
        <w:t>The Department is not requesting any exception to the certification statement.</w:t>
      </w:r>
    </w:p>
    <w:p w:rsidR="006E2971" w:rsidRDefault="006E2971">
      <w:pPr>
        <w:rPr>
          <w:sz w:val="24"/>
        </w:rPr>
      </w:pPr>
    </w:p>
    <w:p w:rsidR="006E2971" w:rsidRDefault="006E2971">
      <w:pPr>
        <w:jc w:val="center"/>
        <w:rPr>
          <w:sz w:val="24"/>
        </w:rPr>
      </w:pPr>
      <w:r>
        <w:rPr>
          <w:sz w:val="24"/>
        </w:rPr>
        <w:t>B.  STATISTICAL METHODS</w:t>
      </w:r>
    </w:p>
    <w:p w:rsidR="006E2971" w:rsidRDefault="006E2971">
      <w:pPr>
        <w:rPr>
          <w:sz w:val="24"/>
        </w:rPr>
      </w:pPr>
    </w:p>
    <w:p w:rsidR="006E2971" w:rsidRDefault="006E2971">
      <w:pPr>
        <w:rPr>
          <w:sz w:val="24"/>
        </w:rPr>
      </w:pPr>
      <w:r>
        <w:rPr>
          <w:sz w:val="24"/>
        </w:rPr>
        <w:t>This collection does not employ statistical methods.</w:t>
      </w:r>
    </w:p>
    <w:p w:rsidR="006E2971" w:rsidRDefault="006E2971">
      <w:pPr>
        <w:rPr>
          <w:sz w:val="24"/>
        </w:rPr>
      </w:pPr>
    </w:p>
    <w:p w:rsidR="0043117B" w:rsidRDefault="006E2971" w:rsidP="0043117B">
      <w:pPr>
        <w:rPr>
          <w:b/>
          <w:u w:val="single"/>
        </w:rPr>
      </w:pPr>
      <w:r>
        <w:br w:type="page"/>
      </w:r>
      <w:r w:rsidR="0043117B">
        <w:rPr>
          <w:b/>
          <w:u w:val="single"/>
        </w:rPr>
        <w:lastRenderedPageBreak/>
        <w:t xml:space="preserve"> </w:t>
      </w:r>
    </w:p>
    <w:p w:rsidR="00275992" w:rsidRPr="0043117B" w:rsidRDefault="00275992" w:rsidP="0043117B">
      <w:pPr>
        <w:pStyle w:val="p6"/>
        <w:widowControl/>
        <w:tabs>
          <w:tab w:val="clear" w:pos="204"/>
        </w:tabs>
        <w:spacing w:line="240" w:lineRule="auto"/>
      </w:pPr>
      <w:r>
        <w:rPr>
          <w:b/>
          <w:u w:val="single"/>
        </w:rPr>
        <w:t>Attachment 1</w:t>
      </w:r>
    </w:p>
    <w:p w:rsidR="00275992" w:rsidRDefault="00275992" w:rsidP="00275992"/>
    <w:p w:rsidR="00275992" w:rsidRDefault="00275992" w:rsidP="00275992">
      <w:pPr>
        <w:pStyle w:val="p6"/>
        <w:widowControl/>
        <w:tabs>
          <w:tab w:val="clear" w:pos="204"/>
        </w:tabs>
        <w:spacing w:line="240" w:lineRule="auto"/>
        <w:rPr>
          <w:b/>
        </w:rPr>
      </w:pPr>
      <w:r>
        <w:rPr>
          <w:b/>
        </w:rPr>
        <w:t>INA Section 212(e)</w:t>
      </w:r>
    </w:p>
    <w:p w:rsidR="00275992" w:rsidRDefault="00275992" w:rsidP="00275992"/>
    <w:p w:rsidR="00275992" w:rsidRDefault="00275992" w:rsidP="00275992">
      <w:pPr>
        <w:pStyle w:val="p6"/>
        <w:widowControl/>
        <w:tabs>
          <w:tab w:val="clear" w:pos="204"/>
        </w:tabs>
        <w:spacing w:line="240" w:lineRule="auto"/>
      </w:pPr>
      <w:r>
        <w:t>No person admitted under section 101(a)(15)(J) or acquiring such status after admission (</w:t>
      </w:r>
      <w:proofErr w:type="spellStart"/>
      <w:r>
        <w:t>i</w:t>
      </w:r>
      <w:proofErr w:type="spellEnd"/>
      <w:r>
        <w:t>) whose participation in the program for which he came to the United States was financed in whole or in part, directly or indirectly, by an agency of the Government of the United States or by the government of the country of his nationality or his last residence, (ii) who at the time of admission or acquisition of status under section 101(a)(15)(J) was a national or resident of a country which the Director of the United States  Information Agency pursuant to regulations prescribed by him,  had designated as clearly requiring the services of persons  engaged in the field of specialized knowledge or skill in  which the alien was engaged, or (iii) who came to the United  States or acquired such status in order to receive graduate  medical education or training, shall be eligible to apply for  an immigrant visa, or for permanent residence, or for a  nonimmigrant visa under section 101(a)(15)(H) or  section  101(a)(15)(L) until it is established that such person has  resided and been physically present in the country of his  nationality or his last residence for an aggregate of a least  two years following departure from the United States:  Provided, That upon the favorable recommendation of the  Director, pursuant to the request of an interested United  States Government agency (or, in the case of an alien  described in clause (iii), pursuant to the request of a State  Department of Public Health, or its equivalent), or of the  Commissioner of Immigration and Naturalization after he has  determined that departure from the United States would impose  exceptional hardship upon the alien's spouse or child (if  such spouse or child is a citizen of the United States or a  lawfully resident alien), or that the alien cannot return to  the country of his nationality or last residence because he  would be subject to persecution on account of race, religion,  or political opinion, the Attorney General may waive the  requirement of such two-year foreign residence abroad in the  case of any alien whose admission to the United States is  found by the Attorney General to be in the public interest  except that in the case of a waiver requested by a State  Department of Public Health, or its equivalent, or in the  case of a waiver requested by an interested United States  government agency on behalf of an alien described in clause  (iii), the waiver shall be subject to the requirements of  section 214(k): And provided further, That, except in the  case of an alien described in clause (iii), the Attorney  General may, upon the favorable recommendation of the  Director, waive such two-year foreign residence requirement  in any case in which the foreign country of the alien's  nationality or last residence has furnished the Director a  statement in writing that it has no objection to such waiver  in the case of such alien.</w:t>
      </w:r>
    </w:p>
    <w:p w:rsidR="00275992" w:rsidRDefault="00275992" w:rsidP="00275992">
      <w:pPr>
        <w:sectPr w:rsidR="00275992">
          <w:pgSz w:w="12240" w:h="15840" w:code="1"/>
          <w:pgMar w:top="1440" w:right="1800" w:bottom="1440" w:left="1800" w:header="720" w:footer="720" w:gutter="0"/>
          <w:paperSrc w:first="256" w:other="256"/>
          <w:cols w:space="720"/>
        </w:sectPr>
      </w:pPr>
    </w:p>
    <w:p w:rsidR="00275992" w:rsidRDefault="00275992" w:rsidP="00275992">
      <w:pPr>
        <w:pStyle w:val="Heading2"/>
      </w:pPr>
      <w:r>
        <w:lastRenderedPageBreak/>
        <w:t>Attachment 2</w:t>
      </w:r>
    </w:p>
    <w:p w:rsidR="00275992" w:rsidRDefault="00275992" w:rsidP="00275992">
      <w:pPr>
        <w:rPr>
          <w:sz w:val="24"/>
        </w:rPr>
      </w:pPr>
    </w:p>
    <w:p w:rsidR="00275992" w:rsidRDefault="00275992" w:rsidP="00275992">
      <w:pPr>
        <w:pStyle w:val="Heading3"/>
      </w:pPr>
      <w:r>
        <w:t>INA Section 101(a</w:t>
      </w:r>
      <w:proofErr w:type="gramStart"/>
      <w:r>
        <w:t>)(</w:t>
      </w:r>
      <w:proofErr w:type="gramEnd"/>
      <w:r>
        <w:t>15)(J)</w:t>
      </w:r>
    </w:p>
    <w:p w:rsidR="00275992" w:rsidRDefault="00275992" w:rsidP="00275992">
      <w:pPr>
        <w:rPr>
          <w:sz w:val="24"/>
        </w:rPr>
      </w:pPr>
    </w:p>
    <w:p w:rsidR="00275992" w:rsidRDefault="00275992" w:rsidP="00275992">
      <w:pPr>
        <w:pStyle w:val="le-slb-normal-32-level"/>
        <w:ind w:right="360"/>
        <w:jc w:val="left"/>
        <w:rPr>
          <w:rFonts w:ascii="Times New Roman" w:hAnsi="Times New Roman" w:cs="Times New Roman"/>
          <w:sz w:val="24"/>
        </w:rPr>
      </w:pPr>
      <w:r>
        <w:rPr>
          <w:rFonts w:ascii="Times New Roman" w:hAnsi="Times New Roman" w:cs="Times New Roman"/>
          <w:sz w:val="24"/>
        </w:rPr>
        <w:t>(J) an alien having a residence in a foreign country which he has no intention of abandoning who is a bona fide student, scholar, trainee, teacher, professor, research assistant, specialist, or leader in a field of specialized knowledge or skill, or other person of similar description, who is coming temporarily to the United States as a participant in a program designated by the Director of the United States Information Agency, for the purpose of teaching, instructing or lecturing, studying, observing, conducting research, consulting, demonstrating special skills, or receiving training and who, if he is coming to the United States to participate in a program under which he will receive graduate medical education or training, also meets the requirements of section 212(j), and the alien spouse and minor children of any such alien if accompanying him or following to join him;</w:t>
      </w:r>
      <w:r>
        <w:rPr>
          <w:rFonts w:ascii="Times New Roman" w:hAnsi="Times New Roman" w:cs="Times New Roman"/>
          <w:sz w:val="24"/>
        </w:rPr>
        <w:br w:type="page"/>
      </w:r>
    </w:p>
    <w:p w:rsidR="00275992" w:rsidRDefault="00275992" w:rsidP="00275992">
      <w:pPr>
        <w:rPr>
          <w:b/>
          <w:sz w:val="24"/>
          <w:u w:val="single"/>
        </w:rPr>
      </w:pPr>
      <w:r>
        <w:rPr>
          <w:b/>
          <w:sz w:val="24"/>
          <w:u w:val="single"/>
        </w:rPr>
        <w:lastRenderedPageBreak/>
        <w:t>Attachment 3</w:t>
      </w:r>
    </w:p>
    <w:p w:rsidR="00275992" w:rsidRDefault="00275992" w:rsidP="00275992">
      <w:pPr>
        <w:rPr>
          <w:b/>
          <w:sz w:val="24"/>
          <w:u w:val="single"/>
        </w:rPr>
      </w:pPr>
    </w:p>
    <w:p w:rsidR="00275992" w:rsidRDefault="00275992" w:rsidP="00275992">
      <w:pPr>
        <w:pStyle w:val="p6"/>
        <w:widowControl/>
        <w:tabs>
          <w:tab w:val="clear" w:pos="204"/>
        </w:tabs>
        <w:spacing w:line="240" w:lineRule="auto"/>
        <w:rPr>
          <w:b/>
        </w:rPr>
      </w:pPr>
      <w:r>
        <w:rPr>
          <w:b/>
        </w:rPr>
        <w:t>INA Section 214(l)</w:t>
      </w:r>
    </w:p>
    <w:p w:rsidR="00275992" w:rsidRDefault="00275992" w:rsidP="00275992">
      <w:pPr>
        <w:rPr>
          <w:sz w:val="24"/>
        </w:rPr>
      </w:pPr>
    </w:p>
    <w:p w:rsidR="00275992" w:rsidRDefault="00275992" w:rsidP="00275992">
      <w:pPr>
        <w:pStyle w:val="le-slb-normal-32-level"/>
        <w:spacing w:before="0" w:after="0"/>
        <w:jc w:val="left"/>
        <w:rPr>
          <w:rFonts w:ascii="Times New Roman" w:hAnsi="Times New Roman" w:cs="Times New Roman"/>
          <w:color w:val="000000"/>
          <w:sz w:val="24"/>
        </w:rPr>
      </w:pPr>
      <w:r>
        <w:rPr>
          <w:rFonts w:ascii="Times New Roman" w:hAnsi="Times New Roman" w:cs="Times New Roman"/>
          <w:color w:val="000000"/>
          <w:sz w:val="24"/>
        </w:rPr>
        <w:t>(l) (1) In the case of a request by an interested State agency, or by an interested Federal agency, for a waiver of the 2-year foreign residence requirement under section 212(e) on behalf of an alien described in clause (iii) of such section, the Attorney General shall not grant such waiver unless- </w:t>
      </w:r>
    </w:p>
    <w:p w:rsidR="00275992" w:rsidRDefault="00275992" w:rsidP="00275992">
      <w:pPr>
        <w:pStyle w:val="le-slb-normal-32-level"/>
        <w:spacing w:before="0" w:after="0"/>
        <w:jc w:val="left"/>
        <w:rPr>
          <w:rFonts w:ascii="Times New Roman" w:hAnsi="Times New Roman" w:cs="Times New Roman"/>
          <w:color w:val="000000"/>
          <w:sz w:val="24"/>
        </w:rPr>
      </w:pPr>
      <w:r>
        <w:rPr>
          <w:rFonts w:ascii="Times New Roman" w:hAnsi="Times New Roman" w:cs="Times New Roman"/>
          <w:color w:val="000000"/>
          <w:sz w:val="24"/>
        </w:rPr>
        <w:t> </w:t>
      </w:r>
    </w:p>
    <w:p w:rsidR="00275992" w:rsidRDefault="00275992" w:rsidP="00275992">
      <w:pPr>
        <w:pStyle w:val="le-slb-normal-32-level"/>
        <w:spacing w:before="0" w:after="0"/>
        <w:ind w:left="720"/>
        <w:jc w:val="left"/>
        <w:rPr>
          <w:rFonts w:ascii="Times New Roman" w:hAnsi="Times New Roman" w:cs="Times New Roman"/>
          <w:color w:val="000000"/>
          <w:sz w:val="24"/>
        </w:rPr>
      </w:pPr>
      <w:r>
        <w:rPr>
          <w:rFonts w:ascii="Times New Roman" w:hAnsi="Times New Roman" w:cs="Times New Roman"/>
          <w:color w:val="000000"/>
          <w:sz w:val="24"/>
        </w:rPr>
        <w:t>(A) in the case of an alien who is otherwise contractually obligated to return to a foreign country, the government of such country furnishes the Director of the United States Information Agency with a statement in writing that it has no objection to such waiver; and  </w:t>
      </w:r>
    </w:p>
    <w:p w:rsidR="00275992" w:rsidRDefault="00275992" w:rsidP="00275992">
      <w:pPr>
        <w:pStyle w:val="le-slb-normal-32-level"/>
        <w:spacing w:before="0" w:after="0"/>
        <w:ind w:left="720"/>
        <w:jc w:val="left"/>
        <w:rPr>
          <w:rFonts w:ascii="Times New Roman" w:hAnsi="Times New Roman" w:cs="Times New Roman"/>
          <w:color w:val="000000"/>
          <w:sz w:val="24"/>
        </w:rPr>
      </w:pPr>
      <w:r>
        <w:rPr>
          <w:rFonts w:ascii="Times New Roman" w:hAnsi="Times New Roman" w:cs="Times New Roman"/>
          <w:color w:val="000000"/>
          <w:sz w:val="24"/>
        </w:rPr>
        <w:t> </w:t>
      </w:r>
    </w:p>
    <w:p w:rsidR="00275992" w:rsidRDefault="00275992" w:rsidP="00275992">
      <w:pPr>
        <w:pStyle w:val="le-slb-normal-32-level"/>
        <w:spacing w:before="0" w:after="0"/>
        <w:ind w:left="720"/>
        <w:jc w:val="left"/>
        <w:rPr>
          <w:rFonts w:ascii="Times New Roman" w:hAnsi="Times New Roman" w:cs="Times New Roman"/>
          <w:color w:val="000000"/>
          <w:sz w:val="24"/>
        </w:rPr>
      </w:pPr>
      <w:r>
        <w:rPr>
          <w:rFonts w:ascii="Times New Roman" w:hAnsi="Times New Roman" w:cs="Times New Roman"/>
          <w:color w:val="000000"/>
          <w:sz w:val="24"/>
        </w:rPr>
        <w:t xml:space="preserve">(B) </w:t>
      </w:r>
      <w:proofErr w:type="gramStart"/>
      <w:r>
        <w:rPr>
          <w:rFonts w:ascii="Times New Roman" w:hAnsi="Times New Roman" w:cs="Times New Roman"/>
          <w:color w:val="000000"/>
          <w:sz w:val="24"/>
        </w:rPr>
        <w:t>in</w:t>
      </w:r>
      <w:proofErr w:type="gramEnd"/>
      <w:r>
        <w:rPr>
          <w:rFonts w:ascii="Times New Roman" w:hAnsi="Times New Roman" w:cs="Times New Roman"/>
          <w:color w:val="000000"/>
          <w:sz w:val="24"/>
        </w:rPr>
        <w:t xml:space="preserve"> the case of a request by an interested State agency, the grant of such waiver would not cause the number of waivers allotted for that State for that fiscal year to exceed 30; </w:t>
      </w:r>
    </w:p>
    <w:p w:rsidR="00275992" w:rsidRDefault="00275992" w:rsidP="00275992">
      <w:pPr>
        <w:pStyle w:val="le-slb-normal-32-level"/>
        <w:spacing w:before="0" w:after="0"/>
        <w:ind w:left="720"/>
        <w:jc w:val="left"/>
        <w:rPr>
          <w:rFonts w:ascii="Times New Roman" w:hAnsi="Times New Roman" w:cs="Times New Roman"/>
          <w:color w:val="000000"/>
          <w:sz w:val="24"/>
        </w:rPr>
      </w:pPr>
      <w:r>
        <w:rPr>
          <w:rFonts w:ascii="Times New Roman" w:hAnsi="Times New Roman" w:cs="Times New Roman"/>
          <w:color w:val="000000"/>
          <w:sz w:val="24"/>
        </w:rPr>
        <w:t> </w:t>
      </w:r>
    </w:p>
    <w:p w:rsidR="00275992" w:rsidRDefault="00275992" w:rsidP="00275992">
      <w:pPr>
        <w:pStyle w:val="le-slb-normal-32-level"/>
        <w:spacing w:before="0" w:after="0"/>
        <w:ind w:left="720"/>
        <w:jc w:val="left"/>
        <w:rPr>
          <w:rFonts w:ascii="Times New Roman" w:hAnsi="Times New Roman" w:cs="Times New Roman"/>
          <w:color w:val="000000"/>
          <w:sz w:val="24"/>
        </w:rPr>
      </w:pPr>
      <w:r>
        <w:rPr>
          <w:rFonts w:ascii="Times New Roman" w:hAnsi="Times New Roman" w:cs="Times New Roman"/>
          <w:color w:val="000000"/>
          <w:sz w:val="24"/>
        </w:rPr>
        <w:t xml:space="preserve">(C) </w:t>
      </w:r>
      <w:proofErr w:type="gramStart"/>
      <w:r>
        <w:rPr>
          <w:rFonts w:ascii="Times New Roman" w:hAnsi="Times New Roman" w:cs="Times New Roman"/>
          <w:color w:val="000000"/>
          <w:sz w:val="24"/>
        </w:rPr>
        <w:t>in</w:t>
      </w:r>
      <w:proofErr w:type="gramEnd"/>
      <w:r>
        <w:rPr>
          <w:rFonts w:ascii="Times New Roman" w:hAnsi="Times New Roman" w:cs="Times New Roman"/>
          <w:color w:val="000000"/>
          <w:sz w:val="24"/>
        </w:rPr>
        <w:t xml:space="preserve"> the case of a request by an interested Federal agency or by an interested State agency- </w:t>
      </w:r>
    </w:p>
    <w:p w:rsidR="00275992" w:rsidRDefault="00275992" w:rsidP="00275992">
      <w:pPr>
        <w:pStyle w:val="le-slb-normal-32-level"/>
        <w:spacing w:before="0" w:after="0"/>
        <w:jc w:val="left"/>
        <w:rPr>
          <w:rFonts w:ascii="Times New Roman" w:hAnsi="Times New Roman" w:cs="Times New Roman"/>
          <w:color w:val="000000"/>
          <w:sz w:val="24"/>
        </w:rPr>
      </w:pPr>
      <w:r>
        <w:rPr>
          <w:rFonts w:ascii="Times New Roman" w:hAnsi="Times New Roman" w:cs="Times New Roman"/>
          <w:color w:val="000000"/>
          <w:sz w:val="24"/>
        </w:rPr>
        <w:t> </w:t>
      </w:r>
    </w:p>
    <w:p w:rsidR="00275992" w:rsidRDefault="00275992" w:rsidP="00275992">
      <w:pPr>
        <w:pStyle w:val="le-slb-normal-32-level"/>
        <w:spacing w:before="0" w:after="0"/>
        <w:ind w:left="1080"/>
        <w:jc w:val="left"/>
        <w:rPr>
          <w:rFonts w:ascii="Times New Roman" w:hAnsi="Times New Roman" w:cs="Times New Roman"/>
          <w:color w:val="000000"/>
          <w:sz w:val="24"/>
        </w:rPr>
      </w:pPr>
      <w:r>
        <w:rPr>
          <w:rFonts w:ascii="Times New Roman" w:hAnsi="Times New Roman" w:cs="Times New Roman"/>
          <w:color w:val="000000"/>
          <w:sz w:val="24"/>
        </w:rPr>
        <w:t>(</w:t>
      </w:r>
      <w:proofErr w:type="spellStart"/>
      <w:r>
        <w:rPr>
          <w:rFonts w:ascii="Times New Roman" w:hAnsi="Times New Roman" w:cs="Times New Roman"/>
          <w:color w:val="000000"/>
          <w:sz w:val="24"/>
        </w:rPr>
        <w:t>i</w:t>
      </w:r>
      <w:proofErr w:type="spellEnd"/>
      <w:r>
        <w:rPr>
          <w:rFonts w:ascii="Times New Roman" w:hAnsi="Times New Roman" w:cs="Times New Roman"/>
          <w:color w:val="000000"/>
          <w:sz w:val="24"/>
        </w:rPr>
        <w:t>) the alien demonstrates a bona fide offer of full-time employment, agrees to begin employment with the health facility or health care organization, which employment has been determined by the Attorney General to be in the public interest; and </w:t>
      </w:r>
    </w:p>
    <w:p w:rsidR="00275992" w:rsidRDefault="00275992" w:rsidP="00275992">
      <w:pPr>
        <w:pStyle w:val="le-slb-normal-32-level"/>
        <w:spacing w:before="0" w:after="0"/>
        <w:ind w:left="1080"/>
        <w:jc w:val="left"/>
        <w:rPr>
          <w:rFonts w:ascii="Times New Roman" w:hAnsi="Times New Roman" w:cs="Times New Roman"/>
          <w:color w:val="000000"/>
          <w:sz w:val="24"/>
        </w:rPr>
      </w:pPr>
      <w:r>
        <w:rPr>
          <w:rFonts w:ascii="Times New Roman" w:hAnsi="Times New Roman" w:cs="Times New Roman"/>
          <w:color w:val="000000"/>
          <w:sz w:val="24"/>
        </w:rPr>
        <w:t> </w:t>
      </w:r>
    </w:p>
    <w:p w:rsidR="00275992" w:rsidRDefault="00275992" w:rsidP="00275992">
      <w:pPr>
        <w:pStyle w:val="le-slb-normal-32-level"/>
        <w:spacing w:before="0" w:after="0"/>
        <w:ind w:left="1080"/>
        <w:jc w:val="left"/>
        <w:rPr>
          <w:rFonts w:ascii="Times New Roman" w:hAnsi="Times New Roman" w:cs="Times New Roman"/>
          <w:color w:val="000000"/>
          <w:sz w:val="24"/>
        </w:rPr>
      </w:pPr>
      <w:r>
        <w:rPr>
          <w:rFonts w:ascii="Times New Roman" w:hAnsi="Times New Roman" w:cs="Times New Roman"/>
          <w:color w:val="000000"/>
          <w:sz w:val="24"/>
        </w:rPr>
        <w:t>(ii) the alien agrees to begin employment with the health facility or health care organization within 90 days of receiving such waiver, and agrees to continue to work for a total of not less than 3 years (unless the Attorney General determines that extenuating circumstances exist, such as closure of the facility or hardship to the alien, which would justify a lesser period of employment at such health facility or health care organization, in which case the alien must demonstrate another bona fide offer of employment at a health facility or health care organization for the remainder of such 3-year period); and </w:t>
      </w:r>
    </w:p>
    <w:p w:rsidR="00275992" w:rsidRDefault="00275992" w:rsidP="00275992">
      <w:pPr>
        <w:pStyle w:val="le-slb-normal-32-level"/>
        <w:spacing w:before="0" w:after="0"/>
        <w:jc w:val="left"/>
        <w:rPr>
          <w:rFonts w:ascii="Times New Roman" w:hAnsi="Times New Roman" w:cs="Times New Roman"/>
          <w:color w:val="000000"/>
          <w:sz w:val="24"/>
        </w:rPr>
      </w:pPr>
      <w:r>
        <w:rPr>
          <w:rFonts w:ascii="Times New Roman" w:hAnsi="Times New Roman" w:cs="Times New Roman"/>
          <w:color w:val="000000"/>
          <w:sz w:val="24"/>
        </w:rPr>
        <w:t> </w:t>
      </w:r>
    </w:p>
    <w:p w:rsidR="00275992" w:rsidRDefault="00275992" w:rsidP="00275992">
      <w:pPr>
        <w:pStyle w:val="le-slb-normal-32-level"/>
        <w:spacing w:before="0" w:after="0"/>
        <w:ind w:left="720"/>
        <w:jc w:val="left"/>
        <w:rPr>
          <w:rFonts w:ascii="Times New Roman" w:hAnsi="Times New Roman" w:cs="Times New Roman"/>
          <w:color w:val="000000"/>
          <w:sz w:val="24"/>
        </w:rPr>
      </w:pPr>
      <w:r>
        <w:rPr>
          <w:rFonts w:ascii="Times New Roman" w:hAnsi="Times New Roman" w:cs="Times New Roman"/>
          <w:color w:val="000000"/>
          <w:sz w:val="24"/>
        </w:rPr>
        <w:t>(D) in the case of a request by an interested Federal agency (other than a request by an interested Federal agency to employ the alien full-time in medical research or training) or by an interested State agency, the alien agrees to practice medicine in accordance with paragraph (2) for a total of not less than 3 years only in the geographic area or areas which are designated by the Secretary of Health and Human Services as having a shortage of health care professionals, except that, in the case of a request by the Department of Veterans Affairs, the alien shall not be required to practice medicine in a geographic area designated by the Secretary. </w:t>
      </w:r>
    </w:p>
    <w:p w:rsidR="00275992" w:rsidRDefault="00275992" w:rsidP="00275992">
      <w:pPr>
        <w:pStyle w:val="le-slb-normal-32-level"/>
        <w:spacing w:before="0" w:after="0"/>
        <w:jc w:val="left"/>
        <w:rPr>
          <w:rFonts w:ascii="Times New Roman" w:hAnsi="Times New Roman" w:cs="Times New Roman"/>
          <w:color w:val="000000"/>
          <w:sz w:val="24"/>
        </w:rPr>
      </w:pPr>
      <w:r>
        <w:rPr>
          <w:rFonts w:ascii="Times New Roman" w:hAnsi="Times New Roman" w:cs="Times New Roman"/>
          <w:color w:val="000000"/>
          <w:sz w:val="24"/>
        </w:rPr>
        <w:t> </w:t>
      </w:r>
    </w:p>
    <w:p w:rsidR="00275992" w:rsidRDefault="00275992" w:rsidP="00275992">
      <w:pPr>
        <w:pStyle w:val="le-slb-normal-32-level"/>
        <w:spacing w:before="0" w:after="0"/>
        <w:ind w:left="720"/>
        <w:jc w:val="left"/>
        <w:rPr>
          <w:rFonts w:ascii="Times New Roman" w:hAnsi="Times New Roman" w:cs="Times New Roman"/>
          <w:color w:val="000000"/>
          <w:sz w:val="24"/>
        </w:rPr>
      </w:pPr>
      <w:r>
        <w:rPr>
          <w:rFonts w:ascii="Times New Roman" w:hAnsi="Times New Roman" w:cs="Times New Roman"/>
          <w:color w:val="000000"/>
          <w:sz w:val="24"/>
        </w:rPr>
        <w:lastRenderedPageBreak/>
        <w:t>(2)(A) Notwithstanding section 248(2), the Attorney General may change the status of an alien that qualifies under this subsection and section 212(e) to that of an alien described in section 101(a)(15)(H)(</w:t>
      </w:r>
      <w:proofErr w:type="spellStart"/>
      <w:r>
        <w:rPr>
          <w:rFonts w:ascii="Times New Roman" w:hAnsi="Times New Roman" w:cs="Times New Roman"/>
          <w:color w:val="000000"/>
          <w:sz w:val="24"/>
        </w:rPr>
        <w:t>i</w:t>
      </w:r>
      <w:proofErr w:type="spellEnd"/>
      <w:r>
        <w:rPr>
          <w:rFonts w:ascii="Times New Roman" w:hAnsi="Times New Roman" w:cs="Times New Roman"/>
          <w:color w:val="000000"/>
          <w:sz w:val="24"/>
        </w:rPr>
        <w:t>)(b). </w:t>
      </w:r>
    </w:p>
    <w:p w:rsidR="00275992" w:rsidRDefault="00275992" w:rsidP="00275992">
      <w:pPr>
        <w:pStyle w:val="le-slb-normal-32-level"/>
        <w:spacing w:before="0" w:after="0"/>
        <w:ind w:left="720"/>
        <w:jc w:val="left"/>
        <w:rPr>
          <w:rFonts w:ascii="Times New Roman" w:hAnsi="Times New Roman" w:cs="Times New Roman"/>
          <w:color w:val="000000"/>
          <w:sz w:val="24"/>
        </w:rPr>
      </w:pPr>
      <w:r>
        <w:rPr>
          <w:rFonts w:ascii="Times New Roman" w:hAnsi="Times New Roman" w:cs="Times New Roman"/>
          <w:color w:val="000000"/>
          <w:sz w:val="24"/>
        </w:rPr>
        <w:t> </w:t>
      </w:r>
    </w:p>
    <w:p w:rsidR="00275992" w:rsidRDefault="00275992" w:rsidP="00275992">
      <w:pPr>
        <w:pStyle w:val="le-slb-normal-32-level"/>
        <w:spacing w:before="0" w:after="0"/>
        <w:ind w:left="720"/>
        <w:jc w:val="left"/>
        <w:rPr>
          <w:rFonts w:ascii="Times New Roman" w:hAnsi="Times New Roman" w:cs="Times New Roman"/>
          <w:color w:val="000000"/>
          <w:sz w:val="24"/>
        </w:rPr>
      </w:pPr>
      <w:r>
        <w:rPr>
          <w:rFonts w:ascii="Times New Roman" w:hAnsi="Times New Roman" w:cs="Times New Roman"/>
          <w:color w:val="000000"/>
          <w:sz w:val="24"/>
        </w:rPr>
        <w:t>(B) No person who has obtained a change of status under subparagraph (A) and who has failed to fulfill the terms of the contract with the health facility or health care organization named in the waiver application shall be eligible to apply for an immigrant visa, for permanent residence, or for any other change of nonimmigrant status until it is established that such person has resided and been physically present in the country of his nationality or his last residence for an aggregate of at least 2 years following departure from the United States. </w:t>
      </w:r>
    </w:p>
    <w:p w:rsidR="00275992" w:rsidRDefault="00275992" w:rsidP="00275992">
      <w:pPr>
        <w:pStyle w:val="le-slb-normal-32-level"/>
        <w:spacing w:before="0" w:after="0"/>
        <w:jc w:val="left"/>
        <w:rPr>
          <w:rFonts w:ascii="Times New Roman" w:hAnsi="Times New Roman" w:cs="Times New Roman"/>
          <w:color w:val="000000"/>
          <w:sz w:val="24"/>
        </w:rPr>
      </w:pPr>
      <w:r>
        <w:rPr>
          <w:rFonts w:ascii="Times New Roman" w:hAnsi="Times New Roman" w:cs="Times New Roman"/>
          <w:color w:val="000000"/>
          <w:sz w:val="24"/>
        </w:rPr>
        <w:t> </w:t>
      </w:r>
    </w:p>
    <w:p w:rsidR="00275992" w:rsidRDefault="00275992" w:rsidP="00275992">
      <w:pPr>
        <w:pStyle w:val="le-slb-normal-32-level"/>
        <w:spacing w:before="0" w:after="0"/>
        <w:ind w:left="720"/>
        <w:jc w:val="left"/>
        <w:rPr>
          <w:rFonts w:ascii="Times New Roman" w:hAnsi="Times New Roman" w:cs="Times New Roman"/>
          <w:color w:val="000000"/>
          <w:sz w:val="24"/>
        </w:rPr>
      </w:pPr>
      <w:r>
        <w:rPr>
          <w:rFonts w:ascii="Times New Roman" w:hAnsi="Times New Roman" w:cs="Times New Roman"/>
          <w:color w:val="000000"/>
          <w:sz w:val="24"/>
        </w:rPr>
        <w:t>(3) Notwithstanding any other provisions of this subsection, the 2-year foreign residence requirement under section 212(e) shall apply with respect to an alien in clause (iii) of such section, who has not otherwise been accorded status under section 101(a)(27)(H), if- </w:t>
      </w:r>
    </w:p>
    <w:p w:rsidR="00275992" w:rsidRDefault="00275992" w:rsidP="00275992">
      <w:pPr>
        <w:pStyle w:val="le-slb-normal-32-level"/>
        <w:spacing w:before="0" w:after="0"/>
        <w:ind w:left="720"/>
        <w:jc w:val="left"/>
        <w:rPr>
          <w:rFonts w:ascii="Times New Roman" w:hAnsi="Times New Roman" w:cs="Times New Roman"/>
          <w:color w:val="000000"/>
          <w:sz w:val="24"/>
        </w:rPr>
      </w:pPr>
      <w:r>
        <w:rPr>
          <w:rFonts w:ascii="Times New Roman" w:hAnsi="Times New Roman" w:cs="Times New Roman"/>
          <w:color w:val="000000"/>
          <w:sz w:val="24"/>
        </w:rPr>
        <w:t> </w:t>
      </w:r>
    </w:p>
    <w:p w:rsidR="00275992" w:rsidRDefault="00275992" w:rsidP="00275992">
      <w:pPr>
        <w:pStyle w:val="le-slb-normal-32-level"/>
        <w:spacing w:before="0" w:after="0"/>
        <w:ind w:left="720"/>
        <w:jc w:val="left"/>
        <w:rPr>
          <w:rFonts w:ascii="Times New Roman" w:hAnsi="Times New Roman" w:cs="Times New Roman"/>
          <w:color w:val="000000"/>
          <w:sz w:val="24"/>
        </w:rPr>
      </w:pPr>
      <w:r>
        <w:rPr>
          <w:rFonts w:ascii="Times New Roman" w:hAnsi="Times New Roman" w:cs="Times New Roman"/>
          <w:color w:val="000000"/>
          <w:sz w:val="24"/>
        </w:rPr>
        <w:t xml:space="preserve">(A) </w:t>
      </w:r>
      <w:proofErr w:type="gramStart"/>
      <w:r>
        <w:rPr>
          <w:rFonts w:ascii="Times New Roman" w:hAnsi="Times New Roman" w:cs="Times New Roman"/>
          <w:color w:val="000000"/>
          <w:sz w:val="24"/>
        </w:rPr>
        <w:t>at</w:t>
      </w:r>
      <w:proofErr w:type="gramEnd"/>
      <w:r>
        <w:rPr>
          <w:rFonts w:ascii="Times New Roman" w:hAnsi="Times New Roman" w:cs="Times New Roman"/>
          <w:color w:val="000000"/>
          <w:sz w:val="24"/>
        </w:rPr>
        <w:t xml:space="preserve"> any time the alien ceases to comply with any agreement entered into under subparagraph (C) or (D) or paragraph (1); or </w:t>
      </w:r>
    </w:p>
    <w:p w:rsidR="00275992" w:rsidRDefault="00275992" w:rsidP="00275992">
      <w:pPr>
        <w:pStyle w:val="le-slb-normal-32-level"/>
        <w:spacing w:before="0" w:after="0"/>
        <w:ind w:left="720"/>
        <w:jc w:val="left"/>
        <w:rPr>
          <w:rFonts w:ascii="Times New Roman" w:hAnsi="Times New Roman" w:cs="Times New Roman"/>
          <w:color w:val="000000"/>
          <w:sz w:val="24"/>
        </w:rPr>
      </w:pPr>
      <w:r>
        <w:rPr>
          <w:rFonts w:ascii="Times New Roman" w:hAnsi="Times New Roman" w:cs="Times New Roman"/>
          <w:color w:val="000000"/>
          <w:sz w:val="24"/>
        </w:rPr>
        <w:t> </w:t>
      </w:r>
    </w:p>
    <w:p w:rsidR="00275992" w:rsidRDefault="00275992" w:rsidP="00275992">
      <w:pPr>
        <w:pStyle w:val="le-slb-normal-32-level"/>
        <w:spacing w:before="0" w:after="0"/>
        <w:ind w:left="720"/>
        <w:jc w:val="left"/>
        <w:rPr>
          <w:rFonts w:ascii="Times New Roman" w:hAnsi="Times New Roman" w:cs="Times New Roman"/>
          <w:color w:val="000000"/>
          <w:sz w:val="24"/>
        </w:rPr>
      </w:pPr>
      <w:r>
        <w:rPr>
          <w:rFonts w:ascii="Times New Roman" w:hAnsi="Times New Roman" w:cs="Times New Roman"/>
          <w:color w:val="000000"/>
          <w:sz w:val="24"/>
        </w:rPr>
        <w:t xml:space="preserve">(B) </w:t>
      </w:r>
      <w:proofErr w:type="gramStart"/>
      <w:r>
        <w:rPr>
          <w:rFonts w:ascii="Times New Roman" w:hAnsi="Times New Roman" w:cs="Times New Roman"/>
          <w:color w:val="000000"/>
          <w:sz w:val="24"/>
        </w:rPr>
        <w:t>the</w:t>
      </w:r>
      <w:proofErr w:type="gramEnd"/>
      <w:r>
        <w:rPr>
          <w:rFonts w:ascii="Times New Roman" w:hAnsi="Times New Roman" w:cs="Times New Roman"/>
          <w:color w:val="000000"/>
          <w:sz w:val="24"/>
        </w:rPr>
        <w:t xml:space="preserve"> alien's employment ceases to benefit the public interest at any time during the 3-year period described in paragraph (1)(C). </w:t>
      </w:r>
    </w:p>
    <w:p w:rsidR="00275992" w:rsidRDefault="00275992" w:rsidP="00275992">
      <w:pPr>
        <w:rPr>
          <w:b/>
          <w:sz w:val="24"/>
          <w:u w:val="single"/>
        </w:rPr>
      </w:pPr>
    </w:p>
    <w:p w:rsidR="00275992" w:rsidRDefault="00275992" w:rsidP="00275992">
      <w:pPr>
        <w:pStyle w:val="p6"/>
        <w:widowControl/>
        <w:tabs>
          <w:tab w:val="clear" w:pos="204"/>
        </w:tabs>
        <w:spacing w:line="240" w:lineRule="auto"/>
      </w:pPr>
      <w:r>
        <w:rPr>
          <w:b/>
          <w:u w:val="single"/>
        </w:rPr>
        <w:br w:type="page"/>
      </w:r>
    </w:p>
    <w:p w:rsidR="00275992" w:rsidRDefault="00275992" w:rsidP="00275992">
      <w:pPr>
        <w:rPr>
          <w:sz w:val="24"/>
        </w:rPr>
      </w:pPr>
    </w:p>
    <w:p w:rsidR="00275992" w:rsidRDefault="00275992" w:rsidP="00275992">
      <w:pPr>
        <w:rPr>
          <w:b/>
          <w:sz w:val="24"/>
        </w:rPr>
      </w:pPr>
    </w:p>
    <w:p w:rsidR="00275992" w:rsidRDefault="00275992" w:rsidP="00275992">
      <w:pPr>
        <w:rPr>
          <w:b/>
          <w:sz w:val="24"/>
          <w:u w:val="single"/>
        </w:rPr>
      </w:pPr>
      <w:r>
        <w:rPr>
          <w:b/>
          <w:sz w:val="24"/>
          <w:u w:val="single"/>
        </w:rPr>
        <w:t>Attachment 4</w:t>
      </w:r>
    </w:p>
    <w:p w:rsidR="00275992" w:rsidRDefault="00275992" w:rsidP="00275992">
      <w:pPr>
        <w:rPr>
          <w:b/>
          <w:sz w:val="24"/>
          <w:u w:val="single"/>
        </w:rPr>
      </w:pPr>
    </w:p>
    <w:p w:rsidR="00275992" w:rsidRDefault="00275992" w:rsidP="00275992">
      <w:pPr>
        <w:rPr>
          <w:b/>
          <w:sz w:val="24"/>
        </w:rPr>
      </w:pPr>
      <w:r>
        <w:rPr>
          <w:b/>
          <w:sz w:val="24"/>
        </w:rPr>
        <w:t>22 CFR 41.63</w:t>
      </w:r>
    </w:p>
    <w:p w:rsidR="00275992" w:rsidRDefault="00275992" w:rsidP="00275992">
      <w:pPr>
        <w:rPr>
          <w:b/>
          <w:sz w:val="24"/>
          <w:u w:val="single"/>
        </w:rPr>
      </w:pPr>
    </w:p>
    <w:p w:rsidR="00B91D70" w:rsidRPr="00B91D70" w:rsidRDefault="00B91D70" w:rsidP="00B91D70">
      <w:pPr>
        <w:autoSpaceDE w:val="0"/>
        <w:autoSpaceDN w:val="0"/>
        <w:adjustRightInd w:val="0"/>
        <w:rPr>
          <w:b/>
          <w:bCs/>
          <w:sz w:val="24"/>
          <w:szCs w:val="24"/>
        </w:rPr>
      </w:pPr>
      <w:r w:rsidRPr="00B91D70">
        <w:rPr>
          <w:b/>
          <w:bCs/>
          <w:sz w:val="24"/>
          <w:szCs w:val="24"/>
        </w:rPr>
        <w:t>§ 41.63 Two-year home-country physical presence requirement.</w:t>
      </w:r>
    </w:p>
    <w:p w:rsidR="00B91D70" w:rsidRPr="00B91D70" w:rsidRDefault="00B91D70" w:rsidP="00B91D70">
      <w:pPr>
        <w:autoSpaceDE w:val="0"/>
        <w:autoSpaceDN w:val="0"/>
        <w:adjustRightInd w:val="0"/>
        <w:rPr>
          <w:sz w:val="24"/>
          <w:szCs w:val="24"/>
        </w:rPr>
      </w:pPr>
      <w:r w:rsidRPr="00B91D70">
        <w:rPr>
          <w:sz w:val="24"/>
          <w:szCs w:val="24"/>
        </w:rPr>
        <w:t xml:space="preserve">(a) </w:t>
      </w:r>
      <w:r w:rsidRPr="00B91D70">
        <w:rPr>
          <w:i/>
          <w:iCs/>
          <w:sz w:val="24"/>
          <w:szCs w:val="24"/>
        </w:rPr>
        <w:t xml:space="preserve">Statutory basis for rule. </w:t>
      </w:r>
      <w:r w:rsidRPr="00B91D70">
        <w:rPr>
          <w:sz w:val="24"/>
          <w:szCs w:val="24"/>
        </w:rPr>
        <w:t>Section 212(e) of the Immigration and Nationality Act, as amended, provides in substance as follows:</w:t>
      </w:r>
    </w:p>
    <w:p w:rsidR="00B91D70" w:rsidRPr="00B91D70" w:rsidRDefault="00B91D70" w:rsidP="00B91D70">
      <w:pPr>
        <w:autoSpaceDE w:val="0"/>
        <w:autoSpaceDN w:val="0"/>
        <w:adjustRightInd w:val="0"/>
        <w:rPr>
          <w:sz w:val="24"/>
          <w:szCs w:val="24"/>
        </w:rPr>
      </w:pPr>
      <w:r w:rsidRPr="00B91D70">
        <w:rPr>
          <w:sz w:val="24"/>
          <w:szCs w:val="24"/>
        </w:rPr>
        <w:t>(1) No person admitted under Section 101(a) (15</w:t>
      </w:r>
      <w:proofErr w:type="gramStart"/>
      <w:r w:rsidRPr="00B91D70">
        <w:rPr>
          <w:sz w:val="24"/>
          <w:szCs w:val="24"/>
        </w:rPr>
        <w:t>)(</w:t>
      </w:r>
      <w:proofErr w:type="gramEnd"/>
      <w:r w:rsidRPr="00B91D70">
        <w:rPr>
          <w:sz w:val="24"/>
          <w:szCs w:val="24"/>
        </w:rPr>
        <w:t>J) or acquiring such status after admission:</w:t>
      </w:r>
    </w:p>
    <w:p w:rsidR="00B91D70" w:rsidRPr="00B91D70" w:rsidRDefault="00B91D70" w:rsidP="00B91D70">
      <w:pPr>
        <w:autoSpaceDE w:val="0"/>
        <w:autoSpaceDN w:val="0"/>
        <w:adjustRightInd w:val="0"/>
        <w:rPr>
          <w:sz w:val="24"/>
          <w:szCs w:val="24"/>
        </w:rPr>
      </w:pPr>
      <w:r w:rsidRPr="00B91D70">
        <w:rPr>
          <w:sz w:val="24"/>
          <w:szCs w:val="24"/>
        </w:rPr>
        <w:t>(</w:t>
      </w:r>
      <w:proofErr w:type="spellStart"/>
      <w:r w:rsidRPr="00B91D70">
        <w:rPr>
          <w:sz w:val="24"/>
          <w:szCs w:val="24"/>
        </w:rPr>
        <w:t>i</w:t>
      </w:r>
      <w:proofErr w:type="spellEnd"/>
      <w:r w:rsidRPr="00B91D70">
        <w:rPr>
          <w:sz w:val="24"/>
          <w:szCs w:val="24"/>
        </w:rPr>
        <w:t>) Whose participation in the program for which he came to the United States was financed in whole or in part, directly or indirectly, by an agency of the United States Government or by the government of the country of his nationality or of his last legal permanent residence;</w:t>
      </w:r>
    </w:p>
    <w:p w:rsidR="00B91D70" w:rsidRPr="00B91D70" w:rsidRDefault="00B91D70" w:rsidP="00B91D70">
      <w:pPr>
        <w:autoSpaceDE w:val="0"/>
        <w:autoSpaceDN w:val="0"/>
        <w:adjustRightInd w:val="0"/>
        <w:rPr>
          <w:sz w:val="24"/>
          <w:szCs w:val="24"/>
        </w:rPr>
      </w:pPr>
      <w:r w:rsidRPr="00B91D70">
        <w:rPr>
          <w:sz w:val="24"/>
          <w:szCs w:val="24"/>
        </w:rPr>
        <w:t xml:space="preserve">(ii) Who at the time of admission or acquisition of status under 101(a)(15)(J) was a national or legal permanent resident of a country which the Secretary of State, pursuant to regulations prescribed by him, had designated as clearly requiring the services of persons engaged in the field of specialized knowledge or skill in which the alien was engaged [See the most recent ‘‘Revised Exchange Visitor Skills List’’, at </w:t>
      </w:r>
      <w:hyperlink r:id="rId10" w:history="1">
        <w:r w:rsidRPr="00B91D70">
          <w:rPr>
            <w:rStyle w:val="Hyperlink"/>
            <w:i/>
            <w:iCs/>
            <w:sz w:val="24"/>
            <w:szCs w:val="24"/>
          </w:rPr>
          <w:t>http://exchanges.state.gov/education/</w:t>
        </w:r>
      </w:hyperlink>
      <w:r w:rsidRPr="00B91D70">
        <w:rPr>
          <w:i/>
          <w:iCs/>
          <w:sz w:val="24"/>
          <w:szCs w:val="24"/>
        </w:rPr>
        <w:t xml:space="preserve"> </w:t>
      </w:r>
      <w:proofErr w:type="spellStart"/>
      <w:r w:rsidRPr="00B91D70">
        <w:rPr>
          <w:i/>
          <w:iCs/>
          <w:sz w:val="24"/>
          <w:szCs w:val="24"/>
        </w:rPr>
        <w:t>jexchanges</w:t>
      </w:r>
      <w:proofErr w:type="spellEnd"/>
      <w:r w:rsidRPr="00B91D70">
        <w:rPr>
          <w:i/>
          <w:iCs/>
          <w:sz w:val="24"/>
          <w:szCs w:val="24"/>
        </w:rPr>
        <w:t>/participation/skills</w:t>
      </w:r>
      <w:r w:rsidRPr="00B91D70">
        <w:rPr>
          <w:sz w:val="24"/>
          <w:szCs w:val="24"/>
        </w:rPr>
        <w:t>l</w:t>
      </w:r>
      <w:r w:rsidRPr="00B91D70">
        <w:rPr>
          <w:i/>
          <w:iCs/>
          <w:sz w:val="24"/>
          <w:szCs w:val="24"/>
        </w:rPr>
        <w:t>list.pdf</w:t>
      </w:r>
      <w:r w:rsidRPr="00B91D70">
        <w:rPr>
          <w:sz w:val="24"/>
          <w:szCs w:val="24"/>
        </w:rPr>
        <w:t>]; or</w:t>
      </w:r>
    </w:p>
    <w:p w:rsidR="00B91D70" w:rsidRPr="00B91D70" w:rsidRDefault="00B91D70" w:rsidP="00B91D70">
      <w:pPr>
        <w:autoSpaceDE w:val="0"/>
        <w:autoSpaceDN w:val="0"/>
        <w:adjustRightInd w:val="0"/>
        <w:rPr>
          <w:sz w:val="24"/>
          <w:szCs w:val="24"/>
        </w:rPr>
      </w:pPr>
      <w:r w:rsidRPr="00B91D70">
        <w:rPr>
          <w:sz w:val="24"/>
          <w:szCs w:val="24"/>
        </w:rPr>
        <w:t xml:space="preserve">(iii) Who came to the United States or acquired such status in order to receive graduate medical education or training, shall be eligible to apply for an immigrant visa, or for permanent residence, or for a nonimmigrant visa under section 101(a)(15)(H) or section 101(a)(15)(L) until is established that such person has resided and been physically present in the country of his nationality or his last legal permanent residence for an aggregate of at least two years following departure from the United States. </w:t>
      </w:r>
    </w:p>
    <w:p w:rsidR="00B91D70" w:rsidRPr="00B91D70" w:rsidRDefault="00B91D70" w:rsidP="00B91D70">
      <w:pPr>
        <w:autoSpaceDE w:val="0"/>
        <w:autoSpaceDN w:val="0"/>
        <w:adjustRightInd w:val="0"/>
        <w:rPr>
          <w:sz w:val="24"/>
          <w:szCs w:val="24"/>
        </w:rPr>
      </w:pPr>
      <w:r w:rsidRPr="00B91D70">
        <w:rPr>
          <w:sz w:val="24"/>
          <w:szCs w:val="24"/>
        </w:rPr>
        <w:t>(2) Upon the favorable recommendation of the Secretary of State, pursuant to the request of an interested United States Government agency (or in the case of an alien who is a graduate of a foreign medical school pursuing a program in graduate medical education or training, pursuant to the request of a State Department of Public Health, or its equivalent), or of the Secretary of Homeland Security after the latter has determined that departure from the United States would impose exceptional hardship upon the alien’s spouse or child (if such spouse or child is a citizen of the United States or a legal permanent resident alien), or that the alien cannot return to the country of his nationality or last legal permanent residence because he would be subject to persecution on account of race, religion, or political opinion, the Secretary of Homeland Security may waive the requirement of such two-year foreign residence abroad in the case of any alien whose admission to the United States is found by the Secretary of Homeland Security to be in the public interest except that in the case of a waiver requested by a State Department of Public Health, or its equivalent, the waiver shall be subject to the requirements of section 214(l) of the Immigration and Nationality Act (8 U.S.C. 1184).</w:t>
      </w:r>
    </w:p>
    <w:p w:rsidR="00B91D70" w:rsidRPr="00B91D70" w:rsidRDefault="00B91D70" w:rsidP="00B91D70">
      <w:pPr>
        <w:autoSpaceDE w:val="0"/>
        <w:autoSpaceDN w:val="0"/>
        <w:adjustRightInd w:val="0"/>
        <w:rPr>
          <w:sz w:val="24"/>
          <w:szCs w:val="24"/>
        </w:rPr>
      </w:pPr>
      <w:r w:rsidRPr="00B91D70">
        <w:rPr>
          <w:sz w:val="24"/>
          <w:szCs w:val="24"/>
        </w:rPr>
        <w:t xml:space="preserve">(3) Except in the case of an alien who is a graduate of a foreign medical school pursuing a program in graduate medical education or training, the Secretary of Homeland Security, upon the favorable recommendation of the Secretary of State, may also waive such two-year foreign residence requirement in any case in which the foreign country of the alien’s </w:t>
      </w:r>
      <w:r w:rsidRPr="00B91D70">
        <w:rPr>
          <w:sz w:val="24"/>
          <w:szCs w:val="24"/>
        </w:rPr>
        <w:lastRenderedPageBreak/>
        <w:t xml:space="preserve">nationality or last legal permanent residence has furnished the Secretary of State a statement in writing that it has no objection to such waiver in the case of such alien. Notwithstanding the foregoing, an alien who is a graduate of a foreign medical school pursuing a program in graduate medical education or training may obtain a waiver of such two-year foreign residence requirements if said alien meets the requirements of section 214(l) of the Immigration and Nationality Act (8 U.S.C. 1184) and </w:t>
      </w:r>
      <w:proofErr w:type="gramStart"/>
      <w:r w:rsidRPr="00B91D70">
        <w:rPr>
          <w:sz w:val="24"/>
          <w:szCs w:val="24"/>
        </w:rPr>
        <w:t>paragraphs(</w:t>
      </w:r>
      <w:proofErr w:type="gramEnd"/>
      <w:r w:rsidRPr="00B91D70">
        <w:rPr>
          <w:sz w:val="24"/>
          <w:szCs w:val="24"/>
        </w:rPr>
        <w:t>a) (2) and (e) of this section.</w:t>
      </w:r>
    </w:p>
    <w:p w:rsidR="00B91D70" w:rsidRPr="00B91D70" w:rsidRDefault="00B91D70" w:rsidP="00B91D70">
      <w:pPr>
        <w:autoSpaceDE w:val="0"/>
        <w:autoSpaceDN w:val="0"/>
        <w:adjustRightInd w:val="0"/>
        <w:rPr>
          <w:i/>
          <w:iCs/>
          <w:sz w:val="24"/>
          <w:szCs w:val="24"/>
        </w:rPr>
      </w:pPr>
      <w:r w:rsidRPr="00B91D70">
        <w:rPr>
          <w:sz w:val="24"/>
          <w:szCs w:val="24"/>
        </w:rPr>
        <w:t xml:space="preserve">(b) </w:t>
      </w:r>
      <w:r w:rsidRPr="00B91D70">
        <w:rPr>
          <w:i/>
          <w:iCs/>
          <w:sz w:val="24"/>
          <w:szCs w:val="24"/>
        </w:rPr>
        <w:t xml:space="preserve">Request for waiver on the basis of exceptional hardship or probable persecution on account of race, religion, or political opinion. </w:t>
      </w:r>
      <w:r w:rsidRPr="00B91D70">
        <w:rPr>
          <w:sz w:val="24"/>
          <w:szCs w:val="24"/>
        </w:rPr>
        <w:t>(1) An exchange visitor who seeks a waiver of the two-year home-country residence and physical presence requirement on the grounds that such requirement would impose exceptional hardship upon the exchange visitor’s spouse or child (if such spouse or child is a citizen of the United States or a legal permanent resident alien), or on the grounds that such requirement would subject the exchange visitor to persecution on account of race, religion, or political opinion, shall submit the application for waiver (DHS Form I–612) to the jurisdictional office of the Department of Homeland Security.</w:t>
      </w:r>
    </w:p>
    <w:p w:rsidR="00B91D70" w:rsidRPr="00B91D70" w:rsidRDefault="00B91D70" w:rsidP="00B91D70">
      <w:pPr>
        <w:autoSpaceDE w:val="0"/>
        <w:autoSpaceDN w:val="0"/>
        <w:adjustRightInd w:val="0"/>
        <w:rPr>
          <w:sz w:val="24"/>
          <w:szCs w:val="24"/>
        </w:rPr>
      </w:pPr>
      <w:r w:rsidRPr="00B91D70">
        <w:rPr>
          <w:sz w:val="24"/>
          <w:szCs w:val="24"/>
        </w:rPr>
        <w:t>(2)(</w:t>
      </w:r>
      <w:proofErr w:type="spellStart"/>
      <w:r w:rsidRPr="00B91D70">
        <w:rPr>
          <w:sz w:val="24"/>
          <w:szCs w:val="24"/>
        </w:rPr>
        <w:t>i</w:t>
      </w:r>
      <w:proofErr w:type="spellEnd"/>
      <w:r w:rsidRPr="00B91D70">
        <w:rPr>
          <w:sz w:val="24"/>
          <w:szCs w:val="24"/>
        </w:rPr>
        <w:t>) If the Secretary of Homeland Security (Secretary of DHS) determines that compliance with the two year home-country residence and physical presence requirement would impose exceptional hardship upon the spouse or child of the exchange visitor, or would subject the exchange visitor to persecution on account of race, religion, or political opinion, the Secretary of DHS shall transmit a copy of his determination together with a summary of the details of the expected hardship or persecution, to the Waiver Review Division, in the Department of State’s Bureau of Consular Affairs.</w:t>
      </w:r>
    </w:p>
    <w:p w:rsidR="00B91D70" w:rsidRPr="00B91D70" w:rsidRDefault="00B91D70" w:rsidP="00B91D70">
      <w:pPr>
        <w:autoSpaceDE w:val="0"/>
        <w:autoSpaceDN w:val="0"/>
        <w:adjustRightInd w:val="0"/>
        <w:rPr>
          <w:sz w:val="24"/>
          <w:szCs w:val="24"/>
        </w:rPr>
      </w:pPr>
      <w:r w:rsidRPr="00B91D70">
        <w:rPr>
          <w:sz w:val="24"/>
          <w:szCs w:val="24"/>
        </w:rPr>
        <w:t>(ii) With respect to those cases in which the Secretary of DHS has determined that compliance with the two year home-country residence and physical presence requirement would impose exceptional hardship upon the spouse or child of the exchange visitor, the Waiver Review Division shall review the program, policy, and foreign relations aspects of the case, make a recommendation, and forward it to the appropriate office at DHS. If it deems it appropriate, the Waiver Review Division may request the views of each of the exchange visitors’ sponsors concerning the waiver application. Except as set forth in paragraph (g</w:t>
      </w:r>
      <w:proofErr w:type="gramStart"/>
      <w:r w:rsidRPr="00B91D70">
        <w:rPr>
          <w:sz w:val="24"/>
          <w:szCs w:val="24"/>
        </w:rPr>
        <w:t>)(</w:t>
      </w:r>
      <w:proofErr w:type="gramEnd"/>
      <w:r w:rsidRPr="00B91D70">
        <w:rPr>
          <w:sz w:val="24"/>
          <w:szCs w:val="24"/>
        </w:rPr>
        <w:t>4) of this section, the recommendation of the Waiver Review Division shall constitute the recommendation of the Department of State.</w:t>
      </w:r>
    </w:p>
    <w:p w:rsidR="00B91D70" w:rsidRPr="00B91D70" w:rsidRDefault="00B91D70" w:rsidP="00B91D70">
      <w:pPr>
        <w:autoSpaceDE w:val="0"/>
        <w:autoSpaceDN w:val="0"/>
        <w:adjustRightInd w:val="0"/>
        <w:rPr>
          <w:sz w:val="24"/>
          <w:szCs w:val="24"/>
        </w:rPr>
      </w:pPr>
      <w:r w:rsidRPr="00B91D70">
        <w:rPr>
          <w:sz w:val="24"/>
          <w:szCs w:val="24"/>
        </w:rPr>
        <w:t xml:space="preserve">(iii) With respect to those cases in which the Secretary of DHS has determined that compliance with the two year home-country residence and physical presence requirement would subject the exchange visitor to persecution on account of race, religion, or political opinion, the Waiver Review Division shall review the program, policy, and foreign relations aspects of the case, including consultation if deemed appropriate with the Bureau of Human Rights and Humanitarian Affairs of the United States Department of State, make a recommendation, and forward such recommendation to the Secretary of DHS. Except as set forth in </w:t>
      </w:r>
      <w:proofErr w:type="gramStart"/>
      <w:r w:rsidRPr="00B91D70">
        <w:rPr>
          <w:sz w:val="24"/>
          <w:szCs w:val="24"/>
        </w:rPr>
        <w:t>paragraph(</w:t>
      </w:r>
      <w:proofErr w:type="gramEnd"/>
      <w:r w:rsidRPr="00B91D70">
        <w:rPr>
          <w:sz w:val="24"/>
          <w:szCs w:val="24"/>
        </w:rPr>
        <w:t>g)(4) of this section, the recommendation of the Waiver Review Division shall constitute the recommendation of the Department of State and such recommendation shall be forwarded to DHS.</w:t>
      </w:r>
    </w:p>
    <w:p w:rsidR="00B91D70" w:rsidRPr="00B91D70" w:rsidRDefault="00B91D70" w:rsidP="00B91D70">
      <w:pPr>
        <w:autoSpaceDE w:val="0"/>
        <w:autoSpaceDN w:val="0"/>
        <w:adjustRightInd w:val="0"/>
        <w:rPr>
          <w:i/>
          <w:iCs/>
          <w:sz w:val="24"/>
          <w:szCs w:val="24"/>
        </w:rPr>
      </w:pPr>
      <w:r w:rsidRPr="00B91D70">
        <w:rPr>
          <w:sz w:val="24"/>
          <w:szCs w:val="24"/>
        </w:rPr>
        <w:t xml:space="preserve">(c) </w:t>
      </w:r>
      <w:r w:rsidRPr="00B91D70">
        <w:rPr>
          <w:i/>
          <w:iCs/>
          <w:sz w:val="24"/>
          <w:szCs w:val="24"/>
        </w:rPr>
        <w:t xml:space="preserve">Requests for waiver made by an interested United States Government Department of State. </w:t>
      </w:r>
      <w:r w:rsidRPr="00B91D70">
        <w:rPr>
          <w:sz w:val="24"/>
          <w:szCs w:val="24"/>
        </w:rPr>
        <w:t xml:space="preserve">(1) A United States Government agency may request a waiver of the two-year home-country residence and physical presence requirement on behalf of an exchange </w:t>
      </w:r>
      <w:r w:rsidRPr="00B91D70">
        <w:rPr>
          <w:sz w:val="24"/>
          <w:szCs w:val="24"/>
        </w:rPr>
        <w:lastRenderedPageBreak/>
        <w:t>visitor if such exchange visitor is actively and substantially involved in a program or activity sponsored by or of interest to such agency.</w:t>
      </w:r>
    </w:p>
    <w:p w:rsidR="00B91D70" w:rsidRPr="00B91D70" w:rsidRDefault="00B91D70" w:rsidP="00B91D70">
      <w:pPr>
        <w:autoSpaceDE w:val="0"/>
        <w:autoSpaceDN w:val="0"/>
        <w:adjustRightInd w:val="0"/>
        <w:rPr>
          <w:sz w:val="24"/>
          <w:szCs w:val="24"/>
        </w:rPr>
      </w:pPr>
      <w:r w:rsidRPr="00B91D70">
        <w:rPr>
          <w:sz w:val="24"/>
          <w:szCs w:val="24"/>
        </w:rPr>
        <w:t>(2) A United States Government agency requesting a waiver shall submit its request in writing and fully explain why the grant of such waiver request would be in the public interest and the detrimental effect that would result to the program or activity of interest to the requesting agency if the exchange visitor is unable to continue his or her involvement with the program or activity.</w:t>
      </w:r>
    </w:p>
    <w:p w:rsidR="00B91D70" w:rsidRPr="00B91D70" w:rsidRDefault="00B91D70" w:rsidP="00B91D70">
      <w:pPr>
        <w:autoSpaceDE w:val="0"/>
        <w:autoSpaceDN w:val="0"/>
        <w:adjustRightInd w:val="0"/>
        <w:rPr>
          <w:sz w:val="24"/>
          <w:szCs w:val="24"/>
        </w:rPr>
      </w:pPr>
      <w:r w:rsidRPr="00B91D70">
        <w:rPr>
          <w:sz w:val="24"/>
          <w:szCs w:val="24"/>
        </w:rPr>
        <w:t xml:space="preserve">(3) A request by a United States Government agency shall be signed by the head of the agency, or his or her designee, and shall include copies of all IAP 66 or DS–2019 forms issued to the </w:t>
      </w:r>
      <w:r w:rsidRPr="00B91D70">
        <w:rPr>
          <w:color w:val="000000"/>
          <w:sz w:val="24"/>
          <w:szCs w:val="24"/>
        </w:rPr>
        <w:t>exchange visitor, his or her current address, and his or her country of nationality or last legal permanent residence.</w:t>
      </w:r>
    </w:p>
    <w:p w:rsidR="00B91D70" w:rsidRPr="00B91D70" w:rsidRDefault="00B91D70" w:rsidP="00B91D70">
      <w:pPr>
        <w:autoSpaceDE w:val="0"/>
        <w:autoSpaceDN w:val="0"/>
        <w:adjustRightInd w:val="0"/>
        <w:rPr>
          <w:color w:val="000000"/>
          <w:sz w:val="24"/>
          <w:szCs w:val="24"/>
        </w:rPr>
      </w:pPr>
      <w:r w:rsidRPr="00B91D70">
        <w:rPr>
          <w:color w:val="000000"/>
          <w:sz w:val="24"/>
          <w:szCs w:val="24"/>
        </w:rPr>
        <w:t>(4) A request by a United States Government agency, excepting the Department of Veterans Affairs, on behalf of an exchange visitor who is a foreign medical graduate who entered the United States to pursue graduate medical education or training, and who is willing to provide primary care or specialty medicine in a designated primary care Health Professional shortage Area, or a Medically Underserved Area, or psychiatric care in a Mental Health Professional Shortage Area, shall, in additional to the requirement set forth in paragraphs (c)(2) and (3) of this section, include:</w:t>
      </w:r>
    </w:p>
    <w:p w:rsidR="00B91D70" w:rsidRPr="00B91D70" w:rsidRDefault="00B91D70" w:rsidP="00B91D70">
      <w:pPr>
        <w:autoSpaceDE w:val="0"/>
        <w:autoSpaceDN w:val="0"/>
        <w:adjustRightInd w:val="0"/>
        <w:rPr>
          <w:color w:val="000000"/>
          <w:sz w:val="24"/>
          <w:szCs w:val="24"/>
        </w:rPr>
      </w:pPr>
      <w:r w:rsidRPr="00B91D70">
        <w:rPr>
          <w:color w:val="000000"/>
          <w:sz w:val="24"/>
          <w:szCs w:val="24"/>
        </w:rPr>
        <w:t>(</w:t>
      </w:r>
      <w:proofErr w:type="spellStart"/>
      <w:r w:rsidRPr="00B91D70">
        <w:rPr>
          <w:color w:val="000000"/>
          <w:sz w:val="24"/>
          <w:szCs w:val="24"/>
        </w:rPr>
        <w:t>i</w:t>
      </w:r>
      <w:proofErr w:type="spellEnd"/>
      <w:r w:rsidRPr="00B91D70">
        <w:rPr>
          <w:color w:val="000000"/>
          <w:sz w:val="24"/>
          <w:szCs w:val="24"/>
        </w:rPr>
        <w:t xml:space="preserve">) A copy of the employment contract between the foreign medical graduate and the health care facility at which he or she will be employed. Such contract shall specify a term of employment of not less than three years and that the foreign medical graduate is to be employed by the facility for the purpose of providing not less than 40 hours per week of primary medical care, </w:t>
      </w:r>
      <w:r w:rsidRPr="00B91D70">
        <w:rPr>
          <w:i/>
          <w:iCs/>
          <w:color w:val="000000"/>
          <w:sz w:val="24"/>
          <w:szCs w:val="24"/>
        </w:rPr>
        <w:t>i.e.</w:t>
      </w:r>
      <w:r w:rsidRPr="00B91D70">
        <w:rPr>
          <w:color w:val="000000"/>
          <w:sz w:val="24"/>
          <w:szCs w:val="24"/>
        </w:rPr>
        <w:t>, general or family practice, general internal medicine, pediatrics, or obstetrics and gynecology, in a designated primary care Health Professional Shortage Area or designated Medically Underserved Area (‘‘MUA’’) or psychiatric care in a designated Mental Health Professional Shortage Area. Further, such employment contract shall not include a non-compete clause enforceable against the foreign medical graduate.</w:t>
      </w:r>
    </w:p>
    <w:p w:rsidR="00B91D70" w:rsidRPr="00B91D70" w:rsidRDefault="00B91D70" w:rsidP="00B91D70">
      <w:pPr>
        <w:autoSpaceDE w:val="0"/>
        <w:autoSpaceDN w:val="0"/>
        <w:adjustRightInd w:val="0"/>
        <w:rPr>
          <w:color w:val="000000"/>
          <w:sz w:val="24"/>
          <w:szCs w:val="24"/>
        </w:rPr>
      </w:pPr>
      <w:r w:rsidRPr="00B91D70">
        <w:rPr>
          <w:color w:val="000000"/>
          <w:sz w:val="24"/>
          <w:szCs w:val="24"/>
        </w:rPr>
        <w:t xml:space="preserve">(ii) A statement, signed and dated by the head of the health care facility at which the foreign medical graduate will be employed, that the facility is located in an area designated by the Secretary of Health and Human Services as a Medically Underserved Area or Primary Medical Care Health Professional Shortage Area or Mental Health Professional Shortage Area and provides medical care to both Medicaid or Medicare eligible patients and indigent uninsured patients. The statement shall also list the primary care Health Professional Shortage </w:t>
      </w:r>
      <w:proofErr w:type="spellStart"/>
      <w:r w:rsidRPr="00B91D70">
        <w:rPr>
          <w:color w:val="000000"/>
          <w:sz w:val="24"/>
          <w:szCs w:val="24"/>
        </w:rPr>
        <w:t>Area</w:t>
      </w:r>
      <w:proofErr w:type="gramStart"/>
      <w:r w:rsidRPr="00B91D70">
        <w:rPr>
          <w:color w:val="000000"/>
          <w:sz w:val="24"/>
          <w:szCs w:val="24"/>
        </w:rPr>
        <w:t>,Mental</w:t>
      </w:r>
      <w:proofErr w:type="spellEnd"/>
      <w:proofErr w:type="gramEnd"/>
      <w:r w:rsidRPr="00B91D70">
        <w:rPr>
          <w:color w:val="000000"/>
          <w:sz w:val="24"/>
          <w:szCs w:val="24"/>
        </w:rPr>
        <w:t xml:space="preserve"> Health Professional Shortage Area, or Medically Underserved Area/Population identifier number of the designation (assigned by the Secretary of Health and Human Services), and shall include the FIPS county code and census tract or block numbering area number (assigned by the Bureau of the Census) or the 9-digit </w:t>
      </w:r>
      <w:proofErr w:type="spellStart"/>
      <w:r w:rsidRPr="00B91D70">
        <w:rPr>
          <w:color w:val="000000"/>
          <w:sz w:val="24"/>
          <w:szCs w:val="24"/>
        </w:rPr>
        <w:t>zipcode</w:t>
      </w:r>
      <w:proofErr w:type="spellEnd"/>
      <w:r w:rsidRPr="00B91D70">
        <w:rPr>
          <w:color w:val="000000"/>
          <w:sz w:val="24"/>
          <w:szCs w:val="24"/>
        </w:rPr>
        <w:t xml:space="preserve"> of the area where the facility is located.</w:t>
      </w:r>
    </w:p>
    <w:p w:rsidR="00B91D70" w:rsidRPr="00B91D70" w:rsidRDefault="00B91D70" w:rsidP="00B91D70">
      <w:pPr>
        <w:autoSpaceDE w:val="0"/>
        <w:autoSpaceDN w:val="0"/>
        <w:adjustRightInd w:val="0"/>
        <w:rPr>
          <w:color w:val="000000"/>
          <w:sz w:val="24"/>
          <w:szCs w:val="24"/>
        </w:rPr>
      </w:pPr>
      <w:r w:rsidRPr="00B91D70">
        <w:rPr>
          <w:color w:val="000000"/>
          <w:sz w:val="24"/>
          <w:szCs w:val="24"/>
        </w:rPr>
        <w:t xml:space="preserve">(iii) A statement, signed and dated by the foreign medical graduate exchange visitor that shall read as follows: I, </w:t>
      </w:r>
      <w:proofErr w:type="spellStart"/>
      <w:r w:rsidRPr="00B91D70">
        <w:rPr>
          <w:color w:val="000000"/>
          <w:sz w:val="24"/>
          <w:szCs w:val="24"/>
        </w:rPr>
        <w:t>llllllllll</w:t>
      </w:r>
      <w:proofErr w:type="spellEnd"/>
      <w:r w:rsidRPr="00B91D70">
        <w:rPr>
          <w:color w:val="000000"/>
          <w:sz w:val="24"/>
          <w:szCs w:val="24"/>
        </w:rPr>
        <w:t xml:space="preserve"> (name of exchange visitor) hereby declare and certify, under penalty of the provisions of 18 U.S.C. 1001, that I do not now have pending nor am I submitting during the pendency of this request, another request to any United States Government department or agency or any State Department of Public Health, or equivalent, other than </w:t>
      </w:r>
      <w:proofErr w:type="spellStart"/>
      <w:r w:rsidRPr="00B91D70">
        <w:rPr>
          <w:color w:val="000000"/>
          <w:sz w:val="24"/>
          <w:szCs w:val="24"/>
        </w:rPr>
        <w:t>llllllllll</w:t>
      </w:r>
      <w:proofErr w:type="spellEnd"/>
      <w:r w:rsidRPr="00B91D70">
        <w:rPr>
          <w:color w:val="000000"/>
          <w:sz w:val="24"/>
          <w:szCs w:val="24"/>
        </w:rPr>
        <w:t xml:space="preserve"> (insert name of United States Government Agency </w:t>
      </w:r>
      <w:r w:rsidRPr="00B91D70">
        <w:rPr>
          <w:color w:val="000000"/>
          <w:sz w:val="24"/>
          <w:szCs w:val="24"/>
        </w:rPr>
        <w:lastRenderedPageBreak/>
        <w:t>requesting waiver) to act on my behalf in any matter relating to a waiver of my two-year home-country physical presence requirement.</w:t>
      </w:r>
    </w:p>
    <w:p w:rsidR="00B91D70" w:rsidRPr="00B91D70" w:rsidRDefault="00B91D70" w:rsidP="00B91D70">
      <w:pPr>
        <w:autoSpaceDE w:val="0"/>
        <w:autoSpaceDN w:val="0"/>
        <w:adjustRightInd w:val="0"/>
        <w:rPr>
          <w:color w:val="000000"/>
          <w:sz w:val="24"/>
          <w:szCs w:val="24"/>
        </w:rPr>
      </w:pPr>
      <w:proofErr w:type="gramStart"/>
      <w:r w:rsidRPr="00B91D70">
        <w:rPr>
          <w:color w:val="000000"/>
          <w:sz w:val="24"/>
          <w:szCs w:val="24"/>
        </w:rPr>
        <w:t>(iv) Evidence</w:t>
      </w:r>
      <w:proofErr w:type="gramEnd"/>
      <w:r w:rsidRPr="00B91D70">
        <w:rPr>
          <w:color w:val="000000"/>
          <w:sz w:val="24"/>
          <w:szCs w:val="24"/>
        </w:rPr>
        <w:t xml:space="preserve"> that unsuccessful efforts have been made to recruit an American physician for the position to be filled.</w:t>
      </w:r>
    </w:p>
    <w:p w:rsidR="00B91D70" w:rsidRPr="00B91D70" w:rsidRDefault="00B91D70" w:rsidP="00B91D70">
      <w:pPr>
        <w:autoSpaceDE w:val="0"/>
        <w:autoSpaceDN w:val="0"/>
        <w:adjustRightInd w:val="0"/>
        <w:rPr>
          <w:color w:val="000000"/>
          <w:sz w:val="24"/>
          <w:szCs w:val="24"/>
        </w:rPr>
      </w:pPr>
      <w:r w:rsidRPr="00B91D70">
        <w:rPr>
          <w:color w:val="000000"/>
          <w:sz w:val="24"/>
          <w:szCs w:val="24"/>
        </w:rPr>
        <w:t>(5) Except as set forth in paragraph</w:t>
      </w:r>
    </w:p>
    <w:p w:rsidR="00B91D70" w:rsidRPr="00B91D70" w:rsidRDefault="00B91D70" w:rsidP="00B91D70">
      <w:pPr>
        <w:autoSpaceDE w:val="0"/>
        <w:autoSpaceDN w:val="0"/>
        <w:adjustRightInd w:val="0"/>
        <w:rPr>
          <w:color w:val="000000"/>
          <w:sz w:val="24"/>
          <w:szCs w:val="24"/>
        </w:rPr>
      </w:pPr>
      <w:r w:rsidRPr="00B91D70">
        <w:rPr>
          <w:color w:val="000000"/>
          <w:sz w:val="24"/>
          <w:szCs w:val="24"/>
        </w:rPr>
        <w:t xml:space="preserve">(g)(4) </w:t>
      </w:r>
      <w:proofErr w:type="gramStart"/>
      <w:r w:rsidRPr="00B91D70">
        <w:rPr>
          <w:color w:val="000000"/>
          <w:sz w:val="24"/>
          <w:szCs w:val="24"/>
        </w:rPr>
        <w:t>of</w:t>
      </w:r>
      <w:proofErr w:type="gramEnd"/>
      <w:r w:rsidRPr="00B91D70">
        <w:rPr>
          <w:color w:val="000000"/>
          <w:sz w:val="24"/>
          <w:szCs w:val="24"/>
        </w:rPr>
        <w:t xml:space="preserve"> this section, the recommendation of the Waiver Review Division shall constitute the recommendation of the Department of State and such recommendation shall be forwarded to the Secretary of DHS.</w:t>
      </w:r>
    </w:p>
    <w:p w:rsidR="00B91D70" w:rsidRPr="00B91D70" w:rsidRDefault="00B91D70" w:rsidP="00B91D70">
      <w:pPr>
        <w:autoSpaceDE w:val="0"/>
        <w:autoSpaceDN w:val="0"/>
        <w:adjustRightInd w:val="0"/>
        <w:rPr>
          <w:i/>
          <w:iCs/>
          <w:color w:val="000000"/>
          <w:sz w:val="24"/>
          <w:szCs w:val="24"/>
        </w:rPr>
      </w:pPr>
      <w:r w:rsidRPr="00B91D70">
        <w:rPr>
          <w:color w:val="000000"/>
          <w:sz w:val="24"/>
          <w:szCs w:val="24"/>
        </w:rPr>
        <w:t xml:space="preserve">(d) </w:t>
      </w:r>
      <w:r w:rsidRPr="00B91D70">
        <w:rPr>
          <w:i/>
          <w:iCs/>
          <w:color w:val="000000"/>
          <w:sz w:val="24"/>
          <w:szCs w:val="24"/>
        </w:rPr>
        <w:t xml:space="preserve">Requests for waiver made on the basis of a statement from the exchange visitor’s home-country that it has no objection to the waiver. </w:t>
      </w:r>
      <w:r w:rsidRPr="00B91D70">
        <w:rPr>
          <w:color w:val="000000"/>
          <w:sz w:val="24"/>
          <w:szCs w:val="24"/>
        </w:rPr>
        <w:t xml:space="preserve">(1) Applications for waiver of the two-year home-country residence and physical presence requirement may be supported by a statement of no objection by the exchange visitor’s country of nationality or last legal permanent residence. The statement of no objection shall be directed to the Secretary of State through diplomatic channels; </w:t>
      </w:r>
      <w:r w:rsidRPr="00B91D70">
        <w:rPr>
          <w:i/>
          <w:iCs/>
          <w:color w:val="000000"/>
          <w:sz w:val="24"/>
          <w:szCs w:val="24"/>
        </w:rPr>
        <w:t>i.e.</w:t>
      </w:r>
      <w:r w:rsidRPr="00B91D70">
        <w:rPr>
          <w:color w:val="000000"/>
          <w:sz w:val="24"/>
          <w:szCs w:val="24"/>
        </w:rPr>
        <w:t xml:space="preserve">, from the country’s Foreign Office to the Department of State through the U.S. Mission in the foreign country concerned, or through the foreign country’s head of mission or duly appointed designee in the United States to the Secretary of State in the form of a diplomatic note. This note shall include applicant’s full name, date and place of birth, and present address. If deemed appropriate, the Department of State may request the views of each of the </w:t>
      </w:r>
      <w:r w:rsidRPr="00B91D70">
        <w:rPr>
          <w:sz w:val="24"/>
          <w:szCs w:val="24"/>
        </w:rPr>
        <w:t xml:space="preserve">Human Services as having a shortage of health care professionals. </w:t>
      </w:r>
    </w:p>
    <w:p w:rsidR="00B91D70" w:rsidRPr="00B91D70" w:rsidRDefault="00B91D70" w:rsidP="00B91D70">
      <w:pPr>
        <w:autoSpaceDE w:val="0"/>
        <w:autoSpaceDN w:val="0"/>
        <w:adjustRightInd w:val="0"/>
        <w:rPr>
          <w:sz w:val="24"/>
          <w:szCs w:val="24"/>
        </w:rPr>
      </w:pPr>
      <w:r w:rsidRPr="00B91D70">
        <w:rPr>
          <w:sz w:val="24"/>
          <w:szCs w:val="24"/>
        </w:rPr>
        <w:t>(iv) Evidence establishing that the geographic area or areas in the state in which the foreign medical graduate will practice medicine or where patients who will be served by the foreign medical graduates reside, are areas which have been designated by the Secretary of Health and Human Services as having a shortage of health care professionals.  For purposes of this paragraph, the geographic area or areas must be designated by the Department of Health and Human Services as a Health Professional Shortage Area (‘‘HPSA’’) or as a Medically Underserved Area/Medically Underserved Population (‘‘MUA/MUP’’).</w:t>
      </w:r>
    </w:p>
    <w:p w:rsidR="00B91D70" w:rsidRPr="00B91D70" w:rsidRDefault="00B91D70" w:rsidP="00B91D70">
      <w:pPr>
        <w:autoSpaceDE w:val="0"/>
        <w:autoSpaceDN w:val="0"/>
        <w:adjustRightInd w:val="0"/>
        <w:rPr>
          <w:sz w:val="24"/>
          <w:szCs w:val="24"/>
        </w:rPr>
      </w:pPr>
      <w:r w:rsidRPr="00B91D70">
        <w:rPr>
          <w:sz w:val="24"/>
          <w:szCs w:val="24"/>
        </w:rPr>
        <w:t>(v) Copies of all forms IAP 66 or DS–2019 issued to the foreign medical graduate seeking the waiver;</w:t>
      </w:r>
    </w:p>
    <w:p w:rsidR="00B91D70" w:rsidRPr="00B91D70" w:rsidRDefault="00B91D70" w:rsidP="00B91D70">
      <w:pPr>
        <w:autoSpaceDE w:val="0"/>
        <w:autoSpaceDN w:val="0"/>
        <w:adjustRightInd w:val="0"/>
        <w:rPr>
          <w:sz w:val="24"/>
          <w:szCs w:val="24"/>
        </w:rPr>
      </w:pPr>
      <w:proofErr w:type="gramStart"/>
      <w:r w:rsidRPr="00B91D70">
        <w:rPr>
          <w:sz w:val="24"/>
          <w:szCs w:val="24"/>
        </w:rPr>
        <w:t>(vi) A</w:t>
      </w:r>
      <w:proofErr w:type="gramEnd"/>
      <w:r w:rsidRPr="00B91D70">
        <w:rPr>
          <w:sz w:val="24"/>
          <w:szCs w:val="24"/>
        </w:rPr>
        <w:t xml:space="preserve"> copy of the foreign medical graduate’s </w:t>
      </w:r>
      <w:r w:rsidRPr="00B91D70">
        <w:rPr>
          <w:i/>
          <w:iCs/>
          <w:sz w:val="24"/>
          <w:szCs w:val="24"/>
        </w:rPr>
        <w:t>curriculum vitae</w:t>
      </w:r>
      <w:r w:rsidRPr="00B91D70">
        <w:rPr>
          <w:sz w:val="24"/>
          <w:szCs w:val="24"/>
        </w:rPr>
        <w:t>;</w:t>
      </w:r>
    </w:p>
    <w:p w:rsidR="00B91D70" w:rsidRPr="00B91D70" w:rsidRDefault="00B91D70" w:rsidP="00B91D70">
      <w:pPr>
        <w:autoSpaceDE w:val="0"/>
        <w:autoSpaceDN w:val="0"/>
        <w:adjustRightInd w:val="0"/>
        <w:rPr>
          <w:sz w:val="24"/>
          <w:szCs w:val="24"/>
        </w:rPr>
      </w:pPr>
      <w:r w:rsidRPr="00B91D70">
        <w:rPr>
          <w:sz w:val="24"/>
          <w:szCs w:val="24"/>
        </w:rPr>
        <w:t>(vii) If the foreign medical graduate is otherwise contractually required to return to his or her home country at the conclusion of the graduate medical education or training, a copy of the statement of no objection from the foreign medical graduate’s country of nationality or last residence; and,</w:t>
      </w:r>
    </w:p>
    <w:p w:rsidR="00B91D70" w:rsidRPr="00B91D70" w:rsidRDefault="00B91D70" w:rsidP="00B91D70">
      <w:pPr>
        <w:autoSpaceDE w:val="0"/>
        <w:autoSpaceDN w:val="0"/>
        <w:adjustRightInd w:val="0"/>
        <w:rPr>
          <w:sz w:val="24"/>
          <w:szCs w:val="24"/>
        </w:rPr>
      </w:pPr>
      <w:r w:rsidRPr="00B91D70">
        <w:rPr>
          <w:sz w:val="24"/>
          <w:szCs w:val="24"/>
        </w:rPr>
        <w:t xml:space="preserve">(viii) Because of the numerical limitations on the approval of waivers under Public Law 103–416, </w:t>
      </w:r>
      <w:r w:rsidRPr="00B91D70">
        <w:rPr>
          <w:i/>
          <w:iCs/>
          <w:sz w:val="24"/>
          <w:szCs w:val="24"/>
        </w:rPr>
        <w:t>i.e.</w:t>
      </w:r>
      <w:r w:rsidRPr="00B91D70">
        <w:rPr>
          <w:sz w:val="24"/>
          <w:szCs w:val="24"/>
        </w:rPr>
        <w:t>, no more than the maximum number of waivers for each State each fiscal year as mandated by law, each application from a State Department of Public Health, or its equivalent, shall be numbered sequentially, beginning on October 1 of each year. The ‘‘non-designated’’ requests will also be numbered sequentially with appropriate identifier.</w:t>
      </w:r>
    </w:p>
    <w:p w:rsidR="00B91D70" w:rsidRPr="00B91D70" w:rsidRDefault="00B91D70" w:rsidP="00B91D70">
      <w:pPr>
        <w:autoSpaceDE w:val="0"/>
        <w:autoSpaceDN w:val="0"/>
        <w:adjustRightInd w:val="0"/>
        <w:rPr>
          <w:sz w:val="24"/>
          <w:szCs w:val="24"/>
        </w:rPr>
      </w:pPr>
      <w:r w:rsidRPr="00B91D70">
        <w:rPr>
          <w:sz w:val="24"/>
          <w:szCs w:val="24"/>
        </w:rPr>
        <w:t>(4) The Waiver Review Division shall review the program, policy, and foreign relations aspects of the case and forward its recommendation to the Secretary of DHS. Except as set forth in paragraph (g</w:t>
      </w:r>
      <w:proofErr w:type="gramStart"/>
      <w:r w:rsidRPr="00B91D70">
        <w:rPr>
          <w:sz w:val="24"/>
          <w:szCs w:val="24"/>
        </w:rPr>
        <w:t>)(</w:t>
      </w:r>
      <w:proofErr w:type="gramEnd"/>
      <w:r w:rsidRPr="00B91D70">
        <w:rPr>
          <w:sz w:val="24"/>
          <w:szCs w:val="24"/>
        </w:rPr>
        <w:t>4) of this section, the recommendation of the Waiver Review Division shall constitute the recommendation of the Department of State.</w:t>
      </w:r>
    </w:p>
    <w:p w:rsidR="00B91D70" w:rsidRPr="00B91D70" w:rsidRDefault="00B91D70" w:rsidP="00B91D70">
      <w:pPr>
        <w:autoSpaceDE w:val="0"/>
        <w:autoSpaceDN w:val="0"/>
        <w:adjustRightInd w:val="0"/>
        <w:rPr>
          <w:sz w:val="24"/>
          <w:szCs w:val="24"/>
        </w:rPr>
      </w:pPr>
      <w:r w:rsidRPr="00B91D70">
        <w:rPr>
          <w:sz w:val="24"/>
          <w:szCs w:val="24"/>
        </w:rPr>
        <w:lastRenderedPageBreak/>
        <w:t xml:space="preserve">(f) </w:t>
      </w:r>
      <w:r w:rsidRPr="00B91D70">
        <w:rPr>
          <w:i/>
          <w:iCs/>
          <w:sz w:val="24"/>
          <w:szCs w:val="24"/>
        </w:rPr>
        <w:t xml:space="preserve">Changed circumstances. </w:t>
      </w:r>
      <w:r w:rsidRPr="00B91D70">
        <w:rPr>
          <w:sz w:val="24"/>
          <w:szCs w:val="24"/>
        </w:rPr>
        <w:t>An applicant for a waiver on the grounds of exceptional hardship or probable persecution on account of race, religion, or political opinion, has a continuing obligation to inform the Department of Homeland Security of changed circumstances material to his or her pending application.</w:t>
      </w:r>
    </w:p>
    <w:p w:rsidR="00B91D70" w:rsidRPr="00B91D70" w:rsidRDefault="00B91D70" w:rsidP="00B91D70">
      <w:pPr>
        <w:autoSpaceDE w:val="0"/>
        <w:autoSpaceDN w:val="0"/>
        <w:adjustRightInd w:val="0"/>
        <w:rPr>
          <w:sz w:val="24"/>
          <w:szCs w:val="24"/>
        </w:rPr>
      </w:pPr>
      <w:r w:rsidRPr="00B91D70">
        <w:rPr>
          <w:sz w:val="24"/>
          <w:szCs w:val="24"/>
        </w:rPr>
        <w:t xml:space="preserve">(g) </w:t>
      </w:r>
      <w:r w:rsidRPr="00B91D70">
        <w:rPr>
          <w:i/>
          <w:iCs/>
          <w:sz w:val="24"/>
          <w:szCs w:val="24"/>
        </w:rPr>
        <w:t xml:space="preserve">The Waiver Review Board. </w:t>
      </w:r>
      <w:r w:rsidRPr="00B91D70">
        <w:rPr>
          <w:sz w:val="24"/>
          <w:szCs w:val="24"/>
        </w:rPr>
        <w:t>(1) The Waiver Review Board (‘‘Board’’) shall consist of the following persons or their designees:</w:t>
      </w:r>
    </w:p>
    <w:p w:rsidR="00B91D70" w:rsidRPr="00B91D70" w:rsidRDefault="00B91D70" w:rsidP="00B91D70">
      <w:pPr>
        <w:autoSpaceDE w:val="0"/>
        <w:autoSpaceDN w:val="0"/>
        <w:adjustRightInd w:val="0"/>
        <w:rPr>
          <w:sz w:val="24"/>
          <w:szCs w:val="24"/>
        </w:rPr>
      </w:pPr>
      <w:r w:rsidRPr="00B91D70">
        <w:rPr>
          <w:sz w:val="24"/>
          <w:szCs w:val="24"/>
        </w:rPr>
        <w:t>(</w:t>
      </w:r>
      <w:proofErr w:type="spellStart"/>
      <w:r w:rsidRPr="00B91D70">
        <w:rPr>
          <w:sz w:val="24"/>
          <w:szCs w:val="24"/>
        </w:rPr>
        <w:t>i</w:t>
      </w:r>
      <w:proofErr w:type="spellEnd"/>
      <w:r w:rsidRPr="00B91D70">
        <w:rPr>
          <w:sz w:val="24"/>
          <w:szCs w:val="24"/>
        </w:rPr>
        <w:t>) The Principal Deputy Assistant Secretary of the Bureau of Consular Affairs;</w:t>
      </w:r>
    </w:p>
    <w:p w:rsidR="00B91D70" w:rsidRPr="00B91D70" w:rsidRDefault="00B91D70" w:rsidP="00B91D70">
      <w:pPr>
        <w:autoSpaceDE w:val="0"/>
        <w:autoSpaceDN w:val="0"/>
        <w:adjustRightInd w:val="0"/>
        <w:rPr>
          <w:sz w:val="24"/>
          <w:szCs w:val="24"/>
        </w:rPr>
      </w:pPr>
      <w:r w:rsidRPr="00B91D70">
        <w:rPr>
          <w:sz w:val="24"/>
          <w:szCs w:val="24"/>
        </w:rPr>
        <w:t>(ii) The Director of Office of Public Affairs for the Bureau of Consular Affairs;</w:t>
      </w:r>
    </w:p>
    <w:p w:rsidR="00B91D70" w:rsidRPr="00B91D70" w:rsidRDefault="00B91D70" w:rsidP="00B91D70">
      <w:pPr>
        <w:autoSpaceDE w:val="0"/>
        <w:autoSpaceDN w:val="0"/>
        <w:adjustRightInd w:val="0"/>
        <w:rPr>
          <w:sz w:val="24"/>
          <w:szCs w:val="24"/>
        </w:rPr>
      </w:pPr>
      <w:r w:rsidRPr="00B91D70">
        <w:rPr>
          <w:sz w:val="24"/>
          <w:szCs w:val="24"/>
        </w:rPr>
        <w:t>(iii) The Legislative Management Officer for Consular Affairs, Bureau of Legislative Affairs;</w:t>
      </w:r>
    </w:p>
    <w:p w:rsidR="00B91D70" w:rsidRPr="00B91D70" w:rsidRDefault="00B91D70" w:rsidP="00B91D70">
      <w:pPr>
        <w:autoSpaceDE w:val="0"/>
        <w:autoSpaceDN w:val="0"/>
        <w:adjustRightInd w:val="0"/>
        <w:rPr>
          <w:sz w:val="24"/>
          <w:szCs w:val="24"/>
        </w:rPr>
      </w:pPr>
      <w:proofErr w:type="gramStart"/>
      <w:r w:rsidRPr="00B91D70">
        <w:rPr>
          <w:sz w:val="24"/>
          <w:szCs w:val="24"/>
        </w:rPr>
        <w:t>(iv) The</w:t>
      </w:r>
      <w:proofErr w:type="gramEnd"/>
      <w:r w:rsidRPr="00B91D70">
        <w:rPr>
          <w:sz w:val="24"/>
          <w:szCs w:val="24"/>
        </w:rPr>
        <w:t xml:space="preserve"> Director of the Office of Exchange Coordination and Designation in the Bureau of Educational and Cultural Affairs; and</w:t>
      </w:r>
    </w:p>
    <w:p w:rsidR="00B91D70" w:rsidRPr="00B91D70" w:rsidRDefault="00B91D70" w:rsidP="00B91D70">
      <w:pPr>
        <w:autoSpaceDE w:val="0"/>
        <w:autoSpaceDN w:val="0"/>
        <w:adjustRightInd w:val="0"/>
        <w:rPr>
          <w:sz w:val="24"/>
          <w:szCs w:val="24"/>
        </w:rPr>
      </w:pPr>
      <w:r w:rsidRPr="00B91D70">
        <w:rPr>
          <w:sz w:val="24"/>
          <w:szCs w:val="24"/>
        </w:rPr>
        <w:t>(v) The Director of the Office of Policy and Evaluation in the Bureau of Educational and Cultural Affairs.</w:t>
      </w:r>
    </w:p>
    <w:p w:rsidR="00B91D70" w:rsidRPr="00B91D70" w:rsidRDefault="00B91D70" w:rsidP="00B91D70">
      <w:pPr>
        <w:autoSpaceDE w:val="0"/>
        <w:autoSpaceDN w:val="0"/>
        <w:adjustRightInd w:val="0"/>
        <w:rPr>
          <w:sz w:val="24"/>
          <w:szCs w:val="24"/>
        </w:rPr>
      </w:pPr>
      <w:r w:rsidRPr="00B91D70">
        <w:rPr>
          <w:sz w:val="24"/>
          <w:szCs w:val="24"/>
        </w:rPr>
        <w:t>(2) A person who has had substantial prior involvement in a particular case referred to the Board may not be appointed to, or serve on, the Board for that particular case unless the Bureau of Consular Affairs determines that the individual’s inclusion on the Board is otherwise necessary or practicably unavoidable.</w:t>
      </w:r>
    </w:p>
    <w:p w:rsidR="00B91D70" w:rsidRPr="00B91D70" w:rsidRDefault="00B91D70" w:rsidP="00B91D70">
      <w:pPr>
        <w:autoSpaceDE w:val="0"/>
        <w:autoSpaceDN w:val="0"/>
        <w:adjustRightInd w:val="0"/>
        <w:rPr>
          <w:sz w:val="24"/>
          <w:szCs w:val="24"/>
        </w:rPr>
      </w:pPr>
      <w:r w:rsidRPr="00B91D70">
        <w:rPr>
          <w:sz w:val="24"/>
          <w:szCs w:val="24"/>
        </w:rPr>
        <w:t>(3) The Principal Deputy Assistant Secretary of Consular Affairs, or his or her designee, shall serve as Board Chairman. No designee under this paragraph (g</w:t>
      </w:r>
      <w:proofErr w:type="gramStart"/>
      <w:r w:rsidRPr="00B91D70">
        <w:rPr>
          <w:sz w:val="24"/>
          <w:szCs w:val="24"/>
        </w:rPr>
        <w:t>)(</w:t>
      </w:r>
      <w:proofErr w:type="gramEnd"/>
      <w:r w:rsidRPr="00B91D70">
        <w:rPr>
          <w:sz w:val="24"/>
          <w:szCs w:val="24"/>
        </w:rPr>
        <w:t>3) shall serve for more than 2 years.</w:t>
      </w:r>
    </w:p>
    <w:p w:rsidR="00B91D70" w:rsidRPr="00B91D70" w:rsidRDefault="00B91D70" w:rsidP="00B91D70">
      <w:pPr>
        <w:autoSpaceDE w:val="0"/>
        <w:autoSpaceDN w:val="0"/>
        <w:adjustRightInd w:val="0"/>
        <w:rPr>
          <w:sz w:val="24"/>
          <w:szCs w:val="24"/>
        </w:rPr>
      </w:pPr>
      <w:r w:rsidRPr="00B91D70">
        <w:rPr>
          <w:sz w:val="24"/>
          <w:szCs w:val="24"/>
        </w:rPr>
        <w:t>(4) Cases will be referred to the Board at the discretion of the Chief, Waiver Review Division, of the Visa Office.  The Chief, Waiver Review Division, or his or her designee may, at the Chairman’s discretion, appear and present facts related to the case but shall not participate in Board deliberations.</w:t>
      </w:r>
    </w:p>
    <w:p w:rsidR="00B91D70" w:rsidRPr="00B91D70" w:rsidRDefault="00B91D70" w:rsidP="00B91D70">
      <w:pPr>
        <w:autoSpaceDE w:val="0"/>
        <w:autoSpaceDN w:val="0"/>
        <w:adjustRightInd w:val="0"/>
        <w:rPr>
          <w:sz w:val="24"/>
          <w:szCs w:val="24"/>
        </w:rPr>
      </w:pPr>
      <w:r w:rsidRPr="00B91D70">
        <w:rPr>
          <w:sz w:val="24"/>
          <w:szCs w:val="24"/>
        </w:rPr>
        <w:t>(5) The Chairman of the Board shall be responsible for convening the Board and distributing all necessary information to its members. Upon being convened, the Board shall review the case file and weigh the request against the program, policy, and foreign relations aspects of the case.</w:t>
      </w:r>
    </w:p>
    <w:p w:rsidR="00B91D70" w:rsidRPr="00B91D70" w:rsidRDefault="00B91D70" w:rsidP="00B91D70">
      <w:pPr>
        <w:autoSpaceDE w:val="0"/>
        <w:autoSpaceDN w:val="0"/>
        <w:adjustRightInd w:val="0"/>
        <w:rPr>
          <w:sz w:val="24"/>
          <w:szCs w:val="24"/>
        </w:rPr>
      </w:pPr>
      <w:r w:rsidRPr="00B91D70">
        <w:rPr>
          <w:sz w:val="24"/>
          <w:szCs w:val="24"/>
        </w:rPr>
        <w:t>(6) The Bureau of Consular Affairs shall appoint, on a case-by-case basis, from among the attorneys in the State Department’s Office of Legal Advisor one attorney to serve as legal advisor to the Board.</w:t>
      </w:r>
    </w:p>
    <w:p w:rsidR="00B91D70" w:rsidRPr="00B91D70" w:rsidRDefault="00B91D70" w:rsidP="00B91D70">
      <w:pPr>
        <w:rPr>
          <w:sz w:val="24"/>
          <w:szCs w:val="24"/>
        </w:rPr>
      </w:pPr>
      <w:r w:rsidRPr="00B91D70">
        <w:rPr>
          <w:sz w:val="24"/>
          <w:szCs w:val="24"/>
        </w:rPr>
        <w:t>(7) At the conclusion of its review of the case, the Board shall make a written recommendation either to grant or to deny the waiver application. The written recommendation of a majority of the Board shall constitute the recommendation of the Board. Such recommendation shall be promptly transmitted by the Chairman to the Chief, Waiver Review Division.</w:t>
      </w:r>
    </w:p>
    <w:p w:rsidR="00B91D70" w:rsidRPr="00B91D70" w:rsidRDefault="00B91D70" w:rsidP="00B91D70">
      <w:pPr>
        <w:spacing w:after="200" w:line="276" w:lineRule="auto"/>
        <w:rPr>
          <w:sz w:val="24"/>
          <w:szCs w:val="24"/>
        </w:rPr>
      </w:pPr>
      <w:r w:rsidRPr="00B91D70">
        <w:rPr>
          <w:sz w:val="24"/>
          <w:szCs w:val="24"/>
        </w:rPr>
        <w:t xml:space="preserve">(8) At the conclusion of its review of the case, the Board shall make a written recommendation either to grant or to deny the waiver application. The written recommendation of a majority of the Board shall constitute the recommendation of the Board. Such recommendation shall be promptly transmitted by the Chairman to the Chief, Waiver Review Division. </w:t>
      </w:r>
    </w:p>
    <w:p w:rsidR="00275992" w:rsidRDefault="00275992" w:rsidP="00275992">
      <w:pPr>
        <w:rPr>
          <w:b/>
          <w:sz w:val="24"/>
          <w:u w:val="single"/>
        </w:rPr>
      </w:pPr>
      <w:r>
        <w:rPr>
          <w:b/>
          <w:sz w:val="24"/>
          <w:u w:val="single"/>
        </w:rPr>
        <w:br w:type="page"/>
      </w:r>
      <w:r w:rsidR="00DB2DB9">
        <w:rPr>
          <w:b/>
          <w:sz w:val="24"/>
          <w:u w:val="single"/>
        </w:rPr>
        <w:lastRenderedPageBreak/>
        <w:t>Attachment 5</w:t>
      </w:r>
    </w:p>
    <w:p w:rsidR="00275992" w:rsidRDefault="00275992" w:rsidP="00275992">
      <w:pPr>
        <w:rPr>
          <w:b/>
          <w:sz w:val="24"/>
          <w:u w:val="single"/>
        </w:rPr>
      </w:pPr>
    </w:p>
    <w:p w:rsidR="00275992" w:rsidRDefault="00275992" w:rsidP="00275992">
      <w:pPr>
        <w:rPr>
          <w:b/>
          <w:sz w:val="24"/>
        </w:rPr>
      </w:pPr>
      <w:r>
        <w:rPr>
          <w:b/>
          <w:sz w:val="24"/>
        </w:rPr>
        <w:t>INA Section 222(f)</w:t>
      </w:r>
    </w:p>
    <w:p w:rsidR="00275992" w:rsidRDefault="00275992" w:rsidP="00275992">
      <w:pPr>
        <w:rPr>
          <w:b/>
          <w:sz w:val="24"/>
          <w:u w:val="single"/>
        </w:rPr>
      </w:pPr>
    </w:p>
    <w:p w:rsidR="00275992" w:rsidRDefault="00275992" w:rsidP="00275992">
      <w:pPr>
        <w:rPr>
          <w:sz w:val="24"/>
        </w:rPr>
      </w:pPr>
      <w:r>
        <w:rPr>
          <w:sz w:val="24"/>
        </w:rPr>
        <w:t xml:space="preserve">(f) The records of the Department of State and of diplomatic and consular offices of the United States pertaining to the issuance or refusal of visas or permits to enter the United States shall be considered confidential and shall be used only for the formulation, amendment, administration, or enforcement of the immigration, nationality, and other laws of the United States, except that-- </w:t>
      </w:r>
    </w:p>
    <w:p w:rsidR="00275992" w:rsidRDefault="00275992" w:rsidP="00275992">
      <w:pPr>
        <w:rPr>
          <w:sz w:val="24"/>
        </w:rPr>
      </w:pPr>
      <w:r>
        <w:rPr>
          <w:sz w:val="24"/>
        </w:rPr>
        <w:t xml:space="preserve">(1) </w:t>
      </w:r>
      <w:proofErr w:type="gramStart"/>
      <w:r>
        <w:rPr>
          <w:sz w:val="24"/>
        </w:rPr>
        <w:t>in</w:t>
      </w:r>
      <w:proofErr w:type="gramEnd"/>
      <w:r>
        <w:rPr>
          <w:sz w:val="24"/>
        </w:rPr>
        <w:t xml:space="preserve"> the discretion of the Secretary of State certified copies of such records may be made available to a court which certifies that the information contained in such records is needed by the court in the interest of the ends of justice in a case pending before the court. </w:t>
      </w:r>
    </w:p>
    <w:p w:rsidR="00275992" w:rsidRDefault="00275992" w:rsidP="00275992">
      <w:pPr>
        <w:pStyle w:val="p6"/>
        <w:widowControl/>
        <w:tabs>
          <w:tab w:val="clear" w:pos="204"/>
        </w:tabs>
        <w:spacing w:line="240" w:lineRule="auto"/>
      </w:pPr>
      <w:r>
        <w:t xml:space="preserve">(2) </w:t>
      </w:r>
      <w:proofErr w:type="gramStart"/>
      <w:r>
        <w:t>the</w:t>
      </w:r>
      <w:proofErr w:type="gramEnd"/>
      <w:r>
        <w:t xml:space="preserve"> Secretary of State, in the Secretary's discretion and on the basis of reciprocity, may provide to a foreign government information in the Department of State's computerized visa lookout database and, when necessary and appropriate, other records covered by this section related to information in the database-- </w:t>
      </w:r>
    </w:p>
    <w:p w:rsidR="00275992" w:rsidRDefault="00275992" w:rsidP="00275992">
      <w:pPr>
        <w:rPr>
          <w:sz w:val="24"/>
        </w:rPr>
      </w:pPr>
      <w:r>
        <w:rPr>
          <w:sz w:val="24"/>
        </w:rPr>
        <w:t xml:space="preserve">(A) with regard to individual aliens, at any time on a case-by-case basis for the purpose of preventing, investigating, or punishing acts that would constitute a crime in the United States, including, but not limited to, terrorism or trafficking in controlled substances, persons, or illicit weapons; or </w:t>
      </w:r>
    </w:p>
    <w:p w:rsidR="00275992" w:rsidRDefault="00275992" w:rsidP="00275992">
      <w:pPr>
        <w:rPr>
          <w:sz w:val="24"/>
        </w:rPr>
      </w:pPr>
      <w:r>
        <w:rPr>
          <w:sz w:val="24"/>
        </w:rPr>
        <w:t xml:space="preserve">(B) with regard to any or all aliens in the database, pursuant to such conditions as the Secretary of State shall establish in an agreement with the foreign government in which that government agrees to use such information and records for the purposes described in subparagraph (A) or to deny visas to persons who would be inadmissible to the United States. </w:t>
      </w:r>
    </w:p>
    <w:p w:rsidR="00275992" w:rsidRDefault="00275992" w:rsidP="00275992">
      <w:pPr>
        <w:rPr>
          <w:b/>
          <w:sz w:val="24"/>
          <w:u w:val="single"/>
        </w:rPr>
      </w:pPr>
    </w:p>
    <w:p w:rsidR="00275992" w:rsidRDefault="00275992" w:rsidP="00275992">
      <w:pPr>
        <w:rPr>
          <w:b/>
          <w:sz w:val="24"/>
          <w:u w:val="single"/>
        </w:rPr>
      </w:pPr>
    </w:p>
    <w:p w:rsidR="00275992" w:rsidRDefault="00B91D70" w:rsidP="00B91D70">
      <w:pPr>
        <w:rPr>
          <w:b/>
          <w:sz w:val="24"/>
          <w:u w:val="single"/>
        </w:rPr>
      </w:pPr>
      <w:r>
        <w:rPr>
          <w:b/>
          <w:sz w:val="24"/>
          <w:u w:val="single"/>
        </w:rPr>
        <w:t xml:space="preserve"> </w:t>
      </w:r>
    </w:p>
    <w:p w:rsidR="006E2971" w:rsidRDefault="006E2971" w:rsidP="00275992">
      <w:pPr>
        <w:pStyle w:val="Heading1"/>
        <w:rPr>
          <w:b w:val="0"/>
          <w:u w:val="single"/>
        </w:rPr>
      </w:pPr>
    </w:p>
    <w:sectPr w:rsidR="006E2971" w:rsidSect="00275992">
      <w:pgSz w:w="12240" w:h="15840" w:code="1"/>
      <w:pgMar w:top="1440" w:right="1800" w:bottom="1440" w:left="1800" w:header="720" w:footer="720" w:gutter="0"/>
      <w:paperSrc w:first="256" w:other="256"/>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190D" w:rsidRDefault="0064190D">
      <w:r>
        <w:separator/>
      </w:r>
    </w:p>
  </w:endnote>
  <w:endnote w:type="continuationSeparator" w:id="0">
    <w:p w:rsidR="0064190D" w:rsidRDefault="006419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190D" w:rsidRDefault="0064190D">
      <w:r>
        <w:separator/>
      </w:r>
    </w:p>
  </w:footnote>
  <w:footnote w:type="continuationSeparator" w:id="0">
    <w:p w:rsidR="0064190D" w:rsidRDefault="0064190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439D2"/>
    <w:multiLevelType w:val="singleLevel"/>
    <w:tmpl w:val="0409000F"/>
    <w:lvl w:ilvl="0">
      <w:start w:val="11"/>
      <w:numFmt w:val="decimal"/>
      <w:lvlText w:val="%1."/>
      <w:lvlJc w:val="left"/>
      <w:pPr>
        <w:tabs>
          <w:tab w:val="num" w:pos="360"/>
        </w:tabs>
        <w:ind w:left="360" w:hanging="360"/>
      </w:pPr>
      <w:rPr>
        <w:rFonts w:hint="default"/>
      </w:rPr>
    </w:lvl>
  </w:abstractNum>
  <w:abstractNum w:abstractNumId="1">
    <w:nsid w:val="0D7629F9"/>
    <w:multiLevelType w:val="singleLevel"/>
    <w:tmpl w:val="0409000F"/>
    <w:lvl w:ilvl="0">
      <w:start w:val="3"/>
      <w:numFmt w:val="decimal"/>
      <w:lvlText w:val="%1."/>
      <w:lvlJc w:val="left"/>
      <w:pPr>
        <w:tabs>
          <w:tab w:val="num" w:pos="360"/>
        </w:tabs>
        <w:ind w:left="360" w:hanging="360"/>
      </w:pPr>
      <w:rPr>
        <w:rFonts w:hint="default"/>
      </w:rPr>
    </w:lvl>
  </w:abstractNum>
  <w:abstractNum w:abstractNumId="2">
    <w:nsid w:val="0DF77AFA"/>
    <w:multiLevelType w:val="singleLevel"/>
    <w:tmpl w:val="933E2958"/>
    <w:lvl w:ilvl="0">
      <w:start w:val="11"/>
      <w:numFmt w:val="decimal"/>
      <w:lvlText w:val="%1."/>
      <w:lvlJc w:val="left"/>
      <w:pPr>
        <w:tabs>
          <w:tab w:val="num" w:pos="420"/>
        </w:tabs>
        <w:ind w:left="420" w:hanging="420"/>
      </w:pPr>
      <w:rPr>
        <w:rFonts w:hint="default"/>
      </w:rPr>
    </w:lvl>
  </w:abstractNum>
  <w:abstractNum w:abstractNumId="3">
    <w:nsid w:val="0F0905CE"/>
    <w:multiLevelType w:val="hybridMultilevel"/>
    <w:tmpl w:val="AF5CD8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19B0229"/>
    <w:multiLevelType w:val="singleLevel"/>
    <w:tmpl w:val="0409000F"/>
    <w:lvl w:ilvl="0">
      <w:start w:val="3"/>
      <w:numFmt w:val="decimal"/>
      <w:lvlText w:val="%1."/>
      <w:lvlJc w:val="left"/>
      <w:pPr>
        <w:tabs>
          <w:tab w:val="num" w:pos="360"/>
        </w:tabs>
        <w:ind w:left="360" w:hanging="360"/>
      </w:pPr>
      <w:rPr>
        <w:rFonts w:hint="default"/>
      </w:rPr>
    </w:lvl>
  </w:abstractNum>
  <w:abstractNum w:abstractNumId="5">
    <w:nsid w:val="23622CF2"/>
    <w:multiLevelType w:val="hybridMultilevel"/>
    <w:tmpl w:val="3402A0EE"/>
    <w:lvl w:ilvl="0" w:tplc="6E983464">
      <w:start w:val="1"/>
      <w:numFmt w:val="decimal"/>
      <w:lvlText w:val="%1."/>
      <w:lvlJc w:val="left"/>
      <w:pPr>
        <w:ind w:left="390" w:hanging="360"/>
      </w:pPr>
      <w:rPr>
        <w:rFonts w:hint="default"/>
        <w:sz w:val="20"/>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6">
    <w:nsid w:val="2D3A468D"/>
    <w:multiLevelType w:val="singleLevel"/>
    <w:tmpl w:val="0409000F"/>
    <w:lvl w:ilvl="0">
      <w:start w:val="9"/>
      <w:numFmt w:val="decimal"/>
      <w:lvlText w:val="%1."/>
      <w:lvlJc w:val="left"/>
      <w:pPr>
        <w:tabs>
          <w:tab w:val="num" w:pos="360"/>
        </w:tabs>
        <w:ind w:left="360" w:hanging="360"/>
      </w:pPr>
      <w:rPr>
        <w:rFonts w:hint="default"/>
      </w:rPr>
    </w:lvl>
  </w:abstractNum>
  <w:abstractNum w:abstractNumId="7">
    <w:nsid w:val="34136B26"/>
    <w:multiLevelType w:val="hybridMultilevel"/>
    <w:tmpl w:val="8A4E6FBA"/>
    <w:lvl w:ilvl="0" w:tplc="796E0948">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8">
    <w:nsid w:val="36825303"/>
    <w:multiLevelType w:val="singleLevel"/>
    <w:tmpl w:val="04090019"/>
    <w:lvl w:ilvl="0">
      <w:start w:val="1"/>
      <w:numFmt w:val="lowerLetter"/>
      <w:lvlText w:val="(%1)"/>
      <w:lvlJc w:val="left"/>
      <w:pPr>
        <w:tabs>
          <w:tab w:val="num" w:pos="360"/>
        </w:tabs>
        <w:ind w:left="360" w:hanging="360"/>
      </w:pPr>
      <w:rPr>
        <w:rFonts w:hint="default"/>
      </w:rPr>
    </w:lvl>
  </w:abstractNum>
  <w:abstractNum w:abstractNumId="9">
    <w:nsid w:val="45CE248A"/>
    <w:multiLevelType w:val="singleLevel"/>
    <w:tmpl w:val="E01660E8"/>
    <w:lvl w:ilvl="0">
      <w:start w:val="3"/>
      <w:numFmt w:val="lowerRoman"/>
      <w:lvlText w:val="(%1)"/>
      <w:lvlJc w:val="left"/>
      <w:pPr>
        <w:tabs>
          <w:tab w:val="num" w:pos="720"/>
        </w:tabs>
        <w:ind w:left="720" w:hanging="720"/>
      </w:pPr>
      <w:rPr>
        <w:rFonts w:hint="default"/>
      </w:rPr>
    </w:lvl>
  </w:abstractNum>
  <w:abstractNum w:abstractNumId="10">
    <w:nsid w:val="4AF1389C"/>
    <w:multiLevelType w:val="singleLevel"/>
    <w:tmpl w:val="0896BB9E"/>
    <w:lvl w:ilvl="0">
      <w:start w:val="13"/>
      <w:numFmt w:val="decimal"/>
      <w:lvlText w:val="%1."/>
      <w:lvlJc w:val="left"/>
      <w:pPr>
        <w:tabs>
          <w:tab w:val="num" w:pos="420"/>
        </w:tabs>
        <w:ind w:left="420" w:hanging="420"/>
      </w:pPr>
      <w:rPr>
        <w:rFonts w:hint="default"/>
      </w:rPr>
    </w:lvl>
  </w:abstractNum>
  <w:abstractNum w:abstractNumId="11">
    <w:nsid w:val="5F382FC2"/>
    <w:multiLevelType w:val="singleLevel"/>
    <w:tmpl w:val="B718B642"/>
    <w:lvl w:ilvl="0">
      <w:start w:val="1"/>
      <w:numFmt w:val="decimal"/>
      <w:lvlText w:val="%1."/>
      <w:lvlJc w:val="left"/>
      <w:pPr>
        <w:tabs>
          <w:tab w:val="num" w:pos="510"/>
        </w:tabs>
        <w:ind w:left="510" w:hanging="510"/>
      </w:pPr>
      <w:rPr>
        <w:rFonts w:hint="default"/>
      </w:rPr>
    </w:lvl>
  </w:abstractNum>
  <w:abstractNum w:abstractNumId="12">
    <w:nsid w:val="5F9E005F"/>
    <w:multiLevelType w:val="singleLevel"/>
    <w:tmpl w:val="0409000F"/>
    <w:lvl w:ilvl="0">
      <w:start w:val="3"/>
      <w:numFmt w:val="decimal"/>
      <w:lvlText w:val="%1."/>
      <w:lvlJc w:val="left"/>
      <w:pPr>
        <w:tabs>
          <w:tab w:val="num" w:pos="360"/>
        </w:tabs>
        <w:ind w:left="360" w:hanging="360"/>
      </w:pPr>
      <w:rPr>
        <w:rFonts w:hint="default"/>
      </w:rPr>
    </w:lvl>
  </w:abstractNum>
  <w:abstractNum w:abstractNumId="13">
    <w:nsid w:val="659B37BE"/>
    <w:multiLevelType w:val="singleLevel"/>
    <w:tmpl w:val="0409000F"/>
    <w:lvl w:ilvl="0">
      <w:start w:val="3"/>
      <w:numFmt w:val="decimal"/>
      <w:lvlText w:val="%1."/>
      <w:lvlJc w:val="left"/>
      <w:pPr>
        <w:tabs>
          <w:tab w:val="num" w:pos="360"/>
        </w:tabs>
        <w:ind w:left="360" w:hanging="360"/>
      </w:pPr>
      <w:rPr>
        <w:rFonts w:hint="default"/>
      </w:rPr>
    </w:lvl>
  </w:abstractNum>
  <w:abstractNum w:abstractNumId="14">
    <w:nsid w:val="6AD40BBE"/>
    <w:multiLevelType w:val="singleLevel"/>
    <w:tmpl w:val="0409000F"/>
    <w:lvl w:ilvl="0">
      <w:start w:val="3"/>
      <w:numFmt w:val="decimal"/>
      <w:lvlText w:val="%1."/>
      <w:lvlJc w:val="left"/>
      <w:pPr>
        <w:tabs>
          <w:tab w:val="num" w:pos="360"/>
        </w:tabs>
        <w:ind w:left="360" w:hanging="360"/>
      </w:pPr>
      <w:rPr>
        <w:rFonts w:hint="default"/>
      </w:rPr>
    </w:lvl>
  </w:abstractNum>
  <w:abstractNum w:abstractNumId="15">
    <w:nsid w:val="6BF45074"/>
    <w:multiLevelType w:val="hybridMultilevel"/>
    <w:tmpl w:val="9E465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D9E22F1"/>
    <w:multiLevelType w:val="singleLevel"/>
    <w:tmpl w:val="41BEA6EC"/>
    <w:lvl w:ilvl="0">
      <w:start w:val="11"/>
      <w:numFmt w:val="decimal"/>
      <w:lvlText w:val="%1."/>
      <w:lvlJc w:val="left"/>
      <w:pPr>
        <w:tabs>
          <w:tab w:val="num" w:pos="720"/>
        </w:tabs>
        <w:ind w:left="720" w:hanging="720"/>
      </w:pPr>
      <w:rPr>
        <w:rFonts w:hint="default"/>
      </w:rPr>
    </w:lvl>
  </w:abstractNum>
  <w:abstractNum w:abstractNumId="17">
    <w:nsid w:val="7A392BE3"/>
    <w:multiLevelType w:val="singleLevel"/>
    <w:tmpl w:val="243C8930"/>
    <w:lvl w:ilvl="0">
      <w:start w:val="11"/>
      <w:numFmt w:val="decimal"/>
      <w:lvlText w:val="%1."/>
      <w:lvlJc w:val="left"/>
      <w:pPr>
        <w:tabs>
          <w:tab w:val="num" w:pos="420"/>
        </w:tabs>
        <w:ind w:left="420" w:hanging="420"/>
      </w:pPr>
      <w:rPr>
        <w:rFonts w:hint="default"/>
      </w:rPr>
    </w:lvl>
  </w:abstractNum>
  <w:abstractNum w:abstractNumId="18">
    <w:nsid w:val="7BAE11F0"/>
    <w:multiLevelType w:val="singleLevel"/>
    <w:tmpl w:val="C660D960"/>
    <w:lvl w:ilvl="0">
      <w:start w:val="8"/>
      <w:numFmt w:val="decimal"/>
      <w:lvlText w:val="%1."/>
      <w:lvlJc w:val="left"/>
      <w:pPr>
        <w:tabs>
          <w:tab w:val="num" w:pos="720"/>
        </w:tabs>
        <w:ind w:left="720" w:hanging="720"/>
      </w:pPr>
      <w:rPr>
        <w:rFonts w:hint="default"/>
      </w:rPr>
    </w:lvl>
  </w:abstractNum>
  <w:num w:numId="1">
    <w:abstractNumId w:val="18"/>
  </w:num>
  <w:num w:numId="2">
    <w:abstractNumId w:val="16"/>
  </w:num>
  <w:num w:numId="3">
    <w:abstractNumId w:val="1"/>
  </w:num>
  <w:num w:numId="4">
    <w:abstractNumId w:val="13"/>
  </w:num>
  <w:num w:numId="5">
    <w:abstractNumId w:val="6"/>
  </w:num>
  <w:num w:numId="6">
    <w:abstractNumId w:val="0"/>
  </w:num>
  <w:num w:numId="7">
    <w:abstractNumId w:val="2"/>
  </w:num>
  <w:num w:numId="8">
    <w:abstractNumId w:val="8"/>
  </w:num>
  <w:num w:numId="9">
    <w:abstractNumId w:val="10"/>
  </w:num>
  <w:num w:numId="10">
    <w:abstractNumId w:val="12"/>
  </w:num>
  <w:num w:numId="11">
    <w:abstractNumId w:val="14"/>
  </w:num>
  <w:num w:numId="12">
    <w:abstractNumId w:val="4"/>
  </w:num>
  <w:num w:numId="13">
    <w:abstractNumId w:val="17"/>
  </w:num>
  <w:num w:numId="14">
    <w:abstractNumId w:val="11"/>
  </w:num>
  <w:num w:numId="15">
    <w:abstractNumId w:val="9"/>
  </w:num>
  <w:num w:numId="16">
    <w:abstractNumId w:val="3"/>
  </w:num>
  <w:num w:numId="17">
    <w:abstractNumId w:val="5"/>
  </w:num>
  <w:num w:numId="18">
    <w:abstractNumId w:val="15"/>
  </w:num>
  <w:num w:numId="1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E573AE"/>
    <w:rsid w:val="000159DB"/>
    <w:rsid w:val="00025F42"/>
    <w:rsid w:val="000A128D"/>
    <w:rsid w:val="000F4B26"/>
    <w:rsid w:val="001E6108"/>
    <w:rsid w:val="00275992"/>
    <w:rsid w:val="002A57A1"/>
    <w:rsid w:val="002E58D2"/>
    <w:rsid w:val="00342F95"/>
    <w:rsid w:val="00374BDD"/>
    <w:rsid w:val="00375E1E"/>
    <w:rsid w:val="0043117B"/>
    <w:rsid w:val="00451458"/>
    <w:rsid w:val="0052333D"/>
    <w:rsid w:val="005B1902"/>
    <w:rsid w:val="005F470A"/>
    <w:rsid w:val="0064190D"/>
    <w:rsid w:val="006E2971"/>
    <w:rsid w:val="00756776"/>
    <w:rsid w:val="00771C52"/>
    <w:rsid w:val="00772D55"/>
    <w:rsid w:val="008427ED"/>
    <w:rsid w:val="008575DC"/>
    <w:rsid w:val="0086143A"/>
    <w:rsid w:val="008E3490"/>
    <w:rsid w:val="008F5275"/>
    <w:rsid w:val="00A354ED"/>
    <w:rsid w:val="00A54A57"/>
    <w:rsid w:val="00AA1707"/>
    <w:rsid w:val="00AF7A03"/>
    <w:rsid w:val="00B30D11"/>
    <w:rsid w:val="00B61AAA"/>
    <w:rsid w:val="00B91D70"/>
    <w:rsid w:val="00BF2146"/>
    <w:rsid w:val="00C607AF"/>
    <w:rsid w:val="00DB2DB9"/>
    <w:rsid w:val="00E1400E"/>
    <w:rsid w:val="00E26360"/>
    <w:rsid w:val="00E573AE"/>
    <w:rsid w:val="00FE1F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128D"/>
  </w:style>
  <w:style w:type="paragraph" w:styleId="Heading1">
    <w:name w:val="heading 1"/>
    <w:basedOn w:val="Normal"/>
    <w:next w:val="Normal"/>
    <w:qFormat/>
    <w:rsid w:val="000A128D"/>
    <w:pPr>
      <w:keepNext/>
      <w:jc w:val="center"/>
      <w:outlineLvl w:val="0"/>
    </w:pPr>
    <w:rPr>
      <w:b/>
      <w:sz w:val="24"/>
    </w:rPr>
  </w:style>
  <w:style w:type="paragraph" w:styleId="Heading2">
    <w:name w:val="heading 2"/>
    <w:basedOn w:val="Normal"/>
    <w:next w:val="Normal"/>
    <w:qFormat/>
    <w:rsid w:val="000A128D"/>
    <w:pPr>
      <w:keepNext/>
      <w:outlineLvl w:val="1"/>
    </w:pPr>
    <w:rPr>
      <w:b/>
      <w:sz w:val="24"/>
      <w:u w:val="single"/>
    </w:rPr>
  </w:style>
  <w:style w:type="paragraph" w:styleId="Heading3">
    <w:name w:val="heading 3"/>
    <w:basedOn w:val="Normal"/>
    <w:next w:val="Normal"/>
    <w:qFormat/>
    <w:rsid w:val="000A128D"/>
    <w:pPr>
      <w:keepNext/>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6">
    <w:name w:val="p6"/>
    <w:basedOn w:val="Normal"/>
    <w:rsid w:val="000A128D"/>
    <w:pPr>
      <w:widowControl w:val="0"/>
      <w:tabs>
        <w:tab w:val="left" w:pos="204"/>
      </w:tabs>
      <w:spacing w:line="238" w:lineRule="atLeast"/>
    </w:pPr>
    <w:rPr>
      <w:sz w:val="24"/>
    </w:rPr>
  </w:style>
  <w:style w:type="paragraph" w:styleId="Header">
    <w:name w:val="header"/>
    <w:basedOn w:val="Normal"/>
    <w:rsid w:val="000A128D"/>
    <w:pPr>
      <w:tabs>
        <w:tab w:val="center" w:pos="4320"/>
        <w:tab w:val="right" w:pos="8640"/>
      </w:tabs>
    </w:pPr>
    <w:rPr>
      <w:sz w:val="24"/>
    </w:rPr>
  </w:style>
  <w:style w:type="character" w:styleId="Hyperlink">
    <w:name w:val="Hyperlink"/>
    <w:basedOn w:val="DefaultParagraphFont"/>
    <w:rsid w:val="000A128D"/>
    <w:rPr>
      <w:color w:val="0000FF"/>
      <w:u w:val="single"/>
    </w:rPr>
  </w:style>
  <w:style w:type="paragraph" w:styleId="BodyText">
    <w:name w:val="Body Text"/>
    <w:basedOn w:val="Normal"/>
    <w:rsid w:val="000A128D"/>
    <w:rPr>
      <w:sz w:val="16"/>
    </w:rPr>
  </w:style>
  <w:style w:type="paragraph" w:styleId="BodyTextIndent">
    <w:name w:val="Body Text Indent"/>
    <w:basedOn w:val="Normal"/>
    <w:rsid w:val="000A128D"/>
    <w:pPr>
      <w:ind w:firstLine="720"/>
    </w:pPr>
    <w:rPr>
      <w:sz w:val="24"/>
    </w:rPr>
  </w:style>
  <w:style w:type="paragraph" w:customStyle="1" w:styleId="p3">
    <w:name w:val="p3"/>
    <w:basedOn w:val="Normal"/>
    <w:rsid w:val="000A128D"/>
    <w:pPr>
      <w:widowControl w:val="0"/>
      <w:tabs>
        <w:tab w:val="left" w:pos="617"/>
      </w:tabs>
      <w:spacing w:line="238" w:lineRule="atLeast"/>
      <w:ind w:firstLine="618"/>
    </w:pPr>
    <w:rPr>
      <w:sz w:val="24"/>
    </w:rPr>
  </w:style>
  <w:style w:type="paragraph" w:customStyle="1" w:styleId="p5">
    <w:name w:val="p5"/>
    <w:basedOn w:val="Normal"/>
    <w:rsid w:val="000A128D"/>
    <w:pPr>
      <w:widowControl w:val="0"/>
      <w:tabs>
        <w:tab w:val="left" w:pos="515"/>
      </w:tabs>
      <w:spacing w:line="238" w:lineRule="atLeast"/>
    </w:pPr>
    <w:rPr>
      <w:sz w:val="24"/>
    </w:rPr>
  </w:style>
  <w:style w:type="paragraph" w:customStyle="1" w:styleId="le-slb-normal-32-level">
    <w:name w:val="le-slb-normal-32-level"/>
    <w:basedOn w:val="Normal"/>
    <w:rsid w:val="000A128D"/>
    <w:pPr>
      <w:spacing w:before="15" w:after="15"/>
      <w:jc w:val="both"/>
    </w:pPr>
    <w:rPr>
      <w:rFonts w:ascii="Arial" w:eastAsia="Arial Unicode MS" w:hAnsi="Arial" w:cs="Arial"/>
      <w:sz w:val="23"/>
      <w:szCs w:val="23"/>
    </w:rPr>
  </w:style>
  <w:style w:type="paragraph" w:styleId="ListParagraph">
    <w:name w:val="List Paragraph"/>
    <w:basedOn w:val="Normal"/>
    <w:uiPriority w:val="34"/>
    <w:qFormat/>
    <w:rsid w:val="00FE1F86"/>
    <w:pPr>
      <w:ind w:left="720"/>
      <w:contextualSpacing/>
    </w:pPr>
  </w:style>
  <w:style w:type="character" w:styleId="CommentReference">
    <w:name w:val="annotation reference"/>
    <w:basedOn w:val="DefaultParagraphFont"/>
    <w:rsid w:val="0052333D"/>
    <w:rPr>
      <w:sz w:val="16"/>
      <w:szCs w:val="16"/>
    </w:rPr>
  </w:style>
  <w:style w:type="paragraph" w:styleId="CommentText">
    <w:name w:val="annotation text"/>
    <w:basedOn w:val="Normal"/>
    <w:link w:val="CommentTextChar"/>
    <w:rsid w:val="0052333D"/>
  </w:style>
  <w:style w:type="character" w:customStyle="1" w:styleId="CommentTextChar">
    <w:name w:val="Comment Text Char"/>
    <w:basedOn w:val="DefaultParagraphFont"/>
    <w:link w:val="CommentText"/>
    <w:rsid w:val="0052333D"/>
  </w:style>
  <w:style w:type="paragraph" w:styleId="CommentSubject">
    <w:name w:val="annotation subject"/>
    <w:basedOn w:val="CommentText"/>
    <w:next w:val="CommentText"/>
    <w:link w:val="CommentSubjectChar"/>
    <w:rsid w:val="0052333D"/>
    <w:rPr>
      <w:b/>
      <w:bCs/>
    </w:rPr>
  </w:style>
  <w:style w:type="character" w:customStyle="1" w:styleId="CommentSubjectChar">
    <w:name w:val="Comment Subject Char"/>
    <w:basedOn w:val="CommentTextChar"/>
    <w:link w:val="CommentSubject"/>
    <w:rsid w:val="0052333D"/>
    <w:rPr>
      <w:b/>
      <w:bCs/>
    </w:rPr>
  </w:style>
  <w:style w:type="paragraph" w:styleId="BalloonText">
    <w:name w:val="Balloon Text"/>
    <w:basedOn w:val="Normal"/>
    <w:link w:val="BalloonTextChar"/>
    <w:rsid w:val="0052333D"/>
    <w:rPr>
      <w:rFonts w:ascii="Tahoma" w:hAnsi="Tahoma" w:cs="Tahoma"/>
      <w:sz w:val="16"/>
      <w:szCs w:val="16"/>
    </w:rPr>
  </w:style>
  <w:style w:type="character" w:customStyle="1" w:styleId="BalloonTextChar">
    <w:name w:val="Balloon Text Char"/>
    <w:basedOn w:val="DefaultParagraphFont"/>
    <w:link w:val="BalloonText"/>
    <w:rsid w:val="0052333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exchanges.state.gov/education/"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17D65575041C144AC00B7A5639C1B3C" ma:contentTypeVersion="1" ma:contentTypeDescription="Create a new document." ma:contentTypeScope="" ma:versionID="69d50b0e2973a00a534d5d65c3b971c1">
  <xsd:schema xmlns:xsd="http://www.w3.org/2001/XMLSchema" xmlns:p="http://schemas.microsoft.com/office/2006/metadata/properties" targetNamespace="http://schemas.microsoft.com/office/2006/metadata/properties" ma:root="true" ma:fieldsID="c321cfdb1bb2ac12195656399fe0b55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ACCD51-F7EC-49AB-A1E8-16CA5D7F6BD1}">
  <ds:schemaRefs>
    <ds:schemaRef ds:uri="http://schemas.microsoft.com/office/2006/metadata/properties"/>
  </ds:schemaRefs>
</ds:datastoreItem>
</file>

<file path=customXml/itemProps2.xml><?xml version="1.0" encoding="utf-8"?>
<ds:datastoreItem xmlns:ds="http://schemas.openxmlformats.org/officeDocument/2006/customXml" ds:itemID="{7B3958A0-EFB3-434E-8731-B3C14BA3EA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3176A06-F469-4886-AF44-C20E6B379E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13</Pages>
  <Words>5449</Words>
  <Characters>28875</Characters>
  <Application>Microsoft Office Word</Application>
  <DocSecurity>0</DocSecurity>
  <Lines>515</Lines>
  <Paragraphs>123</Paragraphs>
  <ScaleCrop>false</ScaleCrop>
  <HeadingPairs>
    <vt:vector size="2" baseType="variant">
      <vt:variant>
        <vt:lpstr>Title</vt:lpstr>
      </vt:variant>
      <vt:variant>
        <vt:i4>1</vt:i4>
      </vt:variant>
    </vt:vector>
  </HeadingPairs>
  <TitlesOfParts>
    <vt:vector size="1" baseType="lpstr">
      <vt:lpstr>Attachment to Standard Form 83</vt:lpstr>
    </vt:vector>
  </TitlesOfParts>
  <Company>U.S. Department of State</Company>
  <LinksUpToDate>false</LinksUpToDate>
  <CharactersWithSpaces>34201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to Standard Form 83</dc:title>
  <dc:subject/>
  <dc:creator>AbasoloJ</dc:creator>
  <cp:keywords/>
  <cp:lastModifiedBy>ciupekra</cp:lastModifiedBy>
  <cp:revision>12</cp:revision>
  <cp:lastPrinted>2011-06-02T12:40:00Z</cp:lastPrinted>
  <dcterms:created xsi:type="dcterms:W3CDTF">2011-05-31T17:35:00Z</dcterms:created>
  <dcterms:modified xsi:type="dcterms:W3CDTF">2011-06-09T14:43:00Z</dcterms:modified>
</cp:coreProperties>
</file>