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387" w:rsidRDefault="00320387" w:rsidP="00320387">
      <w:pPr>
        <w:pStyle w:val="Title"/>
        <w:keepNext w:val="0"/>
        <w:keepLines w:val="0"/>
        <w:pBdr>
          <w:top w:val="none" w:sz="0" w:space="0" w:color="auto"/>
        </w:pBdr>
        <w:spacing w:before="0" w:after="0" w:line="240" w:lineRule="auto"/>
        <w:rPr>
          <w:rFonts w:ascii="Times New Roman" w:hAnsi="Times New Roman"/>
          <w:spacing w:val="0"/>
          <w:sz w:val="24"/>
        </w:rPr>
      </w:pPr>
    </w:p>
    <w:p w:rsidR="00320387" w:rsidRDefault="00320387" w:rsidP="00320387">
      <w:pPr>
        <w:keepNext/>
        <w:numPr>
          <w:ilvl w:val="0"/>
          <w:numId w:val="1"/>
        </w:numPr>
        <w:tabs>
          <w:tab w:val="left" w:pos="360"/>
        </w:tabs>
        <w:rPr>
          <w:b/>
          <w:i/>
        </w:rPr>
      </w:pPr>
      <w:r>
        <w:rPr>
          <w:b/>
          <w:i/>
        </w:rPr>
        <w:t>Explain the circumstances that make the collection of information necessary.  Identify any legal or administrative requirements that necessitate the collection.  Attach a copy of the appropriate section of each statu</w:t>
      </w:r>
      <w:r w:rsidR="002643DB">
        <w:rPr>
          <w:b/>
          <w:i/>
        </w:rPr>
        <w:t>t</w:t>
      </w:r>
      <w:r>
        <w:rPr>
          <w:b/>
          <w:i/>
        </w:rPr>
        <w:t>e and regulation mandating or authorizing the collection of information.  (Annotate the CFR parts/sections affected).</w:t>
      </w:r>
    </w:p>
    <w:p w:rsidR="00320387" w:rsidRDefault="00320387" w:rsidP="00320387">
      <w:pPr>
        <w:keepNext/>
        <w:numPr>
          <w:ilvl w:val="12"/>
          <w:numId w:val="0"/>
        </w:numPr>
        <w:ind w:left="360"/>
      </w:pPr>
    </w:p>
    <w:p w:rsidR="007212A7" w:rsidRPr="001147F2" w:rsidRDefault="007212A7" w:rsidP="007212A7">
      <w:pPr>
        <w:numPr>
          <w:ilvl w:val="12"/>
          <w:numId w:val="0"/>
        </w:numPr>
        <w:ind w:left="360"/>
        <w:rPr>
          <w:rFonts w:cs="Times New Roman"/>
          <w:szCs w:val="24"/>
        </w:rPr>
      </w:pPr>
      <w:r w:rsidRPr="001147F2">
        <w:rPr>
          <w:rFonts w:cs="Times New Roman"/>
          <w:szCs w:val="24"/>
        </w:rPr>
        <w:t xml:space="preserve">To help defray TSA’s costs of providing civil aviation security services, </w:t>
      </w:r>
      <w:r w:rsidR="00982EC9">
        <w:rPr>
          <w:rFonts w:cs="Times New Roman"/>
          <w:szCs w:val="24"/>
        </w:rPr>
        <w:t>TSA is required</w:t>
      </w:r>
      <w:r w:rsidR="005F4D6D">
        <w:rPr>
          <w:rFonts w:cs="Times New Roman"/>
          <w:szCs w:val="24"/>
        </w:rPr>
        <w:t>,</w:t>
      </w:r>
      <w:r w:rsidR="006B57A0">
        <w:rPr>
          <w:rFonts w:cs="Times New Roman"/>
          <w:szCs w:val="24"/>
        </w:rPr>
        <w:t xml:space="preserve"> </w:t>
      </w:r>
      <w:r w:rsidR="00982EC9">
        <w:rPr>
          <w:rFonts w:cs="Times New Roman"/>
          <w:szCs w:val="24"/>
        </w:rPr>
        <w:t xml:space="preserve">to </w:t>
      </w:r>
      <w:r w:rsidRPr="001147F2">
        <w:rPr>
          <w:rFonts w:cs="Times New Roman"/>
          <w:szCs w:val="24"/>
        </w:rPr>
        <w:t>impose</w:t>
      </w:r>
      <w:r w:rsidR="00982EC9">
        <w:rPr>
          <w:rFonts w:cs="Times New Roman"/>
          <w:szCs w:val="24"/>
        </w:rPr>
        <w:t xml:space="preserve"> </w:t>
      </w:r>
      <w:r w:rsidRPr="001147F2">
        <w:rPr>
          <w:rFonts w:cs="Times New Roman"/>
          <w:szCs w:val="24"/>
        </w:rPr>
        <w:t>a fee known as the September 11th Security Fee on passengers of air carriers and foreign air carriers</w:t>
      </w:r>
      <w:r w:rsidR="00A548F5">
        <w:rPr>
          <w:rFonts w:cs="Times New Roman"/>
          <w:szCs w:val="24"/>
        </w:rPr>
        <w:t xml:space="preserve"> (collectively referred to as “carriers”)</w:t>
      </w:r>
      <w:r w:rsidRPr="001147F2">
        <w:rPr>
          <w:rFonts w:cs="Times New Roman"/>
          <w:szCs w:val="24"/>
        </w:rPr>
        <w:t xml:space="preserve">. </w:t>
      </w:r>
      <w:r w:rsidR="005F4D6D">
        <w:rPr>
          <w:rFonts w:cs="Times New Roman"/>
          <w:szCs w:val="24"/>
        </w:rPr>
        <w:t xml:space="preserve"> </w:t>
      </w:r>
      <w:r w:rsidR="00982EC9" w:rsidRPr="00982EC9">
        <w:rPr>
          <w:rFonts w:cs="Times New Roman"/>
          <w:i/>
          <w:szCs w:val="24"/>
        </w:rPr>
        <w:t>See</w:t>
      </w:r>
      <w:r w:rsidR="00982EC9">
        <w:rPr>
          <w:rFonts w:cs="Times New Roman"/>
          <w:szCs w:val="24"/>
        </w:rPr>
        <w:t xml:space="preserve"> </w:t>
      </w:r>
      <w:r w:rsidR="00982EC9" w:rsidRPr="001147F2">
        <w:rPr>
          <w:rFonts w:cs="Times New Roman"/>
          <w:szCs w:val="24"/>
        </w:rPr>
        <w:t>the Aviation and Transportation Security Act</w:t>
      </w:r>
      <w:r w:rsidR="00982EC9">
        <w:rPr>
          <w:rFonts w:cs="Times New Roman"/>
          <w:szCs w:val="24"/>
        </w:rPr>
        <w:t xml:space="preserve">, Pub. L. 107-71 (Nov. 19, 2001), codified at </w:t>
      </w:r>
      <w:r w:rsidR="00982EC9" w:rsidRPr="001147F2">
        <w:rPr>
          <w:rFonts w:cs="Times New Roman"/>
          <w:szCs w:val="24"/>
        </w:rPr>
        <w:t>49 U.S.C. 44940 (ATSA)</w:t>
      </w:r>
      <w:r w:rsidR="00982EC9">
        <w:rPr>
          <w:rFonts w:cs="Times New Roman"/>
          <w:szCs w:val="24"/>
        </w:rPr>
        <w:t xml:space="preserve">.  TSA issued regulations in December 2001 to implement these requirements consistent with ATSA. (66 FR 67701, codified at </w:t>
      </w:r>
      <w:r w:rsidR="005F4D6D" w:rsidRPr="00982EC9">
        <w:rPr>
          <w:rFonts w:cs="Times New Roman"/>
          <w:szCs w:val="24"/>
        </w:rPr>
        <w:t>49</w:t>
      </w:r>
      <w:r w:rsidR="005F4D6D">
        <w:rPr>
          <w:rFonts w:cs="Times New Roman"/>
          <w:szCs w:val="24"/>
        </w:rPr>
        <w:t xml:space="preserve"> C</w:t>
      </w:r>
      <w:r w:rsidR="006B57A0">
        <w:rPr>
          <w:rFonts w:cs="Times New Roman"/>
          <w:szCs w:val="24"/>
        </w:rPr>
        <w:t>FR</w:t>
      </w:r>
      <w:r w:rsidR="005F4D6D">
        <w:rPr>
          <w:rFonts w:cs="Times New Roman"/>
          <w:szCs w:val="24"/>
        </w:rPr>
        <w:t xml:space="preserve"> </w:t>
      </w:r>
      <w:proofErr w:type="gramStart"/>
      <w:r w:rsidR="00982EC9">
        <w:rPr>
          <w:rFonts w:cs="Times New Roman"/>
          <w:szCs w:val="24"/>
        </w:rPr>
        <w:t>part</w:t>
      </w:r>
      <w:proofErr w:type="gramEnd"/>
      <w:r w:rsidR="005F4D6D">
        <w:rPr>
          <w:rFonts w:cs="Times New Roman"/>
          <w:szCs w:val="24"/>
        </w:rPr>
        <w:t xml:space="preserve"> 1510</w:t>
      </w:r>
      <w:r w:rsidR="00982EC9">
        <w:rPr>
          <w:rFonts w:cs="Times New Roman"/>
          <w:szCs w:val="24"/>
        </w:rPr>
        <w:t>)</w:t>
      </w:r>
      <w:r w:rsidR="005F4D6D">
        <w:rPr>
          <w:rFonts w:cs="Times New Roman"/>
          <w:szCs w:val="24"/>
        </w:rPr>
        <w:t>.</w:t>
      </w:r>
      <w:r w:rsidRPr="001147F2">
        <w:rPr>
          <w:rFonts w:cs="Times New Roman"/>
          <w:szCs w:val="24"/>
        </w:rPr>
        <w:t xml:space="preserve">   </w:t>
      </w:r>
      <w:r w:rsidR="00982EC9">
        <w:rPr>
          <w:rFonts w:cs="Times New Roman"/>
          <w:szCs w:val="24"/>
        </w:rPr>
        <w:t>Consistent with ATSA, t</w:t>
      </w:r>
      <w:r w:rsidRPr="001147F2">
        <w:rPr>
          <w:rFonts w:cs="Times New Roman"/>
          <w:szCs w:val="24"/>
        </w:rPr>
        <w:t xml:space="preserve">he amount of the fee collected </w:t>
      </w:r>
      <w:r w:rsidR="005F4D6D">
        <w:rPr>
          <w:rFonts w:cs="Times New Roman"/>
          <w:szCs w:val="24"/>
        </w:rPr>
        <w:t xml:space="preserve">by </w:t>
      </w:r>
      <w:r w:rsidR="00415C49">
        <w:rPr>
          <w:rFonts w:cs="Times New Roman"/>
          <w:szCs w:val="24"/>
        </w:rPr>
        <w:t>carriers</w:t>
      </w:r>
      <w:r w:rsidR="005F4D6D">
        <w:rPr>
          <w:rFonts w:cs="Times New Roman"/>
          <w:szCs w:val="24"/>
        </w:rPr>
        <w:t xml:space="preserve"> </w:t>
      </w:r>
      <w:r w:rsidRPr="001147F2">
        <w:rPr>
          <w:rFonts w:cs="Times New Roman"/>
          <w:szCs w:val="24"/>
        </w:rPr>
        <w:t>is $2.50 per passenger enplanement originating within the United States</w:t>
      </w:r>
      <w:r w:rsidR="00982EC9">
        <w:rPr>
          <w:rFonts w:cs="Times New Roman"/>
          <w:szCs w:val="24"/>
        </w:rPr>
        <w:t xml:space="preserve"> and p</w:t>
      </w:r>
      <w:r w:rsidR="005F4D6D">
        <w:rPr>
          <w:rFonts w:cs="Times New Roman"/>
          <w:szCs w:val="24"/>
        </w:rPr>
        <w:t xml:space="preserve">assengers may not be charged for more than </w:t>
      </w:r>
      <w:r w:rsidRPr="001147F2">
        <w:rPr>
          <w:rFonts w:cs="Times New Roman"/>
          <w:szCs w:val="24"/>
        </w:rPr>
        <w:t xml:space="preserve">two enplanements per one-way trip or four enplanements per round trip.  </w:t>
      </w:r>
      <w:r w:rsidR="00982EC9" w:rsidRPr="00982EC9">
        <w:rPr>
          <w:rFonts w:cs="Times New Roman"/>
          <w:i/>
          <w:szCs w:val="24"/>
        </w:rPr>
        <w:t>See</w:t>
      </w:r>
      <w:r w:rsidR="00982EC9">
        <w:rPr>
          <w:rFonts w:cs="Times New Roman"/>
          <w:szCs w:val="24"/>
        </w:rPr>
        <w:t xml:space="preserve"> </w:t>
      </w:r>
      <w:r w:rsidR="005F4D6D" w:rsidRPr="00982EC9">
        <w:rPr>
          <w:rFonts w:cs="Times New Roman"/>
          <w:szCs w:val="24"/>
        </w:rPr>
        <w:t>49</w:t>
      </w:r>
      <w:r w:rsidR="005F4D6D">
        <w:rPr>
          <w:rFonts w:cs="Times New Roman"/>
          <w:szCs w:val="24"/>
        </w:rPr>
        <w:t xml:space="preserve"> C</w:t>
      </w:r>
      <w:r w:rsidR="006B57A0">
        <w:rPr>
          <w:rFonts w:cs="Times New Roman"/>
          <w:szCs w:val="24"/>
        </w:rPr>
        <w:t>FR</w:t>
      </w:r>
      <w:r w:rsidR="00A548F5">
        <w:rPr>
          <w:rFonts w:cs="Times New Roman"/>
          <w:szCs w:val="24"/>
        </w:rPr>
        <w:t xml:space="preserve"> </w:t>
      </w:r>
      <w:r w:rsidR="005F4D6D">
        <w:rPr>
          <w:rFonts w:cs="Times New Roman"/>
          <w:szCs w:val="24"/>
        </w:rPr>
        <w:t xml:space="preserve">1510.5(a).  </w:t>
      </w:r>
      <w:proofErr w:type="gramStart"/>
      <w:r w:rsidR="00415C49">
        <w:rPr>
          <w:rFonts w:cs="Times New Roman"/>
          <w:szCs w:val="24"/>
        </w:rPr>
        <w:t>carriers</w:t>
      </w:r>
      <w:proofErr w:type="gramEnd"/>
      <w:r w:rsidRPr="001147F2">
        <w:rPr>
          <w:rFonts w:cs="Times New Roman"/>
          <w:szCs w:val="24"/>
        </w:rPr>
        <w:t xml:space="preserve"> are required to submit quarterly reports to TSA, which provide an accounting of the fees imposed, collected, refunded to passengers, and remitted to TSA</w:t>
      </w:r>
      <w:r w:rsidR="005F4D6D">
        <w:rPr>
          <w:rFonts w:cs="Times New Roman"/>
          <w:szCs w:val="24"/>
        </w:rPr>
        <w:t xml:space="preserve">.  </w:t>
      </w:r>
      <w:r w:rsidR="00982EC9">
        <w:rPr>
          <w:rFonts w:cs="Times New Roman"/>
          <w:i/>
          <w:szCs w:val="24"/>
        </w:rPr>
        <w:t>See</w:t>
      </w:r>
      <w:r w:rsidR="00982EC9">
        <w:rPr>
          <w:rFonts w:cs="Times New Roman"/>
          <w:szCs w:val="24"/>
        </w:rPr>
        <w:t xml:space="preserve"> </w:t>
      </w:r>
      <w:r w:rsidRPr="001147F2">
        <w:rPr>
          <w:rFonts w:cs="Times New Roman"/>
          <w:szCs w:val="24"/>
        </w:rPr>
        <w:t xml:space="preserve">49 </w:t>
      </w:r>
      <w:r w:rsidR="006B57A0">
        <w:rPr>
          <w:rFonts w:cs="Times New Roman"/>
          <w:szCs w:val="24"/>
        </w:rPr>
        <w:t xml:space="preserve">CFR </w:t>
      </w:r>
      <w:r w:rsidRPr="001147F2">
        <w:rPr>
          <w:rFonts w:cs="Times New Roman"/>
          <w:szCs w:val="24"/>
        </w:rPr>
        <w:t>1510.17.  Each air carrier that collects security service fees from more than 50,000 passengers annually is also required under 49 C</w:t>
      </w:r>
      <w:r w:rsidR="006B57A0">
        <w:rPr>
          <w:rFonts w:cs="Times New Roman"/>
          <w:szCs w:val="24"/>
        </w:rPr>
        <w:t>FR</w:t>
      </w:r>
      <w:r w:rsidRPr="001147F2">
        <w:rPr>
          <w:rFonts w:cs="Times New Roman"/>
          <w:szCs w:val="24"/>
        </w:rPr>
        <w:t xml:space="preserve"> 1510.15 to submit to TSA an annual independent audit, performed by an independent certified public accountant, of its security service fee activities and accounts.  Although, the annual independent audit requirements were suspended </w:t>
      </w:r>
      <w:r w:rsidR="005F4D6D">
        <w:rPr>
          <w:rFonts w:cs="Times New Roman"/>
          <w:szCs w:val="24"/>
        </w:rPr>
        <w:t xml:space="preserve">on </w:t>
      </w:r>
      <w:r w:rsidRPr="001147F2">
        <w:rPr>
          <w:rFonts w:cs="Times New Roman"/>
          <w:szCs w:val="24"/>
        </w:rPr>
        <w:t xml:space="preserve">January 23, 2003 (68 FR 3192), TSA conducts its own audits of the </w:t>
      </w:r>
      <w:r w:rsidR="00415C49">
        <w:rPr>
          <w:rFonts w:cs="Times New Roman"/>
          <w:szCs w:val="24"/>
        </w:rPr>
        <w:t>carriers</w:t>
      </w:r>
      <w:r w:rsidR="005F4D6D">
        <w:rPr>
          <w:rFonts w:cs="Times New Roman"/>
          <w:szCs w:val="24"/>
        </w:rPr>
        <w:t xml:space="preserve">.  </w:t>
      </w:r>
      <w:r w:rsidR="00982EC9" w:rsidRPr="00982EC9">
        <w:rPr>
          <w:rFonts w:cs="Times New Roman"/>
          <w:i/>
          <w:szCs w:val="24"/>
        </w:rPr>
        <w:t>See</w:t>
      </w:r>
      <w:r w:rsidR="00982EC9">
        <w:rPr>
          <w:rFonts w:cs="Times New Roman"/>
          <w:szCs w:val="24"/>
        </w:rPr>
        <w:t xml:space="preserve"> </w:t>
      </w:r>
      <w:r w:rsidRPr="00982EC9">
        <w:rPr>
          <w:rFonts w:cs="Times New Roman"/>
          <w:szCs w:val="24"/>
        </w:rPr>
        <w:t>49</w:t>
      </w:r>
      <w:r w:rsidRPr="001147F2">
        <w:rPr>
          <w:rFonts w:cs="Times New Roman"/>
          <w:szCs w:val="24"/>
        </w:rPr>
        <w:t xml:space="preserve"> C</w:t>
      </w:r>
      <w:r w:rsidR="006B57A0">
        <w:rPr>
          <w:rFonts w:cs="Times New Roman"/>
          <w:szCs w:val="24"/>
        </w:rPr>
        <w:t>FR</w:t>
      </w:r>
      <w:r w:rsidR="005F4D6D">
        <w:rPr>
          <w:rFonts w:cs="Times New Roman"/>
          <w:szCs w:val="24"/>
        </w:rPr>
        <w:t xml:space="preserve">. </w:t>
      </w:r>
      <w:r w:rsidRPr="001147F2">
        <w:rPr>
          <w:rFonts w:cs="Times New Roman"/>
          <w:szCs w:val="24"/>
        </w:rPr>
        <w:t>1510.11.</w:t>
      </w:r>
    </w:p>
    <w:p w:rsidR="007212A7" w:rsidRPr="001147F2" w:rsidRDefault="007212A7" w:rsidP="007212A7">
      <w:pPr>
        <w:numPr>
          <w:ilvl w:val="12"/>
          <w:numId w:val="0"/>
        </w:numPr>
        <w:ind w:left="360"/>
        <w:rPr>
          <w:rFonts w:cs="Times New Roman"/>
          <w:szCs w:val="24"/>
        </w:rPr>
      </w:pPr>
    </w:p>
    <w:p w:rsidR="00E6294C" w:rsidRDefault="007212A7" w:rsidP="007212A7">
      <w:pPr>
        <w:numPr>
          <w:ilvl w:val="12"/>
          <w:numId w:val="0"/>
        </w:numPr>
        <w:ind w:left="360"/>
        <w:rPr>
          <w:rFonts w:cs="Times New Roman"/>
          <w:szCs w:val="24"/>
        </w:rPr>
      </w:pPr>
      <w:r w:rsidRPr="001147F2">
        <w:rPr>
          <w:rFonts w:cs="Times New Roman"/>
          <w:szCs w:val="24"/>
        </w:rPr>
        <w:t xml:space="preserve">In conjunction with the issuance of </w:t>
      </w:r>
      <w:r w:rsidR="00982EC9">
        <w:rPr>
          <w:rFonts w:cs="Times New Roman"/>
          <w:szCs w:val="24"/>
        </w:rPr>
        <w:t xml:space="preserve">49 CFR </w:t>
      </w:r>
      <w:r w:rsidRPr="001147F2">
        <w:rPr>
          <w:rFonts w:cs="Times New Roman"/>
          <w:szCs w:val="24"/>
        </w:rPr>
        <w:t xml:space="preserve">part 1510, TSA requested OMB approval to collect information necessary for the agency to establish the September 11th Security Fee, </w:t>
      </w:r>
      <w:proofErr w:type="gramStart"/>
      <w:r w:rsidRPr="001147F2">
        <w:rPr>
          <w:rFonts w:cs="Times New Roman"/>
          <w:szCs w:val="24"/>
        </w:rPr>
        <w:t>including</w:t>
      </w:r>
      <w:proofErr w:type="gramEnd"/>
      <w:r w:rsidRPr="001147F2">
        <w:rPr>
          <w:rFonts w:cs="Times New Roman"/>
          <w:szCs w:val="24"/>
        </w:rPr>
        <w:t xml:space="preserve"> quarterly reports </w:t>
      </w:r>
      <w:r w:rsidR="005F4D6D">
        <w:rPr>
          <w:rFonts w:cs="Times New Roman"/>
          <w:szCs w:val="24"/>
        </w:rPr>
        <w:t>regarding</w:t>
      </w:r>
      <w:r w:rsidRPr="001147F2">
        <w:rPr>
          <w:rFonts w:cs="Times New Roman"/>
          <w:szCs w:val="24"/>
        </w:rPr>
        <w:t xml:space="preserve"> the fees imposed, collected, refunded, and remitted by each </w:t>
      </w:r>
      <w:r w:rsidR="00A548F5">
        <w:rPr>
          <w:rFonts w:cs="Times New Roman"/>
          <w:szCs w:val="24"/>
        </w:rPr>
        <w:t xml:space="preserve">air </w:t>
      </w:r>
      <w:r w:rsidRPr="001147F2">
        <w:rPr>
          <w:rFonts w:cs="Times New Roman"/>
          <w:szCs w:val="24"/>
        </w:rPr>
        <w:t xml:space="preserve">carrier.  </w:t>
      </w:r>
    </w:p>
    <w:p w:rsidR="00E6294C" w:rsidRDefault="00E6294C" w:rsidP="007212A7">
      <w:pPr>
        <w:numPr>
          <w:ilvl w:val="12"/>
          <w:numId w:val="0"/>
        </w:numPr>
        <w:ind w:left="360"/>
        <w:rPr>
          <w:rFonts w:cs="Times New Roman"/>
          <w:szCs w:val="24"/>
        </w:rPr>
      </w:pPr>
    </w:p>
    <w:p w:rsidR="007212A7" w:rsidRPr="001147F2" w:rsidRDefault="007212A7" w:rsidP="007212A7">
      <w:pPr>
        <w:numPr>
          <w:ilvl w:val="12"/>
          <w:numId w:val="0"/>
        </w:numPr>
        <w:ind w:left="360"/>
        <w:rPr>
          <w:rFonts w:cs="Times New Roman"/>
          <w:szCs w:val="24"/>
        </w:rPr>
      </w:pPr>
      <w:r w:rsidRPr="001147F2">
        <w:rPr>
          <w:rFonts w:cs="Times New Roman"/>
          <w:szCs w:val="24"/>
        </w:rPr>
        <w:t xml:space="preserve">TSA is seeking renewal of this collection to require </w:t>
      </w:r>
      <w:r w:rsidR="00415C49">
        <w:rPr>
          <w:rFonts w:cs="Times New Roman"/>
          <w:szCs w:val="24"/>
        </w:rPr>
        <w:t>carriers</w:t>
      </w:r>
      <w:r w:rsidRPr="001147F2">
        <w:rPr>
          <w:rFonts w:cs="Times New Roman"/>
          <w:szCs w:val="24"/>
        </w:rPr>
        <w:t xml:space="preserve"> to continue submitting the quarterly reports to TSA, and to retain the information for a </w:t>
      </w:r>
      <w:r w:rsidR="00874219">
        <w:rPr>
          <w:rFonts w:cs="Times New Roman"/>
          <w:szCs w:val="24"/>
        </w:rPr>
        <w:t>three</w:t>
      </w:r>
      <w:r w:rsidRPr="001147F2">
        <w:rPr>
          <w:rFonts w:cs="Times New Roman"/>
          <w:szCs w:val="24"/>
        </w:rPr>
        <w:t>-year rolling period.  This requirement includes retaining the source information for the quarterly reports remitted to TSA, and the calculations and allocations performed to remit reports to TSA.  Should the auditing requirement be reinstated, the requirement would include information and documents reviewed and prepared for the independent audit</w:t>
      </w:r>
      <w:r w:rsidR="00415C49">
        <w:rPr>
          <w:rFonts w:cs="Times New Roman"/>
          <w:szCs w:val="24"/>
        </w:rPr>
        <w:t xml:space="preserve">, including (1) </w:t>
      </w:r>
      <w:r w:rsidRPr="001147F2">
        <w:rPr>
          <w:rFonts w:cs="Times New Roman"/>
          <w:szCs w:val="24"/>
        </w:rPr>
        <w:t>the accountant’s working papers, notes, worksheets, and other relevant documentation used in the audit and</w:t>
      </w:r>
      <w:r w:rsidR="00415C49">
        <w:rPr>
          <w:rFonts w:cs="Times New Roman"/>
          <w:szCs w:val="24"/>
        </w:rPr>
        <w:t xml:space="preserve"> (2)</w:t>
      </w:r>
      <w:r w:rsidRPr="001147F2">
        <w:rPr>
          <w:rFonts w:cs="Times New Roman"/>
          <w:szCs w:val="24"/>
        </w:rPr>
        <w:t xml:space="preserve"> if applicable, the specific information leading to the accountant’s opinion, including any determination that the accountant could not provide an audit opinion.  Although TSA suspended the independent audits, TSA conducts audits of the </w:t>
      </w:r>
      <w:r w:rsidR="00415C49">
        <w:rPr>
          <w:rFonts w:cs="Times New Roman"/>
          <w:szCs w:val="24"/>
        </w:rPr>
        <w:t>carriers</w:t>
      </w:r>
      <w:r w:rsidRPr="001147F2">
        <w:rPr>
          <w:rFonts w:cs="Times New Roman"/>
          <w:szCs w:val="24"/>
        </w:rPr>
        <w:t xml:space="preserve">, and therefore, requires </w:t>
      </w:r>
      <w:r w:rsidR="00415C49">
        <w:rPr>
          <w:rFonts w:cs="Times New Roman"/>
          <w:szCs w:val="24"/>
        </w:rPr>
        <w:t>carriers</w:t>
      </w:r>
      <w:r w:rsidRPr="001147F2">
        <w:rPr>
          <w:rFonts w:cs="Times New Roman"/>
          <w:szCs w:val="24"/>
        </w:rPr>
        <w:t xml:space="preserve"> to retain and provide the same information as required for the quarterly reports and independent audits.</w:t>
      </w:r>
    </w:p>
    <w:p w:rsidR="00320387" w:rsidRDefault="00320387" w:rsidP="00320387">
      <w:pPr>
        <w:pStyle w:val="IndexHeading"/>
        <w:keepNext w:val="0"/>
        <w:tabs>
          <w:tab w:val="left" w:pos="360"/>
        </w:tabs>
        <w:spacing w:line="240" w:lineRule="auto"/>
        <w:rPr>
          <w:rFonts w:ascii="Times New Roman" w:hAnsi="Times New Roman"/>
          <w:spacing w:val="0"/>
        </w:rPr>
      </w:pPr>
    </w:p>
    <w:p w:rsidR="00320387" w:rsidRDefault="00320387" w:rsidP="00320387">
      <w:pPr>
        <w:keepNext/>
        <w:numPr>
          <w:ilvl w:val="0"/>
          <w:numId w:val="1"/>
        </w:numPr>
        <w:tabs>
          <w:tab w:val="left" w:pos="360"/>
        </w:tabs>
        <w:rPr>
          <w:b/>
          <w:i/>
        </w:rPr>
      </w:pPr>
      <w:r>
        <w:rPr>
          <w:b/>
          <w:i/>
        </w:rPr>
        <w:lastRenderedPageBreak/>
        <w:t>Indicate how, by whom, and for what purpose the information is to be used.  Except for a new collection, indicate the actual use the agency has made of the information received from the current collection.</w:t>
      </w:r>
    </w:p>
    <w:p w:rsidR="00320387" w:rsidRDefault="00320387" w:rsidP="00320387">
      <w:pPr>
        <w:keepNext/>
        <w:numPr>
          <w:ilvl w:val="12"/>
          <w:numId w:val="0"/>
        </w:numPr>
        <w:ind w:left="360"/>
      </w:pPr>
    </w:p>
    <w:p w:rsidR="007212A7" w:rsidRPr="001147F2" w:rsidRDefault="007212A7" w:rsidP="007212A7">
      <w:pPr>
        <w:numPr>
          <w:ilvl w:val="12"/>
          <w:numId w:val="0"/>
        </w:numPr>
        <w:ind w:left="360"/>
        <w:rPr>
          <w:rFonts w:cs="Times New Roman"/>
          <w:szCs w:val="24"/>
        </w:rPr>
      </w:pPr>
      <w:r w:rsidRPr="001F0938">
        <w:rPr>
          <w:rFonts w:cs="Times New Roman"/>
          <w:szCs w:val="24"/>
        </w:rPr>
        <w:t xml:space="preserve">TSA collects the information related to the September 11th Security Fee to monitor </w:t>
      </w:r>
      <w:r w:rsidR="00A548F5">
        <w:rPr>
          <w:rFonts w:cs="Times New Roman"/>
          <w:szCs w:val="24"/>
        </w:rPr>
        <w:t xml:space="preserve">air </w:t>
      </w:r>
      <w:r w:rsidRPr="001F0938">
        <w:rPr>
          <w:rFonts w:cs="Times New Roman"/>
          <w:szCs w:val="24"/>
        </w:rPr>
        <w:t>carrier compliance with the fee requirements, for auditing purposes, and to track performance measures.</w:t>
      </w:r>
    </w:p>
    <w:p w:rsidR="007212A7" w:rsidRPr="001147F2" w:rsidRDefault="007212A7" w:rsidP="007212A7">
      <w:pPr>
        <w:numPr>
          <w:ilvl w:val="12"/>
          <w:numId w:val="0"/>
        </w:numPr>
        <w:ind w:left="360"/>
        <w:rPr>
          <w:rFonts w:cs="Times New Roman"/>
          <w:szCs w:val="24"/>
        </w:rPr>
      </w:pP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Pr>
          <w:rFonts w:ascii="Courier New" w:hAnsi="Courier New"/>
          <w:snapToGrid w:val="0"/>
        </w:rPr>
        <w:t xml:space="preserve">  </w:t>
      </w:r>
      <w:r>
        <w:rPr>
          <w:b/>
          <w:i/>
          <w:snapToGrid w:val="0"/>
        </w:rPr>
        <w:t>[Effective 03/22/01, your response must SPECIFICALLY reference the Government Paperwork Elimination Act (GPEA), which addresses electronic filing and recordkeeping, and what you are doing to adhere to it.  You must explain how you will provide a fully electronic reporting option by October 2003, or an explanation of why this is not practicable.]</w:t>
      </w:r>
    </w:p>
    <w:p w:rsidR="00320387" w:rsidRDefault="00320387" w:rsidP="00320387">
      <w:pPr>
        <w:keepNext/>
        <w:numPr>
          <w:ilvl w:val="12"/>
          <w:numId w:val="0"/>
        </w:numPr>
        <w:ind w:left="360"/>
      </w:pPr>
    </w:p>
    <w:p w:rsidR="007212A7" w:rsidRPr="001147F2" w:rsidRDefault="00415C49" w:rsidP="007212A7">
      <w:pPr>
        <w:numPr>
          <w:ilvl w:val="12"/>
          <w:numId w:val="0"/>
        </w:numPr>
        <w:ind w:left="360"/>
        <w:rPr>
          <w:rFonts w:cs="Times New Roman"/>
          <w:szCs w:val="24"/>
        </w:rPr>
      </w:pPr>
      <w:r>
        <w:rPr>
          <w:rFonts w:cs="Times New Roman"/>
          <w:szCs w:val="24"/>
        </w:rPr>
        <w:t>C</w:t>
      </w:r>
      <w:r w:rsidR="007212A7" w:rsidRPr="001147F2">
        <w:rPr>
          <w:rFonts w:cs="Times New Roman"/>
          <w:szCs w:val="24"/>
        </w:rPr>
        <w:t xml:space="preserve">arriers have the latitude and flexibility to maintain the required information in a manner that best meets their particular needs, which includes electronic maintenance and submission of this information.  Reports </w:t>
      </w:r>
      <w:r w:rsidR="005F4D6D">
        <w:rPr>
          <w:rFonts w:cs="Times New Roman"/>
          <w:szCs w:val="24"/>
        </w:rPr>
        <w:t>may</w:t>
      </w:r>
      <w:r w:rsidR="007212A7" w:rsidRPr="001147F2">
        <w:rPr>
          <w:rFonts w:cs="Times New Roman"/>
          <w:szCs w:val="24"/>
        </w:rPr>
        <w:t xml:space="preserve"> be submitted electronically through the</w:t>
      </w:r>
      <w:r w:rsidR="004905FF">
        <w:rPr>
          <w:rFonts w:cs="Times New Roman"/>
          <w:szCs w:val="24"/>
        </w:rPr>
        <w:t xml:space="preserve"> air carrier data reporting portal website- </w:t>
      </w:r>
      <w:r w:rsidR="004905FF" w:rsidRPr="004905FF">
        <w:rPr>
          <w:rFonts w:cs="Times New Roman"/>
          <w:szCs w:val="24"/>
        </w:rPr>
        <w:t>ht</w:t>
      </w:r>
      <w:r w:rsidR="004905FF">
        <w:rPr>
          <w:rFonts w:cs="Times New Roman"/>
          <w:szCs w:val="24"/>
        </w:rPr>
        <w:t>tps://pfdps.tsa.dhs.gov/xml/tsa/.</w:t>
      </w:r>
      <w:r w:rsidR="007212A7" w:rsidRPr="001147F2">
        <w:rPr>
          <w:rFonts w:cs="Times New Roman"/>
          <w:szCs w:val="24"/>
        </w:rPr>
        <w:t xml:space="preserve"> Alternatively, </w:t>
      </w:r>
      <w:r>
        <w:rPr>
          <w:rFonts w:cs="Times New Roman"/>
          <w:szCs w:val="24"/>
        </w:rPr>
        <w:t>carriers</w:t>
      </w:r>
      <w:r w:rsidR="007212A7" w:rsidRPr="001147F2">
        <w:rPr>
          <w:rFonts w:cs="Times New Roman"/>
          <w:szCs w:val="24"/>
        </w:rPr>
        <w:t xml:space="preserve"> may print out and submit a written form</w:t>
      </w:r>
      <w:r w:rsidR="0091626B">
        <w:rPr>
          <w:rFonts w:cs="Times New Roman"/>
          <w:szCs w:val="24"/>
        </w:rPr>
        <w:t xml:space="preserve"> (TSA-Form 2052)</w:t>
      </w:r>
      <w:r w:rsidR="007212A7" w:rsidRPr="001147F2">
        <w:rPr>
          <w:rFonts w:cs="Times New Roman"/>
          <w:szCs w:val="24"/>
        </w:rPr>
        <w:t xml:space="preserve">, available at </w:t>
      </w:r>
      <w:r w:rsidR="004905FF" w:rsidRPr="004905FF">
        <w:rPr>
          <w:rFonts w:cs="Times New Roman"/>
          <w:szCs w:val="24"/>
        </w:rPr>
        <w:t>https://pfdps.tsa.dhs.gov/xml/tsa/</w:t>
      </w:r>
      <w:r w:rsidR="007212A7" w:rsidRPr="001147F2">
        <w:rPr>
          <w:rFonts w:cs="Times New Roman"/>
          <w:szCs w:val="24"/>
        </w:rPr>
        <w:t xml:space="preserve">.  </w:t>
      </w:r>
      <w:r w:rsidR="005F4D6D">
        <w:rPr>
          <w:rFonts w:cs="Times New Roman"/>
          <w:szCs w:val="24"/>
        </w:rPr>
        <w:t>T</w:t>
      </w:r>
      <w:r w:rsidR="005342D4">
        <w:rPr>
          <w:rFonts w:cs="Times New Roman"/>
          <w:szCs w:val="24"/>
        </w:rPr>
        <w:t>hus, t</w:t>
      </w:r>
      <w:r w:rsidR="007212A7" w:rsidRPr="001147F2">
        <w:rPr>
          <w:rFonts w:cs="Times New Roman"/>
          <w:szCs w:val="24"/>
        </w:rPr>
        <w:t>his collection is in compliance with the Government Paperwork Elimination Act</w:t>
      </w:r>
      <w:r w:rsidR="005F4D6D">
        <w:rPr>
          <w:rFonts w:cs="Times New Roman"/>
          <w:szCs w:val="24"/>
        </w:rPr>
        <w:t xml:space="preserve">.  </w:t>
      </w:r>
      <w:r w:rsidR="007212A7" w:rsidRPr="001147F2">
        <w:rPr>
          <w:rFonts w:cs="Times New Roman"/>
          <w:szCs w:val="24"/>
        </w:rPr>
        <w:t xml:space="preserve"> </w:t>
      </w:r>
      <w:r w:rsidR="005F4D6D">
        <w:rPr>
          <w:rFonts w:cs="Times New Roman"/>
          <w:szCs w:val="24"/>
        </w:rPr>
        <w:t>E</w:t>
      </w:r>
      <w:r w:rsidR="007212A7" w:rsidRPr="001147F2">
        <w:rPr>
          <w:rFonts w:cs="Times New Roman"/>
          <w:szCs w:val="24"/>
        </w:rPr>
        <w:t xml:space="preserve">lectronic signatures are not applicable to this program.  TSA estimates that </w:t>
      </w:r>
      <w:r>
        <w:rPr>
          <w:rFonts w:cs="Times New Roman"/>
          <w:szCs w:val="24"/>
        </w:rPr>
        <w:t>carriers</w:t>
      </w:r>
      <w:r w:rsidR="007212A7" w:rsidRPr="001147F2">
        <w:rPr>
          <w:rFonts w:cs="Times New Roman"/>
          <w:szCs w:val="24"/>
        </w:rPr>
        <w:t xml:space="preserve"> maintain approximately 75 to 80 percent of the records electronically.</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Describe efforts to identify duplication.  Show specifically why any similar information already available cannot be used or modified for use for the purpose(s) described in Item 2 above.</w:t>
      </w:r>
    </w:p>
    <w:p w:rsidR="00320387" w:rsidRDefault="00320387" w:rsidP="00320387">
      <w:pPr>
        <w:keepNext/>
        <w:numPr>
          <w:ilvl w:val="12"/>
          <w:numId w:val="0"/>
        </w:numPr>
        <w:ind w:left="360"/>
      </w:pPr>
    </w:p>
    <w:p w:rsidR="007212A7" w:rsidRPr="001147F2" w:rsidRDefault="00711D8C" w:rsidP="007212A7">
      <w:pPr>
        <w:numPr>
          <w:ilvl w:val="12"/>
          <w:numId w:val="0"/>
        </w:numPr>
        <w:ind w:left="360"/>
        <w:rPr>
          <w:rFonts w:cs="Times New Roman"/>
          <w:szCs w:val="24"/>
        </w:rPr>
      </w:pPr>
      <w:r>
        <w:rPr>
          <w:rFonts w:cs="Times New Roman"/>
          <w:szCs w:val="24"/>
        </w:rPr>
        <w:t>This information is not collected in any form, therefore is not duplicated elsewhere.</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If the collection of information has a significant impact on a substantial number of small businesses or other small entities (Item 5 of the Paperwork Reduction Act submission form), describe the methods used to minimize burden.</w:t>
      </w:r>
    </w:p>
    <w:p w:rsidR="00320387" w:rsidRDefault="00320387" w:rsidP="00320387">
      <w:pPr>
        <w:keepNext/>
        <w:numPr>
          <w:ilvl w:val="12"/>
          <w:numId w:val="0"/>
        </w:numPr>
        <w:ind w:left="360"/>
      </w:pPr>
    </w:p>
    <w:p w:rsidR="007212A7" w:rsidRPr="001147F2" w:rsidRDefault="00711D8C" w:rsidP="007212A7">
      <w:pPr>
        <w:numPr>
          <w:ilvl w:val="12"/>
          <w:numId w:val="0"/>
        </w:numPr>
        <w:ind w:left="360"/>
        <w:rPr>
          <w:rFonts w:cs="Times New Roman"/>
          <w:szCs w:val="24"/>
        </w:rPr>
      </w:pPr>
      <w:r>
        <w:rPr>
          <w:rFonts w:cs="Times New Roman"/>
          <w:szCs w:val="24"/>
        </w:rPr>
        <w:t>This information collection does not have an impact on small business or other small entities.</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lastRenderedPageBreak/>
        <w:t>Describe the consequence to Federal program or policy activities if the collection is not conducted or is conducted less frequently, as well as any technical or legal obstacles to reducing burden.</w:t>
      </w:r>
    </w:p>
    <w:p w:rsidR="00320387" w:rsidRDefault="00320387" w:rsidP="00320387">
      <w:pPr>
        <w:keepNext/>
        <w:numPr>
          <w:ilvl w:val="12"/>
          <w:numId w:val="0"/>
        </w:numPr>
        <w:ind w:left="360"/>
      </w:pPr>
    </w:p>
    <w:p w:rsidR="007212A7" w:rsidRPr="001147F2" w:rsidRDefault="006B57A0" w:rsidP="007212A7">
      <w:pPr>
        <w:numPr>
          <w:ilvl w:val="12"/>
          <w:numId w:val="0"/>
        </w:numPr>
        <w:ind w:left="360"/>
        <w:rPr>
          <w:rFonts w:cs="Times New Roman"/>
          <w:szCs w:val="24"/>
        </w:rPr>
      </w:pPr>
      <w:r>
        <w:rPr>
          <w:rFonts w:cs="Times New Roman"/>
          <w:szCs w:val="24"/>
        </w:rPr>
        <w:t>Under</w:t>
      </w:r>
      <w:r w:rsidR="007212A7" w:rsidRPr="001147F2">
        <w:rPr>
          <w:rFonts w:cs="Times New Roman"/>
          <w:szCs w:val="24"/>
        </w:rPr>
        <w:t xml:space="preserve"> ATSA, the fee is established to help the Federal </w:t>
      </w:r>
      <w:r w:rsidR="00F962D3">
        <w:rPr>
          <w:rFonts w:cs="Times New Roman"/>
          <w:szCs w:val="24"/>
        </w:rPr>
        <w:t>g</w:t>
      </w:r>
      <w:r w:rsidR="007212A7" w:rsidRPr="001147F2">
        <w:rPr>
          <w:rFonts w:cs="Times New Roman"/>
          <w:szCs w:val="24"/>
        </w:rPr>
        <w:t xml:space="preserve">overnment defray the costs of providing aviation security through TSA programs.  TSA uses the collected information to ensure that </w:t>
      </w:r>
      <w:r w:rsidR="00415C49">
        <w:rPr>
          <w:rFonts w:cs="Times New Roman"/>
          <w:szCs w:val="24"/>
        </w:rPr>
        <w:t>carriers</w:t>
      </w:r>
      <w:r w:rsidR="00415C49" w:rsidRPr="001147F2">
        <w:rPr>
          <w:rFonts w:cs="Times New Roman"/>
          <w:szCs w:val="24"/>
        </w:rPr>
        <w:t xml:space="preserve"> </w:t>
      </w:r>
      <w:r w:rsidR="007212A7" w:rsidRPr="001147F2">
        <w:rPr>
          <w:rFonts w:cs="Times New Roman"/>
          <w:szCs w:val="24"/>
        </w:rPr>
        <w:t xml:space="preserve">are properly charging and collecting </w:t>
      </w:r>
      <w:r w:rsidR="005F4D6D">
        <w:rPr>
          <w:rFonts w:cs="Times New Roman"/>
          <w:szCs w:val="24"/>
        </w:rPr>
        <w:t xml:space="preserve">the fee </w:t>
      </w:r>
      <w:r w:rsidR="007212A7" w:rsidRPr="001147F2">
        <w:rPr>
          <w:rFonts w:cs="Times New Roman"/>
          <w:szCs w:val="24"/>
        </w:rPr>
        <w:t xml:space="preserve">from each passenger and submitting the fee to TSA in a timely manner.  The lack of this information could result in incomplete audit results and the inability to manage air carrier compliance.  The loss of revenue from such incomplete results would prevent TSA from </w:t>
      </w:r>
      <w:r w:rsidR="005F4D6D">
        <w:rPr>
          <w:rFonts w:cs="Times New Roman"/>
          <w:szCs w:val="24"/>
        </w:rPr>
        <w:t xml:space="preserve">defraying security costs </w:t>
      </w:r>
      <w:r w:rsidR="007212A7" w:rsidRPr="001147F2">
        <w:rPr>
          <w:rFonts w:cs="Times New Roman"/>
          <w:szCs w:val="24"/>
        </w:rPr>
        <w:t>as required by ATSA.</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Explain any special circumstances that require the collection to be conducted in a manner inconsistent with the general information collection guidelines in 5 CFR 1320.5(d</w:t>
      </w:r>
      <w:proofErr w:type="gramStart"/>
      <w:r>
        <w:rPr>
          <w:b/>
          <w:i/>
        </w:rPr>
        <w:t>)(</w:t>
      </w:r>
      <w:proofErr w:type="gramEnd"/>
      <w:r>
        <w:rPr>
          <w:b/>
          <w:i/>
        </w:rPr>
        <w:t>2).</w:t>
      </w:r>
    </w:p>
    <w:p w:rsidR="00320387" w:rsidRDefault="00320387" w:rsidP="00320387">
      <w:pPr>
        <w:keepNext/>
        <w:numPr>
          <w:ilvl w:val="12"/>
          <w:numId w:val="0"/>
        </w:numPr>
        <w:ind w:left="360"/>
      </w:pPr>
    </w:p>
    <w:p w:rsidR="007212A7" w:rsidRPr="001147F2" w:rsidRDefault="00127FD6" w:rsidP="007212A7">
      <w:pPr>
        <w:numPr>
          <w:ilvl w:val="12"/>
          <w:numId w:val="0"/>
        </w:numPr>
        <w:ind w:left="360"/>
        <w:rPr>
          <w:rFonts w:cs="Times New Roman"/>
          <w:szCs w:val="24"/>
        </w:rPr>
      </w:pPr>
      <w:r>
        <w:rPr>
          <w:rFonts w:cs="Times New Roman"/>
          <w:szCs w:val="24"/>
        </w:rPr>
        <w:t xml:space="preserve">In 2005, TSA published a notice of intent to renew its collection and stated in that notice that carriers should retain their data for six years.  70 FR 24108 (May 6, 2005).  </w:t>
      </w:r>
      <w:r w:rsidR="00874219">
        <w:rPr>
          <w:rFonts w:cs="Times New Roman"/>
          <w:szCs w:val="24"/>
        </w:rPr>
        <w:t>As TSA has further developed its auditing capabilities</w:t>
      </w:r>
      <w:r w:rsidR="00A548F5">
        <w:rPr>
          <w:rFonts w:cs="Times New Roman"/>
          <w:szCs w:val="24"/>
        </w:rPr>
        <w:t>,</w:t>
      </w:r>
      <w:r w:rsidR="00874219">
        <w:rPr>
          <w:rFonts w:cs="Times New Roman"/>
          <w:szCs w:val="24"/>
        </w:rPr>
        <w:t xml:space="preserve"> </w:t>
      </w:r>
      <w:r w:rsidR="00A548F5">
        <w:rPr>
          <w:rFonts w:cs="Times New Roman"/>
          <w:szCs w:val="24"/>
        </w:rPr>
        <w:t xml:space="preserve">rather than </w:t>
      </w:r>
      <w:r w:rsidR="00874219">
        <w:rPr>
          <w:rFonts w:cs="Times New Roman"/>
          <w:szCs w:val="24"/>
        </w:rPr>
        <w:t xml:space="preserve">requesting </w:t>
      </w:r>
      <w:r w:rsidR="00415C49">
        <w:rPr>
          <w:rFonts w:cs="Times New Roman"/>
          <w:szCs w:val="24"/>
        </w:rPr>
        <w:t>carriers</w:t>
      </w:r>
      <w:r w:rsidR="00874219">
        <w:rPr>
          <w:rFonts w:cs="Times New Roman"/>
          <w:szCs w:val="24"/>
        </w:rPr>
        <w:t xml:space="preserve"> </w:t>
      </w:r>
      <w:r w:rsidR="00A548F5">
        <w:rPr>
          <w:rFonts w:cs="Times New Roman"/>
          <w:szCs w:val="24"/>
        </w:rPr>
        <w:t xml:space="preserve">to </w:t>
      </w:r>
      <w:r w:rsidR="00874219">
        <w:rPr>
          <w:rFonts w:cs="Times New Roman"/>
          <w:szCs w:val="24"/>
        </w:rPr>
        <w:t>retai</w:t>
      </w:r>
      <w:r w:rsidR="00A548F5">
        <w:rPr>
          <w:rFonts w:cs="Times New Roman"/>
          <w:szCs w:val="24"/>
        </w:rPr>
        <w:t>n</w:t>
      </w:r>
      <w:r w:rsidR="0091626B">
        <w:rPr>
          <w:rFonts w:cs="Times New Roman"/>
          <w:szCs w:val="24"/>
        </w:rPr>
        <w:t xml:space="preserve"> their data for </w:t>
      </w:r>
      <w:r w:rsidR="00DC7B20">
        <w:rPr>
          <w:rFonts w:cs="Times New Roman"/>
          <w:szCs w:val="24"/>
        </w:rPr>
        <w:t>six</w:t>
      </w:r>
      <w:r w:rsidR="00874219">
        <w:rPr>
          <w:rFonts w:cs="Times New Roman"/>
          <w:szCs w:val="24"/>
        </w:rPr>
        <w:t xml:space="preserve"> years</w:t>
      </w:r>
      <w:r w:rsidR="00A548F5">
        <w:rPr>
          <w:rFonts w:cs="Times New Roman"/>
          <w:szCs w:val="24"/>
        </w:rPr>
        <w:t>, TSA</w:t>
      </w:r>
      <w:r w:rsidR="00874219">
        <w:rPr>
          <w:rFonts w:cs="Times New Roman"/>
          <w:szCs w:val="24"/>
        </w:rPr>
        <w:t xml:space="preserve"> </w:t>
      </w:r>
      <w:r w:rsidR="007212A7" w:rsidRPr="001147F2">
        <w:rPr>
          <w:rFonts w:cs="Times New Roman"/>
          <w:szCs w:val="24"/>
        </w:rPr>
        <w:t xml:space="preserve">is requesting that </w:t>
      </w:r>
      <w:r w:rsidR="00415C49">
        <w:rPr>
          <w:rFonts w:cs="Times New Roman"/>
          <w:szCs w:val="24"/>
        </w:rPr>
        <w:t>carriers</w:t>
      </w:r>
      <w:r w:rsidR="007212A7" w:rsidRPr="001147F2">
        <w:rPr>
          <w:rFonts w:cs="Times New Roman"/>
          <w:szCs w:val="24"/>
        </w:rPr>
        <w:t xml:space="preserve"> retain their data for </w:t>
      </w:r>
      <w:r w:rsidR="00874219">
        <w:rPr>
          <w:rFonts w:cs="Times New Roman"/>
          <w:szCs w:val="24"/>
        </w:rPr>
        <w:t>three</w:t>
      </w:r>
      <w:r w:rsidR="007212A7" w:rsidRPr="001147F2">
        <w:rPr>
          <w:rFonts w:cs="Times New Roman"/>
          <w:szCs w:val="24"/>
        </w:rPr>
        <w:t xml:space="preserve"> years</w:t>
      </w:r>
      <w:r w:rsidR="00A548F5">
        <w:rPr>
          <w:rFonts w:cs="Times New Roman"/>
          <w:szCs w:val="24"/>
        </w:rPr>
        <w:t xml:space="preserve">.  TSA is also requesting </w:t>
      </w:r>
      <w:r w:rsidR="00415C49">
        <w:rPr>
          <w:rFonts w:cs="Times New Roman"/>
          <w:szCs w:val="24"/>
        </w:rPr>
        <w:t>carriers</w:t>
      </w:r>
      <w:r w:rsidR="00A548F5">
        <w:rPr>
          <w:rFonts w:cs="Times New Roman"/>
          <w:szCs w:val="24"/>
        </w:rPr>
        <w:t xml:space="preserve"> to </w:t>
      </w:r>
      <w:r w:rsidR="007212A7" w:rsidRPr="001147F2">
        <w:rPr>
          <w:rFonts w:cs="Times New Roman"/>
          <w:szCs w:val="24"/>
        </w:rPr>
        <w:t>continue audit</w:t>
      </w:r>
      <w:r w:rsidR="00A548F5">
        <w:rPr>
          <w:rFonts w:cs="Times New Roman"/>
          <w:szCs w:val="24"/>
        </w:rPr>
        <w:t>ing</w:t>
      </w:r>
      <w:r w:rsidR="007212A7" w:rsidRPr="001147F2">
        <w:rPr>
          <w:rFonts w:cs="Times New Roman"/>
          <w:szCs w:val="24"/>
        </w:rPr>
        <w:t xml:space="preserve"> </w:t>
      </w:r>
      <w:r w:rsidR="00A548F5">
        <w:rPr>
          <w:rFonts w:cs="Times New Roman"/>
          <w:szCs w:val="24"/>
        </w:rPr>
        <w:t xml:space="preserve">to account </w:t>
      </w:r>
      <w:r w:rsidR="007212A7" w:rsidRPr="001147F2">
        <w:rPr>
          <w:rFonts w:cs="Times New Roman"/>
          <w:szCs w:val="24"/>
        </w:rPr>
        <w:t xml:space="preserve">for the early years of the fee program, while TSA’s auditing capabilities continue to improve.  TSA estimates that this </w:t>
      </w:r>
      <w:r w:rsidR="00874219">
        <w:rPr>
          <w:rFonts w:cs="Times New Roman"/>
          <w:szCs w:val="24"/>
        </w:rPr>
        <w:t>three</w:t>
      </w:r>
      <w:r w:rsidR="007212A7" w:rsidRPr="001147F2">
        <w:rPr>
          <w:rFonts w:cs="Times New Roman"/>
          <w:szCs w:val="24"/>
        </w:rPr>
        <w:t xml:space="preserve">-year retention requirement </w:t>
      </w:r>
      <w:r w:rsidR="00874219">
        <w:rPr>
          <w:rFonts w:cs="Times New Roman"/>
          <w:szCs w:val="24"/>
        </w:rPr>
        <w:t xml:space="preserve">will be </w:t>
      </w:r>
      <w:r w:rsidR="00A548F5">
        <w:rPr>
          <w:rFonts w:cs="Times New Roman"/>
          <w:szCs w:val="24"/>
        </w:rPr>
        <w:t>applicable during</w:t>
      </w:r>
      <w:r w:rsidR="007212A7" w:rsidRPr="001147F2">
        <w:rPr>
          <w:rFonts w:cs="Times New Roman"/>
          <w:szCs w:val="24"/>
        </w:rPr>
        <w:t xml:space="preserve"> the next OMB control number renewal cycle.</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applicable, provide a copy and identify the date and page number of publication in the </w:t>
      </w:r>
      <w:r>
        <w:rPr>
          <w:b/>
          <w:i/>
          <w:u w:val="single"/>
        </w:rPr>
        <w:t>Federal Register</w:t>
      </w:r>
      <w:r>
        <w:rPr>
          <w:b/>
          <w:i/>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20387" w:rsidRDefault="00320387" w:rsidP="00320387">
      <w:pPr>
        <w:keepNext/>
        <w:numPr>
          <w:ilvl w:val="12"/>
          <w:numId w:val="0"/>
        </w:numPr>
        <w:ind w:left="360"/>
      </w:pPr>
    </w:p>
    <w:p w:rsidR="00320387" w:rsidRPr="009606F0" w:rsidRDefault="009606F0" w:rsidP="00320387">
      <w:pPr>
        <w:numPr>
          <w:ilvl w:val="12"/>
          <w:numId w:val="0"/>
        </w:numPr>
        <w:ind w:left="360"/>
      </w:pPr>
      <w:r>
        <w:t xml:space="preserve">As required by 5 CFR 1320.8(d), TSA published a 60-day notice requesting comments, in the </w:t>
      </w:r>
      <w:r>
        <w:rPr>
          <w:u w:val="single"/>
        </w:rPr>
        <w:t>Federal Register</w:t>
      </w:r>
      <w:r>
        <w:t xml:space="preserve"> on </w:t>
      </w:r>
      <w:r w:rsidR="004F2F87">
        <w:t>May 12, 2011,</w:t>
      </w:r>
      <w:r>
        <w:t xml:space="preserve"> (</w:t>
      </w:r>
      <w:r w:rsidR="004F2F87">
        <w:t>76</w:t>
      </w:r>
      <w:r w:rsidRPr="005427ED">
        <w:t xml:space="preserve"> FR </w:t>
      </w:r>
      <w:r w:rsidR="004F2F87">
        <w:t>27655</w:t>
      </w:r>
      <w:r>
        <w:t>)</w:t>
      </w:r>
      <w:r w:rsidR="004F2F87">
        <w:t xml:space="preserve"> and a 30-day notice on [xx/xx/</w:t>
      </w:r>
      <w:proofErr w:type="spellStart"/>
      <w:r w:rsidR="004F2F87">
        <w:t>xxxx</w:t>
      </w:r>
      <w:proofErr w:type="spellEnd"/>
      <w:r w:rsidR="004F2F87">
        <w:t xml:space="preserve">], [xx FR </w:t>
      </w:r>
      <w:proofErr w:type="spellStart"/>
      <w:r w:rsidR="004F2F87">
        <w:t>xxxx</w:t>
      </w:r>
      <w:proofErr w:type="spellEnd"/>
      <w:r w:rsidR="004F2F87">
        <w:t>]</w:t>
      </w:r>
      <w:r>
        <w:t>.  TSA did not receive any comments to th</w:t>
      </w:r>
      <w:r w:rsidR="00F962D3">
        <w:t>ese</w:t>
      </w:r>
      <w:r>
        <w:t xml:space="preserve"> notice</w:t>
      </w:r>
      <w:r w:rsidR="00F962D3">
        <w:t>s</w:t>
      </w:r>
      <w:r>
        <w:t>.</w:t>
      </w:r>
    </w:p>
    <w:p w:rsidR="00320387" w:rsidRDefault="00320387" w:rsidP="00320387">
      <w:pPr>
        <w:pStyle w:val="IndexHeading"/>
        <w:keepNext w:val="0"/>
        <w:numPr>
          <w:ilvl w:val="12"/>
          <w:numId w:val="0"/>
        </w:numPr>
        <w:spacing w:line="240" w:lineRule="auto"/>
        <w:rPr>
          <w:rFonts w:ascii="Times New Roman" w:hAnsi="Times New Roman"/>
          <w:spacing w:val="0"/>
        </w:rPr>
      </w:pPr>
    </w:p>
    <w:p w:rsidR="00320387" w:rsidRDefault="00320387" w:rsidP="00320387">
      <w:pPr>
        <w:keepNext/>
        <w:numPr>
          <w:ilvl w:val="0"/>
          <w:numId w:val="1"/>
        </w:numPr>
        <w:tabs>
          <w:tab w:val="left" w:pos="360"/>
        </w:tabs>
        <w:rPr>
          <w:b/>
          <w:i/>
        </w:rPr>
      </w:pPr>
      <w:r>
        <w:rPr>
          <w:b/>
          <w:i/>
        </w:rPr>
        <w:t>Explain any decision to provide any payment or gift to respondents, other than remuneration of contractors or grantees.</w:t>
      </w:r>
    </w:p>
    <w:p w:rsidR="00320387" w:rsidRDefault="00320387" w:rsidP="00320387">
      <w:pPr>
        <w:keepNext/>
        <w:numPr>
          <w:ilvl w:val="12"/>
          <w:numId w:val="0"/>
        </w:numPr>
        <w:ind w:left="360"/>
      </w:pPr>
    </w:p>
    <w:p w:rsidR="007212A7" w:rsidRPr="001147F2" w:rsidRDefault="00507569" w:rsidP="007212A7">
      <w:pPr>
        <w:numPr>
          <w:ilvl w:val="12"/>
          <w:numId w:val="0"/>
        </w:numPr>
        <w:ind w:left="360"/>
        <w:rPr>
          <w:rFonts w:cs="Times New Roman"/>
          <w:szCs w:val="24"/>
        </w:rPr>
      </w:pPr>
      <w:r>
        <w:rPr>
          <w:rFonts w:cs="Times New Roman"/>
          <w:szCs w:val="24"/>
        </w:rPr>
        <w:t>TSA does not provide payments or gifts to the respondents in exchange for a benefit sought.</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lastRenderedPageBreak/>
        <w:t>Describe any assurance of confidentiality provided to respondents and the basis for the assurance in statute, regulation, or agency policy.</w:t>
      </w:r>
    </w:p>
    <w:p w:rsidR="00320387" w:rsidRDefault="00320387" w:rsidP="00320387">
      <w:pPr>
        <w:keepNext/>
        <w:numPr>
          <w:ilvl w:val="12"/>
          <w:numId w:val="0"/>
        </w:numPr>
        <w:ind w:left="360"/>
      </w:pPr>
    </w:p>
    <w:p w:rsidR="007212A7" w:rsidRPr="001147F2" w:rsidRDefault="003B5DCE" w:rsidP="007212A7">
      <w:pPr>
        <w:numPr>
          <w:ilvl w:val="12"/>
          <w:numId w:val="0"/>
        </w:numPr>
        <w:ind w:left="360"/>
        <w:rPr>
          <w:rFonts w:cs="Times New Roman"/>
          <w:szCs w:val="24"/>
        </w:rPr>
      </w:pPr>
      <w:r>
        <w:rPr>
          <w:rFonts w:cs="Times New Roman"/>
          <w:szCs w:val="24"/>
        </w:rPr>
        <w:t>There are no assurances of confidentiality provided to the respondents for this information collection.</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Provide additional justification for any questions of sensitive nature, such as sexual behavior and attitudes, religious beliefs, and other matters that are commonly considered private.</w:t>
      </w:r>
    </w:p>
    <w:p w:rsidR="00320387" w:rsidRDefault="00320387" w:rsidP="00320387">
      <w:pPr>
        <w:numPr>
          <w:ilvl w:val="12"/>
          <w:numId w:val="0"/>
        </w:numPr>
        <w:ind w:left="360"/>
      </w:pPr>
    </w:p>
    <w:p w:rsidR="007212A7" w:rsidRPr="001147F2" w:rsidRDefault="003B5DCE" w:rsidP="007212A7">
      <w:pPr>
        <w:numPr>
          <w:ilvl w:val="12"/>
          <w:numId w:val="0"/>
        </w:numPr>
        <w:ind w:left="360"/>
        <w:rPr>
          <w:rFonts w:cs="Times New Roman"/>
          <w:szCs w:val="24"/>
        </w:rPr>
      </w:pPr>
      <w:r>
        <w:rPr>
          <w:rFonts w:cs="Times New Roman"/>
          <w:szCs w:val="24"/>
        </w:rPr>
        <w:t>There are no questions of</w:t>
      </w:r>
      <w:r w:rsidR="007212A7" w:rsidRPr="001147F2">
        <w:rPr>
          <w:rFonts w:cs="Times New Roman"/>
          <w:szCs w:val="24"/>
        </w:rPr>
        <w:t xml:space="preserve"> sensitive nature.</w:t>
      </w:r>
    </w:p>
    <w:p w:rsidR="00320387" w:rsidRDefault="00320387" w:rsidP="00320387">
      <w:pPr>
        <w:numPr>
          <w:ilvl w:val="12"/>
          <w:numId w:val="0"/>
        </w:numPr>
      </w:pPr>
    </w:p>
    <w:p w:rsidR="00320387" w:rsidRDefault="00320387" w:rsidP="00320387">
      <w:pPr>
        <w:keepNext/>
        <w:numPr>
          <w:ilvl w:val="0"/>
          <w:numId w:val="1"/>
        </w:numPr>
        <w:tabs>
          <w:tab w:val="left" w:pos="360"/>
        </w:tabs>
        <w:rPr>
          <w:b/>
          <w:i/>
        </w:rPr>
      </w:pPr>
      <w:r>
        <w:rPr>
          <w:b/>
          <w:i/>
        </w:rPr>
        <w:t xml:space="preserve">Provide estimates of </w:t>
      </w:r>
      <w:proofErr w:type="spellStart"/>
      <w:r>
        <w:rPr>
          <w:b/>
          <w:i/>
        </w:rPr>
        <w:t>hour</w:t>
      </w:r>
      <w:proofErr w:type="spellEnd"/>
      <w:r>
        <w:rPr>
          <w:b/>
          <w:i/>
        </w:rPr>
        <w:t xml:space="preserve"> burden of the collection of information.</w:t>
      </w:r>
    </w:p>
    <w:p w:rsidR="00320387" w:rsidRDefault="00320387" w:rsidP="00320387">
      <w:pPr>
        <w:keepNext/>
        <w:numPr>
          <w:ilvl w:val="12"/>
          <w:numId w:val="0"/>
        </w:numPr>
        <w:ind w:left="360"/>
      </w:pPr>
    </w:p>
    <w:p w:rsidR="007212A7" w:rsidRPr="001147F2" w:rsidRDefault="007212A7" w:rsidP="007212A7">
      <w:pPr>
        <w:numPr>
          <w:ilvl w:val="12"/>
          <w:numId w:val="0"/>
        </w:numPr>
        <w:ind w:left="360"/>
        <w:rPr>
          <w:rFonts w:cs="Times New Roman"/>
          <w:szCs w:val="24"/>
        </w:rPr>
      </w:pPr>
      <w:r w:rsidRPr="001147F2">
        <w:rPr>
          <w:rFonts w:cs="Times New Roman"/>
          <w:szCs w:val="24"/>
        </w:rPr>
        <w:t xml:space="preserve">TSA has estimated that 196 total respondent </w:t>
      </w:r>
      <w:r w:rsidR="00415C49">
        <w:rPr>
          <w:rFonts w:cs="Times New Roman"/>
          <w:szCs w:val="24"/>
        </w:rPr>
        <w:t>carriers</w:t>
      </w:r>
      <w:r w:rsidRPr="001147F2">
        <w:rPr>
          <w:rFonts w:cs="Times New Roman"/>
          <w:szCs w:val="24"/>
        </w:rPr>
        <w:t xml:space="preserve"> will spend approximately 1 hour on quarterly reports, for a total of 784 hours per year.  Should the audit requirement be reinstated, TSA estimates that 105 </w:t>
      </w:r>
      <w:r w:rsidR="00415C49">
        <w:rPr>
          <w:rFonts w:cs="Times New Roman"/>
          <w:szCs w:val="24"/>
        </w:rPr>
        <w:t>carriers</w:t>
      </w:r>
      <w:r w:rsidRPr="001147F2">
        <w:rPr>
          <w:rFonts w:cs="Times New Roman"/>
          <w:szCs w:val="24"/>
        </w:rPr>
        <w:t xml:space="preserve">, of the 196 total respondent </w:t>
      </w:r>
      <w:r w:rsidR="00415C49">
        <w:rPr>
          <w:rFonts w:cs="Times New Roman"/>
          <w:szCs w:val="24"/>
        </w:rPr>
        <w:t>carriers</w:t>
      </w:r>
      <w:r w:rsidRPr="001147F2">
        <w:rPr>
          <w:rFonts w:cs="Times New Roman"/>
          <w:szCs w:val="24"/>
        </w:rPr>
        <w:t xml:space="preserve">, collect fees from more than 50,000 passengers annually, and will be required to submit annual audits.  These </w:t>
      </w:r>
      <w:r w:rsidR="00415C49">
        <w:rPr>
          <w:rFonts w:cs="Times New Roman"/>
          <w:szCs w:val="24"/>
        </w:rPr>
        <w:t>carriers</w:t>
      </w:r>
      <w:r w:rsidRPr="001147F2">
        <w:rPr>
          <w:rFonts w:cs="Times New Roman"/>
          <w:szCs w:val="24"/>
        </w:rPr>
        <w:t xml:space="preserve"> will spend approximately 20 hours on audit preparation, for a total of 2,100 hours annually.  The total</w:t>
      </w:r>
      <w:r w:rsidR="00095184">
        <w:rPr>
          <w:rFonts w:cs="Times New Roman"/>
          <w:szCs w:val="24"/>
        </w:rPr>
        <w:t xml:space="preserve"> annual </w:t>
      </w:r>
      <w:r w:rsidR="005F4D6D">
        <w:rPr>
          <w:rFonts w:cs="Times New Roman"/>
          <w:szCs w:val="24"/>
        </w:rPr>
        <w:t>hour</w:t>
      </w:r>
      <w:r w:rsidR="00095184">
        <w:rPr>
          <w:rFonts w:cs="Times New Roman"/>
          <w:szCs w:val="24"/>
        </w:rPr>
        <w:t xml:space="preserve"> burden</w:t>
      </w:r>
      <w:r w:rsidR="005F4D6D">
        <w:rPr>
          <w:rFonts w:cs="Times New Roman"/>
          <w:szCs w:val="24"/>
        </w:rPr>
        <w:t xml:space="preserve"> </w:t>
      </w:r>
      <w:r w:rsidRPr="001147F2">
        <w:rPr>
          <w:rFonts w:cs="Times New Roman"/>
          <w:szCs w:val="24"/>
        </w:rPr>
        <w:t>for quarterly reports and annual audits is estimated at 2,884 hours.</w:t>
      </w:r>
      <w:r>
        <w:rPr>
          <w:rFonts w:cs="Times New Roman"/>
          <w:szCs w:val="24"/>
        </w:rPr>
        <w:t xml:space="preserve">  TSA estimates the total annual responses to be 889 (784 plus 105, should the annual audit requirement be reinstated).</w:t>
      </w:r>
    </w:p>
    <w:p w:rsidR="00320387" w:rsidRDefault="00320387" w:rsidP="00320387">
      <w:pPr>
        <w:numPr>
          <w:ilvl w:val="12"/>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44"/>
        <w:gridCol w:w="2160"/>
        <w:gridCol w:w="2530"/>
        <w:gridCol w:w="2342"/>
      </w:tblGrid>
      <w:tr w:rsidR="00711D8C" w:rsidTr="001944B8">
        <w:tc>
          <w:tcPr>
            <w:tcW w:w="2544" w:type="dxa"/>
          </w:tcPr>
          <w:p w:rsidR="00711D8C" w:rsidRDefault="00711D8C" w:rsidP="001944B8">
            <w:pPr>
              <w:numPr>
                <w:ilvl w:val="12"/>
                <w:numId w:val="0"/>
              </w:numPr>
              <w:jc w:val="center"/>
            </w:pPr>
            <w:r>
              <w:t>Number or Air Carriers</w:t>
            </w:r>
          </w:p>
        </w:tc>
        <w:tc>
          <w:tcPr>
            <w:tcW w:w="2160" w:type="dxa"/>
          </w:tcPr>
          <w:p w:rsidR="00711D8C" w:rsidRDefault="00711D8C" w:rsidP="001944B8">
            <w:pPr>
              <w:numPr>
                <w:ilvl w:val="12"/>
                <w:numId w:val="0"/>
              </w:numPr>
              <w:jc w:val="center"/>
            </w:pPr>
            <w:r>
              <w:t>Hours per Response</w:t>
            </w:r>
          </w:p>
        </w:tc>
        <w:tc>
          <w:tcPr>
            <w:tcW w:w="2530" w:type="dxa"/>
          </w:tcPr>
          <w:p w:rsidR="00711D8C" w:rsidRDefault="00711D8C" w:rsidP="001944B8">
            <w:pPr>
              <w:numPr>
                <w:ilvl w:val="12"/>
                <w:numId w:val="0"/>
              </w:numPr>
              <w:jc w:val="center"/>
            </w:pPr>
            <w:r>
              <w:t>Yearly Response</w:t>
            </w:r>
          </w:p>
        </w:tc>
        <w:tc>
          <w:tcPr>
            <w:tcW w:w="2342" w:type="dxa"/>
          </w:tcPr>
          <w:p w:rsidR="00711D8C" w:rsidRDefault="00711D8C" w:rsidP="001944B8">
            <w:pPr>
              <w:numPr>
                <w:ilvl w:val="12"/>
                <w:numId w:val="0"/>
              </w:numPr>
              <w:jc w:val="center"/>
            </w:pPr>
            <w:r>
              <w:t>Total</w:t>
            </w:r>
            <w:r w:rsidR="004A2985">
              <w:t xml:space="preserve"> Hours of Burden</w:t>
            </w:r>
          </w:p>
        </w:tc>
      </w:tr>
      <w:tr w:rsidR="00711D8C" w:rsidTr="001944B8">
        <w:tc>
          <w:tcPr>
            <w:tcW w:w="2544" w:type="dxa"/>
          </w:tcPr>
          <w:p w:rsidR="00711D8C" w:rsidRDefault="00711D8C" w:rsidP="001944B8">
            <w:pPr>
              <w:numPr>
                <w:ilvl w:val="12"/>
                <w:numId w:val="0"/>
              </w:numPr>
              <w:jc w:val="center"/>
            </w:pPr>
            <w:r>
              <w:t>196 (Reporting)</w:t>
            </w:r>
          </w:p>
        </w:tc>
        <w:tc>
          <w:tcPr>
            <w:tcW w:w="2160" w:type="dxa"/>
          </w:tcPr>
          <w:p w:rsidR="00711D8C" w:rsidRDefault="00711D8C" w:rsidP="001944B8">
            <w:pPr>
              <w:numPr>
                <w:ilvl w:val="12"/>
                <w:numId w:val="0"/>
              </w:numPr>
              <w:jc w:val="center"/>
            </w:pPr>
            <w:r>
              <w:t>1 hour</w:t>
            </w:r>
          </w:p>
        </w:tc>
        <w:tc>
          <w:tcPr>
            <w:tcW w:w="2530" w:type="dxa"/>
          </w:tcPr>
          <w:p w:rsidR="00711D8C" w:rsidRDefault="00711D8C" w:rsidP="001944B8">
            <w:pPr>
              <w:numPr>
                <w:ilvl w:val="12"/>
                <w:numId w:val="0"/>
              </w:numPr>
              <w:jc w:val="center"/>
            </w:pPr>
            <w:r>
              <w:t>4 (Quarterly)</w:t>
            </w:r>
          </w:p>
        </w:tc>
        <w:tc>
          <w:tcPr>
            <w:tcW w:w="2342" w:type="dxa"/>
          </w:tcPr>
          <w:p w:rsidR="00711D8C" w:rsidRDefault="00711D8C" w:rsidP="001944B8">
            <w:pPr>
              <w:numPr>
                <w:ilvl w:val="12"/>
                <w:numId w:val="0"/>
              </w:numPr>
              <w:jc w:val="center"/>
            </w:pPr>
            <w:r>
              <w:t>784</w:t>
            </w:r>
          </w:p>
        </w:tc>
      </w:tr>
      <w:tr w:rsidR="00711D8C" w:rsidTr="001944B8">
        <w:tc>
          <w:tcPr>
            <w:tcW w:w="2544" w:type="dxa"/>
          </w:tcPr>
          <w:p w:rsidR="00711D8C" w:rsidRDefault="00711D8C" w:rsidP="001944B8">
            <w:pPr>
              <w:numPr>
                <w:ilvl w:val="12"/>
                <w:numId w:val="0"/>
              </w:numPr>
              <w:jc w:val="center"/>
            </w:pPr>
            <w:r>
              <w:t>105 (Audit)</w:t>
            </w:r>
          </w:p>
        </w:tc>
        <w:tc>
          <w:tcPr>
            <w:tcW w:w="2160" w:type="dxa"/>
          </w:tcPr>
          <w:p w:rsidR="00711D8C" w:rsidRDefault="00711D8C" w:rsidP="001944B8">
            <w:pPr>
              <w:numPr>
                <w:ilvl w:val="12"/>
                <w:numId w:val="0"/>
              </w:numPr>
              <w:jc w:val="center"/>
            </w:pPr>
            <w:r>
              <w:t>20 hours</w:t>
            </w:r>
          </w:p>
        </w:tc>
        <w:tc>
          <w:tcPr>
            <w:tcW w:w="2530" w:type="dxa"/>
          </w:tcPr>
          <w:p w:rsidR="00711D8C" w:rsidRDefault="00711D8C" w:rsidP="001944B8">
            <w:pPr>
              <w:numPr>
                <w:ilvl w:val="12"/>
                <w:numId w:val="0"/>
              </w:numPr>
              <w:jc w:val="center"/>
            </w:pPr>
            <w:r>
              <w:t>1</w:t>
            </w:r>
          </w:p>
        </w:tc>
        <w:tc>
          <w:tcPr>
            <w:tcW w:w="2342" w:type="dxa"/>
          </w:tcPr>
          <w:p w:rsidR="00711D8C" w:rsidRDefault="00711D8C" w:rsidP="001944B8">
            <w:pPr>
              <w:numPr>
                <w:ilvl w:val="12"/>
                <w:numId w:val="0"/>
              </w:numPr>
              <w:jc w:val="center"/>
            </w:pPr>
            <w:r>
              <w:t>2,100</w:t>
            </w:r>
          </w:p>
        </w:tc>
      </w:tr>
    </w:tbl>
    <w:p w:rsidR="003D6ED9" w:rsidRDefault="003D6ED9" w:rsidP="00320387">
      <w:pPr>
        <w:numPr>
          <w:ilvl w:val="12"/>
          <w:numId w:val="0"/>
        </w:numPr>
      </w:pPr>
    </w:p>
    <w:p w:rsidR="003D6ED9" w:rsidRDefault="003D6ED9" w:rsidP="00320387">
      <w:pPr>
        <w:numPr>
          <w:ilvl w:val="12"/>
          <w:numId w:val="0"/>
        </w:numPr>
      </w:pPr>
    </w:p>
    <w:p w:rsidR="003D6ED9" w:rsidRDefault="003D6ED9" w:rsidP="00320387">
      <w:pPr>
        <w:numPr>
          <w:ilvl w:val="12"/>
          <w:numId w:val="0"/>
        </w:numPr>
      </w:pPr>
    </w:p>
    <w:p w:rsidR="00320387" w:rsidRDefault="00320387" w:rsidP="00320387">
      <w:pPr>
        <w:keepNext/>
        <w:numPr>
          <w:ilvl w:val="0"/>
          <w:numId w:val="1"/>
        </w:numPr>
        <w:tabs>
          <w:tab w:val="left" w:pos="360"/>
        </w:tabs>
        <w:rPr>
          <w:b/>
          <w:i/>
        </w:rPr>
      </w:pPr>
      <w:r>
        <w:rPr>
          <w:b/>
          <w:i/>
        </w:rPr>
        <w:t xml:space="preserve">Provide an estimate of the total annual cost burden to respondents or </w:t>
      </w:r>
      <w:proofErr w:type="spellStart"/>
      <w:r>
        <w:rPr>
          <w:b/>
          <w:i/>
        </w:rPr>
        <w:t>recordkeepers</w:t>
      </w:r>
      <w:proofErr w:type="spellEnd"/>
      <w:r>
        <w:rPr>
          <w:b/>
          <w:i/>
        </w:rPr>
        <w:t xml:space="preserve"> resulting from the collection of information.</w:t>
      </w:r>
    </w:p>
    <w:p w:rsidR="005A582A" w:rsidRDefault="005A582A">
      <w:pPr>
        <w:keepNext/>
        <w:tabs>
          <w:tab w:val="left" w:pos="360"/>
        </w:tabs>
        <w:ind w:left="360"/>
        <w:rPr>
          <w:b/>
          <w:i/>
        </w:rPr>
      </w:pPr>
    </w:p>
    <w:p w:rsidR="005A582A" w:rsidRDefault="00D84BEA">
      <w:pPr>
        <w:keepNext/>
        <w:tabs>
          <w:tab w:val="left" w:pos="360"/>
        </w:tabs>
        <w:ind w:left="360"/>
        <w:rPr>
          <w:b/>
          <w:i/>
        </w:rPr>
      </w:pPr>
      <w:r w:rsidRPr="00D84BEA">
        <w:t>TSA estimates</w:t>
      </w:r>
      <w:r w:rsidR="00D30934">
        <w:t xml:space="preserve"> the total annual cost burden to respondents at $353.  This total reflects the cost of postage to mail the reports.  </w:t>
      </w:r>
      <w:r w:rsidR="005379AA">
        <w:t>(</w:t>
      </w:r>
      <w:r w:rsidR="00D30934">
        <w:t xml:space="preserve">196 air carriers will use 4 stamps at </w:t>
      </w:r>
      <w:r w:rsidR="005379AA">
        <w:t>45 cents each.)</w:t>
      </w:r>
      <w:r w:rsidR="00D30934">
        <w:rPr>
          <w:b/>
          <w:i/>
        </w:rPr>
        <w:t xml:space="preserve"> </w:t>
      </w:r>
    </w:p>
    <w:p w:rsidR="00320387" w:rsidRDefault="00320387" w:rsidP="00320387">
      <w:pPr>
        <w:keepNext/>
        <w:numPr>
          <w:ilvl w:val="12"/>
          <w:numId w:val="0"/>
        </w:numPr>
        <w:ind w:left="360"/>
      </w:pPr>
    </w:p>
    <w:p w:rsidR="003D6ED9" w:rsidRDefault="003D6ED9" w:rsidP="003D6ED9">
      <w:pPr>
        <w:pStyle w:val="Index1"/>
      </w:pPr>
    </w:p>
    <w:p w:rsidR="003D6ED9" w:rsidRDefault="003D6ED9" w:rsidP="003D6ED9"/>
    <w:p w:rsidR="003D6ED9" w:rsidRPr="003D6ED9" w:rsidRDefault="003D6ED9" w:rsidP="003D6ED9"/>
    <w:p w:rsidR="00320387" w:rsidRDefault="00320387" w:rsidP="00320387">
      <w:pPr>
        <w:keepNext/>
        <w:numPr>
          <w:ilvl w:val="0"/>
          <w:numId w:val="1"/>
        </w:numPr>
        <w:tabs>
          <w:tab w:val="left" w:pos="360"/>
        </w:tabs>
        <w:rPr>
          <w:b/>
          <w:i/>
        </w:rPr>
      </w:pPr>
      <w:r>
        <w:rPr>
          <w:b/>
          <w:i/>
        </w:rPr>
        <w:t>Provide estimates of annualized cost to the Federal Government.  Also, provide a description of the method used to estimate cost, and other expenses that would not have been incurred without this collection of information.</w:t>
      </w:r>
    </w:p>
    <w:p w:rsidR="00320387" w:rsidRDefault="00320387" w:rsidP="00320387">
      <w:pPr>
        <w:keepNext/>
        <w:numPr>
          <w:ilvl w:val="12"/>
          <w:numId w:val="0"/>
        </w:numPr>
        <w:ind w:left="360"/>
      </w:pPr>
    </w:p>
    <w:p w:rsidR="00E96EF4" w:rsidRDefault="00E96EF4" w:rsidP="00E96EF4">
      <w:pPr>
        <w:numPr>
          <w:ilvl w:val="12"/>
          <w:numId w:val="0"/>
        </w:numPr>
        <w:ind w:left="360"/>
        <w:rPr>
          <w:rFonts w:cs="Times New Roman"/>
          <w:szCs w:val="24"/>
        </w:rPr>
      </w:pPr>
      <w:r w:rsidRPr="001147F2">
        <w:rPr>
          <w:rFonts w:cs="Times New Roman"/>
          <w:szCs w:val="24"/>
        </w:rPr>
        <w:t xml:space="preserve">TSA </w:t>
      </w:r>
      <w:r w:rsidR="004905FF">
        <w:rPr>
          <w:rFonts w:cs="Times New Roman"/>
          <w:szCs w:val="24"/>
        </w:rPr>
        <w:t>hosts</w:t>
      </w:r>
      <w:r w:rsidR="0091626B">
        <w:rPr>
          <w:rFonts w:cs="Times New Roman"/>
          <w:szCs w:val="24"/>
        </w:rPr>
        <w:t xml:space="preserve"> the air carrier data portal</w:t>
      </w:r>
      <w:r w:rsidR="004905FF">
        <w:rPr>
          <w:rFonts w:cs="Times New Roman"/>
          <w:szCs w:val="24"/>
        </w:rPr>
        <w:t xml:space="preserve"> and has already incurred the development costs for creating the air carrier data portal.  As such, the costs TSA would incur on an ongoing basis are limited to operations and maintenance of the system and </w:t>
      </w:r>
      <w:r w:rsidR="003421C5">
        <w:rPr>
          <w:rFonts w:cs="Times New Roman"/>
          <w:szCs w:val="24"/>
        </w:rPr>
        <w:t xml:space="preserve">renewing the authority to </w:t>
      </w:r>
      <w:r w:rsidR="003421C5">
        <w:rPr>
          <w:rFonts w:cs="Times New Roman"/>
          <w:szCs w:val="24"/>
        </w:rPr>
        <w:lastRenderedPageBreak/>
        <w:t>operate with the DHS C</w:t>
      </w:r>
      <w:r w:rsidR="002E5BB9">
        <w:rPr>
          <w:rFonts w:cs="Times New Roman"/>
          <w:szCs w:val="24"/>
        </w:rPr>
        <w:t xml:space="preserve">hief </w:t>
      </w:r>
      <w:r w:rsidR="003421C5">
        <w:rPr>
          <w:rFonts w:cs="Times New Roman"/>
          <w:szCs w:val="24"/>
        </w:rPr>
        <w:t>I</w:t>
      </w:r>
      <w:r w:rsidR="002E5BB9">
        <w:rPr>
          <w:rFonts w:cs="Times New Roman"/>
          <w:szCs w:val="24"/>
        </w:rPr>
        <w:t xml:space="preserve">nformation </w:t>
      </w:r>
      <w:r w:rsidR="003421C5">
        <w:rPr>
          <w:rFonts w:cs="Times New Roman"/>
          <w:szCs w:val="24"/>
        </w:rPr>
        <w:t>S</w:t>
      </w:r>
      <w:r w:rsidR="002E5BB9">
        <w:rPr>
          <w:rFonts w:cs="Times New Roman"/>
          <w:szCs w:val="24"/>
        </w:rPr>
        <w:t xml:space="preserve">ecurity </w:t>
      </w:r>
      <w:r w:rsidR="003421C5">
        <w:rPr>
          <w:rFonts w:cs="Times New Roman"/>
          <w:szCs w:val="24"/>
        </w:rPr>
        <w:t>O</w:t>
      </w:r>
      <w:r w:rsidR="002E5BB9">
        <w:rPr>
          <w:rFonts w:cs="Times New Roman"/>
          <w:szCs w:val="24"/>
        </w:rPr>
        <w:t>fficer</w:t>
      </w:r>
      <w:r w:rsidR="003421C5">
        <w:rPr>
          <w:rFonts w:cs="Times New Roman"/>
          <w:szCs w:val="24"/>
        </w:rPr>
        <w:t xml:space="preserve">.  </w:t>
      </w:r>
      <w:r w:rsidRPr="001147F2">
        <w:rPr>
          <w:rFonts w:cs="Times New Roman"/>
          <w:szCs w:val="24"/>
        </w:rPr>
        <w:t xml:space="preserve">The </w:t>
      </w:r>
      <w:r w:rsidR="00E3320A">
        <w:rPr>
          <w:rFonts w:cs="Times New Roman"/>
          <w:szCs w:val="24"/>
        </w:rPr>
        <w:t>estimated</w:t>
      </w:r>
      <w:r w:rsidRPr="001147F2">
        <w:rPr>
          <w:rFonts w:cs="Times New Roman"/>
          <w:szCs w:val="24"/>
        </w:rPr>
        <w:t xml:space="preserve"> the cost to the Federal </w:t>
      </w:r>
      <w:r w:rsidR="002E5BB9">
        <w:rPr>
          <w:rFonts w:cs="Times New Roman"/>
          <w:szCs w:val="24"/>
        </w:rPr>
        <w:t>g</w:t>
      </w:r>
      <w:r w:rsidRPr="001147F2">
        <w:rPr>
          <w:rFonts w:cs="Times New Roman"/>
          <w:szCs w:val="24"/>
        </w:rPr>
        <w:t xml:space="preserve">overnment of collecting this information and performing </w:t>
      </w:r>
      <w:r w:rsidR="00136B01">
        <w:rPr>
          <w:rFonts w:cs="Times New Roman"/>
          <w:szCs w:val="24"/>
        </w:rPr>
        <w:t>over four years (three years plus an option year) is $459,517.92</w:t>
      </w:r>
      <w:r w:rsidRPr="001147F2">
        <w:rPr>
          <w:rFonts w:cs="Times New Roman"/>
          <w:szCs w:val="24"/>
        </w:rPr>
        <w:t xml:space="preserve"> annually.</w:t>
      </w:r>
      <w:r w:rsidR="003421C5">
        <w:rPr>
          <w:rFonts w:cs="Times New Roman"/>
          <w:szCs w:val="24"/>
        </w:rPr>
        <w:t xml:space="preserve">  Presently the air carrier data portal is hosted and maintained by a third party and TSA is currently in the fourth and final year of that contract.  As such, using the current operations and maintenance costs as the proxy for future costs</w:t>
      </w:r>
      <w:r w:rsidR="002E5BB9">
        <w:rPr>
          <w:rFonts w:cs="Times New Roman"/>
          <w:szCs w:val="24"/>
        </w:rPr>
        <w:t>, TSA</w:t>
      </w:r>
      <w:r w:rsidR="003421C5">
        <w:rPr>
          <w:rFonts w:cs="Times New Roman"/>
          <w:szCs w:val="24"/>
        </w:rPr>
        <w:t xml:space="preserve"> expect</w:t>
      </w:r>
      <w:r w:rsidR="002E5BB9">
        <w:rPr>
          <w:rFonts w:cs="Times New Roman"/>
          <w:szCs w:val="24"/>
        </w:rPr>
        <w:t>s</w:t>
      </w:r>
      <w:r w:rsidR="003421C5">
        <w:rPr>
          <w:rFonts w:cs="Times New Roman"/>
          <w:szCs w:val="24"/>
        </w:rPr>
        <w:t xml:space="preserve"> that the average annual cost of maintaining this system will be $90,000.</w:t>
      </w:r>
    </w:p>
    <w:p w:rsidR="00136B01" w:rsidRDefault="00136B01" w:rsidP="00E96EF4">
      <w:pPr>
        <w:numPr>
          <w:ilvl w:val="12"/>
          <w:numId w:val="0"/>
        </w:numPr>
        <w:ind w:left="360"/>
        <w:rPr>
          <w:rFonts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2162"/>
      </w:tblGrid>
      <w:tr w:rsidR="003421C5" w:rsidRPr="001944B8" w:rsidTr="001944B8">
        <w:tc>
          <w:tcPr>
            <w:tcW w:w="1668" w:type="dxa"/>
          </w:tcPr>
          <w:p w:rsidR="003421C5" w:rsidRPr="001944B8" w:rsidRDefault="003421C5" w:rsidP="001944B8">
            <w:pPr>
              <w:numPr>
                <w:ilvl w:val="12"/>
                <w:numId w:val="0"/>
              </w:numPr>
              <w:rPr>
                <w:rFonts w:cs="Times New Roman"/>
                <w:szCs w:val="24"/>
              </w:rPr>
            </w:pPr>
            <w:r w:rsidRPr="001944B8">
              <w:rPr>
                <w:rFonts w:cs="Times New Roman"/>
                <w:szCs w:val="24"/>
              </w:rPr>
              <w:t xml:space="preserve">Year </w:t>
            </w:r>
            <w:r>
              <w:rPr>
                <w:rFonts w:cs="Times New Roman"/>
                <w:szCs w:val="24"/>
              </w:rPr>
              <w:t>1</w:t>
            </w:r>
            <w:r w:rsidRPr="001944B8">
              <w:rPr>
                <w:rFonts w:cs="Times New Roman"/>
                <w:szCs w:val="24"/>
              </w:rPr>
              <w:t xml:space="preserve"> System Operation</w:t>
            </w:r>
          </w:p>
        </w:tc>
        <w:tc>
          <w:tcPr>
            <w:tcW w:w="2162" w:type="dxa"/>
          </w:tcPr>
          <w:p w:rsidR="003421C5" w:rsidRPr="001944B8" w:rsidRDefault="003421C5" w:rsidP="00874219">
            <w:pPr>
              <w:numPr>
                <w:ilvl w:val="12"/>
                <w:numId w:val="0"/>
              </w:numPr>
              <w:rPr>
                <w:rFonts w:cs="Times New Roman"/>
                <w:szCs w:val="24"/>
              </w:rPr>
            </w:pPr>
            <w:r w:rsidRPr="001944B8">
              <w:rPr>
                <w:rFonts w:cs="Times New Roman"/>
                <w:szCs w:val="24"/>
              </w:rPr>
              <w:t xml:space="preserve">$86,029.36 </w:t>
            </w:r>
          </w:p>
        </w:tc>
      </w:tr>
      <w:tr w:rsidR="003421C5" w:rsidRPr="001944B8" w:rsidTr="001944B8">
        <w:tc>
          <w:tcPr>
            <w:tcW w:w="1668" w:type="dxa"/>
          </w:tcPr>
          <w:p w:rsidR="003421C5" w:rsidRPr="001944B8" w:rsidRDefault="003421C5" w:rsidP="001944B8">
            <w:pPr>
              <w:numPr>
                <w:ilvl w:val="12"/>
                <w:numId w:val="0"/>
              </w:numPr>
              <w:rPr>
                <w:rFonts w:cs="Times New Roman"/>
                <w:szCs w:val="24"/>
              </w:rPr>
            </w:pPr>
            <w:r w:rsidRPr="001944B8">
              <w:rPr>
                <w:rFonts w:cs="Times New Roman"/>
                <w:szCs w:val="24"/>
              </w:rPr>
              <w:t>Total</w:t>
            </w:r>
          </w:p>
        </w:tc>
        <w:tc>
          <w:tcPr>
            <w:tcW w:w="2162" w:type="dxa"/>
          </w:tcPr>
          <w:p w:rsidR="003421C5" w:rsidRPr="001944B8" w:rsidRDefault="003421C5" w:rsidP="001944B8">
            <w:pPr>
              <w:numPr>
                <w:ilvl w:val="12"/>
                <w:numId w:val="0"/>
              </w:numPr>
              <w:rPr>
                <w:rFonts w:cs="Times New Roman"/>
                <w:szCs w:val="24"/>
              </w:rPr>
            </w:pPr>
            <w:r w:rsidRPr="001944B8">
              <w:rPr>
                <w:rFonts w:cs="Times New Roman"/>
                <w:szCs w:val="24"/>
              </w:rPr>
              <w:t>$ 459,571.92</w:t>
            </w:r>
          </w:p>
        </w:tc>
      </w:tr>
      <w:tr w:rsidR="003421C5" w:rsidRPr="001944B8" w:rsidTr="001944B8">
        <w:tc>
          <w:tcPr>
            <w:tcW w:w="1668" w:type="dxa"/>
          </w:tcPr>
          <w:p w:rsidR="003421C5" w:rsidRPr="001944B8" w:rsidRDefault="003421C5" w:rsidP="001944B8">
            <w:pPr>
              <w:numPr>
                <w:ilvl w:val="12"/>
                <w:numId w:val="0"/>
              </w:numPr>
              <w:rPr>
                <w:rFonts w:cs="Times New Roman"/>
                <w:szCs w:val="24"/>
              </w:rPr>
            </w:pPr>
          </w:p>
        </w:tc>
        <w:tc>
          <w:tcPr>
            <w:tcW w:w="2162" w:type="dxa"/>
          </w:tcPr>
          <w:p w:rsidR="003421C5" w:rsidRPr="001944B8" w:rsidRDefault="003421C5" w:rsidP="001944B8">
            <w:pPr>
              <w:numPr>
                <w:ilvl w:val="12"/>
                <w:numId w:val="0"/>
              </w:numPr>
              <w:rPr>
                <w:rFonts w:cs="Times New Roman"/>
                <w:szCs w:val="24"/>
              </w:rPr>
            </w:pPr>
          </w:p>
        </w:tc>
      </w:tr>
      <w:tr w:rsidR="003421C5" w:rsidRPr="001944B8" w:rsidTr="001944B8">
        <w:tc>
          <w:tcPr>
            <w:tcW w:w="1668" w:type="dxa"/>
          </w:tcPr>
          <w:p w:rsidR="003421C5" w:rsidRPr="001944B8" w:rsidRDefault="003421C5" w:rsidP="001944B8">
            <w:pPr>
              <w:numPr>
                <w:ilvl w:val="12"/>
                <w:numId w:val="0"/>
              </w:numPr>
              <w:rPr>
                <w:rFonts w:cs="Times New Roman"/>
                <w:szCs w:val="24"/>
              </w:rPr>
            </w:pPr>
          </w:p>
        </w:tc>
        <w:tc>
          <w:tcPr>
            <w:tcW w:w="2162" w:type="dxa"/>
          </w:tcPr>
          <w:p w:rsidR="003421C5" w:rsidRPr="001944B8" w:rsidRDefault="003421C5" w:rsidP="001944B8">
            <w:pPr>
              <w:numPr>
                <w:ilvl w:val="12"/>
                <w:numId w:val="0"/>
              </w:numPr>
              <w:rPr>
                <w:rFonts w:cs="Times New Roman"/>
                <w:szCs w:val="24"/>
              </w:rPr>
            </w:pPr>
          </w:p>
        </w:tc>
      </w:tr>
      <w:tr w:rsidR="003421C5" w:rsidRPr="001944B8" w:rsidTr="001944B8">
        <w:tc>
          <w:tcPr>
            <w:tcW w:w="1668" w:type="dxa"/>
          </w:tcPr>
          <w:p w:rsidR="003421C5" w:rsidRPr="001944B8" w:rsidRDefault="003421C5" w:rsidP="001944B8">
            <w:pPr>
              <w:numPr>
                <w:ilvl w:val="12"/>
                <w:numId w:val="0"/>
              </w:numPr>
              <w:rPr>
                <w:rFonts w:cs="Times New Roman"/>
                <w:szCs w:val="24"/>
              </w:rPr>
            </w:pPr>
          </w:p>
        </w:tc>
        <w:tc>
          <w:tcPr>
            <w:tcW w:w="2162" w:type="dxa"/>
          </w:tcPr>
          <w:p w:rsidR="003421C5" w:rsidRPr="001944B8" w:rsidRDefault="003421C5" w:rsidP="001944B8">
            <w:pPr>
              <w:numPr>
                <w:ilvl w:val="12"/>
                <w:numId w:val="0"/>
              </w:numPr>
              <w:rPr>
                <w:rFonts w:cs="Times New Roman"/>
                <w:szCs w:val="24"/>
              </w:rPr>
            </w:pPr>
          </w:p>
        </w:tc>
      </w:tr>
      <w:tr w:rsidR="003421C5" w:rsidRPr="001944B8" w:rsidTr="001944B8">
        <w:tc>
          <w:tcPr>
            <w:tcW w:w="1668" w:type="dxa"/>
          </w:tcPr>
          <w:p w:rsidR="003421C5" w:rsidRPr="001944B8" w:rsidRDefault="003421C5" w:rsidP="001944B8">
            <w:pPr>
              <w:numPr>
                <w:ilvl w:val="12"/>
                <w:numId w:val="0"/>
              </w:numPr>
              <w:rPr>
                <w:rFonts w:cs="Times New Roman"/>
                <w:szCs w:val="24"/>
              </w:rPr>
            </w:pPr>
          </w:p>
        </w:tc>
        <w:tc>
          <w:tcPr>
            <w:tcW w:w="2162" w:type="dxa"/>
          </w:tcPr>
          <w:p w:rsidR="003421C5" w:rsidRPr="001944B8" w:rsidRDefault="003421C5" w:rsidP="001944B8">
            <w:pPr>
              <w:numPr>
                <w:ilvl w:val="12"/>
                <w:numId w:val="0"/>
              </w:numPr>
              <w:rPr>
                <w:rFonts w:cs="Times New Roman"/>
                <w:szCs w:val="24"/>
              </w:rPr>
            </w:pPr>
          </w:p>
        </w:tc>
      </w:tr>
      <w:tr w:rsidR="003421C5" w:rsidRPr="001944B8" w:rsidTr="001944B8">
        <w:tc>
          <w:tcPr>
            <w:tcW w:w="1668" w:type="dxa"/>
          </w:tcPr>
          <w:p w:rsidR="003421C5" w:rsidRPr="001944B8" w:rsidRDefault="003421C5" w:rsidP="001944B8">
            <w:pPr>
              <w:numPr>
                <w:ilvl w:val="12"/>
                <w:numId w:val="0"/>
              </w:numPr>
              <w:rPr>
                <w:rFonts w:cs="Times New Roman"/>
                <w:szCs w:val="24"/>
              </w:rPr>
            </w:pPr>
          </w:p>
        </w:tc>
        <w:tc>
          <w:tcPr>
            <w:tcW w:w="2162" w:type="dxa"/>
          </w:tcPr>
          <w:p w:rsidR="003421C5" w:rsidRPr="001944B8" w:rsidRDefault="003421C5" w:rsidP="001944B8">
            <w:pPr>
              <w:numPr>
                <w:ilvl w:val="12"/>
                <w:numId w:val="0"/>
              </w:numPr>
              <w:rPr>
                <w:rFonts w:cs="Times New Roman"/>
                <w:szCs w:val="24"/>
              </w:rPr>
            </w:pPr>
          </w:p>
        </w:tc>
      </w:tr>
    </w:tbl>
    <w:p w:rsidR="00136B01" w:rsidRPr="001147F2" w:rsidRDefault="00033216" w:rsidP="00120F6B">
      <w:pPr>
        <w:numPr>
          <w:ilvl w:val="12"/>
          <w:numId w:val="0"/>
        </w:numPr>
        <w:rPr>
          <w:rFonts w:cs="Times New Roman"/>
          <w:szCs w:val="24"/>
        </w:rPr>
      </w:pPr>
      <w:r>
        <w:rPr>
          <w:rFonts w:cs="Times New Roman"/>
          <w:szCs w:val="24"/>
        </w:rPr>
        <w:t xml:space="preserve">Total </w:t>
      </w:r>
      <w:r w:rsidR="00CD570C">
        <w:rPr>
          <w:rFonts w:cs="Times New Roman"/>
          <w:szCs w:val="24"/>
        </w:rPr>
        <w:t xml:space="preserve">approximate cost </w:t>
      </w:r>
      <w:r>
        <w:rPr>
          <w:rFonts w:cs="Times New Roman"/>
          <w:szCs w:val="24"/>
        </w:rPr>
        <w:t>per Year= $</w:t>
      </w:r>
      <w:r w:rsidR="003421C5">
        <w:rPr>
          <w:rFonts w:cs="Times New Roman"/>
          <w:szCs w:val="24"/>
        </w:rPr>
        <w:t>90,000</w:t>
      </w:r>
    </w:p>
    <w:p w:rsidR="00320387" w:rsidRDefault="00320387" w:rsidP="00320387">
      <w:pPr>
        <w:pStyle w:val="IndexHeading"/>
        <w:keepNext w:val="0"/>
        <w:numPr>
          <w:ilvl w:val="12"/>
          <w:numId w:val="0"/>
        </w:numPr>
        <w:spacing w:line="240" w:lineRule="auto"/>
        <w:rPr>
          <w:rFonts w:ascii="Times New Roman" w:hAnsi="Times New Roman"/>
          <w:spacing w:val="0"/>
        </w:rPr>
      </w:pPr>
    </w:p>
    <w:p w:rsidR="00320387" w:rsidRDefault="00320387" w:rsidP="00320387">
      <w:pPr>
        <w:keepNext/>
        <w:numPr>
          <w:ilvl w:val="0"/>
          <w:numId w:val="1"/>
        </w:numPr>
        <w:tabs>
          <w:tab w:val="left" w:pos="360"/>
        </w:tabs>
        <w:rPr>
          <w:b/>
          <w:i/>
        </w:rPr>
      </w:pPr>
      <w:r>
        <w:rPr>
          <w:b/>
          <w:i/>
        </w:rPr>
        <w:t>Explain the reasons for any program changes or adjustments reported in Items 13 or 14 of the OMB Form 83-I.</w:t>
      </w:r>
    </w:p>
    <w:p w:rsidR="00320387" w:rsidRDefault="00320387" w:rsidP="00320387">
      <w:pPr>
        <w:keepNext/>
        <w:numPr>
          <w:ilvl w:val="12"/>
          <w:numId w:val="0"/>
        </w:numPr>
        <w:ind w:left="360"/>
      </w:pPr>
    </w:p>
    <w:p w:rsidR="0093071A" w:rsidRDefault="00D11FD0" w:rsidP="00320387">
      <w:pPr>
        <w:keepNext/>
        <w:numPr>
          <w:ilvl w:val="12"/>
          <w:numId w:val="0"/>
        </w:numPr>
        <w:ind w:left="360"/>
      </w:pPr>
      <w:r>
        <w:t xml:space="preserve">There </w:t>
      </w:r>
      <w:proofErr w:type="gramStart"/>
      <w:r>
        <w:t>is no changes</w:t>
      </w:r>
      <w:proofErr w:type="gramEnd"/>
      <w:r>
        <w:t xml:space="preserve"> in the information being collected.  There has been a reduction in cost to the government s</w:t>
      </w:r>
      <w:r w:rsidR="005342D4">
        <w:t>ince the previous submission of this ICR</w:t>
      </w:r>
      <w:r w:rsidR="00415C49">
        <w:t>;</w:t>
      </w:r>
      <w:r w:rsidR="005342D4">
        <w:t xml:space="preserve"> the </w:t>
      </w:r>
      <w:r w:rsidR="00415C49">
        <w:t>F</w:t>
      </w:r>
      <w:r w:rsidR="005342D4">
        <w:t xml:space="preserve">ederal government’s annualized cost for this program has </w:t>
      </w:r>
      <w:r w:rsidR="00415C49">
        <w:t xml:space="preserve">been </w:t>
      </w:r>
      <w:r w:rsidR="005342D4">
        <w:t>reduced</w:t>
      </w:r>
      <w:r w:rsidR="000B39FC">
        <w:t xml:space="preserve"> from a previous cost of $115,000 to $90,000, a reduction </w:t>
      </w:r>
      <w:proofErr w:type="gramStart"/>
      <w:r w:rsidR="000B39FC">
        <w:t>of</w:t>
      </w:r>
      <w:r w:rsidR="00664BAB">
        <w:t xml:space="preserve"> </w:t>
      </w:r>
      <w:r w:rsidR="00415C49">
        <w:t xml:space="preserve"> </w:t>
      </w:r>
      <w:r w:rsidR="00664BAB">
        <w:t>$</w:t>
      </w:r>
      <w:proofErr w:type="gramEnd"/>
      <w:r w:rsidR="00664BAB">
        <w:t>25,000</w:t>
      </w:r>
      <w:r w:rsidR="00605B3D">
        <w:t xml:space="preserve">.  The cost reduction arises from TSA having already incurred the development costs of the Passenger Fee Data Portal and Service (the web portal for transmission of quarterly reports) during the last three year PRA cycle and thus will only have to pay for operations and maintenance during this cycle. </w:t>
      </w:r>
      <w:r w:rsidR="000C6F55">
        <w:t xml:space="preserve"> Additionally, in the previous submission the </w:t>
      </w:r>
      <w:r w:rsidR="005379AA">
        <w:t>h</w:t>
      </w:r>
      <w:r w:rsidR="0056378D">
        <w:t xml:space="preserve">ourly </w:t>
      </w:r>
      <w:r w:rsidR="005379AA">
        <w:t>w</w:t>
      </w:r>
      <w:r w:rsidR="0056378D">
        <w:t xml:space="preserve">age </w:t>
      </w:r>
      <w:r w:rsidR="005379AA">
        <w:t>b</w:t>
      </w:r>
      <w:r w:rsidR="000C6F55">
        <w:t>urden was capture</w:t>
      </w:r>
      <w:r w:rsidR="005379AA">
        <w:t>d as a part of the annual cost b</w:t>
      </w:r>
      <w:r w:rsidR="000C6F55">
        <w:t>urden, which was not correct.  This submission is correcting this err</w:t>
      </w:r>
      <w:r w:rsidR="005379AA">
        <w:t>or and now provides the actual annual cost b</w:t>
      </w:r>
      <w:r w:rsidR="000C6F55">
        <w:t xml:space="preserve">urden to respondents.  </w:t>
      </w:r>
    </w:p>
    <w:p w:rsidR="00320387" w:rsidRDefault="0093071A" w:rsidP="00320387">
      <w:pPr>
        <w:pStyle w:val="IndexHeading"/>
        <w:keepNext w:val="0"/>
        <w:numPr>
          <w:ilvl w:val="12"/>
          <w:numId w:val="0"/>
        </w:numPr>
        <w:spacing w:line="240" w:lineRule="auto"/>
        <w:rPr>
          <w:rFonts w:ascii="Times New Roman" w:hAnsi="Times New Roman"/>
          <w:spacing w:val="0"/>
        </w:rPr>
      </w:pPr>
      <w:r>
        <w:tab/>
      </w:r>
    </w:p>
    <w:p w:rsidR="00320387" w:rsidRDefault="00EB3CDD" w:rsidP="00320387">
      <w:pPr>
        <w:keepNext/>
        <w:numPr>
          <w:ilvl w:val="0"/>
          <w:numId w:val="1"/>
        </w:numPr>
        <w:tabs>
          <w:tab w:val="left" w:pos="360"/>
        </w:tabs>
        <w:rPr>
          <w:b/>
          <w:i/>
        </w:rPr>
      </w:pPr>
      <w:r>
        <w:rPr>
          <w:b/>
          <w:i/>
        </w:rPr>
        <w:br w:type="page"/>
      </w:r>
      <w:r w:rsidR="00320387">
        <w:rPr>
          <w:b/>
          <w:i/>
        </w:rPr>
        <w:lastRenderedPageBreak/>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9648E" w:rsidRDefault="0099648E" w:rsidP="0099648E">
      <w:pPr>
        <w:numPr>
          <w:ilvl w:val="12"/>
          <w:numId w:val="0"/>
        </w:numPr>
        <w:ind w:left="360"/>
      </w:pPr>
    </w:p>
    <w:p w:rsidR="000E3F00" w:rsidRPr="001147F2" w:rsidRDefault="000E3F00" w:rsidP="0099648E">
      <w:pPr>
        <w:numPr>
          <w:ilvl w:val="12"/>
          <w:numId w:val="0"/>
        </w:numPr>
        <w:ind w:left="360"/>
        <w:rPr>
          <w:rFonts w:cs="Times New Roman"/>
          <w:szCs w:val="24"/>
        </w:rPr>
      </w:pPr>
      <w:r>
        <w:t>This information collection will not be published for statistical purposes.</w:t>
      </w:r>
    </w:p>
    <w:p w:rsidR="00320387" w:rsidRDefault="00320387" w:rsidP="00320387">
      <w:pPr>
        <w:pStyle w:val="IndexHeading"/>
        <w:keepNext w:val="0"/>
        <w:numPr>
          <w:ilvl w:val="12"/>
          <w:numId w:val="0"/>
        </w:numPr>
        <w:spacing w:line="240" w:lineRule="auto"/>
        <w:rPr>
          <w:rFonts w:ascii="Times New Roman" w:hAnsi="Times New Roman"/>
          <w:spacing w:val="0"/>
        </w:rPr>
      </w:pPr>
    </w:p>
    <w:p w:rsidR="00320387" w:rsidRDefault="00320387" w:rsidP="00320387">
      <w:pPr>
        <w:keepNext/>
        <w:numPr>
          <w:ilvl w:val="0"/>
          <w:numId w:val="1"/>
        </w:numPr>
        <w:tabs>
          <w:tab w:val="left" w:pos="360"/>
        </w:tabs>
        <w:rPr>
          <w:b/>
          <w:i/>
        </w:rPr>
      </w:pPr>
      <w:r>
        <w:rPr>
          <w:b/>
          <w:i/>
        </w:rPr>
        <w:t>If seeking approval to not display the expiration date for OMB approval of the information collection, explain the reasons that display would be inappropriate.</w:t>
      </w:r>
    </w:p>
    <w:p w:rsidR="00320387" w:rsidRDefault="00320387" w:rsidP="00320387">
      <w:pPr>
        <w:keepNext/>
        <w:numPr>
          <w:ilvl w:val="12"/>
          <w:numId w:val="0"/>
        </w:numPr>
        <w:ind w:left="360"/>
      </w:pPr>
    </w:p>
    <w:p w:rsidR="0099648E" w:rsidRPr="001147F2" w:rsidRDefault="0099648E" w:rsidP="0099648E">
      <w:pPr>
        <w:numPr>
          <w:ilvl w:val="12"/>
          <w:numId w:val="0"/>
        </w:numPr>
        <w:ind w:left="360"/>
        <w:rPr>
          <w:rFonts w:cs="Times New Roman"/>
          <w:szCs w:val="24"/>
        </w:rPr>
      </w:pPr>
      <w:r w:rsidRPr="001147F2">
        <w:rPr>
          <w:rFonts w:cs="Times New Roman"/>
          <w:szCs w:val="24"/>
        </w:rPr>
        <w:t xml:space="preserve">TSA will display the expiration date </w:t>
      </w:r>
      <w:r w:rsidR="000E3F00">
        <w:rPr>
          <w:rFonts w:cs="Times New Roman"/>
          <w:szCs w:val="24"/>
        </w:rPr>
        <w:t>for OMB approval of this information collection.</w:t>
      </w:r>
      <w:r w:rsidRPr="001147F2">
        <w:rPr>
          <w:rFonts w:cs="Times New Roman"/>
          <w:szCs w:val="24"/>
        </w:rPr>
        <w:t xml:space="preserve"> </w:t>
      </w:r>
    </w:p>
    <w:p w:rsidR="00320387" w:rsidRDefault="00320387" w:rsidP="00320387">
      <w:pPr>
        <w:numPr>
          <w:ilvl w:val="12"/>
          <w:numId w:val="0"/>
        </w:numPr>
        <w:tabs>
          <w:tab w:val="left" w:pos="360"/>
        </w:tabs>
      </w:pPr>
    </w:p>
    <w:p w:rsidR="00320387" w:rsidRDefault="00320387" w:rsidP="00320387">
      <w:pPr>
        <w:keepNext/>
        <w:numPr>
          <w:ilvl w:val="0"/>
          <w:numId w:val="1"/>
        </w:numPr>
        <w:tabs>
          <w:tab w:val="left" w:pos="360"/>
        </w:tabs>
        <w:rPr>
          <w:b/>
          <w:i/>
        </w:rPr>
      </w:pPr>
      <w:r>
        <w:rPr>
          <w:b/>
          <w:i/>
        </w:rPr>
        <w:t>Explain each exception to the certification statement identified in Item 19, “Certification for Paperwork Reduction Act Submissions,” of OMB Form 83-I.</w:t>
      </w:r>
    </w:p>
    <w:p w:rsidR="00320387" w:rsidRDefault="00320387" w:rsidP="00320387">
      <w:pPr>
        <w:keepNext/>
        <w:numPr>
          <w:ilvl w:val="12"/>
          <w:numId w:val="0"/>
        </w:numPr>
        <w:ind w:left="360"/>
      </w:pPr>
    </w:p>
    <w:p w:rsidR="0099648E" w:rsidRPr="001147F2" w:rsidRDefault="0099648E" w:rsidP="0099648E">
      <w:pPr>
        <w:numPr>
          <w:ilvl w:val="12"/>
          <w:numId w:val="0"/>
        </w:numPr>
        <w:ind w:left="360"/>
        <w:rPr>
          <w:rFonts w:cs="Times New Roman"/>
          <w:szCs w:val="24"/>
        </w:rPr>
      </w:pPr>
      <w:r w:rsidRPr="001147F2">
        <w:rPr>
          <w:rFonts w:cs="Times New Roman"/>
          <w:szCs w:val="24"/>
        </w:rPr>
        <w:t xml:space="preserve">TSA </w:t>
      </w:r>
      <w:r w:rsidR="000E3F00">
        <w:rPr>
          <w:rFonts w:cs="Times New Roman"/>
          <w:szCs w:val="24"/>
        </w:rPr>
        <w:t>does not request an exception to the certification of this information collection</w:t>
      </w:r>
      <w:r w:rsidRPr="001147F2">
        <w:rPr>
          <w:rFonts w:cs="Times New Roman"/>
          <w:szCs w:val="24"/>
        </w:rPr>
        <w:t>.</w:t>
      </w:r>
    </w:p>
    <w:p w:rsidR="003C0F11" w:rsidRDefault="003C0F11"/>
    <w:sectPr w:rsidR="003C0F11" w:rsidSect="00D32902">
      <w:headerReference w:type="default" r:id="rId12"/>
      <w:headerReference w:type="first" r:id="rId13"/>
      <w:footerReference w:type="first" r:id="rId14"/>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33A75" w:rsidRDefault="00F33A75">
      <w:r>
        <w:separator/>
      </w:r>
    </w:p>
  </w:endnote>
  <w:endnote w:type="continuationSeparator" w:id="0">
    <w:p w:rsidR="00F33A75" w:rsidRDefault="00F33A7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B3D" w:rsidRDefault="00605B3D">
    <w:pPr>
      <w:tabs>
        <w:tab w:val="left" w:pos="0"/>
        <w:tab w:val="right" w:pos="6984"/>
        <w:tab w:val="left" w:pos="7034"/>
      </w:tabs>
      <w:rPr>
        <w:sz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33A75" w:rsidRDefault="00F33A75">
      <w:r>
        <w:separator/>
      </w:r>
    </w:p>
  </w:footnote>
  <w:footnote w:type="continuationSeparator" w:id="0">
    <w:p w:rsidR="00F33A75" w:rsidRDefault="00F33A7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B3D" w:rsidRDefault="00D84BEA">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sidR="00605B3D">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A4105C">
      <w:rPr>
        <w:rStyle w:val="PageNumber"/>
        <w:rFonts w:ascii="Times New Roman" w:hAnsi="Times New Roman"/>
        <w:noProof/>
        <w:sz w:val="24"/>
      </w:rPr>
      <w:t>5</w:t>
    </w:r>
    <w:r>
      <w:rPr>
        <w:rStyle w:val="PageNumber"/>
        <w:rFonts w:ascii="Times New Roman" w:hAnsi="Times New Roman"/>
        <w:sz w:val="24"/>
      </w:rPr>
      <w:fldChar w:fldCharType="end"/>
    </w:r>
  </w:p>
  <w:p w:rsidR="00605B3D" w:rsidRPr="00320387" w:rsidRDefault="00605B3D">
    <w:pPr>
      <w:pStyle w:val="Header"/>
      <w:keepLines w:val="0"/>
      <w:spacing w:line="240" w:lineRule="auto"/>
      <w:ind w:left="0"/>
      <w:rPr>
        <w:rFonts w:ascii="Times New Roman" w:hAnsi="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5B3D" w:rsidRDefault="00605B3D" w:rsidP="00AE3925">
    <w:pPr>
      <w:pStyle w:val="Title"/>
      <w:keepNext w:val="0"/>
      <w:keepLines w:val="0"/>
      <w:pBdr>
        <w:top w:val="none" w:sz="0" w:space="0" w:color="auto"/>
      </w:pBdr>
      <w:spacing w:before="0" w:after="0" w:line="240" w:lineRule="auto"/>
      <w:jc w:val="center"/>
    </w:pPr>
    <w:r>
      <w:rPr>
        <w:rFonts w:ascii="Times New Roman" w:hAnsi="Times New Roman"/>
        <w:b/>
        <w:i/>
        <w:spacing w:val="0"/>
        <w:sz w:val="28"/>
      </w:rPr>
      <w:t>INFORMATION COLLECTION SUPPORTING STATEMENT</w:t>
    </w:r>
  </w:p>
  <w:p w:rsidR="00605B3D" w:rsidRDefault="00605B3D">
    <w:pPr>
      <w:jc w:val="center"/>
      <w:rPr>
        <w:rFonts w:cs="Times New Roman"/>
        <w:b/>
        <w:sz w:val="28"/>
      </w:rPr>
    </w:pPr>
  </w:p>
  <w:p w:rsidR="00605B3D" w:rsidRDefault="00605B3D">
    <w:pPr>
      <w:jc w:val="center"/>
      <w:rPr>
        <w:rFonts w:cs="Times New Roman"/>
        <w:b/>
      </w:rPr>
    </w:pPr>
    <w:r>
      <w:rPr>
        <w:rFonts w:cs="Times New Roman"/>
        <w:b/>
      </w:rPr>
      <w:t>Imposition and Collection of Passenger Civil Aviation Security Service Fee</w:t>
    </w:r>
  </w:p>
  <w:p w:rsidR="00605B3D" w:rsidRDefault="00605B3D">
    <w:pPr>
      <w:jc w:val="center"/>
      <w:rPr>
        <w:rFonts w:cs="Times New Roman"/>
        <w:b/>
      </w:rPr>
    </w:pPr>
    <w:r>
      <w:rPr>
        <w:rFonts w:cs="Times New Roman"/>
        <w:b/>
      </w:rPr>
      <w:t>OMB Control Number 1652-0001</w:t>
    </w:r>
  </w:p>
  <w:p w:rsidR="00605B3D" w:rsidRDefault="00605B3D" w:rsidP="00D32902">
    <w:pPr>
      <w:pStyle w:val="Header"/>
      <w:keepLines w:val="0"/>
      <w:rPr>
        <w:rFonts w:ascii="Times New Roman" w:hAnsi="Times New Roman"/>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5F0DC4"/>
    <w:multiLevelType w:val="singleLevel"/>
    <w:tmpl w:val="768E828A"/>
    <w:lvl w:ilvl="0">
      <w:start w:val="1"/>
      <w:numFmt w:val="decimal"/>
      <w:lvlText w:val="%1."/>
      <w:legacy w:legacy="1" w:legacySpace="0" w:legacyIndent="360"/>
      <w:lvlJc w:val="left"/>
      <w:pPr>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EA0D46"/>
    <w:rsid w:val="0001718F"/>
    <w:rsid w:val="00033216"/>
    <w:rsid w:val="000410A0"/>
    <w:rsid w:val="000531CF"/>
    <w:rsid w:val="00087F14"/>
    <w:rsid w:val="00095184"/>
    <w:rsid w:val="000965F2"/>
    <w:rsid w:val="000B39FC"/>
    <w:rsid w:val="000C1684"/>
    <w:rsid w:val="000C6F55"/>
    <w:rsid w:val="000D5F6F"/>
    <w:rsid w:val="000D659F"/>
    <w:rsid w:val="000E3F00"/>
    <w:rsid w:val="000F17B9"/>
    <w:rsid w:val="00106482"/>
    <w:rsid w:val="0011029E"/>
    <w:rsid w:val="00120A21"/>
    <w:rsid w:val="00120F6B"/>
    <w:rsid w:val="00127FD6"/>
    <w:rsid w:val="00136B01"/>
    <w:rsid w:val="00186C03"/>
    <w:rsid w:val="0019213E"/>
    <w:rsid w:val="001944B8"/>
    <w:rsid w:val="0019675D"/>
    <w:rsid w:val="001D5D05"/>
    <w:rsid w:val="001F5D8A"/>
    <w:rsid w:val="00226FF3"/>
    <w:rsid w:val="00232AE2"/>
    <w:rsid w:val="0024480B"/>
    <w:rsid w:val="00253324"/>
    <w:rsid w:val="00263523"/>
    <w:rsid w:val="002643DB"/>
    <w:rsid w:val="00264B21"/>
    <w:rsid w:val="00280EFF"/>
    <w:rsid w:val="002839DF"/>
    <w:rsid w:val="002B5C3E"/>
    <w:rsid w:val="002C6B13"/>
    <w:rsid w:val="002D2B55"/>
    <w:rsid w:val="002E5BB9"/>
    <w:rsid w:val="002F23D5"/>
    <w:rsid w:val="00320387"/>
    <w:rsid w:val="003417A4"/>
    <w:rsid w:val="003421C5"/>
    <w:rsid w:val="00344787"/>
    <w:rsid w:val="003568FE"/>
    <w:rsid w:val="00370224"/>
    <w:rsid w:val="00372ECD"/>
    <w:rsid w:val="003A5714"/>
    <w:rsid w:val="003B5DCE"/>
    <w:rsid w:val="003C0F11"/>
    <w:rsid w:val="003C51A5"/>
    <w:rsid w:val="003D6ED9"/>
    <w:rsid w:val="00415C49"/>
    <w:rsid w:val="004243D1"/>
    <w:rsid w:val="004513C2"/>
    <w:rsid w:val="0047052E"/>
    <w:rsid w:val="00486A80"/>
    <w:rsid w:val="004905FF"/>
    <w:rsid w:val="004A2985"/>
    <w:rsid w:val="004C0D53"/>
    <w:rsid w:val="004F2F87"/>
    <w:rsid w:val="004F4468"/>
    <w:rsid w:val="00507569"/>
    <w:rsid w:val="005245A7"/>
    <w:rsid w:val="005342D4"/>
    <w:rsid w:val="005379AA"/>
    <w:rsid w:val="005427ED"/>
    <w:rsid w:val="0056378D"/>
    <w:rsid w:val="00565609"/>
    <w:rsid w:val="0058379E"/>
    <w:rsid w:val="005921F0"/>
    <w:rsid w:val="0059565D"/>
    <w:rsid w:val="005A582A"/>
    <w:rsid w:val="005F4D6D"/>
    <w:rsid w:val="005F78D8"/>
    <w:rsid w:val="0060297A"/>
    <w:rsid w:val="00605B3D"/>
    <w:rsid w:val="0063359F"/>
    <w:rsid w:val="00664BAB"/>
    <w:rsid w:val="00676403"/>
    <w:rsid w:val="006B57A0"/>
    <w:rsid w:val="006B709A"/>
    <w:rsid w:val="006F00BA"/>
    <w:rsid w:val="006F4423"/>
    <w:rsid w:val="00711D8C"/>
    <w:rsid w:val="00712DE0"/>
    <w:rsid w:val="007212A7"/>
    <w:rsid w:val="007235A3"/>
    <w:rsid w:val="00737563"/>
    <w:rsid w:val="00764EA3"/>
    <w:rsid w:val="0079555E"/>
    <w:rsid w:val="007A23C8"/>
    <w:rsid w:val="008471F0"/>
    <w:rsid w:val="00855F49"/>
    <w:rsid w:val="00874219"/>
    <w:rsid w:val="008843C7"/>
    <w:rsid w:val="008A00D9"/>
    <w:rsid w:val="008B5176"/>
    <w:rsid w:val="008C1EC3"/>
    <w:rsid w:val="008C3A75"/>
    <w:rsid w:val="008E1C64"/>
    <w:rsid w:val="0090794D"/>
    <w:rsid w:val="0091626B"/>
    <w:rsid w:val="00917871"/>
    <w:rsid w:val="00920611"/>
    <w:rsid w:val="0093071A"/>
    <w:rsid w:val="00950989"/>
    <w:rsid w:val="0095145F"/>
    <w:rsid w:val="009606F0"/>
    <w:rsid w:val="00982EC9"/>
    <w:rsid w:val="00984A26"/>
    <w:rsid w:val="00991FA7"/>
    <w:rsid w:val="0099648E"/>
    <w:rsid w:val="009D524E"/>
    <w:rsid w:val="009E4E7D"/>
    <w:rsid w:val="00A4105C"/>
    <w:rsid w:val="00A41761"/>
    <w:rsid w:val="00A548F5"/>
    <w:rsid w:val="00A9580A"/>
    <w:rsid w:val="00AD41CD"/>
    <w:rsid w:val="00AD595F"/>
    <w:rsid w:val="00AE3925"/>
    <w:rsid w:val="00B2276A"/>
    <w:rsid w:val="00B26E81"/>
    <w:rsid w:val="00B957E3"/>
    <w:rsid w:val="00BA4E08"/>
    <w:rsid w:val="00BB05C0"/>
    <w:rsid w:val="00BB197D"/>
    <w:rsid w:val="00BF2939"/>
    <w:rsid w:val="00BF64E3"/>
    <w:rsid w:val="00C05EC6"/>
    <w:rsid w:val="00C359E9"/>
    <w:rsid w:val="00C439A1"/>
    <w:rsid w:val="00C44EA2"/>
    <w:rsid w:val="00CA403F"/>
    <w:rsid w:val="00CD04CB"/>
    <w:rsid w:val="00CD140F"/>
    <w:rsid w:val="00CD570C"/>
    <w:rsid w:val="00CF08B6"/>
    <w:rsid w:val="00CF213B"/>
    <w:rsid w:val="00D10EB8"/>
    <w:rsid w:val="00D11FD0"/>
    <w:rsid w:val="00D2447E"/>
    <w:rsid w:val="00D30934"/>
    <w:rsid w:val="00D32902"/>
    <w:rsid w:val="00D6331A"/>
    <w:rsid w:val="00D75EDA"/>
    <w:rsid w:val="00D84BEA"/>
    <w:rsid w:val="00D85A15"/>
    <w:rsid w:val="00DB59C4"/>
    <w:rsid w:val="00DC1699"/>
    <w:rsid w:val="00DC2F30"/>
    <w:rsid w:val="00DC7B20"/>
    <w:rsid w:val="00DF58A1"/>
    <w:rsid w:val="00E151AB"/>
    <w:rsid w:val="00E25C9C"/>
    <w:rsid w:val="00E3320A"/>
    <w:rsid w:val="00E35C94"/>
    <w:rsid w:val="00E35D04"/>
    <w:rsid w:val="00E41E85"/>
    <w:rsid w:val="00E43523"/>
    <w:rsid w:val="00E6294C"/>
    <w:rsid w:val="00E71365"/>
    <w:rsid w:val="00E905CB"/>
    <w:rsid w:val="00E95519"/>
    <w:rsid w:val="00E96EF4"/>
    <w:rsid w:val="00E97D21"/>
    <w:rsid w:val="00EA0D46"/>
    <w:rsid w:val="00EA4989"/>
    <w:rsid w:val="00EB397D"/>
    <w:rsid w:val="00EB3CDD"/>
    <w:rsid w:val="00EC75F8"/>
    <w:rsid w:val="00F1001B"/>
    <w:rsid w:val="00F1767C"/>
    <w:rsid w:val="00F33657"/>
    <w:rsid w:val="00F33A75"/>
    <w:rsid w:val="00F57D59"/>
    <w:rsid w:val="00F92925"/>
    <w:rsid w:val="00F962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0387"/>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20387"/>
    <w:pPr>
      <w:tabs>
        <w:tab w:val="center" w:pos="4320"/>
        <w:tab w:val="right" w:pos="8640"/>
      </w:tabs>
    </w:pPr>
  </w:style>
  <w:style w:type="paragraph" w:styleId="Title">
    <w:name w:val="Title"/>
    <w:basedOn w:val="Normal"/>
    <w:next w:val="Subtitle"/>
    <w:qFormat/>
    <w:rsid w:val="00320387"/>
    <w:pPr>
      <w:keepNext/>
      <w:keepLines/>
      <w:pBdr>
        <w:top w:val="single" w:sz="6" w:space="16" w:color="auto"/>
      </w:pBdr>
      <w:spacing w:before="220" w:after="60" w:line="320" w:lineRule="atLeast"/>
    </w:pPr>
    <w:rPr>
      <w:rFonts w:ascii="Arial Black" w:hAnsi="Arial Black" w:cs="Times New Roman"/>
      <w:color w:val="auto"/>
      <w:spacing w:val="-30"/>
      <w:kern w:val="28"/>
      <w:sz w:val="40"/>
    </w:rPr>
  </w:style>
  <w:style w:type="paragraph" w:styleId="Index1">
    <w:name w:val="index 1"/>
    <w:basedOn w:val="Normal"/>
    <w:next w:val="Normal"/>
    <w:autoRedefine/>
    <w:semiHidden/>
    <w:rsid w:val="00320387"/>
    <w:pPr>
      <w:ind w:left="240" w:hanging="240"/>
    </w:pPr>
  </w:style>
  <w:style w:type="paragraph" w:styleId="IndexHeading">
    <w:name w:val="index heading"/>
    <w:basedOn w:val="Normal"/>
    <w:next w:val="Index1"/>
    <w:semiHidden/>
    <w:rsid w:val="00320387"/>
    <w:pPr>
      <w:keepNext/>
      <w:spacing w:line="480" w:lineRule="atLeast"/>
    </w:pPr>
    <w:rPr>
      <w:rFonts w:ascii="Arial Black" w:hAnsi="Arial Black" w:cs="Times New Roman"/>
      <w:color w:val="auto"/>
      <w:spacing w:val="-5"/>
    </w:rPr>
  </w:style>
  <w:style w:type="character" w:styleId="PageNumber">
    <w:name w:val="page number"/>
    <w:basedOn w:val="DefaultParagraphFont"/>
    <w:rsid w:val="00320387"/>
    <w:rPr>
      <w:rFonts w:ascii="Arial Black" w:hAnsi="Arial Black"/>
      <w:spacing w:val="-10"/>
      <w:sz w:val="18"/>
    </w:rPr>
  </w:style>
  <w:style w:type="paragraph" w:styleId="Header">
    <w:name w:val="header"/>
    <w:basedOn w:val="Normal"/>
    <w:rsid w:val="00320387"/>
    <w:pPr>
      <w:keepLines/>
      <w:tabs>
        <w:tab w:val="center" w:pos="4320"/>
        <w:tab w:val="right" w:pos="8640"/>
      </w:tabs>
      <w:spacing w:line="190" w:lineRule="atLeast"/>
      <w:ind w:left="1080"/>
    </w:pPr>
    <w:rPr>
      <w:rFonts w:ascii="Arial" w:hAnsi="Arial" w:cs="Times New Roman"/>
      <w:caps/>
      <w:color w:val="auto"/>
      <w:spacing w:val="-5"/>
      <w:sz w:val="15"/>
    </w:rPr>
  </w:style>
  <w:style w:type="paragraph" w:styleId="Subtitle">
    <w:name w:val="Subtitle"/>
    <w:basedOn w:val="Normal"/>
    <w:qFormat/>
    <w:rsid w:val="00320387"/>
    <w:pPr>
      <w:spacing w:after="60"/>
      <w:jc w:val="center"/>
      <w:outlineLvl w:val="1"/>
    </w:pPr>
    <w:rPr>
      <w:rFonts w:ascii="Arial" w:hAnsi="Arial"/>
      <w:szCs w:val="24"/>
    </w:rPr>
  </w:style>
  <w:style w:type="paragraph" w:styleId="BalloonText">
    <w:name w:val="Balloon Text"/>
    <w:basedOn w:val="Normal"/>
    <w:semiHidden/>
    <w:rsid w:val="00E6294C"/>
    <w:rPr>
      <w:rFonts w:ascii="Tahoma" w:hAnsi="Tahoma" w:cs="Tahoma"/>
      <w:sz w:val="16"/>
      <w:szCs w:val="16"/>
    </w:rPr>
  </w:style>
  <w:style w:type="character" w:styleId="CommentReference">
    <w:name w:val="annotation reference"/>
    <w:basedOn w:val="DefaultParagraphFont"/>
    <w:semiHidden/>
    <w:rsid w:val="005F4D6D"/>
    <w:rPr>
      <w:sz w:val="16"/>
      <w:szCs w:val="16"/>
    </w:rPr>
  </w:style>
  <w:style w:type="paragraph" w:styleId="CommentText">
    <w:name w:val="annotation text"/>
    <w:basedOn w:val="Normal"/>
    <w:semiHidden/>
    <w:rsid w:val="005F4D6D"/>
    <w:rPr>
      <w:sz w:val="20"/>
    </w:rPr>
  </w:style>
  <w:style w:type="paragraph" w:styleId="CommentSubject">
    <w:name w:val="annotation subject"/>
    <w:basedOn w:val="CommentText"/>
    <w:next w:val="CommentText"/>
    <w:semiHidden/>
    <w:rsid w:val="005F4D6D"/>
    <w:rPr>
      <w:b/>
      <w:bCs/>
    </w:rPr>
  </w:style>
  <w:style w:type="table" w:styleId="TableGrid">
    <w:name w:val="Table Grid"/>
    <w:basedOn w:val="TableNormal"/>
    <w:rsid w:val="003D6E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6" ma:contentTypeDescription="" ma:contentTypeScope="" ma:versionID="6226c9104cd468f68c64bd1d91c121e5">
  <xsd:schema xmlns:xsd="http://www.w3.org/2001/XMLSchema" xmlns:p="http://schemas.microsoft.com/office/2006/metadata/properties" xmlns:ns2="289388A8-1A67-4FDA-90AF-C1B905177F43" targetNamespace="http://schemas.microsoft.com/office/2006/metadata/properties" ma:root="true" ma:fieldsID="903491534f5784990718a2da0d4c6e39"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B5C61-13B0-4164-B69B-992F823B3BD3}">
  <ds:schemaRefs>
    <ds:schemaRef ds:uri="http://schemas.microsoft.com/office/2006/metadata/longProperties"/>
  </ds:schemaRefs>
</ds:datastoreItem>
</file>

<file path=customXml/itemProps2.xml><?xml version="1.0" encoding="utf-8"?>
<ds:datastoreItem xmlns:ds="http://schemas.openxmlformats.org/officeDocument/2006/customXml" ds:itemID="{330D0E81-E964-402D-979C-C9FB115CDAC8}">
  <ds:schemaRefs>
    <ds:schemaRef ds:uri="http://schemas.microsoft.com/sharepoint/v3/contenttype/forms"/>
  </ds:schemaRefs>
</ds:datastoreItem>
</file>

<file path=customXml/itemProps3.xml><?xml version="1.0" encoding="utf-8"?>
<ds:datastoreItem xmlns:ds="http://schemas.openxmlformats.org/officeDocument/2006/customXml" ds:itemID="{D1A5F589-479E-4C63-9B79-2DE7A1E63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C438D20-9A32-48F3-A9A0-880E742E076F}">
  <ds:schemaRefs>
    <ds:schemaRef ds:uri="http://schemas.microsoft.com/office/2006/metadata/properties"/>
    <ds:schemaRef ds:uri="289388A8-1A67-4FDA-90AF-C1B905177F43"/>
  </ds:schemaRefs>
</ds:datastoreItem>
</file>

<file path=customXml/itemProps5.xml><?xml version="1.0" encoding="utf-8"?>
<ds:datastoreItem xmlns:ds="http://schemas.openxmlformats.org/officeDocument/2006/customXml" ds:itemID="{71C7312B-9A38-47EA-B808-9B3E25C81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1950</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83i Supplemental Supporting Stmt Only</vt:lpstr>
    </vt:vector>
  </TitlesOfParts>
  <Company>Transportation Security Administration</Company>
  <LinksUpToDate>false</LinksUpToDate>
  <CharactersWithSpaces>13045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83i Supplemental Supporting Stmt Only</dc:title>
  <dc:subject/>
  <dc:creator>Marisa Mullen</dc:creator>
  <cp:keywords/>
  <dc:description/>
  <cp:lastModifiedBy>tyrone.huff</cp:lastModifiedBy>
  <cp:revision>2</cp:revision>
  <cp:lastPrinted>2008-11-20T18:07:00Z</cp:lastPrinted>
  <dcterms:created xsi:type="dcterms:W3CDTF">2012-08-02T16:40:00Z</dcterms:created>
  <dcterms:modified xsi:type="dcterms:W3CDTF">2012-08-02T16:40:00Z</dcterms:modified>
  <cp:contentType>Project Workspace 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Project Workspace Document</vt:lpwstr>
  </property>
  <property fmtid="{D5CDD505-2E9C-101B-9397-08002B2CF9AE}" pid="3" name="_NewReviewCycle">
    <vt:lpwstr/>
  </property>
  <property fmtid="{D5CDD505-2E9C-101B-9397-08002B2CF9AE}" pid="4" name="ContentTypeId">
    <vt:lpwstr>0x0101008A98423170284BEEB635F43C3CF4E98B0055A33D45012F5B44A8F72BCBDA90AA12</vt:lpwstr>
  </property>
</Properties>
</file>