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DA6833" w:rsidRDefault="00BD0143" w:rsidP="00BD0143">
      <w:pPr>
        <w:jc w:val="center"/>
        <w:rPr>
          <w:b/>
          <w:sz w:val="32"/>
          <w:szCs w:val="32"/>
        </w:rPr>
      </w:pPr>
      <w:r w:rsidRPr="00DA6833">
        <w:rPr>
          <w:b/>
          <w:sz w:val="32"/>
          <w:szCs w:val="32"/>
        </w:rPr>
        <w:t xml:space="preserve">Narrative of </w:t>
      </w:r>
      <w:r w:rsidR="005B3D80" w:rsidRPr="00DA6833">
        <w:rPr>
          <w:b/>
          <w:sz w:val="32"/>
          <w:szCs w:val="32"/>
        </w:rPr>
        <w:t>Change</w:t>
      </w:r>
      <w:r w:rsidRPr="00DA6833">
        <w:rPr>
          <w:b/>
          <w:sz w:val="32"/>
          <w:szCs w:val="32"/>
        </w:rPr>
        <w:t>s</w:t>
      </w:r>
    </w:p>
    <w:p w:rsidR="00BD0143" w:rsidRPr="00DA6833" w:rsidRDefault="00BD0143" w:rsidP="00BD0143">
      <w:pPr>
        <w:jc w:val="center"/>
      </w:pPr>
      <w:r w:rsidRPr="00DA6833">
        <w:rPr>
          <w:i/>
          <w:sz w:val="20"/>
          <w:szCs w:val="20"/>
        </w:rPr>
        <w:t xml:space="preserve">The purpose of the Narrative of </w:t>
      </w:r>
      <w:r w:rsidR="009619C6" w:rsidRPr="00DA6833">
        <w:rPr>
          <w:i/>
          <w:sz w:val="20"/>
          <w:szCs w:val="20"/>
        </w:rPr>
        <w:t>Changes</w:t>
      </w:r>
      <w:r w:rsidRPr="00DA6833">
        <w:rPr>
          <w:i/>
          <w:sz w:val="20"/>
          <w:szCs w:val="20"/>
        </w:rPr>
        <w:t xml:space="preserve"> is to clearly indicate </w:t>
      </w:r>
      <w:r w:rsidR="009619C6" w:rsidRPr="00DA6833">
        <w:rPr>
          <w:i/>
          <w:sz w:val="20"/>
          <w:szCs w:val="20"/>
        </w:rPr>
        <w:t>changes</w:t>
      </w:r>
      <w:r w:rsidRPr="00DA6833">
        <w:rPr>
          <w:i/>
          <w:sz w:val="20"/>
          <w:szCs w:val="20"/>
        </w:rPr>
        <w:t xml:space="preserve"> to a collection since the previous approval</w:t>
      </w:r>
      <w:r w:rsidR="004B5421" w:rsidRPr="00DA6833">
        <w:rPr>
          <w:i/>
          <w:sz w:val="20"/>
          <w:szCs w:val="20"/>
        </w:rPr>
        <w:t>.</w:t>
      </w:r>
    </w:p>
    <w:p w:rsidR="00BD0143" w:rsidRPr="00DA6833" w:rsidRDefault="00BD0143" w:rsidP="00BD0143">
      <w:pPr>
        <w:jc w:val="center"/>
      </w:pPr>
    </w:p>
    <w:p w:rsidR="003C782D" w:rsidRPr="00DA6833" w:rsidRDefault="007A3831" w:rsidP="00BD2051">
      <w:r w:rsidRPr="00DA6833">
        <w:t>Collection Title:</w:t>
      </w:r>
      <w:r w:rsidR="00643FAF" w:rsidRPr="00DA6833">
        <w:t xml:space="preserve"> </w:t>
      </w:r>
      <w:r w:rsidR="00BD2051" w:rsidRPr="00DA6833">
        <w:t>Public Assistance Customer Satisfaction Survey</w:t>
      </w:r>
    </w:p>
    <w:p w:rsidR="00BD0143" w:rsidRPr="00DA6833" w:rsidRDefault="00BD0143" w:rsidP="00BD2051">
      <w:r w:rsidRPr="00DA6833">
        <w:t xml:space="preserve">OMB </w:t>
      </w:r>
      <w:r w:rsidR="004B5421" w:rsidRPr="00DA6833">
        <w:t>Control No.: 1660-</w:t>
      </w:r>
      <w:r w:rsidR="00BD2051" w:rsidRPr="00DA6833">
        <w:t>0107</w:t>
      </w:r>
    </w:p>
    <w:p w:rsidR="00BD0143" w:rsidRPr="00DA6833" w:rsidRDefault="00BD0143" w:rsidP="00BD2051">
      <w:r w:rsidRPr="00DA6833">
        <w:t xml:space="preserve">Current Expiration Date: </w:t>
      </w:r>
      <w:r w:rsidR="00BD2051" w:rsidRPr="00DA6833">
        <w:t>March 31, 2012</w:t>
      </w:r>
    </w:p>
    <w:p w:rsidR="00BD2051" w:rsidRPr="00DA6833" w:rsidRDefault="00BD2051" w:rsidP="00BD2051">
      <w:pPr>
        <w:tabs>
          <w:tab w:val="left" w:pos="-720"/>
        </w:tabs>
        <w:suppressAutoHyphens/>
      </w:pPr>
      <w:r w:rsidRPr="00DA6833">
        <w:t>Collection Instruments:</w:t>
      </w:r>
    </w:p>
    <w:p w:rsidR="00BD2051" w:rsidRPr="00DA6833" w:rsidRDefault="00BD2051" w:rsidP="00BD2051">
      <w:pPr>
        <w:tabs>
          <w:tab w:val="left" w:pos="-720"/>
        </w:tabs>
        <w:suppressAutoHyphens/>
      </w:pPr>
      <w:r w:rsidRPr="00DA6833">
        <w:rPr>
          <w:b/>
        </w:rPr>
        <w:t>FEMA Form 519-0-1 T</w:t>
      </w:r>
      <w:r w:rsidRPr="00DA6833">
        <w:t xml:space="preserve"> Public Assistance Customer Satisfaction Survey (Telephone)</w:t>
      </w:r>
    </w:p>
    <w:p w:rsidR="00BD2051" w:rsidRPr="00DA6833" w:rsidRDefault="00BD2051" w:rsidP="00BD2051">
      <w:pPr>
        <w:tabs>
          <w:tab w:val="left" w:pos="-720"/>
        </w:tabs>
        <w:suppressAutoHyphens/>
      </w:pPr>
      <w:r w:rsidRPr="00DA6833">
        <w:rPr>
          <w:b/>
        </w:rPr>
        <w:t xml:space="preserve">FEMA Form 519-0-1 INT </w:t>
      </w:r>
      <w:r w:rsidRPr="00DA6833">
        <w:t>Public Assistance Customer Satisfaction Survey (Web)</w:t>
      </w:r>
    </w:p>
    <w:p w:rsidR="00BD2051" w:rsidRPr="00DA6833" w:rsidRDefault="00BD2051" w:rsidP="00BD2051">
      <w:pPr>
        <w:tabs>
          <w:tab w:val="left" w:pos="-720"/>
        </w:tabs>
        <w:suppressAutoHyphens/>
        <w:rPr>
          <w:sz w:val="28"/>
          <w:szCs w:val="28"/>
        </w:rPr>
      </w:pPr>
      <w:r w:rsidRPr="00DA6833">
        <w:rPr>
          <w:b/>
        </w:rPr>
        <w:t>FEMA Form 519-0-1</w:t>
      </w:r>
      <w:r w:rsidRPr="00DA6833">
        <w:t xml:space="preserve"> Public Assistance Customer Satisfaction Survey (Fill-able)</w:t>
      </w:r>
      <w:r w:rsidRPr="00DA6833">
        <w:rPr>
          <w:sz w:val="28"/>
          <w:szCs w:val="28"/>
        </w:rPr>
        <w:t xml:space="preserve"> </w:t>
      </w:r>
    </w:p>
    <w:p w:rsidR="00B11616" w:rsidRPr="00DA6833" w:rsidRDefault="00B11616" w:rsidP="00B11616">
      <w:pPr>
        <w:tabs>
          <w:tab w:val="left" w:pos="-720"/>
        </w:tabs>
        <w:suppressAutoHyphens/>
      </w:pPr>
    </w:p>
    <w:p w:rsidR="00BD0143" w:rsidRPr="00DA6833" w:rsidRDefault="00BD0143" w:rsidP="00BD0143">
      <w:r w:rsidRPr="00DA6833">
        <w:t>The following are</w:t>
      </w:r>
      <w:r w:rsidR="004E547A" w:rsidRPr="00DA6833">
        <w:t xml:space="preserve"> the</w:t>
      </w:r>
      <w:r w:rsidRPr="00DA6833">
        <w:t xml:space="preserve"> </w:t>
      </w:r>
      <w:r w:rsidR="009619C6" w:rsidRPr="00DA6833">
        <w:t>changes</w:t>
      </w:r>
      <w:r w:rsidRPr="00DA6833">
        <w:t xml:space="preserve"> to the collection</w:t>
      </w:r>
      <w:r w:rsidR="00BD2051" w:rsidRPr="00DA6833">
        <w:t xml:space="preserve"> based on the Change Request approved on June 17, 2011</w:t>
      </w:r>
      <w:r w:rsidRPr="00DA6833">
        <w:t>:</w:t>
      </w:r>
    </w:p>
    <w:p w:rsidR="00BD2051" w:rsidRPr="00DA6833" w:rsidRDefault="00BD2051" w:rsidP="00BD0143"/>
    <w:p w:rsidR="00BD2051" w:rsidRPr="00DA6833" w:rsidRDefault="00BD2051" w:rsidP="00BD2051">
      <w:r w:rsidRPr="00DA6833">
        <w:t>Collection Title: Public Assistance Program Customer Satisfaction Survey, removing the word Program from the Title</w:t>
      </w:r>
      <w:r w:rsidR="00A47DF3" w:rsidRPr="00DA6833">
        <w:t>. New Title: Public Assistance Customer Satisfaction Survey</w:t>
      </w:r>
    </w:p>
    <w:p w:rsidR="004B5421" w:rsidRPr="00DA6833" w:rsidRDefault="004B5421" w:rsidP="00287348"/>
    <w:p w:rsidR="004A5C77" w:rsidRPr="00DA6833" w:rsidRDefault="00A402B9">
      <w:r w:rsidRPr="00DA6833">
        <w:t>Supporting Statement:</w:t>
      </w:r>
    </w:p>
    <w:p w:rsidR="00A402B9" w:rsidRPr="00DA6833" w:rsidRDefault="00A402B9"/>
    <w:p w:rsidR="00643FAF" w:rsidRPr="00DA6833" w:rsidRDefault="00643FAF">
      <w:r w:rsidRPr="00DA6833">
        <w:t>Question 8a updated to reflect FRN publication information</w:t>
      </w:r>
      <w:r w:rsidR="004B5421" w:rsidRPr="00DA6833">
        <w:t>.</w:t>
      </w:r>
    </w:p>
    <w:p w:rsidR="007A3831" w:rsidRPr="00DA6833" w:rsidRDefault="00C557B8">
      <w:r w:rsidRPr="00DA6833">
        <w:t>Question 10 – Updated to reflect current privacy information</w:t>
      </w:r>
      <w:r w:rsidR="004B5421" w:rsidRPr="00DA6833">
        <w:t>.</w:t>
      </w:r>
    </w:p>
    <w:p w:rsidR="00A402B9" w:rsidRPr="00DA6833" w:rsidRDefault="00A402B9">
      <w:r w:rsidRPr="00DA6833">
        <w:t xml:space="preserve">Question 12 – </w:t>
      </w:r>
      <w:r w:rsidR="00643FAF" w:rsidRPr="00DA6833">
        <w:t xml:space="preserve">Number of </w:t>
      </w:r>
      <w:r w:rsidR="007A3831" w:rsidRPr="00DA6833">
        <w:t xml:space="preserve">respondents </w:t>
      </w:r>
      <w:r w:rsidR="004B5421" w:rsidRPr="00DA6833">
        <w:t>increased</w:t>
      </w:r>
      <w:r w:rsidR="00643FAF" w:rsidRPr="00DA6833">
        <w:t>.</w:t>
      </w:r>
      <w:r w:rsidRPr="00DA6833">
        <w:t xml:space="preserve">  See Question 15 for explanation.</w:t>
      </w:r>
    </w:p>
    <w:p w:rsidR="001927FD" w:rsidRPr="00DA6833" w:rsidRDefault="001927FD"/>
    <w:p w:rsidR="00643FAF" w:rsidRPr="00DA6833" w:rsidRDefault="00643FAF">
      <w:r w:rsidRPr="00DA6833">
        <w:t>Question 14 costs to the Federal Government updated</w:t>
      </w:r>
      <w:r w:rsidR="004B5421" w:rsidRPr="00DA6833">
        <w:t>.</w:t>
      </w:r>
    </w:p>
    <w:p w:rsidR="00643FAF" w:rsidRPr="00DA6833" w:rsidRDefault="00643FAF"/>
    <w:p w:rsidR="00315CC4" w:rsidRPr="00DA6833" w:rsidRDefault="001927FD" w:rsidP="00800B00">
      <w:r w:rsidRPr="00DA6833">
        <w:t xml:space="preserve">Question 15 – </w:t>
      </w:r>
      <w:r w:rsidR="00643FAF" w:rsidRPr="00DA6833">
        <w:t xml:space="preserve">Burden hour </w:t>
      </w:r>
      <w:r w:rsidR="004B5421" w:rsidRPr="00DA6833">
        <w:t xml:space="preserve">increase </w:t>
      </w:r>
      <w:r w:rsidR="00643FAF" w:rsidRPr="00DA6833">
        <w:t>explained</w:t>
      </w:r>
      <w:r w:rsidR="00AC7E1C" w:rsidRPr="00DA6833">
        <w:t xml:space="preserve"> and Business or other for-profit </w:t>
      </w:r>
      <w:r w:rsidR="00DA6833">
        <w:t>t</w:t>
      </w:r>
      <w:r w:rsidR="00AC7E1C" w:rsidRPr="00DA6833">
        <w:t xml:space="preserve">ype of </w:t>
      </w:r>
      <w:r w:rsidR="00DA6833">
        <w:t>r</w:t>
      </w:r>
      <w:r w:rsidR="00AC7E1C" w:rsidRPr="00DA6833">
        <w:t>espondents has been deleted.</w:t>
      </w:r>
    </w:p>
    <w:p w:rsidR="004B5421" w:rsidRPr="00DA6833" w:rsidRDefault="004B5421" w:rsidP="00800B00"/>
    <w:p w:rsidR="004B5421" w:rsidRPr="00DA6833" w:rsidRDefault="00DA6833" w:rsidP="004B5421">
      <w:pPr>
        <w:rPr>
          <w:b/>
          <w:bCs/>
          <w:i/>
        </w:rPr>
      </w:pPr>
      <w:r w:rsidRPr="00DA6833">
        <w:rPr>
          <w:b/>
          <w:bCs/>
          <w:i/>
          <w:u w:val="single"/>
        </w:rPr>
        <w:t xml:space="preserve">See </w:t>
      </w:r>
      <w:r w:rsidR="004B5421" w:rsidRPr="00DA6833">
        <w:rPr>
          <w:b/>
          <w:bCs/>
          <w:i/>
          <w:u w:val="single"/>
        </w:rPr>
        <w:t>chart from 15 as highlighted below</w:t>
      </w:r>
      <w:r w:rsidR="004B5421" w:rsidRPr="00DA6833">
        <w:rPr>
          <w:b/>
          <w:bCs/>
          <w:i/>
        </w:rPr>
        <w:t>.</w:t>
      </w:r>
    </w:p>
    <w:p w:rsidR="001B5711" w:rsidRDefault="001B5711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7A04DC" w:rsidRDefault="007A04DC" w:rsidP="007A04DC">
      <w:pPr>
        <w:pStyle w:val="NormalWeb"/>
        <w:rPr>
          <w:i/>
          <w:sz w:val="20"/>
          <w:szCs w:val="20"/>
        </w:rPr>
      </w:pPr>
    </w:p>
    <w:tbl>
      <w:tblPr>
        <w:tblW w:w="10360" w:type="dxa"/>
        <w:jc w:val="center"/>
        <w:tblInd w:w="93" w:type="dxa"/>
        <w:tblLook w:val="0000"/>
      </w:tblPr>
      <w:tblGrid>
        <w:gridCol w:w="2334"/>
        <w:gridCol w:w="1238"/>
        <w:gridCol w:w="983"/>
        <w:gridCol w:w="1258"/>
        <w:gridCol w:w="1397"/>
        <w:gridCol w:w="1417"/>
        <w:gridCol w:w="1733"/>
      </w:tblGrid>
      <w:tr w:rsidR="007A04DC" w:rsidTr="004D59FC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br w:type="page"/>
            </w:r>
            <w:r w:rsidRPr="00920B7F">
              <w:rPr>
                <w:b/>
                <w:bCs/>
                <w:sz w:val="20"/>
                <w:szCs w:val="20"/>
              </w:rPr>
              <w:t>Itemized Changes in Annual Burden Hours</w:t>
            </w:r>
          </w:p>
        </w:tc>
      </w:tr>
      <w:tr w:rsidR="007A04DC" w:rsidTr="004D59FC">
        <w:trPr>
          <w:trHeight w:val="1455"/>
          <w:jc w:val="center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920B7F">
              <w:rPr>
                <w:b/>
                <w:bCs/>
                <w:sz w:val="20"/>
                <w:szCs w:val="20"/>
              </w:rPr>
              <w:t>Data collection Activity/Instrument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920B7F">
              <w:rPr>
                <w:b/>
                <w:bCs/>
                <w:sz w:val="20"/>
                <w:szCs w:val="20"/>
              </w:rPr>
              <w:t xml:space="preserve">Program Change (hours currently on OMB Inventory)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920B7F">
              <w:rPr>
                <w:b/>
                <w:bCs/>
                <w:sz w:val="20"/>
                <w:szCs w:val="20"/>
              </w:rPr>
              <w:t xml:space="preserve">Program Change (New)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920B7F">
              <w:rPr>
                <w:b/>
                <w:bCs/>
                <w:sz w:val="20"/>
                <w:szCs w:val="20"/>
              </w:rPr>
              <w:t>Difference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920B7F">
              <w:rPr>
                <w:b/>
                <w:bCs/>
                <w:sz w:val="20"/>
                <w:szCs w:val="20"/>
              </w:rPr>
              <w:t>Adjustment (hours currently on OMB Inventory)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C87BA3">
              <w:rPr>
                <w:b/>
                <w:bCs/>
                <w:sz w:val="20"/>
                <w:szCs w:val="20"/>
              </w:rPr>
              <w:t xml:space="preserve">Adjustment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920B7F">
              <w:rPr>
                <w:b/>
                <w:bCs/>
                <w:sz w:val="20"/>
                <w:szCs w:val="20"/>
              </w:rPr>
              <w:t>Difference</w:t>
            </w:r>
          </w:p>
        </w:tc>
      </w:tr>
      <w:tr w:rsidR="007A04DC" w:rsidTr="004D59FC">
        <w:trPr>
          <w:trHeight w:val="270"/>
          <w:jc w:val="center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 w:rsidRPr="00920B7F">
              <w:rPr>
                <w:sz w:val="20"/>
                <w:szCs w:val="20"/>
              </w:rPr>
              <w:t>Public Assistance Customer Satisfaction Survey (Telephone),</w:t>
            </w:r>
          </w:p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 w:rsidRPr="00920B7F">
              <w:rPr>
                <w:sz w:val="20"/>
                <w:szCs w:val="20"/>
              </w:rPr>
              <w:t>FEMA Form 519-0-1T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1,575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+874.8</w:t>
            </w:r>
          </w:p>
        </w:tc>
      </w:tr>
      <w:tr w:rsidR="007A04DC" w:rsidTr="004D59FC">
        <w:trPr>
          <w:trHeight w:val="270"/>
          <w:jc w:val="center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tabs>
                <w:tab w:val="left" w:pos="-720"/>
              </w:tabs>
              <w:suppressAutoHyphens/>
              <w:jc w:val="center"/>
              <w:rPr>
                <w:sz w:val="20"/>
                <w:szCs w:val="20"/>
              </w:rPr>
            </w:pPr>
            <w:r w:rsidRPr="00920B7F">
              <w:rPr>
                <w:sz w:val="20"/>
                <w:szCs w:val="20"/>
              </w:rPr>
              <w:t>Public Assistance Customer Satisfaction Survey (Web),</w:t>
            </w:r>
          </w:p>
          <w:p w:rsidR="007A04DC" w:rsidRPr="00920B7F" w:rsidRDefault="007A04DC" w:rsidP="004D59FC">
            <w:pPr>
              <w:tabs>
                <w:tab w:val="left" w:pos="-720"/>
              </w:tabs>
              <w:suppressAutoHyphens/>
              <w:jc w:val="center"/>
              <w:rPr>
                <w:sz w:val="20"/>
                <w:szCs w:val="20"/>
              </w:rPr>
            </w:pPr>
            <w:r w:rsidRPr="00920B7F">
              <w:rPr>
                <w:sz w:val="20"/>
                <w:szCs w:val="20"/>
              </w:rPr>
              <w:t>FEMA Form 519-0-1INT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+256.2</w:t>
            </w:r>
          </w:p>
        </w:tc>
      </w:tr>
      <w:tr w:rsidR="007A04DC" w:rsidTr="004D59FC">
        <w:trPr>
          <w:trHeight w:val="270"/>
          <w:jc w:val="center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tabs>
                <w:tab w:val="left" w:pos="-720"/>
              </w:tabs>
              <w:suppressAutoHyphens/>
              <w:jc w:val="center"/>
              <w:rPr>
                <w:sz w:val="20"/>
                <w:szCs w:val="20"/>
              </w:rPr>
            </w:pPr>
            <w:r w:rsidRPr="00920B7F">
              <w:rPr>
                <w:sz w:val="20"/>
                <w:szCs w:val="20"/>
              </w:rPr>
              <w:lastRenderedPageBreak/>
              <w:t>Public Assistance Customer Satisfaction Survey,</w:t>
            </w:r>
          </w:p>
          <w:p w:rsidR="007A04DC" w:rsidRPr="00920B7F" w:rsidRDefault="007A04DC" w:rsidP="004D59FC">
            <w:pPr>
              <w:tabs>
                <w:tab w:val="left" w:pos="-720"/>
              </w:tabs>
              <w:suppressAutoHyphens/>
              <w:jc w:val="center"/>
              <w:rPr>
                <w:sz w:val="20"/>
                <w:szCs w:val="20"/>
              </w:rPr>
            </w:pPr>
            <w:r w:rsidRPr="00920B7F">
              <w:rPr>
                <w:sz w:val="20"/>
                <w:szCs w:val="20"/>
              </w:rPr>
              <w:t>FEMA Form 519-0-1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+860</w:t>
            </w:r>
          </w:p>
        </w:tc>
      </w:tr>
      <w:tr w:rsidR="007A04DC" w:rsidTr="004D59FC">
        <w:trPr>
          <w:trHeight w:val="270"/>
          <w:jc w:val="center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 w:rsidRPr="00920B7F">
              <w:rPr>
                <w:sz w:val="20"/>
                <w:szCs w:val="20"/>
              </w:rPr>
              <w:t>Public Assistance Focus Groups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4DC" w:rsidRPr="00920B7F" w:rsidRDefault="007A04DC" w:rsidP="004D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-216</w:t>
            </w:r>
          </w:p>
        </w:tc>
      </w:tr>
      <w:tr w:rsidR="007A04DC" w:rsidTr="004D59FC">
        <w:trPr>
          <w:trHeight w:val="270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920B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 w:rsidRPr="00920B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1,920</w:t>
            </w:r>
            <w:r w:rsidRPr="00920B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3,695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7A04DC" w:rsidRPr="00920B7F" w:rsidRDefault="007A04DC" w:rsidP="004D59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+1,775</w:t>
            </w:r>
          </w:p>
        </w:tc>
      </w:tr>
    </w:tbl>
    <w:p w:rsidR="007A04DC" w:rsidRDefault="007A04DC" w:rsidP="007A04DC">
      <w:pPr>
        <w:rPr>
          <w:b/>
          <w:bCs/>
          <w:i/>
        </w:rPr>
      </w:pPr>
    </w:p>
    <w:p w:rsidR="007A04DC" w:rsidRDefault="007A04DC" w:rsidP="007A04DC">
      <w:pPr>
        <w:rPr>
          <w:b/>
          <w:bCs/>
          <w:i/>
        </w:rPr>
      </w:pPr>
      <w:r w:rsidRPr="00DA72BA">
        <w:rPr>
          <w:b/>
          <w:bCs/>
          <w:i/>
        </w:rPr>
        <w:t>Explain</w:t>
      </w:r>
      <w:r w:rsidRPr="009C209C">
        <w:rPr>
          <w:b/>
          <w:bCs/>
          <w:i/>
        </w:rPr>
        <w:t>:</w:t>
      </w:r>
      <w:r>
        <w:rPr>
          <w:b/>
          <w:bCs/>
          <w:i/>
        </w:rPr>
        <w:t xml:space="preserve"> Total Increase to Burden Hours = +1,775 </w:t>
      </w:r>
    </w:p>
    <w:p w:rsidR="007A04DC" w:rsidRDefault="007A04DC" w:rsidP="007A04DC">
      <w:pPr>
        <w:rPr>
          <w:bCs/>
        </w:rPr>
      </w:pPr>
    </w:p>
    <w:p w:rsidR="007A04DC" w:rsidRDefault="007A04DC" w:rsidP="007A04DC">
      <w:pPr>
        <w:rPr>
          <w:color w:val="000000"/>
        </w:rPr>
      </w:pPr>
      <w:r>
        <w:rPr>
          <w:bCs/>
        </w:rPr>
        <w:t>The a</w:t>
      </w:r>
      <w:r w:rsidRPr="009C209C">
        <w:rPr>
          <w:color w:val="000000"/>
        </w:rPr>
        <w:t xml:space="preserve">djustment </w:t>
      </w:r>
      <w:r>
        <w:rPr>
          <w:color w:val="000000"/>
        </w:rPr>
        <w:t xml:space="preserve">for the three survey formats and focus groups is based on the following:   </w:t>
      </w:r>
    </w:p>
    <w:p w:rsidR="007A04DC" w:rsidRDefault="007A04DC" w:rsidP="007A04DC">
      <w:pPr>
        <w:rPr>
          <w:bCs/>
        </w:rPr>
      </w:pPr>
    </w:p>
    <w:p w:rsidR="007A04DC" w:rsidRPr="00106A00" w:rsidRDefault="007A04DC" w:rsidP="007A04DC">
      <w:pPr>
        <w:rPr>
          <w:bCs/>
        </w:rPr>
      </w:pPr>
      <w:r w:rsidRPr="00106A00">
        <w:rPr>
          <w:bCs/>
        </w:rPr>
        <w:t>For FEMA Forms 519-0-1T, 519-0-1INT and 519-0-1, there is an increase in the annual hour burden for each form due to an increa</w:t>
      </w:r>
      <w:r>
        <w:rPr>
          <w:bCs/>
        </w:rPr>
        <w:t>s</w:t>
      </w:r>
      <w:r w:rsidRPr="00106A00">
        <w:rPr>
          <w:bCs/>
        </w:rPr>
        <w:t>e in the nu</w:t>
      </w:r>
      <w:r>
        <w:rPr>
          <w:bCs/>
        </w:rPr>
        <w:t>mber and size of declared disas</w:t>
      </w:r>
      <w:r w:rsidRPr="00106A00">
        <w:rPr>
          <w:bCs/>
        </w:rPr>
        <w:t>ters.</w:t>
      </w:r>
      <w:r>
        <w:rPr>
          <w:bCs/>
        </w:rPr>
        <w:t xml:space="preserve"> Prior collection activity was based on 3,280 respondents per year with a total of 984 annual burden hours.  </w:t>
      </w:r>
      <w:r>
        <w:rPr>
          <w:color w:val="000000"/>
        </w:rPr>
        <w:t>For this collection, a three year average was used based on the total number of applicants who received assistance in disasters declared during FY2008-FY2010; or 10,500 respondents per year. The total burden hour for this collection is 2,975.</w:t>
      </w:r>
    </w:p>
    <w:p w:rsidR="007A04DC" w:rsidRPr="00106A00" w:rsidRDefault="007A04DC" w:rsidP="007A04DC">
      <w:pPr>
        <w:rPr>
          <w:bCs/>
        </w:rPr>
      </w:pPr>
    </w:p>
    <w:p w:rsidR="007A04DC" w:rsidRPr="00106A00" w:rsidRDefault="007A04DC" w:rsidP="007A04DC">
      <w:pPr>
        <w:rPr>
          <w:bCs/>
        </w:rPr>
      </w:pPr>
      <w:r w:rsidRPr="00106A00">
        <w:rPr>
          <w:bCs/>
        </w:rPr>
        <w:t>For FEMA Form 519-0-1T, the cur</w:t>
      </w:r>
      <w:r>
        <w:rPr>
          <w:bCs/>
        </w:rPr>
        <w:t>rent annual hour burden is 700.2 hours;</w:t>
      </w:r>
      <w:r w:rsidRPr="00106A00">
        <w:rPr>
          <w:bCs/>
        </w:rPr>
        <w:t xml:space="preserve"> the new </w:t>
      </w:r>
      <w:proofErr w:type="gramStart"/>
      <w:r w:rsidRPr="00106A00">
        <w:rPr>
          <w:bCs/>
        </w:rPr>
        <w:t>hours</w:t>
      </w:r>
      <w:proofErr w:type="gramEnd"/>
      <w:r w:rsidRPr="00106A00">
        <w:rPr>
          <w:bCs/>
        </w:rPr>
        <w:t xml:space="preserve"> burden is 1,575 for an increase of 874.8 annual hour burden.</w:t>
      </w:r>
    </w:p>
    <w:p w:rsidR="007A04DC" w:rsidRPr="00106A00" w:rsidRDefault="007A04DC" w:rsidP="007A04DC">
      <w:pPr>
        <w:rPr>
          <w:bCs/>
        </w:rPr>
      </w:pPr>
    </w:p>
    <w:p w:rsidR="007A04DC" w:rsidRPr="00106A00" w:rsidRDefault="007A04DC" w:rsidP="007A04DC">
      <w:pPr>
        <w:rPr>
          <w:bCs/>
        </w:rPr>
      </w:pPr>
      <w:r w:rsidRPr="00106A00">
        <w:rPr>
          <w:bCs/>
        </w:rPr>
        <w:t>For FEMA Form 519-0-1INT, the current an</w:t>
      </w:r>
      <w:r>
        <w:rPr>
          <w:bCs/>
        </w:rPr>
        <w:t>nual hour burden is 268.8 hours;</w:t>
      </w:r>
      <w:r w:rsidRPr="00106A00">
        <w:rPr>
          <w:bCs/>
        </w:rPr>
        <w:t xml:space="preserve"> the new </w:t>
      </w:r>
      <w:proofErr w:type="gramStart"/>
      <w:r w:rsidRPr="00106A00">
        <w:rPr>
          <w:bCs/>
        </w:rPr>
        <w:t>hours</w:t>
      </w:r>
      <w:proofErr w:type="gramEnd"/>
      <w:r w:rsidRPr="00106A00">
        <w:rPr>
          <w:bCs/>
        </w:rPr>
        <w:t xml:space="preserve"> burden is 525 for an increase of 256.2 annual hour burden.</w:t>
      </w:r>
    </w:p>
    <w:p w:rsidR="007A04DC" w:rsidRPr="00106A00" w:rsidRDefault="007A04DC" w:rsidP="007A04DC">
      <w:pPr>
        <w:rPr>
          <w:bCs/>
        </w:rPr>
      </w:pPr>
    </w:p>
    <w:p w:rsidR="007A04DC" w:rsidRDefault="007A04DC" w:rsidP="007A04DC">
      <w:pPr>
        <w:rPr>
          <w:bCs/>
        </w:rPr>
      </w:pPr>
      <w:r w:rsidRPr="00106A00">
        <w:rPr>
          <w:bCs/>
        </w:rPr>
        <w:t>For FEMA Form 519-0-1, the current</w:t>
      </w:r>
      <w:r>
        <w:rPr>
          <w:bCs/>
        </w:rPr>
        <w:t xml:space="preserve"> annual hour burden is 15 hours;</w:t>
      </w:r>
      <w:r w:rsidRPr="00106A00">
        <w:rPr>
          <w:bCs/>
        </w:rPr>
        <w:t xml:space="preserve"> the new </w:t>
      </w:r>
      <w:proofErr w:type="gramStart"/>
      <w:r w:rsidRPr="00106A00">
        <w:rPr>
          <w:bCs/>
        </w:rPr>
        <w:t>hours</w:t>
      </w:r>
      <w:proofErr w:type="gramEnd"/>
      <w:r w:rsidRPr="00106A00">
        <w:rPr>
          <w:bCs/>
        </w:rPr>
        <w:t xml:space="preserve"> burden is 875 for a</w:t>
      </w:r>
      <w:r>
        <w:rPr>
          <w:bCs/>
        </w:rPr>
        <w:t>n</w:t>
      </w:r>
      <w:r w:rsidRPr="00106A00">
        <w:rPr>
          <w:bCs/>
        </w:rPr>
        <w:t xml:space="preserve"> increase of 860 annual hour burden.</w:t>
      </w:r>
    </w:p>
    <w:p w:rsidR="007A04DC" w:rsidRDefault="007A04DC" w:rsidP="007A04DC">
      <w:pPr>
        <w:rPr>
          <w:bCs/>
        </w:rPr>
      </w:pPr>
    </w:p>
    <w:p w:rsidR="007A04DC" w:rsidRPr="00106A00" w:rsidRDefault="007A04DC" w:rsidP="007A04DC">
      <w:pPr>
        <w:rPr>
          <w:bCs/>
        </w:rPr>
      </w:pPr>
      <w:r w:rsidRPr="00106A00">
        <w:rPr>
          <w:bCs/>
        </w:rPr>
        <w:t xml:space="preserve">For </w:t>
      </w:r>
      <w:r>
        <w:rPr>
          <w:bCs/>
        </w:rPr>
        <w:t>Focus Groups</w:t>
      </w:r>
      <w:r w:rsidRPr="00106A00">
        <w:rPr>
          <w:bCs/>
        </w:rPr>
        <w:t xml:space="preserve">, </w:t>
      </w:r>
      <w:r>
        <w:rPr>
          <w:bCs/>
        </w:rPr>
        <w:t xml:space="preserve">there is a decrease in the annual burden hours. Prior collection activity estimated 80 participants with an individual burden hour of 11.7 hours. </w:t>
      </w:r>
      <w:r>
        <w:rPr>
          <w:color w:val="000000"/>
        </w:rPr>
        <w:t>This collection is based on holding 4 sessions in 5 of the 10 FEMA Regions each year with 12 participants at each session for a total of 240 participants who will spend approximately 3 hours each in travel and in attending the session; or a total of 720 burden hours. T</w:t>
      </w:r>
      <w:r w:rsidRPr="00106A00">
        <w:rPr>
          <w:bCs/>
        </w:rPr>
        <w:t xml:space="preserve">he current annual hour burden is </w:t>
      </w:r>
      <w:r>
        <w:rPr>
          <w:bCs/>
        </w:rPr>
        <w:t>936 hours;</w:t>
      </w:r>
      <w:r w:rsidRPr="00106A00">
        <w:rPr>
          <w:bCs/>
        </w:rPr>
        <w:t xml:space="preserve"> the new hours</w:t>
      </w:r>
      <w:r>
        <w:rPr>
          <w:bCs/>
        </w:rPr>
        <w:t>’</w:t>
      </w:r>
      <w:r w:rsidRPr="00106A00">
        <w:rPr>
          <w:bCs/>
        </w:rPr>
        <w:t xml:space="preserve"> burden is </w:t>
      </w:r>
      <w:r>
        <w:rPr>
          <w:bCs/>
        </w:rPr>
        <w:t>720</w:t>
      </w:r>
      <w:r w:rsidRPr="00106A00">
        <w:rPr>
          <w:bCs/>
        </w:rPr>
        <w:t xml:space="preserve"> for a </w:t>
      </w:r>
      <w:r>
        <w:rPr>
          <w:bCs/>
        </w:rPr>
        <w:t>de</w:t>
      </w:r>
      <w:r w:rsidRPr="00106A00">
        <w:rPr>
          <w:bCs/>
        </w:rPr>
        <w:t xml:space="preserve">crease of </w:t>
      </w:r>
      <w:r>
        <w:rPr>
          <w:bCs/>
        </w:rPr>
        <w:t>216</w:t>
      </w:r>
      <w:r w:rsidRPr="00106A00">
        <w:rPr>
          <w:bCs/>
        </w:rPr>
        <w:t xml:space="preserve"> annual hour burden.</w:t>
      </w:r>
    </w:p>
    <w:p w:rsidR="007A04DC" w:rsidRDefault="007A04DC" w:rsidP="007A04DC">
      <w:pPr>
        <w:rPr>
          <w:color w:val="000000"/>
        </w:rPr>
      </w:pPr>
    </w:p>
    <w:p w:rsidR="007A04DC" w:rsidRDefault="007A04DC" w:rsidP="007A04DC">
      <w:pPr>
        <w:rPr>
          <w:color w:val="000000"/>
        </w:rPr>
      </w:pPr>
      <w:r>
        <w:rPr>
          <w:color w:val="000000"/>
        </w:rPr>
        <w:t>Total Burden Hours: 2,975 for surveys + 720 for focus groups = 3,695 less 1,920 prior collection = 1,775 increase.</w:t>
      </w:r>
    </w:p>
    <w:p w:rsidR="004B5421" w:rsidRDefault="004B5421" w:rsidP="00B11616">
      <w:pPr>
        <w:rPr>
          <w:b/>
          <w:bCs/>
          <w:i/>
          <w:color w:val="FF0000"/>
        </w:rPr>
      </w:pPr>
    </w:p>
    <w:p w:rsidR="004A5C77" w:rsidRDefault="004A5C77" w:rsidP="00B11616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041661"/>
    <w:rsid w:val="00140471"/>
    <w:rsid w:val="00156242"/>
    <w:rsid w:val="001567A0"/>
    <w:rsid w:val="001927FD"/>
    <w:rsid w:val="001B5711"/>
    <w:rsid w:val="001D32C1"/>
    <w:rsid w:val="00201F20"/>
    <w:rsid w:val="002714DF"/>
    <w:rsid w:val="002872E1"/>
    <w:rsid w:val="00287348"/>
    <w:rsid w:val="00315CC4"/>
    <w:rsid w:val="00325DE8"/>
    <w:rsid w:val="00356095"/>
    <w:rsid w:val="003811EC"/>
    <w:rsid w:val="003C2412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D50D8"/>
    <w:rsid w:val="005E02C4"/>
    <w:rsid w:val="006044E3"/>
    <w:rsid w:val="00630C5B"/>
    <w:rsid w:val="00643FAF"/>
    <w:rsid w:val="006630A0"/>
    <w:rsid w:val="0066759F"/>
    <w:rsid w:val="006801CF"/>
    <w:rsid w:val="006D3D01"/>
    <w:rsid w:val="006F6F42"/>
    <w:rsid w:val="0073270B"/>
    <w:rsid w:val="00734551"/>
    <w:rsid w:val="00796354"/>
    <w:rsid w:val="007A04DC"/>
    <w:rsid w:val="007A3831"/>
    <w:rsid w:val="007E4127"/>
    <w:rsid w:val="00800B00"/>
    <w:rsid w:val="0081654B"/>
    <w:rsid w:val="00841715"/>
    <w:rsid w:val="008744E8"/>
    <w:rsid w:val="00892B78"/>
    <w:rsid w:val="008A484A"/>
    <w:rsid w:val="008E5764"/>
    <w:rsid w:val="0090707B"/>
    <w:rsid w:val="009619C6"/>
    <w:rsid w:val="009718B8"/>
    <w:rsid w:val="009718EB"/>
    <w:rsid w:val="00A402B9"/>
    <w:rsid w:val="00A47DF3"/>
    <w:rsid w:val="00AB2766"/>
    <w:rsid w:val="00AC7E1C"/>
    <w:rsid w:val="00AE7A98"/>
    <w:rsid w:val="00AF4B16"/>
    <w:rsid w:val="00B06CD5"/>
    <w:rsid w:val="00B11616"/>
    <w:rsid w:val="00B96CCF"/>
    <w:rsid w:val="00BC4A3D"/>
    <w:rsid w:val="00BD0143"/>
    <w:rsid w:val="00BD2051"/>
    <w:rsid w:val="00BF0EB5"/>
    <w:rsid w:val="00BF527D"/>
    <w:rsid w:val="00C2092F"/>
    <w:rsid w:val="00C557B8"/>
    <w:rsid w:val="00C71CD3"/>
    <w:rsid w:val="00CB63A3"/>
    <w:rsid w:val="00D068CF"/>
    <w:rsid w:val="00D13036"/>
    <w:rsid w:val="00D20FD6"/>
    <w:rsid w:val="00D43E73"/>
    <w:rsid w:val="00D7452B"/>
    <w:rsid w:val="00D82232"/>
    <w:rsid w:val="00DA6833"/>
    <w:rsid w:val="00DF4674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96DE5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C181-D81C-4607-A364-FE2D15BD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nbouchet</cp:lastModifiedBy>
  <cp:revision>5</cp:revision>
  <dcterms:created xsi:type="dcterms:W3CDTF">2011-10-18T17:24:00Z</dcterms:created>
  <dcterms:modified xsi:type="dcterms:W3CDTF">2012-01-19T18:42:00Z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