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C1" w:rsidRPr="004D1978" w:rsidRDefault="006A29C1" w:rsidP="004D1978">
      <w:pPr>
        <w:pStyle w:val="Title"/>
        <w:spacing w:after="200"/>
        <w:rPr>
          <w:rFonts w:ascii="Calibri" w:hAnsi="Calibri"/>
          <w:sz w:val="22"/>
          <w:szCs w:val="22"/>
        </w:rPr>
      </w:pPr>
      <w:r w:rsidRPr="004D1978">
        <w:rPr>
          <w:rFonts w:ascii="Calibri" w:hAnsi="Calibri"/>
          <w:sz w:val="22"/>
          <w:szCs w:val="22"/>
        </w:rPr>
        <w:t>SUPPORTING STATEMENT</w:t>
      </w:r>
    </w:p>
    <w:p w:rsidR="006A29C1" w:rsidRPr="004D1978" w:rsidRDefault="006A29C1" w:rsidP="004D1978">
      <w:pPr>
        <w:tabs>
          <w:tab w:val="center" w:pos="4680"/>
        </w:tabs>
        <w:spacing w:after="200"/>
        <w:jc w:val="center"/>
        <w:rPr>
          <w:rFonts w:ascii="Calibri" w:hAnsi="Calibri"/>
          <w:b/>
          <w:sz w:val="22"/>
          <w:szCs w:val="22"/>
        </w:rPr>
      </w:pPr>
      <w:r w:rsidRPr="004D1978">
        <w:rPr>
          <w:rFonts w:ascii="Calibri" w:hAnsi="Calibri"/>
          <w:b/>
          <w:sz w:val="22"/>
          <w:szCs w:val="22"/>
        </w:rPr>
        <w:t>Information Collection for the Federal Family Education Loan Program, Federal Perkins Loan Program, William D. Ford Federal Direct Loan Program, and Teacher Education Assistance for College and Higher Education Grant Program</w:t>
      </w:r>
    </w:p>
    <w:p w:rsidR="006A29C1" w:rsidRPr="004D1978" w:rsidRDefault="006A29C1" w:rsidP="004D1978">
      <w:pPr>
        <w:tabs>
          <w:tab w:val="center" w:pos="4680"/>
        </w:tabs>
        <w:spacing w:after="200"/>
        <w:jc w:val="center"/>
        <w:rPr>
          <w:rFonts w:ascii="Calibri" w:hAnsi="Calibri"/>
          <w:sz w:val="22"/>
          <w:szCs w:val="22"/>
        </w:rPr>
      </w:pPr>
      <w:r w:rsidRPr="004D1978">
        <w:rPr>
          <w:rFonts w:ascii="Calibri" w:hAnsi="Calibri"/>
          <w:b/>
          <w:sz w:val="22"/>
          <w:szCs w:val="22"/>
        </w:rPr>
        <w:t>Discharge Application: Total and Permanent Disability (OMB No. 1845-0065)</w:t>
      </w:r>
    </w:p>
    <w:p w:rsidR="006A29C1" w:rsidRPr="004D1978" w:rsidRDefault="006A29C1" w:rsidP="004D1978">
      <w:pPr>
        <w:spacing w:after="200"/>
        <w:rPr>
          <w:rFonts w:ascii="Calibri" w:hAnsi="Calibri"/>
          <w:sz w:val="22"/>
          <w:szCs w:val="22"/>
        </w:rPr>
      </w:pPr>
      <w:r w:rsidRPr="004D1978">
        <w:rPr>
          <w:rFonts w:ascii="Calibri" w:hAnsi="Calibri"/>
          <w:b/>
          <w:sz w:val="22"/>
          <w:szCs w:val="22"/>
        </w:rPr>
        <w:t>A.  Justification</w:t>
      </w:r>
    </w:p>
    <w:p w:rsidR="004D1978" w:rsidRPr="004D1978" w:rsidRDefault="004D1978" w:rsidP="005671AD">
      <w:pPr>
        <w:spacing w:after="200"/>
        <w:rPr>
          <w:rFonts w:ascii="Calibri" w:hAnsi="Calibri" w:cs="Calibri"/>
          <w:sz w:val="22"/>
          <w:szCs w:val="22"/>
        </w:rPr>
      </w:pPr>
      <w:r w:rsidRPr="004D1978">
        <w:rPr>
          <w:rFonts w:ascii="Calibri" w:hAnsi="Calibri" w:cs="Calibri"/>
          <w:b/>
          <w:sz w:val="22"/>
          <w:szCs w:val="22"/>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A29C1" w:rsidRPr="004D1978" w:rsidRDefault="006A29C1" w:rsidP="005671AD">
      <w:pPr>
        <w:spacing w:after="200"/>
        <w:rPr>
          <w:rFonts w:ascii="Calibri" w:hAnsi="Calibri"/>
          <w:sz w:val="22"/>
          <w:szCs w:val="22"/>
        </w:rPr>
      </w:pPr>
      <w:r w:rsidRPr="004D1978">
        <w:rPr>
          <w:rFonts w:ascii="Calibri" w:hAnsi="Calibri"/>
          <w:sz w:val="22"/>
          <w:szCs w:val="22"/>
        </w:rPr>
        <w:t>The Higher Education Act of 1965, as amended (HEA), established the Federal Perkins (Perkins) Loan Program, the Federal Family Education Loan (FFEL) Program and the William D. Ford Federal Direct Loan (Direct Loan) Program under Title IV, Parts B, D, and E.  Section 437(a) of the HEA authorizes the discharge of a borrower’s obligation to repay his or her FFEL Program loan(s) if the borrowe</w:t>
      </w:r>
      <w:r w:rsidR="005671AD">
        <w:rPr>
          <w:rFonts w:ascii="Calibri" w:hAnsi="Calibri"/>
          <w:sz w:val="22"/>
          <w:szCs w:val="22"/>
        </w:rPr>
        <w:t>r is</w:t>
      </w:r>
      <w:r w:rsidR="005671AD" w:rsidRPr="005671AD">
        <w:rPr>
          <w:rFonts w:ascii="Calibri" w:hAnsi="Calibri"/>
          <w:sz w:val="22"/>
          <w:szCs w:val="22"/>
        </w:rPr>
        <w:t xml:space="preserve"> unable to engage in any substantial gainful activity by reason of any medically d</w:t>
      </w:r>
      <w:r w:rsidR="005671AD" w:rsidRPr="005671AD">
        <w:rPr>
          <w:rFonts w:ascii="Calibri" w:hAnsi="Calibri"/>
          <w:sz w:val="22"/>
          <w:szCs w:val="22"/>
        </w:rPr>
        <w:t>e</w:t>
      </w:r>
      <w:r w:rsidR="005671AD" w:rsidRPr="005671AD">
        <w:rPr>
          <w:rFonts w:ascii="Calibri" w:hAnsi="Calibri"/>
          <w:sz w:val="22"/>
          <w:szCs w:val="22"/>
        </w:rPr>
        <w:t>terminable physical or mental impairment that can be expected to result in death, has lasted for a continuous p</w:t>
      </w:r>
      <w:r w:rsidR="005671AD" w:rsidRPr="005671AD">
        <w:rPr>
          <w:rFonts w:ascii="Calibri" w:hAnsi="Calibri"/>
          <w:sz w:val="22"/>
          <w:szCs w:val="22"/>
        </w:rPr>
        <w:t>e</w:t>
      </w:r>
      <w:r w:rsidR="005671AD" w:rsidRPr="005671AD">
        <w:rPr>
          <w:rFonts w:ascii="Calibri" w:hAnsi="Calibri"/>
          <w:sz w:val="22"/>
          <w:szCs w:val="22"/>
        </w:rPr>
        <w:t>riod of not less than 60 months, or can be expected to last for a continuous period of not less than 60 months</w:t>
      </w:r>
      <w:r w:rsidR="005671AD">
        <w:rPr>
          <w:rFonts w:ascii="Calibri" w:hAnsi="Calibri"/>
          <w:sz w:val="22"/>
          <w:szCs w:val="22"/>
        </w:rPr>
        <w:t xml:space="preserve">.  </w:t>
      </w:r>
      <w:r w:rsidRPr="004D1978">
        <w:rPr>
          <w:rFonts w:ascii="Calibri" w:hAnsi="Calibri"/>
          <w:sz w:val="22"/>
          <w:szCs w:val="22"/>
        </w:rPr>
        <w:t>Section 455(a)(1) of the HEA extends this loan discharge provision to Direct Loan Program borrowers, and section 464(c)(1)(F) of the HEA authorizes total and permanent disability loan discharges in the Perkins Loan Program</w:t>
      </w:r>
      <w:r w:rsidR="005671AD">
        <w:rPr>
          <w:rFonts w:ascii="Calibri" w:hAnsi="Calibri"/>
          <w:sz w:val="22"/>
          <w:szCs w:val="22"/>
        </w:rPr>
        <w:t>, in accordance with the same eligibility requirements described in section 437(a) of the HEA</w:t>
      </w:r>
      <w:r w:rsidRPr="004D1978">
        <w:rPr>
          <w:rFonts w:ascii="Calibri" w:hAnsi="Calibri"/>
          <w:sz w:val="22"/>
          <w:szCs w:val="22"/>
        </w:rPr>
        <w:t xml:space="preserve">.  </w:t>
      </w:r>
    </w:p>
    <w:p w:rsidR="006A29C1" w:rsidRPr="004D1978" w:rsidRDefault="006A29C1" w:rsidP="004D1978">
      <w:pPr>
        <w:spacing w:after="200"/>
        <w:rPr>
          <w:rFonts w:ascii="Calibri" w:hAnsi="Calibri"/>
          <w:sz w:val="22"/>
          <w:szCs w:val="22"/>
        </w:rPr>
      </w:pPr>
      <w:r w:rsidRPr="004D1978">
        <w:rPr>
          <w:rFonts w:ascii="Calibri" w:hAnsi="Calibri"/>
          <w:sz w:val="22"/>
          <w:szCs w:val="22"/>
        </w:rPr>
        <w:t>The regulations related to total and permanent disability loan discharges are contained in 34 CFR 682.402(c) for the FFEL Program, in 34 CFR 685.212 and 34 CFR 685.213 for the Direct Loan Program, and in 34 CFR 674.61(b) for the Perkins Loan Program.  These regulations require borrowers who seek disability discharges of their FFEL, Direct Loan, or Perkins loans to provide their loan holders with certain information in writing.  The Discharge Application: Total and Permanent Disability (TPD Discharge Application) is the means by which a borrower who seeks a total and permanent disability loan disc</w:t>
      </w:r>
      <w:r w:rsidR="005834BE">
        <w:rPr>
          <w:rFonts w:ascii="Calibri" w:hAnsi="Calibri"/>
          <w:sz w:val="22"/>
          <w:szCs w:val="22"/>
        </w:rPr>
        <w:t>harge provides this information, which is required to determine the borrower’s eligibility for loan discharge.</w:t>
      </w:r>
      <w:r w:rsidR="009F2B41">
        <w:rPr>
          <w:rFonts w:ascii="Calibri" w:hAnsi="Calibri"/>
          <w:sz w:val="22"/>
          <w:szCs w:val="22"/>
        </w:rPr>
        <w:t xml:space="preserve">  Although borrowers initially submit the completed discharge application to their individual loan holders, the final determination of discharge eligibility is made by the U.S. Department of Education (the Department).  </w:t>
      </w:r>
    </w:p>
    <w:p w:rsidR="006A29C1" w:rsidRPr="004D1978" w:rsidRDefault="005671AD" w:rsidP="004D1978">
      <w:pPr>
        <w:spacing w:after="200"/>
        <w:rPr>
          <w:rFonts w:ascii="Calibri" w:hAnsi="Calibri"/>
          <w:sz w:val="22"/>
          <w:szCs w:val="22"/>
        </w:rPr>
      </w:pPr>
      <w:r>
        <w:rPr>
          <w:rFonts w:ascii="Calibri" w:hAnsi="Calibri"/>
          <w:sz w:val="22"/>
          <w:szCs w:val="22"/>
        </w:rPr>
        <w:t>Final</w:t>
      </w:r>
      <w:r w:rsidR="006A29C1" w:rsidRPr="004D1978">
        <w:rPr>
          <w:rFonts w:ascii="Calibri" w:hAnsi="Calibri"/>
          <w:sz w:val="22"/>
          <w:szCs w:val="22"/>
        </w:rPr>
        <w:t xml:space="preserve"> regulations published on </w:t>
      </w:r>
      <w:r w:rsidR="00ED186D">
        <w:rPr>
          <w:rFonts w:ascii="Calibri" w:hAnsi="Calibri"/>
          <w:sz w:val="22"/>
          <w:szCs w:val="22"/>
        </w:rPr>
        <w:t>June 23, 2008 (73 FR 35472</w:t>
      </w:r>
      <w:r w:rsidR="006A29C1" w:rsidRPr="004D1978">
        <w:rPr>
          <w:rFonts w:ascii="Calibri" w:hAnsi="Calibri"/>
          <w:sz w:val="22"/>
          <w:szCs w:val="22"/>
        </w:rPr>
        <w:t>) for the Teacher Education Assistance for College and Higher Education (TEACH) Grant Program establish</w:t>
      </w:r>
      <w:r w:rsidR="00ED186D">
        <w:rPr>
          <w:rFonts w:ascii="Calibri" w:hAnsi="Calibri"/>
          <w:sz w:val="22"/>
          <w:szCs w:val="22"/>
        </w:rPr>
        <w:t>ed</w:t>
      </w:r>
      <w:r w:rsidR="006A29C1" w:rsidRPr="004D1978">
        <w:rPr>
          <w:rFonts w:ascii="Calibri" w:hAnsi="Calibri"/>
          <w:sz w:val="22"/>
          <w:szCs w:val="22"/>
        </w:rPr>
        <w:t xml:space="preserve"> regulations for the TEACH Gr</w:t>
      </w:r>
      <w:r w:rsidR="009F2B41">
        <w:rPr>
          <w:rFonts w:ascii="Calibri" w:hAnsi="Calibri"/>
          <w:sz w:val="22"/>
          <w:szCs w:val="22"/>
        </w:rPr>
        <w:t>ant P</w:t>
      </w:r>
      <w:r w:rsidR="006A29C1" w:rsidRPr="004D1978">
        <w:rPr>
          <w:rFonts w:ascii="Calibri" w:hAnsi="Calibri"/>
          <w:sz w:val="22"/>
          <w:szCs w:val="22"/>
        </w:rPr>
        <w:t>rogram in 34 CFR 686.  In accordance with 34 CFR 686.42</w:t>
      </w:r>
      <w:r w:rsidR="00ED186D">
        <w:rPr>
          <w:rFonts w:ascii="Calibri" w:hAnsi="Calibri"/>
          <w:sz w:val="22"/>
          <w:szCs w:val="22"/>
        </w:rPr>
        <w:t>(b)</w:t>
      </w:r>
      <w:r w:rsidR="006A29C1" w:rsidRPr="004D1978">
        <w:rPr>
          <w:rFonts w:ascii="Calibri" w:hAnsi="Calibri"/>
          <w:sz w:val="22"/>
          <w:szCs w:val="22"/>
        </w:rPr>
        <w:t xml:space="preserve">, a TEACH Grant recipient’s teaching service obligation is discharged if the recipient is totally and permanent disabled in accordance with the </w:t>
      </w:r>
      <w:r w:rsidR="00ED186D">
        <w:rPr>
          <w:rFonts w:ascii="Calibri" w:hAnsi="Calibri"/>
          <w:sz w:val="22"/>
          <w:szCs w:val="22"/>
        </w:rPr>
        <w:t xml:space="preserve">same </w:t>
      </w:r>
      <w:r w:rsidR="006A29C1" w:rsidRPr="004D1978">
        <w:rPr>
          <w:rFonts w:ascii="Calibri" w:hAnsi="Calibri"/>
          <w:sz w:val="22"/>
          <w:szCs w:val="22"/>
        </w:rPr>
        <w:t xml:space="preserve">definition </w:t>
      </w:r>
      <w:r w:rsidR="00ED186D">
        <w:rPr>
          <w:rFonts w:ascii="Calibri" w:hAnsi="Calibri"/>
          <w:sz w:val="22"/>
          <w:szCs w:val="22"/>
        </w:rPr>
        <w:t>that applies to borrowers in the FFEL, Direct Loan, and Perkins Loan programs</w:t>
      </w:r>
      <w:r w:rsidR="005834BE">
        <w:rPr>
          <w:rFonts w:ascii="Calibri" w:hAnsi="Calibri"/>
          <w:sz w:val="22"/>
          <w:szCs w:val="22"/>
        </w:rPr>
        <w:t xml:space="preserve">, and if </w:t>
      </w:r>
      <w:r w:rsidR="006A29C1" w:rsidRPr="004D1978">
        <w:rPr>
          <w:rFonts w:ascii="Calibri" w:hAnsi="Calibri"/>
          <w:sz w:val="22"/>
          <w:szCs w:val="22"/>
        </w:rPr>
        <w:t xml:space="preserve">the recipient satisfies the eligibility requirements for a total and permanent disability discharge in 34 CFR 685.213.  A totally and permanently disabled TEACH Grant recipient </w:t>
      </w:r>
      <w:r w:rsidR="005834BE">
        <w:rPr>
          <w:rFonts w:ascii="Calibri" w:hAnsi="Calibri"/>
          <w:sz w:val="22"/>
          <w:szCs w:val="22"/>
        </w:rPr>
        <w:t xml:space="preserve">applies </w:t>
      </w:r>
      <w:r w:rsidR="006A29C1" w:rsidRPr="004D1978">
        <w:rPr>
          <w:rFonts w:ascii="Calibri" w:hAnsi="Calibri"/>
          <w:sz w:val="22"/>
          <w:szCs w:val="22"/>
        </w:rPr>
        <w:t xml:space="preserve">for a discharge of his or her TEACH Grant service obligation by submitting a completed TPD Discharge </w:t>
      </w:r>
      <w:r w:rsidR="005834BE">
        <w:rPr>
          <w:rFonts w:ascii="Calibri" w:hAnsi="Calibri"/>
          <w:sz w:val="22"/>
          <w:szCs w:val="22"/>
        </w:rPr>
        <w:t xml:space="preserve">Application to the Department. </w:t>
      </w:r>
    </w:p>
    <w:p w:rsidR="006A29C1" w:rsidRPr="004D1978" w:rsidRDefault="005834BE" w:rsidP="004D1978">
      <w:pPr>
        <w:spacing w:after="200"/>
        <w:rPr>
          <w:rFonts w:ascii="Calibri" w:hAnsi="Calibri"/>
          <w:sz w:val="22"/>
          <w:szCs w:val="22"/>
        </w:rPr>
      </w:pPr>
      <w:r>
        <w:rPr>
          <w:rFonts w:ascii="Calibri" w:hAnsi="Calibri"/>
          <w:sz w:val="22"/>
          <w:szCs w:val="22"/>
        </w:rPr>
        <w:t>The Department is requesting a</w:t>
      </w:r>
      <w:r w:rsidR="006A29C1" w:rsidRPr="004D1978">
        <w:rPr>
          <w:rFonts w:ascii="Calibri" w:hAnsi="Calibri"/>
          <w:sz w:val="22"/>
          <w:szCs w:val="22"/>
        </w:rPr>
        <w:t xml:space="preserve"> revision of the currently approved collection.  We are </w:t>
      </w:r>
      <w:r>
        <w:rPr>
          <w:rFonts w:ascii="Calibri" w:hAnsi="Calibri"/>
          <w:sz w:val="22"/>
          <w:szCs w:val="22"/>
        </w:rPr>
        <w:t xml:space="preserve">making only one minor change to the currently approved form.  Specifically, we are removing language that requires individuals who are submitting discharge applications to more than one entity (for example, borrowers </w:t>
      </w:r>
      <w:r>
        <w:rPr>
          <w:rFonts w:ascii="Calibri" w:hAnsi="Calibri"/>
          <w:sz w:val="22"/>
          <w:szCs w:val="22"/>
        </w:rPr>
        <w:lastRenderedPageBreak/>
        <w:t xml:space="preserve">with multiple loan holders) to provide an original signature on each discharge application.  This reflects a recent policy change that eliminated the requirement for an original signature from the discharge applicant on each discharge form that the applicant submits.  </w:t>
      </w:r>
      <w:r w:rsidR="009F2B41">
        <w:rPr>
          <w:rFonts w:ascii="Calibri" w:hAnsi="Calibri"/>
          <w:sz w:val="22"/>
          <w:szCs w:val="22"/>
        </w:rPr>
        <w:t xml:space="preserve">Photocopies of the original signed discharge application.  There are no other changes to the currently approved collection.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2.  Indicate how, by whom, and for what purpose the information is to be used.  Except for a new collection, indicate the actual use the agency has made of the information received from the current collection.</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The information collected on this form has been used by loan holders and the Department to determine whether a borrower </w:t>
      </w:r>
      <w:r w:rsidR="009F2B41">
        <w:rPr>
          <w:rFonts w:ascii="Calibri" w:hAnsi="Calibri"/>
          <w:sz w:val="22"/>
          <w:szCs w:val="22"/>
        </w:rPr>
        <w:t xml:space="preserve">or TEACH Grant recipient </w:t>
      </w:r>
      <w:r w:rsidRPr="004D1978">
        <w:rPr>
          <w:rFonts w:ascii="Calibri" w:hAnsi="Calibri"/>
          <w:sz w:val="22"/>
          <w:szCs w:val="22"/>
        </w:rPr>
        <w:t>meets the eligibility criteria for a total and permanent disability discharge of his or her loan(s)</w:t>
      </w:r>
      <w:r w:rsidR="009F2B41">
        <w:rPr>
          <w:rFonts w:ascii="Calibri" w:hAnsi="Calibri"/>
          <w:sz w:val="22"/>
          <w:szCs w:val="22"/>
        </w:rPr>
        <w:t xml:space="preserve"> or TEACH Grant service obligation</w:t>
      </w:r>
      <w:r w:rsidRPr="004D1978">
        <w:rPr>
          <w:rFonts w:ascii="Calibri" w:hAnsi="Calibri"/>
          <w:sz w:val="22"/>
          <w:szCs w:val="22"/>
        </w:rPr>
        <w:t xml:space="preserve">, and it will continue to be used for this purpose.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This collection does not involve the use of technological processes such as electronic submission of responses.  The TPD Discharge Application requires a signature from both the discharge applicant and the physician who certifies the applicant’s disability.  In addition, the physician must provide additional information (sometimes including attached documentation) related to the applicant’s disabling condition.  The United States Postal Service, or some other mail delivery service, provides the only currently feasible means for loan holders to send the disability discharge application to borrowers, and for borrowers and TEACH Grant recipients to return the completed discharge application and any supporting documents.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4.  Describe efforts to identify duplication.  Show specifically why any similar information already available cannot be used or modified for use for the purposes described in Item 2 above</w:t>
      </w:r>
    </w:p>
    <w:p w:rsidR="006A29C1" w:rsidRPr="004D1978" w:rsidRDefault="006A29C1" w:rsidP="004D1978">
      <w:pPr>
        <w:spacing w:after="200"/>
        <w:rPr>
          <w:rFonts w:ascii="Calibri" w:hAnsi="Calibri"/>
          <w:sz w:val="22"/>
          <w:szCs w:val="22"/>
        </w:rPr>
      </w:pPr>
      <w:r w:rsidRPr="004D1978">
        <w:rPr>
          <w:rFonts w:ascii="Calibri" w:hAnsi="Calibri"/>
          <w:sz w:val="22"/>
          <w:szCs w:val="22"/>
        </w:rPr>
        <w:t>A review of procedures indicates that current requirements avoid duplication.  There is no information available from other sources that can be used to determine a borrower’s or TEACH Grant recipient’s eligibility for a total and permanent disability discharge.</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5.  If the collection of information impacts small businesses or other small entities (Item 8b of IC Data Part 2), describe any methods used to minimize burden.</w:t>
      </w:r>
    </w:p>
    <w:p w:rsidR="006A29C1" w:rsidRPr="004D1978" w:rsidRDefault="006A29C1" w:rsidP="004D1978">
      <w:pPr>
        <w:spacing w:after="200"/>
        <w:rPr>
          <w:rFonts w:ascii="Calibri" w:hAnsi="Calibri"/>
          <w:sz w:val="22"/>
          <w:szCs w:val="22"/>
        </w:rPr>
      </w:pPr>
      <w:r w:rsidRPr="004D1978">
        <w:rPr>
          <w:rFonts w:ascii="Calibri" w:hAnsi="Calibri"/>
          <w:sz w:val="22"/>
          <w:szCs w:val="22"/>
        </w:rPr>
        <w:t>No small businesses are affected by this information collection.</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6.  Describe the consequences to Federal program or policy activities if the collection is not conducted or is conducted less frequently, as well as any technical or legal obstacles to reducing burden.</w:t>
      </w:r>
    </w:p>
    <w:p w:rsidR="006A29C1" w:rsidRPr="004D1978" w:rsidRDefault="006A29C1" w:rsidP="004D1978">
      <w:pPr>
        <w:spacing w:after="200"/>
        <w:rPr>
          <w:rFonts w:ascii="Calibri" w:hAnsi="Calibri"/>
          <w:sz w:val="22"/>
          <w:szCs w:val="22"/>
        </w:rPr>
      </w:pPr>
      <w:r w:rsidRPr="004D1978">
        <w:rPr>
          <w:rFonts w:ascii="Calibri" w:hAnsi="Calibri"/>
          <w:sz w:val="22"/>
          <w:szCs w:val="22"/>
        </w:rPr>
        <w:t>If a borrower or TEACH Grant recipient did not complete a TPD Discharge Application, the Department would not have the information needed to determine whether the individual meets the eligibility requirements for a total and permanent disability discharge.  A borrower or TEACH Grant recipient will be required to complete a discharge application only one time.</w:t>
      </w:r>
    </w:p>
    <w:p w:rsidR="004D1978" w:rsidRPr="008E578F" w:rsidRDefault="004D1978" w:rsidP="004D1978">
      <w:pPr>
        <w:tabs>
          <w:tab w:val="left" w:pos="-720"/>
        </w:tabs>
        <w:suppressAutoHyphens/>
        <w:spacing w:after="200"/>
        <w:rPr>
          <w:rFonts w:ascii="Calibri" w:hAnsi="Calibri" w:cs="Calibri"/>
          <w:b/>
          <w:sz w:val="22"/>
          <w:szCs w:val="22"/>
        </w:rPr>
      </w:pPr>
      <w:r w:rsidRPr="008E578F">
        <w:rPr>
          <w:rFonts w:ascii="Calibri" w:hAnsi="Calibri" w:cs="Calibri"/>
          <w:b/>
          <w:sz w:val="22"/>
          <w:szCs w:val="22"/>
        </w:rPr>
        <w:t xml:space="preserve">7.  Explain any special circumstances that would cause an information collection to be conducted in a </w:t>
      </w:r>
      <w:r w:rsidRPr="008E578F">
        <w:rPr>
          <w:rFonts w:ascii="Calibri" w:hAnsi="Calibri" w:cs="Calibri"/>
          <w:b/>
          <w:sz w:val="22"/>
          <w:szCs w:val="22"/>
        </w:rPr>
        <w:lastRenderedPageBreak/>
        <w:t>manner:</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R</w:t>
      </w:r>
      <w:r w:rsidRPr="008E578F">
        <w:rPr>
          <w:rFonts w:ascii="Calibri" w:hAnsi="Calibri" w:cs="Calibri"/>
          <w:b/>
          <w:sz w:val="22"/>
          <w:szCs w:val="22"/>
        </w:rPr>
        <w:t>equiring respondents to report information to the agency more often than quarterly;</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R</w:t>
      </w:r>
      <w:r w:rsidRPr="008E578F">
        <w:rPr>
          <w:rFonts w:ascii="Calibri" w:hAnsi="Calibri" w:cs="Calibri"/>
          <w:b/>
          <w:sz w:val="22"/>
          <w:szCs w:val="22"/>
        </w:rPr>
        <w:t>equiring respondents to prepare a written response to a collection of information in fewer than 30 days after receipt of it;</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R</w:t>
      </w:r>
      <w:r w:rsidRPr="008E578F">
        <w:rPr>
          <w:rFonts w:ascii="Calibri" w:hAnsi="Calibri" w:cs="Calibri"/>
          <w:b/>
          <w:sz w:val="22"/>
          <w:szCs w:val="22"/>
        </w:rPr>
        <w:t>equiring respondents to submit more than an original and two copies of any document;</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R</w:t>
      </w:r>
      <w:r w:rsidRPr="008E578F">
        <w:rPr>
          <w:rFonts w:ascii="Calibri" w:hAnsi="Calibri" w:cs="Calibri"/>
          <w:b/>
          <w:sz w:val="22"/>
          <w:szCs w:val="22"/>
        </w:rPr>
        <w:t>equiring respondents to retain records, other than health, medical, government contract, grant-in-aid, or tax records for more than three years;</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I</w:t>
      </w:r>
      <w:r w:rsidRPr="008E578F">
        <w:rPr>
          <w:rFonts w:ascii="Calibri" w:hAnsi="Calibri" w:cs="Calibri"/>
          <w:b/>
          <w:sz w:val="22"/>
          <w:szCs w:val="22"/>
        </w:rPr>
        <w:t>n connection with a statistical survey, that is not designed to produce valid and reliable results than can be generalized to the universe of study;</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R</w:t>
      </w:r>
      <w:r w:rsidRPr="008E578F">
        <w:rPr>
          <w:rFonts w:ascii="Calibri" w:hAnsi="Calibri" w:cs="Calibri"/>
          <w:b/>
          <w:sz w:val="22"/>
          <w:szCs w:val="22"/>
        </w:rPr>
        <w:t>equiring the use of a statistical data classification that has not been reviewed and approved by OMB;</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b/>
          <w:sz w:val="22"/>
          <w:szCs w:val="22"/>
        </w:rPr>
      </w:pPr>
      <w:r>
        <w:rPr>
          <w:rFonts w:ascii="Calibri" w:hAnsi="Calibri" w:cs="Calibri"/>
          <w:b/>
          <w:sz w:val="22"/>
          <w:szCs w:val="22"/>
        </w:rPr>
        <w:t>T</w:t>
      </w:r>
      <w:r w:rsidRPr="008E578F">
        <w:rPr>
          <w:rFonts w:ascii="Calibri" w:hAnsi="Calibri" w:cs="Calibri"/>
          <w:b/>
          <w:sz w:val="22"/>
          <w:szCs w:val="22"/>
        </w:rPr>
        <w: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4D1978" w:rsidRPr="008E578F" w:rsidRDefault="004D1978" w:rsidP="004D1978">
      <w:pPr>
        <w:widowControl/>
        <w:numPr>
          <w:ilvl w:val="0"/>
          <w:numId w:val="5"/>
        </w:numPr>
        <w:tabs>
          <w:tab w:val="left" w:pos="-720"/>
          <w:tab w:val="left" w:pos="1247"/>
        </w:tabs>
        <w:suppressAutoHyphens/>
        <w:spacing w:after="200"/>
        <w:rPr>
          <w:rFonts w:ascii="Calibri" w:hAnsi="Calibri" w:cs="Calibri"/>
          <w:sz w:val="22"/>
          <w:szCs w:val="22"/>
        </w:rPr>
      </w:pPr>
      <w:r>
        <w:rPr>
          <w:rFonts w:ascii="Calibri" w:hAnsi="Calibri" w:cs="Calibri"/>
          <w:b/>
          <w:sz w:val="22"/>
          <w:szCs w:val="22"/>
        </w:rPr>
        <w:t>R</w:t>
      </w:r>
      <w:r w:rsidRPr="008E578F">
        <w:rPr>
          <w:rFonts w:ascii="Calibri" w:hAnsi="Calibri" w:cs="Calibri"/>
          <w:b/>
          <w:sz w:val="22"/>
          <w:szCs w:val="22"/>
        </w:rPr>
        <w:t>equiring respondents to submit proprietary trade secrets, or other confidential information unless the agency can demonstrate that it has instituted procedures to protect the information’s confidentiality to the extent permitted by law.</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The collection of this information will be conducted in a manner that does not involve any of the </w:t>
      </w:r>
      <w:r w:rsidR="00AE20F9">
        <w:rPr>
          <w:rFonts w:ascii="Calibri" w:hAnsi="Calibri"/>
          <w:sz w:val="22"/>
          <w:szCs w:val="22"/>
        </w:rPr>
        <w:t xml:space="preserve">above conditions. </w:t>
      </w:r>
    </w:p>
    <w:p w:rsidR="004D1978" w:rsidRPr="008E578F" w:rsidRDefault="004D1978" w:rsidP="004D1978">
      <w:pPr>
        <w:spacing w:after="200"/>
        <w:rPr>
          <w:rFonts w:ascii="Calibri" w:hAnsi="Calibri" w:cs="Calibri"/>
          <w:b/>
          <w:sz w:val="22"/>
          <w:szCs w:val="22"/>
        </w:rPr>
      </w:pPr>
      <w:r w:rsidRPr="008E578F">
        <w:rPr>
          <w:rFonts w:ascii="Calibri" w:hAnsi="Calibri" w:cs="Calibri"/>
          <w:b/>
          <w:sz w:val="22"/>
          <w:szCs w:val="22"/>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D1978" w:rsidRPr="008E578F" w:rsidRDefault="004D1978" w:rsidP="004D1978">
      <w:pPr>
        <w:tabs>
          <w:tab w:val="left" w:pos="-720"/>
        </w:tabs>
        <w:suppressAutoHyphens/>
        <w:spacing w:after="200"/>
        <w:rPr>
          <w:rStyle w:val="a"/>
          <w:rFonts w:ascii="Calibri" w:hAnsi="Calibri" w:cs="Calibri"/>
          <w:b/>
          <w:sz w:val="22"/>
          <w:szCs w:val="22"/>
        </w:rPr>
      </w:pPr>
      <w:r w:rsidRPr="008E578F">
        <w:rPr>
          <w:rStyle w:val="a"/>
          <w:rFonts w:ascii="Calibri" w:hAnsi="Calibri" w:cs="Calibri"/>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6A29C1" w:rsidRPr="004D1978" w:rsidRDefault="004D1978" w:rsidP="004D1978">
      <w:pPr>
        <w:spacing w:after="200"/>
        <w:rPr>
          <w:rFonts w:ascii="Calibri" w:hAnsi="Calibri"/>
          <w:sz w:val="22"/>
          <w:szCs w:val="22"/>
        </w:rPr>
      </w:pPr>
      <w:r w:rsidRPr="008E578F">
        <w:rPr>
          <w:rStyle w:val="a"/>
          <w:rFonts w:ascii="Calibri" w:hAnsi="Calibri" w:cs="Calibri"/>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C3597" w:rsidRDefault="006A29C1" w:rsidP="004D1978">
      <w:pPr>
        <w:spacing w:after="200"/>
        <w:rPr>
          <w:rFonts w:ascii="Calibri" w:hAnsi="Calibri"/>
          <w:sz w:val="22"/>
          <w:szCs w:val="22"/>
        </w:rPr>
      </w:pPr>
      <w:r w:rsidRPr="004D1978">
        <w:rPr>
          <w:rFonts w:ascii="Calibri" w:hAnsi="Calibri"/>
          <w:sz w:val="22"/>
          <w:szCs w:val="22"/>
        </w:rPr>
        <w:t xml:space="preserve">The Department worked closely with the National Council of Higher Education Loan Programs (NCHELP) in developing the currently approved discharge form.  </w:t>
      </w:r>
      <w:r w:rsidR="00AE20F9">
        <w:rPr>
          <w:rFonts w:ascii="Calibri" w:hAnsi="Calibri"/>
          <w:sz w:val="22"/>
          <w:szCs w:val="22"/>
        </w:rPr>
        <w:t>In addition, the currently approved form reflects input provided by the public during the two public comment periods of the last clearance of this collection.</w:t>
      </w:r>
      <w:r w:rsidR="005953AB">
        <w:rPr>
          <w:rFonts w:ascii="Calibri" w:hAnsi="Calibri"/>
          <w:sz w:val="22"/>
          <w:szCs w:val="22"/>
        </w:rPr>
        <w:t xml:space="preserve">  </w:t>
      </w:r>
    </w:p>
    <w:p w:rsidR="006A29C1" w:rsidRDefault="001C3597" w:rsidP="004D1978">
      <w:pPr>
        <w:spacing w:after="200"/>
        <w:rPr>
          <w:rFonts w:ascii="Calibri" w:hAnsi="Calibri"/>
          <w:sz w:val="22"/>
          <w:szCs w:val="22"/>
        </w:rPr>
      </w:pPr>
      <w:r>
        <w:rPr>
          <w:rFonts w:ascii="Calibri" w:hAnsi="Calibri"/>
          <w:sz w:val="22"/>
          <w:szCs w:val="22"/>
        </w:rPr>
        <w:t xml:space="preserve">In response to a request for comments during the initial 60-day comment period that was published in </w:t>
      </w:r>
      <w:r>
        <w:rPr>
          <w:rFonts w:ascii="Calibri" w:hAnsi="Calibri"/>
          <w:sz w:val="22"/>
          <w:szCs w:val="22"/>
        </w:rPr>
        <w:lastRenderedPageBreak/>
        <w:t>the Federal Register on September 8, 2011 (76 FR 55654), the Department received comments from the following five commenters: MFY Legal Services; Legal Services NYC; National Consumer Law Center (NCLC); The Institute for College Access &amp; Success (TICAS); and NCHELP. TICAS did not provide separate comments, but endorsed the comments that were submitted by NCLC.</w:t>
      </w:r>
    </w:p>
    <w:p w:rsidR="001C3597" w:rsidRPr="004D1978" w:rsidRDefault="001C3597" w:rsidP="004D1978">
      <w:pPr>
        <w:spacing w:after="200"/>
        <w:rPr>
          <w:rFonts w:ascii="Calibri" w:hAnsi="Calibri"/>
          <w:sz w:val="22"/>
          <w:szCs w:val="22"/>
        </w:rPr>
      </w:pPr>
      <w:r>
        <w:rPr>
          <w:rFonts w:ascii="Calibri" w:hAnsi="Calibri"/>
          <w:sz w:val="22"/>
          <w:szCs w:val="22"/>
        </w:rPr>
        <w:t xml:space="preserve">The Department has made several changes to the Discharge Application: Total and Permanent Disability in response to the comments received during the 60-day comment period. The comments that were received and the Department’s responses to the comments are contained in separate documents included with this submission.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 xml:space="preserve">9.  </w:t>
      </w:r>
      <w:r w:rsidRPr="008E578F">
        <w:rPr>
          <w:rStyle w:val="a"/>
          <w:rFonts w:ascii="Calibri" w:hAnsi="Calibri" w:cs="Calibri"/>
          <w:b/>
          <w:sz w:val="22"/>
          <w:szCs w:val="22"/>
        </w:rPr>
        <w:t>Explain any decision to provide any payment or gift to respondents, other than remuneration of contractors or grantees.</w:t>
      </w:r>
    </w:p>
    <w:p w:rsidR="006A29C1" w:rsidRPr="004D1978" w:rsidRDefault="006A29C1" w:rsidP="004D1978">
      <w:pPr>
        <w:spacing w:after="200"/>
        <w:rPr>
          <w:rFonts w:ascii="Calibri" w:hAnsi="Calibri"/>
          <w:sz w:val="22"/>
          <w:szCs w:val="22"/>
        </w:rPr>
      </w:pPr>
      <w:r w:rsidRPr="004D1978">
        <w:rPr>
          <w:rFonts w:ascii="Calibri" w:hAnsi="Calibri"/>
          <w:sz w:val="22"/>
          <w:szCs w:val="22"/>
        </w:rPr>
        <w:t>No payments or gifts will be provided to respondents.</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10.  Describe any assurance of confidentiality provided to respondents and the basis for the assurance in statute, regulation, or agency policy.</w:t>
      </w:r>
    </w:p>
    <w:p w:rsidR="006A29C1" w:rsidRPr="004D1978" w:rsidRDefault="006A29C1" w:rsidP="004D1978">
      <w:pPr>
        <w:spacing w:after="200"/>
        <w:rPr>
          <w:rFonts w:ascii="Calibri" w:hAnsi="Calibri"/>
          <w:sz w:val="22"/>
          <w:szCs w:val="22"/>
        </w:rPr>
      </w:pPr>
      <w:r w:rsidRPr="004D1978">
        <w:rPr>
          <w:rFonts w:ascii="Calibri" w:hAnsi="Calibri"/>
          <w:sz w:val="22"/>
          <w:szCs w:val="22"/>
        </w:rPr>
        <w:t>The discharge form includes a Privacy Act Notice that (1) informs the discharge applicant of the statutory authority for the information collection, (2) explains that disclosure of the information is voluntary, but is required in order to determine the applicant’s eligibility for a discharge, and (3) identifies the third parties to whom the information may be disclosed, and explains the circumstances under which such disclosures may occur.</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The TPD Discharge Application requires the physician who completes the physician’s certification section to provide information about the applicant’s disabling condition.  This information may be considered sensitive, but it is needed in order for loan holders and the Department to determine whether a borrower or TEACH Grant recipient meets the </w:t>
      </w:r>
      <w:r w:rsidR="00AE20F9">
        <w:rPr>
          <w:rFonts w:ascii="Calibri" w:hAnsi="Calibri"/>
          <w:sz w:val="22"/>
          <w:szCs w:val="22"/>
        </w:rPr>
        <w:t>statutory</w:t>
      </w:r>
      <w:r w:rsidRPr="004D1978">
        <w:rPr>
          <w:rFonts w:ascii="Calibri" w:hAnsi="Calibri"/>
          <w:sz w:val="22"/>
          <w:szCs w:val="22"/>
        </w:rPr>
        <w:t xml:space="preserve"> definition of totally and permanently disabled.</w:t>
      </w:r>
    </w:p>
    <w:p w:rsidR="004D1978" w:rsidRDefault="004D1978" w:rsidP="004D1978">
      <w:pPr>
        <w:tabs>
          <w:tab w:val="left" w:pos="-720"/>
        </w:tabs>
        <w:suppressAutoHyphens/>
        <w:spacing w:after="200"/>
        <w:rPr>
          <w:rStyle w:val="a"/>
          <w:rFonts w:ascii="Calibri" w:hAnsi="Calibri" w:cs="Calibri"/>
          <w:b/>
          <w:sz w:val="22"/>
          <w:szCs w:val="22"/>
        </w:rPr>
      </w:pPr>
      <w:r w:rsidRPr="008E578F">
        <w:rPr>
          <w:rFonts w:ascii="Calibri" w:hAnsi="Calibri" w:cs="Calibri"/>
          <w:b/>
          <w:sz w:val="22"/>
          <w:szCs w:val="22"/>
        </w:rPr>
        <w:t xml:space="preserve">12.  </w:t>
      </w:r>
      <w:r w:rsidRPr="008E578F">
        <w:rPr>
          <w:rStyle w:val="a"/>
          <w:rFonts w:ascii="Calibri" w:hAnsi="Calibri" w:cs="Calibri"/>
          <w:b/>
          <w:sz w:val="22"/>
          <w:szCs w:val="22"/>
        </w:rPr>
        <w:t>Provide estimates of the hour burden of the collection of information.  The statement should :</w:t>
      </w:r>
    </w:p>
    <w:p w:rsidR="004D1978" w:rsidRPr="008E578F" w:rsidRDefault="004D1978" w:rsidP="004D1978">
      <w:pPr>
        <w:widowControl/>
        <w:numPr>
          <w:ilvl w:val="0"/>
          <w:numId w:val="6"/>
        </w:numPr>
        <w:tabs>
          <w:tab w:val="left" w:pos="-720"/>
          <w:tab w:val="left" w:pos="1247"/>
        </w:tabs>
        <w:suppressAutoHyphens/>
        <w:spacing w:after="200"/>
        <w:rPr>
          <w:rStyle w:val="a"/>
          <w:rFonts w:ascii="Calibri" w:hAnsi="Calibri" w:cs="Calibri"/>
          <w:b/>
          <w:sz w:val="22"/>
          <w:szCs w:val="22"/>
        </w:rPr>
      </w:pPr>
      <w:r w:rsidRPr="008E578F">
        <w:rPr>
          <w:rStyle w:val="a"/>
          <w:rFonts w:ascii="Calibri" w:hAnsi="Calibri" w:cs="Calibri"/>
          <w:b/>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D1978" w:rsidRPr="008E578F" w:rsidRDefault="004D1978" w:rsidP="004D1978">
      <w:pPr>
        <w:widowControl/>
        <w:numPr>
          <w:ilvl w:val="0"/>
          <w:numId w:val="6"/>
        </w:numPr>
        <w:tabs>
          <w:tab w:val="left" w:pos="-720"/>
          <w:tab w:val="left" w:pos="1247"/>
        </w:tabs>
        <w:suppressAutoHyphens/>
        <w:spacing w:after="200"/>
        <w:rPr>
          <w:rStyle w:val="a"/>
          <w:rFonts w:ascii="Calibri" w:hAnsi="Calibri" w:cs="Calibri"/>
          <w:b/>
          <w:sz w:val="22"/>
          <w:szCs w:val="22"/>
        </w:rPr>
      </w:pPr>
      <w:r w:rsidRPr="008E578F">
        <w:rPr>
          <w:rStyle w:val="a"/>
          <w:rFonts w:ascii="Calibri" w:hAnsi="Calibri" w:cs="Calibri"/>
          <w:b/>
          <w:sz w:val="22"/>
          <w:szCs w:val="22"/>
        </w:rPr>
        <w:t>If this request for approval covers more than one form, provide separate hour burden estimates for each form and aggregate the hour burdens in item 16 of IC Data Part 1.</w:t>
      </w:r>
    </w:p>
    <w:p w:rsidR="004D1978" w:rsidRPr="008E578F" w:rsidRDefault="004D1978" w:rsidP="004D1978">
      <w:pPr>
        <w:widowControl/>
        <w:numPr>
          <w:ilvl w:val="0"/>
          <w:numId w:val="6"/>
        </w:numPr>
        <w:tabs>
          <w:tab w:val="left" w:pos="-720"/>
          <w:tab w:val="left" w:pos="1247"/>
        </w:tabs>
        <w:suppressAutoHyphens/>
        <w:spacing w:after="200"/>
        <w:rPr>
          <w:rFonts w:ascii="Calibri" w:hAnsi="Calibri" w:cs="Calibri"/>
          <w:b/>
          <w:sz w:val="22"/>
          <w:szCs w:val="22"/>
        </w:rPr>
      </w:pPr>
      <w:r w:rsidRPr="008E578F">
        <w:rPr>
          <w:rStyle w:val="a"/>
          <w:rFonts w:ascii="Calibri" w:hAnsi="Calibri" w:cs="Calibri"/>
          <w:b/>
          <w:sz w:val="22"/>
          <w:szCs w:val="22"/>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6A29C1" w:rsidRDefault="006A29C1" w:rsidP="004D1978">
      <w:pPr>
        <w:spacing w:after="200"/>
        <w:rPr>
          <w:rFonts w:ascii="Calibri" w:hAnsi="Calibri"/>
          <w:sz w:val="22"/>
          <w:szCs w:val="22"/>
        </w:rPr>
      </w:pPr>
      <w:r w:rsidRPr="004D1978">
        <w:rPr>
          <w:rFonts w:ascii="Calibri" w:hAnsi="Calibri"/>
          <w:sz w:val="22"/>
          <w:szCs w:val="22"/>
        </w:rPr>
        <w:t>The total estimated annual reporting hour burden for this information collection is approximately 15,000 hours.  The burden estimate for this application was calculated as follows:</w:t>
      </w:r>
    </w:p>
    <w:p w:rsidR="0042010B" w:rsidRPr="004D1978" w:rsidRDefault="0042010B" w:rsidP="004D1978">
      <w:pPr>
        <w:spacing w:after="200"/>
        <w:rPr>
          <w:rFonts w:ascii="Calibri" w:hAnsi="Calibri"/>
          <w:sz w:val="22"/>
          <w:szCs w:val="22"/>
        </w:rPr>
      </w:pP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Estimated </w:t>
      </w:r>
      <w:r w:rsidR="00AE20F9">
        <w:rPr>
          <w:rFonts w:ascii="Calibri" w:hAnsi="Calibri"/>
          <w:sz w:val="22"/>
          <w:szCs w:val="22"/>
        </w:rPr>
        <w:t>annual number of respondents:</w:t>
      </w:r>
      <w:r w:rsidR="00AE20F9">
        <w:rPr>
          <w:rFonts w:ascii="Calibri" w:hAnsi="Calibri"/>
          <w:sz w:val="22"/>
          <w:szCs w:val="22"/>
        </w:rPr>
        <w:tab/>
      </w:r>
      <w:r w:rsidR="00AE20F9">
        <w:rPr>
          <w:rFonts w:ascii="Calibri" w:hAnsi="Calibri"/>
          <w:sz w:val="22"/>
          <w:szCs w:val="22"/>
        </w:rPr>
        <w:tab/>
        <w:t xml:space="preserve"> </w:t>
      </w:r>
      <w:r w:rsidRPr="004D1978">
        <w:rPr>
          <w:rFonts w:ascii="Calibri" w:hAnsi="Calibri"/>
          <w:sz w:val="22"/>
          <w:szCs w:val="22"/>
        </w:rPr>
        <w:t>30,000</w:t>
      </w:r>
    </w:p>
    <w:p w:rsidR="006A29C1" w:rsidRPr="004D1978" w:rsidRDefault="006A29C1" w:rsidP="004D1978">
      <w:pPr>
        <w:spacing w:after="200"/>
        <w:rPr>
          <w:rFonts w:ascii="Calibri" w:hAnsi="Calibri"/>
          <w:sz w:val="22"/>
          <w:szCs w:val="22"/>
        </w:rPr>
      </w:pPr>
      <w:r w:rsidRPr="004D1978">
        <w:rPr>
          <w:rFonts w:ascii="Calibri" w:hAnsi="Calibri"/>
          <w:sz w:val="22"/>
          <w:szCs w:val="22"/>
        </w:rPr>
        <w:t>Number of responses per applicant:</w:t>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t>x          1</w:t>
      </w:r>
    </w:p>
    <w:p w:rsidR="006A29C1" w:rsidRPr="004D1978" w:rsidRDefault="006A29C1" w:rsidP="004D1978">
      <w:pPr>
        <w:spacing w:after="200"/>
        <w:rPr>
          <w:rFonts w:ascii="Calibri" w:hAnsi="Calibri"/>
          <w:sz w:val="22"/>
          <w:szCs w:val="22"/>
        </w:rPr>
      </w:pPr>
      <w:r w:rsidRPr="004D1978">
        <w:rPr>
          <w:rFonts w:ascii="Calibri" w:hAnsi="Calibri"/>
          <w:sz w:val="22"/>
          <w:szCs w:val="22"/>
        </w:rPr>
        <w:t>Hours per response:</w:t>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u w:val="single"/>
        </w:rPr>
        <w:t>x       0.5 hours (30 minutes)</w:t>
      </w:r>
    </w:p>
    <w:p w:rsidR="006A29C1" w:rsidRPr="004D1978" w:rsidRDefault="006A29C1" w:rsidP="004D1978">
      <w:pPr>
        <w:pStyle w:val="Footer"/>
        <w:tabs>
          <w:tab w:val="clear" w:pos="4320"/>
          <w:tab w:val="clear" w:pos="8640"/>
        </w:tabs>
        <w:spacing w:after="200"/>
        <w:rPr>
          <w:rFonts w:ascii="Calibri" w:hAnsi="Calibri"/>
          <w:sz w:val="22"/>
          <w:szCs w:val="22"/>
        </w:rPr>
      </w:pPr>
      <w:r w:rsidRPr="004D1978">
        <w:rPr>
          <w:rFonts w:ascii="Calibri" w:hAnsi="Calibri"/>
          <w:sz w:val="22"/>
          <w:szCs w:val="22"/>
        </w:rPr>
        <w:t>Annual hour burden:</w:t>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r>
      <w:r w:rsidRPr="004D1978">
        <w:rPr>
          <w:rFonts w:ascii="Calibri" w:hAnsi="Calibri"/>
          <w:sz w:val="22"/>
          <w:szCs w:val="22"/>
        </w:rPr>
        <w:tab/>
        <w:t xml:space="preserve"> 15,000 hours</w:t>
      </w:r>
    </w:p>
    <w:p w:rsidR="004D1978" w:rsidRPr="008E578F" w:rsidRDefault="004D1978" w:rsidP="004D1978">
      <w:pPr>
        <w:tabs>
          <w:tab w:val="left" w:pos="-720"/>
        </w:tabs>
        <w:suppressAutoHyphens/>
        <w:spacing w:after="200"/>
        <w:rPr>
          <w:rFonts w:ascii="Calibri" w:hAnsi="Calibri" w:cs="Calibri"/>
          <w:b/>
          <w:sz w:val="22"/>
          <w:szCs w:val="22"/>
        </w:rPr>
      </w:pPr>
      <w:r w:rsidRPr="008E578F">
        <w:rPr>
          <w:rFonts w:ascii="Calibri" w:hAnsi="Calibri" w:cs="Calibri"/>
          <w:b/>
          <w:sz w:val="22"/>
          <w:szCs w:val="22"/>
        </w:rPr>
        <w:t xml:space="preserve">13.  </w:t>
      </w:r>
      <w:r w:rsidRPr="008E578F">
        <w:rPr>
          <w:rStyle w:val="a"/>
          <w:rFonts w:ascii="Calibri" w:hAnsi="Calibri" w:cs="Calibri"/>
          <w:b/>
          <w:sz w:val="22"/>
          <w:szCs w:val="22"/>
        </w:rPr>
        <w:t>Provide an estimate of the total annual cost burden to respondents or record keepers resulting from the collection of information.  (Do not include the cost of any hour burden shown in Items 12 and 14.)</w:t>
      </w:r>
    </w:p>
    <w:p w:rsidR="004D1978" w:rsidRPr="008E578F" w:rsidRDefault="004D1978" w:rsidP="004D1978">
      <w:pPr>
        <w:widowControl/>
        <w:numPr>
          <w:ilvl w:val="0"/>
          <w:numId w:val="7"/>
        </w:numPr>
        <w:tabs>
          <w:tab w:val="left" w:pos="-720"/>
          <w:tab w:val="left" w:pos="1247"/>
        </w:tabs>
        <w:suppressAutoHyphens/>
        <w:spacing w:after="200"/>
        <w:rPr>
          <w:rFonts w:ascii="Calibri" w:hAnsi="Calibri" w:cs="Calibri"/>
          <w:b/>
          <w:sz w:val="22"/>
          <w:szCs w:val="22"/>
        </w:rPr>
      </w:pPr>
      <w:r w:rsidRPr="008E578F">
        <w:rPr>
          <w:rFonts w:ascii="Calibri" w:hAnsi="Calibri" w:cs="Calibr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4D1978" w:rsidRPr="008E578F" w:rsidRDefault="004D1978" w:rsidP="004D1978">
      <w:pPr>
        <w:widowControl/>
        <w:numPr>
          <w:ilvl w:val="0"/>
          <w:numId w:val="7"/>
        </w:numPr>
        <w:tabs>
          <w:tab w:val="left" w:pos="-720"/>
          <w:tab w:val="left" w:pos="1247"/>
        </w:tabs>
        <w:suppressAutoHyphens/>
        <w:spacing w:after="200"/>
        <w:rPr>
          <w:rFonts w:ascii="Calibri" w:hAnsi="Calibri" w:cs="Calibri"/>
          <w:b/>
          <w:sz w:val="22"/>
          <w:szCs w:val="22"/>
        </w:rPr>
      </w:pPr>
      <w:r w:rsidRPr="008E578F">
        <w:rPr>
          <w:rFonts w:ascii="Calibri" w:hAnsi="Calibri" w:cs="Calibri"/>
          <w:b/>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D1978" w:rsidRPr="008E578F" w:rsidRDefault="004D1978" w:rsidP="004D1978">
      <w:pPr>
        <w:widowControl/>
        <w:numPr>
          <w:ilvl w:val="0"/>
          <w:numId w:val="7"/>
        </w:numPr>
        <w:tabs>
          <w:tab w:val="left" w:pos="-720"/>
          <w:tab w:val="left" w:pos="1247"/>
        </w:tabs>
        <w:suppressAutoHyphens/>
        <w:spacing w:after="200"/>
        <w:rPr>
          <w:rFonts w:ascii="Calibri" w:hAnsi="Calibri" w:cs="Calibri"/>
          <w:b/>
          <w:sz w:val="22"/>
          <w:szCs w:val="22"/>
        </w:rPr>
      </w:pPr>
      <w:r w:rsidRPr="008E578F">
        <w:rPr>
          <w:rFonts w:ascii="Calibri" w:hAnsi="Calibri" w:cs="Calibr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E20F9" w:rsidRPr="00862F91" w:rsidRDefault="00AE20F9" w:rsidP="00AE20F9">
      <w:pPr>
        <w:tabs>
          <w:tab w:val="left" w:pos="-720"/>
        </w:tabs>
        <w:suppressAutoHyphens/>
        <w:rPr>
          <w:rFonts w:ascii="Calibri" w:hAnsi="Calibri" w:cs="Calibri"/>
          <w:sz w:val="22"/>
          <w:szCs w:val="22"/>
        </w:rPr>
      </w:pPr>
      <w:r w:rsidRPr="00862F91">
        <w:rPr>
          <w:rFonts w:ascii="Calibri" w:hAnsi="Calibri" w:cs="Calibri"/>
          <w:sz w:val="22"/>
          <w:szCs w:val="22"/>
        </w:rPr>
        <w:t>Total Annualized Capital/Startup Cost:</w:t>
      </w:r>
      <w:r w:rsidRPr="00862F91">
        <w:rPr>
          <w:rFonts w:ascii="Calibri" w:hAnsi="Calibri" w:cs="Calibri"/>
          <w:sz w:val="22"/>
          <w:szCs w:val="22"/>
        </w:rPr>
        <w:tab/>
        <w:t>0</w:t>
      </w:r>
    </w:p>
    <w:p w:rsidR="00AE20F9" w:rsidRPr="00862F91" w:rsidRDefault="00AE20F9" w:rsidP="00AE20F9">
      <w:pPr>
        <w:tabs>
          <w:tab w:val="left" w:pos="-720"/>
        </w:tabs>
        <w:suppressAutoHyphens/>
        <w:rPr>
          <w:rFonts w:ascii="Calibri" w:hAnsi="Calibri" w:cs="Calibri"/>
          <w:sz w:val="22"/>
          <w:szCs w:val="22"/>
        </w:rPr>
      </w:pPr>
      <w:r w:rsidRPr="00862F91">
        <w:rPr>
          <w:rFonts w:ascii="Calibri" w:hAnsi="Calibri" w:cs="Calibri"/>
          <w:sz w:val="22"/>
          <w:szCs w:val="22"/>
        </w:rPr>
        <w:t>Total Annual Costs (O&amp;M):</w:t>
      </w:r>
      <w:r w:rsidRPr="00862F91">
        <w:rPr>
          <w:rFonts w:ascii="Calibri" w:hAnsi="Calibri" w:cs="Calibri"/>
          <w:sz w:val="22"/>
          <w:szCs w:val="22"/>
        </w:rPr>
        <w:tab/>
      </w:r>
      <w:r w:rsidRPr="00862F91">
        <w:rPr>
          <w:rFonts w:ascii="Calibri" w:hAnsi="Calibri" w:cs="Calibri"/>
          <w:sz w:val="22"/>
          <w:szCs w:val="22"/>
        </w:rPr>
        <w:tab/>
        <w:t>0</w:t>
      </w:r>
    </w:p>
    <w:p w:rsidR="00AE20F9" w:rsidRPr="00862F91" w:rsidRDefault="00AE20F9" w:rsidP="00AE20F9">
      <w:pPr>
        <w:tabs>
          <w:tab w:val="left" w:pos="-720"/>
        </w:tabs>
        <w:suppressAutoHyphen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862F91">
        <w:rPr>
          <w:rFonts w:ascii="Calibri" w:hAnsi="Calibri" w:cs="Calibri"/>
          <w:sz w:val="22"/>
          <w:szCs w:val="22"/>
        </w:rPr>
        <w:t>______</w:t>
      </w:r>
    </w:p>
    <w:p w:rsidR="00AE20F9" w:rsidRPr="00862F91" w:rsidRDefault="00AE20F9" w:rsidP="00AE20F9">
      <w:pPr>
        <w:tabs>
          <w:tab w:val="left" w:pos="-720"/>
        </w:tabs>
        <w:suppressAutoHyphens/>
        <w:rPr>
          <w:rFonts w:ascii="Calibri" w:hAnsi="Calibri" w:cs="Calibri"/>
          <w:sz w:val="22"/>
          <w:szCs w:val="22"/>
        </w:rPr>
      </w:pPr>
      <w:r w:rsidRPr="00862F91">
        <w:rPr>
          <w:rFonts w:ascii="Calibri" w:hAnsi="Calibri" w:cs="Calibri"/>
          <w:sz w:val="22"/>
          <w:szCs w:val="22"/>
        </w:rPr>
        <w:t>Total Annualized Costs Requested:</w:t>
      </w:r>
      <w:r w:rsidRPr="00862F91">
        <w:rPr>
          <w:rFonts w:ascii="Calibri" w:hAnsi="Calibri" w:cs="Calibri"/>
          <w:sz w:val="22"/>
          <w:szCs w:val="22"/>
        </w:rPr>
        <w:tab/>
        <w:t>0</w:t>
      </w:r>
    </w:p>
    <w:p w:rsidR="00AE20F9" w:rsidRDefault="00AE20F9" w:rsidP="00AE20F9">
      <w:pPr>
        <w:rPr>
          <w:rFonts w:ascii="Calibri" w:hAnsi="Calibri" w:cs="Calibri"/>
          <w:sz w:val="22"/>
          <w:szCs w:val="22"/>
        </w:rPr>
      </w:pPr>
    </w:p>
    <w:p w:rsidR="00AE20F9" w:rsidRDefault="00AE20F9" w:rsidP="00AE20F9">
      <w:pPr>
        <w:rPr>
          <w:rFonts w:ascii="Calibri" w:hAnsi="Calibri" w:cs="Calibri"/>
          <w:sz w:val="22"/>
          <w:szCs w:val="22"/>
        </w:rPr>
      </w:pPr>
      <w:r w:rsidRPr="008E578F">
        <w:rPr>
          <w:rFonts w:ascii="Calibri" w:hAnsi="Calibri" w:cs="Calibri"/>
          <w:sz w:val="22"/>
          <w:szCs w:val="22"/>
        </w:rPr>
        <w:t>There are no capital/startup costs to respondents, nor are there any annual costs to respondents associated with operating or maintaining systems or purchasing services.</w:t>
      </w:r>
    </w:p>
    <w:p w:rsidR="00AE20F9" w:rsidRDefault="00AE20F9" w:rsidP="00AE20F9">
      <w:pPr>
        <w:rPr>
          <w:rFonts w:ascii="Calibri" w:hAnsi="Calibri" w:cs="Calibri"/>
          <w:sz w:val="22"/>
          <w:szCs w:val="22"/>
        </w:rPr>
      </w:pPr>
    </w:p>
    <w:p w:rsidR="00AE20F9" w:rsidRDefault="00AE20F9" w:rsidP="00AE20F9">
      <w:pPr>
        <w:spacing w:after="200"/>
        <w:rPr>
          <w:rFonts w:ascii="Calibri" w:hAnsi="Calibri" w:cs="Calibri"/>
          <w:b/>
          <w:sz w:val="22"/>
          <w:szCs w:val="22"/>
        </w:rPr>
      </w:pPr>
      <w:r>
        <w:rPr>
          <w:rFonts w:ascii="Calibri" w:hAnsi="Calibri" w:cs="Calibri"/>
          <w:sz w:val="22"/>
          <w:szCs w:val="22"/>
        </w:rPr>
        <w:t>There is an estimated annual cost to respondents of $13,200</w:t>
      </w:r>
      <w:r w:rsidRPr="008E578F">
        <w:rPr>
          <w:rFonts w:ascii="Calibri" w:hAnsi="Calibri" w:cs="Calibri"/>
          <w:sz w:val="22"/>
          <w:szCs w:val="22"/>
        </w:rPr>
        <w:t>.00</w:t>
      </w:r>
      <w:r>
        <w:rPr>
          <w:rFonts w:ascii="Calibri" w:hAnsi="Calibri" w:cs="Calibri"/>
          <w:sz w:val="22"/>
          <w:szCs w:val="22"/>
        </w:rPr>
        <w:t xml:space="preserve"> associated with postage</w:t>
      </w:r>
      <w:r w:rsidRPr="008E578F">
        <w:rPr>
          <w:rFonts w:ascii="Calibri" w:hAnsi="Calibri" w:cs="Calibri"/>
          <w:sz w:val="22"/>
          <w:szCs w:val="22"/>
        </w:rPr>
        <w:t>.  This estimate was calculated by multiplying the estimated number of respondents (</w:t>
      </w:r>
      <w:r>
        <w:rPr>
          <w:rFonts w:ascii="Calibri" w:hAnsi="Calibri" w:cs="Calibri"/>
          <w:sz w:val="22"/>
          <w:szCs w:val="22"/>
        </w:rPr>
        <w:t>30,000</w:t>
      </w:r>
      <w:r w:rsidRPr="008E578F">
        <w:rPr>
          <w:rFonts w:ascii="Calibri" w:hAnsi="Calibri" w:cs="Calibri"/>
          <w:sz w:val="22"/>
          <w:szCs w:val="22"/>
        </w:rPr>
        <w:t>) by the cost of postage required to return a l</w:t>
      </w:r>
      <w:r>
        <w:rPr>
          <w:rFonts w:ascii="Calibri" w:hAnsi="Calibri" w:cs="Calibri"/>
          <w:sz w:val="22"/>
          <w:szCs w:val="22"/>
        </w:rPr>
        <w:t>oan discharge application ($0.44</w:t>
      </w:r>
      <w:r w:rsidRPr="008E578F">
        <w:rPr>
          <w:rFonts w:ascii="Calibri" w:hAnsi="Calibri" w:cs="Calibri"/>
          <w:sz w:val="22"/>
          <w:szCs w:val="22"/>
        </w:rPr>
        <w:t>).</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 xml:space="preserve">14.  </w:t>
      </w:r>
      <w:r w:rsidRPr="008E578F">
        <w:rPr>
          <w:rStyle w:val="a"/>
          <w:rFonts w:ascii="Calibri" w:hAnsi="Calibri" w:cs="Calibri"/>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The cost to the federal government is minimal for cancellation requests for the FFEL and Perkins programs as the loan holders distribute </w:t>
      </w:r>
      <w:r w:rsidR="0024546A">
        <w:rPr>
          <w:rFonts w:ascii="Calibri" w:hAnsi="Calibri"/>
          <w:sz w:val="22"/>
          <w:szCs w:val="22"/>
        </w:rPr>
        <w:t xml:space="preserve">and collect </w:t>
      </w:r>
      <w:r w:rsidRPr="004D1978">
        <w:rPr>
          <w:rFonts w:ascii="Calibri" w:hAnsi="Calibri"/>
          <w:sz w:val="22"/>
          <w:szCs w:val="22"/>
        </w:rPr>
        <w:t xml:space="preserve">the form.  However, for the Direct Loan Program and the TEACH Grant Program, there is an estimated annual cost to the Federal Government of $27,000.00 for printing, mailing, and processing the form.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15.  Explain the reasons for any program changes or adjustments to #16f of the IC Data Part 1 Form.</w:t>
      </w:r>
    </w:p>
    <w:p w:rsidR="006A29C1" w:rsidRPr="004D1978" w:rsidRDefault="00AE20F9" w:rsidP="004D1978">
      <w:pPr>
        <w:spacing w:after="200"/>
        <w:rPr>
          <w:rFonts w:ascii="Calibri" w:hAnsi="Calibri"/>
          <w:sz w:val="22"/>
          <w:szCs w:val="22"/>
        </w:rPr>
      </w:pPr>
      <w:r>
        <w:rPr>
          <w:rFonts w:ascii="Calibri" w:hAnsi="Calibri"/>
          <w:sz w:val="22"/>
          <w:szCs w:val="22"/>
        </w:rPr>
        <w:t>There are no program changes or adjustments.</w:t>
      </w:r>
      <w:r w:rsidR="006A29C1" w:rsidRPr="004D1978">
        <w:rPr>
          <w:rFonts w:ascii="Calibri" w:hAnsi="Calibri"/>
          <w:sz w:val="22"/>
          <w:szCs w:val="22"/>
        </w:rPr>
        <w:t xml:space="preserve">  </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 xml:space="preserve">16.  </w:t>
      </w:r>
      <w:r w:rsidRPr="008E578F">
        <w:rPr>
          <w:rStyle w:val="a"/>
          <w:rFonts w:ascii="Calibri" w:hAnsi="Calibri" w:cs="Calibr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A29C1" w:rsidRPr="004D1978" w:rsidRDefault="006A29C1" w:rsidP="004D1978">
      <w:pPr>
        <w:spacing w:after="200"/>
        <w:rPr>
          <w:rFonts w:ascii="Calibri" w:hAnsi="Calibri"/>
          <w:sz w:val="22"/>
          <w:szCs w:val="22"/>
        </w:rPr>
      </w:pPr>
      <w:r w:rsidRPr="004D1978">
        <w:rPr>
          <w:rFonts w:ascii="Calibri" w:hAnsi="Calibri"/>
          <w:sz w:val="22"/>
          <w:szCs w:val="22"/>
        </w:rPr>
        <w:t>The results of this information collection will not be published.</w:t>
      </w:r>
    </w:p>
    <w:p w:rsidR="006A29C1" w:rsidRPr="004D1978" w:rsidRDefault="004D1978" w:rsidP="004D1978">
      <w:pPr>
        <w:spacing w:after="200"/>
        <w:rPr>
          <w:rFonts w:ascii="Calibri" w:hAnsi="Calibri"/>
          <w:sz w:val="22"/>
          <w:szCs w:val="22"/>
        </w:rPr>
      </w:pPr>
      <w:r w:rsidRPr="008E578F">
        <w:rPr>
          <w:rFonts w:ascii="Calibri" w:hAnsi="Calibri" w:cs="Calibri"/>
          <w:b/>
          <w:sz w:val="22"/>
          <w:szCs w:val="22"/>
        </w:rPr>
        <w:t xml:space="preserve">17.  </w:t>
      </w:r>
      <w:r w:rsidRPr="008E578F">
        <w:rPr>
          <w:rStyle w:val="a"/>
          <w:rFonts w:ascii="Calibri" w:hAnsi="Calibri" w:cs="Calibri"/>
          <w:b/>
          <w:sz w:val="22"/>
          <w:szCs w:val="22"/>
        </w:rPr>
        <w:t>If seeking approval to not display the expiration date for OMB approval of the information collection, explain the reasons that display would be inappropriate.</w:t>
      </w:r>
    </w:p>
    <w:p w:rsidR="006A29C1" w:rsidRPr="004D1978" w:rsidRDefault="006A29C1" w:rsidP="004D1978">
      <w:pPr>
        <w:spacing w:after="200"/>
        <w:rPr>
          <w:rFonts w:ascii="Calibri" w:hAnsi="Calibri"/>
          <w:sz w:val="22"/>
          <w:szCs w:val="22"/>
        </w:rPr>
      </w:pPr>
      <w:r w:rsidRPr="004D1978">
        <w:rPr>
          <w:rFonts w:ascii="Calibri" w:hAnsi="Calibri"/>
          <w:sz w:val="22"/>
          <w:szCs w:val="22"/>
        </w:rPr>
        <w:t>The Department is not seeking this approval.</w:t>
      </w:r>
    </w:p>
    <w:p w:rsidR="006A29C1" w:rsidRPr="004D1978" w:rsidRDefault="004D1978" w:rsidP="004D1978">
      <w:pPr>
        <w:spacing w:after="200"/>
        <w:rPr>
          <w:rFonts w:ascii="Calibri" w:hAnsi="Calibri"/>
          <w:b/>
          <w:sz w:val="22"/>
          <w:szCs w:val="22"/>
        </w:rPr>
      </w:pPr>
      <w:r w:rsidRPr="008E578F">
        <w:rPr>
          <w:rFonts w:ascii="Calibri" w:hAnsi="Calibri" w:cs="Calibri"/>
          <w:b/>
          <w:sz w:val="22"/>
          <w:szCs w:val="22"/>
        </w:rPr>
        <w:t xml:space="preserve">18.  </w:t>
      </w:r>
      <w:r w:rsidRPr="008E578F">
        <w:rPr>
          <w:rStyle w:val="a"/>
          <w:rFonts w:ascii="Calibri" w:hAnsi="Calibri" w:cs="Calibri"/>
          <w:b/>
          <w:sz w:val="22"/>
          <w:szCs w:val="22"/>
        </w:rPr>
        <w:t>Explain each exception to the certification statement identified in the Certification of Paperwork Reduction Act.</w:t>
      </w:r>
    </w:p>
    <w:p w:rsidR="006A29C1" w:rsidRPr="004D1978" w:rsidRDefault="006A29C1" w:rsidP="004D1978">
      <w:pPr>
        <w:spacing w:after="200"/>
        <w:rPr>
          <w:rFonts w:ascii="Calibri" w:hAnsi="Calibri"/>
          <w:sz w:val="22"/>
          <w:szCs w:val="22"/>
        </w:rPr>
      </w:pPr>
      <w:r w:rsidRPr="004D1978">
        <w:rPr>
          <w:rFonts w:ascii="Calibri" w:hAnsi="Calibri"/>
          <w:sz w:val="22"/>
          <w:szCs w:val="22"/>
        </w:rPr>
        <w:t xml:space="preserve">The Department is not requesting any exceptions to the Certification for Paperwork Reduction </w:t>
      </w:r>
      <w:r w:rsidR="0024546A">
        <w:rPr>
          <w:rFonts w:ascii="Calibri" w:hAnsi="Calibri"/>
          <w:sz w:val="22"/>
          <w:szCs w:val="22"/>
        </w:rPr>
        <w:t>Act Submissions</w:t>
      </w:r>
      <w:r w:rsidRPr="004D1978">
        <w:rPr>
          <w:rFonts w:ascii="Calibri" w:hAnsi="Calibri"/>
          <w:sz w:val="22"/>
          <w:szCs w:val="22"/>
        </w:rPr>
        <w:t>.</w:t>
      </w:r>
    </w:p>
    <w:p w:rsidR="006A29C1" w:rsidRPr="004D1978" w:rsidRDefault="004D1978" w:rsidP="004D1978">
      <w:pPr>
        <w:spacing w:after="200"/>
        <w:rPr>
          <w:rFonts w:ascii="Calibri" w:hAnsi="Calibri"/>
          <w:b/>
          <w:sz w:val="22"/>
          <w:szCs w:val="22"/>
        </w:rPr>
      </w:pPr>
      <w:r w:rsidRPr="008E578F">
        <w:rPr>
          <w:rFonts w:ascii="Calibri" w:hAnsi="Calibri" w:cs="Calibri"/>
          <w:b/>
          <w:sz w:val="22"/>
          <w:szCs w:val="22"/>
        </w:rPr>
        <w:t>B.  Collection of Information Employing Statistical Methods</w:t>
      </w:r>
    </w:p>
    <w:p w:rsidR="006A29C1" w:rsidRPr="004D1978" w:rsidRDefault="006A29C1" w:rsidP="004D1978">
      <w:pPr>
        <w:spacing w:after="200"/>
        <w:rPr>
          <w:rFonts w:ascii="Calibri" w:hAnsi="Calibri"/>
          <w:sz w:val="22"/>
          <w:szCs w:val="22"/>
        </w:rPr>
      </w:pPr>
      <w:r w:rsidRPr="004D1978">
        <w:rPr>
          <w:rFonts w:ascii="Calibri" w:hAnsi="Calibri"/>
          <w:sz w:val="22"/>
          <w:szCs w:val="22"/>
        </w:rPr>
        <w:t>This collection of information will not employ any statistical methods.</w:t>
      </w:r>
    </w:p>
    <w:sectPr w:rsidR="006A29C1" w:rsidRPr="004D1978">
      <w:footerReference w:type="even" r:id="rId7"/>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9D9" w:rsidRPr="001032C9" w:rsidRDefault="00EE59D9" w:rsidP="006A29C1">
      <w:r>
        <w:separator/>
      </w:r>
    </w:p>
  </w:endnote>
  <w:endnote w:type="continuationSeparator" w:id="0">
    <w:p w:rsidR="00EE59D9" w:rsidRPr="001032C9" w:rsidRDefault="00EE59D9" w:rsidP="006A29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AA" w:rsidRDefault="00013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35AA" w:rsidRDefault="00013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AA" w:rsidRDefault="000135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597">
      <w:rPr>
        <w:rStyle w:val="PageNumber"/>
        <w:noProof/>
      </w:rPr>
      <w:t>6</w:t>
    </w:r>
    <w:r>
      <w:rPr>
        <w:rStyle w:val="PageNumber"/>
      </w:rPr>
      <w:fldChar w:fldCharType="end"/>
    </w:r>
  </w:p>
  <w:p w:rsidR="000135AA" w:rsidRDefault="00013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9D9" w:rsidRPr="001032C9" w:rsidRDefault="00EE59D9" w:rsidP="006A29C1">
      <w:r>
        <w:separator/>
      </w:r>
    </w:p>
  </w:footnote>
  <w:footnote w:type="continuationSeparator" w:id="0">
    <w:p w:rsidR="00EE59D9" w:rsidRPr="001032C9" w:rsidRDefault="00EE59D9" w:rsidP="006A2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183E26F7"/>
    <w:multiLevelType w:val="hybridMultilevel"/>
    <w:tmpl w:val="2D6CE930"/>
    <w:lvl w:ilvl="0" w:tplc="FB20BE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970FE4"/>
    <w:multiLevelType w:val="hybridMultilevel"/>
    <w:tmpl w:val="2D6CE930"/>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nsid w:val="4D0C18E9"/>
    <w:multiLevelType w:val="hybridMultilevel"/>
    <w:tmpl w:val="ABE01E2A"/>
    <w:lvl w:ilvl="0" w:tplc="65D86E92">
      <w:start w:val="1"/>
      <w:numFmt w:val="bullet"/>
      <w:lvlText w:val=""/>
      <w:lvlJc w:val="left"/>
      <w:pPr>
        <w:tabs>
          <w:tab w:val="num" w:pos="432"/>
        </w:tabs>
        <w:ind w:left="36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BE5E3C"/>
    <w:multiLevelType w:val="singleLevel"/>
    <w:tmpl w:val="D0AA9BEC"/>
    <w:lvl w:ilvl="0">
      <w:start w:val="5"/>
      <w:numFmt w:val="decimal"/>
      <w:lvlText w:val="%1."/>
      <w:lvlJc w:val="left"/>
      <w:pPr>
        <w:tabs>
          <w:tab w:val="num" w:pos="1440"/>
        </w:tabs>
        <w:ind w:left="1440" w:hanging="720"/>
      </w:pPr>
      <w:rPr>
        <w:rFont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037"/>
    <w:rsid w:val="000135AA"/>
    <w:rsid w:val="00166A4E"/>
    <w:rsid w:val="001C3597"/>
    <w:rsid w:val="0024546A"/>
    <w:rsid w:val="0042010B"/>
    <w:rsid w:val="004D1978"/>
    <w:rsid w:val="005671AD"/>
    <w:rsid w:val="005834BE"/>
    <w:rsid w:val="005953AB"/>
    <w:rsid w:val="00632B91"/>
    <w:rsid w:val="006A29C1"/>
    <w:rsid w:val="00954037"/>
    <w:rsid w:val="009F2B41"/>
    <w:rsid w:val="00AC244B"/>
    <w:rsid w:val="00AE20F9"/>
    <w:rsid w:val="00ED186D"/>
    <w:rsid w:val="00EE59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680"/>
      </w:tabs>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a">
    <w:name w:val="À"/>
    <w:basedOn w:val="DefaultParagraphFont"/>
    <w:rsid w:val="004D19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2779</Words>
  <Characters>15664</Characters>
  <Application>Microsoft Office Word</Application>
  <DocSecurity>0</DocSecurity>
  <Lines>540</Lines>
  <Paragraphs>245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Brian L. Smith</dc:creator>
  <cp:lastModifiedBy>Jon Utz</cp:lastModifiedBy>
  <cp:revision>3</cp:revision>
  <cp:lastPrinted>2008-05-09T19:03:00Z</cp:lastPrinted>
  <dcterms:created xsi:type="dcterms:W3CDTF">2011-12-09T21:22:00Z</dcterms:created>
  <dcterms:modified xsi:type="dcterms:W3CDTF">2011-12-09T21:33:00Z</dcterms:modified>
</cp:coreProperties>
</file>