
<file path=[Content_Types].xml><?xml version="1.0" encoding="utf-8"?>
<Types xmlns="http://schemas.openxmlformats.org/package/2006/content-types">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customXml/itemProps11.xml" ContentType="application/vnd.openxmlformats-officedocument.customXmlProperties+xml"/>
  <Override PartName="/customXml/itemProps12.xml" ContentType="application/vnd.openxmlformats-officedocument.customXmlProperties+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2.xml" ContentType="application/vnd.openxmlformats-officedocument.customXmlProperties+xml"/>
  <Default Extension="bin" ContentType="application/vnd.openxmlformats-officedocument.oleObject"/>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D02" w:rsidRDefault="00891D02" w:rsidP="00891D02">
      <w:pPr>
        <w:spacing w:after="60" w:line="360" w:lineRule="exact"/>
        <w:ind w:left="5112" w:firstLine="0"/>
        <w:jc w:val="left"/>
        <w:rPr>
          <w:rFonts w:ascii="Lucida Sans" w:hAnsi="Lucida Sans"/>
          <w:b/>
          <w:sz w:val="22"/>
          <w:szCs w:val="22"/>
        </w:rPr>
      </w:pPr>
      <w:bookmarkStart w:id="0" w:name="_Toc276647487"/>
      <w:bookmarkStart w:id="1" w:name="_Toc276719876"/>
      <w:bookmarkStart w:id="2" w:name="_Toc299455745"/>
    </w:p>
    <w:p w:rsidR="00891D02" w:rsidRPr="007C49C0" w:rsidRDefault="00891D02" w:rsidP="00891D02">
      <w:pPr>
        <w:spacing w:after="144" w:line="312" w:lineRule="auto"/>
        <w:ind w:left="5112" w:right="360" w:firstLine="0"/>
        <w:jc w:val="left"/>
        <w:rPr>
          <w:rFonts w:ascii="Lucida Sans" w:hAnsi="Lucida Sans"/>
          <w:b/>
          <w:sz w:val="22"/>
          <w:szCs w:val="22"/>
        </w:rPr>
      </w:pPr>
      <w:bookmarkStart w:id="3" w:name="RepTitle"/>
      <w:bookmarkEnd w:id="3"/>
      <w:r>
        <w:rPr>
          <w:rFonts w:ascii="Lucida Sans" w:hAnsi="Lucida Sans"/>
          <w:b/>
          <w:sz w:val="22"/>
          <w:szCs w:val="22"/>
        </w:rPr>
        <w:t xml:space="preserve">Impact Evaluation of RTT </w:t>
      </w:r>
      <w:r>
        <w:rPr>
          <w:rFonts w:ascii="Lucida Sans" w:hAnsi="Lucida Sans"/>
          <w:b/>
          <w:sz w:val="22"/>
          <w:szCs w:val="22"/>
        </w:rPr>
        <w:br/>
        <w:t>and SIG:  OMB Data Collection Package</w:t>
      </w:r>
    </w:p>
    <w:p w:rsidR="00891D02" w:rsidRDefault="00891D02" w:rsidP="00891D02">
      <w:pPr>
        <w:spacing w:before="144" w:line="360" w:lineRule="exact"/>
        <w:ind w:left="5115" w:right="360" w:firstLine="0"/>
        <w:rPr>
          <w:rFonts w:ascii="Lucida Sans" w:hAnsi="Lucida Sans"/>
          <w:sz w:val="22"/>
          <w:szCs w:val="22"/>
        </w:rPr>
      </w:pPr>
      <w:bookmarkStart w:id="4" w:name="RepType"/>
      <w:bookmarkEnd w:id="4"/>
      <w:r>
        <w:rPr>
          <w:rFonts w:ascii="Lucida Sans" w:hAnsi="Lucida Sans"/>
          <w:sz w:val="22"/>
          <w:szCs w:val="22"/>
        </w:rPr>
        <w:t>Part A</w:t>
      </w:r>
    </w:p>
    <w:p w:rsidR="00891D02" w:rsidRPr="007C49C0" w:rsidRDefault="00E65D39" w:rsidP="00891D02">
      <w:pPr>
        <w:spacing w:before="144" w:after="288" w:line="360" w:lineRule="exact"/>
        <w:ind w:left="5112" w:right="360" w:firstLine="0"/>
        <w:rPr>
          <w:rFonts w:ascii="Lucida Sans" w:hAnsi="Lucida Sans"/>
          <w:sz w:val="22"/>
          <w:szCs w:val="22"/>
        </w:rPr>
      </w:pPr>
      <w:r>
        <w:rPr>
          <w:rFonts w:ascii="Lucida Sans" w:hAnsi="Lucida Sans"/>
          <w:sz w:val="22"/>
          <w:szCs w:val="22"/>
        </w:rPr>
        <w:t>November 21</w:t>
      </w:r>
      <w:r w:rsidR="00891D02">
        <w:rPr>
          <w:rFonts w:ascii="Lucida Sans" w:hAnsi="Lucida Sans"/>
          <w:sz w:val="22"/>
          <w:szCs w:val="22"/>
        </w:rPr>
        <w:t>, 2011</w:t>
      </w:r>
    </w:p>
    <w:p w:rsidR="00891D02" w:rsidRDefault="00891D02" w:rsidP="00891D02">
      <w:pPr>
        <w:spacing w:line="280" w:lineRule="exact"/>
        <w:ind w:left="5225" w:firstLine="0"/>
        <w:rPr>
          <w:rFonts w:ascii="Lucida Sans" w:hAnsi="Lucida Sans"/>
          <w:sz w:val="20"/>
          <w:szCs w:val="20"/>
        </w:rPr>
      </w:pPr>
      <w:r>
        <w:rPr>
          <w:rFonts w:ascii="Lucida Sans" w:hAnsi="Lucida Sans"/>
          <w:noProof/>
          <w:sz w:val="20"/>
          <w:szCs w:val="20"/>
        </w:rPr>
        <w:drawing>
          <wp:anchor distT="0" distB="0" distL="114300" distR="114300" simplePos="0" relativeHeight="251668480" behindDoc="0" locked="1" layoutInCell="1" allowOverlap="1">
            <wp:simplePos x="0" y="0"/>
            <wp:positionH relativeFrom="page">
              <wp:posOffset>4103370</wp:posOffset>
            </wp:positionH>
            <wp:positionV relativeFrom="page">
              <wp:posOffset>6629400</wp:posOffset>
            </wp:positionV>
            <wp:extent cx="1809750" cy="579120"/>
            <wp:effectExtent l="19050" t="0" r="0" b="0"/>
            <wp:wrapThrough wrapText="bothSides">
              <wp:wrapPolygon edited="0">
                <wp:start x="-227" y="0"/>
                <wp:lineTo x="-227" y="20605"/>
                <wp:lineTo x="21600" y="20605"/>
                <wp:lineTo x="21600" y="0"/>
                <wp:lineTo x="-227" y="0"/>
              </wp:wrapPolygon>
            </wp:wrapThrough>
            <wp:docPr id="31" name="Picture 4"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thematica Policy Research logo."/>
                    <pic:cNvPicPr>
                      <a:picLocks noChangeAspect="1" noChangeArrowheads="1"/>
                    </pic:cNvPicPr>
                  </pic:nvPicPr>
                  <pic:blipFill>
                    <a:blip r:embed="rId21" cstate="print"/>
                    <a:srcRect/>
                    <a:stretch>
                      <a:fillRect/>
                    </a:stretch>
                  </pic:blipFill>
                  <pic:spPr bwMode="auto">
                    <a:xfrm>
                      <a:off x="0" y="0"/>
                      <a:ext cx="1809750" cy="579120"/>
                    </a:xfrm>
                    <a:prstGeom prst="rect">
                      <a:avLst/>
                    </a:prstGeom>
                    <a:noFill/>
                  </pic:spPr>
                </pic:pic>
              </a:graphicData>
            </a:graphic>
          </wp:anchor>
        </w:drawing>
      </w:r>
      <w:r>
        <w:rPr>
          <w:rFonts w:ascii="Lucida Sans" w:hAnsi="Lucida Sans"/>
          <w:noProof/>
          <w:sz w:val="20"/>
          <w:szCs w:val="20"/>
        </w:rPr>
        <w:drawing>
          <wp:anchor distT="0" distB="0" distL="114300" distR="114300" simplePos="0" relativeHeight="251666432" behindDoc="0" locked="1" layoutInCell="1" allowOverlap="1">
            <wp:simplePos x="0" y="0"/>
            <wp:positionH relativeFrom="page">
              <wp:posOffset>0</wp:posOffset>
            </wp:positionH>
            <wp:positionV relativeFrom="page">
              <wp:posOffset>5715000</wp:posOffset>
            </wp:positionV>
            <wp:extent cx="7802880" cy="2562225"/>
            <wp:effectExtent l="19050" t="0" r="7620" b="0"/>
            <wp:wrapThrough wrapText="bothSides">
              <wp:wrapPolygon edited="0">
                <wp:start x="-53" y="0"/>
                <wp:lineTo x="-53" y="21520"/>
                <wp:lineTo x="21621" y="21520"/>
                <wp:lineTo x="21621" y="0"/>
                <wp:lineTo x="-53" y="0"/>
              </wp:wrapPolygon>
            </wp:wrapThrough>
            <wp:docPr id="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7802880" cy="2562225"/>
                    </a:xfrm>
                    <a:prstGeom prst="rect">
                      <a:avLst/>
                    </a:prstGeom>
                    <a:noFill/>
                  </pic:spPr>
                </pic:pic>
              </a:graphicData>
            </a:graphic>
          </wp:anchor>
        </w:drawing>
      </w:r>
      <w:r>
        <w:rPr>
          <w:rFonts w:ascii="Lucida Sans" w:hAnsi="Lucida Sans"/>
          <w:sz w:val="20"/>
          <w:szCs w:val="20"/>
        </w:rPr>
        <w:t xml:space="preserve"> </w:t>
      </w:r>
    </w:p>
    <w:p w:rsidR="00891D02" w:rsidRDefault="00891D02" w:rsidP="00891D02">
      <w:pPr>
        <w:spacing w:line="264" w:lineRule="auto"/>
        <w:ind w:left="5040" w:firstLine="0"/>
        <w:rPr>
          <w:rFonts w:ascii="Lucida Sans" w:hAnsi="Lucida Sans"/>
          <w:sz w:val="20"/>
          <w:szCs w:val="20"/>
        </w:rPr>
        <w:sectPr w:rsidR="00891D02" w:rsidSect="00891D02">
          <w:footerReference w:type="default" r:id="rId23"/>
          <w:endnotePr>
            <w:numFmt w:val="decimal"/>
          </w:endnotePr>
          <w:type w:val="continuous"/>
          <w:pgSz w:w="12240" w:h="15840" w:code="1"/>
          <w:pgMar w:top="720" w:right="1440" w:bottom="576" w:left="1440" w:header="720" w:footer="576" w:gutter="0"/>
          <w:pgNumType w:fmt="lowerRoman" w:start="1"/>
          <w:cols w:space="720"/>
          <w:docGrid w:linePitch="150"/>
        </w:sectPr>
      </w:pPr>
    </w:p>
    <w:p w:rsidR="00891D02" w:rsidRDefault="00891D02" w:rsidP="00E16FDA">
      <w:pPr>
        <w:spacing w:line="240" w:lineRule="exact"/>
        <w:ind w:firstLine="0"/>
        <w:jc w:val="left"/>
        <w:rPr>
          <w:rFonts w:ascii="Lucida Sans" w:hAnsi="Lucida Sans"/>
          <w:sz w:val="17"/>
          <w:szCs w:val="16"/>
        </w:rPr>
        <w:sectPr w:rsidR="00891D02">
          <w:footerReference w:type="default" r:id="rId24"/>
          <w:endnotePr>
            <w:numFmt w:val="decimal"/>
          </w:endnotePr>
          <w:pgSz w:w="12240" w:h="15840" w:code="1"/>
          <w:pgMar w:top="1440" w:right="1440" w:bottom="576" w:left="1440" w:header="720" w:footer="576" w:gutter="0"/>
          <w:pgNumType w:fmt="lowerRoman" w:start="1"/>
          <w:cols w:space="720"/>
          <w:docGrid w:linePitch="326"/>
        </w:sectPr>
      </w:pPr>
    </w:p>
    <w:tbl>
      <w:tblPr>
        <w:tblW w:w="0" w:type="auto"/>
        <w:tblInd w:w="1440" w:type="dxa"/>
        <w:tblLayout w:type="fixed"/>
        <w:tblCellMar>
          <w:left w:w="115" w:type="dxa"/>
          <w:right w:w="115" w:type="dxa"/>
        </w:tblCellMar>
        <w:tblLook w:val="04A0"/>
      </w:tblPr>
      <w:tblGrid>
        <w:gridCol w:w="3618"/>
        <w:gridCol w:w="4057"/>
      </w:tblGrid>
      <w:tr w:rsidR="00891D02" w:rsidTr="00E16FDA">
        <w:tc>
          <w:tcPr>
            <w:tcW w:w="3618" w:type="dxa"/>
          </w:tcPr>
          <w:p w:rsidR="00891D02" w:rsidRPr="00993339" w:rsidRDefault="00891D02" w:rsidP="00E16FDA">
            <w:pPr>
              <w:spacing w:line="240" w:lineRule="exact"/>
              <w:ind w:firstLine="0"/>
              <w:jc w:val="left"/>
              <w:rPr>
                <w:rFonts w:ascii="Lucida Sans" w:hAnsi="Lucida Sans"/>
                <w:sz w:val="17"/>
                <w:szCs w:val="16"/>
              </w:rPr>
            </w:pPr>
            <w:r w:rsidRPr="00993339">
              <w:rPr>
                <w:rFonts w:ascii="Lucida Sans" w:hAnsi="Lucida Sans"/>
                <w:sz w:val="17"/>
                <w:szCs w:val="16"/>
              </w:rPr>
              <w:lastRenderedPageBreak/>
              <w:t>Contract Number:</w:t>
            </w:r>
          </w:p>
          <w:p w:rsidR="00891D02" w:rsidRPr="00993339" w:rsidRDefault="00891D02" w:rsidP="00E16FDA">
            <w:pPr>
              <w:spacing w:after="180" w:line="240" w:lineRule="exact"/>
              <w:ind w:firstLine="0"/>
              <w:jc w:val="left"/>
              <w:rPr>
                <w:rFonts w:ascii="Lucida Sans" w:hAnsi="Lucida Sans"/>
                <w:sz w:val="17"/>
                <w:szCs w:val="16"/>
              </w:rPr>
            </w:pPr>
            <w:bookmarkStart w:id="5" w:name="Contract"/>
            <w:bookmarkEnd w:id="5"/>
            <w:r>
              <w:rPr>
                <w:rFonts w:ascii="Lucida Sans" w:hAnsi="Lucida Sans"/>
                <w:sz w:val="17"/>
                <w:szCs w:val="16"/>
              </w:rPr>
              <w:t>ED-IES-10-C-0077</w:t>
            </w:r>
          </w:p>
          <w:p w:rsidR="00891D02" w:rsidRPr="00993339" w:rsidRDefault="00891D02" w:rsidP="00E16FDA">
            <w:pPr>
              <w:spacing w:line="240" w:lineRule="exact"/>
              <w:ind w:firstLine="0"/>
              <w:jc w:val="left"/>
              <w:rPr>
                <w:rFonts w:ascii="Lucida Sans" w:hAnsi="Lucida Sans"/>
                <w:sz w:val="17"/>
                <w:szCs w:val="16"/>
              </w:rPr>
            </w:pPr>
            <w:r w:rsidRPr="00993339">
              <w:rPr>
                <w:rFonts w:ascii="Lucida Sans" w:hAnsi="Lucida Sans"/>
                <w:sz w:val="17"/>
                <w:szCs w:val="16"/>
              </w:rPr>
              <w:t>M</w:t>
            </w:r>
            <w:r>
              <w:rPr>
                <w:rFonts w:ascii="Lucida Sans" w:hAnsi="Lucida Sans"/>
                <w:sz w:val="17"/>
                <w:szCs w:val="16"/>
              </w:rPr>
              <w:t>athematica</w:t>
            </w:r>
            <w:r w:rsidRPr="00993339">
              <w:rPr>
                <w:rFonts w:ascii="Lucida Sans" w:hAnsi="Lucida Sans"/>
                <w:sz w:val="17"/>
                <w:szCs w:val="16"/>
              </w:rPr>
              <w:t xml:space="preserve"> Reference Number:</w:t>
            </w:r>
          </w:p>
          <w:p w:rsidR="00891D02" w:rsidRPr="00993339" w:rsidRDefault="00983981" w:rsidP="00E16FDA">
            <w:pPr>
              <w:spacing w:after="180" w:line="240" w:lineRule="exact"/>
              <w:ind w:firstLine="0"/>
              <w:jc w:val="left"/>
              <w:rPr>
                <w:rFonts w:ascii="Lucida Sans" w:hAnsi="Lucida Sans"/>
                <w:sz w:val="17"/>
                <w:szCs w:val="16"/>
              </w:rPr>
            </w:pPr>
            <w:bookmarkStart w:id="6" w:name="MPRRef"/>
            <w:bookmarkEnd w:id="6"/>
            <w:r>
              <w:rPr>
                <w:rFonts w:ascii="Lucida Sans" w:hAnsi="Lucida Sans"/>
                <w:sz w:val="17"/>
                <w:szCs w:val="16"/>
              </w:rPr>
              <w:t>06844.0</w:t>
            </w:r>
            <w:r w:rsidR="00E0295B">
              <w:rPr>
                <w:rFonts w:ascii="Lucida Sans" w:hAnsi="Lucida Sans"/>
                <w:sz w:val="17"/>
                <w:szCs w:val="16"/>
              </w:rPr>
              <w:t>6</w:t>
            </w:r>
            <w:r w:rsidR="00891D02">
              <w:rPr>
                <w:rFonts w:ascii="Lucida Sans" w:hAnsi="Lucida Sans"/>
                <w:sz w:val="17"/>
                <w:szCs w:val="16"/>
              </w:rPr>
              <w:t>2</w:t>
            </w:r>
          </w:p>
          <w:p w:rsidR="00891D02" w:rsidRPr="00993339" w:rsidRDefault="00891D02" w:rsidP="00E16FDA">
            <w:pPr>
              <w:spacing w:line="240" w:lineRule="exact"/>
              <w:ind w:firstLine="0"/>
              <w:jc w:val="left"/>
              <w:rPr>
                <w:rFonts w:ascii="Lucida Sans" w:hAnsi="Lucida Sans"/>
                <w:sz w:val="17"/>
                <w:szCs w:val="16"/>
              </w:rPr>
            </w:pPr>
            <w:r w:rsidRPr="00993339">
              <w:rPr>
                <w:rFonts w:ascii="Lucida Sans" w:hAnsi="Lucida Sans"/>
                <w:sz w:val="17"/>
                <w:szCs w:val="16"/>
              </w:rPr>
              <w:t>Submitted to:</w:t>
            </w:r>
          </w:p>
          <w:p w:rsidR="00891D02" w:rsidRDefault="00891D02" w:rsidP="00E16FDA">
            <w:pPr>
              <w:spacing w:line="240" w:lineRule="exact"/>
              <w:ind w:firstLine="0"/>
              <w:jc w:val="left"/>
              <w:rPr>
                <w:rFonts w:ascii="Lucida Sans" w:hAnsi="Lucida Sans"/>
                <w:sz w:val="17"/>
                <w:szCs w:val="16"/>
              </w:rPr>
            </w:pPr>
            <w:bookmarkStart w:id="7" w:name="Agency"/>
            <w:bookmarkEnd w:id="7"/>
            <w:r>
              <w:rPr>
                <w:rFonts w:ascii="Lucida Sans" w:hAnsi="Lucida Sans"/>
                <w:sz w:val="17"/>
                <w:szCs w:val="16"/>
              </w:rPr>
              <w:t>National Center for Education Evaluation</w:t>
            </w:r>
          </w:p>
          <w:p w:rsidR="00891D02" w:rsidRDefault="00891D02" w:rsidP="00E16FDA">
            <w:pPr>
              <w:spacing w:line="240" w:lineRule="exact"/>
              <w:ind w:firstLine="0"/>
              <w:jc w:val="left"/>
              <w:rPr>
                <w:rFonts w:ascii="Lucida Sans" w:hAnsi="Lucida Sans"/>
                <w:sz w:val="17"/>
                <w:szCs w:val="16"/>
              </w:rPr>
            </w:pPr>
            <w:bookmarkStart w:id="8" w:name="Address"/>
            <w:bookmarkEnd w:id="8"/>
            <w:r>
              <w:rPr>
                <w:rFonts w:ascii="Lucida Sans" w:hAnsi="Lucida Sans"/>
                <w:sz w:val="17"/>
                <w:szCs w:val="16"/>
              </w:rPr>
              <w:t>555 New Jersey Ave NW, Suite 500h</w:t>
            </w:r>
          </w:p>
          <w:p w:rsidR="00891D02" w:rsidRPr="00993339" w:rsidRDefault="00891D02" w:rsidP="00E16FDA">
            <w:pPr>
              <w:spacing w:line="240" w:lineRule="exact"/>
              <w:ind w:firstLine="0"/>
              <w:jc w:val="left"/>
              <w:rPr>
                <w:rFonts w:ascii="Lucida Sans" w:hAnsi="Lucida Sans"/>
                <w:sz w:val="17"/>
                <w:szCs w:val="16"/>
              </w:rPr>
            </w:pPr>
            <w:bookmarkStart w:id="9" w:name="Address2"/>
            <w:bookmarkEnd w:id="9"/>
            <w:r>
              <w:rPr>
                <w:rFonts w:ascii="Lucida Sans" w:hAnsi="Lucida Sans"/>
                <w:sz w:val="17"/>
                <w:szCs w:val="16"/>
              </w:rPr>
              <w:t>Washington, DC 20208</w:t>
            </w:r>
          </w:p>
          <w:p w:rsidR="00891D02" w:rsidRPr="00993339" w:rsidRDefault="00891D02" w:rsidP="00E16FDA">
            <w:pPr>
              <w:spacing w:after="180" w:line="240" w:lineRule="exact"/>
              <w:ind w:firstLine="0"/>
              <w:jc w:val="left"/>
              <w:rPr>
                <w:rFonts w:ascii="Lucida Sans" w:hAnsi="Lucida Sans"/>
                <w:sz w:val="17"/>
                <w:szCs w:val="16"/>
              </w:rPr>
            </w:pPr>
            <w:r w:rsidRPr="00993339">
              <w:rPr>
                <w:rFonts w:ascii="Lucida Sans" w:hAnsi="Lucida Sans"/>
                <w:sz w:val="17"/>
                <w:szCs w:val="16"/>
              </w:rPr>
              <w:t xml:space="preserve">Project Officer: </w:t>
            </w:r>
            <w:bookmarkStart w:id="10" w:name="ProjOff"/>
            <w:bookmarkEnd w:id="10"/>
            <w:r>
              <w:rPr>
                <w:rFonts w:ascii="Lucida Sans" w:hAnsi="Lucida Sans"/>
                <w:sz w:val="17"/>
                <w:szCs w:val="16"/>
              </w:rPr>
              <w:t>Thomas E. Wei, PhD</w:t>
            </w:r>
          </w:p>
          <w:p w:rsidR="00891D02" w:rsidRDefault="00891D02" w:rsidP="00E16FDA">
            <w:pPr>
              <w:spacing w:line="240" w:lineRule="exact"/>
              <w:ind w:firstLine="0"/>
              <w:jc w:val="left"/>
              <w:rPr>
                <w:rFonts w:ascii="Lucida Sans" w:hAnsi="Lucida Sans"/>
                <w:sz w:val="17"/>
                <w:szCs w:val="16"/>
              </w:rPr>
            </w:pPr>
            <w:r w:rsidRPr="00993339">
              <w:rPr>
                <w:rFonts w:ascii="Lucida Sans" w:hAnsi="Lucida Sans"/>
                <w:sz w:val="17"/>
                <w:szCs w:val="16"/>
              </w:rPr>
              <w:t>Submitted by:</w:t>
            </w:r>
          </w:p>
          <w:p w:rsidR="00891D02" w:rsidRPr="00993339" w:rsidRDefault="00891D02" w:rsidP="00E16FDA">
            <w:pPr>
              <w:spacing w:line="240" w:lineRule="exact"/>
              <w:ind w:firstLine="0"/>
              <w:jc w:val="left"/>
              <w:rPr>
                <w:rFonts w:ascii="Lucida Sans" w:hAnsi="Lucida Sans"/>
                <w:sz w:val="17"/>
                <w:szCs w:val="16"/>
              </w:rPr>
            </w:pPr>
            <w:r>
              <w:rPr>
                <w:rFonts w:ascii="Lucida Sans" w:hAnsi="Lucida Sans"/>
                <w:sz w:val="17"/>
                <w:szCs w:val="16"/>
              </w:rPr>
              <w:t>Mathematica Policy Research</w:t>
            </w:r>
          </w:p>
          <w:p w:rsidR="00891D02" w:rsidRDefault="00891D02" w:rsidP="00E16FDA">
            <w:pPr>
              <w:spacing w:line="240" w:lineRule="exact"/>
              <w:ind w:firstLine="0"/>
              <w:jc w:val="left"/>
              <w:rPr>
                <w:rFonts w:ascii="Lucida Sans" w:hAnsi="Lucida Sans"/>
                <w:sz w:val="17"/>
                <w:szCs w:val="16"/>
              </w:rPr>
            </w:pPr>
            <w:bookmarkStart w:id="11" w:name="MPRAddress2"/>
            <w:bookmarkEnd w:id="11"/>
            <w:r>
              <w:rPr>
                <w:rFonts w:ascii="Lucida Sans" w:hAnsi="Lucida Sans"/>
                <w:sz w:val="17"/>
                <w:szCs w:val="16"/>
              </w:rPr>
              <w:t>P.O. Box 2393</w:t>
            </w:r>
          </w:p>
          <w:p w:rsidR="00891D02" w:rsidRDefault="00891D02" w:rsidP="00E16FDA">
            <w:pPr>
              <w:spacing w:line="240" w:lineRule="exact"/>
              <w:ind w:firstLine="0"/>
              <w:jc w:val="left"/>
              <w:rPr>
                <w:rFonts w:ascii="Lucida Sans" w:hAnsi="Lucida Sans"/>
                <w:sz w:val="17"/>
                <w:szCs w:val="16"/>
              </w:rPr>
            </w:pPr>
            <w:r>
              <w:rPr>
                <w:rFonts w:ascii="Lucida Sans" w:hAnsi="Lucida Sans"/>
                <w:sz w:val="17"/>
                <w:szCs w:val="16"/>
              </w:rPr>
              <w:t>Princeton, NJ 08543-2393</w:t>
            </w:r>
          </w:p>
          <w:p w:rsidR="00891D02" w:rsidRDefault="00891D02" w:rsidP="00E16FDA">
            <w:pPr>
              <w:spacing w:line="240" w:lineRule="exact"/>
              <w:ind w:firstLine="0"/>
              <w:jc w:val="left"/>
              <w:rPr>
                <w:rFonts w:ascii="Lucida Sans" w:hAnsi="Lucida Sans"/>
                <w:sz w:val="17"/>
                <w:szCs w:val="16"/>
              </w:rPr>
            </w:pPr>
            <w:r>
              <w:rPr>
                <w:rFonts w:ascii="Lucida Sans" w:hAnsi="Lucida Sans"/>
                <w:sz w:val="17"/>
                <w:szCs w:val="16"/>
              </w:rPr>
              <w:t>Telephone: (609) 799-3535</w:t>
            </w:r>
          </w:p>
          <w:p w:rsidR="00891D02" w:rsidRDefault="00891D02" w:rsidP="00E16FDA">
            <w:pPr>
              <w:spacing w:line="240" w:lineRule="exact"/>
              <w:ind w:firstLine="0"/>
              <w:jc w:val="left"/>
              <w:rPr>
                <w:rFonts w:ascii="Lucida Sans" w:hAnsi="Lucida Sans"/>
                <w:sz w:val="17"/>
                <w:szCs w:val="16"/>
              </w:rPr>
            </w:pPr>
            <w:r>
              <w:rPr>
                <w:rFonts w:ascii="Lucida Sans" w:hAnsi="Lucida Sans"/>
                <w:sz w:val="17"/>
                <w:szCs w:val="16"/>
              </w:rPr>
              <w:t>Facsimile: (609) 799-0005</w:t>
            </w:r>
          </w:p>
          <w:p w:rsidR="00891D02" w:rsidRPr="00451D9C" w:rsidRDefault="00891D02" w:rsidP="00E16FDA">
            <w:pPr>
              <w:spacing w:after="180" w:line="240" w:lineRule="exact"/>
              <w:ind w:firstLine="0"/>
              <w:jc w:val="left"/>
              <w:rPr>
                <w:rFonts w:ascii="Lucida Sans" w:hAnsi="Lucida Sans"/>
                <w:sz w:val="16"/>
                <w:szCs w:val="16"/>
              </w:rPr>
            </w:pPr>
            <w:r w:rsidRPr="00993339">
              <w:rPr>
                <w:rFonts w:ascii="Lucida Sans" w:hAnsi="Lucida Sans"/>
                <w:sz w:val="17"/>
                <w:szCs w:val="16"/>
              </w:rPr>
              <w:t xml:space="preserve">Project Director: </w:t>
            </w:r>
            <w:bookmarkStart w:id="12" w:name="ProjDir"/>
            <w:bookmarkEnd w:id="12"/>
            <w:r>
              <w:rPr>
                <w:rFonts w:ascii="Lucida Sans" w:hAnsi="Lucida Sans"/>
                <w:sz w:val="17"/>
                <w:szCs w:val="16"/>
              </w:rPr>
              <w:t>Susanne James-Burdumy</w:t>
            </w:r>
            <w:r w:rsidRPr="00555A82">
              <w:rPr>
                <w:rFonts w:ascii="Lucida Sans" w:hAnsi="Lucida Sans"/>
                <w:sz w:val="17"/>
                <w:szCs w:val="16"/>
              </w:rPr>
              <w:t>, PhD</w:t>
            </w:r>
          </w:p>
        </w:tc>
        <w:tc>
          <w:tcPr>
            <w:tcW w:w="4057" w:type="dxa"/>
          </w:tcPr>
          <w:p w:rsidR="00891D02" w:rsidRPr="00451D9C" w:rsidRDefault="00891D02" w:rsidP="00E16FDA">
            <w:pPr>
              <w:spacing w:after="144" w:line="312" w:lineRule="auto"/>
              <w:ind w:left="58" w:firstLine="0"/>
              <w:jc w:val="left"/>
              <w:rPr>
                <w:rFonts w:ascii="Lucida Sans" w:hAnsi="Lucida Sans"/>
                <w:b/>
                <w:sz w:val="22"/>
                <w:szCs w:val="22"/>
              </w:rPr>
            </w:pPr>
            <w:bookmarkStart w:id="13" w:name="RepTitle2"/>
            <w:bookmarkEnd w:id="13"/>
            <w:r>
              <w:rPr>
                <w:rFonts w:ascii="Lucida Sans" w:hAnsi="Lucida Sans"/>
                <w:b/>
                <w:sz w:val="22"/>
                <w:szCs w:val="22"/>
              </w:rPr>
              <w:t xml:space="preserve">Impact Evaluation of RTT </w:t>
            </w:r>
            <w:r>
              <w:rPr>
                <w:rFonts w:ascii="Lucida Sans" w:hAnsi="Lucida Sans"/>
                <w:b/>
                <w:sz w:val="22"/>
                <w:szCs w:val="22"/>
              </w:rPr>
              <w:br/>
              <w:t>and SIG</w:t>
            </w:r>
            <w:r w:rsidR="00983981">
              <w:rPr>
                <w:rFonts w:ascii="Lucida Sans" w:hAnsi="Lucida Sans"/>
                <w:b/>
                <w:sz w:val="22"/>
                <w:szCs w:val="22"/>
              </w:rPr>
              <w:t>:  OMB Data Collection Package</w:t>
            </w:r>
          </w:p>
          <w:p w:rsidR="00891D02" w:rsidRDefault="00891D02" w:rsidP="00E16FDA">
            <w:pPr>
              <w:spacing w:before="144" w:line="360" w:lineRule="exact"/>
              <w:ind w:left="58" w:firstLine="0"/>
              <w:jc w:val="left"/>
              <w:rPr>
                <w:rFonts w:ascii="Lucida Sans" w:hAnsi="Lucida Sans"/>
                <w:sz w:val="22"/>
                <w:szCs w:val="22"/>
              </w:rPr>
            </w:pPr>
            <w:bookmarkStart w:id="14" w:name="RepType2"/>
            <w:bookmarkEnd w:id="14"/>
            <w:r>
              <w:rPr>
                <w:rFonts w:ascii="Lucida Sans" w:hAnsi="Lucida Sans"/>
                <w:sz w:val="22"/>
                <w:szCs w:val="22"/>
              </w:rPr>
              <w:t>Part A</w:t>
            </w:r>
          </w:p>
          <w:p w:rsidR="00891D02" w:rsidRPr="00451D9C" w:rsidRDefault="00E65D39" w:rsidP="00E16FDA">
            <w:pPr>
              <w:spacing w:before="144" w:after="288" w:line="360" w:lineRule="exact"/>
              <w:ind w:left="58" w:firstLine="0"/>
              <w:jc w:val="left"/>
              <w:rPr>
                <w:rFonts w:ascii="Lucida Sans" w:hAnsi="Lucida Sans"/>
                <w:sz w:val="22"/>
                <w:szCs w:val="22"/>
              </w:rPr>
            </w:pPr>
            <w:bookmarkStart w:id="15" w:name="DateMark2"/>
            <w:bookmarkEnd w:id="15"/>
            <w:r>
              <w:rPr>
                <w:rFonts w:ascii="Lucida Sans" w:hAnsi="Lucida Sans"/>
                <w:sz w:val="22"/>
                <w:szCs w:val="22"/>
              </w:rPr>
              <w:t>November 21</w:t>
            </w:r>
            <w:r w:rsidR="000833A8">
              <w:rPr>
                <w:rFonts w:ascii="Lucida Sans" w:hAnsi="Lucida Sans"/>
                <w:sz w:val="22"/>
                <w:szCs w:val="22"/>
              </w:rPr>
              <w:t>,</w:t>
            </w:r>
            <w:r w:rsidR="00891D02">
              <w:rPr>
                <w:rFonts w:ascii="Lucida Sans" w:hAnsi="Lucida Sans"/>
                <w:sz w:val="22"/>
                <w:szCs w:val="22"/>
              </w:rPr>
              <w:t xml:space="preserve"> 2011</w:t>
            </w:r>
          </w:p>
          <w:p w:rsidR="00891D02" w:rsidRDefault="00891D02" w:rsidP="00E16FDA">
            <w:pPr>
              <w:spacing w:line="264" w:lineRule="auto"/>
              <w:ind w:left="58" w:firstLine="0"/>
              <w:jc w:val="left"/>
              <w:rPr>
                <w:rFonts w:ascii="Lucida Sans" w:hAnsi="Lucida Sans"/>
                <w:sz w:val="20"/>
                <w:szCs w:val="20"/>
              </w:rPr>
            </w:pPr>
          </w:p>
          <w:p w:rsidR="00891D02" w:rsidRPr="00451D9C" w:rsidRDefault="00891D02" w:rsidP="00E16FDA">
            <w:pPr>
              <w:spacing w:line="264" w:lineRule="auto"/>
              <w:ind w:left="58" w:firstLine="0"/>
              <w:jc w:val="left"/>
              <w:rPr>
                <w:rFonts w:ascii="Lucida Sans" w:hAnsi="Lucida Sans"/>
                <w:sz w:val="22"/>
                <w:szCs w:val="22"/>
              </w:rPr>
            </w:pPr>
          </w:p>
        </w:tc>
      </w:tr>
    </w:tbl>
    <w:p w:rsidR="00891D02" w:rsidRDefault="00891D02" w:rsidP="00891D02">
      <w:pPr>
        <w:tabs>
          <w:tab w:val="clear" w:pos="432"/>
          <w:tab w:val="left" w:pos="8255"/>
        </w:tabs>
        <w:spacing w:line="264" w:lineRule="auto"/>
        <w:ind w:firstLine="0"/>
        <w:rPr>
          <w:rFonts w:ascii="Lucida Sans" w:hAnsi="Lucida Sans"/>
          <w:sz w:val="22"/>
          <w:szCs w:val="22"/>
        </w:rPr>
      </w:pPr>
      <w:r>
        <w:rPr>
          <w:rFonts w:ascii="Lucida Sans" w:hAnsi="Lucida Sans"/>
          <w:sz w:val="22"/>
          <w:szCs w:val="22"/>
        </w:rPr>
        <w:tab/>
      </w:r>
    </w:p>
    <w:p w:rsidR="00891D02" w:rsidRDefault="00891D02" w:rsidP="00891D02">
      <w:pPr>
        <w:spacing w:line="264" w:lineRule="auto"/>
        <w:ind w:firstLine="0"/>
        <w:rPr>
          <w:rFonts w:ascii="Lucida Sans" w:hAnsi="Lucida Sans"/>
          <w:sz w:val="22"/>
          <w:szCs w:val="22"/>
        </w:rPr>
      </w:pPr>
      <w:r>
        <w:rPr>
          <w:rFonts w:ascii="Lucida Sans" w:hAnsi="Lucida Sans"/>
          <w:noProof/>
        </w:rPr>
        <w:drawing>
          <wp:anchor distT="0" distB="0" distL="114300" distR="114300" simplePos="0" relativeHeight="251669504" behindDoc="0" locked="1" layoutInCell="1" allowOverlap="1">
            <wp:simplePos x="0" y="0"/>
            <wp:positionH relativeFrom="page">
              <wp:posOffset>4096385</wp:posOffset>
            </wp:positionH>
            <wp:positionV relativeFrom="page">
              <wp:posOffset>6638290</wp:posOffset>
            </wp:positionV>
            <wp:extent cx="1828800" cy="581025"/>
            <wp:effectExtent l="19050" t="0" r="0" b="0"/>
            <wp:wrapThrough wrapText="bothSides">
              <wp:wrapPolygon edited="0">
                <wp:start x="-225" y="0"/>
                <wp:lineTo x="-225" y="21246"/>
                <wp:lineTo x="21600" y="21246"/>
                <wp:lineTo x="21600" y="0"/>
                <wp:lineTo x="-225" y="0"/>
              </wp:wrapPolygon>
            </wp:wrapThrough>
            <wp:docPr id="33" name="Picture 7"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thematica Policy Research logo."/>
                    <pic:cNvPicPr>
                      <a:picLocks noChangeAspect="1" noChangeArrowheads="1"/>
                    </pic:cNvPicPr>
                  </pic:nvPicPr>
                  <pic:blipFill>
                    <a:blip r:embed="rId25" cstate="print"/>
                    <a:srcRect/>
                    <a:stretch>
                      <a:fillRect/>
                    </a:stretch>
                  </pic:blipFill>
                  <pic:spPr bwMode="auto">
                    <a:xfrm>
                      <a:off x="0" y="0"/>
                      <a:ext cx="1828800" cy="581025"/>
                    </a:xfrm>
                    <a:prstGeom prst="rect">
                      <a:avLst/>
                    </a:prstGeom>
                    <a:noFill/>
                  </pic:spPr>
                </pic:pic>
              </a:graphicData>
            </a:graphic>
          </wp:anchor>
        </w:drawing>
      </w:r>
      <w:r>
        <w:rPr>
          <w:rFonts w:ascii="Lucida Sans" w:hAnsi="Lucida Sans"/>
          <w:noProof/>
          <w:sz w:val="22"/>
          <w:szCs w:val="22"/>
        </w:rPr>
        <w:drawing>
          <wp:anchor distT="0" distB="0" distL="114300" distR="114300" simplePos="0" relativeHeight="251667456" behindDoc="0" locked="1" layoutInCell="1" allowOverlap="1">
            <wp:simplePos x="0" y="0"/>
            <wp:positionH relativeFrom="page">
              <wp:posOffset>0</wp:posOffset>
            </wp:positionH>
            <wp:positionV relativeFrom="page">
              <wp:posOffset>5723890</wp:posOffset>
            </wp:positionV>
            <wp:extent cx="7802880" cy="2562225"/>
            <wp:effectExtent l="19050" t="0" r="7620" b="0"/>
            <wp:wrapThrough wrapText="bothSides">
              <wp:wrapPolygon edited="0">
                <wp:start x="-53" y="0"/>
                <wp:lineTo x="-53" y="21520"/>
                <wp:lineTo x="21621" y="21520"/>
                <wp:lineTo x="21621" y="0"/>
                <wp:lineTo x="-53" y="0"/>
              </wp:wrapPolygon>
            </wp:wrapThrough>
            <wp:docPr id="3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srcRect/>
                    <a:stretch>
                      <a:fillRect/>
                    </a:stretch>
                  </pic:blipFill>
                  <pic:spPr bwMode="auto">
                    <a:xfrm>
                      <a:off x="0" y="0"/>
                      <a:ext cx="7802880" cy="2562225"/>
                    </a:xfrm>
                    <a:prstGeom prst="rect">
                      <a:avLst/>
                    </a:prstGeom>
                    <a:noFill/>
                  </pic:spPr>
                </pic:pic>
              </a:graphicData>
            </a:graphic>
          </wp:anchor>
        </w:drawing>
      </w:r>
    </w:p>
    <w:p w:rsidR="00891D02" w:rsidRDefault="00891D02" w:rsidP="00891D02">
      <w:pPr>
        <w:pStyle w:val="NormalSS"/>
        <w:sectPr w:rsidR="00891D02">
          <w:endnotePr>
            <w:numFmt w:val="decimal"/>
          </w:endnotePr>
          <w:pgSz w:w="12240" w:h="15840" w:code="1"/>
          <w:pgMar w:top="1440" w:right="1440" w:bottom="576" w:left="1440" w:header="720" w:footer="576" w:gutter="0"/>
          <w:pgNumType w:fmt="lowerRoman" w:start="1"/>
          <w:cols w:space="720"/>
          <w:docGrid w:linePitch="326"/>
        </w:sectPr>
      </w:pPr>
    </w:p>
    <w:p w:rsidR="00891D02" w:rsidRDefault="00891D02" w:rsidP="002F6A88">
      <w:pPr>
        <w:spacing w:after="480" w:line="240" w:lineRule="auto"/>
        <w:ind w:firstLine="0"/>
        <w:jc w:val="center"/>
        <w:rPr>
          <w:rFonts w:ascii="Lucida Sans" w:hAnsi="Lucida Sans" w:cs="Lucida Sans"/>
          <w:b/>
        </w:rPr>
        <w:sectPr w:rsidR="00891D02" w:rsidSect="002F6A88">
          <w:headerReference w:type="default" r:id="rId27"/>
          <w:footerReference w:type="default" r:id="rId28"/>
          <w:endnotePr>
            <w:numFmt w:val="decimal"/>
          </w:endnotePr>
          <w:type w:val="continuous"/>
          <w:pgSz w:w="12240" w:h="15840" w:code="1"/>
          <w:pgMar w:top="1440" w:right="1440" w:bottom="576" w:left="1440" w:header="720" w:footer="576" w:gutter="0"/>
          <w:pgNumType w:fmt="lowerRoman" w:start="3"/>
          <w:cols w:space="720"/>
          <w:docGrid w:linePitch="326"/>
        </w:sectPr>
      </w:pPr>
    </w:p>
    <w:p w:rsidR="00891D02" w:rsidRDefault="00891D02" w:rsidP="002F6A88">
      <w:pPr>
        <w:spacing w:after="480" w:line="240" w:lineRule="auto"/>
        <w:ind w:firstLine="0"/>
        <w:jc w:val="center"/>
        <w:rPr>
          <w:rFonts w:ascii="Lucida Sans" w:hAnsi="Lucida Sans" w:cs="Lucida Sans"/>
          <w:b/>
        </w:rPr>
        <w:sectPr w:rsidR="00891D02" w:rsidSect="00891D02">
          <w:headerReference w:type="default" r:id="rId29"/>
          <w:footerReference w:type="default" r:id="rId30"/>
          <w:endnotePr>
            <w:numFmt w:val="decimal"/>
          </w:endnotePr>
          <w:pgSz w:w="12240" w:h="15840" w:code="1"/>
          <w:pgMar w:top="1440" w:right="1440" w:bottom="576" w:left="1440" w:header="720" w:footer="576" w:gutter="0"/>
          <w:pgNumType w:fmt="lowerRoman"/>
          <w:cols w:space="720"/>
          <w:docGrid w:linePitch="326"/>
        </w:sectPr>
      </w:pPr>
    </w:p>
    <w:p w:rsidR="002F6A88" w:rsidRDefault="002F6A88" w:rsidP="002F6A88">
      <w:pPr>
        <w:spacing w:after="480" w:line="240" w:lineRule="auto"/>
        <w:ind w:firstLine="0"/>
        <w:jc w:val="center"/>
        <w:rPr>
          <w:rFonts w:ascii="Lucida Sans" w:hAnsi="Lucida Sans" w:cs="Lucida Sans"/>
          <w:b/>
        </w:rPr>
      </w:pPr>
      <w:r>
        <w:rPr>
          <w:rFonts w:ascii="Lucida Sans" w:hAnsi="Lucida Sans" w:cs="Lucida Sans"/>
          <w:b/>
        </w:rPr>
        <w:lastRenderedPageBreak/>
        <w:t>CONTENTS</w:t>
      </w:r>
    </w:p>
    <w:p w:rsidR="002F6A88" w:rsidRDefault="002F6A88" w:rsidP="002F6A88">
      <w:pPr>
        <w:pStyle w:val="TOC1"/>
        <w:rPr>
          <w:rFonts w:asciiTheme="minorHAnsi" w:eastAsiaTheme="minorEastAsia" w:hAnsiTheme="minorHAnsi" w:cstheme="minorBidi"/>
          <w:caps w:val="0"/>
          <w:noProof/>
          <w:szCs w:val="22"/>
        </w:rPr>
      </w:pPr>
      <w:r>
        <w:rPr>
          <w:noProof/>
        </w:rPr>
        <w:t>PART A.</w:t>
      </w:r>
      <w:r>
        <w:rPr>
          <w:noProof/>
        </w:rPr>
        <w:tab/>
        <w:t>SUPPORTING STATEMENT FOR PAPERWORK  REDUCTION ACT SUBMISSION</w:t>
      </w:r>
      <w:r>
        <w:rPr>
          <w:noProof/>
          <w:webHidden/>
        </w:rPr>
        <w:tab/>
        <w:t>1</w:t>
      </w:r>
    </w:p>
    <w:p w:rsidR="002F6A88" w:rsidRDefault="002F6A88" w:rsidP="002F6A88">
      <w:pPr>
        <w:pStyle w:val="TOC2"/>
        <w:rPr>
          <w:rFonts w:asciiTheme="minorHAnsi" w:eastAsiaTheme="minorEastAsia" w:hAnsiTheme="minorHAnsi" w:cstheme="minorBidi"/>
          <w:noProof/>
          <w:szCs w:val="22"/>
        </w:rPr>
      </w:pPr>
      <w:r>
        <w:rPr>
          <w:noProof/>
        </w:rPr>
        <w:t>A.</w:t>
      </w:r>
      <w:r>
        <w:rPr>
          <w:rFonts w:asciiTheme="minorHAnsi" w:eastAsiaTheme="minorEastAsia" w:hAnsiTheme="minorHAnsi" w:cstheme="minorBidi"/>
          <w:noProof/>
          <w:szCs w:val="22"/>
        </w:rPr>
        <w:tab/>
      </w:r>
      <w:r>
        <w:rPr>
          <w:noProof/>
        </w:rPr>
        <w:t>Justification</w:t>
      </w:r>
      <w:r>
        <w:rPr>
          <w:noProof/>
          <w:webHidden/>
        </w:rPr>
        <w:tab/>
        <w:t>1</w:t>
      </w:r>
    </w:p>
    <w:p w:rsidR="002F6A88" w:rsidRDefault="002F6A88" w:rsidP="0092768A">
      <w:pPr>
        <w:pStyle w:val="TOC3"/>
        <w:rPr>
          <w:rFonts w:asciiTheme="minorHAnsi" w:eastAsiaTheme="minorEastAsia" w:hAnsiTheme="minorHAnsi" w:cstheme="minorBidi"/>
          <w:noProof/>
          <w:szCs w:val="22"/>
        </w:rPr>
      </w:pPr>
      <w:r>
        <w:rPr>
          <w:noProof/>
        </w:rPr>
        <w:t xml:space="preserve">1. </w:t>
      </w:r>
      <w:r>
        <w:rPr>
          <w:rFonts w:asciiTheme="minorHAnsi" w:eastAsiaTheme="minorEastAsia" w:hAnsiTheme="minorHAnsi" w:cstheme="minorBidi"/>
          <w:noProof/>
          <w:szCs w:val="22"/>
        </w:rPr>
        <w:tab/>
      </w:r>
      <w:r>
        <w:rPr>
          <w:noProof/>
        </w:rPr>
        <w:t>Circumstances Necessitating the Collection of Information</w:t>
      </w:r>
      <w:r>
        <w:rPr>
          <w:noProof/>
          <w:webHidden/>
        </w:rPr>
        <w:tab/>
        <w:t>1</w:t>
      </w:r>
    </w:p>
    <w:p w:rsidR="002F6A88" w:rsidRDefault="002F6A88" w:rsidP="0092768A">
      <w:pPr>
        <w:pStyle w:val="TOC3"/>
        <w:rPr>
          <w:rFonts w:asciiTheme="minorHAnsi" w:eastAsiaTheme="minorEastAsia" w:hAnsiTheme="minorHAnsi" w:cstheme="minorBidi"/>
          <w:noProof/>
          <w:szCs w:val="22"/>
        </w:rPr>
      </w:pPr>
      <w:r>
        <w:rPr>
          <w:noProof/>
        </w:rPr>
        <w:t>2.</w:t>
      </w:r>
      <w:r>
        <w:rPr>
          <w:rFonts w:asciiTheme="minorHAnsi" w:eastAsiaTheme="minorEastAsia" w:hAnsiTheme="minorHAnsi" w:cstheme="minorBidi"/>
          <w:noProof/>
          <w:szCs w:val="22"/>
        </w:rPr>
        <w:tab/>
      </w:r>
      <w:r>
        <w:rPr>
          <w:noProof/>
        </w:rPr>
        <w:t>Purposes and Uses of the Data</w:t>
      </w:r>
      <w:r>
        <w:rPr>
          <w:noProof/>
          <w:webHidden/>
        </w:rPr>
        <w:tab/>
      </w:r>
      <w:r w:rsidR="00442372">
        <w:rPr>
          <w:noProof/>
          <w:webHidden/>
        </w:rPr>
        <w:t>9</w:t>
      </w:r>
    </w:p>
    <w:p w:rsidR="002F6A88" w:rsidRDefault="002F6A88" w:rsidP="0092768A">
      <w:pPr>
        <w:pStyle w:val="TOC3"/>
        <w:rPr>
          <w:rFonts w:asciiTheme="minorHAnsi" w:eastAsiaTheme="minorEastAsia" w:hAnsiTheme="minorHAnsi" w:cstheme="minorBidi"/>
          <w:noProof/>
          <w:szCs w:val="22"/>
        </w:rPr>
      </w:pPr>
      <w:r>
        <w:rPr>
          <w:noProof/>
        </w:rPr>
        <w:t>3.</w:t>
      </w:r>
      <w:r>
        <w:rPr>
          <w:rFonts w:asciiTheme="minorHAnsi" w:eastAsiaTheme="minorEastAsia" w:hAnsiTheme="minorHAnsi" w:cstheme="minorBidi"/>
          <w:noProof/>
          <w:szCs w:val="22"/>
        </w:rPr>
        <w:tab/>
      </w:r>
      <w:r>
        <w:rPr>
          <w:noProof/>
        </w:rPr>
        <w:t>Use of Technology to Reduce Burden</w:t>
      </w:r>
      <w:r>
        <w:rPr>
          <w:noProof/>
          <w:webHidden/>
        </w:rPr>
        <w:tab/>
      </w:r>
      <w:r w:rsidR="00442372">
        <w:rPr>
          <w:noProof/>
          <w:webHidden/>
        </w:rPr>
        <w:t>10</w:t>
      </w:r>
    </w:p>
    <w:p w:rsidR="002F6A88" w:rsidRDefault="002F6A88" w:rsidP="0092768A">
      <w:pPr>
        <w:pStyle w:val="TOC3"/>
        <w:rPr>
          <w:rFonts w:asciiTheme="minorHAnsi" w:eastAsiaTheme="minorEastAsia" w:hAnsiTheme="minorHAnsi" w:cstheme="minorBidi"/>
          <w:noProof/>
          <w:szCs w:val="22"/>
        </w:rPr>
      </w:pPr>
      <w:r>
        <w:rPr>
          <w:noProof/>
        </w:rPr>
        <w:t>4.</w:t>
      </w:r>
      <w:r>
        <w:rPr>
          <w:rFonts w:asciiTheme="minorHAnsi" w:eastAsiaTheme="minorEastAsia" w:hAnsiTheme="minorHAnsi" w:cstheme="minorBidi"/>
          <w:noProof/>
          <w:szCs w:val="22"/>
        </w:rPr>
        <w:tab/>
      </w:r>
      <w:r>
        <w:rPr>
          <w:noProof/>
        </w:rPr>
        <w:t>Efforts to Avoid Duplication of Effort</w:t>
      </w:r>
      <w:r>
        <w:rPr>
          <w:noProof/>
          <w:webHidden/>
        </w:rPr>
        <w:tab/>
      </w:r>
      <w:r w:rsidR="00442372">
        <w:rPr>
          <w:noProof/>
          <w:webHidden/>
        </w:rPr>
        <w:t>11</w:t>
      </w:r>
    </w:p>
    <w:p w:rsidR="002F6A88" w:rsidRDefault="002F6A88" w:rsidP="0092768A">
      <w:pPr>
        <w:pStyle w:val="TOC3"/>
        <w:rPr>
          <w:rFonts w:asciiTheme="minorHAnsi" w:eastAsiaTheme="minorEastAsia" w:hAnsiTheme="minorHAnsi" w:cstheme="minorBidi"/>
          <w:noProof/>
          <w:szCs w:val="22"/>
        </w:rPr>
      </w:pPr>
      <w:r>
        <w:rPr>
          <w:noProof/>
        </w:rPr>
        <w:t>5.</w:t>
      </w:r>
      <w:r>
        <w:rPr>
          <w:rFonts w:asciiTheme="minorHAnsi" w:eastAsiaTheme="minorEastAsia" w:hAnsiTheme="minorHAnsi" w:cstheme="minorBidi"/>
          <w:noProof/>
          <w:szCs w:val="22"/>
        </w:rPr>
        <w:tab/>
      </w:r>
      <w:r>
        <w:rPr>
          <w:noProof/>
        </w:rPr>
        <w:t>Methods to Minimize Burden on Small Entities</w:t>
      </w:r>
      <w:r>
        <w:rPr>
          <w:noProof/>
          <w:webHidden/>
        </w:rPr>
        <w:tab/>
        <w:t>1</w:t>
      </w:r>
      <w:r w:rsidR="00442372">
        <w:rPr>
          <w:noProof/>
          <w:webHidden/>
        </w:rPr>
        <w:t>2</w:t>
      </w:r>
    </w:p>
    <w:p w:rsidR="002F6A88" w:rsidRDefault="002F6A88" w:rsidP="0092768A">
      <w:pPr>
        <w:pStyle w:val="TOC3"/>
        <w:rPr>
          <w:rFonts w:asciiTheme="minorHAnsi" w:eastAsiaTheme="minorEastAsia" w:hAnsiTheme="minorHAnsi" w:cstheme="minorBidi"/>
          <w:noProof/>
          <w:szCs w:val="22"/>
        </w:rPr>
      </w:pPr>
      <w:r>
        <w:rPr>
          <w:noProof/>
        </w:rPr>
        <w:t>6.</w:t>
      </w:r>
      <w:r>
        <w:rPr>
          <w:rFonts w:asciiTheme="minorHAnsi" w:eastAsiaTheme="minorEastAsia" w:hAnsiTheme="minorHAnsi" w:cstheme="minorBidi"/>
          <w:noProof/>
          <w:szCs w:val="22"/>
        </w:rPr>
        <w:tab/>
      </w:r>
      <w:r>
        <w:rPr>
          <w:noProof/>
        </w:rPr>
        <w:t>Consequences of Not Collecting Data</w:t>
      </w:r>
      <w:r>
        <w:rPr>
          <w:noProof/>
          <w:webHidden/>
        </w:rPr>
        <w:tab/>
        <w:t>1</w:t>
      </w:r>
      <w:r w:rsidR="00442372">
        <w:rPr>
          <w:noProof/>
          <w:webHidden/>
        </w:rPr>
        <w:t>2</w:t>
      </w:r>
    </w:p>
    <w:p w:rsidR="002F6A88" w:rsidRDefault="002F6A88" w:rsidP="0092768A">
      <w:pPr>
        <w:pStyle w:val="TOC3"/>
        <w:rPr>
          <w:rFonts w:asciiTheme="minorHAnsi" w:eastAsiaTheme="minorEastAsia" w:hAnsiTheme="minorHAnsi" w:cstheme="minorBidi"/>
          <w:noProof/>
          <w:szCs w:val="22"/>
        </w:rPr>
      </w:pPr>
      <w:r>
        <w:rPr>
          <w:noProof/>
        </w:rPr>
        <w:t>7.</w:t>
      </w:r>
      <w:r>
        <w:rPr>
          <w:rFonts w:asciiTheme="minorHAnsi" w:eastAsiaTheme="minorEastAsia" w:hAnsiTheme="minorHAnsi" w:cstheme="minorBidi"/>
          <w:noProof/>
          <w:szCs w:val="22"/>
        </w:rPr>
        <w:tab/>
      </w:r>
      <w:r>
        <w:rPr>
          <w:noProof/>
        </w:rPr>
        <w:t>Special Circumstances</w:t>
      </w:r>
      <w:r>
        <w:rPr>
          <w:noProof/>
          <w:webHidden/>
        </w:rPr>
        <w:tab/>
        <w:t>1</w:t>
      </w:r>
      <w:r w:rsidR="00442372">
        <w:rPr>
          <w:noProof/>
          <w:webHidden/>
        </w:rPr>
        <w:t>2</w:t>
      </w:r>
    </w:p>
    <w:p w:rsidR="002F6A88" w:rsidRDefault="002F6A88" w:rsidP="0092768A">
      <w:pPr>
        <w:pStyle w:val="TOC3"/>
        <w:rPr>
          <w:rFonts w:asciiTheme="minorHAnsi" w:eastAsiaTheme="minorEastAsia" w:hAnsiTheme="minorHAnsi" w:cstheme="minorBidi"/>
          <w:noProof/>
          <w:szCs w:val="22"/>
        </w:rPr>
      </w:pPr>
      <w:r>
        <w:rPr>
          <w:noProof/>
        </w:rPr>
        <w:t>8.</w:t>
      </w:r>
      <w:r>
        <w:rPr>
          <w:rFonts w:asciiTheme="minorHAnsi" w:eastAsiaTheme="minorEastAsia" w:hAnsiTheme="minorHAnsi" w:cstheme="minorBidi"/>
          <w:noProof/>
          <w:szCs w:val="22"/>
        </w:rPr>
        <w:tab/>
      </w:r>
      <w:r w:rsidRPr="00AB1FB9">
        <w:rPr>
          <w:i/>
          <w:noProof/>
        </w:rPr>
        <w:t>Federal Register</w:t>
      </w:r>
      <w:r>
        <w:rPr>
          <w:noProof/>
        </w:rPr>
        <w:t xml:space="preserve"> Announcement and Consultation</w:t>
      </w:r>
      <w:r>
        <w:rPr>
          <w:noProof/>
          <w:webHidden/>
        </w:rPr>
        <w:tab/>
        <w:t>1</w:t>
      </w:r>
      <w:r w:rsidR="00442372">
        <w:rPr>
          <w:noProof/>
          <w:webHidden/>
        </w:rPr>
        <w:t>2</w:t>
      </w:r>
    </w:p>
    <w:p w:rsidR="002F6A88" w:rsidRDefault="002F6A88" w:rsidP="0092768A">
      <w:pPr>
        <w:pStyle w:val="TOC3"/>
        <w:rPr>
          <w:rFonts w:asciiTheme="minorHAnsi" w:eastAsiaTheme="minorEastAsia" w:hAnsiTheme="minorHAnsi" w:cstheme="minorBidi"/>
          <w:noProof/>
          <w:szCs w:val="22"/>
        </w:rPr>
      </w:pPr>
      <w:r>
        <w:rPr>
          <w:noProof/>
        </w:rPr>
        <w:t>9.</w:t>
      </w:r>
      <w:r>
        <w:rPr>
          <w:rFonts w:asciiTheme="minorHAnsi" w:eastAsiaTheme="minorEastAsia" w:hAnsiTheme="minorHAnsi" w:cstheme="minorBidi"/>
          <w:noProof/>
          <w:szCs w:val="22"/>
        </w:rPr>
        <w:tab/>
      </w:r>
      <w:r>
        <w:rPr>
          <w:noProof/>
        </w:rPr>
        <w:t>Payments or Gifts</w:t>
      </w:r>
      <w:r>
        <w:rPr>
          <w:noProof/>
          <w:webHidden/>
        </w:rPr>
        <w:tab/>
        <w:t>1</w:t>
      </w:r>
      <w:r w:rsidR="00442372">
        <w:rPr>
          <w:noProof/>
          <w:webHidden/>
        </w:rPr>
        <w:t>3</w:t>
      </w:r>
    </w:p>
    <w:p w:rsidR="002F6A88" w:rsidRDefault="002F6A88" w:rsidP="0092768A">
      <w:pPr>
        <w:pStyle w:val="TOC3"/>
        <w:rPr>
          <w:rFonts w:asciiTheme="minorHAnsi" w:eastAsiaTheme="minorEastAsia" w:hAnsiTheme="minorHAnsi" w:cstheme="minorBidi"/>
          <w:noProof/>
          <w:szCs w:val="22"/>
        </w:rPr>
      </w:pPr>
      <w:r>
        <w:rPr>
          <w:noProof/>
        </w:rPr>
        <w:t>10.</w:t>
      </w:r>
      <w:r>
        <w:rPr>
          <w:rFonts w:asciiTheme="minorHAnsi" w:eastAsiaTheme="minorEastAsia" w:hAnsiTheme="minorHAnsi" w:cstheme="minorBidi"/>
          <w:noProof/>
          <w:szCs w:val="22"/>
        </w:rPr>
        <w:tab/>
      </w:r>
      <w:r>
        <w:rPr>
          <w:noProof/>
        </w:rPr>
        <w:t>Assurances of Confidentiality</w:t>
      </w:r>
      <w:r>
        <w:rPr>
          <w:noProof/>
          <w:webHidden/>
        </w:rPr>
        <w:tab/>
        <w:t>1</w:t>
      </w:r>
      <w:r w:rsidR="00442372">
        <w:rPr>
          <w:noProof/>
          <w:webHidden/>
        </w:rPr>
        <w:t>4</w:t>
      </w:r>
    </w:p>
    <w:p w:rsidR="002F6A88" w:rsidRDefault="002F6A88" w:rsidP="0092768A">
      <w:pPr>
        <w:pStyle w:val="TOC3"/>
        <w:rPr>
          <w:rFonts w:asciiTheme="minorHAnsi" w:eastAsiaTheme="minorEastAsia" w:hAnsiTheme="minorHAnsi" w:cstheme="minorBidi"/>
          <w:noProof/>
          <w:szCs w:val="22"/>
        </w:rPr>
      </w:pPr>
      <w:r>
        <w:rPr>
          <w:noProof/>
        </w:rPr>
        <w:t>11.</w:t>
      </w:r>
      <w:r>
        <w:rPr>
          <w:rFonts w:asciiTheme="minorHAnsi" w:eastAsiaTheme="minorEastAsia" w:hAnsiTheme="minorHAnsi" w:cstheme="minorBidi"/>
          <w:noProof/>
          <w:szCs w:val="22"/>
        </w:rPr>
        <w:tab/>
      </w:r>
      <w:r>
        <w:rPr>
          <w:noProof/>
        </w:rPr>
        <w:t>Additional Justification for Sensitive Questions</w:t>
      </w:r>
      <w:r>
        <w:rPr>
          <w:noProof/>
          <w:webHidden/>
        </w:rPr>
        <w:tab/>
        <w:t>1</w:t>
      </w:r>
      <w:r w:rsidR="00442372">
        <w:rPr>
          <w:noProof/>
          <w:webHidden/>
        </w:rPr>
        <w:t>5</w:t>
      </w:r>
    </w:p>
    <w:p w:rsidR="002F6A88" w:rsidRDefault="002F6A88" w:rsidP="0092768A">
      <w:pPr>
        <w:pStyle w:val="TOC3"/>
        <w:rPr>
          <w:rFonts w:asciiTheme="minorHAnsi" w:eastAsiaTheme="minorEastAsia" w:hAnsiTheme="minorHAnsi" w:cstheme="minorBidi"/>
          <w:noProof/>
          <w:szCs w:val="22"/>
        </w:rPr>
      </w:pPr>
      <w:r>
        <w:rPr>
          <w:noProof/>
        </w:rPr>
        <w:t>12.</w:t>
      </w:r>
      <w:r>
        <w:rPr>
          <w:rFonts w:asciiTheme="minorHAnsi" w:eastAsiaTheme="minorEastAsia" w:hAnsiTheme="minorHAnsi" w:cstheme="minorBidi"/>
          <w:noProof/>
          <w:szCs w:val="22"/>
        </w:rPr>
        <w:tab/>
      </w:r>
      <w:r>
        <w:rPr>
          <w:noProof/>
        </w:rPr>
        <w:t>Estimates of Hours Burden</w:t>
      </w:r>
      <w:r>
        <w:rPr>
          <w:noProof/>
          <w:webHidden/>
        </w:rPr>
        <w:tab/>
        <w:t>1</w:t>
      </w:r>
      <w:r w:rsidR="00442372">
        <w:rPr>
          <w:noProof/>
          <w:webHidden/>
        </w:rPr>
        <w:t>5</w:t>
      </w:r>
    </w:p>
    <w:p w:rsidR="002F6A88" w:rsidRDefault="002F6A88" w:rsidP="0092768A">
      <w:pPr>
        <w:pStyle w:val="TOC3"/>
        <w:rPr>
          <w:rFonts w:asciiTheme="minorHAnsi" w:eastAsiaTheme="minorEastAsia" w:hAnsiTheme="minorHAnsi" w:cstheme="minorBidi"/>
          <w:noProof/>
          <w:szCs w:val="22"/>
        </w:rPr>
      </w:pPr>
      <w:r>
        <w:rPr>
          <w:noProof/>
        </w:rPr>
        <w:t>13.</w:t>
      </w:r>
      <w:r>
        <w:rPr>
          <w:rFonts w:asciiTheme="minorHAnsi" w:eastAsiaTheme="minorEastAsia" w:hAnsiTheme="minorHAnsi" w:cstheme="minorBidi"/>
          <w:noProof/>
          <w:szCs w:val="22"/>
        </w:rPr>
        <w:tab/>
      </w:r>
      <w:r>
        <w:rPr>
          <w:noProof/>
        </w:rPr>
        <w:t>Estimates of Cost Burden to Respondents</w:t>
      </w:r>
      <w:r>
        <w:rPr>
          <w:noProof/>
          <w:webHidden/>
        </w:rPr>
        <w:tab/>
        <w:t>1</w:t>
      </w:r>
      <w:r w:rsidR="00442372">
        <w:rPr>
          <w:noProof/>
          <w:webHidden/>
        </w:rPr>
        <w:t>5</w:t>
      </w:r>
    </w:p>
    <w:p w:rsidR="002F6A88" w:rsidRDefault="002F6A88" w:rsidP="0092768A">
      <w:pPr>
        <w:pStyle w:val="TOC3"/>
        <w:rPr>
          <w:rFonts w:asciiTheme="minorHAnsi" w:eastAsiaTheme="minorEastAsia" w:hAnsiTheme="minorHAnsi" w:cstheme="minorBidi"/>
          <w:noProof/>
          <w:szCs w:val="22"/>
        </w:rPr>
      </w:pPr>
      <w:r>
        <w:rPr>
          <w:noProof/>
        </w:rPr>
        <w:t>14.</w:t>
      </w:r>
      <w:r>
        <w:rPr>
          <w:rFonts w:asciiTheme="minorHAnsi" w:eastAsiaTheme="minorEastAsia" w:hAnsiTheme="minorHAnsi" w:cstheme="minorBidi"/>
          <w:noProof/>
          <w:szCs w:val="22"/>
        </w:rPr>
        <w:tab/>
      </w:r>
      <w:r>
        <w:rPr>
          <w:noProof/>
        </w:rPr>
        <w:t>Estimates of Annual Costs to the Federal Government</w:t>
      </w:r>
      <w:r>
        <w:rPr>
          <w:noProof/>
          <w:webHidden/>
        </w:rPr>
        <w:tab/>
        <w:t>1</w:t>
      </w:r>
      <w:r w:rsidR="00442372">
        <w:rPr>
          <w:noProof/>
          <w:webHidden/>
        </w:rPr>
        <w:t>5</w:t>
      </w:r>
    </w:p>
    <w:p w:rsidR="002F6A88" w:rsidRDefault="002F6A88" w:rsidP="0092768A">
      <w:pPr>
        <w:pStyle w:val="TOC3"/>
        <w:rPr>
          <w:rFonts w:asciiTheme="minorHAnsi" w:eastAsiaTheme="minorEastAsia" w:hAnsiTheme="minorHAnsi" w:cstheme="minorBidi"/>
          <w:noProof/>
          <w:szCs w:val="22"/>
        </w:rPr>
      </w:pPr>
      <w:r>
        <w:rPr>
          <w:noProof/>
        </w:rPr>
        <w:t>15.</w:t>
      </w:r>
      <w:r>
        <w:rPr>
          <w:rFonts w:asciiTheme="minorHAnsi" w:eastAsiaTheme="minorEastAsia" w:hAnsiTheme="minorHAnsi" w:cstheme="minorBidi"/>
          <w:noProof/>
          <w:szCs w:val="22"/>
        </w:rPr>
        <w:tab/>
      </w:r>
      <w:r>
        <w:rPr>
          <w:noProof/>
        </w:rPr>
        <w:t>Reasons for Program Changes or Adjustments</w:t>
      </w:r>
      <w:r>
        <w:rPr>
          <w:noProof/>
          <w:webHidden/>
        </w:rPr>
        <w:tab/>
        <w:t>1</w:t>
      </w:r>
      <w:r w:rsidR="00442372">
        <w:rPr>
          <w:noProof/>
          <w:webHidden/>
        </w:rPr>
        <w:t>5</w:t>
      </w:r>
    </w:p>
    <w:p w:rsidR="002F6A88" w:rsidRDefault="002F6A88" w:rsidP="0092768A">
      <w:pPr>
        <w:pStyle w:val="TOC3"/>
        <w:rPr>
          <w:rFonts w:asciiTheme="minorHAnsi" w:eastAsiaTheme="minorEastAsia" w:hAnsiTheme="minorHAnsi" w:cstheme="minorBidi"/>
          <w:noProof/>
          <w:szCs w:val="22"/>
        </w:rPr>
      </w:pPr>
      <w:r>
        <w:rPr>
          <w:noProof/>
        </w:rPr>
        <w:t>16.</w:t>
      </w:r>
      <w:r>
        <w:rPr>
          <w:rFonts w:asciiTheme="minorHAnsi" w:eastAsiaTheme="minorEastAsia" w:hAnsiTheme="minorHAnsi" w:cstheme="minorBidi"/>
          <w:noProof/>
          <w:szCs w:val="22"/>
        </w:rPr>
        <w:tab/>
      </w:r>
      <w:r>
        <w:rPr>
          <w:noProof/>
        </w:rPr>
        <w:t>Plan for Tabulation and Publication of Results</w:t>
      </w:r>
      <w:r>
        <w:rPr>
          <w:noProof/>
          <w:webHidden/>
        </w:rPr>
        <w:tab/>
        <w:t>1</w:t>
      </w:r>
      <w:r w:rsidR="00442372">
        <w:rPr>
          <w:noProof/>
          <w:webHidden/>
        </w:rPr>
        <w:t>6</w:t>
      </w:r>
    </w:p>
    <w:p w:rsidR="002F6A88" w:rsidRDefault="002F6A88" w:rsidP="0092768A">
      <w:pPr>
        <w:pStyle w:val="TOC3"/>
        <w:rPr>
          <w:rFonts w:asciiTheme="minorHAnsi" w:eastAsiaTheme="minorEastAsia" w:hAnsiTheme="minorHAnsi" w:cstheme="minorBidi"/>
          <w:noProof/>
          <w:szCs w:val="22"/>
        </w:rPr>
      </w:pPr>
      <w:r>
        <w:rPr>
          <w:noProof/>
        </w:rPr>
        <w:t>17.</w:t>
      </w:r>
      <w:r>
        <w:rPr>
          <w:rFonts w:asciiTheme="minorHAnsi" w:eastAsiaTheme="minorEastAsia" w:hAnsiTheme="minorHAnsi" w:cstheme="minorBidi"/>
          <w:noProof/>
          <w:szCs w:val="22"/>
        </w:rPr>
        <w:tab/>
      </w:r>
      <w:r>
        <w:rPr>
          <w:noProof/>
        </w:rPr>
        <w:t>Approval Not to Display the OMB Expiration Date</w:t>
      </w:r>
      <w:r>
        <w:rPr>
          <w:noProof/>
          <w:webHidden/>
        </w:rPr>
        <w:tab/>
      </w:r>
      <w:r w:rsidR="00560FE4">
        <w:rPr>
          <w:noProof/>
          <w:webHidden/>
        </w:rPr>
        <w:t>2</w:t>
      </w:r>
      <w:r w:rsidR="00442372">
        <w:rPr>
          <w:noProof/>
          <w:webHidden/>
        </w:rPr>
        <w:t>4</w:t>
      </w:r>
    </w:p>
    <w:p w:rsidR="002F6A88" w:rsidRDefault="002F6A88" w:rsidP="0092768A">
      <w:pPr>
        <w:pStyle w:val="TOC3"/>
        <w:rPr>
          <w:noProof/>
          <w:webHidden/>
        </w:rPr>
      </w:pPr>
      <w:r>
        <w:rPr>
          <w:noProof/>
        </w:rPr>
        <w:t>18.</w:t>
      </w:r>
      <w:r>
        <w:rPr>
          <w:rFonts w:asciiTheme="minorHAnsi" w:eastAsiaTheme="minorEastAsia" w:hAnsiTheme="minorHAnsi" w:cstheme="minorBidi"/>
          <w:noProof/>
          <w:szCs w:val="22"/>
        </w:rPr>
        <w:tab/>
      </w:r>
      <w:r>
        <w:rPr>
          <w:noProof/>
        </w:rPr>
        <w:t>Explanation of Exceptions</w:t>
      </w:r>
      <w:r>
        <w:rPr>
          <w:noProof/>
          <w:webHidden/>
        </w:rPr>
        <w:tab/>
      </w:r>
      <w:r w:rsidR="00442372">
        <w:rPr>
          <w:noProof/>
          <w:webHidden/>
        </w:rPr>
        <w:t>24</w:t>
      </w:r>
    </w:p>
    <w:p w:rsidR="00FA205C" w:rsidRDefault="00FA205C" w:rsidP="0092768A">
      <w:pPr>
        <w:pStyle w:val="TOC3"/>
        <w:rPr>
          <w:noProof/>
        </w:rPr>
      </w:pPr>
    </w:p>
    <w:p w:rsidR="002F6A88" w:rsidRDefault="00CD159A" w:rsidP="00CD159A">
      <w:pPr>
        <w:pStyle w:val="TOC3"/>
        <w:ind w:left="2880" w:hanging="1440"/>
        <w:rPr>
          <w:noProof/>
          <w:webHidden/>
        </w:rPr>
      </w:pPr>
      <w:r>
        <w:rPr>
          <w:noProof/>
        </w:rPr>
        <w:t>REFERENCES</w:t>
      </w:r>
      <w:r>
        <w:rPr>
          <w:noProof/>
          <w:webHidden/>
        </w:rPr>
        <w:tab/>
      </w:r>
      <w:r>
        <w:rPr>
          <w:noProof/>
          <w:webHidden/>
        </w:rPr>
        <w:tab/>
        <w:t>2</w:t>
      </w:r>
      <w:r w:rsidR="00442372">
        <w:rPr>
          <w:noProof/>
          <w:webHidden/>
        </w:rPr>
        <w:t>5</w:t>
      </w:r>
    </w:p>
    <w:p w:rsidR="00227ADF" w:rsidRPr="00227ADF" w:rsidRDefault="00227ADF" w:rsidP="00227ADF">
      <w:pPr>
        <w:spacing w:line="240" w:lineRule="auto"/>
      </w:pPr>
    </w:p>
    <w:p w:rsidR="002F6A88" w:rsidRDefault="001902A4" w:rsidP="00CD159A">
      <w:pPr>
        <w:pStyle w:val="TOC3"/>
        <w:ind w:left="2880" w:hanging="1440"/>
        <w:rPr>
          <w:noProof/>
          <w:webHidden/>
        </w:rPr>
      </w:pPr>
      <w:r>
        <w:rPr>
          <w:noProof/>
        </w:rPr>
        <w:t>APPENDIX A:</w:t>
      </w:r>
      <w:r w:rsidR="00CD159A">
        <w:rPr>
          <w:noProof/>
        </w:rPr>
        <w:tab/>
      </w:r>
      <w:r>
        <w:rPr>
          <w:noProof/>
        </w:rPr>
        <w:t xml:space="preserve">PROTOCOL FOR </w:t>
      </w:r>
      <w:r w:rsidR="003E2CD8">
        <w:rPr>
          <w:noProof/>
        </w:rPr>
        <w:t>STATE INTERVIEWS</w:t>
      </w:r>
    </w:p>
    <w:p w:rsidR="00227ADF" w:rsidRPr="00227ADF" w:rsidRDefault="00227ADF" w:rsidP="00227ADF">
      <w:pPr>
        <w:spacing w:line="240" w:lineRule="auto"/>
      </w:pPr>
    </w:p>
    <w:p w:rsidR="002F6A88" w:rsidRDefault="001902A4" w:rsidP="00CD159A">
      <w:pPr>
        <w:pStyle w:val="TOC3"/>
        <w:ind w:left="2880" w:hanging="1440"/>
        <w:rPr>
          <w:noProof/>
          <w:webHidden/>
        </w:rPr>
      </w:pPr>
      <w:r>
        <w:rPr>
          <w:noProof/>
        </w:rPr>
        <w:t>APPENDIX B:</w:t>
      </w:r>
      <w:r w:rsidR="00CD159A">
        <w:rPr>
          <w:noProof/>
        </w:rPr>
        <w:tab/>
      </w:r>
      <w:r>
        <w:rPr>
          <w:noProof/>
        </w:rPr>
        <w:t xml:space="preserve">PROTOCOL FOR </w:t>
      </w:r>
      <w:r w:rsidR="003E2CD8">
        <w:rPr>
          <w:noProof/>
        </w:rPr>
        <w:t>DISTRICT INTERVIEWS</w:t>
      </w:r>
    </w:p>
    <w:p w:rsidR="00227ADF" w:rsidRPr="00227ADF" w:rsidRDefault="00227ADF" w:rsidP="00CD159A">
      <w:pPr>
        <w:pStyle w:val="TOC3"/>
        <w:ind w:left="2880" w:hanging="1440"/>
        <w:rPr>
          <w:noProof/>
        </w:rPr>
      </w:pPr>
    </w:p>
    <w:p w:rsidR="002F6A88" w:rsidRDefault="001902A4" w:rsidP="00CD159A">
      <w:pPr>
        <w:pStyle w:val="TOC3"/>
        <w:ind w:left="2880" w:hanging="1440"/>
        <w:rPr>
          <w:noProof/>
          <w:webHidden/>
        </w:rPr>
      </w:pPr>
      <w:r>
        <w:rPr>
          <w:noProof/>
        </w:rPr>
        <w:t>APPENDIX C:</w:t>
      </w:r>
      <w:r w:rsidR="00CD159A">
        <w:rPr>
          <w:noProof/>
        </w:rPr>
        <w:tab/>
      </w:r>
      <w:r>
        <w:rPr>
          <w:noProof/>
        </w:rPr>
        <w:t>SCHOOL SURVEY</w:t>
      </w:r>
    </w:p>
    <w:p w:rsidR="00227ADF" w:rsidRPr="00227ADF" w:rsidRDefault="00227ADF" w:rsidP="00CD159A">
      <w:pPr>
        <w:pStyle w:val="TOC3"/>
        <w:ind w:left="2880" w:hanging="1440"/>
        <w:rPr>
          <w:noProof/>
        </w:rPr>
      </w:pPr>
    </w:p>
    <w:p w:rsidR="004B4C30" w:rsidRDefault="001902A4" w:rsidP="00CD159A">
      <w:pPr>
        <w:pStyle w:val="TOC3"/>
        <w:ind w:left="2880" w:hanging="1440"/>
        <w:rPr>
          <w:noProof/>
        </w:rPr>
      </w:pPr>
      <w:r>
        <w:rPr>
          <w:noProof/>
        </w:rPr>
        <w:t>APPENDIX D:</w:t>
      </w:r>
      <w:r w:rsidR="00CD159A">
        <w:rPr>
          <w:noProof/>
        </w:rPr>
        <w:tab/>
      </w:r>
      <w:r>
        <w:rPr>
          <w:noProof/>
        </w:rPr>
        <w:t>DATA COLLECTION FORM FOR STATE-LEVEL DATA</w:t>
      </w:r>
    </w:p>
    <w:p w:rsidR="002F6A88" w:rsidRDefault="004B4C30" w:rsidP="00CD159A">
      <w:pPr>
        <w:pStyle w:val="TOC3"/>
        <w:ind w:left="2880" w:hanging="1440"/>
        <w:rPr>
          <w:noProof/>
          <w:webHidden/>
        </w:rPr>
      </w:pPr>
      <w:r>
        <w:rPr>
          <w:noProof/>
        </w:rPr>
        <w:tab/>
      </w:r>
      <w:r>
        <w:rPr>
          <w:noProof/>
        </w:rPr>
        <w:tab/>
      </w:r>
      <w:r w:rsidR="001902A4">
        <w:rPr>
          <w:noProof/>
        </w:rPr>
        <w:t>REQUEST</w:t>
      </w:r>
    </w:p>
    <w:p w:rsidR="00227ADF" w:rsidRPr="00227ADF" w:rsidRDefault="00227ADF" w:rsidP="00CD159A">
      <w:pPr>
        <w:pStyle w:val="TOC3"/>
        <w:ind w:left="2880" w:hanging="1440"/>
        <w:rPr>
          <w:noProof/>
        </w:rPr>
      </w:pPr>
    </w:p>
    <w:p w:rsidR="0092768A" w:rsidRDefault="001902A4" w:rsidP="00CD159A">
      <w:pPr>
        <w:pStyle w:val="TOC3"/>
        <w:ind w:left="2880" w:hanging="1440"/>
        <w:rPr>
          <w:noProof/>
        </w:rPr>
      </w:pPr>
      <w:r>
        <w:rPr>
          <w:noProof/>
        </w:rPr>
        <w:t>APPENDIX E:</w:t>
      </w:r>
      <w:r w:rsidR="00CD159A">
        <w:rPr>
          <w:noProof/>
        </w:rPr>
        <w:tab/>
      </w:r>
      <w:r>
        <w:rPr>
          <w:noProof/>
        </w:rPr>
        <w:t>DATA COLLECTION FORM FOR DISTRICT-LEVEL DATA</w:t>
      </w:r>
    </w:p>
    <w:p w:rsidR="002F6A88" w:rsidRDefault="0092768A" w:rsidP="00CD159A">
      <w:pPr>
        <w:pStyle w:val="TOC3"/>
        <w:ind w:left="2880" w:hanging="1440"/>
        <w:rPr>
          <w:noProof/>
          <w:webHidden/>
        </w:rPr>
      </w:pPr>
      <w:r>
        <w:rPr>
          <w:noProof/>
        </w:rPr>
        <w:tab/>
      </w:r>
      <w:r>
        <w:rPr>
          <w:noProof/>
        </w:rPr>
        <w:tab/>
      </w:r>
      <w:r w:rsidR="001902A4">
        <w:rPr>
          <w:noProof/>
        </w:rPr>
        <w:t>REQUEST</w:t>
      </w:r>
    </w:p>
    <w:p w:rsidR="00227ADF" w:rsidRPr="00227ADF" w:rsidRDefault="00227ADF" w:rsidP="00CD159A">
      <w:pPr>
        <w:pStyle w:val="TOC3"/>
        <w:ind w:left="2880" w:hanging="1440"/>
        <w:rPr>
          <w:noProof/>
        </w:rPr>
      </w:pPr>
    </w:p>
    <w:p w:rsidR="002F6A88" w:rsidRPr="00431425" w:rsidRDefault="002F6A88" w:rsidP="00CD159A">
      <w:pPr>
        <w:pStyle w:val="TOC3"/>
        <w:ind w:left="2880" w:hanging="1440"/>
        <w:rPr>
          <w:noProof/>
        </w:rPr>
      </w:pPr>
    </w:p>
    <w:p w:rsidR="002F6A88" w:rsidRPr="002F6A88" w:rsidRDefault="002F6A88" w:rsidP="002F6A88">
      <w:pPr>
        <w:spacing w:after="480" w:line="240" w:lineRule="auto"/>
        <w:ind w:firstLine="0"/>
        <w:jc w:val="center"/>
        <w:rPr>
          <w:rFonts w:ascii="Lucida Sans" w:hAnsi="Lucida Sans" w:cs="Lucida Sans"/>
          <w:b/>
        </w:rPr>
      </w:pPr>
    </w:p>
    <w:p w:rsidR="00532BEE" w:rsidRDefault="00532BEE" w:rsidP="00667D44">
      <w:pPr>
        <w:pStyle w:val="Heading1Black"/>
        <w:sectPr w:rsidR="00532BEE" w:rsidSect="00891D02">
          <w:headerReference w:type="default" r:id="rId31"/>
          <w:footerReference w:type="default" r:id="rId32"/>
          <w:endnotePr>
            <w:numFmt w:val="decimal"/>
          </w:endnotePr>
          <w:pgSz w:w="12240" w:h="15840" w:code="1"/>
          <w:pgMar w:top="1440" w:right="1440" w:bottom="576" w:left="1440" w:header="720" w:footer="576" w:gutter="0"/>
          <w:pgNumType w:fmt="lowerRoman" w:start="3"/>
          <w:cols w:space="720"/>
          <w:docGrid w:linePitch="326"/>
        </w:sectPr>
      </w:pPr>
    </w:p>
    <w:p w:rsidR="002F6A88" w:rsidRDefault="002F6A88" w:rsidP="00667D44">
      <w:pPr>
        <w:pStyle w:val="Heading1Black"/>
        <w:sectPr w:rsidR="002F6A88" w:rsidSect="00532BEE">
          <w:headerReference w:type="default" r:id="rId33"/>
          <w:footerReference w:type="default" r:id="rId34"/>
          <w:endnotePr>
            <w:numFmt w:val="decimal"/>
          </w:endnotePr>
          <w:pgSz w:w="12240" w:h="15840" w:code="1"/>
          <w:pgMar w:top="1440" w:right="1440" w:bottom="576" w:left="1440" w:header="720" w:footer="576" w:gutter="0"/>
          <w:pgNumType w:fmt="lowerRoman" w:start="3"/>
          <w:cols w:space="720"/>
          <w:docGrid w:linePitch="326"/>
        </w:sectPr>
      </w:pPr>
    </w:p>
    <w:p w:rsidR="00667D44" w:rsidRDefault="00667D44" w:rsidP="00667D44">
      <w:pPr>
        <w:pStyle w:val="Heading1Black"/>
      </w:pPr>
      <w:r>
        <w:lastRenderedPageBreak/>
        <w:t xml:space="preserve">PART A. </w:t>
      </w:r>
      <w:bookmarkEnd w:id="0"/>
      <w:r>
        <w:t xml:space="preserve">SUPPORTING STATEMENT FOR PAPERWORK </w:t>
      </w:r>
      <w:r>
        <w:br/>
        <w:t>REDUCTION ACT SUBMISSION</w:t>
      </w:r>
      <w:bookmarkEnd w:id="1"/>
      <w:bookmarkEnd w:id="2"/>
    </w:p>
    <w:p w:rsidR="00667D44" w:rsidRDefault="00667D44" w:rsidP="00667D44">
      <w:pPr>
        <w:pStyle w:val="NormalSS"/>
      </w:pPr>
      <w:r>
        <w:t xml:space="preserve">This Office of Management and Budget (OMB) package requests clearance for data collection activities to support the </w:t>
      </w:r>
      <w:r w:rsidR="00683BA0">
        <w:t>I</w:t>
      </w:r>
      <w:r w:rsidR="0082249E">
        <w:t xml:space="preserve">mpact </w:t>
      </w:r>
      <w:r w:rsidR="00683BA0">
        <w:t>E</w:t>
      </w:r>
      <w:r>
        <w:t xml:space="preserve">valuation of Race to the Top (RTT) and School Improvement Grants (SIG). The RTT-SIG evaluation will provide important information on the implementation and impacts of school turnaround efforts and educational reforms funded through these two federal grant programs. The Institute of Education Sciences (IES) at the U.S. Department of Education (ED) has contracted with Mathematica Policy Research and its subcontractors, the American Institutes for Research </w:t>
      </w:r>
      <w:r w:rsidR="00B30552">
        <w:t xml:space="preserve">(AIR) </w:t>
      </w:r>
      <w:r>
        <w:t>and Social Policy Research Associates</w:t>
      </w:r>
      <w:r w:rsidR="00B30552">
        <w:t xml:space="preserve"> (SPR)</w:t>
      </w:r>
      <w:r>
        <w:t xml:space="preserve">, to conduct this important evaluation. </w:t>
      </w:r>
    </w:p>
    <w:p w:rsidR="00667D44" w:rsidRDefault="00667D44" w:rsidP="00667D44">
      <w:pPr>
        <w:pStyle w:val="NormalSS"/>
      </w:pPr>
      <w:r>
        <w:t>The RTT-SIG evaluation will include implementation and impact components. For the evaluation of RTT, the implementation component will include semistructured interviews with state officials</w:t>
      </w:r>
      <w:r w:rsidR="00F1376E">
        <w:t>,</w:t>
      </w:r>
      <w:r>
        <w:t xml:space="preserve"> and </w:t>
      </w:r>
      <w:r w:rsidR="00352EB0">
        <w:t xml:space="preserve">an </w:t>
      </w:r>
      <w:r w:rsidR="00570AF3">
        <w:t>interrupted time series (</w:t>
      </w:r>
      <w:r w:rsidR="00352EB0">
        <w:t>ITS</w:t>
      </w:r>
      <w:r w:rsidR="00570AF3">
        <w:t>)</w:t>
      </w:r>
      <w:r w:rsidR="00352EB0">
        <w:t xml:space="preserve"> design will be used to examine the relationship between RTT and student outcomes. </w:t>
      </w:r>
      <w:r>
        <w:t>For the evaluation of RTT</w:t>
      </w:r>
      <w:r w:rsidR="00587BAF">
        <w:t>-</w:t>
      </w:r>
      <w:r>
        <w:t xml:space="preserve"> and SIG-funded school turnaround models (STMs), the implementation component will include semistructured interviews with state and district officials and a web survey of school </w:t>
      </w:r>
      <w:r w:rsidR="00124F0C">
        <w:t>administrators</w:t>
      </w:r>
      <w:r>
        <w:t xml:space="preserve">. </w:t>
      </w:r>
      <w:r w:rsidR="00325A1D">
        <w:t>The plan is for t</w:t>
      </w:r>
      <w:r>
        <w:t xml:space="preserve">he impact evaluation of STMs </w:t>
      </w:r>
      <w:r w:rsidR="00325A1D">
        <w:t xml:space="preserve">to </w:t>
      </w:r>
      <w:r>
        <w:t xml:space="preserve">be based on </w:t>
      </w:r>
      <w:r w:rsidR="009431F1">
        <w:t xml:space="preserve">a </w:t>
      </w:r>
      <w:r w:rsidR="002043FF">
        <w:t>regression discontinuity design (</w:t>
      </w:r>
      <w:r w:rsidR="001C0741">
        <w:t>RDD</w:t>
      </w:r>
      <w:r w:rsidR="002043FF">
        <w:t>)</w:t>
      </w:r>
      <w:r>
        <w:t xml:space="preserve">. </w:t>
      </w:r>
    </w:p>
    <w:p w:rsidR="00E33FB4" w:rsidRDefault="00667D44" w:rsidP="00667D44">
      <w:pPr>
        <w:pStyle w:val="NormalSS"/>
      </w:pPr>
      <w:r>
        <w:t xml:space="preserve">This is the second submission of a two-stage clearance request. The package was submitted in two stages because the study schedule required that recruitment efforts begin before all the study’s data collection instruments were developed. The first package (approved </w:t>
      </w:r>
      <w:r w:rsidR="00B0500D">
        <w:t>June 27, 2011</w:t>
      </w:r>
      <w:r>
        <w:t xml:space="preserve">, under OMB </w:t>
      </w:r>
      <w:r w:rsidRPr="001E2AA8">
        <w:t>#</w:t>
      </w:r>
      <w:r w:rsidR="0082128F" w:rsidRPr="001E2AA8">
        <w:rPr>
          <w:rFonts w:ascii="Arial" w:eastAsiaTheme="minorHAnsi" w:hAnsi="Arial" w:cs="Arial"/>
          <w:sz w:val="22"/>
          <w:szCs w:val="22"/>
        </w:rPr>
        <w:t xml:space="preserve"> </w:t>
      </w:r>
      <w:r w:rsidR="0082128F" w:rsidRPr="001E2AA8">
        <w:t>1850-0884)</w:t>
      </w:r>
      <w:r>
        <w:t xml:space="preserve"> requested approval for recruitment of states, districts, and schools. This second package requests clearance to collect data that will support the full-scale study.</w:t>
      </w:r>
    </w:p>
    <w:p w:rsidR="00667D44" w:rsidRDefault="00667D44" w:rsidP="00FD1E49">
      <w:pPr>
        <w:pStyle w:val="Heading2Black"/>
        <w:numPr>
          <w:ilvl w:val="0"/>
          <w:numId w:val="11"/>
        </w:numPr>
        <w:tabs>
          <w:tab w:val="clear" w:pos="432"/>
          <w:tab w:val="left" w:pos="450"/>
        </w:tabs>
        <w:ind w:left="450" w:hanging="450"/>
      </w:pPr>
      <w:bookmarkStart w:id="16" w:name="_Toc299455746"/>
      <w:r>
        <w:t>Justification</w:t>
      </w:r>
      <w:bookmarkEnd w:id="16"/>
    </w:p>
    <w:p w:rsidR="00667D44" w:rsidRPr="00667D44" w:rsidRDefault="00667D44" w:rsidP="00667D44">
      <w:pPr>
        <w:pStyle w:val="Heading3"/>
      </w:pPr>
      <w:bookmarkStart w:id="17" w:name="_Toc299455747"/>
      <w:r w:rsidRPr="00667D44">
        <w:t xml:space="preserve">1. </w:t>
      </w:r>
      <w:r>
        <w:tab/>
      </w:r>
      <w:r w:rsidRPr="00667D44">
        <w:t>Circumstances Necessitating the Collection of Information</w:t>
      </w:r>
      <w:bookmarkEnd w:id="17"/>
    </w:p>
    <w:p w:rsidR="00667D44" w:rsidRPr="002D71A8" w:rsidRDefault="00667D44" w:rsidP="00667D44">
      <w:pPr>
        <w:pStyle w:val="NormalSS"/>
        <w:keepNext/>
        <w:spacing w:after="160"/>
        <w:ind w:left="432" w:hanging="432"/>
        <w:rPr>
          <w:b/>
        </w:rPr>
      </w:pPr>
      <w:r w:rsidRPr="002D71A8">
        <w:rPr>
          <w:b/>
        </w:rPr>
        <w:t>a.</w:t>
      </w:r>
      <w:r w:rsidRPr="002D71A8">
        <w:rPr>
          <w:b/>
        </w:rPr>
        <w:tab/>
        <w:t>Statement of Need for a Rigorous Evaluation of RTT and SIG</w:t>
      </w:r>
    </w:p>
    <w:p w:rsidR="00F415D4" w:rsidRDefault="00667D44" w:rsidP="00667D44">
      <w:pPr>
        <w:pStyle w:val="NormalSS"/>
      </w:pPr>
      <w:r>
        <w:t xml:space="preserve">The investments being made by the U.S. Department of Education in Race to the Top and School Improvement Grants are unprecedented in scope and scale. </w:t>
      </w:r>
      <w:r w:rsidR="00F415D4">
        <w:t xml:space="preserve">To advance comprehensive and coherent education reforms across districts for the purpose of improving student outcomes, Congress appropriated $4 billion in </w:t>
      </w:r>
      <w:r w:rsidR="00CB5CB1">
        <w:t xml:space="preserve">American Recovery and Reinvestment Act of 2009 (ARRA) </w:t>
      </w:r>
      <w:r w:rsidR="00F415D4">
        <w:t xml:space="preserve">funding for </w:t>
      </w:r>
      <w:r w:rsidR="00E65D39">
        <w:t xml:space="preserve">the main </w:t>
      </w:r>
      <w:r w:rsidR="00F415D4">
        <w:t xml:space="preserve">RTT </w:t>
      </w:r>
      <w:r w:rsidR="00E65D39">
        <w:t xml:space="preserve">grant competition </w:t>
      </w:r>
      <w:r w:rsidR="00F415D4">
        <w:t xml:space="preserve">to encourage and reward states already implementing significant education reforms in four priority areas: (1) standards and assessments; (2) data systems; (3) effective teachers and school leaders; and (4) turning around persistently low-performing schools. RTT grants were awarded competitively in two phases. Phase I awards were announced in March 2010 to Tennessee ($500 million) and Delaware ($100 million). Phase II awards were made in </w:t>
      </w:r>
      <w:r w:rsidR="0091086B">
        <w:t xml:space="preserve">August </w:t>
      </w:r>
      <w:r w:rsidR="00F415D4">
        <w:t xml:space="preserve">2010 to New York ($700 million); Florida ($700 million); Georgia ($400 million); North </w:t>
      </w:r>
      <w:r w:rsidR="00F415D4">
        <w:lastRenderedPageBreak/>
        <w:t>Carolina ($400 million); Ohio ($400 million); Massachusetts ($250 million); Maryland ($250 million); Rhode Island ($75 million); Hawaii ($75 million); and the District of Columbia ($75 million).</w:t>
      </w:r>
      <w:r w:rsidR="00F415D4">
        <w:rPr>
          <w:rStyle w:val="FootnoteReference"/>
        </w:rPr>
        <w:footnoteReference w:id="2"/>
      </w:r>
    </w:p>
    <w:p w:rsidR="00667D44" w:rsidRDefault="00667D44" w:rsidP="00570AF3">
      <w:pPr>
        <w:pStyle w:val="NormalSS"/>
      </w:pPr>
      <w:r>
        <w:t>The SIG program was funded in fiscal year 2009 with $546.6 million, and received an</w:t>
      </w:r>
      <w:r w:rsidR="009F3F2A">
        <w:t xml:space="preserve"> additional $3 billion from </w:t>
      </w:r>
      <w:r>
        <w:t>A</w:t>
      </w:r>
      <w:r w:rsidR="00CB5CB1">
        <w:t xml:space="preserve">RRA </w:t>
      </w:r>
      <w:r>
        <w:t>(Pub. L. 111-5). SIG funds go to states based on their share of Title I funding; states then distribute the funds to districts with the lowest</w:t>
      </w:r>
      <w:r w:rsidR="0074644D">
        <w:t>-</w:t>
      </w:r>
      <w:r>
        <w:t xml:space="preserve">achieving Title I schools that demonstrate need and a strong commitment to implement one of four models—turnaround, restart, closure, and transformation—aimed at improving or closing these persistently low-performing schools. </w:t>
      </w:r>
    </w:p>
    <w:p w:rsidR="00667D44" w:rsidRDefault="00667D44" w:rsidP="00667D44">
      <w:pPr>
        <w:pStyle w:val="NormalSS"/>
      </w:pPr>
      <w:r>
        <w:t xml:space="preserve">Given the scale and scope of these federal investments, findings from the RTT-SIG evaluation will be highly anticipated and critically scrutinized by a broad audience of policymakers, educators, and other </w:t>
      </w:r>
      <w:r w:rsidR="0074644D">
        <w:t>interested parties</w:t>
      </w:r>
      <w:r>
        <w:t xml:space="preserve">. These constituents will want to know </w:t>
      </w:r>
      <w:r w:rsidR="008E1E30">
        <w:t>whether</w:t>
      </w:r>
      <w:r>
        <w:t xml:space="preserve"> these programs accomplished their goals: Are struggling schools initiating reforms? Are states improving their data systems? Are common standards and assessments being adopted? Are teachers and principals being supported in their attempts to turn around lowest-achieving schools? In addition to these and other questions of program implementation, there is the bottom-line question of whether these reforms affect students’ academic achievement and progress beyond high school.</w:t>
      </w:r>
    </w:p>
    <w:p w:rsidR="00667D44" w:rsidRDefault="00667D44" w:rsidP="00667D44">
      <w:pPr>
        <w:pStyle w:val="NormalSS"/>
      </w:pPr>
      <w:r>
        <w:t>Legislative authorization for the RTT-SIG evaluation is found in the Education Science Reform Act of 2002, Part D, Section 171(b)(2), which authorizes IES to “conduct evaluations of Federal education programs administered by the Secretary (and as time and resources allow, other education programs) to determine the impact of such programs (especially on student academic achievement in the core academic areas of reading, mathematics, and science).”</w:t>
      </w:r>
    </w:p>
    <w:p w:rsidR="00667D44" w:rsidRPr="00B83096" w:rsidRDefault="00667D44" w:rsidP="00667D44">
      <w:pPr>
        <w:pStyle w:val="NormalSS"/>
        <w:keepNext/>
        <w:spacing w:after="160"/>
        <w:ind w:left="432" w:hanging="432"/>
        <w:rPr>
          <w:b/>
        </w:rPr>
      </w:pPr>
      <w:r>
        <w:rPr>
          <w:b/>
        </w:rPr>
        <w:t>b.</w:t>
      </w:r>
      <w:r>
        <w:rPr>
          <w:b/>
        </w:rPr>
        <w:tab/>
      </w:r>
      <w:r w:rsidRPr="00B83096">
        <w:rPr>
          <w:b/>
        </w:rPr>
        <w:t xml:space="preserve">Research </w:t>
      </w:r>
      <w:r>
        <w:rPr>
          <w:b/>
        </w:rPr>
        <w:t>Q</w:t>
      </w:r>
      <w:r w:rsidRPr="00B83096">
        <w:rPr>
          <w:b/>
        </w:rPr>
        <w:t>uestions</w:t>
      </w:r>
    </w:p>
    <w:p w:rsidR="00667D44" w:rsidRDefault="00667D44" w:rsidP="00667D44">
      <w:pPr>
        <w:pStyle w:val="NormalSS"/>
      </w:pPr>
      <w:r w:rsidRPr="00F606AA">
        <w:t xml:space="preserve">The RTT-SIG evaluation will examine </w:t>
      </w:r>
      <w:r>
        <w:t xml:space="preserve">the following </w:t>
      </w:r>
      <w:r w:rsidRPr="00F606AA">
        <w:t>research questions:</w:t>
      </w:r>
    </w:p>
    <w:p w:rsidR="00667D44" w:rsidRPr="009C128A" w:rsidRDefault="00667D44" w:rsidP="009C128A">
      <w:pPr>
        <w:pStyle w:val="BulletBlack"/>
        <w:ind w:hanging="270"/>
      </w:pPr>
      <w:r w:rsidRPr="009C128A">
        <w:t>How are RTT and SIG implemented at the state, district, and school levels?</w:t>
      </w:r>
    </w:p>
    <w:p w:rsidR="00B34628" w:rsidRPr="00657DC6" w:rsidRDefault="00B34628" w:rsidP="00B34628">
      <w:pPr>
        <w:pStyle w:val="BulletBlack"/>
        <w:ind w:hanging="270"/>
      </w:pPr>
      <w:r>
        <w:t xml:space="preserve">Are RTT reforms </w:t>
      </w:r>
      <w:r w:rsidRPr="00657DC6">
        <w:t>related to improvement in student outcomes?</w:t>
      </w:r>
    </w:p>
    <w:p w:rsidR="00667D44" w:rsidRDefault="00667D44" w:rsidP="009C128A">
      <w:pPr>
        <w:pStyle w:val="BulletBlack"/>
        <w:ind w:hanging="270"/>
      </w:pPr>
      <w:r>
        <w:t>Does receipt of RTT and/or SIG funding to implement a school turnaround model have an impact on outcomes for lowest-achieving schools?</w:t>
      </w:r>
    </w:p>
    <w:p w:rsidR="00667D44" w:rsidRDefault="00667D44" w:rsidP="009C128A">
      <w:pPr>
        <w:pStyle w:val="BulletBlackLastSS"/>
        <w:ind w:hanging="270"/>
      </w:pPr>
      <w:r>
        <w:t>Is implementation of the four school turnaround models, and strategies within those models, related to improvement in outcomes for lowest-achieving schools?</w:t>
      </w:r>
    </w:p>
    <w:p w:rsidR="00667D44" w:rsidRPr="00B83096" w:rsidRDefault="00667D44" w:rsidP="00667D44">
      <w:pPr>
        <w:pStyle w:val="NormalSS"/>
        <w:keepNext/>
        <w:spacing w:after="160"/>
        <w:ind w:left="432" w:hanging="432"/>
        <w:rPr>
          <w:b/>
        </w:rPr>
      </w:pPr>
      <w:r>
        <w:rPr>
          <w:b/>
        </w:rPr>
        <w:t>c.</w:t>
      </w:r>
      <w:r>
        <w:rPr>
          <w:b/>
        </w:rPr>
        <w:tab/>
      </w:r>
      <w:r w:rsidRPr="00B83096">
        <w:rPr>
          <w:b/>
        </w:rPr>
        <w:t xml:space="preserve">Study </w:t>
      </w:r>
      <w:r>
        <w:rPr>
          <w:b/>
        </w:rPr>
        <w:t>D</w:t>
      </w:r>
      <w:r w:rsidRPr="00B83096">
        <w:rPr>
          <w:b/>
        </w:rPr>
        <w:t>esign</w:t>
      </w:r>
    </w:p>
    <w:p w:rsidR="00667D44" w:rsidRPr="0087575D" w:rsidRDefault="00667D44" w:rsidP="00667D44">
      <w:pPr>
        <w:pStyle w:val="NormalSS"/>
      </w:pPr>
      <w:r w:rsidRPr="004F44EA">
        <w:t xml:space="preserve">The RTT-SIG evaluation is designed to provide a descriptive account of the implementation of RTT and SIG; the most rigorous possible estimates of the effects of RTT and SIG; and the contextual information needed to fully understand and interpret those effects. </w:t>
      </w:r>
      <w:r w:rsidR="006F40CD" w:rsidRPr="00E90228">
        <w:t xml:space="preserve">The study will be based on two samples, strategically selected both to provide information on RTT and SIG implementation and to support a rigorous analysis of program </w:t>
      </w:r>
      <w:r w:rsidR="006F40CD" w:rsidRPr="002D6799">
        <w:t>impacts</w:t>
      </w:r>
      <w:r w:rsidR="00B34628" w:rsidRPr="002D6799">
        <w:t xml:space="preserve"> (see Figure A.1)</w:t>
      </w:r>
      <w:r w:rsidR="006F40CD" w:rsidRPr="002D6799">
        <w:t>.</w:t>
      </w:r>
      <w:r w:rsidRPr="002D6799">
        <w:t xml:space="preserve"> </w:t>
      </w:r>
      <w:r w:rsidR="00B34628" w:rsidRPr="00DE791B">
        <w:t xml:space="preserve">To assess </w:t>
      </w:r>
      <w:r w:rsidR="00B34628" w:rsidRPr="00DE791B">
        <w:lastRenderedPageBreak/>
        <w:t>the relationship between RTT and student outcomes, the evaluation will use an ITS analysis.</w:t>
      </w:r>
      <w:r w:rsidR="00B34628">
        <w:t xml:space="preserve"> All 50 states and the District of Columbia will be included in t</w:t>
      </w:r>
      <w:r w:rsidR="00B34628" w:rsidRPr="004F44EA">
        <w:t>he sample for the evaluation of RTT (referred to throughout as the RTT sample)</w:t>
      </w:r>
      <w:r w:rsidR="00B34628">
        <w:t xml:space="preserve">. </w:t>
      </w:r>
    </w:p>
    <w:p w:rsidR="00FC23AF" w:rsidRPr="0087575D" w:rsidRDefault="00B34628" w:rsidP="00FC23AF">
      <w:pPr>
        <w:pStyle w:val="NormalSS"/>
      </w:pPr>
      <w:r>
        <w:t>Separately, t</w:t>
      </w:r>
      <w:r w:rsidRPr="004F44EA">
        <w:t xml:space="preserve">o estimate the impact of </w:t>
      </w:r>
      <w:r>
        <w:t>STMs</w:t>
      </w:r>
      <w:r w:rsidRPr="004F44EA">
        <w:t xml:space="preserve"> on student achievement, </w:t>
      </w:r>
      <w:r>
        <w:t xml:space="preserve">we </w:t>
      </w:r>
      <w:r w:rsidR="00BE4C70">
        <w:t>plan to</w:t>
      </w:r>
      <w:r w:rsidR="00BE4C70" w:rsidRPr="004F44EA">
        <w:t xml:space="preserve"> </w:t>
      </w:r>
      <w:r w:rsidRPr="004F44EA">
        <w:t xml:space="preserve">use a rigorous </w:t>
      </w:r>
      <w:r>
        <w:t>RDD</w:t>
      </w:r>
      <w:r w:rsidRPr="00736BF9">
        <w:t xml:space="preserve">, exploiting approaches </w:t>
      </w:r>
      <w:r>
        <w:t xml:space="preserve">that involve a continuous measure </w:t>
      </w:r>
      <w:r w:rsidRPr="00736BF9">
        <w:t>for awarding STM funds</w:t>
      </w:r>
      <w:r w:rsidR="00E65D39">
        <w:t xml:space="preserve"> (through RTT or SIG)</w:t>
      </w:r>
      <w:r w:rsidRPr="00736BF9">
        <w:t xml:space="preserve"> to schools. </w:t>
      </w:r>
      <w:r w:rsidRPr="004F44EA">
        <w:t xml:space="preserve">The evaluation will also assess the correlation between </w:t>
      </w:r>
      <w:r>
        <w:t>STM</w:t>
      </w:r>
      <w:r w:rsidRPr="004F44EA">
        <w:t xml:space="preserve">s—and the specific turnaround strategies used within such models—and improvements in school outcomes. </w:t>
      </w:r>
      <w:r w:rsidR="00667D44" w:rsidRPr="004F44EA">
        <w:t>The sample for the evaluation of STMs (referred to throughout as the STM sample) will consist of a</w:t>
      </w:r>
      <w:r w:rsidR="00932DF8">
        <w:t>bout</w:t>
      </w:r>
      <w:r w:rsidR="00667D44" w:rsidRPr="004F44EA">
        <w:t xml:space="preserve"> 1,200 schools</w:t>
      </w:r>
      <w:r w:rsidR="00FC23AF">
        <w:t xml:space="preserve"> from</w:t>
      </w:r>
      <w:r w:rsidR="00FC23AF" w:rsidRPr="004F44EA">
        <w:t xml:space="preserve"> an estimated </w:t>
      </w:r>
      <w:r w:rsidR="00FC23AF">
        <w:t>134</w:t>
      </w:r>
      <w:r w:rsidR="00FC23AF" w:rsidRPr="004F44EA">
        <w:t xml:space="preserve"> school districts across 30 states (roughly 600 schools will form the treatment group and 600 the comparison group)</w:t>
      </w:r>
      <w:r w:rsidR="00FC23AF">
        <w:t>.</w:t>
      </w:r>
      <w:r w:rsidR="00FC23AF">
        <w:rPr>
          <w:rStyle w:val="FootnoteReference"/>
        </w:rPr>
        <w:footnoteReference w:id="3"/>
      </w:r>
      <w:r w:rsidR="00FC23AF" w:rsidRPr="004F44EA">
        <w:t xml:space="preserve"> The districts in the STM sample will be purposefully selected </w:t>
      </w:r>
      <w:r w:rsidR="00FC23AF">
        <w:t xml:space="preserve">to maximize the statistical precision of the </w:t>
      </w:r>
      <w:r w:rsidR="00FC23AF" w:rsidRPr="004F44EA">
        <w:t>RD</w:t>
      </w:r>
      <w:r w:rsidR="00FC23AF">
        <w:t>D impacts</w:t>
      </w:r>
      <w:r w:rsidR="00FC23AF" w:rsidRPr="004F44EA">
        <w:t xml:space="preserve">. </w:t>
      </w:r>
    </w:p>
    <w:p w:rsidR="00FC23AF" w:rsidRDefault="00FC23AF" w:rsidP="00FC23AF">
      <w:pPr>
        <w:pStyle w:val="NormalSS"/>
        <w:ind w:firstLine="0"/>
        <w:sectPr w:rsidR="00FC23AF" w:rsidSect="002F6A88">
          <w:headerReference w:type="default" r:id="rId35"/>
          <w:footerReference w:type="default" r:id="rId36"/>
          <w:endnotePr>
            <w:numFmt w:val="decimal"/>
          </w:endnotePr>
          <w:pgSz w:w="12240" w:h="15840" w:code="1"/>
          <w:pgMar w:top="1440" w:right="1440" w:bottom="576" w:left="1440" w:header="720" w:footer="576" w:gutter="0"/>
          <w:pgNumType w:start="1"/>
          <w:cols w:space="720"/>
          <w:docGrid w:linePitch="326"/>
        </w:sectPr>
      </w:pPr>
    </w:p>
    <w:p w:rsidR="00667D44" w:rsidRDefault="00667D44" w:rsidP="00667D44">
      <w:pPr>
        <w:pStyle w:val="MarkforFigureHeading"/>
      </w:pPr>
      <w:bookmarkStart w:id="18" w:name="_Toc276714889"/>
      <w:r w:rsidRPr="009B5677">
        <w:lastRenderedPageBreak/>
        <w:t xml:space="preserve">Figure </w:t>
      </w:r>
      <w:r>
        <w:t>A</w:t>
      </w:r>
      <w:r w:rsidRPr="009B5677">
        <w:t>.1. Diagram of Study Sample</w:t>
      </w:r>
      <w:bookmarkEnd w:id="18"/>
      <w:r w:rsidR="00A965DE">
        <w:t>s</w:t>
      </w:r>
    </w:p>
    <w:p w:rsidR="0049779E" w:rsidRPr="0091086B" w:rsidRDefault="009B72A7" w:rsidP="004C5D09">
      <w:pPr>
        <w:pStyle w:val="BulletBlack"/>
        <w:ind w:hanging="270"/>
        <w:rPr>
          <w:b/>
        </w:rPr>
      </w:pPr>
      <w:r w:rsidRPr="0091086B">
        <w:rPr>
          <w:b/>
          <w:noProof/>
        </w:rPr>
        <w:drawing>
          <wp:anchor distT="0" distB="182880" distL="114300" distR="114300" simplePos="0" relativeHeight="251676672" behindDoc="0" locked="1" layoutInCell="1" allowOverlap="1">
            <wp:simplePos x="0" y="0"/>
            <wp:positionH relativeFrom="margin">
              <wp:posOffset>751840</wp:posOffset>
            </wp:positionH>
            <wp:positionV relativeFrom="page">
              <wp:posOffset>1233170</wp:posOffset>
            </wp:positionV>
            <wp:extent cx="4701540" cy="2656840"/>
            <wp:effectExtent l="19050" t="0" r="3810" b="0"/>
            <wp:wrapTopAndBottom/>
            <wp:docPr id="28" name="Picture 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pic:cNvPicPr>
                      <a:picLocks noChangeAspect="1" noChangeArrowheads="1"/>
                    </pic:cNvPicPr>
                  </pic:nvPicPr>
                  <pic:blipFill>
                    <a:blip r:embed="rId37"/>
                    <a:srcRect/>
                    <a:stretch>
                      <a:fillRect/>
                    </a:stretch>
                  </pic:blipFill>
                  <pic:spPr bwMode="auto">
                    <a:xfrm>
                      <a:off x="0" y="0"/>
                      <a:ext cx="4701540" cy="2656840"/>
                    </a:xfrm>
                    <a:prstGeom prst="rect">
                      <a:avLst/>
                    </a:prstGeom>
                    <a:noFill/>
                    <a:ln w="9525">
                      <a:noFill/>
                      <a:miter lim="800000"/>
                      <a:headEnd/>
                      <a:tailEnd/>
                    </a:ln>
                  </pic:spPr>
                </pic:pic>
              </a:graphicData>
            </a:graphic>
          </wp:anchor>
        </w:drawing>
      </w:r>
      <w:r w:rsidR="00667D44" w:rsidRPr="0091086B">
        <w:rPr>
          <w:b/>
        </w:rPr>
        <w:t xml:space="preserve">Research </w:t>
      </w:r>
      <w:r w:rsidR="00A61531" w:rsidRPr="0091086B">
        <w:rPr>
          <w:b/>
        </w:rPr>
        <w:t>q</w:t>
      </w:r>
      <w:r w:rsidR="00667D44" w:rsidRPr="0091086B">
        <w:rPr>
          <w:b/>
        </w:rPr>
        <w:t>uestion 1: How are RTT and SIG implemented at the state, district, and school levels?</w:t>
      </w:r>
    </w:p>
    <w:p w:rsidR="00584630" w:rsidRDefault="00667D44" w:rsidP="00667D44">
      <w:pPr>
        <w:pStyle w:val="NormalSS"/>
      </w:pPr>
      <w:r w:rsidRPr="004F44EA">
        <w:t xml:space="preserve">The implementation </w:t>
      </w:r>
      <w:r w:rsidR="0010212D">
        <w:t>component of the evaluation</w:t>
      </w:r>
      <w:r w:rsidR="0010212D" w:rsidRPr="004F44EA">
        <w:t xml:space="preserve"> </w:t>
      </w:r>
      <w:r w:rsidRPr="004F44EA">
        <w:t>will gather information to answer this research question</w:t>
      </w:r>
      <w:r w:rsidR="0010212D">
        <w:t xml:space="preserve">, </w:t>
      </w:r>
      <w:r w:rsidRPr="004F44EA">
        <w:t>support answering research question 4</w:t>
      </w:r>
      <w:r w:rsidR="0010212D">
        <w:t>, and help with the interpretation of research questions 2 and 3</w:t>
      </w:r>
      <w:r w:rsidRPr="004F44EA">
        <w:t xml:space="preserve">. </w:t>
      </w:r>
    </w:p>
    <w:p w:rsidR="00584630" w:rsidRDefault="00B12B6F" w:rsidP="00667D44">
      <w:pPr>
        <w:pStyle w:val="NormalSS"/>
      </w:pPr>
      <w:r w:rsidRPr="00B12B6F">
        <w:rPr>
          <w:b/>
        </w:rPr>
        <w:t xml:space="preserve">RTT Implementation. </w:t>
      </w:r>
      <w:r w:rsidR="00667D44" w:rsidRPr="004F44EA">
        <w:t xml:space="preserve">From interviews with </w:t>
      </w:r>
      <w:r w:rsidR="00897769">
        <w:t xml:space="preserve">state </w:t>
      </w:r>
      <w:r w:rsidR="00667D44" w:rsidRPr="004F44EA">
        <w:t>representatives</w:t>
      </w:r>
      <w:r w:rsidR="00050412">
        <w:t xml:space="preserve"> from all 50 states and the District of Columbia</w:t>
      </w:r>
      <w:r w:rsidR="00667D44" w:rsidRPr="004F44EA">
        <w:t>, we will learn about reforms</w:t>
      </w:r>
      <w:r w:rsidR="00050412">
        <w:t xml:space="preserve"> being implemented in the areas of focus for RTT</w:t>
      </w:r>
      <w:r w:rsidR="00667D44" w:rsidRPr="004F44EA">
        <w:t xml:space="preserve">, such as the steps states are taking to develop standards for college and career preparedness, to improve data systems, to promote </w:t>
      </w:r>
      <w:r w:rsidR="00667D44">
        <w:t>an equitable</w:t>
      </w:r>
      <w:r w:rsidR="00667D44" w:rsidRPr="004F44EA">
        <w:t xml:space="preserve"> distribution of effective teachers, and to support school turnaround. </w:t>
      </w:r>
      <w:r w:rsidR="00050412">
        <w:t xml:space="preserve">The interview data collected from states that won RTT grants will provide information on the reforms that were implemented by RTT grantees, while the information from states that did not win RTT grants will aid in the interpretation of impacts by providing </w:t>
      </w:r>
      <w:r w:rsidR="0035530A">
        <w:t>a comparison</w:t>
      </w:r>
      <w:r w:rsidR="00050412">
        <w:t xml:space="preserve"> condition. </w:t>
      </w:r>
    </w:p>
    <w:p w:rsidR="00667D44" w:rsidRPr="00EC0237" w:rsidRDefault="00584630" w:rsidP="00667D44">
      <w:pPr>
        <w:pStyle w:val="NormalSS"/>
      </w:pPr>
      <w:r>
        <w:rPr>
          <w:b/>
        </w:rPr>
        <w:t>SIG</w:t>
      </w:r>
      <w:r w:rsidR="00B12B6F" w:rsidRPr="00B12B6F">
        <w:rPr>
          <w:b/>
        </w:rPr>
        <w:t xml:space="preserve"> Implementation.</w:t>
      </w:r>
      <w:r w:rsidR="00195AC8" w:rsidRPr="00195AC8">
        <w:rPr>
          <w:b/>
        </w:rPr>
        <w:t xml:space="preserve"> </w:t>
      </w:r>
      <w:r w:rsidR="00667D44" w:rsidRPr="004F44EA">
        <w:t xml:space="preserve">From interviews with </w:t>
      </w:r>
      <w:r w:rsidR="007544D0">
        <w:t xml:space="preserve">state representatives from all 50 states and the District of Columbia and with </w:t>
      </w:r>
      <w:r w:rsidR="00667D44" w:rsidRPr="004F44EA">
        <w:t xml:space="preserve">district representatives in the STM sample, we will learn about the school turnaround efforts that have been implemented in districts and the nature and type of supports provided by districts to turnaround schools. Through surveys administered to school administrators in the STM sample, we will learn about the STM </w:t>
      </w:r>
      <w:r w:rsidR="00050412">
        <w:t>models and the specific improvement strategies</w:t>
      </w:r>
      <w:r w:rsidR="00050412" w:rsidRPr="004F44EA">
        <w:t xml:space="preserve"> </w:t>
      </w:r>
      <w:r w:rsidR="00667D44" w:rsidRPr="004F44EA">
        <w:t>that are being implemented</w:t>
      </w:r>
      <w:r w:rsidR="00667D44">
        <w:t xml:space="preserve"> in these schools</w:t>
      </w:r>
      <w:r w:rsidR="00667D44" w:rsidRPr="004F44EA">
        <w:t xml:space="preserve">. </w:t>
      </w:r>
    </w:p>
    <w:p w:rsidR="00667D44" w:rsidRDefault="00667D44" w:rsidP="00667D44">
      <w:pPr>
        <w:pStyle w:val="NormalSS"/>
        <w:rPr>
          <w:rFonts w:ascii="Times New Roman" w:hAnsi="Times New Roman"/>
        </w:rPr>
      </w:pPr>
      <w:r w:rsidRPr="004F44EA">
        <w:rPr>
          <w:color w:val="000000"/>
        </w:rPr>
        <w:t xml:space="preserve">The </w:t>
      </w:r>
      <w:r w:rsidRPr="004F44EA">
        <w:t>evaluation</w:t>
      </w:r>
      <w:r w:rsidRPr="004F44EA">
        <w:rPr>
          <w:color w:val="000000"/>
        </w:rPr>
        <w:t xml:space="preserve"> will use several strategies to ensure that the implementation data collected through these activities are </w:t>
      </w:r>
      <w:r>
        <w:rPr>
          <w:color w:val="000000"/>
        </w:rPr>
        <w:t xml:space="preserve">comparable and </w:t>
      </w:r>
      <w:r w:rsidRPr="004F44EA">
        <w:rPr>
          <w:color w:val="000000"/>
        </w:rPr>
        <w:t xml:space="preserve">analyzed in a systematic way. </w:t>
      </w:r>
      <w:r>
        <w:rPr>
          <w:color w:val="000000"/>
        </w:rPr>
        <w:t xml:space="preserve">A uniform protocol will be used for each data collection activity. </w:t>
      </w:r>
      <w:r w:rsidRPr="00736BF9">
        <w:rPr>
          <w:color w:val="000000"/>
        </w:rPr>
        <w:t xml:space="preserve">We will </w:t>
      </w:r>
      <w:r>
        <w:rPr>
          <w:color w:val="000000"/>
        </w:rPr>
        <w:t xml:space="preserve">also </w:t>
      </w:r>
      <w:r w:rsidRPr="00736BF9">
        <w:rPr>
          <w:color w:val="000000"/>
        </w:rPr>
        <w:t xml:space="preserve">prioritize the use of closed-ended questions in the data collection instruments to ensure we capture quantitative data on the percentage of states, districts, and schools that are implementing particular RTT and SIG reforms. For the open-ended questions, we plan to use Atlas.ti or NVivo software to help organize the qualitative information gathered into themes. This information will be further summarized through the use of indicator or categorical variables amenable to quantitative analysis. This approach will permit the study team to </w:t>
      </w:r>
      <w:r w:rsidRPr="00736BF9">
        <w:rPr>
          <w:color w:val="000000"/>
        </w:rPr>
        <w:lastRenderedPageBreak/>
        <w:t>objectively and systematically describe the implementation of RTT and SIG and examine the relationship between patterns in outcomes and key implementation variables.</w:t>
      </w:r>
      <w:r>
        <w:rPr>
          <w:color w:val="000000"/>
        </w:rPr>
        <w:t xml:space="preserve"> </w:t>
      </w:r>
    </w:p>
    <w:p w:rsidR="00B34628" w:rsidRDefault="00B34628" w:rsidP="00B34628">
      <w:pPr>
        <w:pStyle w:val="BulletBlack"/>
        <w:ind w:hanging="270"/>
        <w:rPr>
          <w:b/>
        </w:rPr>
      </w:pPr>
      <w:r w:rsidRPr="001E4926">
        <w:rPr>
          <w:b/>
        </w:rPr>
        <w:t xml:space="preserve">Research </w:t>
      </w:r>
      <w:r>
        <w:rPr>
          <w:b/>
        </w:rPr>
        <w:t>q</w:t>
      </w:r>
      <w:r w:rsidRPr="001E4926">
        <w:rPr>
          <w:b/>
        </w:rPr>
        <w:t xml:space="preserve">uestion </w:t>
      </w:r>
      <w:r>
        <w:rPr>
          <w:b/>
        </w:rPr>
        <w:t>2</w:t>
      </w:r>
      <w:r w:rsidRPr="001E4926">
        <w:rPr>
          <w:b/>
        </w:rPr>
        <w:t>: Are RTT reforms related to improvement in student outcomes?</w:t>
      </w:r>
    </w:p>
    <w:p w:rsidR="00B34628" w:rsidRPr="002666A0" w:rsidRDefault="00B34628" w:rsidP="00B34628">
      <w:pPr>
        <w:pStyle w:val="NormalSS"/>
      </w:pPr>
      <w:r w:rsidRPr="004F44EA">
        <w:t xml:space="preserve">We will use a </w:t>
      </w:r>
      <w:r w:rsidRPr="00BD2FDE">
        <w:t>quasi-experimental ITS design</w:t>
      </w:r>
      <w:r w:rsidRPr="004F44EA">
        <w:t xml:space="preserve"> to assess how student outcomes change following the receipt of RTT grants. </w:t>
      </w:r>
      <w:r>
        <w:t xml:space="preserve">The ITS design will take advantage of the timing of RTT grants while also accounting for the application scores used to select RTT winners in the second phase of the competition. </w:t>
      </w:r>
      <w:r w:rsidRPr="004F44EA">
        <w:t xml:space="preserve">The ITS model </w:t>
      </w:r>
      <w:r w:rsidRPr="004F44EA">
        <w:rPr>
          <w:i/>
          <w:iCs/>
        </w:rPr>
        <w:t>projects</w:t>
      </w:r>
      <w:r w:rsidRPr="004F44EA">
        <w:t xml:space="preserve"> the outcomes that would have been expected in the absence of RTT funding and compares the projections with the pattern of outcomes </w:t>
      </w:r>
      <w:r w:rsidRPr="004F44EA">
        <w:rPr>
          <w:i/>
          <w:iCs/>
        </w:rPr>
        <w:t>actually observed</w:t>
      </w:r>
      <w:r w:rsidRPr="004F44EA">
        <w:t xml:space="preserve"> in the post-intervention period. The effect of the intervention is estimated as the difference between the </w:t>
      </w:r>
      <w:r w:rsidRPr="004F44EA">
        <w:rPr>
          <w:i/>
          <w:iCs/>
        </w:rPr>
        <w:t>predicted</w:t>
      </w:r>
      <w:r w:rsidRPr="004F44EA">
        <w:t xml:space="preserve"> pattern of outcomes and the </w:t>
      </w:r>
      <w:r w:rsidRPr="004F44EA">
        <w:rPr>
          <w:i/>
          <w:iCs/>
        </w:rPr>
        <w:t>actual</w:t>
      </w:r>
      <w:r w:rsidRPr="004F44EA">
        <w:t xml:space="preserve"> trend in outcomes in the post-intervention period. </w:t>
      </w:r>
      <w:r>
        <w:t xml:space="preserve">This approach estimates the average effect of RTT </w:t>
      </w:r>
      <w:r w:rsidR="007544D0">
        <w:t>for states on the cusp of receiving RTT grants</w:t>
      </w:r>
      <w:r>
        <w:t>.</w:t>
      </w:r>
      <w:r w:rsidRPr="0009586C">
        <w:t xml:space="preserve"> </w:t>
      </w:r>
    </w:p>
    <w:p w:rsidR="00B34628" w:rsidRDefault="00B34628" w:rsidP="00B34628">
      <w:pPr>
        <w:pStyle w:val="NormalSS"/>
        <w:rPr>
          <w:iCs/>
        </w:rPr>
      </w:pPr>
      <w:r>
        <w:rPr>
          <w:iCs/>
        </w:rPr>
        <w:t>Importantly, this approach</w:t>
      </w:r>
      <w:r w:rsidRPr="00F64F84">
        <w:t xml:space="preserve"> cannot establish causal relationship</w:t>
      </w:r>
      <w:r>
        <w:t>s</w:t>
      </w:r>
      <w:r w:rsidRPr="00F64F84">
        <w:t xml:space="preserve"> between </w:t>
      </w:r>
      <w:r>
        <w:t xml:space="preserve">the reforms implemented </w:t>
      </w:r>
      <w:r w:rsidRPr="00F64F84">
        <w:t xml:space="preserve">and estimated changes in </w:t>
      </w:r>
      <w:r>
        <w:t>student outcomes</w:t>
      </w:r>
      <w:r w:rsidRPr="00F64F84">
        <w:t xml:space="preserve">. Thus, </w:t>
      </w:r>
      <w:r>
        <w:t xml:space="preserve">appropriate </w:t>
      </w:r>
      <w:r w:rsidRPr="00F64F84">
        <w:t xml:space="preserve">caution </w:t>
      </w:r>
      <w:r>
        <w:t xml:space="preserve">must </w:t>
      </w:r>
      <w:r w:rsidRPr="00F64F84">
        <w:t>be used when interpreting these results</w:t>
      </w:r>
      <w:r>
        <w:t>.</w:t>
      </w:r>
      <w:r w:rsidRPr="004F44EA">
        <w:rPr>
          <w:iCs/>
        </w:rPr>
        <w:t xml:space="preserve"> </w:t>
      </w:r>
    </w:p>
    <w:p w:rsidR="003E0BA0" w:rsidRDefault="00B34628">
      <w:pPr>
        <w:pStyle w:val="NormalSS"/>
        <w:rPr>
          <w:iCs/>
        </w:rPr>
      </w:pPr>
      <w:r w:rsidRPr="004F44EA">
        <w:t xml:space="preserve">The primary data source for this analysis will be state-level </w:t>
      </w:r>
      <w:r w:rsidRPr="00916CF4">
        <w:rPr>
          <w:bCs/>
          <w:iCs/>
        </w:rPr>
        <w:t>National Assessment of Edu</w:t>
      </w:r>
      <w:r>
        <w:rPr>
          <w:bCs/>
          <w:iCs/>
        </w:rPr>
        <w:t>cational Progress</w:t>
      </w:r>
      <w:r w:rsidRPr="004F44EA">
        <w:t xml:space="preserve"> </w:t>
      </w:r>
      <w:r>
        <w:t>(</w:t>
      </w:r>
      <w:r w:rsidRPr="004F44EA">
        <w:t>NAEP</w:t>
      </w:r>
      <w:r>
        <w:t>)</w:t>
      </w:r>
      <w:r w:rsidRPr="004F44EA">
        <w:t xml:space="preserve"> scores.</w:t>
      </w:r>
    </w:p>
    <w:p w:rsidR="0049779E" w:rsidRDefault="00667D44" w:rsidP="00B34628">
      <w:pPr>
        <w:pStyle w:val="BulletBlack"/>
        <w:ind w:hanging="270"/>
        <w:rPr>
          <w:b/>
        </w:rPr>
      </w:pPr>
      <w:r w:rsidRPr="001E4926">
        <w:rPr>
          <w:b/>
        </w:rPr>
        <w:t xml:space="preserve">Research </w:t>
      </w:r>
      <w:r w:rsidR="00A61531">
        <w:rPr>
          <w:b/>
        </w:rPr>
        <w:t>q</w:t>
      </w:r>
      <w:r w:rsidRPr="001E4926">
        <w:rPr>
          <w:b/>
        </w:rPr>
        <w:t xml:space="preserve">uestion </w:t>
      </w:r>
      <w:r w:rsidR="00354950">
        <w:rPr>
          <w:b/>
        </w:rPr>
        <w:t>3</w:t>
      </w:r>
      <w:r w:rsidRPr="001E4926">
        <w:rPr>
          <w:b/>
        </w:rPr>
        <w:t xml:space="preserve">: Does receipt of RTT and/or SIG funding to implement a school turnaround model have an impact on outcomes for </w:t>
      </w:r>
      <w:r>
        <w:rPr>
          <w:b/>
        </w:rPr>
        <w:t>lowest-achieving</w:t>
      </w:r>
      <w:r w:rsidRPr="001E4926">
        <w:rPr>
          <w:b/>
        </w:rPr>
        <w:t xml:space="preserve"> schools?</w:t>
      </w:r>
    </w:p>
    <w:p w:rsidR="00D73FD0" w:rsidRDefault="0074644D" w:rsidP="00667D44">
      <w:pPr>
        <w:pStyle w:val="NormalSS"/>
      </w:pPr>
      <w:r>
        <w:t xml:space="preserve">We </w:t>
      </w:r>
      <w:r w:rsidR="00B10131">
        <w:t xml:space="preserve">plan to </w:t>
      </w:r>
      <w:r>
        <w:t>estimate t</w:t>
      </w:r>
      <w:r w:rsidR="00667D44" w:rsidRPr="00817690">
        <w:t>he impact of STM</w:t>
      </w:r>
      <w:r w:rsidR="00667D44">
        <w:t>s</w:t>
      </w:r>
      <w:r w:rsidR="00667D44" w:rsidRPr="00817690">
        <w:t xml:space="preserve"> </w:t>
      </w:r>
      <w:r w:rsidR="00D73FD0">
        <w:t>using multiple</w:t>
      </w:r>
      <w:r w:rsidR="00667D44" w:rsidRPr="00817690">
        <w:t xml:space="preserve"> RDD </w:t>
      </w:r>
      <w:r w:rsidR="00D73FD0">
        <w:t xml:space="preserve">opportunities, each of which we refer to as a “mini-study.” The </w:t>
      </w:r>
      <w:r w:rsidR="00B10131">
        <w:t xml:space="preserve">potential </w:t>
      </w:r>
      <w:r w:rsidR="00D73FD0">
        <w:t>RDD opportunities are all based on the SIG eligibility tier structure. The first two of the three eligibility tiers are defined, in part, by cutoff values on two continuous variables</w:t>
      </w:r>
      <w:r w:rsidR="00932DF8">
        <w:t>—</w:t>
      </w:r>
      <w:r w:rsidR="00D73FD0">
        <w:t>the fifth percentile of school-level achievement and a graduation rate of 60 percent.</w:t>
      </w:r>
      <w:r w:rsidR="00D73FD0" w:rsidRPr="00346F62">
        <w:t xml:space="preserve"> </w:t>
      </w:r>
      <w:r w:rsidR="00D73FD0">
        <w:t xml:space="preserve">Because these first two tiers must be served before the third tier, a substantially higher proportion of schools in the first two tiers receive STM funding than schools in the third tier. This means that there is a discontinuity in the proportion of schools receiving STM funding at those cutoff values, </w:t>
      </w:r>
      <w:r>
        <w:t xml:space="preserve">which </w:t>
      </w:r>
      <w:r w:rsidR="00D73FD0">
        <w:t>creat</w:t>
      </w:r>
      <w:r>
        <w:t>es</w:t>
      </w:r>
      <w:r w:rsidR="00D73FD0">
        <w:t xml:space="preserve"> </w:t>
      </w:r>
      <w:r>
        <w:t>an</w:t>
      </w:r>
      <w:r w:rsidR="00D73FD0">
        <w:t xml:space="preserve"> opportunity to estimate RDD impacts where s</w:t>
      </w:r>
      <w:r w:rsidR="00D73FD0" w:rsidRPr="00346F62">
        <w:t xml:space="preserve">chools below these cutoffs will form the treatment group </w:t>
      </w:r>
      <w:r w:rsidR="00D73FD0">
        <w:t>(a</w:t>
      </w:r>
      <w:r w:rsidR="00932DF8">
        <w:t>bout</w:t>
      </w:r>
      <w:r w:rsidR="00D73FD0">
        <w:t xml:space="preserve"> 600 schools) </w:t>
      </w:r>
      <w:r w:rsidR="00D73FD0" w:rsidRPr="00346F62">
        <w:t xml:space="preserve">and schools above </w:t>
      </w:r>
      <w:r w:rsidR="00D73FD0">
        <w:t xml:space="preserve">the cutoffs </w:t>
      </w:r>
      <w:r w:rsidR="00D73FD0" w:rsidRPr="00346F62">
        <w:t>will form the comparison group</w:t>
      </w:r>
      <w:r w:rsidR="00D73FD0">
        <w:t xml:space="preserve"> (</w:t>
      </w:r>
      <w:r w:rsidR="00932DF8">
        <w:t>about</w:t>
      </w:r>
      <w:r w:rsidR="00D73FD0">
        <w:t xml:space="preserve"> 600 schools)</w:t>
      </w:r>
      <w:r w:rsidR="00D73FD0" w:rsidRPr="00346F62">
        <w:t>.</w:t>
      </w:r>
    </w:p>
    <w:p w:rsidR="002F126C" w:rsidRDefault="00B10131" w:rsidP="00667D44">
      <w:pPr>
        <w:pStyle w:val="NormalSS"/>
      </w:pPr>
      <w:bookmarkStart w:id="19" w:name="OLE_LINK3"/>
      <w:bookmarkStart w:id="20" w:name="OLE_LINK4"/>
      <w:r>
        <w:t xml:space="preserve">The ongoing recruitment phase of this study will determine whether or not it will be feasible to implement the RDD. </w:t>
      </w:r>
      <w:r w:rsidR="00220114" w:rsidRPr="00220114">
        <w:t>Feasibility depends on (1) the “fuzz</w:t>
      </w:r>
      <w:r w:rsidR="00220114" w:rsidRPr="00EE28E3">
        <w:t>iness” (Trochim 1984; Hahn et al. 2001) of the RDD and (2) the anticipated statistical precision of</w:t>
      </w:r>
      <w:r w:rsidR="00220114" w:rsidRPr="00220114">
        <w:t xml:space="preserve"> RDD impacts. The fuzziness of the RDD refers to the difference between the treatment and comparison groups near the RDD cutoff value in the proportion of schools</w:t>
      </w:r>
      <w:r w:rsidR="00220114">
        <w:t xml:space="preserve"> </w:t>
      </w:r>
      <w:r w:rsidR="00220114" w:rsidRPr="00220114">
        <w:t xml:space="preserve">receiving funds to implement an STM (the smaller this difference, the fuzzier the design). RDD fuzziness needs to be considered when assessing the feasibility of the </w:t>
      </w:r>
      <w:r w:rsidR="00220114" w:rsidRPr="00EE28E3">
        <w:t>R</w:t>
      </w:r>
      <w:r w:rsidR="001C2416">
        <w:t>D</w:t>
      </w:r>
      <w:r w:rsidR="00220114" w:rsidRPr="00EE28E3">
        <w:t>D</w:t>
      </w:r>
      <w:r w:rsidR="00220114" w:rsidRPr="00220114">
        <w:t xml:space="preserve"> because it leads to finite sample bias when estimating the complier average causal effect (CACE). Using simulations, </w:t>
      </w:r>
      <w:r w:rsidR="00220114">
        <w:t>we have</w:t>
      </w:r>
      <w:r w:rsidR="00220114" w:rsidRPr="00220114">
        <w:t xml:space="preserve"> determined that the difference between the treatment and comparison groups near the cutoff in the proportion of schools receiving STM funds needs to be at least 40 percent. If we are unable to find any RDD opportunities that meet this requirement</w:t>
      </w:r>
      <w:r w:rsidR="00EE28E3">
        <w:t>,</w:t>
      </w:r>
      <w:r w:rsidR="00220114" w:rsidRPr="00220114">
        <w:t xml:space="preserve"> then the RDD will not be feasible. However, recruiting efforts so far indicate that it is highly likely that we will find RDD opportunities that meet this feasibility requirement.</w:t>
      </w:r>
    </w:p>
    <w:p w:rsidR="00B10131" w:rsidRDefault="002F126C" w:rsidP="00667D44">
      <w:pPr>
        <w:pStyle w:val="NormalSS"/>
      </w:pPr>
      <w:r>
        <w:lastRenderedPageBreak/>
        <w:t xml:space="preserve">The anticipated statistical precision of the RDD impacts is primarily affected by sample size and RDD fuzziness. The original goal for this evaluation (as stated in the performance work statement) was to have sufficient statistical precision to detect an impact of at least 0.10 standard deviations with 80 percent probability. If we fall far short of that goal (for example, if the anticipated minimum detectable effect size is 0.20 standard deviations), we will consult members of the technical working group </w:t>
      </w:r>
      <w:r w:rsidR="00220114">
        <w:t xml:space="preserve">about </w:t>
      </w:r>
      <w:r>
        <w:t xml:space="preserve">whether accepting a loss in internal validity in order to increase statistical power is an acceptable tradeoff. </w:t>
      </w:r>
      <w:r w:rsidR="00E3792E">
        <w:t>We do not yet have enough information to estimate the study’s overall statistical power.</w:t>
      </w:r>
      <w:r w:rsidR="00220114">
        <w:t xml:space="preserve"> </w:t>
      </w:r>
      <w:r w:rsidR="00220114" w:rsidRPr="00220114">
        <w:t xml:space="preserve">If we find acceptable levels of both statistical precision and fuzziness, we will deem the RDD feasible to implement and will plan to move ahead with </w:t>
      </w:r>
      <w:r w:rsidR="001C2416">
        <w:t>it</w:t>
      </w:r>
      <w:r w:rsidR="00220114" w:rsidRPr="00220114">
        <w:t>.</w:t>
      </w:r>
    </w:p>
    <w:bookmarkEnd w:id="19"/>
    <w:bookmarkEnd w:id="20"/>
    <w:p w:rsidR="00667D44" w:rsidRDefault="00B10131" w:rsidP="00667D44">
      <w:pPr>
        <w:pStyle w:val="NormalSS"/>
      </w:pPr>
      <w:r>
        <w:t>Assuming that a</w:t>
      </w:r>
      <w:r w:rsidR="00DA7334">
        <w:t>n</w:t>
      </w:r>
      <w:r>
        <w:t xml:space="preserve"> RDD </w:t>
      </w:r>
      <w:r w:rsidR="001C34D0">
        <w:t xml:space="preserve">is </w:t>
      </w:r>
      <w:r>
        <w:t>feasible, f</w:t>
      </w:r>
      <w:r w:rsidR="00D73FD0" w:rsidRPr="00E62F59">
        <w:t>or every RDD mini-study (that is, unique combination of RDD assignment variable and cutoff, outcome, and grade), we will conduct a full RDD analysis aligned with W</w:t>
      </w:r>
      <w:r w:rsidR="00C42276">
        <w:t xml:space="preserve">hat </w:t>
      </w:r>
      <w:r w:rsidR="00D73FD0" w:rsidRPr="00E62F59">
        <w:t>W</w:t>
      </w:r>
      <w:r w:rsidR="00C42276">
        <w:t xml:space="preserve">orks </w:t>
      </w:r>
      <w:r w:rsidR="00D73FD0" w:rsidRPr="00E62F59">
        <w:t>C</w:t>
      </w:r>
      <w:r w:rsidR="00C42276">
        <w:t>learinghouse</w:t>
      </w:r>
      <w:r w:rsidR="00D73FD0" w:rsidRPr="00E62F59">
        <w:t xml:space="preserve"> evidence standards. Specifically, we will estimate impacts within an optimal bandwidth around the assignment variable’s cutoff value and conduct a full set of diagnostic analyses to assess the performance of the RDD. The overall impact of STM</w:t>
      </w:r>
      <w:r w:rsidR="00D73FD0">
        <w:t>s</w:t>
      </w:r>
      <w:r w:rsidR="00D73FD0" w:rsidRPr="00E62F59">
        <w:t xml:space="preserve"> will be a weighted average of the mini-study impacts, where the weight is the inverse of the variance of the mini-study impacts.</w:t>
      </w:r>
      <w:r w:rsidR="00667D44" w:rsidRPr="00817690">
        <w:t xml:space="preserve"> </w:t>
      </w:r>
    </w:p>
    <w:p w:rsidR="00BE54BA" w:rsidRDefault="00B10131" w:rsidP="00667D44">
      <w:pPr>
        <w:pStyle w:val="NormalSS"/>
      </w:pPr>
      <w:r>
        <w:t>If a</w:t>
      </w:r>
      <w:r w:rsidR="00DA7334">
        <w:t>n</w:t>
      </w:r>
      <w:r>
        <w:t xml:space="preserve"> RDD is not feasible, we will </w:t>
      </w:r>
      <w:r w:rsidR="00EC55D7" w:rsidRPr="00EC55D7">
        <w:t>use an ITS design to assess how student outcomes change following the implementation of an STM in every school</w:t>
      </w:r>
      <w:r w:rsidR="00903E46">
        <w:t xml:space="preserve"> in our sample</w:t>
      </w:r>
      <w:r w:rsidR="00EC55D7" w:rsidRPr="00EC55D7">
        <w:t xml:space="preserve"> that implements one</w:t>
      </w:r>
      <w:r w:rsidR="0017467A">
        <w:t xml:space="preserve">. </w:t>
      </w:r>
      <w:r w:rsidR="00EC55D7" w:rsidRPr="00EC55D7">
        <w:t>The ITS design will take advantage of the timing of STM implementation. The ITS model projects the outcomes that would have been expected in the absence of the STM and compares the projections with the pattern of outcomes actually observed in the post</w:t>
      </w:r>
      <w:r w:rsidR="00570AF3">
        <w:t>-</w:t>
      </w:r>
      <w:r w:rsidR="00EC55D7" w:rsidRPr="00EC55D7">
        <w:t>intervention period. The effect of STM</w:t>
      </w:r>
      <w:r w:rsidR="00EC55D7">
        <w:t xml:space="preserve"> implementation</w:t>
      </w:r>
      <w:r w:rsidR="00EC55D7" w:rsidRPr="00EC55D7">
        <w:t xml:space="preserve"> is estimated as the difference between the predicted pattern of outcomes and the actual outcomes observed in the post</w:t>
      </w:r>
      <w:r w:rsidR="00570AF3">
        <w:t>-</w:t>
      </w:r>
      <w:r w:rsidR="00EC55D7" w:rsidRPr="00EC55D7">
        <w:t>intervention period.</w:t>
      </w:r>
      <w:r w:rsidR="00EC55D7">
        <w:t xml:space="preserve"> </w:t>
      </w:r>
      <w:r w:rsidR="00EC55D7" w:rsidRPr="00EC55D7">
        <w:t xml:space="preserve">To strengthen the validity of our estimates and to increase statistical power, our ITS design will also incorporate a comparison group of </w:t>
      </w:r>
      <w:r w:rsidR="00EC55D7">
        <w:t xml:space="preserve">schools </w:t>
      </w:r>
      <w:r w:rsidR="00EC55D7" w:rsidRPr="00EC55D7">
        <w:t xml:space="preserve">that did not </w:t>
      </w:r>
      <w:r w:rsidR="00EC55D7">
        <w:t xml:space="preserve">receive STM </w:t>
      </w:r>
      <w:r w:rsidR="00EC55D7" w:rsidRPr="00EC55D7">
        <w:t xml:space="preserve">funding. This will be </w:t>
      </w:r>
      <w:r w:rsidR="00EC55D7" w:rsidRPr="00DA7334">
        <w:t>accomplished by using the difference in outcomes between schools that do and do not receive STM funding as the outcome in the ITS analysis. The sample of schools use</w:t>
      </w:r>
      <w:r w:rsidR="002E6F39" w:rsidRPr="00DA7334">
        <w:t>d</w:t>
      </w:r>
      <w:r w:rsidR="00EC55D7" w:rsidRPr="00DA7334">
        <w:t xml:space="preserve"> to estimate impacts </w:t>
      </w:r>
      <w:r w:rsidR="002E6F39" w:rsidRPr="00DA7334">
        <w:t>with</w:t>
      </w:r>
      <w:r w:rsidR="00EC55D7" w:rsidRPr="00DA7334">
        <w:t xml:space="preserve"> this ITS design would be </w:t>
      </w:r>
      <w:r w:rsidR="001E0A0E">
        <w:t xml:space="preserve">based on </w:t>
      </w:r>
      <w:r w:rsidR="00EC55D7" w:rsidRPr="00DA7334">
        <w:t xml:space="preserve">the sample </w:t>
      </w:r>
      <w:r w:rsidR="001E0A0E">
        <w:t xml:space="preserve">identified for </w:t>
      </w:r>
      <w:r w:rsidR="00EC55D7" w:rsidRPr="00DA7334">
        <w:t>estimat</w:t>
      </w:r>
      <w:r w:rsidR="001E0A0E">
        <w:t>ing</w:t>
      </w:r>
      <w:r w:rsidR="00EC55D7" w:rsidRPr="00DA7334">
        <w:t xml:space="preserve"> RDD impacts</w:t>
      </w:r>
      <w:r w:rsidR="001E0A0E">
        <w:t>, but augmented to reduce any observed differences between our analysis sample and the national population of SIG grantees</w:t>
      </w:r>
      <w:r w:rsidR="00EC55D7" w:rsidRPr="00DA7334">
        <w:t>.</w:t>
      </w:r>
      <w:r w:rsidR="00EC55D7">
        <w:t xml:space="preserve"> </w:t>
      </w:r>
    </w:p>
    <w:p w:rsidR="00B0500D" w:rsidRPr="00B0500D" w:rsidRDefault="00667D44" w:rsidP="00570AF3">
      <w:pPr>
        <w:pStyle w:val="NormalSS"/>
        <w:rPr>
          <w:b/>
        </w:rPr>
      </w:pPr>
      <w:r w:rsidRPr="00E62F59">
        <w:t xml:space="preserve">Student-level data used to answer research question </w:t>
      </w:r>
      <w:r w:rsidR="00B34628">
        <w:t>3</w:t>
      </w:r>
      <w:r w:rsidR="00B34628" w:rsidRPr="00E62F59">
        <w:t xml:space="preserve"> </w:t>
      </w:r>
      <w:r w:rsidRPr="00E62F59">
        <w:t xml:space="preserve">will come from two </w:t>
      </w:r>
      <w:r w:rsidR="0010212D">
        <w:t xml:space="preserve">extant </w:t>
      </w:r>
      <w:r w:rsidRPr="00E62F59">
        <w:t xml:space="preserve">sources: (1) </w:t>
      </w:r>
      <w:r w:rsidR="00C42276">
        <w:t>state-level data systems whenever possible</w:t>
      </w:r>
      <w:r w:rsidR="006222B4">
        <w:t>;</w:t>
      </w:r>
      <w:r w:rsidR="00C42276">
        <w:t xml:space="preserve"> and</w:t>
      </w:r>
      <w:r w:rsidRPr="00E62F59">
        <w:t xml:space="preserve"> (2) </w:t>
      </w:r>
      <w:r w:rsidR="00C42276">
        <w:t>when we cannot obtain the necessary data from the states in which district</w:t>
      </w:r>
      <w:r w:rsidR="007A2F34">
        <w:t>s</w:t>
      </w:r>
      <w:r w:rsidR="00C42276">
        <w:t xml:space="preserve"> are located, from school district data systems</w:t>
      </w:r>
      <w:r w:rsidRPr="00E62F59">
        <w:t xml:space="preserve">. </w:t>
      </w:r>
      <w:r w:rsidR="00D73FD0" w:rsidRPr="00916CF4">
        <w:t xml:space="preserve">The outcomes of interest for this study are student standardized test scores (state assessments) from the 2011-2012, 2012-2013, and 2013-2014 school years; high school graduation and attendance rates; and (to the extent </w:t>
      </w:r>
      <w:r w:rsidR="00A61531">
        <w:t xml:space="preserve">that </w:t>
      </w:r>
      <w:r w:rsidR="00D73FD0" w:rsidRPr="00916CF4">
        <w:t xml:space="preserve">data are available) college enrollment rates and completion of at least a year of college credit. </w:t>
      </w:r>
    </w:p>
    <w:p w:rsidR="0049779E" w:rsidRPr="00EF5D1C" w:rsidRDefault="00667D44" w:rsidP="00EF5D1C">
      <w:pPr>
        <w:pStyle w:val="BulletBlack"/>
        <w:rPr>
          <w:b/>
        </w:rPr>
      </w:pPr>
      <w:r w:rsidRPr="00EF5D1C">
        <w:rPr>
          <w:b/>
        </w:rPr>
        <w:t xml:space="preserve">Research </w:t>
      </w:r>
      <w:r w:rsidR="00A61531" w:rsidRPr="00EF5D1C">
        <w:rPr>
          <w:b/>
        </w:rPr>
        <w:t>q</w:t>
      </w:r>
      <w:r w:rsidRPr="00EF5D1C">
        <w:rPr>
          <w:b/>
        </w:rPr>
        <w:t>uestion 4: Is implementation of the four school turnaround models, and strategies within those models, related to improvement in outcomes for lowest-achieving schools?</w:t>
      </w:r>
    </w:p>
    <w:p w:rsidR="00A965DE" w:rsidRDefault="00667D44" w:rsidP="00667D44">
      <w:pPr>
        <w:pStyle w:val="NormalSS"/>
      </w:pPr>
      <w:r w:rsidRPr="00F64F84">
        <w:t xml:space="preserve">To examine the correlation between improvements in school outcomes and specific turnaround strategies, we will draw on the implementation data collected </w:t>
      </w:r>
      <w:r>
        <w:t>from</w:t>
      </w:r>
      <w:r w:rsidRPr="00F64F84">
        <w:t xml:space="preserve"> schools implementing an STM. We will conduct an ITS analysis within each school and then correlate the ITS </w:t>
      </w:r>
      <w:r w:rsidR="00390D0A">
        <w:t>outcomes</w:t>
      </w:r>
      <w:r w:rsidR="00390D0A" w:rsidRPr="00F64F84">
        <w:t xml:space="preserve"> </w:t>
      </w:r>
      <w:r w:rsidRPr="00F64F84">
        <w:t>with school-level turnaround models</w:t>
      </w:r>
      <w:r w:rsidR="00A965DE">
        <w:t xml:space="preserve"> or </w:t>
      </w:r>
      <w:r w:rsidRPr="00F64F84">
        <w:t xml:space="preserve">strategies. </w:t>
      </w:r>
    </w:p>
    <w:p w:rsidR="00667D44" w:rsidRDefault="00667D44" w:rsidP="00667D44">
      <w:pPr>
        <w:pStyle w:val="NormalSS"/>
      </w:pPr>
      <w:r w:rsidRPr="00F64F84">
        <w:t xml:space="preserve">As with the ITS design described for research question 3, this correlational analysis cannot establish a causal relationship between turnaround models/strategies and estimated changes in </w:t>
      </w:r>
      <w:r w:rsidRPr="00F64F84">
        <w:lastRenderedPageBreak/>
        <w:t>school outcomes. Thus, caution must be used when interpreting these results, because specific turnaround models</w:t>
      </w:r>
      <w:r w:rsidR="00A965DE">
        <w:t xml:space="preserve"> or </w:t>
      </w:r>
      <w:r w:rsidRPr="00F64F84">
        <w:t xml:space="preserve">strategies may not have caused the observed changes in outcomes. </w:t>
      </w:r>
    </w:p>
    <w:p w:rsidR="00667D44" w:rsidRPr="00E62F59" w:rsidRDefault="00667D44" w:rsidP="00667D44">
      <w:pPr>
        <w:pStyle w:val="NormalSS"/>
      </w:pPr>
      <w:r w:rsidRPr="00F64F84">
        <w:t>Outcomes to be examined include student achievement on state assessments</w:t>
      </w:r>
      <w:r w:rsidR="00625CCC">
        <w:t>,</w:t>
      </w:r>
      <w:r w:rsidRPr="00F64F84">
        <w:t xml:space="preserve"> high school graduation rates,</w:t>
      </w:r>
      <w:r w:rsidR="00CF11D9">
        <w:t xml:space="preserve"> attendance,</w:t>
      </w:r>
      <w:r w:rsidRPr="00F64F84">
        <w:t xml:space="preserve"> </w:t>
      </w:r>
      <w:r>
        <w:t xml:space="preserve">and (to the extent data are available) </w:t>
      </w:r>
      <w:r w:rsidRPr="00F64F84">
        <w:t>college enrollment rates and rates of completion of at least a year’s worth of college credit. Data sources for turnaround models</w:t>
      </w:r>
      <w:r>
        <w:t xml:space="preserve">, </w:t>
      </w:r>
      <w:r w:rsidRPr="00F64F84">
        <w:t>strategies</w:t>
      </w:r>
      <w:r>
        <w:t xml:space="preserve">, and </w:t>
      </w:r>
      <w:r w:rsidRPr="00F64F84">
        <w:t xml:space="preserve">practices include state and district interviews and school surveys. </w:t>
      </w:r>
    </w:p>
    <w:p w:rsidR="00667D44" w:rsidRPr="00CE6F58" w:rsidRDefault="00667D44" w:rsidP="00667D44">
      <w:pPr>
        <w:pStyle w:val="NormalSS"/>
        <w:keepNext/>
        <w:spacing w:after="160"/>
        <w:ind w:left="432" w:hanging="432"/>
      </w:pPr>
      <w:r>
        <w:rPr>
          <w:b/>
        </w:rPr>
        <w:t>d.</w:t>
      </w:r>
      <w:r>
        <w:rPr>
          <w:b/>
        </w:rPr>
        <w:tab/>
      </w:r>
      <w:r w:rsidRPr="00B83096">
        <w:rPr>
          <w:b/>
        </w:rPr>
        <w:t xml:space="preserve">Data </w:t>
      </w:r>
      <w:r>
        <w:rPr>
          <w:b/>
        </w:rPr>
        <w:t>C</w:t>
      </w:r>
      <w:r w:rsidRPr="00B83096">
        <w:rPr>
          <w:b/>
        </w:rPr>
        <w:t xml:space="preserve">ollection </w:t>
      </w:r>
      <w:r>
        <w:rPr>
          <w:b/>
        </w:rPr>
        <w:t>Needs</w:t>
      </w:r>
    </w:p>
    <w:p w:rsidR="00667D44" w:rsidRDefault="00667D44" w:rsidP="00667D44">
      <w:pPr>
        <w:pStyle w:val="NormalSS"/>
      </w:pPr>
      <w:r w:rsidRPr="00E62F59">
        <w:t>T</w:t>
      </w:r>
      <w:r w:rsidR="003F2E27">
        <w:t xml:space="preserve">his study includes </w:t>
      </w:r>
      <w:r w:rsidR="00C604F8">
        <w:t xml:space="preserve">several data collection efforts </w:t>
      </w:r>
      <w:r w:rsidR="00C3463D">
        <w:t>that are</w:t>
      </w:r>
      <w:r w:rsidR="003F2E27">
        <w:t xml:space="preserve"> described below and summarized in Table A.1. </w:t>
      </w:r>
    </w:p>
    <w:p w:rsidR="003F2E27" w:rsidRPr="00B83096" w:rsidRDefault="003F2E27" w:rsidP="00267BC7">
      <w:pPr>
        <w:pStyle w:val="MarkforTableHeading"/>
        <w:tabs>
          <w:tab w:val="left" w:pos="360"/>
        </w:tabs>
        <w:rPr>
          <w:szCs w:val="18"/>
        </w:rPr>
      </w:pPr>
      <w:r w:rsidRPr="00B83096">
        <w:rPr>
          <w:szCs w:val="18"/>
        </w:rPr>
        <w:t xml:space="preserve">Table </w:t>
      </w:r>
      <w:r>
        <w:rPr>
          <w:szCs w:val="18"/>
        </w:rPr>
        <w:t>A.1. Data Collection Needs</w:t>
      </w:r>
    </w:p>
    <w:tbl>
      <w:tblPr>
        <w:tblStyle w:val="SMPRTableRed"/>
        <w:tblW w:w="5000" w:type="pct"/>
        <w:tblInd w:w="0" w:type="dxa"/>
        <w:tblLook w:val="04A0"/>
      </w:tblPr>
      <w:tblGrid>
        <w:gridCol w:w="1988"/>
        <w:gridCol w:w="1898"/>
        <w:gridCol w:w="1898"/>
        <w:gridCol w:w="1896"/>
        <w:gridCol w:w="1896"/>
      </w:tblGrid>
      <w:tr w:rsidR="003F2E27" w:rsidRPr="00FA44BB" w:rsidTr="00C604F8">
        <w:trPr>
          <w:cnfStyle w:val="100000000000"/>
          <w:cantSplit/>
          <w:tblHeader/>
        </w:trPr>
        <w:tc>
          <w:tcPr>
            <w:tcW w:w="1038" w:type="pct"/>
            <w:tcBorders>
              <w:top w:val="single" w:sz="12" w:space="0" w:color="auto"/>
              <w:bottom w:val="single" w:sz="4" w:space="0" w:color="auto"/>
            </w:tcBorders>
            <w:vAlign w:val="bottom"/>
          </w:tcPr>
          <w:p w:rsidR="003F2E27" w:rsidRPr="00FA44BB" w:rsidRDefault="001E3F65" w:rsidP="003F2E27">
            <w:pPr>
              <w:pStyle w:val="TableHeaderLeft"/>
              <w:rPr>
                <w:szCs w:val="18"/>
              </w:rPr>
            </w:pPr>
            <w:r>
              <w:rPr>
                <w:szCs w:val="18"/>
              </w:rPr>
              <w:t>Data source</w:t>
            </w:r>
          </w:p>
        </w:tc>
        <w:tc>
          <w:tcPr>
            <w:tcW w:w="991" w:type="pct"/>
            <w:tcBorders>
              <w:top w:val="single" w:sz="12" w:space="0" w:color="auto"/>
              <w:bottom w:val="single" w:sz="4" w:space="0" w:color="auto"/>
            </w:tcBorders>
            <w:vAlign w:val="bottom"/>
          </w:tcPr>
          <w:p w:rsidR="003F2E27" w:rsidRPr="00FA44BB" w:rsidRDefault="00C3463D" w:rsidP="003F2E27">
            <w:pPr>
              <w:pStyle w:val="TableHeaderCenter"/>
              <w:rPr>
                <w:szCs w:val="18"/>
              </w:rPr>
            </w:pPr>
            <w:r>
              <w:rPr>
                <w:szCs w:val="18"/>
              </w:rPr>
              <w:t>Sample</w:t>
            </w:r>
          </w:p>
        </w:tc>
        <w:tc>
          <w:tcPr>
            <w:tcW w:w="991" w:type="pct"/>
            <w:tcBorders>
              <w:top w:val="single" w:sz="12" w:space="0" w:color="auto"/>
              <w:bottom w:val="single" w:sz="4" w:space="0" w:color="auto"/>
            </w:tcBorders>
          </w:tcPr>
          <w:p w:rsidR="003F2E27" w:rsidRPr="00FA44BB" w:rsidRDefault="003F2E27" w:rsidP="003F2E27">
            <w:pPr>
              <w:pStyle w:val="TableHeaderCenter"/>
              <w:rPr>
                <w:szCs w:val="18"/>
              </w:rPr>
            </w:pPr>
            <w:r>
              <w:rPr>
                <w:szCs w:val="18"/>
              </w:rPr>
              <w:t>Respondent</w:t>
            </w:r>
          </w:p>
        </w:tc>
        <w:tc>
          <w:tcPr>
            <w:tcW w:w="990" w:type="pct"/>
            <w:tcBorders>
              <w:top w:val="single" w:sz="12" w:space="0" w:color="auto"/>
              <w:bottom w:val="single" w:sz="4" w:space="0" w:color="auto"/>
            </w:tcBorders>
          </w:tcPr>
          <w:p w:rsidR="003F2E27" w:rsidRPr="00FA44BB" w:rsidRDefault="003F2E27" w:rsidP="003F2E27">
            <w:pPr>
              <w:pStyle w:val="TableHeaderCenter"/>
              <w:rPr>
                <w:szCs w:val="18"/>
              </w:rPr>
            </w:pPr>
            <w:r>
              <w:rPr>
                <w:szCs w:val="18"/>
              </w:rPr>
              <w:t>Mode</w:t>
            </w:r>
          </w:p>
        </w:tc>
        <w:tc>
          <w:tcPr>
            <w:tcW w:w="990" w:type="pct"/>
            <w:tcBorders>
              <w:top w:val="single" w:sz="12" w:space="0" w:color="auto"/>
              <w:bottom w:val="single" w:sz="4" w:space="0" w:color="auto"/>
            </w:tcBorders>
          </w:tcPr>
          <w:p w:rsidR="003F2E27" w:rsidRPr="00FA44BB" w:rsidRDefault="003F2E27" w:rsidP="003F2E27">
            <w:pPr>
              <w:pStyle w:val="TableHeaderCenter"/>
              <w:rPr>
                <w:szCs w:val="18"/>
              </w:rPr>
            </w:pPr>
            <w:r>
              <w:rPr>
                <w:szCs w:val="18"/>
              </w:rPr>
              <w:t>Schedule</w:t>
            </w:r>
          </w:p>
        </w:tc>
      </w:tr>
      <w:tr w:rsidR="003F2E27" w:rsidRPr="00FA44BB" w:rsidTr="00C604F8">
        <w:trPr>
          <w:cantSplit/>
        </w:trPr>
        <w:tc>
          <w:tcPr>
            <w:tcW w:w="1038" w:type="pct"/>
            <w:tcBorders>
              <w:top w:val="nil"/>
              <w:bottom w:val="nil"/>
            </w:tcBorders>
          </w:tcPr>
          <w:p w:rsidR="00C047FA" w:rsidRDefault="00C604F8">
            <w:pPr>
              <w:pStyle w:val="TableText"/>
              <w:spacing w:before="80" w:after="40"/>
              <w:rPr>
                <w:szCs w:val="18"/>
              </w:rPr>
            </w:pPr>
            <w:r>
              <w:rPr>
                <w:szCs w:val="18"/>
              </w:rPr>
              <w:t xml:space="preserve">State </w:t>
            </w:r>
            <w:r w:rsidR="006222B4">
              <w:rPr>
                <w:szCs w:val="18"/>
              </w:rPr>
              <w:t>I</w:t>
            </w:r>
            <w:r w:rsidR="003F2E27">
              <w:rPr>
                <w:szCs w:val="18"/>
              </w:rPr>
              <w:t>nterview</w:t>
            </w:r>
          </w:p>
        </w:tc>
        <w:tc>
          <w:tcPr>
            <w:tcW w:w="991" w:type="pct"/>
            <w:tcBorders>
              <w:top w:val="nil"/>
              <w:bottom w:val="nil"/>
            </w:tcBorders>
          </w:tcPr>
          <w:p w:rsidR="003F2E27" w:rsidRPr="00C3463D" w:rsidRDefault="00C3463D" w:rsidP="003F2E27">
            <w:pPr>
              <w:pStyle w:val="TableText"/>
              <w:spacing w:before="80" w:after="40"/>
              <w:rPr>
                <w:szCs w:val="18"/>
              </w:rPr>
            </w:pPr>
            <w:r w:rsidRPr="00C3463D">
              <w:rPr>
                <w:szCs w:val="18"/>
              </w:rPr>
              <w:t>Both RTT and STM Samples</w:t>
            </w:r>
          </w:p>
        </w:tc>
        <w:tc>
          <w:tcPr>
            <w:tcW w:w="991" w:type="pct"/>
            <w:tcBorders>
              <w:top w:val="nil"/>
              <w:bottom w:val="nil"/>
            </w:tcBorders>
          </w:tcPr>
          <w:p w:rsidR="00C047FA" w:rsidRDefault="006222B4">
            <w:pPr>
              <w:pStyle w:val="TableText"/>
              <w:spacing w:before="80" w:after="40"/>
              <w:rPr>
                <w:szCs w:val="18"/>
              </w:rPr>
            </w:pPr>
            <w:r>
              <w:rPr>
                <w:szCs w:val="18"/>
              </w:rPr>
              <w:t>R</w:t>
            </w:r>
            <w:r w:rsidR="00C604F8">
              <w:rPr>
                <w:szCs w:val="18"/>
              </w:rPr>
              <w:t>epresentatives from 50 states and the District of Columbia</w:t>
            </w:r>
          </w:p>
        </w:tc>
        <w:tc>
          <w:tcPr>
            <w:tcW w:w="990" w:type="pct"/>
            <w:tcBorders>
              <w:top w:val="nil"/>
              <w:bottom w:val="nil"/>
            </w:tcBorders>
          </w:tcPr>
          <w:p w:rsidR="003F2E27" w:rsidRPr="00FA44BB" w:rsidRDefault="00895963" w:rsidP="00895963">
            <w:pPr>
              <w:pStyle w:val="TableText"/>
              <w:spacing w:before="80" w:after="40"/>
              <w:rPr>
                <w:szCs w:val="18"/>
              </w:rPr>
            </w:pPr>
            <w:r>
              <w:rPr>
                <w:szCs w:val="18"/>
              </w:rPr>
              <w:t>Telephone i</w:t>
            </w:r>
            <w:r w:rsidR="003F2E27">
              <w:rPr>
                <w:szCs w:val="18"/>
              </w:rPr>
              <w:t>nterview</w:t>
            </w:r>
          </w:p>
        </w:tc>
        <w:tc>
          <w:tcPr>
            <w:tcW w:w="990" w:type="pct"/>
            <w:tcBorders>
              <w:top w:val="nil"/>
              <w:bottom w:val="nil"/>
            </w:tcBorders>
          </w:tcPr>
          <w:p w:rsidR="001E3F65" w:rsidRDefault="003F2E27" w:rsidP="001E3F65">
            <w:pPr>
              <w:pStyle w:val="TableText"/>
              <w:rPr>
                <w:szCs w:val="18"/>
              </w:rPr>
            </w:pPr>
            <w:r>
              <w:rPr>
                <w:szCs w:val="18"/>
              </w:rPr>
              <w:t>Spring 2012</w:t>
            </w:r>
          </w:p>
          <w:p w:rsidR="001E3F65" w:rsidRDefault="001E3F65" w:rsidP="001E3F65">
            <w:pPr>
              <w:pStyle w:val="TableText"/>
              <w:rPr>
                <w:szCs w:val="18"/>
              </w:rPr>
            </w:pPr>
            <w:r>
              <w:rPr>
                <w:szCs w:val="18"/>
              </w:rPr>
              <w:t>Spring 2013</w:t>
            </w:r>
          </w:p>
          <w:p w:rsidR="003F2E27" w:rsidRPr="00FA44BB" w:rsidRDefault="00002152" w:rsidP="001E3F65">
            <w:pPr>
              <w:pStyle w:val="TableText"/>
              <w:rPr>
                <w:szCs w:val="18"/>
              </w:rPr>
            </w:pPr>
            <w:r>
              <w:rPr>
                <w:szCs w:val="18"/>
              </w:rPr>
              <w:t>Spring 2014</w:t>
            </w:r>
          </w:p>
        </w:tc>
      </w:tr>
      <w:tr w:rsidR="003F2E27" w:rsidRPr="00FA44BB" w:rsidTr="003F2E27">
        <w:trPr>
          <w:cantSplit/>
        </w:trPr>
        <w:tc>
          <w:tcPr>
            <w:tcW w:w="1038" w:type="pct"/>
            <w:tcBorders>
              <w:top w:val="nil"/>
              <w:bottom w:val="nil"/>
            </w:tcBorders>
          </w:tcPr>
          <w:p w:rsidR="00C047FA" w:rsidRDefault="00506514">
            <w:pPr>
              <w:pStyle w:val="TableText"/>
              <w:spacing w:before="80" w:after="40"/>
              <w:rPr>
                <w:szCs w:val="18"/>
              </w:rPr>
            </w:pPr>
            <w:r>
              <w:rPr>
                <w:szCs w:val="18"/>
              </w:rPr>
              <w:t>D</w:t>
            </w:r>
            <w:r w:rsidR="003F2E27">
              <w:rPr>
                <w:szCs w:val="18"/>
              </w:rPr>
              <w:t xml:space="preserve">istrict </w:t>
            </w:r>
            <w:r w:rsidR="006222B4">
              <w:rPr>
                <w:szCs w:val="18"/>
              </w:rPr>
              <w:t>I</w:t>
            </w:r>
            <w:r w:rsidR="00C604F8">
              <w:rPr>
                <w:szCs w:val="18"/>
              </w:rPr>
              <w:t>nterview</w:t>
            </w:r>
          </w:p>
        </w:tc>
        <w:tc>
          <w:tcPr>
            <w:tcW w:w="991" w:type="pct"/>
            <w:tcBorders>
              <w:top w:val="nil"/>
              <w:bottom w:val="nil"/>
            </w:tcBorders>
          </w:tcPr>
          <w:p w:rsidR="003F2E27" w:rsidRPr="00C3463D" w:rsidRDefault="00C3463D" w:rsidP="003F2E27">
            <w:pPr>
              <w:pStyle w:val="TableText"/>
              <w:spacing w:before="80" w:after="40"/>
              <w:rPr>
                <w:szCs w:val="18"/>
              </w:rPr>
            </w:pPr>
            <w:r w:rsidRPr="00C3463D">
              <w:rPr>
                <w:szCs w:val="18"/>
              </w:rPr>
              <w:t>STM Sample</w:t>
            </w:r>
          </w:p>
        </w:tc>
        <w:tc>
          <w:tcPr>
            <w:tcW w:w="991" w:type="pct"/>
            <w:tcBorders>
              <w:top w:val="nil"/>
              <w:bottom w:val="nil"/>
            </w:tcBorders>
          </w:tcPr>
          <w:p w:rsidR="003F2E27" w:rsidRDefault="00987A23" w:rsidP="003F2E27">
            <w:pPr>
              <w:pStyle w:val="TableText"/>
              <w:spacing w:before="80" w:after="40"/>
              <w:rPr>
                <w:szCs w:val="18"/>
              </w:rPr>
            </w:pPr>
            <w:r>
              <w:rPr>
                <w:szCs w:val="18"/>
              </w:rPr>
              <w:t>134</w:t>
            </w:r>
            <w:r w:rsidR="00C604F8">
              <w:rPr>
                <w:szCs w:val="18"/>
              </w:rPr>
              <w:t xml:space="preserve"> d</w:t>
            </w:r>
            <w:r w:rsidR="003F2E27">
              <w:rPr>
                <w:szCs w:val="18"/>
              </w:rPr>
              <w:t>istrict administrator</w:t>
            </w:r>
            <w:r w:rsidR="00C604F8">
              <w:rPr>
                <w:szCs w:val="18"/>
              </w:rPr>
              <w:t>s</w:t>
            </w:r>
          </w:p>
        </w:tc>
        <w:tc>
          <w:tcPr>
            <w:tcW w:w="990" w:type="pct"/>
            <w:tcBorders>
              <w:top w:val="nil"/>
              <w:bottom w:val="nil"/>
            </w:tcBorders>
          </w:tcPr>
          <w:p w:rsidR="003F2E27" w:rsidRDefault="00895963" w:rsidP="00895963">
            <w:pPr>
              <w:pStyle w:val="TableText"/>
              <w:spacing w:before="80" w:after="40"/>
              <w:rPr>
                <w:szCs w:val="18"/>
              </w:rPr>
            </w:pPr>
            <w:r>
              <w:rPr>
                <w:szCs w:val="18"/>
              </w:rPr>
              <w:t>Telephone i</w:t>
            </w:r>
            <w:r w:rsidR="003F2E27">
              <w:rPr>
                <w:szCs w:val="18"/>
              </w:rPr>
              <w:t>nterview</w:t>
            </w:r>
          </w:p>
        </w:tc>
        <w:tc>
          <w:tcPr>
            <w:tcW w:w="990" w:type="pct"/>
            <w:tcBorders>
              <w:top w:val="nil"/>
              <w:bottom w:val="nil"/>
            </w:tcBorders>
          </w:tcPr>
          <w:p w:rsidR="001E3F65" w:rsidRDefault="001E3F65" w:rsidP="001E3F65">
            <w:pPr>
              <w:pStyle w:val="TableText"/>
              <w:rPr>
                <w:szCs w:val="18"/>
              </w:rPr>
            </w:pPr>
            <w:r>
              <w:rPr>
                <w:szCs w:val="18"/>
              </w:rPr>
              <w:t>Spring 2012</w:t>
            </w:r>
          </w:p>
          <w:p w:rsidR="001E3F65" w:rsidRDefault="001E3F65" w:rsidP="001E3F65">
            <w:pPr>
              <w:pStyle w:val="TableText"/>
              <w:rPr>
                <w:szCs w:val="18"/>
              </w:rPr>
            </w:pPr>
            <w:r>
              <w:rPr>
                <w:szCs w:val="18"/>
              </w:rPr>
              <w:t>Spring 2013</w:t>
            </w:r>
          </w:p>
          <w:p w:rsidR="003F2E27" w:rsidRDefault="00002152" w:rsidP="001E3F65">
            <w:pPr>
              <w:pStyle w:val="TableText"/>
              <w:rPr>
                <w:szCs w:val="18"/>
              </w:rPr>
            </w:pPr>
            <w:r>
              <w:rPr>
                <w:szCs w:val="18"/>
              </w:rPr>
              <w:t>Spring 2014</w:t>
            </w:r>
          </w:p>
          <w:p w:rsidR="001E3F65" w:rsidRDefault="001E3F65" w:rsidP="001E3F65">
            <w:pPr>
              <w:pStyle w:val="TableText"/>
              <w:rPr>
                <w:szCs w:val="18"/>
              </w:rPr>
            </w:pPr>
          </w:p>
        </w:tc>
      </w:tr>
      <w:tr w:rsidR="003F2E27" w:rsidRPr="00FA44BB" w:rsidTr="003F2E27">
        <w:trPr>
          <w:cantSplit/>
        </w:trPr>
        <w:tc>
          <w:tcPr>
            <w:tcW w:w="1038" w:type="pct"/>
            <w:tcBorders>
              <w:top w:val="nil"/>
              <w:bottom w:val="nil"/>
            </w:tcBorders>
          </w:tcPr>
          <w:p w:rsidR="00C047FA" w:rsidRDefault="00506514" w:rsidP="00DC2634">
            <w:pPr>
              <w:pStyle w:val="TableText"/>
              <w:spacing w:before="80" w:after="40"/>
              <w:rPr>
                <w:szCs w:val="18"/>
              </w:rPr>
            </w:pPr>
            <w:r>
              <w:rPr>
                <w:szCs w:val="18"/>
              </w:rPr>
              <w:t xml:space="preserve">School </w:t>
            </w:r>
            <w:r w:rsidR="006222B4">
              <w:rPr>
                <w:szCs w:val="18"/>
              </w:rPr>
              <w:t>S</w:t>
            </w:r>
            <w:r w:rsidR="003F2E27">
              <w:rPr>
                <w:szCs w:val="18"/>
              </w:rPr>
              <w:t>urvey</w:t>
            </w:r>
          </w:p>
        </w:tc>
        <w:tc>
          <w:tcPr>
            <w:tcW w:w="991" w:type="pct"/>
            <w:tcBorders>
              <w:top w:val="nil"/>
              <w:bottom w:val="nil"/>
            </w:tcBorders>
          </w:tcPr>
          <w:p w:rsidR="003F2E27" w:rsidRPr="00C3463D" w:rsidRDefault="00C3463D" w:rsidP="003F2E27">
            <w:pPr>
              <w:pStyle w:val="TableText"/>
              <w:spacing w:before="80" w:after="40"/>
              <w:rPr>
                <w:szCs w:val="18"/>
              </w:rPr>
            </w:pPr>
            <w:r w:rsidRPr="00C3463D">
              <w:rPr>
                <w:szCs w:val="18"/>
              </w:rPr>
              <w:t>STM Sample</w:t>
            </w:r>
          </w:p>
        </w:tc>
        <w:tc>
          <w:tcPr>
            <w:tcW w:w="991" w:type="pct"/>
            <w:tcBorders>
              <w:top w:val="nil"/>
              <w:bottom w:val="nil"/>
            </w:tcBorders>
          </w:tcPr>
          <w:p w:rsidR="003F2E27" w:rsidRDefault="00C604F8" w:rsidP="003F2E27">
            <w:pPr>
              <w:pStyle w:val="TableText"/>
              <w:spacing w:before="80" w:after="40"/>
              <w:rPr>
                <w:szCs w:val="18"/>
              </w:rPr>
            </w:pPr>
            <w:r>
              <w:rPr>
                <w:szCs w:val="18"/>
              </w:rPr>
              <w:t>1,200 s</w:t>
            </w:r>
            <w:r w:rsidR="003F2E27">
              <w:rPr>
                <w:szCs w:val="18"/>
              </w:rPr>
              <w:t>chool administrator</w:t>
            </w:r>
            <w:r>
              <w:rPr>
                <w:szCs w:val="18"/>
              </w:rPr>
              <w:t>s</w:t>
            </w:r>
          </w:p>
        </w:tc>
        <w:tc>
          <w:tcPr>
            <w:tcW w:w="990" w:type="pct"/>
            <w:tcBorders>
              <w:top w:val="nil"/>
              <w:bottom w:val="nil"/>
            </w:tcBorders>
          </w:tcPr>
          <w:p w:rsidR="003F2E27" w:rsidRDefault="003F2E27" w:rsidP="003F2E27">
            <w:pPr>
              <w:pStyle w:val="TableText"/>
              <w:spacing w:before="80" w:after="40"/>
              <w:rPr>
                <w:szCs w:val="18"/>
              </w:rPr>
            </w:pPr>
            <w:r>
              <w:rPr>
                <w:szCs w:val="18"/>
              </w:rPr>
              <w:t>Web with email, hard</w:t>
            </w:r>
            <w:r w:rsidR="006222B4">
              <w:rPr>
                <w:szCs w:val="18"/>
              </w:rPr>
              <w:t>-</w:t>
            </w:r>
            <w:r>
              <w:rPr>
                <w:szCs w:val="18"/>
              </w:rPr>
              <w:t>copy</w:t>
            </w:r>
            <w:r w:rsidR="006222B4">
              <w:rPr>
                <w:szCs w:val="18"/>
              </w:rPr>
              <w:t>,</w:t>
            </w:r>
            <w:r>
              <w:rPr>
                <w:szCs w:val="18"/>
              </w:rPr>
              <w:t xml:space="preserve"> and telephone </w:t>
            </w:r>
            <w:r w:rsidR="006222B4">
              <w:rPr>
                <w:szCs w:val="18"/>
              </w:rPr>
              <w:br/>
            </w:r>
            <w:r>
              <w:rPr>
                <w:szCs w:val="18"/>
              </w:rPr>
              <w:t>follow-up</w:t>
            </w:r>
          </w:p>
        </w:tc>
        <w:tc>
          <w:tcPr>
            <w:tcW w:w="990" w:type="pct"/>
            <w:tcBorders>
              <w:top w:val="nil"/>
              <w:bottom w:val="nil"/>
            </w:tcBorders>
          </w:tcPr>
          <w:p w:rsidR="001E3F65" w:rsidRDefault="001E3F65" w:rsidP="001E3F65">
            <w:pPr>
              <w:pStyle w:val="TableText"/>
              <w:rPr>
                <w:szCs w:val="18"/>
              </w:rPr>
            </w:pPr>
            <w:r>
              <w:rPr>
                <w:szCs w:val="18"/>
              </w:rPr>
              <w:t>Spring 2012</w:t>
            </w:r>
          </w:p>
          <w:p w:rsidR="001E3F65" w:rsidRDefault="001E3F65" w:rsidP="001E3F65">
            <w:pPr>
              <w:pStyle w:val="TableText"/>
              <w:rPr>
                <w:szCs w:val="18"/>
              </w:rPr>
            </w:pPr>
            <w:r>
              <w:rPr>
                <w:szCs w:val="18"/>
              </w:rPr>
              <w:t>Spring 2013</w:t>
            </w:r>
          </w:p>
          <w:p w:rsidR="003F2E27" w:rsidRDefault="00002152" w:rsidP="001E3F65">
            <w:pPr>
              <w:pStyle w:val="TableText"/>
              <w:rPr>
                <w:szCs w:val="18"/>
              </w:rPr>
            </w:pPr>
            <w:r>
              <w:rPr>
                <w:szCs w:val="18"/>
              </w:rPr>
              <w:t>Spring 2014</w:t>
            </w:r>
          </w:p>
        </w:tc>
      </w:tr>
      <w:tr w:rsidR="00C3463D" w:rsidRPr="00FA44BB" w:rsidTr="001E3F65">
        <w:trPr>
          <w:cantSplit/>
        </w:trPr>
        <w:tc>
          <w:tcPr>
            <w:tcW w:w="1038" w:type="pct"/>
            <w:tcBorders>
              <w:top w:val="nil"/>
              <w:bottom w:val="nil"/>
            </w:tcBorders>
          </w:tcPr>
          <w:p w:rsidR="00C047FA" w:rsidRDefault="005E4A83">
            <w:pPr>
              <w:pStyle w:val="TableText"/>
              <w:spacing w:before="80" w:after="40"/>
              <w:rPr>
                <w:szCs w:val="18"/>
              </w:rPr>
            </w:pPr>
            <w:r w:rsidRPr="005E4A83">
              <w:rPr>
                <w:bCs/>
                <w:iCs/>
              </w:rPr>
              <w:t>Administrative Data on Student Outcomes</w:t>
            </w:r>
          </w:p>
        </w:tc>
        <w:tc>
          <w:tcPr>
            <w:tcW w:w="991" w:type="pct"/>
            <w:tcBorders>
              <w:top w:val="nil"/>
              <w:bottom w:val="nil"/>
            </w:tcBorders>
          </w:tcPr>
          <w:p w:rsidR="00C3463D" w:rsidRPr="00C3463D" w:rsidRDefault="00CF11D9" w:rsidP="003F2E27">
            <w:pPr>
              <w:pStyle w:val="TableText"/>
              <w:spacing w:before="80" w:after="40"/>
              <w:rPr>
                <w:szCs w:val="18"/>
              </w:rPr>
            </w:pPr>
            <w:r>
              <w:rPr>
                <w:szCs w:val="18"/>
              </w:rPr>
              <w:t xml:space="preserve">Both RTT and </w:t>
            </w:r>
            <w:r w:rsidR="00225D57">
              <w:rPr>
                <w:szCs w:val="18"/>
              </w:rPr>
              <w:t>STM Sample</w:t>
            </w:r>
            <w:r>
              <w:rPr>
                <w:szCs w:val="18"/>
              </w:rPr>
              <w:t>s</w:t>
            </w:r>
          </w:p>
        </w:tc>
        <w:tc>
          <w:tcPr>
            <w:tcW w:w="991" w:type="pct"/>
            <w:tcBorders>
              <w:top w:val="nil"/>
              <w:bottom w:val="nil"/>
            </w:tcBorders>
          </w:tcPr>
          <w:p w:rsidR="00C3463D" w:rsidRDefault="00C3463D" w:rsidP="003F2E27">
            <w:pPr>
              <w:pStyle w:val="TableText"/>
              <w:spacing w:before="80" w:after="40"/>
              <w:rPr>
                <w:szCs w:val="18"/>
              </w:rPr>
            </w:pPr>
            <w:r>
              <w:rPr>
                <w:szCs w:val="18"/>
              </w:rPr>
              <w:t>State or district staff</w:t>
            </w:r>
          </w:p>
        </w:tc>
        <w:tc>
          <w:tcPr>
            <w:tcW w:w="990" w:type="pct"/>
            <w:tcBorders>
              <w:top w:val="nil"/>
              <w:bottom w:val="nil"/>
            </w:tcBorders>
          </w:tcPr>
          <w:p w:rsidR="00C3463D" w:rsidRDefault="00C3463D" w:rsidP="003F2E27">
            <w:pPr>
              <w:pStyle w:val="TableText"/>
              <w:spacing w:before="80" w:after="40"/>
              <w:rPr>
                <w:szCs w:val="18"/>
              </w:rPr>
            </w:pPr>
            <w:r>
              <w:rPr>
                <w:szCs w:val="18"/>
              </w:rPr>
              <w:t>Electronic or hard copy</w:t>
            </w:r>
          </w:p>
        </w:tc>
        <w:tc>
          <w:tcPr>
            <w:tcW w:w="990" w:type="pct"/>
            <w:tcBorders>
              <w:top w:val="nil"/>
              <w:bottom w:val="nil"/>
            </w:tcBorders>
          </w:tcPr>
          <w:p w:rsidR="001E3F65" w:rsidRDefault="001E3F65" w:rsidP="001E3F65">
            <w:pPr>
              <w:pStyle w:val="TableText"/>
              <w:rPr>
                <w:szCs w:val="18"/>
              </w:rPr>
            </w:pPr>
            <w:r>
              <w:rPr>
                <w:szCs w:val="18"/>
              </w:rPr>
              <w:t xml:space="preserve">Fall 2012 </w:t>
            </w:r>
          </w:p>
          <w:p w:rsidR="001E3F65" w:rsidRDefault="001E3F65" w:rsidP="001E3F65">
            <w:pPr>
              <w:pStyle w:val="TableText"/>
              <w:rPr>
                <w:szCs w:val="18"/>
              </w:rPr>
            </w:pPr>
            <w:r>
              <w:rPr>
                <w:szCs w:val="18"/>
              </w:rPr>
              <w:t xml:space="preserve">Fall 2013 </w:t>
            </w:r>
          </w:p>
          <w:p w:rsidR="001E3F65" w:rsidRDefault="001E3F65" w:rsidP="001E3F65">
            <w:pPr>
              <w:pStyle w:val="TableText"/>
              <w:rPr>
                <w:szCs w:val="18"/>
              </w:rPr>
            </w:pPr>
            <w:r>
              <w:rPr>
                <w:szCs w:val="18"/>
              </w:rPr>
              <w:t>Fall2014</w:t>
            </w:r>
          </w:p>
          <w:p w:rsidR="001E3F65" w:rsidRDefault="001E3F65" w:rsidP="001E3F65">
            <w:pPr>
              <w:pStyle w:val="TableText"/>
              <w:rPr>
                <w:szCs w:val="18"/>
              </w:rPr>
            </w:pPr>
          </w:p>
        </w:tc>
      </w:tr>
      <w:tr w:rsidR="00C3463D" w:rsidRPr="00FA44BB" w:rsidTr="001E3F65">
        <w:trPr>
          <w:cantSplit/>
        </w:trPr>
        <w:tc>
          <w:tcPr>
            <w:tcW w:w="1038" w:type="pct"/>
            <w:tcBorders>
              <w:top w:val="nil"/>
              <w:bottom w:val="single" w:sz="4" w:space="0" w:color="auto"/>
            </w:tcBorders>
          </w:tcPr>
          <w:p w:rsidR="00C047FA" w:rsidRDefault="00D655B0">
            <w:pPr>
              <w:pStyle w:val="TableText"/>
              <w:spacing w:before="80" w:after="40"/>
              <w:rPr>
                <w:szCs w:val="18"/>
              </w:rPr>
            </w:pPr>
            <w:r>
              <w:rPr>
                <w:szCs w:val="18"/>
              </w:rPr>
              <w:t xml:space="preserve">NAEP </w:t>
            </w:r>
            <w:r w:rsidR="006222B4">
              <w:rPr>
                <w:szCs w:val="18"/>
              </w:rPr>
              <w:t>S</w:t>
            </w:r>
            <w:r w:rsidR="00C3463D">
              <w:rPr>
                <w:szCs w:val="18"/>
              </w:rPr>
              <w:t>cores</w:t>
            </w:r>
          </w:p>
        </w:tc>
        <w:tc>
          <w:tcPr>
            <w:tcW w:w="991" w:type="pct"/>
            <w:tcBorders>
              <w:top w:val="nil"/>
              <w:bottom w:val="single" w:sz="4" w:space="0" w:color="auto"/>
            </w:tcBorders>
          </w:tcPr>
          <w:p w:rsidR="00C3463D" w:rsidRPr="00C3463D" w:rsidRDefault="00225D57" w:rsidP="003F2E27">
            <w:pPr>
              <w:pStyle w:val="TableText"/>
              <w:spacing w:before="80" w:after="40"/>
              <w:rPr>
                <w:szCs w:val="18"/>
              </w:rPr>
            </w:pPr>
            <w:r>
              <w:rPr>
                <w:szCs w:val="18"/>
              </w:rPr>
              <w:t>RTT Sample</w:t>
            </w:r>
          </w:p>
        </w:tc>
        <w:tc>
          <w:tcPr>
            <w:tcW w:w="991" w:type="pct"/>
            <w:tcBorders>
              <w:top w:val="nil"/>
              <w:bottom w:val="single" w:sz="4" w:space="0" w:color="auto"/>
            </w:tcBorders>
          </w:tcPr>
          <w:p w:rsidR="00C3463D" w:rsidRDefault="001E3F65" w:rsidP="00C3463D">
            <w:pPr>
              <w:pStyle w:val="TableText"/>
              <w:spacing w:before="80" w:after="40"/>
              <w:rPr>
                <w:szCs w:val="18"/>
              </w:rPr>
            </w:pPr>
            <w:r w:rsidRPr="00225D57">
              <w:rPr>
                <w:szCs w:val="18"/>
              </w:rPr>
              <w:t>N/A</w:t>
            </w:r>
          </w:p>
        </w:tc>
        <w:tc>
          <w:tcPr>
            <w:tcW w:w="990" w:type="pct"/>
            <w:tcBorders>
              <w:top w:val="nil"/>
              <w:bottom w:val="single" w:sz="4" w:space="0" w:color="auto"/>
            </w:tcBorders>
          </w:tcPr>
          <w:p w:rsidR="00C3463D" w:rsidRDefault="00C3463D" w:rsidP="003F2E27">
            <w:pPr>
              <w:pStyle w:val="TableText"/>
              <w:spacing w:before="80" w:after="40"/>
              <w:rPr>
                <w:szCs w:val="18"/>
              </w:rPr>
            </w:pPr>
            <w:r>
              <w:rPr>
                <w:szCs w:val="18"/>
              </w:rPr>
              <w:t>Publicly available</w:t>
            </w:r>
          </w:p>
        </w:tc>
        <w:tc>
          <w:tcPr>
            <w:tcW w:w="990" w:type="pct"/>
            <w:tcBorders>
              <w:top w:val="nil"/>
              <w:bottom w:val="single" w:sz="4" w:space="0" w:color="auto"/>
            </w:tcBorders>
          </w:tcPr>
          <w:p w:rsidR="001E3F65" w:rsidRDefault="001E3F65" w:rsidP="001E3F65">
            <w:pPr>
              <w:pStyle w:val="TableText"/>
              <w:rPr>
                <w:szCs w:val="18"/>
              </w:rPr>
            </w:pPr>
            <w:r>
              <w:rPr>
                <w:szCs w:val="18"/>
              </w:rPr>
              <w:t>Spring 2012</w:t>
            </w:r>
          </w:p>
          <w:p w:rsidR="00C3463D" w:rsidRDefault="001E3F65" w:rsidP="001E3F65">
            <w:pPr>
              <w:pStyle w:val="TableText"/>
              <w:rPr>
                <w:szCs w:val="18"/>
              </w:rPr>
            </w:pPr>
            <w:r>
              <w:rPr>
                <w:szCs w:val="18"/>
              </w:rPr>
              <w:t>Spring 2014</w:t>
            </w:r>
          </w:p>
        </w:tc>
      </w:tr>
    </w:tbl>
    <w:p w:rsidR="00D655B0" w:rsidRPr="001E3F65" w:rsidRDefault="001E3F65" w:rsidP="00EF6FD1">
      <w:pPr>
        <w:pStyle w:val="TableFootnoteCaption"/>
        <w:spacing w:before="120"/>
      </w:pPr>
      <w:r w:rsidRPr="001E3F65">
        <w:t>N/A</w:t>
      </w:r>
      <w:r w:rsidR="006222B4">
        <w:t xml:space="preserve"> </w:t>
      </w:r>
      <w:r w:rsidRPr="001E3F65">
        <w:t>= not applicable</w:t>
      </w:r>
      <w:r w:rsidR="006222B4">
        <w:t xml:space="preserve">; </w:t>
      </w:r>
      <w:r w:rsidR="00D655B0">
        <w:t>NAEP</w:t>
      </w:r>
      <w:r w:rsidR="006222B4">
        <w:t xml:space="preserve"> </w:t>
      </w:r>
      <w:r w:rsidR="00D655B0">
        <w:t xml:space="preserve">= </w:t>
      </w:r>
      <w:r w:rsidR="00D655B0" w:rsidRPr="00916CF4">
        <w:rPr>
          <w:bCs/>
          <w:iCs/>
        </w:rPr>
        <w:t>National Assessment of Edu</w:t>
      </w:r>
      <w:r w:rsidR="00D655B0">
        <w:rPr>
          <w:bCs/>
          <w:iCs/>
        </w:rPr>
        <w:t>cational Progress</w:t>
      </w:r>
      <w:r w:rsidR="006222B4">
        <w:rPr>
          <w:bCs/>
          <w:iCs/>
        </w:rPr>
        <w:t>.</w:t>
      </w:r>
    </w:p>
    <w:p w:rsidR="00667D44" w:rsidRPr="00E62F59" w:rsidRDefault="005F79AF" w:rsidP="00667D44">
      <w:pPr>
        <w:pStyle w:val="NormalSS"/>
      </w:pPr>
      <w:r>
        <w:rPr>
          <w:b/>
        </w:rPr>
        <w:t>State Interview</w:t>
      </w:r>
      <w:r w:rsidR="00667D44" w:rsidRPr="00002152">
        <w:rPr>
          <w:b/>
        </w:rPr>
        <w:t>.</w:t>
      </w:r>
      <w:r w:rsidR="00667D44" w:rsidRPr="00E62F59">
        <w:t xml:space="preserve"> </w:t>
      </w:r>
      <w:r w:rsidR="00002152">
        <w:t xml:space="preserve">In the spring of 2012, 2013, and 2014, we will </w:t>
      </w:r>
      <w:r w:rsidR="00D04311">
        <w:t xml:space="preserve">conduct </w:t>
      </w:r>
      <w:r w:rsidR="00D04311" w:rsidRPr="00E62F59">
        <w:t>semistructured telephone interviews with representatives from the state education agency in every state and the District of Columbia</w:t>
      </w:r>
      <w:r w:rsidR="00C3463D">
        <w:t xml:space="preserve"> (Appendix A)</w:t>
      </w:r>
      <w:r w:rsidR="00D04311" w:rsidRPr="00E62F59">
        <w:t xml:space="preserve">. </w:t>
      </w:r>
      <w:r w:rsidR="00D04311">
        <w:t xml:space="preserve">The </w:t>
      </w:r>
      <w:r w:rsidR="00002152">
        <w:t>interview</w:t>
      </w:r>
      <w:r w:rsidR="00D04311">
        <w:t>s</w:t>
      </w:r>
      <w:r w:rsidR="00002152">
        <w:t xml:space="preserve"> will consist of topic-specific modules that may be administered to different state-level respondents. </w:t>
      </w:r>
      <w:r w:rsidR="00667D44" w:rsidRPr="00510E6E">
        <w:t>States in the RTT sample that did not receive RTT grants will be asked about their implementation of RTT-related reforms.</w:t>
      </w:r>
      <w:r w:rsidR="00667D44">
        <w:t xml:space="preserve"> </w:t>
      </w:r>
      <w:r w:rsidR="00DB6E4E">
        <w:t>All s</w:t>
      </w:r>
      <w:r w:rsidR="00D04311">
        <w:t xml:space="preserve">tates will be asked detailed questions about </w:t>
      </w:r>
      <w:r w:rsidR="00DB6E4E">
        <w:t xml:space="preserve">their policies and supports for </w:t>
      </w:r>
      <w:r w:rsidR="00D04311">
        <w:t>school turnaround.</w:t>
      </w:r>
      <w:r w:rsidR="0009586C">
        <w:t xml:space="preserve"> </w:t>
      </w:r>
    </w:p>
    <w:p w:rsidR="00667D44" w:rsidRDefault="000D2409" w:rsidP="000D2409">
      <w:pPr>
        <w:pStyle w:val="NormalSS"/>
      </w:pPr>
      <w:r w:rsidRPr="000D2409">
        <w:rPr>
          <w:b/>
        </w:rPr>
        <w:t>District Interview.</w:t>
      </w:r>
      <w:r>
        <w:t xml:space="preserve"> I</w:t>
      </w:r>
      <w:r w:rsidRPr="00D34010">
        <w:t>n the spring of 2012, 2013, and 2014</w:t>
      </w:r>
      <w:r>
        <w:t>, w</w:t>
      </w:r>
      <w:r w:rsidRPr="00392498">
        <w:t xml:space="preserve">e will conduct semistructured telephone interviews with </w:t>
      </w:r>
      <w:r w:rsidR="00EC2DC3">
        <w:t>district-level administrators</w:t>
      </w:r>
      <w:r w:rsidR="00EC2DC3" w:rsidRPr="00392498">
        <w:t xml:space="preserve"> </w:t>
      </w:r>
      <w:r w:rsidR="00506514">
        <w:t>from</w:t>
      </w:r>
      <w:r w:rsidR="00506514" w:rsidRPr="00392498">
        <w:t xml:space="preserve"> </w:t>
      </w:r>
      <w:r w:rsidR="00E90228">
        <w:t xml:space="preserve">each </w:t>
      </w:r>
      <w:r w:rsidRPr="00392498">
        <w:t>district</w:t>
      </w:r>
      <w:r w:rsidR="00E90228">
        <w:t xml:space="preserve"> included </w:t>
      </w:r>
      <w:r w:rsidRPr="00392498">
        <w:t xml:space="preserve">in the </w:t>
      </w:r>
      <w:r>
        <w:t>STM</w:t>
      </w:r>
      <w:r w:rsidR="00E90228">
        <w:t xml:space="preserve"> impact study (a</w:t>
      </w:r>
      <w:r w:rsidR="000B1B80">
        <w:t>bout</w:t>
      </w:r>
      <w:r w:rsidR="00E90228">
        <w:t xml:space="preserve"> </w:t>
      </w:r>
      <w:r w:rsidR="00987A23">
        <w:t>134</w:t>
      </w:r>
      <w:r w:rsidR="00625CCC">
        <w:t xml:space="preserve"> </w:t>
      </w:r>
      <w:r w:rsidR="00E90228">
        <w:t>districts)</w:t>
      </w:r>
      <w:r>
        <w:t xml:space="preserve"> (Appendix </w:t>
      </w:r>
      <w:r w:rsidR="006D3504">
        <w:t>B</w:t>
      </w:r>
      <w:r>
        <w:t>)</w:t>
      </w:r>
      <w:r w:rsidR="00667D44" w:rsidRPr="00392498">
        <w:t>.</w:t>
      </w:r>
      <w:r w:rsidR="00667D44">
        <w:t xml:space="preserve"> </w:t>
      </w:r>
      <w:r w:rsidR="00EC2DC3">
        <w:t xml:space="preserve">These interviews will document school turnaround efforts and supports </w:t>
      </w:r>
      <w:r w:rsidR="00506514">
        <w:t xml:space="preserve">provided by </w:t>
      </w:r>
      <w:r w:rsidR="00EC2DC3">
        <w:t xml:space="preserve">the district </w:t>
      </w:r>
      <w:r w:rsidR="00506514">
        <w:t>to turnaround schools</w:t>
      </w:r>
      <w:r w:rsidR="00EC2DC3">
        <w:t>.</w:t>
      </w:r>
      <w:r w:rsidR="00C72484">
        <w:t xml:space="preserve"> Like the state interview, the district interview will consist of topic-specific modules that may be administered to different district-level respondents.</w:t>
      </w:r>
    </w:p>
    <w:p w:rsidR="00667D44" w:rsidRPr="00392498" w:rsidRDefault="000D2409" w:rsidP="00667D44">
      <w:pPr>
        <w:pStyle w:val="NormalSS"/>
      </w:pPr>
      <w:r>
        <w:rPr>
          <w:b/>
        </w:rPr>
        <w:t xml:space="preserve">School </w:t>
      </w:r>
      <w:r w:rsidR="00667D44" w:rsidRPr="00D04311">
        <w:rPr>
          <w:b/>
        </w:rPr>
        <w:t>Survey.</w:t>
      </w:r>
      <w:r w:rsidR="00667D44" w:rsidRPr="00E62F59">
        <w:t xml:space="preserve"> </w:t>
      </w:r>
      <w:r w:rsidR="00D04311">
        <w:t>I</w:t>
      </w:r>
      <w:r w:rsidR="00D04311" w:rsidRPr="00D34010">
        <w:t>n the spring of 2012, 2013, and 2014</w:t>
      </w:r>
      <w:r w:rsidR="00D04311">
        <w:t>, w</w:t>
      </w:r>
      <w:r w:rsidR="00667D44" w:rsidRPr="00392498">
        <w:t>e will conduct a web survey of school administrators (principals, assistant principals, or other staff knowledgeable about school turnaround activities) at the approximately 1,200 schools that are part of the STM sample</w:t>
      </w:r>
      <w:r w:rsidR="00C3463D">
        <w:t xml:space="preserve"> (</w:t>
      </w:r>
      <w:r w:rsidR="00D04311">
        <w:t xml:space="preserve">Appendix </w:t>
      </w:r>
      <w:r w:rsidR="006D3504">
        <w:t>C</w:t>
      </w:r>
      <w:r w:rsidR="00D04311">
        <w:t>)</w:t>
      </w:r>
      <w:r w:rsidR="00667D44" w:rsidRPr="00392498">
        <w:t xml:space="preserve">. </w:t>
      </w:r>
      <w:r w:rsidR="00D04311">
        <w:t xml:space="preserve">We will contact administrators by email or (if email is </w:t>
      </w:r>
      <w:r w:rsidR="00A51DCC">
        <w:t>un</w:t>
      </w:r>
      <w:r w:rsidR="00D04311">
        <w:t>available or invalid</w:t>
      </w:r>
      <w:r w:rsidR="00A51DCC">
        <w:t>)</w:t>
      </w:r>
      <w:r w:rsidR="00A51DCC" w:rsidRPr="00A51DCC">
        <w:t xml:space="preserve"> </w:t>
      </w:r>
      <w:r w:rsidR="00A51DCC">
        <w:t>cover letter</w:t>
      </w:r>
      <w:r w:rsidR="00D04311">
        <w:t xml:space="preserve">. The initial </w:t>
      </w:r>
      <w:r w:rsidR="00D04311">
        <w:lastRenderedPageBreak/>
        <w:t>correspondence will include a description of the study and survey, a link to the website address and instructions on accessing the survey, and a unique username and password. The email will explain the need for participation, address confidentiality, and provide a toll-free telephone number and email address for questions or concerns. Nonrespondents, whom we will contact by email, telephone, or a remailing, will have the additional option of either providing answers o</w:t>
      </w:r>
      <w:r w:rsidR="009A103C">
        <w:t>n</w:t>
      </w:r>
      <w:r w:rsidR="00D04311">
        <w:t xml:space="preserve"> the telephone or completing a hard</w:t>
      </w:r>
      <w:r w:rsidR="00A51DCC">
        <w:t>-</w:t>
      </w:r>
      <w:r w:rsidR="00D04311">
        <w:t xml:space="preserve">copy version. </w:t>
      </w:r>
      <w:r w:rsidR="00667D44" w:rsidRPr="00392498">
        <w:t xml:space="preserve">To ease burden on respondents, we will limit the length of the survey to </w:t>
      </w:r>
      <w:r w:rsidR="008A4A61">
        <w:t xml:space="preserve">45 </w:t>
      </w:r>
      <w:r w:rsidR="00667D44" w:rsidRPr="00392498">
        <w:t xml:space="preserve">minutes. Because the information we need to obtain from schools is considerable, items </w:t>
      </w:r>
      <w:r w:rsidR="00667D44">
        <w:t>on the instrument capture</w:t>
      </w:r>
      <w:r w:rsidR="00667D44" w:rsidRPr="00392498">
        <w:t xml:space="preserve"> specific areas of interest through closed-ended questions and of</w:t>
      </w:r>
      <w:r w:rsidR="00667D44">
        <w:t>fer</w:t>
      </w:r>
      <w:r w:rsidR="00667D44" w:rsidRPr="00392498">
        <w:t xml:space="preserve"> specific and mutually e</w:t>
      </w:r>
      <w:r w:rsidR="00C3463D">
        <w:t>xclusive response options.</w:t>
      </w:r>
    </w:p>
    <w:p w:rsidR="000D2409" w:rsidRDefault="00EC2DC3" w:rsidP="00667D44">
      <w:pPr>
        <w:pStyle w:val="NormalSS"/>
      </w:pPr>
      <w:r>
        <w:rPr>
          <w:b/>
          <w:bCs/>
          <w:iCs/>
        </w:rPr>
        <w:t>Administrative Data on Student Outcomes</w:t>
      </w:r>
      <w:r w:rsidR="000D2409" w:rsidRPr="00916CF4">
        <w:rPr>
          <w:b/>
          <w:bCs/>
        </w:rPr>
        <w:t>.</w:t>
      </w:r>
      <w:r w:rsidR="000D2409" w:rsidRPr="00916CF4">
        <w:t xml:space="preserve"> </w:t>
      </w:r>
      <w:r w:rsidR="000D2409">
        <w:t>In the fall of 2012, 2013, and 2014, we will request standardized test scores on state proficiency assessments</w:t>
      </w:r>
      <w:r w:rsidR="0078577E">
        <w:t>;</w:t>
      </w:r>
      <w:r w:rsidR="000D2409" w:rsidRPr="00E62F59">
        <w:t xml:space="preserve"> high school graduation rates; </w:t>
      </w:r>
      <w:r w:rsidR="00CF11D9">
        <w:t xml:space="preserve">attendance; </w:t>
      </w:r>
      <w:r w:rsidR="000D2409" w:rsidRPr="00E62F59">
        <w:t>and (to the extent data are available) college enrollment rates and completion of at least a year of college credit.</w:t>
      </w:r>
      <w:r w:rsidR="000D2409">
        <w:t xml:space="preserve"> In addition to test scores, we will request that the state (or district if necessary) provide data on student characteristics such as sex, race/ethnicity, birth</w:t>
      </w:r>
      <w:r w:rsidR="007A37CF">
        <w:t xml:space="preserve"> year</w:t>
      </w:r>
      <w:r w:rsidR="000D2409">
        <w:t>, grade, eligibility for free or reduced-price lunch, and English</w:t>
      </w:r>
      <w:r w:rsidR="00FF390A">
        <w:t xml:space="preserve"> </w:t>
      </w:r>
      <w:r w:rsidR="000D2409">
        <w:t>language</w:t>
      </w:r>
      <w:r w:rsidR="00FF390A">
        <w:t xml:space="preserve"> </w:t>
      </w:r>
      <w:r w:rsidR="000D2409">
        <w:t>learne</w:t>
      </w:r>
      <w:r w:rsidR="000B1B80">
        <w:t>r</w:t>
      </w:r>
      <w:r w:rsidR="000D2409">
        <w:t xml:space="preserve"> status. Student-level data will be collected for the STM impact analysis only; </w:t>
      </w:r>
      <w:r w:rsidR="004125D6" w:rsidRPr="006D3504">
        <w:t xml:space="preserve">the RTT </w:t>
      </w:r>
      <w:r w:rsidR="00390D0A">
        <w:t>outcome</w:t>
      </w:r>
      <w:r w:rsidR="004125D6" w:rsidRPr="006D3504">
        <w:t xml:space="preserve"> analysis will rely on administrative data aggregated to the state, district, or school levels.</w:t>
      </w:r>
      <w:r w:rsidR="000D2409">
        <w:t xml:space="preserve"> </w:t>
      </w:r>
      <w:r w:rsidR="000D2409" w:rsidRPr="00916CF4">
        <w:t xml:space="preserve">We are assuming that we will be able to obtain the necessary student-level outcome data directly from state data systems for some states, but that we will need to obtain student-level data from districts in other states. We will develop two forms to collect outcomes data—one for </w:t>
      </w:r>
      <w:r w:rsidR="005A4E9E">
        <w:t>states</w:t>
      </w:r>
      <w:r w:rsidR="000D2409" w:rsidRPr="00916CF4">
        <w:t xml:space="preserve"> and one for </w:t>
      </w:r>
      <w:r w:rsidR="005A4E9E">
        <w:t>districts</w:t>
      </w:r>
      <w:r w:rsidR="000D2409" w:rsidRPr="00916CF4">
        <w:t>—to show states (and districts, when necessary) the data we need</w:t>
      </w:r>
      <w:r w:rsidR="000D2409">
        <w:t xml:space="preserve"> (</w:t>
      </w:r>
      <w:r w:rsidR="000B1B80">
        <w:t>a</w:t>
      </w:r>
      <w:r w:rsidR="000D2409">
        <w:t xml:space="preserve">ppendices </w:t>
      </w:r>
      <w:r w:rsidR="006D3504">
        <w:t>D</w:t>
      </w:r>
      <w:r w:rsidR="000D2409">
        <w:t xml:space="preserve"> and </w:t>
      </w:r>
      <w:r w:rsidR="006D3504">
        <w:t>E</w:t>
      </w:r>
      <w:r w:rsidR="000D2409">
        <w:t>)</w:t>
      </w:r>
      <w:r w:rsidR="000D2409" w:rsidRPr="00916CF4">
        <w:t>.</w:t>
      </w:r>
      <w:r w:rsidR="000D2409">
        <w:t xml:space="preserve"> </w:t>
      </w:r>
    </w:p>
    <w:p w:rsidR="000D2409" w:rsidRDefault="000D2409" w:rsidP="00667D44">
      <w:pPr>
        <w:pStyle w:val="NormalSS"/>
        <w:rPr>
          <w:bCs/>
          <w:iCs/>
        </w:rPr>
      </w:pPr>
      <w:r w:rsidRPr="00916CF4">
        <w:rPr>
          <w:b/>
          <w:bCs/>
          <w:iCs/>
        </w:rPr>
        <w:t xml:space="preserve">NAEP </w:t>
      </w:r>
      <w:r>
        <w:rPr>
          <w:b/>
          <w:bCs/>
          <w:iCs/>
        </w:rPr>
        <w:t>Scores</w:t>
      </w:r>
      <w:r w:rsidRPr="00916CF4">
        <w:rPr>
          <w:b/>
          <w:bCs/>
          <w:iCs/>
        </w:rPr>
        <w:t xml:space="preserve">. </w:t>
      </w:r>
      <w:r w:rsidR="000851D4">
        <w:t>I</w:t>
      </w:r>
      <w:r>
        <w:t xml:space="preserve">n the spring of 2012 and 2014, we will obtain </w:t>
      </w:r>
      <w:r w:rsidR="00416A17">
        <w:t xml:space="preserve">public-use aggregate </w:t>
      </w:r>
      <w:r w:rsidRPr="00916CF4">
        <w:rPr>
          <w:bCs/>
          <w:iCs/>
        </w:rPr>
        <w:t xml:space="preserve">state-level </w:t>
      </w:r>
      <w:r>
        <w:rPr>
          <w:bCs/>
          <w:iCs/>
        </w:rPr>
        <w:t>NA</w:t>
      </w:r>
      <w:r w:rsidR="00D655B0">
        <w:rPr>
          <w:bCs/>
          <w:iCs/>
        </w:rPr>
        <w:t>EP</w:t>
      </w:r>
      <w:r>
        <w:rPr>
          <w:bCs/>
          <w:iCs/>
        </w:rPr>
        <w:t xml:space="preserve"> scores</w:t>
      </w:r>
      <w:r>
        <w:t xml:space="preserve"> from ED. </w:t>
      </w:r>
      <w:r w:rsidRPr="00916CF4">
        <w:rPr>
          <w:bCs/>
          <w:iCs/>
        </w:rPr>
        <w:t xml:space="preserve">The NAEP scores are available for grades 4 and 8, for both math and reading, every other year. In 2001, participation in state NAEP tests was made mandatory for states receiving Title I funds. Thus, we plan to use at least 4 years of data prior to RTT grants (2003, 2005, 2007, 2009) and two years of post-RTT data (2011 and 2013, which </w:t>
      </w:r>
      <w:r w:rsidR="00416A17">
        <w:rPr>
          <w:bCs/>
          <w:iCs/>
        </w:rPr>
        <w:t xml:space="preserve">we anticipate </w:t>
      </w:r>
      <w:r w:rsidRPr="00916CF4">
        <w:rPr>
          <w:bCs/>
          <w:iCs/>
        </w:rPr>
        <w:t xml:space="preserve">will become available in </w:t>
      </w:r>
      <w:r w:rsidR="00A51DCC">
        <w:rPr>
          <w:bCs/>
          <w:iCs/>
        </w:rPr>
        <w:t>s</w:t>
      </w:r>
      <w:r w:rsidRPr="00916CF4">
        <w:rPr>
          <w:bCs/>
          <w:iCs/>
        </w:rPr>
        <w:t xml:space="preserve">pring 2012 and </w:t>
      </w:r>
      <w:r w:rsidR="00A51DCC">
        <w:rPr>
          <w:bCs/>
          <w:iCs/>
        </w:rPr>
        <w:t>s</w:t>
      </w:r>
      <w:r w:rsidRPr="00916CF4">
        <w:rPr>
          <w:bCs/>
          <w:iCs/>
        </w:rPr>
        <w:t>pring 2014).</w:t>
      </w:r>
    </w:p>
    <w:p w:rsidR="00667D44" w:rsidRPr="00B83096" w:rsidRDefault="00565798" w:rsidP="00667D44">
      <w:pPr>
        <w:pStyle w:val="NormalSS"/>
        <w:keepNext/>
        <w:spacing w:after="160"/>
        <w:ind w:left="432" w:hanging="432"/>
        <w:rPr>
          <w:b/>
        </w:rPr>
      </w:pPr>
      <w:r>
        <w:rPr>
          <w:b/>
        </w:rPr>
        <w:t>e</w:t>
      </w:r>
      <w:r w:rsidR="00667D44">
        <w:rPr>
          <w:b/>
        </w:rPr>
        <w:t>.</w:t>
      </w:r>
      <w:r w:rsidR="00667D44">
        <w:rPr>
          <w:b/>
        </w:rPr>
        <w:tab/>
      </w:r>
      <w:r w:rsidR="00667D44" w:rsidRPr="00B83096">
        <w:rPr>
          <w:b/>
        </w:rPr>
        <w:t xml:space="preserve">Study </w:t>
      </w:r>
      <w:r w:rsidR="00667D44">
        <w:rPr>
          <w:b/>
        </w:rPr>
        <w:t>A</w:t>
      </w:r>
      <w:r w:rsidR="00667D44" w:rsidRPr="00B83096">
        <w:rPr>
          <w:b/>
        </w:rPr>
        <w:t xml:space="preserve">ctivities and </w:t>
      </w:r>
      <w:r w:rsidR="00667D44">
        <w:rPr>
          <w:b/>
        </w:rPr>
        <w:t>Data Collection T</w:t>
      </w:r>
      <w:r w:rsidR="00667D44" w:rsidRPr="00B83096">
        <w:rPr>
          <w:b/>
        </w:rPr>
        <w:t>imeline</w:t>
      </w:r>
    </w:p>
    <w:p w:rsidR="00667D44" w:rsidRDefault="00667D44" w:rsidP="00667D44">
      <w:pPr>
        <w:pStyle w:val="NormalSS"/>
      </w:pPr>
      <w:r>
        <w:t>This clearance request pertains to the collection of</w:t>
      </w:r>
      <w:r w:rsidR="00C021FD">
        <w:t xml:space="preserve"> data through</w:t>
      </w:r>
      <w:r>
        <w:t xml:space="preserve"> interviews with state representatives (Appendix A), interviews with dist</w:t>
      </w:r>
      <w:r w:rsidR="006E6CDF">
        <w:t>rict representatives (Appendix</w:t>
      </w:r>
      <w:r>
        <w:t xml:space="preserve"> B),</w:t>
      </w:r>
      <w:r w:rsidR="00C021FD">
        <w:t xml:space="preserve"> a</w:t>
      </w:r>
      <w:r>
        <w:t xml:space="preserve"> survey of school administrators (Appendix </w:t>
      </w:r>
      <w:r w:rsidR="006D3504">
        <w:t>C</w:t>
      </w:r>
      <w:r>
        <w:t xml:space="preserve">), and collection of administrative data from </w:t>
      </w:r>
      <w:r w:rsidR="00D655B0">
        <w:t xml:space="preserve">states and </w:t>
      </w:r>
      <w:r>
        <w:t>districts (</w:t>
      </w:r>
      <w:r w:rsidR="000B1B80">
        <w:t>a</w:t>
      </w:r>
      <w:r>
        <w:t xml:space="preserve">ppendices </w:t>
      </w:r>
      <w:r w:rsidR="006D3504">
        <w:t xml:space="preserve">D </w:t>
      </w:r>
      <w:r>
        <w:t xml:space="preserve">and </w:t>
      </w:r>
      <w:r w:rsidR="006D3504">
        <w:t>E</w:t>
      </w:r>
      <w:r>
        <w:t xml:space="preserve">). </w:t>
      </w:r>
      <w:r w:rsidRPr="00E62F59">
        <w:t>The RTT-SIG evaluation is expecte</w:t>
      </w:r>
      <w:r w:rsidR="00406320">
        <w:t>d to be completed in five years</w:t>
      </w:r>
      <w:r w:rsidR="00A939C7">
        <w:t>, with three years of data collection</w:t>
      </w:r>
      <w:r w:rsidRPr="00E62F59">
        <w:t>.</w:t>
      </w:r>
      <w:r>
        <w:t xml:space="preserve"> Table A.2 shows the schedule of data collection activities.</w:t>
      </w:r>
      <w:r w:rsidRPr="00E62F59">
        <w:t xml:space="preserve"> </w:t>
      </w:r>
    </w:p>
    <w:p w:rsidR="00667D44" w:rsidRPr="001E4926" w:rsidRDefault="00667D44" w:rsidP="00267BC7">
      <w:pPr>
        <w:pStyle w:val="MarkforTableHeading"/>
        <w:keepNext w:val="0"/>
        <w:keepLines/>
        <w:pageBreakBefore/>
      </w:pPr>
      <w:bookmarkStart w:id="21" w:name="_Toc276714795"/>
      <w:r>
        <w:lastRenderedPageBreak/>
        <w:t>Table A.2.</w:t>
      </w:r>
      <w:r w:rsidRPr="00A95A7B">
        <w:t xml:space="preserve"> Study Timetable</w:t>
      </w:r>
      <w:bookmarkEnd w:id="21"/>
    </w:p>
    <w:tbl>
      <w:tblPr>
        <w:tblStyle w:val="TableGrid"/>
        <w:tblW w:w="5000" w:type="pct"/>
        <w:tblBorders>
          <w:top w:val="single" w:sz="12" w:space="0" w:color="C00000"/>
          <w:left w:val="none" w:sz="0" w:space="0" w:color="auto"/>
          <w:bottom w:val="single" w:sz="4" w:space="0" w:color="C00000"/>
          <w:right w:val="none" w:sz="0" w:space="0" w:color="auto"/>
          <w:insideH w:val="none" w:sz="0" w:space="0" w:color="auto"/>
          <w:insideV w:val="none" w:sz="0" w:space="0" w:color="auto"/>
        </w:tblBorders>
        <w:tblLook w:val="04A0"/>
      </w:tblPr>
      <w:tblGrid>
        <w:gridCol w:w="5598"/>
        <w:gridCol w:w="3978"/>
      </w:tblGrid>
      <w:tr w:rsidR="003D67EE" w:rsidTr="003D67EE">
        <w:trPr>
          <w:cantSplit/>
          <w:tblHeader/>
        </w:trPr>
        <w:tc>
          <w:tcPr>
            <w:tcW w:w="2923" w:type="pct"/>
            <w:tcBorders>
              <w:top w:val="single" w:sz="12" w:space="0" w:color="000000" w:themeColor="text1"/>
              <w:bottom w:val="single" w:sz="4" w:space="0" w:color="000000" w:themeColor="text1"/>
            </w:tcBorders>
            <w:shd w:val="clear" w:color="auto" w:fill="auto"/>
            <w:vAlign w:val="bottom"/>
          </w:tcPr>
          <w:p w:rsidR="003D67EE" w:rsidRPr="00A95A7B" w:rsidRDefault="003D67EE" w:rsidP="00E16FDA">
            <w:pPr>
              <w:pStyle w:val="TableHeaderLeft"/>
            </w:pPr>
            <w:r w:rsidRPr="00A95A7B">
              <w:t>Activity</w:t>
            </w:r>
          </w:p>
        </w:tc>
        <w:tc>
          <w:tcPr>
            <w:tcW w:w="2077" w:type="pct"/>
            <w:tcBorders>
              <w:top w:val="single" w:sz="12" w:space="0" w:color="000000" w:themeColor="text1"/>
              <w:bottom w:val="single" w:sz="4" w:space="0" w:color="000000" w:themeColor="text1"/>
            </w:tcBorders>
            <w:shd w:val="clear" w:color="auto" w:fill="auto"/>
            <w:vAlign w:val="bottom"/>
          </w:tcPr>
          <w:p w:rsidR="003D67EE" w:rsidRDefault="003D67EE" w:rsidP="003D67EE">
            <w:pPr>
              <w:pStyle w:val="TableHeaderCenter"/>
            </w:pPr>
            <w:r w:rsidRPr="00A95A7B">
              <w:t>Date</w:t>
            </w:r>
          </w:p>
        </w:tc>
      </w:tr>
      <w:tr w:rsidR="00667D44" w:rsidTr="003D67EE">
        <w:trPr>
          <w:cantSplit/>
        </w:trPr>
        <w:tc>
          <w:tcPr>
            <w:tcW w:w="5000" w:type="pct"/>
            <w:gridSpan w:val="2"/>
            <w:tcBorders>
              <w:top w:val="single" w:sz="4" w:space="0" w:color="000000" w:themeColor="text1"/>
            </w:tcBorders>
            <w:shd w:val="pct12" w:color="auto" w:fill="auto"/>
            <w:vAlign w:val="bottom"/>
          </w:tcPr>
          <w:p w:rsidR="00667D44" w:rsidRPr="001E4926" w:rsidRDefault="00667D44" w:rsidP="00667D44">
            <w:pPr>
              <w:pStyle w:val="TableHeaderCenter"/>
              <w:keepNext/>
              <w:rPr>
                <w:b/>
              </w:rPr>
            </w:pPr>
            <w:r w:rsidRPr="001E4926">
              <w:rPr>
                <w:b/>
              </w:rPr>
              <w:t>2011</w:t>
            </w:r>
          </w:p>
        </w:tc>
      </w:tr>
      <w:tr w:rsidR="003D67EE" w:rsidTr="00E16FDA">
        <w:trPr>
          <w:cantSplit/>
        </w:trPr>
        <w:tc>
          <w:tcPr>
            <w:tcW w:w="2923" w:type="pct"/>
            <w:shd w:val="clear" w:color="auto" w:fill="auto"/>
          </w:tcPr>
          <w:p w:rsidR="003D67EE" w:rsidRDefault="003D67EE" w:rsidP="00E16FDA">
            <w:pPr>
              <w:pStyle w:val="TableText"/>
              <w:spacing w:before="20" w:after="10"/>
              <w:rPr>
                <w:color w:val="000000"/>
              </w:rPr>
            </w:pPr>
            <w:r>
              <w:rPr>
                <w:color w:val="000000"/>
              </w:rPr>
              <w:t>Solidify Participation of Study Sample</w:t>
            </w:r>
          </w:p>
        </w:tc>
        <w:tc>
          <w:tcPr>
            <w:tcW w:w="2077" w:type="pct"/>
            <w:shd w:val="clear" w:color="auto" w:fill="auto"/>
            <w:vAlign w:val="bottom"/>
          </w:tcPr>
          <w:p w:rsidR="003D67EE" w:rsidRPr="00C32053" w:rsidRDefault="009F3F2A" w:rsidP="00667D44">
            <w:pPr>
              <w:pStyle w:val="TableText"/>
              <w:spacing w:before="20" w:after="10"/>
              <w:rPr>
                <w:color w:val="000000"/>
              </w:rPr>
            </w:pPr>
            <w:r>
              <w:t>6/20</w:t>
            </w:r>
            <w:r w:rsidR="003D67EE">
              <w:t>11</w:t>
            </w:r>
            <w:r w:rsidR="003D67EE" w:rsidRPr="000D7973">
              <w:t xml:space="preserve"> through 1</w:t>
            </w:r>
            <w:r>
              <w:t>/</w:t>
            </w:r>
            <w:r w:rsidR="003D67EE" w:rsidRPr="000D7973">
              <w:t>201</w:t>
            </w:r>
            <w:r w:rsidR="003D67EE">
              <w:t>2</w:t>
            </w:r>
          </w:p>
        </w:tc>
      </w:tr>
      <w:tr w:rsidR="003D67EE" w:rsidTr="00667D44">
        <w:trPr>
          <w:cantSplit/>
        </w:trPr>
        <w:tc>
          <w:tcPr>
            <w:tcW w:w="5000" w:type="pct"/>
            <w:gridSpan w:val="2"/>
            <w:shd w:val="pct12" w:color="auto" w:fill="auto"/>
            <w:vAlign w:val="bottom"/>
          </w:tcPr>
          <w:p w:rsidR="003D67EE" w:rsidRPr="000D7973" w:rsidRDefault="003D67EE" w:rsidP="00667D44">
            <w:pPr>
              <w:pStyle w:val="TableHeaderCenter"/>
              <w:keepNext/>
            </w:pPr>
            <w:r w:rsidRPr="001E4926">
              <w:rPr>
                <w:b/>
              </w:rPr>
              <w:t>2012</w:t>
            </w:r>
          </w:p>
        </w:tc>
      </w:tr>
      <w:tr w:rsidR="003D67EE" w:rsidTr="00B8609B">
        <w:trPr>
          <w:cantSplit/>
        </w:trPr>
        <w:tc>
          <w:tcPr>
            <w:tcW w:w="2923" w:type="pct"/>
            <w:shd w:val="clear" w:color="auto" w:fill="auto"/>
            <w:vAlign w:val="bottom"/>
          </w:tcPr>
          <w:p w:rsidR="003D67EE" w:rsidRPr="00686B32" w:rsidRDefault="003D67EE" w:rsidP="00667D44">
            <w:pPr>
              <w:pStyle w:val="TableText"/>
              <w:spacing w:before="20" w:after="10"/>
              <w:rPr>
                <w:color w:val="000000"/>
              </w:rPr>
            </w:pPr>
            <w:r w:rsidRPr="00686B32">
              <w:rPr>
                <w:color w:val="000000"/>
              </w:rPr>
              <w:t>Collect</w:t>
            </w:r>
            <w:r>
              <w:rPr>
                <w:color w:val="000000"/>
              </w:rPr>
              <w:t xml:space="preserve"> </w:t>
            </w:r>
            <w:r w:rsidRPr="00686B32">
              <w:rPr>
                <w:color w:val="000000"/>
              </w:rPr>
              <w:t>Interview Data</w:t>
            </w:r>
          </w:p>
        </w:tc>
        <w:tc>
          <w:tcPr>
            <w:tcW w:w="2077" w:type="pct"/>
            <w:shd w:val="clear" w:color="auto" w:fill="auto"/>
            <w:vAlign w:val="bottom"/>
          </w:tcPr>
          <w:p w:rsidR="003D67EE" w:rsidRPr="00C32053" w:rsidRDefault="003D67EE" w:rsidP="00667D44">
            <w:pPr>
              <w:pStyle w:val="TableText"/>
              <w:spacing w:before="20" w:after="10"/>
              <w:rPr>
                <w:color w:val="000000"/>
              </w:rPr>
            </w:pPr>
            <w:r w:rsidRPr="00C32053">
              <w:rPr>
                <w:color w:val="000000"/>
              </w:rPr>
              <w:t>3/2012 through 6/2012</w:t>
            </w:r>
          </w:p>
        </w:tc>
      </w:tr>
      <w:tr w:rsidR="003D67EE" w:rsidTr="00B8609B">
        <w:trPr>
          <w:cantSplit/>
        </w:trPr>
        <w:tc>
          <w:tcPr>
            <w:tcW w:w="2923" w:type="pct"/>
            <w:shd w:val="clear" w:color="auto" w:fill="auto"/>
            <w:vAlign w:val="bottom"/>
          </w:tcPr>
          <w:p w:rsidR="003D67EE" w:rsidRPr="00686B32" w:rsidRDefault="003D67EE" w:rsidP="00667D44">
            <w:pPr>
              <w:pStyle w:val="TableText"/>
              <w:spacing w:before="20" w:after="10"/>
              <w:rPr>
                <w:color w:val="000000"/>
              </w:rPr>
            </w:pPr>
            <w:r w:rsidRPr="00686B32">
              <w:rPr>
                <w:color w:val="000000"/>
              </w:rPr>
              <w:t>Collect Survey Data</w:t>
            </w:r>
          </w:p>
        </w:tc>
        <w:tc>
          <w:tcPr>
            <w:tcW w:w="2077" w:type="pct"/>
            <w:shd w:val="clear" w:color="auto" w:fill="auto"/>
            <w:vAlign w:val="bottom"/>
          </w:tcPr>
          <w:p w:rsidR="003D67EE" w:rsidRPr="00C32053" w:rsidRDefault="003D67EE" w:rsidP="00667D44">
            <w:pPr>
              <w:pStyle w:val="TableText"/>
              <w:spacing w:before="20" w:after="10"/>
              <w:rPr>
                <w:color w:val="000000"/>
              </w:rPr>
            </w:pPr>
            <w:r w:rsidRPr="00C32053">
              <w:rPr>
                <w:color w:val="000000"/>
              </w:rPr>
              <w:t>3/2012 through 6/2012</w:t>
            </w:r>
          </w:p>
        </w:tc>
      </w:tr>
      <w:tr w:rsidR="003D67EE" w:rsidTr="00B8609B">
        <w:trPr>
          <w:cantSplit/>
        </w:trPr>
        <w:tc>
          <w:tcPr>
            <w:tcW w:w="2923" w:type="pct"/>
            <w:shd w:val="clear" w:color="auto" w:fill="auto"/>
            <w:vAlign w:val="bottom"/>
          </w:tcPr>
          <w:p w:rsidR="003D67EE" w:rsidRPr="00686B32" w:rsidRDefault="003D67EE" w:rsidP="00B919B4">
            <w:pPr>
              <w:pStyle w:val="TableText"/>
              <w:spacing w:before="20" w:after="10"/>
              <w:rPr>
                <w:color w:val="000000"/>
              </w:rPr>
            </w:pPr>
            <w:r w:rsidRPr="00686B32">
              <w:rPr>
                <w:color w:val="000000"/>
              </w:rPr>
              <w:t xml:space="preserve">Collect </w:t>
            </w:r>
            <w:r w:rsidR="00B919B4">
              <w:rPr>
                <w:color w:val="000000"/>
              </w:rPr>
              <w:t>Administrative</w:t>
            </w:r>
            <w:r w:rsidRPr="00686B32">
              <w:rPr>
                <w:color w:val="000000"/>
              </w:rPr>
              <w:t xml:space="preserve"> </w:t>
            </w:r>
            <w:r w:rsidR="00B919B4">
              <w:rPr>
                <w:color w:val="000000"/>
              </w:rPr>
              <w:t xml:space="preserve">and NAEP </w:t>
            </w:r>
            <w:r w:rsidRPr="00686B32">
              <w:rPr>
                <w:color w:val="000000"/>
              </w:rPr>
              <w:t>Data</w:t>
            </w:r>
          </w:p>
        </w:tc>
        <w:tc>
          <w:tcPr>
            <w:tcW w:w="2077" w:type="pct"/>
            <w:shd w:val="clear" w:color="auto" w:fill="auto"/>
            <w:vAlign w:val="bottom"/>
          </w:tcPr>
          <w:p w:rsidR="003D67EE" w:rsidRPr="00C32053" w:rsidRDefault="003D67EE" w:rsidP="00667D44">
            <w:pPr>
              <w:pStyle w:val="TableText"/>
              <w:spacing w:before="20" w:after="10"/>
              <w:rPr>
                <w:color w:val="000000"/>
              </w:rPr>
            </w:pPr>
            <w:r w:rsidRPr="00C32053">
              <w:rPr>
                <w:color w:val="000000"/>
              </w:rPr>
              <w:t>7/2012 through 10/2012</w:t>
            </w:r>
          </w:p>
        </w:tc>
      </w:tr>
      <w:tr w:rsidR="003D67EE" w:rsidTr="003D67EE">
        <w:trPr>
          <w:cantSplit/>
        </w:trPr>
        <w:tc>
          <w:tcPr>
            <w:tcW w:w="5000" w:type="pct"/>
            <w:gridSpan w:val="2"/>
            <w:tcBorders>
              <w:bottom w:val="nil"/>
            </w:tcBorders>
            <w:shd w:val="pct12" w:color="auto" w:fill="auto"/>
            <w:vAlign w:val="bottom"/>
          </w:tcPr>
          <w:p w:rsidR="003D67EE" w:rsidRDefault="003D67EE" w:rsidP="00667D44">
            <w:pPr>
              <w:pStyle w:val="TableHeaderCenter"/>
              <w:keepNext/>
            </w:pPr>
            <w:r w:rsidRPr="001E4926">
              <w:rPr>
                <w:b/>
              </w:rPr>
              <w:t>2013</w:t>
            </w:r>
          </w:p>
        </w:tc>
      </w:tr>
      <w:tr w:rsidR="003D67EE" w:rsidTr="003D67EE">
        <w:trPr>
          <w:cantSplit/>
        </w:trPr>
        <w:tc>
          <w:tcPr>
            <w:tcW w:w="2923" w:type="pct"/>
            <w:tcBorders>
              <w:top w:val="nil"/>
              <w:bottom w:val="nil"/>
            </w:tcBorders>
            <w:shd w:val="clear" w:color="auto" w:fill="auto"/>
            <w:vAlign w:val="bottom"/>
          </w:tcPr>
          <w:p w:rsidR="003D67EE" w:rsidRPr="00C32053" w:rsidRDefault="003D67EE" w:rsidP="00667D44">
            <w:pPr>
              <w:pStyle w:val="TableText"/>
              <w:spacing w:before="20" w:after="10"/>
              <w:rPr>
                <w:color w:val="000000"/>
              </w:rPr>
            </w:pPr>
            <w:r w:rsidRPr="00C32053">
              <w:rPr>
                <w:color w:val="000000"/>
              </w:rPr>
              <w:t>Collect Interview Data</w:t>
            </w:r>
          </w:p>
        </w:tc>
        <w:tc>
          <w:tcPr>
            <w:tcW w:w="2077" w:type="pct"/>
            <w:tcBorders>
              <w:top w:val="nil"/>
              <w:bottom w:val="nil"/>
            </w:tcBorders>
            <w:shd w:val="clear" w:color="auto" w:fill="auto"/>
            <w:vAlign w:val="bottom"/>
          </w:tcPr>
          <w:p w:rsidR="003D67EE" w:rsidRPr="00C32053" w:rsidRDefault="003D67EE" w:rsidP="00667D44">
            <w:pPr>
              <w:pStyle w:val="TableText"/>
              <w:spacing w:before="20" w:after="10"/>
              <w:rPr>
                <w:color w:val="000000"/>
              </w:rPr>
            </w:pPr>
            <w:r w:rsidRPr="00C32053">
              <w:rPr>
                <w:color w:val="000000"/>
              </w:rPr>
              <w:t>3/2013 through 6/2013</w:t>
            </w:r>
          </w:p>
        </w:tc>
      </w:tr>
      <w:tr w:rsidR="003D67EE" w:rsidTr="003D67EE">
        <w:trPr>
          <w:cantSplit/>
        </w:trPr>
        <w:tc>
          <w:tcPr>
            <w:tcW w:w="2923" w:type="pct"/>
            <w:tcBorders>
              <w:top w:val="nil"/>
            </w:tcBorders>
            <w:shd w:val="clear" w:color="auto" w:fill="auto"/>
            <w:vAlign w:val="bottom"/>
          </w:tcPr>
          <w:p w:rsidR="003D67EE" w:rsidRPr="00C32053" w:rsidRDefault="003D67EE" w:rsidP="00667D44">
            <w:pPr>
              <w:pStyle w:val="TableText"/>
              <w:spacing w:before="20" w:after="10"/>
              <w:rPr>
                <w:color w:val="000000"/>
              </w:rPr>
            </w:pPr>
            <w:r w:rsidRPr="00C32053">
              <w:rPr>
                <w:color w:val="000000"/>
              </w:rPr>
              <w:t>Collect Survey Data</w:t>
            </w:r>
          </w:p>
        </w:tc>
        <w:tc>
          <w:tcPr>
            <w:tcW w:w="2077" w:type="pct"/>
            <w:tcBorders>
              <w:top w:val="nil"/>
            </w:tcBorders>
            <w:shd w:val="clear" w:color="auto" w:fill="auto"/>
            <w:vAlign w:val="bottom"/>
          </w:tcPr>
          <w:p w:rsidR="003D67EE" w:rsidRPr="00C32053" w:rsidRDefault="003D67EE" w:rsidP="00667D44">
            <w:pPr>
              <w:pStyle w:val="TableText"/>
              <w:spacing w:before="20" w:after="10"/>
              <w:rPr>
                <w:color w:val="000000"/>
              </w:rPr>
            </w:pPr>
            <w:r w:rsidRPr="00C32053">
              <w:rPr>
                <w:color w:val="000000"/>
              </w:rPr>
              <w:t>3/2013 through 6/2013</w:t>
            </w:r>
          </w:p>
        </w:tc>
      </w:tr>
      <w:tr w:rsidR="003D67EE" w:rsidTr="00B8609B">
        <w:trPr>
          <w:cantSplit/>
        </w:trPr>
        <w:tc>
          <w:tcPr>
            <w:tcW w:w="2923" w:type="pct"/>
            <w:shd w:val="clear" w:color="auto" w:fill="auto"/>
            <w:vAlign w:val="bottom"/>
          </w:tcPr>
          <w:p w:rsidR="003D67EE" w:rsidRPr="00C32053" w:rsidRDefault="003D67EE" w:rsidP="00B919B4">
            <w:pPr>
              <w:pStyle w:val="TableText"/>
              <w:spacing w:before="20" w:after="10"/>
              <w:rPr>
                <w:color w:val="000000"/>
              </w:rPr>
            </w:pPr>
            <w:r w:rsidRPr="00C32053">
              <w:rPr>
                <w:color w:val="000000"/>
              </w:rPr>
              <w:t xml:space="preserve">Collect </w:t>
            </w:r>
            <w:r w:rsidR="00B919B4">
              <w:rPr>
                <w:color w:val="000000"/>
              </w:rPr>
              <w:t>Administrative</w:t>
            </w:r>
            <w:r w:rsidRPr="00686B32">
              <w:rPr>
                <w:color w:val="000000"/>
              </w:rPr>
              <w:t xml:space="preserve"> </w:t>
            </w:r>
            <w:r w:rsidRPr="00C32053">
              <w:rPr>
                <w:color w:val="000000"/>
              </w:rPr>
              <w:t>Data</w:t>
            </w:r>
          </w:p>
        </w:tc>
        <w:tc>
          <w:tcPr>
            <w:tcW w:w="2077" w:type="pct"/>
            <w:shd w:val="clear" w:color="auto" w:fill="auto"/>
            <w:vAlign w:val="bottom"/>
          </w:tcPr>
          <w:p w:rsidR="003D67EE" w:rsidRPr="00C32053" w:rsidRDefault="003D67EE" w:rsidP="00667D44">
            <w:pPr>
              <w:pStyle w:val="TableText"/>
              <w:spacing w:before="20" w:after="10"/>
              <w:rPr>
                <w:color w:val="000000"/>
              </w:rPr>
            </w:pPr>
            <w:r w:rsidRPr="00C32053">
              <w:rPr>
                <w:color w:val="000000"/>
              </w:rPr>
              <w:t>7/2013 through 10/2013</w:t>
            </w:r>
          </w:p>
        </w:tc>
      </w:tr>
      <w:tr w:rsidR="003D67EE" w:rsidTr="00667D44">
        <w:trPr>
          <w:cantSplit/>
        </w:trPr>
        <w:tc>
          <w:tcPr>
            <w:tcW w:w="5000" w:type="pct"/>
            <w:gridSpan w:val="2"/>
            <w:shd w:val="pct12" w:color="auto" w:fill="auto"/>
            <w:vAlign w:val="bottom"/>
          </w:tcPr>
          <w:p w:rsidR="00195AC8" w:rsidRPr="00195AC8" w:rsidRDefault="00195AC8" w:rsidP="00195AC8">
            <w:pPr>
              <w:pStyle w:val="TableHeaderCenter"/>
              <w:keepNext/>
              <w:ind w:left="432" w:hanging="432"/>
              <w:outlineLvl w:val="1"/>
              <w:rPr>
                <w:b/>
              </w:rPr>
            </w:pPr>
            <w:r w:rsidRPr="00195AC8">
              <w:rPr>
                <w:b/>
              </w:rPr>
              <w:t>2014</w:t>
            </w:r>
          </w:p>
        </w:tc>
      </w:tr>
      <w:tr w:rsidR="003D67EE" w:rsidTr="00B8609B">
        <w:trPr>
          <w:cantSplit/>
        </w:trPr>
        <w:tc>
          <w:tcPr>
            <w:tcW w:w="2923" w:type="pct"/>
            <w:shd w:val="clear" w:color="auto" w:fill="auto"/>
            <w:vAlign w:val="bottom"/>
          </w:tcPr>
          <w:p w:rsidR="003D67EE" w:rsidRPr="00C32053" w:rsidRDefault="003D67EE" w:rsidP="00667D44">
            <w:pPr>
              <w:pStyle w:val="TableText"/>
              <w:spacing w:before="20" w:after="10"/>
              <w:rPr>
                <w:color w:val="000000"/>
              </w:rPr>
            </w:pPr>
            <w:r w:rsidRPr="00C32053">
              <w:rPr>
                <w:color w:val="000000"/>
              </w:rPr>
              <w:t>Collect Interview Data</w:t>
            </w:r>
          </w:p>
        </w:tc>
        <w:tc>
          <w:tcPr>
            <w:tcW w:w="2077" w:type="pct"/>
            <w:shd w:val="clear" w:color="auto" w:fill="auto"/>
            <w:vAlign w:val="bottom"/>
          </w:tcPr>
          <w:p w:rsidR="003D67EE" w:rsidRPr="00C32053" w:rsidRDefault="003D67EE" w:rsidP="00667D44">
            <w:pPr>
              <w:pStyle w:val="TableText"/>
              <w:spacing w:before="20" w:after="10"/>
              <w:rPr>
                <w:color w:val="000000"/>
              </w:rPr>
            </w:pPr>
            <w:r w:rsidRPr="00C32053">
              <w:rPr>
                <w:color w:val="000000"/>
              </w:rPr>
              <w:t>3/2014 through 6/2014</w:t>
            </w:r>
          </w:p>
        </w:tc>
      </w:tr>
      <w:tr w:rsidR="003D67EE" w:rsidTr="00B8609B">
        <w:trPr>
          <w:cantSplit/>
        </w:trPr>
        <w:tc>
          <w:tcPr>
            <w:tcW w:w="2923" w:type="pct"/>
            <w:shd w:val="clear" w:color="auto" w:fill="auto"/>
            <w:vAlign w:val="bottom"/>
          </w:tcPr>
          <w:p w:rsidR="003D67EE" w:rsidRPr="00C32053" w:rsidRDefault="003D67EE" w:rsidP="00667D44">
            <w:pPr>
              <w:pStyle w:val="TableText"/>
              <w:spacing w:before="20" w:after="10"/>
              <w:rPr>
                <w:color w:val="000000"/>
              </w:rPr>
            </w:pPr>
            <w:r w:rsidRPr="00C32053">
              <w:rPr>
                <w:color w:val="000000"/>
              </w:rPr>
              <w:t>Collect Survey Data</w:t>
            </w:r>
          </w:p>
        </w:tc>
        <w:tc>
          <w:tcPr>
            <w:tcW w:w="2077" w:type="pct"/>
            <w:shd w:val="clear" w:color="auto" w:fill="auto"/>
            <w:vAlign w:val="bottom"/>
          </w:tcPr>
          <w:p w:rsidR="003D67EE" w:rsidRPr="00C32053" w:rsidRDefault="003D67EE" w:rsidP="00667D44">
            <w:pPr>
              <w:pStyle w:val="TableText"/>
              <w:spacing w:before="20" w:after="10"/>
              <w:rPr>
                <w:color w:val="000000"/>
              </w:rPr>
            </w:pPr>
            <w:r w:rsidRPr="00C32053">
              <w:rPr>
                <w:color w:val="000000"/>
              </w:rPr>
              <w:t>3/2014 through 6/2014</w:t>
            </w:r>
          </w:p>
        </w:tc>
      </w:tr>
      <w:tr w:rsidR="003D67EE" w:rsidTr="00B8609B">
        <w:trPr>
          <w:cantSplit/>
        </w:trPr>
        <w:tc>
          <w:tcPr>
            <w:tcW w:w="2923" w:type="pct"/>
            <w:tcBorders>
              <w:bottom w:val="single" w:sz="4" w:space="0" w:color="auto"/>
            </w:tcBorders>
            <w:shd w:val="clear" w:color="auto" w:fill="auto"/>
            <w:vAlign w:val="bottom"/>
          </w:tcPr>
          <w:p w:rsidR="003D67EE" w:rsidRPr="00C32053" w:rsidRDefault="003D67EE" w:rsidP="00B919B4">
            <w:pPr>
              <w:pStyle w:val="TableText"/>
              <w:spacing w:before="20" w:after="40"/>
              <w:rPr>
                <w:color w:val="000000"/>
              </w:rPr>
            </w:pPr>
            <w:r w:rsidRPr="00C32053">
              <w:rPr>
                <w:color w:val="000000"/>
              </w:rPr>
              <w:t xml:space="preserve">Collect </w:t>
            </w:r>
            <w:r w:rsidR="00B919B4">
              <w:rPr>
                <w:color w:val="000000"/>
              </w:rPr>
              <w:t>Administrative and NAEP</w:t>
            </w:r>
            <w:r w:rsidRPr="00686B32">
              <w:rPr>
                <w:color w:val="000000"/>
              </w:rPr>
              <w:t xml:space="preserve"> </w:t>
            </w:r>
            <w:r w:rsidRPr="00C32053">
              <w:rPr>
                <w:color w:val="000000"/>
              </w:rPr>
              <w:t>Data</w:t>
            </w:r>
          </w:p>
        </w:tc>
        <w:tc>
          <w:tcPr>
            <w:tcW w:w="2077" w:type="pct"/>
            <w:tcBorders>
              <w:bottom w:val="single" w:sz="4" w:space="0" w:color="auto"/>
            </w:tcBorders>
            <w:shd w:val="clear" w:color="auto" w:fill="auto"/>
            <w:vAlign w:val="bottom"/>
          </w:tcPr>
          <w:p w:rsidR="003D67EE" w:rsidRPr="00C32053" w:rsidRDefault="003D67EE" w:rsidP="00667D44">
            <w:pPr>
              <w:pStyle w:val="TableText"/>
              <w:spacing w:before="20" w:after="40"/>
              <w:rPr>
                <w:color w:val="000000"/>
              </w:rPr>
            </w:pPr>
            <w:r w:rsidRPr="00C32053">
              <w:rPr>
                <w:color w:val="000000"/>
              </w:rPr>
              <w:t>7/2014 through 10/2014</w:t>
            </w:r>
          </w:p>
        </w:tc>
      </w:tr>
    </w:tbl>
    <w:p w:rsidR="00667D44" w:rsidRDefault="002C4622" w:rsidP="00EF6FD1">
      <w:pPr>
        <w:pStyle w:val="TableSourceCaption"/>
        <w:spacing w:before="120"/>
      </w:pPr>
      <w:r>
        <w:t xml:space="preserve">NAEP = </w:t>
      </w:r>
      <w:r w:rsidRPr="00916CF4">
        <w:t>National Assessment of Edu</w:t>
      </w:r>
      <w:r>
        <w:t>cational Progress.</w:t>
      </w:r>
    </w:p>
    <w:p w:rsidR="00667D44" w:rsidRDefault="00667D44" w:rsidP="00667D44">
      <w:pPr>
        <w:pStyle w:val="Heading3"/>
      </w:pPr>
      <w:bookmarkStart w:id="22" w:name="_Toc276647490"/>
      <w:bookmarkStart w:id="23" w:name="_Toc276719879"/>
      <w:bookmarkStart w:id="24" w:name="_Toc299455748"/>
      <w:r>
        <w:t>2.</w:t>
      </w:r>
      <w:r>
        <w:tab/>
      </w:r>
      <w:r w:rsidRPr="00B83096">
        <w:t xml:space="preserve">Purposes </w:t>
      </w:r>
      <w:r>
        <w:t>and Uses of the Data</w:t>
      </w:r>
      <w:bookmarkEnd w:id="22"/>
      <w:bookmarkEnd w:id="23"/>
      <w:bookmarkEnd w:id="24"/>
    </w:p>
    <w:p w:rsidR="003F2E27" w:rsidRDefault="003F2E27" w:rsidP="003F2E27">
      <w:pPr>
        <w:pStyle w:val="NormalSScontinued"/>
        <w:rPr>
          <w:szCs w:val="22"/>
        </w:rPr>
      </w:pPr>
      <w:r>
        <w:tab/>
      </w:r>
      <w:r w:rsidR="00E56A60">
        <w:t>T</w:t>
      </w:r>
      <w:r w:rsidR="00E56A60" w:rsidRPr="00E62F59">
        <w:t>o address the study</w:t>
      </w:r>
      <w:r w:rsidR="00A51DCC">
        <w:t>’s</w:t>
      </w:r>
      <w:r w:rsidR="00E56A60" w:rsidRPr="00E62F59">
        <w:t xml:space="preserve"> research questions, the evaluation will collect and analyze data from several sources. </w:t>
      </w:r>
      <w:r w:rsidR="00E56A60">
        <w:t>Table A.3</w:t>
      </w:r>
      <w:r w:rsidR="00E56A60" w:rsidRPr="00D34010">
        <w:t xml:space="preserve"> lists the questions and the data sources that will be used to answer the</w:t>
      </w:r>
      <w:r w:rsidR="00040AAB">
        <w:t>m</w:t>
      </w:r>
      <w:r w:rsidR="00E56A60" w:rsidRPr="00D34010">
        <w:t xml:space="preserve">. We describe the study’s </w:t>
      </w:r>
      <w:r w:rsidR="00E56A60">
        <w:t>use of each data source</w:t>
      </w:r>
      <w:r w:rsidR="00E56A60" w:rsidRPr="00D34010">
        <w:t xml:space="preserve"> in more detail below.</w:t>
      </w:r>
      <w:r w:rsidR="00E56A60">
        <w:t xml:space="preserve"> Information will be collected by Mathematica Policy Research and its partner</w:t>
      </w:r>
      <w:r w:rsidR="00C021FD">
        <w:t>s</w:t>
      </w:r>
      <w:r w:rsidR="00E56A60">
        <w:t xml:space="preserve"> AIR</w:t>
      </w:r>
      <w:r w:rsidR="00C021FD">
        <w:t xml:space="preserve"> and SPR</w:t>
      </w:r>
      <w:r w:rsidR="00E56A60">
        <w:t xml:space="preserve">, under contract with ED [contract number </w:t>
      </w:r>
      <w:r w:rsidR="00E56A60">
        <w:rPr>
          <w:szCs w:val="22"/>
        </w:rPr>
        <w:t xml:space="preserve">ED-IES-10-C-0077]. </w:t>
      </w:r>
    </w:p>
    <w:p w:rsidR="000851D4" w:rsidRPr="000851D4" w:rsidRDefault="002A25AB" w:rsidP="000851D4">
      <w:pPr>
        <w:pStyle w:val="TableHeaderLeft"/>
        <w:rPr>
          <w:b/>
        </w:rPr>
      </w:pPr>
      <w:r>
        <w:rPr>
          <w:b/>
        </w:rPr>
        <w:t>Table A.3. Research Questions and Data Sources</w:t>
      </w:r>
    </w:p>
    <w:tbl>
      <w:tblPr>
        <w:tblStyle w:val="SMPRTableRed"/>
        <w:tblW w:w="4997" w:type="pct"/>
        <w:tblInd w:w="0" w:type="dxa"/>
        <w:tblLook w:val="04A0"/>
      </w:tblPr>
      <w:tblGrid>
        <w:gridCol w:w="5239"/>
        <w:gridCol w:w="4331"/>
      </w:tblGrid>
      <w:tr w:rsidR="000851D4" w:rsidRPr="00FA44BB" w:rsidTr="001E6369">
        <w:trPr>
          <w:cnfStyle w:val="100000000000"/>
          <w:cantSplit/>
          <w:tblHeader/>
        </w:trPr>
        <w:tc>
          <w:tcPr>
            <w:tcW w:w="2737" w:type="pct"/>
            <w:tcBorders>
              <w:top w:val="single" w:sz="12" w:space="0" w:color="auto"/>
              <w:bottom w:val="single" w:sz="4" w:space="0" w:color="auto"/>
            </w:tcBorders>
            <w:vAlign w:val="bottom"/>
          </w:tcPr>
          <w:p w:rsidR="000851D4" w:rsidRPr="00FA44BB" w:rsidRDefault="000851D4" w:rsidP="000851D4">
            <w:pPr>
              <w:pStyle w:val="TableHeaderLeft"/>
              <w:rPr>
                <w:szCs w:val="18"/>
              </w:rPr>
            </w:pPr>
            <w:r w:rsidRPr="00FA44BB">
              <w:rPr>
                <w:szCs w:val="18"/>
              </w:rPr>
              <w:t>Research Question</w:t>
            </w:r>
          </w:p>
        </w:tc>
        <w:tc>
          <w:tcPr>
            <w:tcW w:w="2263" w:type="pct"/>
            <w:tcBorders>
              <w:top w:val="single" w:sz="12" w:space="0" w:color="auto"/>
              <w:bottom w:val="single" w:sz="4" w:space="0" w:color="auto"/>
            </w:tcBorders>
            <w:vAlign w:val="bottom"/>
          </w:tcPr>
          <w:p w:rsidR="000851D4" w:rsidRPr="00FA44BB" w:rsidRDefault="000851D4" w:rsidP="000851D4">
            <w:pPr>
              <w:pStyle w:val="TableHeaderCenter"/>
              <w:rPr>
                <w:szCs w:val="18"/>
              </w:rPr>
            </w:pPr>
            <w:r w:rsidRPr="00FA44BB">
              <w:rPr>
                <w:szCs w:val="18"/>
              </w:rPr>
              <w:t xml:space="preserve">Data </w:t>
            </w:r>
            <w:r w:rsidRPr="001E4926">
              <w:t>Source</w:t>
            </w:r>
            <w:r>
              <w:t>(</w:t>
            </w:r>
            <w:r w:rsidRPr="001E4926">
              <w:t>s</w:t>
            </w:r>
            <w:r>
              <w:t>)</w:t>
            </w:r>
          </w:p>
        </w:tc>
      </w:tr>
      <w:tr w:rsidR="000851D4" w:rsidRPr="00FA44BB" w:rsidTr="001E6369">
        <w:trPr>
          <w:cantSplit/>
        </w:trPr>
        <w:tc>
          <w:tcPr>
            <w:tcW w:w="2737" w:type="pct"/>
            <w:tcBorders>
              <w:top w:val="single" w:sz="4" w:space="0" w:color="auto"/>
              <w:bottom w:val="nil"/>
            </w:tcBorders>
          </w:tcPr>
          <w:p w:rsidR="00C047FA" w:rsidRDefault="000851D4" w:rsidP="003D67EE">
            <w:pPr>
              <w:pStyle w:val="TableText"/>
              <w:spacing w:before="120" w:after="60"/>
              <w:ind w:left="270" w:hanging="270"/>
            </w:pPr>
            <w:r w:rsidRPr="006E6CDF">
              <w:t>1.</w:t>
            </w:r>
            <w:r w:rsidR="001E6369">
              <w:tab/>
            </w:r>
            <w:r w:rsidRPr="006E6CDF">
              <w:t>How are RTT and SIG implemented at the state, district, and school levels?</w:t>
            </w:r>
          </w:p>
        </w:tc>
        <w:tc>
          <w:tcPr>
            <w:tcW w:w="2263" w:type="pct"/>
            <w:tcBorders>
              <w:top w:val="single" w:sz="4" w:space="0" w:color="auto"/>
              <w:bottom w:val="nil"/>
            </w:tcBorders>
          </w:tcPr>
          <w:p w:rsidR="000851D4" w:rsidRPr="006E6CDF" w:rsidRDefault="00DC2634" w:rsidP="003D67EE">
            <w:pPr>
              <w:pStyle w:val="TableText"/>
              <w:spacing w:before="120" w:after="60"/>
            </w:pPr>
            <w:r>
              <w:t>School surveys</w:t>
            </w:r>
            <w:r w:rsidR="000851D4" w:rsidRPr="006E6CDF">
              <w:t xml:space="preserve"> </w:t>
            </w:r>
          </w:p>
          <w:p w:rsidR="003F539B" w:rsidRPr="006E6CDF" w:rsidRDefault="00DC2634" w:rsidP="000A3878">
            <w:pPr>
              <w:pStyle w:val="TableText"/>
              <w:spacing w:before="120" w:after="60"/>
            </w:pPr>
            <w:r>
              <w:t>State</w:t>
            </w:r>
            <w:r w:rsidR="000851D4" w:rsidRPr="006E6CDF">
              <w:t xml:space="preserve"> and district</w:t>
            </w:r>
            <w:r w:rsidR="00CA759C">
              <w:t xml:space="preserve"> interviews</w:t>
            </w:r>
          </w:p>
        </w:tc>
      </w:tr>
      <w:tr w:rsidR="003C27C8" w:rsidRPr="00FA44BB" w:rsidTr="001E6369">
        <w:trPr>
          <w:cantSplit/>
        </w:trPr>
        <w:tc>
          <w:tcPr>
            <w:tcW w:w="2737" w:type="pct"/>
            <w:tcBorders>
              <w:top w:val="nil"/>
              <w:bottom w:val="nil"/>
            </w:tcBorders>
          </w:tcPr>
          <w:p w:rsidR="003C27C8" w:rsidRPr="003F539B" w:rsidRDefault="003C27C8" w:rsidP="003D67EE">
            <w:pPr>
              <w:pStyle w:val="TableText"/>
              <w:spacing w:before="120" w:after="60"/>
              <w:ind w:left="270" w:hanging="270"/>
            </w:pPr>
            <w:r>
              <w:t>2</w:t>
            </w:r>
            <w:r w:rsidRPr="003F539B">
              <w:t>.</w:t>
            </w:r>
            <w:r>
              <w:tab/>
              <w:t>A</w:t>
            </w:r>
            <w:r w:rsidRPr="003F539B">
              <w:t>re RTT reforms related to improvement in student outcomes?</w:t>
            </w:r>
          </w:p>
        </w:tc>
        <w:tc>
          <w:tcPr>
            <w:tcW w:w="2263" w:type="pct"/>
            <w:tcBorders>
              <w:top w:val="nil"/>
              <w:bottom w:val="nil"/>
            </w:tcBorders>
          </w:tcPr>
          <w:p w:rsidR="003C27C8" w:rsidRDefault="003C27C8" w:rsidP="003C27C8">
            <w:pPr>
              <w:pStyle w:val="TableText"/>
              <w:spacing w:before="120" w:after="60"/>
            </w:pPr>
            <w:r w:rsidRPr="003F539B">
              <w:t>NAEP data</w:t>
            </w:r>
          </w:p>
          <w:p w:rsidR="003C27C8" w:rsidRPr="003F539B" w:rsidRDefault="003C27C8" w:rsidP="003D67EE">
            <w:pPr>
              <w:pStyle w:val="TableText"/>
              <w:spacing w:before="120" w:after="60"/>
            </w:pPr>
            <w:r>
              <w:t>Aggregated state extant data</w:t>
            </w:r>
          </w:p>
        </w:tc>
      </w:tr>
      <w:tr w:rsidR="003C27C8" w:rsidRPr="00FA44BB" w:rsidTr="001E6369">
        <w:trPr>
          <w:cantSplit/>
        </w:trPr>
        <w:tc>
          <w:tcPr>
            <w:tcW w:w="2737" w:type="pct"/>
            <w:tcBorders>
              <w:top w:val="nil"/>
              <w:bottom w:val="nil"/>
            </w:tcBorders>
          </w:tcPr>
          <w:p w:rsidR="003C27C8" w:rsidRDefault="003C27C8" w:rsidP="003D67EE">
            <w:pPr>
              <w:pStyle w:val="TableText"/>
              <w:spacing w:before="120" w:after="60"/>
              <w:ind w:left="270" w:hanging="270"/>
            </w:pPr>
            <w:r>
              <w:t>3</w:t>
            </w:r>
            <w:r w:rsidRPr="003F539B">
              <w:t>.</w:t>
            </w:r>
            <w:r>
              <w:tab/>
            </w:r>
            <w:r w:rsidRPr="003F539B">
              <w:t>Does receipt of RTT and/or SIG funding to implement a school turnaround model have an impact on outcomes for lowest-achieving schools?</w:t>
            </w:r>
          </w:p>
        </w:tc>
        <w:tc>
          <w:tcPr>
            <w:tcW w:w="2263" w:type="pct"/>
            <w:tcBorders>
              <w:top w:val="nil"/>
              <w:bottom w:val="nil"/>
            </w:tcBorders>
          </w:tcPr>
          <w:p w:rsidR="003C27C8" w:rsidRPr="003F539B" w:rsidRDefault="003C27C8" w:rsidP="003D67EE">
            <w:pPr>
              <w:pStyle w:val="TableText"/>
              <w:spacing w:before="120" w:after="60"/>
            </w:pPr>
            <w:r w:rsidRPr="003F539B">
              <w:t>State and district extant data</w:t>
            </w:r>
          </w:p>
        </w:tc>
      </w:tr>
      <w:tr w:rsidR="003C27C8" w:rsidRPr="00FA44BB" w:rsidTr="001E6369">
        <w:trPr>
          <w:cantSplit/>
        </w:trPr>
        <w:tc>
          <w:tcPr>
            <w:tcW w:w="2737" w:type="pct"/>
            <w:tcBorders>
              <w:top w:val="nil"/>
              <w:bottom w:val="nil"/>
            </w:tcBorders>
          </w:tcPr>
          <w:p w:rsidR="003C27C8" w:rsidRDefault="003C27C8" w:rsidP="003D67EE">
            <w:pPr>
              <w:pStyle w:val="TableText"/>
              <w:spacing w:before="120" w:after="60"/>
              <w:ind w:left="270" w:hanging="270"/>
            </w:pPr>
          </w:p>
        </w:tc>
        <w:tc>
          <w:tcPr>
            <w:tcW w:w="2263" w:type="pct"/>
            <w:tcBorders>
              <w:top w:val="nil"/>
              <w:bottom w:val="nil"/>
            </w:tcBorders>
          </w:tcPr>
          <w:p w:rsidR="003C27C8" w:rsidRPr="003F539B" w:rsidRDefault="003C27C8" w:rsidP="003D67EE">
            <w:pPr>
              <w:pStyle w:val="TableText"/>
              <w:spacing w:before="120" w:after="60"/>
            </w:pPr>
          </w:p>
        </w:tc>
      </w:tr>
      <w:tr w:rsidR="003C27C8" w:rsidRPr="00C021FD" w:rsidTr="001E6369">
        <w:trPr>
          <w:cantSplit/>
        </w:trPr>
        <w:tc>
          <w:tcPr>
            <w:tcW w:w="2737" w:type="pct"/>
            <w:tcBorders>
              <w:top w:val="nil"/>
              <w:bottom w:val="single" w:sz="4" w:space="0" w:color="auto"/>
            </w:tcBorders>
          </w:tcPr>
          <w:p w:rsidR="003C27C8" w:rsidRDefault="003C27C8" w:rsidP="003D67EE">
            <w:pPr>
              <w:pStyle w:val="TableText"/>
              <w:spacing w:before="120" w:after="60"/>
              <w:ind w:left="270" w:hanging="270"/>
            </w:pPr>
            <w:r w:rsidRPr="003F539B">
              <w:t>4.</w:t>
            </w:r>
            <w:r>
              <w:tab/>
            </w:r>
            <w:r w:rsidRPr="003F539B">
              <w:t>Is implementation of the four school turnaround models, and strategies within those models, related to improvement in outcomes for lowest-achieving schools?</w:t>
            </w:r>
          </w:p>
        </w:tc>
        <w:tc>
          <w:tcPr>
            <w:tcW w:w="2263" w:type="pct"/>
            <w:tcBorders>
              <w:top w:val="nil"/>
              <w:bottom w:val="single" w:sz="4" w:space="0" w:color="auto"/>
            </w:tcBorders>
          </w:tcPr>
          <w:p w:rsidR="003C27C8" w:rsidRPr="003F539B" w:rsidRDefault="003C27C8" w:rsidP="003D67EE">
            <w:pPr>
              <w:pStyle w:val="TableText"/>
              <w:spacing w:before="120" w:after="60"/>
            </w:pPr>
            <w:r w:rsidRPr="003F539B">
              <w:t>State and district extant data</w:t>
            </w:r>
          </w:p>
          <w:p w:rsidR="003C27C8" w:rsidRPr="003F539B" w:rsidRDefault="003C27C8" w:rsidP="003D67EE">
            <w:pPr>
              <w:pStyle w:val="TableText"/>
              <w:spacing w:before="120" w:after="60"/>
            </w:pPr>
            <w:r>
              <w:t>School s</w:t>
            </w:r>
            <w:r w:rsidRPr="003F539B">
              <w:t>urveys</w:t>
            </w:r>
          </w:p>
          <w:p w:rsidR="003C27C8" w:rsidRPr="003F539B" w:rsidRDefault="003C27C8" w:rsidP="00DC2634">
            <w:pPr>
              <w:pStyle w:val="TableText"/>
              <w:spacing w:before="120" w:after="60"/>
            </w:pPr>
            <w:r>
              <w:t>St</w:t>
            </w:r>
            <w:r w:rsidRPr="003F539B">
              <w:t>ate and district</w:t>
            </w:r>
            <w:r>
              <w:t xml:space="preserve"> interviews</w:t>
            </w:r>
          </w:p>
        </w:tc>
      </w:tr>
    </w:tbl>
    <w:p w:rsidR="00EF6FD1" w:rsidRDefault="006D3504" w:rsidP="00EF6FD1">
      <w:pPr>
        <w:pStyle w:val="TableFootnoteCaption"/>
        <w:spacing w:before="120"/>
      </w:pPr>
      <w:r>
        <w:t>NAEP</w:t>
      </w:r>
      <w:r w:rsidR="001A5A00">
        <w:t xml:space="preserve"> </w:t>
      </w:r>
      <w:r>
        <w:t xml:space="preserve">= </w:t>
      </w:r>
      <w:r w:rsidRPr="00916CF4">
        <w:t>National Assessment of Edu</w:t>
      </w:r>
      <w:r>
        <w:t>cational Progress</w:t>
      </w:r>
      <w:r w:rsidR="001A5A00">
        <w:t>.</w:t>
      </w:r>
    </w:p>
    <w:p w:rsidR="00EF6FD1" w:rsidRDefault="00EF6FD1">
      <w:pPr>
        <w:tabs>
          <w:tab w:val="clear" w:pos="432"/>
        </w:tabs>
        <w:spacing w:line="240" w:lineRule="auto"/>
        <w:ind w:firstLine="0"/>
        <w:jc w:val="left"/>
        <w:rPr>
          <w:rFonts w:ascii="Lucida Sans" w:hAnsi="Lucida Sans"/>
          <w:sz w:val="18"/>
        </w:rPr>
      </w:pPr>
      <w:r>
        <w:br w:type="page"/>
      </w:r>
    </w:p>
    <w:p w:rsidR="003F2E27" w:rsidRDefault="00DC2634" w:rsidP="00035864">
      <w:pPr>
        <w:pageBreakBefore/>
        <w:spacing w:line="240" w:lineRule="auto"/>
      </w:pPr>
      <w:r w:rsidRPr="00DC2634">
        <w:rPr>
          <w:b/>
        </w:rPr>
        <w:lastRenderedPageBreak/>
        <w:t xml:space="preserve">State </w:t>
      </w:r>
      <w:r w:rsidR="00E56A60" w:rsidRPr="00DC2634">
        <w:rPr>
          <w:b/>
        </w:rPr>
        <w:t>I</w:t>
      </w:r>
      <w:r w:rsidR="00E56A60" w:rsidRPr="00E56A60">
        <w:rPr>
          <w:b/>
        </w:rPr>
        <w:t>nterviews.</w:t>
      </w:r>
      <w:r w:rsidR="00E56A60">
        <w:t xml:space="preserve"> </w:t>
      </w:r>
      <w:r w:rsidR="001E6369">
        <w:t xml:space="preserve">These interviews will focus on </w:t>
      </w:r>
      <w:r w:rsidR="003F2E27">
        <w:t>RTT policies and practices at the state level</w:t>
      </w:r>
      <w:r w:rsidR="001E6369">
        <w:t>,</w:t>
      </w:r>
      <w:r w:rsidR="003F2E27">
        <w:t xml:space="preserve"> </w:t>
      </w:r>
      <w:r w:rsidR="002B564E">
        <w:t>as well as</w:t>
      </w:r>
      <w:r w:rsidR="003F2E27">
        <w:t xml:space="preserve"> state policies and practices designed to support school </w:t>
      </w:r>
      <w:r w:rsidR="003F2E27" w:rsidRPr="00EA6F48">
        <w:rPr>
          <w:bCs/>
          <w:iCs/>
        </w:rPr>
        <w:t>turnaround</w:t>
      </w:r>
      <w:r w:rsidR="00E56A60">
        <w:t xml:space="preserve"> through RTT and SIG. </w:t>
      </w:r>
      <w:r w:rsidR="00E56A60" w:rsidRPr="00916CF4">
        <w:t>We will use this information</w:t>
      </w:r>
      <w:r w:rsidR="00A140A6">
        <w:t xml:space="preserve"> primarily to examine research question 1, but </w:t>
      </w:r>
      <w:r w:rsidR="001E6369">
        <w:t>perhaps</w:t>
      </w:r>
      <w:r w:rsidR="00A140A6">
        <w:t xml:space="preserve"> also</w:t>
      </w:r>
      <w:r w:rsidR="00E56A60" w:rsidRPr="00916CF4">
        <w:t xml:space="preserve"> to examine whether impacts of STM vary with respect to these implementation details (research question 4). States in the RTT sample that did not receive RTT grants will be asked about their impleme</w:t>
      </w:r>
      <w:r w:rsidR="00E56A60">
        <w:t>ntation of RTT-related reforms.</w:t>
      </w:r>
    </w:p>
    <w:p w:rsidR="003F2E27" w:rsidRDefault="003F2E27" w:rsidP="003F2E27">
      <w:pPr>
        <w:spacing w:line="240" w:lineRule="auto"/>
      </w:pPr>
    </w:p>
    <w:p w:rsidR="00E56A60" w:rsidRPr="00916CF4" w:rsidRDefault="00DC2634" w:rsidP="00E56A60">
      <w:pPr>
        <w:spacing w:line="240" w:lineRule="auto"/>
      </w:pPr>
      <w:r>
        <w:rPr>
          <w:b/>
          <w:bCs/>
          <w:iCs/>
        </w:rPr>
        <w:t xml:space="preserve">District </w:t>
      </w:r>
      <w:r w:rsidR="00E56A60" w:rsidRPr="00916CF4">
        <w:rPr>
          <w:b/>
          <w:bCs/>
          <w:iCs/>
        </w:rPr>
        <w:t>Interviews</w:t>
      </w:r>
      <w:r w:rsidR="00E56A60" w:rsidRPr="00916CF4">
        <w:rPr>
          <w:b/>
          <w:bCs/>
        </w:rPr>
        <w:t>.</w:t>
      </w:r>
      <w:r w:rsidR="00E56A60" w:rsidRPr="00916CF4">
        <w:t xml:space="preserve"> </w:t>
      </w:r>
      <w:r w:rsidR="00E56A60">
        <w:t xml:space="preserve">Interviews with districts in the STM sample will focus on how state and district STM policies play out in districts and schools, </w:t>
      </w:r>
      <w:r w:rsidR="00A140A6">
        <w:t xml:space="preserve">including </w:t>
      </w:r>
      <w:r w:rsidR="00E56A60">
        <w:t>documenting the STM supports and information received by the districts from the states. We will use the</w:t>
      </w:r>
      <w:r w:rsidR="00E56A60" w:rsidRPr="00916CF4">
        <w:t xml:space="preserve"> information </w:t>
      </w:r>
      <w:r w:rsidR="00E56A60">
        <w:t xml:space="preserve">from the interviews with districts in the STM sample </w:t>
      </w:r>
      <w:r w:rsidR="00E56A60" w:rsidRPr="00916CF4">
        <w:t>to</w:t>
      </w:r>
      <w:r w:rsidR="00A140A6">
        <w:t xml:space="preserve"> examine the implementation of SIG (research question 1) and </w:t>
      </w:r>
      <w:r w:rsidR="00E56A60" w:rsidRPr="00916CF4">
        <w:t xml:space="preserve">whether impacts of STM vary with respect to these implementation details (research question 4). </w:t>
      </w:r>
    </w:p>
    <w:p w:rsidR="00E56A60" w:rsidRPr="00916CF4" w:rsidRDefault="00E56A60" w:rsidP="00E56A60">
      <w:pPr>
        <w:spacing w:line="240" w:lineRule="auto"/>
      </w:pPr>
    </w:p>
    <w:p w:rsidR="003F2E27" w:rsidRPr="00916CF4" w:rsidRDefault="00E56A60" w:rsidP="00E56A60">
      <w:pPr>
        <w:pStyle w:val="NormalSS"/>
        <w:ind w:firstLine="0"/>
      </w:pPr>
      <w:r>
        <w:rPr>
          <w:b/>
          <w:bCs/>
          <w:iCs/>
        </w:rPr>
        <w:tab/>
      </w:r>
      <w:r w:rsidRPr="00916CF4">
        <w:rPr>
          <w:b/>
          <w:bCs/>
          <w:iCs/>
        </w:rPr>
        <w:t xml:space="preserve">School </w:t>
      </w:r>
      <w:r w:rsidR="00663127">
        <w:rPr>
          <w:b/>
          <w:bCs/>
          <w:iCs/>
        </w:rPr>
        <w:t>Surveys</w:t>
      </w:r>
      <w:r w:rsidRPr="00916CF4">
        <w:rPr>
          <w:b/>
          <w:bCs/>
        </w:rPr>
        <w:t>.</w:t>
      </w:r>
      <w:r w:rsidRPr="00916CF4">
        <w:t xml:space="preserve"> </w:t>
      </w:r>
      <w:r>
        <w:t xml:space="preserve">These surveys will focus on implementation of STM in schools and the STM-related supports, information, and policies </w:t>
      </w:r>
      <w:r w:rsidRPr="00EA6F48">
        <w:rPr>
          <w:bCs/>
          <w:iCs/>
        </w:rPr>
        <w:t>rolled</w:t>
      </w:r>
      <w:r>
        <w:t xml:space="preserve"> out by the state and</w:t>
      </w:r>
      <w:r w:rsidRPr="00AD1890">
        <w:t xml:space="preserve"> district.</w:t>
      </w:r>
      <w:r>
        <w:t xml:space="preserve"> </w:t>
      </w:r>
      <w:r w:rsidRPr="00916CF4">
        <w:t>We will use this information to examine</w:t>
      </w:r>
      <w:r w:rsidR="00A140A6">
        <w:t xml:space="preserve"> SIG implementation (research question 1) and</w:t>
      </w:r>
      <w:r w:rsidRPr="00916CF4">
        <w:t xml:space="preserve"> whether impacts of STM vary with respect to these implementation details (research question 4). </w:t>
      </w:r>
    </w:p>
    <w:p w:rsidR="003F2E27" w:rsidRPr="00916CF4" w:rsidRDefault="00E56A60" w:rsidP="000851D4">
      <w:pPr>
        <w:spacing w:line="240" w:lineRule="auto"/>
      </w:pPr>
      <w:r w:rsidRPr="002F42B4">
        <w:rPr>
          <w:b/>
        </w:rPr>
        <w:t>State and Distri</w:t>
      </w:r>
      <w:r w:rsidR="000851D4">
        <w:rPr>
          <w:b/>
        </w:rPr>
        <w:t>ct Extant Data</w:t>
      </w:r>
      <w:r w:rsidRPr="002F42B4">
        <w:rPr>
          <w:b/>
        </w:rPr>
        <w:t>.</w:t>
      </w:r>
      <w:r w:rsidRPr="00E62F59">
        <w:t xml:space="preserve"> </w:t>
      </w:r>
      <w:r w:rsidR="009C25B8">
        <w:t xml:space="preserve">The </w:t>
      </w:r>
      <w:r w:rsidR="00264485">
        <w:t>data</w:t>
      </w:r>
      <w:r w:rsidR="00264485" w:rsidRPr="009C25B8">
        <w:t xml:space="preserve"> </w:t>
      </w:r>
      <w:r w:rsidR="003F2E27" w:rsidRPr="009C25B8">
        <w:t xml:space="preserve">for the </w:t>
      </w:r>
      <w:r w:rsidR="00390D0A">
        <w:t>outcomes</w:t>
      </w:r>
      <w:r w:rsidR="00390D0A" w:rsidRPr="009C25B8">
        <w:t xml:space="preserve"> </w:t>
      </w:r>
      <w:r w:rsidR="003F2E27" w:rsidRPr="009C25B8">
        <w:t>analyses will come from student-level administrative data maintained by states and districts</w:t>
      </w:r>
      <w:r w:rsidR="009C25B8" w:rsidRPr="009C25B8">
        <w:t>, as well as from the NAEP data the study team obtains from ED</w:t>
      </w:r>
      <w:r w:rsidR="004125D6" w:rsidRPr="006D3504">
        <w:t xml:space="preserve">. (Student-level data will be collected for the STM impact analysis only; the RTT </w:t>
      </w:r>
      <w:r w:rsidR="00390D0A">
        <w:t>outcomes</w:t>
      </w:r>
      <w:r w:rsidR="00390D0A" w:rsidRPr="006D3504">
        <w:t xml:space="preserve"> </w:t>
      </w:r>
      <w:r w:rsidR="004125D6" w:rsidRPr="006D3504">
        <w:t>analysis will rely on administrative data aggregated to the state, district, or school levels.)</w:t>
      </w:r>
      <w:r w:rsidR="009C25B8" w:rsidRPr="009C25B8">
        <w:t xml:space="preserve"> </w:t>
      </w:r>
      <w:r w:rsidR="003F2E27" w:rsidRPr="009C25B8">
        <w:t>The outcomes of interest for this study are student standardized test scores (state assessments</w:t>
      </w:r>
      <w:r w:rsidR="00A939C7">
        <w:t xml:space="preserve"> and NAEP</w:t>
      </w:r>
      <w:r w:rsidR="003F2E27" w:rsidRPr="009C25B8">
        <w:t>); high school graduation and attendance rates; and (to the extent data are available) college enrollment rates and completion of at least a year of college credit.</w:t>
      </w:r>
      <w:r w:rsidR="003F2E27" w:rsidRPr="000851D4">
        <w:rPr>
          <w:highlight w:val="yellow"/>
        </w:rPr>
        <w:t xml:space="preserve"> </w:t>
      </w:r>
    </w:p>
    <w:p w:rsidR="003F2E27" w:rsidRPr="00916CF4" w:rsidRDefault="003F2E27" w:rsidP="003F2E27">
      <w:pPr>
        <w:spacing w:line="240" w:lineRule="auto"/>
        <w:rPr>
          <w:b/>
          <w:bCs/>
          <w:iCs/>
        </w:rPr>
      </w:pPr>
    </w:p>
    <w:p w:rsidR="00667D44" w:rsidRPr="00F81E64" w:rsidRDefault="00667D44" w:rsidP="00667D44">
      <w:pPr>
        <w:pStyle w:val="Heading3"/>
      </w:pPr>
      <w:bookmarkStart w:id="25" w:name="_Toc276647491"/>
      <w:bookmarkStart w:id="26" w:name="_Toc276719880"/>
      <w:bookmarkStart w:id="27" w:name="_Toc299455749"/>
      <w:r w:rsidRPr="00F81E64">
        <w:t>3.</w:t>
      </w:r>
      <w:r>
        <w:tab/>
      </w:r>
      <w:r w:rsidRPr="00F81E64">
        <w:t>Use of Technology to Reduce Burden</w:t>
      </w:r>
      <w:bookmarkEnd w:id="25"/>
      <w:bookmarkEnd w:id="26"/>
      <w:bookmarkEnd w:id="27"/>
    </w:p>
    <w:p w:rsidR="00667D44" w:rsidRDefault="00667D44" w:rsidP="00667D44">
      <w:pPr>
        <w:pStyle w:val="NormalSS"/>
      </w:pPr>
      <w:r w:rsidRPr="00D171E9">
        <w:t xml:space="preserve">The data collection plan is designed to obtain information in an efficient way that minimizes respondent burden. </w:t>
      </w:r>
      <w:r>
        <w:t>When feasible</w:t>
      </w:r>
      <w:r w:rsidRPr="00D171E9">
        <w:t xml:space="preserve">, </w:t>
      </w:r>
      <w:r w:rsidR="002B564E">
        <w:t xml:space="preserve">we will gather </w:t>
      </w:r>
      <w:r w:rsidRPr="00D171E9">
        <w:t xml:space="preserve">information from existing </w:t>
      </w:r>
      <w:r>
        <w:t xml:space="preserve">data </w:t>
      </w:r>
      <w:r w:rsidRPr="00D171E9">
        <w:t>sources</w:t>
      </w:r>
      <w:r>
        <w:t>, using the most efficient methods available</w:t>
      </w:r>
      <w:r w:rsidRPr="00D171E9">
        <w:t>.</w:t>
      </w:r>
      <w:r>
        <w:t xml:space="preserve"> Existing data sources will</w:t>
      </w:r>
      <w:r w:rsidR="00753063">
        <w:t xml:space="preserve"> be</w:t>
      </w:r>
      <w:r w:rsidR="007C5220">
        <w:t xml:space="preserve"> computer files provided by states (or</w:t>
      </w:r>
      <w:r w:rsidR="007C5220" w:rsidRPr="00D171E9">
        <w:t xml:space="preserve"> </w:t>
      </w:r>
      <w:r w:rsidR="007C5220">
        <w:t xml:space="preserve">from </w:t>
      </w:r>
      <w:r w:rsidR="007C5220" w:rsidRPr="00D171E9">
        <w:t>districts</w:t>
      </w:r>
      <w:r w:rsidR="007C5220">
        <w:t xml:space="preserve"> when not available from the state)</w:t>
      </w:r>
      <w:r w:rsidR="00753063">
        <w:t xml:space="preserve"> that include</w:t>
      </w:r>
      <w:r>
        <w:t xml:space="preserve"> test scores for school-administered tests and student demographic information.</w:t>
      </w:r>
      <w:r w:rsidRPr="00D171E9">
        <w:t xml:space="preserve"> </w:t>
      </w:r>
      <w:r>
        <w:t xml:space="preserve">Mathematica will work with state and district personnel to determine the most efficient and least burdensome procedures for their staff, and will capitalize on any electronic systems already in place. Whenever possible, states and districts will be able simply </w:t>
      </w:r>
      <w:r w:rsidR="003E326B">
        <w:t xml:space="preserve">to </w:t>
      </w:r>
      <w:r>
        <w:t>upload or enter data into any electronic spreadsheet, or to an equivalent file, and transfer it to Mathematic</w:t>
      </w:r>
      <w:r w:rsidR="00B8609B">
        <w:t>a</w:t>
      </w:r>
      <w:r>
        <w:t xml:space="preserve"> through a secure FTP site. </w:t>
      </w:r>
      <w:r w:rsidR="000E5DD7">
        <w:t>Regardless of the form in which it is received, th</w:t>
      </w:r>
      <w:r w:rsidR="002A6031">
        <w:t>ese</w:t>
      </w:r>
      <w:r w:rsidR="000E5DD7">
        <w:t xml:space="preserve"> data will be converted into a consistent format so that </w:t>
      </w:r>
      <w:r w:rsidR="002A6031">
        <w:t>they</w:t>
      </w:r>
      <w:r w:rsidR="000E5DD7">
        <w:t xml:space="preserve"> can be combined with data submitted by other states or districts and </w:t>
      </w:r>
      <w:r w:rsidR="002A6031">
        <w:t>are</w:t>
      </w:r>
      <w:r w:rsidR="000E5DD7">
        <w:t xml:space="preserve"> suitable for analysis. </w:t>
      </w:r>
      <w:r w:rsidRPr="00D171E9">
        <w:t>If it is too burdensome or not possible for a state or district to provide data in electronic format, we will provide clear instructions on how to submit the information in hard</w:t>
      </w:r>
      <w:r w:rsidR="003E326B">
        <w:t>-</w:t>
      </w:r>
      <w:r w:rsidRPr="00D171E9">
        <w:t>copy form, to be coded by the study team.</w:t>
      </w:r>
    </w:p>
    <w:p w:rsidR="00667D44" w:rsidRDefault="00667D44" w:rsidP="00667D44">
      <w:pPr>
        <w:pStyle w:val="NormalSS"/>
      </w:pPr>
      <w:r>
        <w:t>We will interview state and district representatives by telephone, which will allow us flexibility to schedule the interviews at their convenience</w:t>
      </w:r>
      <w:r w:rsidR="00C8043D">
        <w:t xml:space="preserve"> and to</w:t>
      </w:r>
      <w:r w:rsidR="007C325B">
        <w:t xml:space="preserve"> separate</w:t>
      </w:r>
      <w:r w:rsidR="00C8043D">
        <w:t xml:space="preserve"> </w:t>
      </w:r>
      <w:r w:rsidR="007C325B">
        <w:t>t</w:t>
      </w:r>
      <w:r w:rsidR="00C8043D">
        <w:t>opical modules from a particular instrument for a given respondent</w:t>
      </w:r>
      <w:r>
        <w:t xml:space="preserve">. This mode of data collection is also appropriate for the conversational exchange necessary to obtain answers to any open-ended questions, and to allow probing for more detail than </w:t>
      </w:r>
      <w:r w:rsidR="003E326B">
        <w:t xml:space="preserve">in </w:t>
      </w:r>
      <w:r>
        <w:t>a self-administered survey.</w:t>
      </w:r>
    </w:p>
    <w:p w:rsidR="00EC6055" w:rsidRDefault="00667D44" w:rsidP="00EC6055">
      <w:pPr>
        <w:pStyle w:val="NormalSS"/>
        <w:rPr>
          <w:color w:val="FF0000"/>
        </w:rPr>
      </w:pPr>
      <w:r>
        <w:lastRenderedPageBreak/>
        <w:t>A web-based survey will be the primary mode of data collection for school administrators in the study. Respondents will also have the option of completing a self-administered hard</w:t>
      </w:r>
      <w:r w:rsidR="003E326B">
        <w:t>-</w:t>
      </w:r>
      <w:r>
        <w:t>copy questionnaire or providing answers to a trained interviewer over the telephone. The web-based survey will enable respondents to complete the survey at a location and time of their choice, and its automatic editing system will reduce the level of response errors.</w:t>
      </w:r>
    </w:p>
    <w:p w:rsidR="00D85A87" w:rsidRDefault="00D85A87" w:rsidP="00D85A87">
      <w:pPr>
        <w:pStyle w:val="Heading3"/>
      </w:pPr>
      <w:bookmarkStart w:id="28" w:name="_Toc299455750"/>
      <w:r>
        <w:t>4.</w:t>
      </w:r>
      <w:r w:rsidR="00805831">
        <w:tab/>
      </w:r>
      <w:r>
        <w:t>Efforts to Avoid Duplication of Effort</w:t>
      </w:r>
      <w:bookmarkEnd w:id="28"/>
    </w:p>
    <w:p w:rsidR="00D85A87" w:rsidRDefault="00936DBE" w:rsidP="00D85A87">
      <w:pPr>
        <w:pStyle w:val="NormalSS"/>
      </w:pPr>
      <w:r>
        <w:t>Because n</w:t>
      </w:r>
      <w:r w:rsidR="00D85A87" w:rsidRPr="00E62F59">
        <w:t>o other national study has been conducted or is under</w:t>
      </w:r>
      <w:r w:rsidR="003E326B">
        <w:t xml:space="preserve"> </w:t>
      </w:r>
      <w:r w:rsidR="00D85A87" w:rsidRPr="00E62F59">
        <w:t xml:space="preserve">way to address the same research questions as this </w:t>
      </w:r>
      <w:r>
        <w:t>one,</w:t>
      </w:r>
      <w:r w:rsidR="00D85A87" w:rsidRPr="00E62F59">
        <w:t xml:space="preserve"> ED determined that a</w:t>
      </w:r>
      <w:r w:rsidR="00D85A87">
        <w:t>n in-depth</w:t>
      </w:r>
      <w:r w:rsidR="00D85A87" w:rsidRPr="00E62F59">
        <w:t xml:space="preserve"> national study examining the implementation and impacts of RTT and SIG is needed. </w:t>
      </w:r>
      <w:r w:rsidR="003E326B">
        <w:t xml:space="preserve">To minimize burden on participants and avoid duplication of effort, </w:t>
      </w:r>
      <w:r w:rsidR="00D85A87">
        <w:t xml:space="preserve">ED will coordinate efforts between this evaluation and several other ongoing studies of ARRA, including the </w:t>
      </w:r>
      <w:r w:rsidR="00D85A87" w:rsidRPr="001D3EBB">
        <w:t>Integrated Evaluation of ARRA Funding, Implementation, and Outcomes</w:t>
      </w:r>
      <w:r w:rsidR="00D85A87">
        <w:t xml:space="preserve"> (IEA) and the Study of School Turnaround (SST).</w:t>
      </w:r>
    </w:p>
    <w:p w:rsidR="00D85A87" w:rsidRPr="00D92ACC" w:rsidRDefault="00D85A87" w:rsidP="00D85A87">
      <w:pPr>
        <w:pStyle w:val="NormalSS"/>
      </w:pPr>
      <w:r w:rsidRPr="00D92ACC">
        <w:t xml:space="preserve">With regard to the </w:t>
      </w:r>
      <w:r>
        <w:t>IEA</w:t>
      </w:r>
      <w:r w:rsidRPr="00D92ACC">
        <w:t xml:space="preserve">, some overlap among respondents is inevitable, </w:t>
      </w:r>
      <w:r w:rsidR="003E326B">
        <w:t>since</w:t>
      </w:r>
      <w:r w:rsidRPr="00D92ACC">
        <w:t xml:space="preserve"> the ARRA evaluation is collecting data from state officials</w:t>
      </w:r>
      <w:r w:rsidR="008C22BD">
        <w:t xml:space="preserve"> from all 50 states and from a nationally representative sample of</w:t>
      </w:r>
      <w:r w:rsidRPr="00D92ACC">
        <w:t xml:space="preserve"> district administrators and school principals. However, the topics of data collection and the data collection strategies are notably different. For example, the </w:t>
      </w:r>
      <w:r>
        <w:t xml:space="preserve">IEA </w:t>
      </w:r>
      <w:r w:rsidRPr="00D92ACC">
        <w:t>will administer a closed-ended survey to state officials. While the st</w:t>
      </w:r>
      <w:r w:rsidR="00006C52">
        <w:t>ate-level interview for the RTT-</w:t>
      </w:r>
      <w:r w:rsidRPr="00D92ACC">
        <w:t xml:space="preserve">SIG </w:t>
      </w:r>
      <w:r w:rsidRPr="00DB0610">
        <w:t>impact study</w:t>
      </w:r>
      <w:r w:rsidRPr="00D92ACC">
        <w:t xml:space="preserve"> addresses some of the same broad topics covered in the </w:t>
      </w:r>
      <w:r>
        <w:t xml:space="preserve">IEA </w:t>
      </w:r>
      <w:r w:rsidRPr="00D92ACC">
        <w:t>survey, the RTT-SIG interviews will probe deep</w:t>
      </w:r>
      <w:r w:rsidR="004A3A8B">
        <w:t>er</w:t>
      </w:r>
      <w:r w:rsidRPr="00D92ACC">
        <w:t xml:space="preserve"> than a survey</w:t>
      </w:r>
      <w:r w:rsidR="004A3A8B">
        <w:t xml:space="preserve"> can</w:t>
      </w:r>
      <w:r w:rsidRPr="00D92ACC">
        <w:t xml:space="preserve">. In addition, the study team for the </w:t>
      </w:r>
      <w:r w:rsidR="007C325B">
        <w:t>RTT-SIG evaluation</w:t>
      </w:r>
      <w:r w:rsidRPr="00D92ACC">
        <w:t xml:space="preserve"> </w:t>
      </w:r>
      <w:r>
        <w:t xml:space="preserve">has compared </w:t>
      </w:r>
      <w:r w:rsidRPr="00D92ACC">
        <w:t xml:space="preserve">data collection instruments to those from </w:t>
      </w:r>
      <w:r w:rsidR="00805831">
        <w:t>IEA</w:t>
      </w:r>
      <w:r w:rsidRPr="00D92ACC">
        <w:t xml:space="preserve"> and </w:t>
      </w:r>
      <w:r>
        <w:t>has deleted</w:t>
      </w:r>
      <w:r w:rsidRPr="00D92ACC">
        <w:t xml:space="preserve"> any duplicative questions from the study instruments. </w:t>
      </w:r>
    </w:p>
    <w:p w:rsidR="00D85A87" w:rsidRPr="007D5E3E" w:rsidRDefault="00D85A87" w:rsidP="00D85A87">
      <w:pPr>
        <w:pStyle w:val="NormalSS"/>
      </w:pPr>
      <w:r>
        <w:t>With respect to the SST</w:t>
      </w:r>
      <w:r w:rsidR="00805831">
        <w:t>,</w:t>
      </w:r>
      <w:r>
        <w:t xml:space="preserve"> we </w:t>
      </w:r>
      <w:r w:rsidRPr="007D5E3E">
        <w:t>anticipate little overlap among respondents for these two studies for two reasons</w:t>
      </w:r>
      <w:r>
        <w:t>:</w:t>
      </w:r>
    </w:p>
    <w:p w:rsidR="00D85A87" w:rsidRDefault="00D85A87" w:rsidP="00394715">
      <w:pPr>
        <w:pStyle w:val="BulletBlack"/>
      </w:pPr>
      <w:r w:rsidRPr="00394715">
        <w:t>The SST began data collection in the spring of 2011</w:t>
      </w:r>
      <w:r w:rsidR="000E5DD7" w:rsidRPr="00394715">
        <w:t xml:space="preserve"> and will continue through 2013</w:t>
      </w:r>
      <w:r w:rsidRPr="00394715">
        <w:t>, while the RTT</w:t>
      </w:r>
      <w:r w:rsidR="007C325B" w:rsidRPr="00394715">
        <w:t>-SIG evaluation</w:t>
      </w:r>
      <w:r w:rsidRPr="00394715">
        <w:t xml:space="preserve"> seeks to begin data collection in spring of 2012, thus </w:t>
      </w:r>
      <w:r w:rsidR="000E5DD7" w:rsidRPr="00394715">
        <w:t xml:space="preserve">reducing </w:t>
      </w:r>
      <w:r w:rsidRPr="00394715">
        <w:t>simultaneous data collection efforts</w:t>
      </w:r>
      <w:r w:rsidR="000E5DD7" w:rsidRPr="00394715">
        <w:t xml:space="preserve"> by one year</w:t>
      </w:r>
      <w:r w:rsidRPr="00394715">
        <w:t xml:space="preserve">. </w:t>
      </w:r>
    </w:p>
    <w:p w:rsidR="00E71C44" w:rsidRPr="00394715" w:rsidRDefault="00E71C44" w:rsidP="00394715">
      <w:pPr>
        <w:pStyle w:val="BulletBlack"/>
      </w:pPr>
      <w:r>
        <w:t xml:space="preserve">The SST has a small sample of 60 schools in </w:t>
      </w:r>
      <w:r w:rsidR="00DC683A">
        <w:t>six</w:t>
      </w:r>
      <w:r>
        <w:t xml:space="preserve"> states. Given this sample size, the likelihood of overlap is relatively small.</w:t>
      </w:r>
    </w:p>
    <w:p w:rsidR="00D85A87" w:rsidRPr="00394715" w:rsidRDefault="00D85A87" w:rsidP="00EF6FD1">
      <w:pPr>
        <w:pStyle w:val="BulletBlackLastSS"/>
      </w:pPr>
      <w:r w:rsidRPr="00394715">
        <w:t>There is limited overlap in respondent groups</w:t>
      </w:r>
      <w:r w:rsidR="00E71C44">
        <w:t>, since much of the SST focuses on collecting data from teachers, students, parents, union representatives, school improvement teams, instructional coaches, and external support providers</w:t>
      </w:r>
      <w:r w:rsidRPr="00394715">
        <w:t>.</w:t>
      </w:r>
      <w:r w:rsidR="00E71C44">
        <w:t xml:space="preserve"> None of these respondent groups are part of the </w:t>
      </w:r>
      <w:r w:rsidR="002E19F2">
        <w:t xml:space="preserve">impact evaluation of </w:t>
      </w:r>
      <w:r w:rsidR="00E71C44">
        <w:t>RTT-SIG</w:t>
      </w:r>
      <w:r w:rsidR="002E19F2">
        <w:t xml:space="preserve"> </w:t>
      </w:r>
      <w:r w:rsidR="00264485">
        <w:t>data collection plans</w:t>
      </w:r>
      <w:r w:rsidR="00E71C44">
        <w:t>.</w:t>
      </w:r>
      <w:r w:rsidRPr="00394715">
        <w:t xml:space="preserve"> In the few cases wh</w:t>
      </w:r>
      <w:r w:rsidR="00936DBE" w:rsidRPr="00394715">
        <w:t>ere</w:t>
      </w:r>
      <w:r w:rsidRPr="00394715">
        <w:t xml:space="preserve"> there is overlap, the study teams </w:t>
      </w:r>
      <w:r w:rsidR="00A939C7">
        <w:t>will</w:t>
      </w:r>
      <w:r w:rsidR="00A939C7" w:rsidRPr="00394715">
        <w:t xml:space="preserve"> </w:t>
      </w:r>
      <w:r w:rsidRPr="00394715">
        <w:t xml:space="preserve">investigate the feasibility of conducting joint interviews. That is, a researcher from one study team could conduct the interview while a representative from the other study team listens, adding questions </w:t>
      </w:r>
      <w:r w:rsidR="00936DBE" w:rsidRPr="00394715">
        <w:t xml:space="preserve">only </w:t>
      </w:r>
      <w:r w:rsidRPr="00394715">
        <w:t>as necessary to address study requirements. The teams will explore this option once the extent of sample overlap is known, keeping in mind that the focus of the two studies differs in important ways (with the SST focusing on the change process and how reforms are implemented over time, while the RTT</w:t>
      </w:r>
      <w:r w:rsidR="007C325B" w:rsidRPr="00394715">
        <w:t>-</w:t>
      </w:r>
      <w:r w:rsidRPr="00394715">
        <w:t xml:space="preserve">SIG </w:t>
      </w:r>
      <w:r w:rsidR="007C325B" w:rsidRPr="00394715">
        <w:t xml:space="preserve">evaluation </w:t>
      </w:r>
      <w:r w:rsidRPr="00394715">
        <w:t>focuses on documenting the reforms that were implemented, including RTT reforms</w:t>
      </w:r>
      <w:r w:rsidR="00936DBE" w:rsidRPr="00394715">
        <w:t>,</w:t>
      </w:r>
      <w:r w:rsidRPr="00394715">
        <w:t xml:space="preserve"> which are not a focus of the SST).</w:t>
      </w:r>
    </w:p>
    <w:p w:rsidR="00EF6FD1" w:rsidRDefault="00EF6FD1">
      <w:pPr>
        <w:tabs>
          <w:tab w:val="clear" w:pos="432"/>
        </w:tabs>
        <w:spacing w:line="240" w:lineRule="auto"/>
        <w:ind w:firstLine="0"/>
        <w:jc w:val="left"/>
      </w:pPr>
      <w:r>
        <w:br w:type="page"/>
      </w:r>
    </w:p>
    <w:p w:rsidR="00D85A87" w:rsidRDefault="00D85A87" w:rsidP="009F58F7">
      <w:pPr>
        <w:pStyle w:val="NormalSS"/>
      </w:pPr>
      <w:r>
        <w:lastRenderedPageBreak/>
        <w:t>W</w:t>
      </w:r>
      <w:r w:rsidRPr="009E7853">
        <w:t xml:space="preserve">henever possible, the </w:t>
      </w:r>
      <w:r>
        <w:t xml:space="preserve">evaluation </w:t>
      </w:r>
      <w:r w:rsidRPr="009E7853">
        <w:t>contractor will use existing data</w:t>
      </w:r>
      <w:r w:rsidR="004A3A8B">
        <w:t xml:space="preserve"> from</w:t>
      </w:r>
      <w:r w:rsidRPr="009E7853">
        <w:t xml:space="preserve"> ED</w:t>
      </w:r>
      <w:r w:rsidRPr="009E7853">
        <w:rPr>
          <w:i/>
        </w:rPr>
        <w:t>Facts</w:t>
      </w:r>
      <w:r>
        <w:rPr>
          <w:i/>
        </w:rPr>
        <w:t>;</w:t>
      </w:r>
      <w:r w:rsidRPr="009E7853">
        <w:t xml:space="preserve"> state SIG </w:t>
      </w:r>
      <w:r>
        <w:t xml:space="preserve">and RTT grant and subgrant </w:t>
      </w:r>
      <w:r w:rsidRPr="009E7853">
        <w:t>applications</w:t>
      </w:r>
      <w:r>
        <w:t>;</w:t>
      </w:r>
      <w:r w:rsidRPr="009E7853">
        <w:t xml:space="preserve"> Consolidated State Performance Reports</w:t>
      </w:r>
      <w:r>
        <w:t xml:space="preserve">; </w:t>
      </w:r>
      <w:r w:rsidRPr="009E7853">
        <w:t>Office of Elementary and Secondary Education monitoring reports</w:t>
      </w:r>
      <w:r>
        <w:t>;</w:t>
      </w:r>
      <w:r w:rsidRPr="009E7853">
        <w:t xml:space="preserve"> </w:t>
      </w:r>
      <w:r>
        <w:t xml:space="preserve">and </w:t>
      </w:r>
      <w:r w:rsidRPr="009E7853">
        <w:t xml:space="preserve">federal, state, and local </w:t>
      </w:r>
      <w:r>
        <w:t xml:space="preserve">administrative </w:t>
      </w:r>
      <w:r w:rsidRPr="009E7853">
        <w:t>files</w:t>
      </w:r>
      <w:r>
        <w:t xml:space="preserve">. </w:t>
      </w:r>
      <w:r w:rsidRPr="009E7853">
        <w:t>This will</w:t>
      </w:r>
      <w:r>
        <w:t xml:space="preserve"> further </w:t>
      </w:r>
      <w:r w:rsidRPr="009E7853">
        <w:t>reduce respondent burden and minimiz</w:t>
      </w:r>
      <w:r>
        <w:t>e</w:t>
      </w:r>
      <w:r w:rsidRPr="009E7853">
        <w:t xml:space="preserve"> duplication of data collection efforts.</w:t>
      </w:r>
      <w:bookmarkStart w:id="29" w:name="_Toc276647493"/>
      <w:bookmarkStart w:id="30" w:name="_Toc276719882"/>
    </w:p>
    <w:p w:rsidR="00667D44" w:rsidRPr="00425731" w:rsidRDefault="00667D44" w:rsidP="00D85A87">
      <w:pPr>
        <w:pStyle w:val="Heading3"/>
      </w:pPr>
      <w:bookmarkStart w:id="31" w:name="_Toc299455751"/>
      <w:r>
        <w:t>5.</w:t>
      </w:r>
      <w:r>
        <w:tab/>
      </w:r>
      <w:r w:rsidRPr="00425731">
        <w:t>Methods to Minimize Burden on Small Entities</w:t>
      </w:r>
      <w:bookmarkEnd w:id="29"/>
      <w:bookmarkEnd w:id="30"/>
      <w:bookmarkEnd w:id="31"/>
    </w:p>
    <w:p w:rsidR="00667D44" w:rsidRDefault="00A939C7" w:rsidP="00EF6FD1">
      <w:pPr>
        <w:pStyle w:val="NormalSS"/>
      </w:pPr>
      <w:r>
        <w:t>No small businesses or entities will be involved as respondents.</w:t>
      </w:r>
    </w:p>
    <w:p w:rsidR="00667D44" w:rsidRPr="00425731" w:rsidRDefault="00667D44" w:rsidP="00667D44">
      <w:pPr>
        <w:pStyle w:val="Heading3"/>
      </w:pPr>
      <w:bookmarkStart w:id="32" w:name="_Toc276647494"/>
      <w:bookmarkStart w:id="33" w:name="_Toc276719883"/>
      <w:bookmarkStart w:id="34" w:name="_Toc299455752"/>
      <w:r>
        <w:t>6.</w:t>
      </w:r>
      <w:r>
        <w:tab/>
      </w:r>
      <w:r w:rsidRPr="00425731">
        <w:t>Consequences of Not Collecting Data</w:t>
      </w:r>
      <w:bookmarkEnd w:id="32"/>
      <w:bookmarkEnd w:id="33"/>
      <w:bookmarkEnd w:id="34"/>
    </w:p>
    <w:p w:rsidR="00667D44" w:rsidRDefault="00667D44" w:rsidP="00667D44">
      <w:pPr>
        <w:pStyle w:val="NormalSS"/>
      </w:pPr>
      <w:r w:rsidRPr="00971453">
        <w:t xml:space="preserve">The </w:t>
      </w:r>
      <w:r>
        <w:t xml:space="preserve">data collection plan described in this submission is necessary for ED to conduct an evaluation of RTT and SIG </w:t>
      </w:r>
      <w:r w:rsidR="009E22DD">
        <w:t>and determine</w:t>
      </w:r>
      <w:r w:rsidRPr="00971453">
        <w:t xml:space="preserve"> </w:t>
      </w:r>
      <w:r w:rsidR="009E22DD">
        <w:t>whether</w:t>
      </w:r>
      <w:r w:rsidRPr="00971453">
        <w:t xml:space="preserve"> its investment has improved student outcomes. Moreover, RTT and SIG together represent </w:t>
      </w:r>
      <w:r w:rsidR="00884996">
        <w:t xml:space="preserve">one of </w:t>
      </w:r>
      <w:r w:rsidRPr="00971453">
        <w:t>the largest investment</w:t>
      </w:r>
      <w:r w:rsidR="00884996">
        <w:t>s</w:t>
      </w:r>
      <w:r w:rsidRPr="00971453">
        <w:t xml:space="preserve"> in </w:t>
      </w:r>
      <w:r w:rsidR="00884996">
        <w:t>education reform</w:t>
      </w:r>
      <w:r w:rsidRPr="00971453">
        <w:t xml:space="preserve"> in American history</w:t>
      </w:r>
      <w:r w:rsidR="00F37BFF">
        <w:t xml:space="preserve"> (a</w:t>
      </w:r>
      <w:r w:rsidR="009E22DD">
        <w:t>bout</w:t>
      </w:r>
      <w:r w:rsidR="00F37BFF">
        <w:t xml:space="preserve"> $7 billion)</w:t>
      </w:r>
      <w:r w:rsidRPr="00971453">
        <w:t xml:space="preserve">; failing to conduct this evaluation would mean missing the opportunity to learn lessons relevant to future </w:t>
      </w:r>
      <w:r w:rsidR="00884996">
        <w:t>education reform</w:t>
      </w:r>
      <w:r w:rsidRPr="00971453">
        <w:t xml:space="preserve"> efforts.</w:t>
      </w:r>
    </w:p>
    <w:p w:rsidR="00667D44" w:rsidRDefault="00667D44" w:rsidP="00667D44">
      <w:pPr>
        <w:pStyle w:val="NormalSS"/>
      </w:pPr>
      <w:r>
        <w:t>The consequences of not collecting specific data are outlined below:</w:t>
      </w:r>
    </w:p>
    <w:p w:rsidR="00667D44" w:rsidRPr="009A116E" w:rsidRDefault="00667D44" w:rsidP="00EF6FD1">
      <w:pPr>
        <w:pStyle w:val="BulletBlack"/>
        <w:spacing w:after="80"/>
        <w:ind w:hanging="274"/>
      </w:pPr>
      <w:r w:rsidRPr="00FE66C1">
        <w:t>Without</w:t>
      </w:r>
      <w:r w:rsidRPr="009A116E">
        <w:t xml:space="preserve"> the information from the </w:t>
      </w:r>
      <w:r w:rsidR="00663127" w:rsidRPr="00663127">
        <w:rPr>
          <w:b/>
        </w:rPr>
        <w:t>state</w:t>
      </w:r>
      <w:r w:rsidR="00663127">
        <w:t xml:space="preserve"> </w:t>
      </w:r>
      <w:r w:rsidRPr="009A116E">
        <w:rPr>
          <w:b/>
        </w:rPr>
        <w:t>interviews</w:t>
      </w:r>
      <w:r w:rsidR="005D3EFE" w:rsidRPr="005D3EFE">
        <w:rPr>
          <w:b/>
        </w:rPr>
        <w:t>,</w:t>
      </w:r>
      <w:r w:rsidRPr="009A116E">
        <w:t xml:space="preserve"> </w:t>
      </w:r>
      <w:r w:rsidR="0033782E" w:rsidRPr="009A116E">
        <w:t>we will be unable to examine the implementation of RTT policies and practices at the state level and practices designed to support school turnaround through RTT and SIG.</w:t>
      </w:r>
    </w:p>
    <w:p w:rsidR="00667D44" w:rsidRPr="009A116E" w:rsidRDefault="00667D44" w:rsidP="00EF6FD1">
      <w:pPr>
        <w:pStyle w:val="BulletBlack"/>
        <w:spacing w:after="80"/>
        <w:ind w:hanging="274"/>
      </w:pPr>
      <w:r w:rsidRPr="00C07708">
        <w:t>Without</w:t>
      </w:r>
      <w:r w:rsidRPr="009A116E">
        <w:t xml:space="preserve"> the information from the </w:t>
      </w:r>
      <w:r w:rsidR="00663127" w:rsidRPr="00663127">
        <w:rPr>
          <w:b/>
        </w:rPr>
        <w:t>district</w:t>
      </w:r>
      <w:r w:rsidR="00663127">
        <w:t xml:space="preserve"> </w:t>
      </w:r>
      <w:r w:rsidRPr="009A116E">
        <w:rPr>
          <w:b/>
        </w:rPr>
        <w:t>interviews</w:t>
      </w:r>
      <w:r w:rsidR="005D3EFE" w:rsidRPr="005D3EFE">
        <w:rPr>
          <w:b/>
        </w:rPr>
        <w:t>,</w:t>
      </w:r>
      <w:r w:rsidR="0033782E" w:rsidRPr="009A116E">
        <w:t xml:space="preserve"> we will </w:t>
      </w:r>
      <w:r w:rsidR="009A116E" w:rsidRPr="009A116E">
        <w:t>be un</w:t>
      </w:r>
      <w:r w:rsidR="0033782E" w:rsidRPr="009A116E">
        <w:t xml:space="preserve">able to understand how state and district </w:t>
      </w:r>
      <w:r w:rsidR="00AE4EDA">
        <w:t>STM</w:t>
      </w:r>
      <w:r w:rsidR="0033782E" w:rsidRPr="009A116E">
        <w:t xml:space="preserve"> policies play out in districts and schools </w:t>
      </w:r>
      <w:r w:rsidR="00B12CC5">
        <w:t xml:space="preserve">or to </w:t>
      </w:r>
      <w:r w:rsidR="0033782E" w:rsidRPr="009A116E">
        <w:t>document the STM supports and information</w:t>
      </w:r>
      <w:r w:rsidR="00B12CC5">
        <w:t xml:space="preserve"> districts</w:t>
      </w:r>
      <w:r w:rsidR="0033782E" w:rsidRPr="009A116E">
        <w:t xml:space="preserve"> receive</w:t>
      </w:r>
      <w:r w:rsidR="0049779E">
        <w:t xml:space="preserve"> </w:t>
      </w:r>
      <w:r w:rsidR="0033782E" w:rsidRPr="009A116E">
        <w:t>from states.</w:t>
      </w:r>
    </w:p>
    <w:p w:rsidR="00667D44" w:rsidRPr="009A116E" w:rsidRDefault="00667D44" w:rsidP="00EF6FD1">
      <w:pPr>
        <w:pStyle w:val="BulletBlack"/>
        <w:spacing w:after="80"/>
        <w:ind w:hanging="274"/>
      </w:pPr>
      <w:r w:rsidRPr="00C07708">
        <w:t>Without</w:t>
      </w:r>
      <w:r w:rsidRPr="009A116E">
        <w:t xml:space="preserve"> the </w:t>
      </w:r>
      <w:r w:rsidRPr="009A116E">
        <w:rPr>
          <w:b/>
        </w:rPr>
        <w:t>school survey</w:t>
      </w:r>
      <w:r w:rsidR="00663127">
        <w:rPr>
          <w:b/>
        </w:rPr>
        <w:t>s</w:t>
      </w:r>
      <w:r w:rsidR="005D3EFE" w:rsidRPr="005D3EFE">
        <w:rPr>
          <w:b/>
        </w:rPr>
        <w:t>,</w:t>
      </w:r>
      <w:r w:rsidR="0033782E" w:rsidRPr="009A116E">
        <w:t xml:space="preserve"> we will not capture school-level implementation of </w:t>
      </w:r>
      <w:r w:rsidR="0070513E">
        <w:t>STM</w:t>
      </w:r>
      <w:r w:rsidR="0033782E" w:rsidRPr="009A116E">
        <w:t xml:space="preserve"> policies.</w:t>
      </w:r>
      <w:r w:rsidR="009A116E">
        <w:t xml:space="preserve"> The surveys also serve as a key data source for examining whether impacts of STM vary with respect to implementation details. </w:t>
      </w:r>
    </w:p>
    <w:p w:rsidR="00195AC8" w:rsidRDefault="00667D44" w:rsidP="00195AC8">
      <w:pPr>
        <w:pStyle w:val="BulletBlackLastSS"/>
        <w:ind w:hanging="270"/>
      </w:pPr>
      <w:r w:rsidRPr="00C07708">
        <w:t>Without</w:t>
      </w:r>
      <w:r w:rsidRPr="009A116E">
        <w:t xml:space="preserve"> </w:t>
      </w:r>
      <w:r w:rsidRPr="009A116E">
        <w:rPr>
          <w:b/>
        </w:rPr>
        <w:t>state and district administrative records</w:t>
      </w:r>
      <w:r w:rsidR="005D3EFE" w:rsidRPr="005D3EFE">
        <w:rPr>
          <w:b/>
        </w:rPr>
        <w:t>,</w:t>
      </w:r>
      <w:r w:rsidR="0033782E" w:rsidRPr="009A116E">
        <w:t xml:space="preserve"> we will not be able to analyze the impact of receipt of RTT and/or SIG funding on</w:t>
      </w:r>
      <w:r w:rsidR="00B12CC5">
        <w:t xml:space="preserve"> student</w:t>
      </w:r>
      <w:r w:rsidR="0033782E" w:rsidRPr="009A116E">
        <w:t xml:space="preserve"> outcomes.</w:t>
      </w:r>
    </w:p>
    <w:p w:rsidR="00667D44" w:rsidRPr="00F81E64" w:rsidRDefault="00667D44" w:rsidP="00667D44">
      <w:pPr>
        <w:pStyle w:val="Heading3"/>
      </w:pPr>
      <w:bookmarkStart w:id="35" w:name="_Toc276647495"/>
      <w:bookmarkStart w:id="36" w:name="_Toc276719884"/>
      <w:bookmarkStart w:id="37" w:name="_Toc299455753"/>
      <w:r>
        <w:t>7.</w:t>
      </w:r>
      <w:r>
        <w:tab/>
      </w:r>
      <w:r w:rsidRPr="00F81E64">
        <w:t>Special Circumstances</w:t>
      </w:r>
      <w:bookmarkEnd w:id="35"/>
      <w:bookmarkEnd w:id="36"/>
      <w:bookmarkEnd w:id="37"/>
    </w:p>
    <w:p w:rsidR="00667D44" w:rsidRDefault="00667D44" w:rsidP="00EF6FD1">
      <w:pPr>
        <w:pStyle w:val="NormalSS"/>
      </w:pPr>
      <w:r w:rsidRPr="00FF762B">
        <w:t xml:space="preserve">There are no special circumstances involved </w:t>
      </w:r>
      <w:r w:rsidRPr="00570EAB">
        <w:t>with</w:t>
      </w:r>
      <w:r>
        <w:t xml:space="preserve"> this</w:t>
      </w:r>
      <w:r w:rsidRPr="00570EAB">
        <w:t xml:space="preserve"> data collection</w:t>
      </w:r>
      <w:r w:rsidRPr="00FF762B">
        <w:t>.</w:t>
      </w:r>
    </w:p>
    <w:p w:rsidR="00667D44" w:rsidRDefault="00667D44" w:rsidP="00667D44">
      <w:pPr>
        <w:pStyle w:val="Heading3"/>
      </w:pPr>
      <w:bookmarkStart w:id="38" w:name="_Toc276647496"/>
      <w:bookmarkStart w:id="39" w:name="_Toc276719885"/>
      <w:bookmarkStart w:id="40" w:name="_Toc299455754"/>
      <w:r>
        <w:t>8.</w:t>
      </w:r>
      <w:r>
        <w:tab/>
      </w:r>
      <w:r w:rsidR="005D3EFE" w:rsidRPr="005D3EFE">
        <w:rPr>
          <w:i/>
        </w:rPr>
        <w:t>Federal Register</w:t>
      </w:r>
      <w:r>
        <w:t xml:space="preserve"> Announcement and Consultation</w:t>
      </w:r>
      <w:bookmarkEnd w:id="38"/>
      <w:bookmarkEnd w:id="39"/>
      <w:bookmarkEnd w:id="40"/>
    </w:p>
    <w:p w:rsidR="00667D44" w:rsidRDefault="00667D44" w:rsidP="00667D44">
      <w:pPr>
        <w:pStyle w:val="NormalSS"/>
        <w:keepNext/>
        <w:spacing w:after="160"/>
        <w:ind w:left="432" w:hanging="432"/>
        <w:rPr>
          <w:b/>
        </w:rPr>
      </w:pPr>
      <w:r>
        <w:rPr>
          <w:b/>
        </w:rPr>
        <w:t>a.</w:t>
      </w:r>
      <w:r>
        <w:rPr>
          <w:b/>
        </w:rPr>
        <w:tab/>
      </w:r>
      <w:r w:rsidR="005D3EFE" w:rsidRPr="005D3EFE">
        <w:rPr>
          <w:b/>
          <w:i/>
        </w:rPr>
        <w:t>Federal Register</w:t>
      </w:r>
      <w:r>
        <w:rPr>
          <w:b/>
        </w:rPr>
        <w:t xml:space="preserve"> Announcement</w:t>
      </w:r>
    </w:p>
    <w:p w:rsidR="00667D44" w:rsidRDefault="00667D44" w:rsidP="00667D44">
      <w:pPr>
        <w:pStyle w:val="NormalSS"/>
      </w:pPr>
      <w:r w:rsidRPr="00B471C0">
        <w:t>The 60-day notice to solicit public co</w:t>
      </w:r>
      <w:r>
        <w:t xml:space="preserve">mments was published in </w:t>
      </w:r>
      <w:r w:rsidR="00215801">
        <w:t>Vol. 76, No. 182, Pg. 58251</w:t>
      </w:r>
      <w:r w:rsidR="00215801" w:rsidRPr="00B471C0">
        <w:t xml:space="preserve"> of the </w:t>
      </w:r>
      <w:r w:rsidR="00215801" w:rsidRPr="00B471C0">
        <w:rPr>
          <w:i/>
        </w:rPr>
        <w:t>Federal Register</w:t>
      </w:r>
      <w:r w:rsidR="00215801" w:rsidRPr="00B471C0">
        <w:t xml:space="preserve"> on </w:t>
      </w:r>
      <w:r w:rsidR="00215801">
        <w:t>September 20, 2011</w:t>
      </w:r>
      <w:r w:rsidR="00215801" w:rsidRPr="00B471C0">
        <w:t xml:space="preserve">. </w:t>
      </w:r>
      <w:r w:rsidR="00215801">
        <w:t>No public comments were received</w:t>
      </w:r>
    </w:p>
    <w:p w:rsidR="00330DC3" w:rsidRPr="006361AA" w:rsidRDefault="00330DC3" w:rsidP="00667D44">
      <w:pPr>
        <w:pStyle w:val="NormalSS"/>
      </w:pPr>
    </w:p>
    <w:p w:rsidR="00667D44" w:rsidRDefault="00667D44" w:rsidP="00667D44">
      <w:pPr>
        <w:pStyle w:val="NormalSS"/>
        <w:keepNext/>
        <w:spacing w:after="160"/>
        <w:ind w:left="432" w:hanging="432"/>
        <w:rPr>
          <w:b/>
        </w:rPr>
      </w:pPr>
      <w:r>
        <w:rPr>
          <w:b/>
        </w:rPr>
        <w:t>b.</w:t>
      </w:r>
      <w:r>
        <w:rPr>
          <w:b/>
        </w:rPr>
        <w:tab/>
        <w:t>Consultations Outside the Agency</w:t>
      </w:r>
    </w:p>
    <w:p w:rsidR="00667D44" w:rsidRDefault="00667D44" w:rsidP="00667D44">
      <w:pPr>
        <w:pStyle w:val="NormalSS"/>
      </w:pPr>
      <w:r w:rsidRPr="001D61E6">
        <w:t xml:space="preserve">In formulating the evaluation design, the study team sought input from </w:t>
      </w:r>
      <w:r w:rsidRPr="00DC683A">
        <w:t xml:space="preserve">the </w:t>
      </w:r>
      <w:r w:rsidR="00DC683A">
        <w:t>technical working group (</w:t>
      </w:r>
      <w:r w:rsidR="00006C52" w:rsidRPr="00DC683A">
        <w:t>TWG</w:t>
      </w:r>
      <w:r w:rsidR="00DC683A">
        <w:t>)</w:t>
      </w:r>
      <w:r w:rsidRPr="00DC683A">
        <w:t>,</w:t>
      </w:r>
      <w:r w:rsidRPr="001D61E6">
        <w:t xml:space="preserve"> which includes </w:t>
      </w:r>
      <w:r w:rsidR="00884996">
        <w:t xml:space="preserve">practitioners and </w:t>
      </w:r>
      <w:r w:rsidRPr="001D61E6">
        <w:t xml:space="preserve">experts in evaluation methods and data analysis, state assessment programs, and education reform. We will continue to consult with the TWG </w:t>
      </w:r>
      <w:r w:rsidRPr="001D61E6">
        <w:lastRenderedPageBreak/>
        <w:t xml:space="preserve">throughout the study on other issues that would benefit from their input. Table </w:t>
      </w:r>
      <w:r w:rsidR="00EC6055">
        <w:t>A.4</w:t>
      </w:r>
      <w:r w:rsidRPr="001D61E6">
        <w:t xml:space="preserve"> lists the TWG members. </w:t>
      </w:r>
    </w:p>
    <w:p w:rsidR="00667D44" w:rsidRPr="001D61E6" w:rsidRDefault="00667D44" w:rsidP="00E16FDA">
      <w:pPr>
        <w:pStyle w:val="MarkforTableHeading"/>
      </w:pPr>
      <w:r w:rsidRPr="001D61E6">
        <w:t xml:space="preserve">Table </w:t>
      </w:r>
      <w:r w:rsidR="00EC6055">
        <w:t>A.4</w:t>
      </w:r>
      <w:r w:rsidRPr="001D61E6">
        <w:t>. Technical Working Group Members</w:t>
      </w:r>
    </w:p>
    <w:tbl>
      <w:tblPr>
        <w:tblStyle w:val="SMPRTableBlack"/>
        <w:tblW w:w="0" w:type="auto"/>
        <w:tblLook w:val="04A0"/>
      </w:tblPr>
      <w:tblGrid>
        <w:gridCol w:w="1626"/>
        <w:gridCol w:w="4682"/>
        <w:gridCol w:w="3153"/>
      </w:tblGrid>
      <w:tr w:rsidR="00667D44" w:rsidRPr="005453A8" w:rsidTr="00EC46DE">
        <w:trPr>
          <w:cnfStyle w:val="100000000000"/>
          <w:tblHeader/>
        </w:trPr>
        <w:tc>
          <w:tcPr>
            <w:tcW w:w="1638" w:type="dxa"/>
          </w:tcPr>
          <w:p w:rsidR="00667D44" w:rsidRPr="006152DF" w:rsidRDefault="00667D44" w:rsidP="00E16FDA">
            <w:pPr>
              <w:pStyle w:val="TableText"/>
              <w:spacing w:before="120" w:after="60"/>
              <w:rPr>
                <w:b/>
              </w:rPr>
            </w:pPr>
            <w:r w:rsidRPr="006152DF">
              <w:rPr>
                <w:b/>
              </w:rPr>
              <w:t>Name</w:t>
            </w:r>
          </w:p>
        </w:tc>
        <w:tc>
          <w:tcPr>
            <w:tcW w:w="4746" w:type="dxa"/>
          </w:tcPr>
          <w:p w:rsidR="00667D44" w:rsidRPr="006152DF" w:rsidRDefault="00667D44" w:rsidP="00E16FDA">
            <w:pPr>
              <w:pStyle w:val="TableText"/>
              <w:spacing w:before="120" w:after="60"/>
              <w:rPr>
                <w:b/>
              </w:rPr>
            </w:pPr>
            <w:r w:rsidRPr="006152DF">
              <w:rPr>
                <w:b/>
              </w:rPr>
              <w:t>Title and Affiliation</w:t>
            </w:r>
          </w:p>
        </w:tc>
        <w:tc>
          <w:tcPr>
            <w:tcW w:w="3192" w:type="dxa"/>
          </w:tcPr>
          <w:p w:rsidR="00667D44" w:rsidRPr="006152DF" w:rsidRDefault="00667D44" w:rsidP="00E16FDA">
            <w:pPr>
              <w:pStyle w:val="TableText"/>
              <w:spacing w:before="120" w:after="60"/>
              <w:rPr>
                <w:b/>
              </w:rPr>
            </w:pPr>
            <w:r w:rsidRPr="006152DF">
              <w:rPr>
                <w:b/>
              </w:rPr>
              <w:t>Expertise</w:t>
            </w:r>
          </w:p>
        </w:tc>
      </w:tr>
      <w:tr w:rsidR="005453A8" w:rsidRPr="005453A8" w:rsidTr="00EC46DE">
        <w:tc>
          <w:tcPr>
            <w:tcW w:w="1638" w:type="dxa"/>
          </w:tcPr>
          <w:p w:rsidR="005453A8" w:rsidRPr="005453A8" w:rsidRDefault="005453A8" w:rsidP="005453A8">
            <w:pPr>
              <w:pStyle w:val="TableText"/>
            </w:pPr>
            <w:r w:rsidRPr="005453A8">
              <w:t>Thomas Fisher</w:t>
            </w:r>
          </w:p>
        </w:tc>
        <w:tc>
          <w:tcPr>
            <w:tcW w:w="4746" w:type="dxa"/>
          </w:tcPr>
          <w:p w:rsidR="005453A8" w:rsidRPr="005453A8" w:rsidRDefault="005453A8" w:rsidP="005453A8">
            <w:pPr>
              <w:pStyle w:val="TableText"/>
            </w:pPr>
            <w:r w:rsidRPr="005453A8">
              <w:rPr>
                <w:szCs w:val="20"/>
              </w:rPr>
              <w:t>Fisher Education Consulting</w:t>
            </w:r>
          </w:p>
        </w:tc>
        <w:tc>
          <w:tcPr>
            <w:tcW w:w="3192" w:type="dxa"/>
          </w:tcPr>
          <w:p w:rsidR="005453A8" w:rsidRPr="005453A8" w:rsidRDefault="00884996" w:rsidP="005453A8">
            <w:pPr>
              <w:pStyle w:val="TableText"/>
            </w:pPr>
            <w:r>
              <w:t>State a</w:t>
            </w:r>
            <w:r w:rsidR="005453A8" w:rsidRPr="005453A8">
              <w:t>ssessment</w:t>
            </w:r>
            <w:r>
              <w:t xml:space="preserve"> programs</w:t>
            </w:r>
            <w:r w:rsidR="005453A8" w:rsidRPr="005453A8">
              <w:tab/>
            </w:r>
          </w:p>
        </w:tc>
      </w:tr>
      <w:tr w:rsidR="005453A8" w:rsidRPr="005453A8" w:rsidTr="00EC46DE">
        <w:tc>
          <w:tcPr>
            <w:tcW w:w="1638" w:type="dxa"/>
          </w:tcPr>
          <w:p w:rsidR="005453A8" w:rsidRPr="005453A8" w:rsidRDefault="005453A8" w:rsidP="005453A8">
            <w:pPr>
              <w:pStyle w:val="TableText"/>
            </w:pPr>
            <w:r w:rsidRPr="005453A8">
              <w:t>Brian Jacob</w:t>
            </w:r>
          </w:p>
        </w:tc>
        <w:tc>
          <w:tcPr>
            <w:tcW w:w="4746" w:type="dxa"/>
          </w:tcPr>
          <w:p w:rsidR="005453A8" w:rsidRPr="005453A8" w:rsidRDefault="005453A8" w:rsidP="005453A8">
            <w:pPr>
              <w:pStyle w:val="TableText"/>
            </w:pPr>
            <w:r w:rsidRPr="005453A8">
              <w:rPr>
                <w:rStyle w:val="persontitle1"/>
                <w:rFonts w:ascii="Lucida Sans" w:hAnsi="Lucida Sans"/>
                <w:sz w:val="18"/>
              </w:rPr>
              <w:t>Walter H. Annenberg Professor of Education Policy and Director of the Center on Local, State and Urban Policy at the Gerald R. Ford School of Public Policy, University of Michigan</w:t>
            </w:r>
          </w:p>
        </w:tc>
        <w:tc>
          <w:tcPr>
            <w:tcW w:w="3192" w:type="dxa"/>
          </w:tcPr>
          <w:p w:rsidR="005453A8" w:rsidRPr="005453A8" w:rsidRDefault="00884996" w:rsidP="00884996">
            <w:pPr>
              <w:pStyle w:val="TableText"/>
            </w:pPr>
            <w:r>
              <w:t>Education</w:t>
            </w:r>
            <w:r w:rsidR="00A939C7">
              <w:t xml:space="preserve"> reform, e</w:t>
            </w:r>
            <w:r w:rsidR="005453A8" w:rsidRPr="005453A8">
              <w:t xml:space="preserve">valuation </w:t>
            </w:r>
            <w:r w:rsidRPr="005453A8">
              <w:t>method</w:t>
            </w:r>
            <w:r>
              <w:t>s</w:t>
            </w:r>
            <w:r w:rsidRPr="005453A8">
              <w:t xml:space="preserve"> </w:t>
            </w:r>
            <w:r w:rsidR="005453A8" w:rsidRPr="005453A8">
              <w:t>and data analysis</w:t>
            </w:r>
          </w:p>
        </w:tc>
      </w:tr>
      <w:tr w:rsidR="005453A8" w:rsidRPr="005453A8" w:rsidTr="00EC46DE">
        <w:tc>
          <w:tcPr>
            <w:tcW w:w="1638" w:type="dxa"/>
          </w:tcPr>
          <w:p w:rsidR="005453A8" w:rsidRPr="005453A8" w:rsidRDefault="005453A8" w:rsidP="005453A8">
            <w:pPr>
              <w:pStyle w:val="TableText"/>
            </w:pPr>
            <w:r w:rsidRPr="005453A8">
              <w:t>Elizabeth Stuart</w:t>
            </w:r>
          </w:p>
        </w:tc>
        <w:tc>
          <w:tcPr>
            <w:tcW w:w="4746" w:type="dxa"/>
          </w:tcPr>
          <w:p w:rsidR="005453A8" w:rsidRPr="005453A8" w:rsidRDefault="005453A8" w:rsidP="005453A8">
            <w:pPr>
              <w:pStyle w:val="TableText"/>
            </w:pPr>
            <w:r w:rsidRPr="005453A8">
              <w:rPr>
                <w:szCs w:val="20"/>
              </w:rPr>
              <w:t xml:space="preserve">Assistant Professor in the </w:t>
            </w:r>
            <w:hyperlink r:id="rId38" w:history="1">
              <w:r w:rsidRPr="005453A8">
                <w:rPr>
                  <w:rStyle w:val="Hyperlink"/>
                  <w:rFonts w:ascii="Lucida Sans" w:hAnsi="Lucida Sans" w:cs="Times New Roman"/>
                  <w:color w:val="auto"/>
                  <w:szCs w:val="20"/>
                </w:rPr>
                <w:t>Department of Mental Health</w:t>
              </w:r>
            </w:hyperlink>
            <w:r w:rsidRPr="005453A8">
              <w:rPr>
                <w:szCs w:val="20"/>
              </w:rPr>
              <w:t xml:space="preserve"> and the </w:t>
            </w:r>
            <w:hyperlink r:id="rId39" w:history="1">
              <w:r w:rsidRPr="005453A8">
                <w:rPr>
                  <w:rStyle w:val="Hyperlink"/>
                  <w:rFonts w:ascii="Lucida Sans" w:hAnsi="Lucida Sans" w:cs="Times New Roman"/>
                  <w:color w:val="auto"/>
                  <w:szCs w:val="20"/>
                </w:rPr>
                <w:t>Department of Biostatistic</w:t>
              </w:r>
            </w:hyperlink>
            <w:r w:rsidRPr="005453A8">
              <w:rPr>
                <w:szCs w:val="20"/>
              </w:rPr>
              <w:t>s, Johns Hopkins University</w:t>
            </w:r>
          </w:p>
        </w:tc>
        <w:tc>
          <w:tcPr>
            <w:tcW w:w="3192" w:type="dxa"/>
          </w:tcPr>
          <w:p w:rsidR="005453A8" w:rsidRPr="005453A8" w:rsidRDefault="005453A8" w:rsidP="00884996">
            <w:pPr>
              <w:pStyle w:val="TableText"/>
            </w:pPr>
            <w:r w:rsidRPr="005453A8">
              <w:t xml:space="preserve">Evaluation </w:t>
            </w:r>
            <w:r w:rsidR="00884996" w:rsidRPr="005453A8">
              <w:t>method</w:t>
            </w:r>
            <w:r w:rsidR="00884996">
              <w:t>s</w:t>
            </w:r>
            <w:r w:rsidR="00884996" w:rsidRPr="005453A8">
              <w:t xml:space="preserve"> </w:t>
            </w:r>
            <w:r w:rsidRPr="005453A8">
              <w:t>and data analysis</w:t>
            </w:r>
          </w:p>
        </w:tc>
      </w:tr>
      <w:tr w:rsidR="005453A8" w:rsidRPr="005453A8" w:rsidTr="00D03843">
        <w:tc>
          <w:tcPr>
            <w:tcW w:w="1638" w:type="dxa"/>
            <w:tcBorders>
              <w:bottom w:val="nil"/>
            </w:tcBorders>
          </w:tcPr>
          <w:p w:rsidR="005453A8" w:rsidRPr="005453A8" w:rsidRDefault="005453A8" w:rsidP="005453A8">
            <w:pPr>
              <w:pStyle w:val="TableText"/>
            </w:pPr>
            <w:r w:rsidRPr="005453A8">
              <w:t>Guido Imbens</w:t>
            </w:r>
          </w:p>
        </w:tc>
        <w:tc>
          <w:tcPr>
            <w:tcW w:w="4746" w:type="dxa"/>
            <w:tcBorders>
              <w:bottom w:val="nil"/>
            </w:tcBorders>
          </w:tcPr>
          <w:p w:rsidR="005453A8" w:rsidRPr="005453A8" w:rsidRDefault="005453A8" w:rsidP="005453A8">
            <w:pPr>
              <w:pStyle w:val="TableText"/>
            </w:pPr>
            <w:r w:rsidRPr="005453A8">
              <w:rPr>
                <w:szCs w:val="20"/>
              </w:rPr>
              <w:t>Professor of Economics, Harvard University</w:t>
            </w:r>
          </w:p>
        </w:tc>
        <w:tc>
          <w:tcPr>
            <w:tcW w:w="3192" w:type="dxa"/>
            <w:tcBorders>
              <w:bottom w:val="nil"/>
            </w:tcBorders>
          </w:tcPr>
          <w:p w:rsidR="005453A8" w:rsidRPr="005453A8" w:rsidRDefault="005453A8" w:rsidP="00884996">
            <w:pPr>
              <w:pStyle w:val="TableText"/>
            </w:pPr>
            <w:r w:rsidRPr="005453A8">
              <w:t xml:space="preserve">Evaluation </w:t>
            </w:r>
            <w:r w:rsidR="00884996" w:rsidRPr="005453A8">
              <w:t>method</w:t>
            </w:r>
            <w:r w:rsidR="00884996">
              <w:t>s</w:t>
            </w:r>
            <w:r w:rsidR="00884996" w:rsidRPr="005453A8">
              <w:t xml:space="preserve"> </w:t>
            </w:r>
            <w:r w:rsidRPr="005453A8">
              <w:t>and data analysis</w:t>
            </w:r>
          </w:p>
        </w:tc>
      </w:tr>
      <w:tr w:rsidR="005453A8" w:rsidRPr="005453A8" w:rsidTr="00D03843">
        <w:tc>
          <w:tcPr>
            <w:tcW w:w="1638" w:type="dxa"/>
            <w:tcBorders>
              <w:top w:val="nil"/>
              <w:bottom w:val="nil"/>
            </w:tcBorders>
          </w:tcPr>
          <w:p w:rsidR="005453A8" w:rsidRPr="005453A8" w:rsidRDefault="005453A8" w:rsidP="005453A8">
            <w:pPr>
              <w:pStyle w:val="TableText"/>
            </w:pPr>
            <w:r w:rsidRPr="005453A8">
              <w:t>Thomas Cook</w:t>
            </w:r>
          </w:p>
        </w:tc>
        <w:tc>
          <w:tcPr>
            <w:tcW w:w="4746" w:type="dxa"/>
            <w:tcBorders>
              <w:top w:val="nil"/>
              <w:bottom w:val="nil"/>
            </w:tcBorders>
          </w:tcPr>
          <w:p w:rsidR="005453A8" w:rsidRPr="005453A8" w:rsidRDefault="005453A8" w:rsidP="005453A8">
            <w:pPr>
              <w:pStyle w:val="TableText"/>
            </w:pPr>
            <w:r w:rsidRPr="005453A8">
              <w:rPr>
                <w:szCs w:val="20"/>
              </w:rPr>
              <w:t>Joan and Sarepta Harrison Chair in Ethics and Justice Professor of Sociology, Psychology, Education and Social Policy; Faculty Fellow, Institute for Policy Research, Northwestern University</w:t>
            </w:r>
          </w:p>
        </w:tc>
        <w:tc>
          <w:tcPr>
            <w:tcW w:w="3192" w:type="dxa"/>
            <w:tcBorders>
              <w:top w:val="nil"/>
              <w:bottom w:val="nil"/>
            </w:tcBorders>
          </w:tcPr>
          <w:p w:rsidR="005453A8" w:rsidRPr="005453A8" w:rsidRDefault="005453A8" w:rsidP="00884996">
            <w:pPr>
              <w:pStyle w:val="TableText"/>
            </w:pPr>
            <w:r w:rsidRPr="005453A8">
              <w:t xml:space="preserve">Evaluation </w:t>
            </w:r>
            <w:r w:rsidR="00884996" w:rsidRPr="005453A8">
              <w:t>method</w:t>
            </w:r>
            <w:r w:rsidR="00884996">
              <w:t>s</w:t>
            </w:r>
            <w:r w:rsidR="00884996" w:rsidRPr="005453A8">
              <w:t xml:space="preserve"> </w:t>
            </w:r>
            <w:r w:rsidRPr="005453A8">
              <w:t>and data analysis</w:t>
            </w:r>
          </w:p>
        </w:tc>
      </w:tr>
      <w:tr w:rsidR="005453A8" w:rsidRPr="005453A8" w:rsidTr="00D03843">
        <w:tc>
          <w:tcPr>
            <w:tcW w:w="1638" w:type="dxa"/>
            <w:tcBorders>
              <w:top w:val="nil"/>
            </w:tcBorders>
          </w:tcPr>
          <w:p w:rsidR="005453A8" w:rsidRPr="005453A8" w:rsidRDefault="005453A8" w:rsidP="00D03843">
            <w:pPr>
              <w:pStyle w:val="TableText"/>
              <w:keepNext/>
            </w:pPr>
            <w:r w:rsidRPr="005453A8">
              <w:t>James Spillane</w:t>
            </w:r>
          </w:p>
        </w:tc>
        <w:tc>
          <w:tcPr>
            <w:tcW w:w="4746" w:type="dxa"/>
            <w:tcBorders>
              <w:top w:val="nil"/>
            </w:tcBorders>
          </w:tcPr>
          <w:p w:rsidR="005453A8" w:rsidRPr="005453A8" w:rsidRDefault="005453A8" w:rsidP="00D03843">
            <w:pPr>
              <w:pStyle w:val="TableText"/>
              <w:keepNext/>
            </w:pPr>
            <w:r w:rsidRPr="005453A8">
              <w:rPr>
                <w:szCs w:val="20"/>
              </w:rPr>
              <w:t>Spencer T. and Ann W. Olin Chair in Learning and Organizational Change and Professor, School of Education and Social Policy, Northwestern University</w:t>
            </w:r>
          </w:p>
        </w:tc>
        <w:tc>
          <w:tcPr>
            <w:tcW w:w="3192" w:type="dxa"/>
            <w:tcBorders>
              <w:top w:val="nil"/>
            </w:tcBorders>
          </w:tcPr>
          <w:p w:rsidR="005453A8" w:rsidRPr="005453A8" w:rsidRDefault="00884996" w:rsidP="00D03843">
            <w:pPr>
              <w:pStyle w:val="TableText"/>
              <w:keepNext/>
            </w:pPr>
            <w:r>
              <w:t>Education</w:t>
            </w:r>
            <w:r w:rsidRPr="005453A8">
              <w:t xml:space="preserve"> </w:t>
            </w:r>
            <w:r w:rsidR="005453A8" w:rsidRPr="005453A8">
              <w:t>reform</w:t>
            </w:r>
          </w:p>
        </w:tc>
      </w:tr>
      <w:tr w:rsidR="005453A8" w:rsidRPr="005453A8" w:rsidTr="00EC46DE">
        <w:tc>
          <w:tcPr>
            <w:tcW w:w="1638" w:type="dxa"/>
          </w:tcPr>
          <w:p w:rsidR="005453A8" w:rsidRPr="005453A8" w:rsidRDefault="005453A8" w:rsidP="005453A8">
            <w:pPr>
              <w:pStyle w:val="TableText"/>
            </w:pPr>
            <w:r w:rsidRPr="005453A8">
              <w:t>Jonathan Supovitz</w:t>
            </w:r>
          </w:p>
        </w:tc>
        <w:tc>
          <w:tcPr>
            <w:tcW w:w="4746" w:type="dxa"/>
          </w:tcPr>
          <w:p w:rsidR="00410924" w:rsidRDefault="005453A8">
            <w:pPr>
              <w:pStyle w:val="TableText"/>
            </w:pPr>
            <w:r w:rsidRPr="005453A8">
              <w:rPr>
                <w:szCs w:val="20"/>
              </w:rPr>
              <w:t>Associate Professor and</w:t>
            </w:r>
            <w:r w:rsidR="00585537">
              <w:rPr>
                <w:szCs w:val="20"/>
              </w:rPr>
              <w:t xml:space="preserve"> </w:t>
            </w:r>
            <w:r w:rsidRPr="005453A8">
              <w:rPr>
                <w:szCs w:val="20"/>
              </w:rPr>
              <w:t xml:space="preserve">Director, Consortium </w:t>
            </w:r>
            <w:r w:rsidR="00585537">
              <w:rPr>
                <w:szCs w:val="20"/>
              </w:rPr>
              <w:br/>
            </w:r>
            <w:r w:rsidRPr="005453A8">
              <w:rPr>
                <w:szCs w:val="20"/>
              </w:rPr>
              <w:t>for Policy Research in Education, University of Pennsylvania</w:t>
            </w:r>
          </w:p>
        </w:tc>
        <w:tc>
          <w:tcPr>
            <w:tcW w:w="3192" w:type="dxa"/>
          </w:tcPr>
          <w:p w:rsidR="005453A8" w:rsidRPr="005453A8" w:rsidRDefault="00884996" w:rsidP="005453A8">
            <w:pPr>
              <w:pStyle w:val="TableText"/>
            </w:pPr>
            <w:r>
              <w:t>Education</w:t>
            </w:r>
            <w:r w:rsidRPr="005453A8">
              <w:t xml:space="preserve"> </w:t>
            </w:r>
            <w:r w:rsidR="005453A8" w:rsidRPr="005453A8">
              <w:t>reform</w:t>
            </w:r>
          </w:p>
        </w:tc>
      </w:tr>
      <w:tr w:rsidR="005453A8" w:rsidRPr="005453A8" w:rsidTr="00EC46DE">
        <w:tc>
          <w:tcPr>
            <w:tcW w:w="1638" w:type="dxa"/>
          </w:tcPr>
          <w:p w:rsidR="005453A8" w:rsidRPr="005453A8" w:rsidRDefault="005453A8" w:rsidP="005453A8">
            <w:pPr>
              <w:pStyle w:val="TableText"/>
            </w:pPr>
            <w:r w:rsidRPr="005453A8">
              <w:t>Sean Reardon</w:t>
            </w:r>
          </w:p>
        </w:tc>
        <w:tc>
          <w:tcPr>
            <w:tcW w:w="4746" w:type="dxa"/>
          </w:tcPr>
          <w:p w:rsidR="005453A8" w:rsidRPr="005453A8" w:rsidRDefault="005453A8" w:rsidP="005453A8">
            <w:pPr>
              <w:pStyle w:val="TableText"/>
            </w:pPr>
            <w:r w:rsidRPr="005453A8">
              <w:t>Associate Professor, Stanford University</w:t>
            </w:r>
          </w:p>
        </w:tc>
        <w:tc>
          <w:tcPr>
            <w:tcW w:w="3192" w:type="dxa"/>
          </w:tcPr>
          <w:p w:rsidR="005453A8" w:rsidRPr="005453A8" w:rsidRDefault="00884996" w:rsidP="00884996">
            <w:pPr>
              <w:pStyle w:val="TableText"/>
            </w:pPr>
            <w:r>
              <w:t>Education</w:t>
            </w:r>
            <w:r w:rsidRPr="005453A8">
              <w:t xml:space="preserve"> </w:t>
            </w:r>
            <w:r w:rsidR="005453A8" w:rsidRPr="005453A8">
              <w:t>reform</w:t>
            </w:r>
            <w:r w:rsidR="00B12CC5">
              <w:t xml:space="preserve">, evaluation </w:t>
            </w:r>
            <w:r>
              <w:t>methods</w:t>
            </w:r>
            <w:r w:rsidR="00B12CC5">
              <w:t xml:space="preserve"> and data analysis</w:t>
            </w:r>
          </w:p>
        </w:tc>
      </w:tr>
      <w:tr w:rsidR="005453A8" w:rsidRPr="005453A8" w:rsidTr="00EC46DE">
        <w:tc>
          <w:tcPr>
            <w:tcW w:w="1638" w:type="dxa"/>
          </w:tcPr>
          <w:p w:rsidR="005453A8" w:rsidRPr="005453A8" w:rsidRDefault="005453A8" w:rsidP="005453A8">
            <w:pPr>
              <w:pStyle w:val="TableText"/>
            </w:pPr>
            <w:r w:rsidRPr="005453A8">
              <w:t>Thomas Kane</w:t>
            </w:r>
          </w:p>
        </w:tc>
        <w:tc>
          <w:tcPr>
            <w:tcW w:w="4746" w:type="dxa"/>
          </w:tcPr>
          <w:p w:rsidR="005453A8" w:rsidRPr="005453A8" w:rsidRDefault="005453A8" w:rsidP="005453A8">
            <w:pPr>
              <w:pStyle w:val="TableText"/>
            </w:pPr>
            <w:r w:rsidRPr="005453A8">
              <w:rPr>
                <w:rStyle w:val="persontitle1"/>
                <w:rFonts w:ascii="Lucida Sans" w:hAnsi="Lucida Sans"/>
                <w:sz w:val="18"/>
              </w:rPr>
              <w:t>Professor of Education and Economics, Harvard University</w:t>
            </w:r>
          </w:p>
        </w:tc>
        <w:tc>
          <w:tcPr>
            <w:tcW w:w="3192" w:type="dxa"/>
          </w:tcPr>
          <w:p w:rsidR="005453A8" w:rsidRPr="005453A8" w:rsidRDefault="00884996" w:rsidP="00884996">
            <w:pPr>
              <w:pStyle w:val="TableText"/>
            </w:pPr>
            <w:r>
              <w:t>Education</w:t>
            </w:r>
            <w:r w:rsidRPr="005453A8">
              <w:t xml:space="preserve"> </w:t>
            </w:r>
            <w:r w:rsidR="005453A8" w:rsidRPr="005453A8">
              <w:t>reform</w:t>
            </w:r>
            <w:r w:rsidR="00A939C7">
              <w:t>, evaluation method</w:t>
            </w:r>
            <w:r>
              <w:t>s</w:t>
            </w:r>
            <w:r w:rsidR="00A939C7">
              <w:t xml:space="preserve"> and data analysis</w:t>
            </w:r>
          </w:p>
        </w:tc>
      </w:tr>
      <w:tr w:rsidR="005453A8" w:rsidRPr="005453A8" w:rsidTr="00EC46DE">
        <w:tc>
          <w:tcPr>
            <w:tcW w:w="1638" w:type="dxa"/>
          </w:tcPr>
          <w:p w:rsidR="005453A8" w:rsidRPr="005453A8" w:rsidRDefault="005453A8" w:rsidP="005453A8">
            <w:pPr>
              <w:pStyle w:val="TableText"/>
            </w:pPr>
            <w:r w:rsidRPr="005453A8">
              <w:t>Eric Smith</w:t>
            </w:r>
          </w:p>
        </w:tc>
        <w:tc>
          <w:tcPr>
            <w:tcW w:w="4746" w:type="dxa"/>
          </w:tcPr>
          <w:p w:rsidR="005453A8" w:rsidRPr="005453A8" w:rsidRDefault="005453A8" w:rsidP="005453A8">
            <w:pPr>
              <w:pStyle w:val="TableText"/>
            </w:pPr>
            <w:r w:rsidRPr="005453A8">
              <w:t>Former Commissioner of Education, State of Florida</w:t>
            </w:r>
          </w:p>
        </w:tc>
        <w:tc>
          <w:tcPr>
            <w:tcW w:w="3192" w:type="dxa"/>
          </w:tcPr>
          <w:p w:rsidR="005453A8" w:rsidRPr="005453A8" w:rsidRDefault="005453A8" w:rsidP="005453A8">
            <w:pPr>
              <w:pStyle w:val="TableText"/>
            </w:pPr>
            <w:r w:rsidRPr="005453A8">
              <w:t>Practitioner</w:t>
            </w:r>
          </w:p>
        </w:tc>
      </w:tr>
    </w:tbl>
    <w:p w:rsidR="00667D44" w:rsidRPr="001D61E6" w:rsidRDefault="00667D44" w:rsidP="00667D44">
      <w:pPr>
        <w:pStyle w:val="NormalSS"/>
      </w:pPr>
    </w:p>
    <w:p w:rsidR="00667D44" w:rsidRPr="00CE6BD5" w:rsidRDefault="00667D44" w:rsidP="00667D44">
      <w:pPr>
        <w:pStyle w:val="NormalSS"/>
        <w:keepNext/>
        <w:spacing w:after="160"/>
        <w:ind w:left="432" w:hanging="432"/>
        <w:rPr>
          <w:b/>
        </w:rPr>
      </w:pPr>
      <w:r>
        <w:rPr>
          <w:b/>
        </w:rPr>
        <w:t>c.</w:t>
      </w:r>
      <w:r>
        <w:rPr>
          <w:b/>
        </w:rPr>
        <w:tab/>
        <w:t>Unresolved Issues</w:t>
      </w:r>
    </w:p>
    <w:p w:rsidR="00667D44" w:rsidRDefault="005453A8" w:rsidP="00667D44">
      <w:pPr>
        <w:pStyle w:val="NormalSS"/>
        <w:ind w:firstLine="0"/>
      </w:pPr>
      <w:r>
        <w:tab/>
      </w:r>
      <w:r w:rsidR="00B10131">
        <w:t xml:space="preserve"> It is currently unknown whether a</w:t>
      </w:r>
      <w:r w:rsidR="00DC683A">
        <w:t>n</w:t>
      </w:r>
      <w:r w:rsidR="00B10131">
        <w:t xml:space="preserve"> RDD will be feasible to address research question 3 (impact of STMs on student outcomes). Ongoing recruitment efforts with states and districts will be used to assess feasibility, with an expected determination by </w:t>
      </w:r>
      <w:r w:rsidR="00215801">
        <w:t>January 2012</w:t>
      </w:r>
      <w:r w:rsidR="00B10131">
        <w:t>. If a</w:t>
      </w:r>
      <w:r w:rsidR="00DC683A">
        <w:t>n</w:t>
      </w:r>
      <w:r w:rsidR="00B10131">
        <w:t xml:space="preserve"> RDD is not feasible, an ITS design will be used instead to address research question 3.</w:t>
      </w:r>
    </w:p>
    <w:p w:rsidR="00D85A87" w:rsidRDefault="00D85A87" w:rsidP="00D85A87">
      <w:pPr>
        <w:pStyle w:val="Heading3"/>
      </w:pPr>
      <w:bookmarkStart w:id="41" w:name="_Toc299455755"/>
      <w:r>
        <w:t>9.</w:t>
      </w:r>
      <w:r w:rsidR="000909EE">
        <w:tab/>
      </w:r>
      <w:r>
        <w:t>Payments or Gifts</w:t>
      </w:r>
      <w:bookmarkEnd w:id="41"/>
    </w:p>
    <w:p w:rsidR="00D85A87" w:rsidRDefault="0042550A" w:rsidP="00D85A87">
      <w:pPr>
        <w:pStyle w:val="NormalSS"/>
        <w:rPr>
          <w:rFonts w:eastAsiaTheme="minorHAnsi"/>
        </w:rPr>
      </w:pPr>
      <w:r>
        <w:rPr>
          <w:rFonts w:eastAsiaTheme="minorHAnsi"/>
        </w:rPr>
        <w:t xml:space="preserve">Burden payments </w:t>
      </w:r>
      <w:r w:rsidR="00D85A87">
        <w:rPr>
          <w:rFonts w:eastAsiaTheme="minorHAnsi"/>
        </w:rPr>
        <w:t xml:space="preserve">have been proposed for the school administrator survey to partially offset respondents’ time and effort in completing the survey. </w:t>
      </w:r>
      <w:r w:rsidR="00845478">
        <w:rPr>
          <w:rFonts w:eastAsiaTheme="minorHAnsi"/>
        </w:rPr>
        <w:t>During each round of data collection, w</w:t>
      </w:r>
      <w:r w:rsidR="00D85A87">
        <w:rPr>
          <w:rFonts w:eastAsiaTheme="minorHAnsi"/>
        </w:rPr>
        <w:t>e propose a $</w:t>
      </w:r>
      <w:r>
        <w:rPr>
          <w:rFonts w:eastAsiaTheme="minorHAnsi"/>
        </w:rPr>
        <w:t>3</w:t>
      </w:r>
      <w:r w:rsidR="00D85A87">
        <w:rPr>
          <w:rFonts w:eastAsiaTheme="minorHAnsi"/>
        </w:rPr>
        <w:t xml:space="preserve">0 </w:t>
      </w:r>
      <w:r>
        <w:rPr>
          <w:rFonts w:eastAsiaTheme="minorHAnsi"/>
        </w:rPr>
        <w:t>payment</w:t>
      </w:r>
      <w:r w:rsidR="00987A23">
        <w:rPr>
          <w:rFonts w:eastAsiaTheme="minorHAnsi"/>
        </w:rPr>
        <w:t xml:space="preserve"> </w:t>
      </w:r>
      <w:r w:rsidR="00D85A87">
        <w:rPr>
          <w:rFonts w:eastAsiaTheme="minorHAnsi"/>
        </w:rPr>
        <w:t>to administrator</w:t>
      </w:r>
      <w:r w:rsidR="007C3998">
        <w:rPr>
          <w:rFonts w:eastAsiaTheme="minorHAnsi"/>
        </w:rPr>
        <w:t>s</w:t>
      </w:r>
      <w:r w:rsidR="00D85A87">
        <w:rPr>
          <w:rFonts w:eastAsiaTheme="minorHAnsi"/>
        </w:rPr>
        <w:t xml:space="preserve"> </w:t>
      </w:r>
      <w:r w:rsidR="006D12BB">
        <w:rPr>
          <w:rFonts w:eastAsiaTheme="minorHAnsi"/>
        </w:rPr>
        <w:t xml:space="preserve">from comparison-group schools </w:t>
      </w:r>
      <w:r w:rsidR="007C3998">
        <w:rPr>
          <w:rFonts w:eastAsiaTheme="minorHAnsi"/>
        </w:rPr>
        <w:t>who</w:t>
      </w:r>
      <w:r w:rsidR="00D85A87">
        <w:rPr>
          <w:rFonts w:eastAsiaTheme="minorHAnsi"/>
        </w:rPr>
        <w:t xml:space="preserve"> complet</w:t>
      </w:r>
      <w:r w:rsidR="007C3998">
        <w:rPr>
          <w:rFonts w:eastAsiaTheme="minorHAnsi"/>
        </w:rPr>
        <w:t>e</w:t>
      </w:r>
      <w:r w:rsidR="00D85A87">
        <w:rPr>
          <w:rFonts w:eastAsiaTheme="minorHAnsi"/>
        </w:rPr>
        <w:t xml:space="preserve"> the questionnaire</w:t>
      </w:r>
      <w:r w:rsidR="008621A7">
        <w:rPr>
          <w:rFonts w:eastAsiaTheme="minorHAnsi"/>
        </w:rPr>
        <w:t>,</w:t>
      </w:r>
      <w:r w:rsidR="00D85A87">
        <w:rPr>
          <w:rFonts w:eastAsiaTheme="minorHAnsi"/>
        </w:rPr>
        <w:t xml:space="preserve"> </w:t>
      </w:r>
      <w:r w:rsidR="008621A7">
        <w:rPr>
          <w:rFonts w:eastAsiaTheme="minorHAnsi"/>
        </w:rPr>
        <w:t>in</w:t>
      </w:r>
      <w:r w:rsidR="00D85A87">
        <w:rPr>
          <w:rFonts w:eastAsiaTheme="minorHAnsi"/>
        </w:rPr>
        <w:t xml:space="preserve"> acknowledg</w:t>
      </w:r>
      <w:r w:rsidR="008621A7">
        <w:rPr>
          <w:rFonts w:eastAsiaTheme="minorHAnsi"/>
        </w:rPr>
        <w:t>ment</w:t>
      </w:r>
      <w:r w:rsidR="00D85A87">
        <w:rPr>
          <w:rFonts w:eastAsiaTheme="minorHAnsi"/>
        </w:rPr>
        <w:t xml:space="preserve"> </w:t>
      </w:r>
      <w:r w:rsidR="008621A7">
        <w:rPr>
          <w:rFonts w:eastAsiaTheme="minorHAnsi"/>
        </w:rPr>
        <w:t xml:space="preserve">of </w:t>
      </w:r>
      <w:r w:rsidR="00D85A87">
        <w:rPr>
          <w:rFonts w:eastAsiaTheme="minorHAnsi"/>
        </w:rPr>
        <w:t xml:space="preserve">the </w:t>
      </w:r>
      <w:r w:rsidR="008A4A61">
        <w:rPr>
          <w:rFonts w:eastAsiaTheme="minorHAnsi"/>
        </w:rPr>
        <w:t>45</w:t>
      </w:r>
      <w:r w:rsidR="00D85A87">
        <w:rPr>
          <w:rFonts w:eastAsiaTheme="minorHAnsi"/>
        </w:rPr>
        <w:t xml:space="preserve"> minutes required. This amount is within the incentive guidelines outlined in the March 22, 2005</w:t>
      </w:r>
      <w:r w:rsidR="00FE66FF">
        <w:rPr>
          <w:rFonts w:eastAsiaTheme="minorHAnsi"/>
        </w:rPr>
        <w:t>,</w:t>
      </w:r>
      <w:r w:rsidR="00D85A87">
        <w:rPr>
          <w:rFonts w:eastAsiaTheme="minorHAnsi"/>
        </w:rPr>
        <w:t xml:space="preserve"> memo, “Guidelines for Incentives for NCEE Evaluation Studies,” prepared for OMB. Th</w:t>
      </w:r>
      <w:r w:rsidR="008621A7">
        <w:rPr>
          <w:rFonts w:eastAsiaTheme="minorHAnsi"/>
        </w:rPr>
        <w:t>e</w:t>
      </w:r>
      <w:r w:rsidR="00D85A87">
        <w:rPr>
          <w:rFonts w:eastAsiaTheme="minorHAnsi"/>
        </w:rPr>
        <w:t xml:space="preserve"> </w:t>
      </w:r>
      <w:r>
        <w:rPr>
          <w:rFonts w:eastAsiaTheme="minorHAnsi"/>
        </w:rPr>
        <w:t xml:space="preserve">payment </w:t>
      </w:r>
      <w:r w:rsidR="00D85A87">
        <w:rPr>
          <w:rFonts w:eastAsiaTheme="minorHAnsi"/>
        </w:rPr>
        <w:t xml:space="preserve">is proposed because high response rates are needed to make the survey findings reliable, and we are aware that school administrators are the target of numerous requests to complete surveys on a wide variety of topics from state and district offices, independent researchers, and </w:t>
      </w:r>
      <w:r w:rsidR="00FE66FF">
        <w:rPr>
          <w:rFonts w:eastAsiaTheme="minorHAnsi"/>
        </w:rPr>
        <w:t>ED</w:t>
      </w:r>
      <w:r w:rsidR="00D85A87">
        <w:rPr>
          <w:rFonts w:eastAsiaTheme="minorHAnsi"/>
        </w:rPr>
        <w:t>.</w:t>
      </w:r>
    </w:p>
    <w:p w:rsidR="00EC6360" w:rsidRPr="00F81E64" w:rsidRDefault="00EC6360" w:rsidP="00D85A87">
      <w:pPr>
        <w:pStyle w:val="Heading3"/>
        <w:ind w:left="0" w:firstLine="0"/>
      </w:pPr>
      <w:bookmarkStart w:id="42" w:name="_Toc276647498"/>
      <w:bookmarkStart w:id="43" w:name="_Toc276719887"/>
      <w:bookmarkStart w:id="44" w:name="_Toc299455756"/>
      <w:r>
        <w:lastRenderedPageBreak/>
        <w:t>10.</w:t>
      </w:r>
      <w:r>
        <w:tab/>
      </w:r>
      <w:r w:rsidRPr="00F81E64">
        <w:t>Assurances of Confidentiality</w:t>
      </w:r>
      <w:bookmarkEnd w:id="42"/>
      <w:bookmarkEnd w:id="43"/>
      <w:bookmarkEnd w:id="44"/>
    </w:p>
    <w:p w:rsidR="001A54DB" w:rsidRDefault="00B12B6F" w:rsidP="00F811F1">
      <w:pPr>
        <w:pStyle w:val="NormalSS"/>
      </w:pPr>
      <w:r w:rsidRPr="00B12B6F">
        <w:t>The study team has established procedures</w:t>
      </w:r>
      <w:r w:rsidR="00195AC8" w:rsidRPr="00195AC8">
        <w:t xml:space="preserve"> to </w:t>
      </w:r>
      <w:r w:rsidRPr="00B12B6F">
        <w:t>ensure the confidentiality and security of its</w:t>
      </w:r>
      <w:r w:rsidR="00195AC8" w:rsidRPr="00195AC8">
        <w:t xml:space="preserve"> data</w:t>
      </w:r>
      <w:r w:rsidRPr="00B12B6F">
        <w:t>.</w:t>
      </w:r>
      <w:r w:rsidR="00195AC8" w:rsidRPr="00195AC8">
        <w:t xml:space="preserve"> This approach will be in accordance with all relevant regulations and requirements</w:t>
      </w:r>
      <w:r w:rsidRPr="00B12B6F">
        <w:t>, in particular</w:t>
      </w:r>
      <w:r w:rsidR="00195AC8" w:rsidRPr="00195AC8">
        <w:t xml:space="preserve"> the Education Sciences Institute Reform Act of 2002, Title I, </w:t>
      </w:r>
      <w:r w:rsidR="007B7CB1">
        <w:t>Subsection</w:t>
      </w:r>
      <w:r w:rsidR="00195AC8" w:rsidRPr="00195AC8">
        <w:t xml:space="preserve"> (c) of Section 183, </w:t>
      </w:r>
      <w:r w:rsidRPr="00B12B6F">
        <w:t>which</w:t>
      </w:r>
      <w:r w:rsidR="00195AC8" w:rsidRPr="00195AC8">
        <w:t xml:space="preserve"> requires the director of IES</w:t>
      </w:r>
      <w:r w:rsidRPr="00B12B6F">
        <w:t xml:space="preserve"> to</w:t>
      </w:r>
      <w:r w:rsidR="00195AC8" w:rsidRPr="00195AC8">
        <w:t xml:space="preserve"> “develop and enforce standards designed to protect the confidentiality of persons in the collection, reporting, and publication of data.” </w:t>
      </w:r>
      <w:r w:rsidRPr="00B12B6F">
        <w:t> </w:t>
      </w:r>
      <w:r w:rsidR="00195AC8" w:rsidRPr="00195AC8">
        <w:t xml:space="preserve">The study will also adhere to requirements of </w:t>
      </w:r>
      <w:r w:rsidR="002F25A2">
        <w:t>S</w:t>
      </w:r>
      <w:r w:rsidR="00195AC8" w:rsidRPr="00195AC8">
        <w:t>ubsection (d) of Section 183 prohibiting disclosure of individually identifiable information as well as making the publishing or inappropriate communication of individually identifiable information by employees or staff a felony.</w:t>
      </w:r>
    </w:p>
    <w:p w:rsidR="003E0BA0" w:rsidRPr="00570AF3" w:rsidRDefault="00B12B6F" w:rsidP="00570AF3">
      <w:pPr>
        <w:pStyle w:val="NormalSS"/>
      </w:pPr>
      <w:r w:rsidRPr="00B12B6F">
        <w:t xml:space="preserve">The study team </w:t>
      </w:r>
      <w:r w:rsidR="00195AC8" w:rsidRPr="00195AC8">
        <w:t xml:space="preserve">will protect the </w:t>
      </w:r>
      <w:r w:rsidRPr="00B12B6F">
        <w:t xml:space="preserve">full privacy and </w:t>
      </w:r>
      <w:r w:rsidR="00195AC8" w:rsidRPr="00195AC8">
        <w:t xml:space="preserve">confidentiality of all </w:t>
      </w:r>
      <w:r w:rsidR="00441D94">
        <w:t>individuals who provide data</w:t>
      </w:r>
      <w:r w:rsidRPr="00B12B6F">
        <w:t xml:space="preserve">. The study will not have data associated with personally identifiable </w:t>
      </w:r>
      <w:r w:rsidR="00195AC8" w:rsidRPr="00195AC8">
        <w:t xml:space="preserve">information </w:t>
      </w:r>
      <w:r w:rsidRPr="00B12B6F">
        <w:t>(PII), as study staff will be assigning random ID numbers to all data records and then stripping any PII from</w:t>
      </w:r>
      <w:r w:rsidR="00195AC8" w:rsidRPr="00195AC8">
        <w:t xml:space="preserve"> the </w:t>
      </w:r>
      <w:r w:rsidRPr="00B12B6F">
        <w:t>data records</w:t>
      </w:r>
      <w:r w:rsidR="00195AC8" w:rsidRPr="00195AC8">
        <w:t xml:space="preserve">. In </w:t>
      </w:r>
      <w:r w:rsidRPr="00B12B6F">
        <w:t xml:space="preserve">addition to the data safeguards described here, the study team will ensure that no respondent names, schools, or districts are </w:t>
      </w:r>
      <w:r w:rsidR="00195AC8" w:rsidRPr="00195AC8">
        <w:t>identified</w:t>
      </w:r>
      <w:r w:rsidRPr="00B12B6F">
        <w:t xml:space="preserve"> in publicly available reports or findings, and if necessary, the study team will mask distinguishing characteristics</w:t>
      </w:r>
      <w:r w:rsidR="00195AC8" w:rsidRPr="00195AC8">
        <w:t>. A statement to this effect will be included with all requests for data</w:t>
      </w:r>
      <w:r w:rsidR="00441D94" w:rsidRPr="00570AF3">
        <w:t>:</w:t>
      </w:r>
    </w:p>
    <w:p w:rsidR="00195AC8" w:rsidRPr="00195AC8" w:rsidRDefault="009417B5" w:rsidP="001312B9">
      <w:pPr>
        <w:pStyle w:val="NormalSS"/>
      </w:pPr>
      <w:r>
        <w:t>“</w:t>
      </w:r>
      <w:r w:rsidR="00441D94" w:rsidRPr="00570AF3">
        <w:t>Mathematica Policy Research</w:t>
      </w:r>
      <w:r w:rsidR="00B12B6F" w:rsidRPr="00570AF3">
        <w:t xml:space="preserve"> and its subcontractors</w:t>
      </w:r>
      <w:r w:rsidR="00441D94" w:rsidRPr="00570AF3">
        <w:t xml:space="preserve"> AIR and SPR</w:t>
      </w:r>
      <w:r w:rsidR="00B12B6F" w:rsidRPr="00570AF3">
        <w:t xml:space="preserve"> follow</w:t>
      </w:r>
      <w:r w:rsidR="00195AC8" w:rsidRPr="00195AC8">
        <w:t xml:space="preserve"> the confidentiality and data </w:t>
      </w:r>
      <w:r w:rsidR="00B12B6F" w:rsidRPr="00570AF3">
        <w:t xml:space="preserve">protection requirements of IES (The Education Sciences Reform Act of 2002, Title I, Part E, Section 183). </w:t>
      </w:r>
      <w:r w:rsidR="00195AC8" w:rsidRPr="00195AC8">
        <w:rPr>
          <w:b/>
        </w:rPr>
        <w:t xml:space="preserve">Responses to this data collection will be used only for </w:t>
      </w:r>
      <w:r w:rsidR="00B12B6F" w:rsidRPr="00570AF3">
        <w:rPr>
          <w:b/>
        </w:rPr>
        <w:t>research</w:t>
      </w:r>
      <w:r w:rsidR="00195AC8" w:rsidRPr="00195AC8">
        <w:rPr>
          <w:b/>
        </w:rPr>
        <w:t xml:space="preserve"> purposes. </w:t>
      </w:r>
      <w:r w:rsidR="00195AC8" w:rsidRPr="00195AC8">
        <w:t xml:space="preserve">The reports prepared for </w:t>
      </w:r>
      <w:r w:rsidR="00B12B6F" w:rsidRPr="00570AF3">
        <w:t>the</w:t>
      </w:r>
      <w:r w:rsidR="00195AC8" w:rsidRPr="00195AC8">
        <w:t xml:space="preserve"> study will summarize findings across the sample and will not associate responses with </w:t>
      </w:r>
      <w:r w:rsidR="00B12B6F" w:rsidRPr="00570AF3">
        <w:t xml:space="preserve">a specific district, school, or </w:t>
      </w:r>
      <w:r w:rsidR="00195AC8" w:rsidRPr="00195AC8">
        <w:t>individual. We will not provide information that identifies respondents to anyone outside the study team, except as required by law.</w:t>
      </w:r>
      <w:r>
        <w:t>”</w:t>
      </w:r>
    </w:p>
    <w:p w:rsidR="00195AC8" w:rsidRDefault="0089736F" w:rsidP="00EF6FD1">
      <w:pPr>
        <w:pStyle w:val="NormalSS"/>
      </w:pPr>
      <w:r w:rsidRPr="001F5B67">
        <w:t>Mathematica employs t</w:t>
      </w:r>
      <w:r w:rsidR="00EC6360" w:rsidRPr="001F5B67">
        <w:t xml:space="preserve">he </w:t>
      </w:r>
      <w:r w:rsidR="00E219BE" w:rsidRPr="001F5B67">
        <w:t xml:space="preserve">following </w:t>
      </w:r>
      <w:r w:rsidR="00EC6360" w:rsidRPr="001F5B67">
        <w:t xml:space="preserve">safeguards </w:t>
      </w:r>
      <w:r w:rsidR="00A6354C" w:rsidRPr="001F5B67">
        <w:t>to ensure</w:t>
      </w:r>
      <w:r w:rsidR="00EC6360" w:rsidRPr="001F5B67">
        <w:t xml:space="preserve"> confidentiality:</w:t>
      </w:r>
    </w:p>
    <w:p w:rsidR="00EC6360" w:rsidRPr="008C5227" w:rsidRDefault="00EC6360" w:rsidP="00EF6FD1">
      <w:pPr>
        <w:pStyle w:val="BulletBlack"/>
      </w:pPr>
      <w:r w:rsidRPr="008C5227">
        <w:t xml:space="preserve">All Mathematica employees sign a pledge </w:t>
      </w:r>
      <w:r w:rsidR="00E219BE">
        <w:t xml:space="preserve">that </w:t>
      </w:r>
      <w:r w:rsidRPr="008C5227">
        <w:t>emphasiz</w:t>
      </w:r>
      <w:r w:rsidR="00E219BE">
        <w:t>es</w:t>
      </w:r>
      <w:r w:rsidRPr="008C5227">
        <w:t xml:space="preserve"> </w:t>
      </w:r>
      <w:r w:rsidR="00E219BE">
        <w:t>the</w:t>
      </w:r>
      <w:r w:rsidRPr="008C5227">
        <w:t xml:space="preserve"> importance </w:t>
      </w:r>
      <w:r w:rsidR="00E219BE">
        <w:t xml:space="preserve">of </w:t>
      </w:r>
      <w:r w:rsidR="00E219BE" w:rsidRPr="00EF6FD1">
        <w:t>confidentiality</w:t>
      </w:r>
      <w:r w:rsidR="00E219BE">
        <w:t xml:space="preserve"> </w:t>
      </w:r>
      <w:r w:rsidRPr="008C5227">
        <w:t>and describ</w:t>
      </w:r>
      <w:r w:rsidR="00E219BE">
        <w:t>es</w:t>
      </w:r>
      <w:r w:rsidRPr="008C5227">
        <w:t xml:space="preserve"> their obligation.</w:t>
      </w:r>
    </w:p>
    <w:p w:rsidR="00EC6360" w:rsidRPr="008C5227" w:rsidRDefault="00441D94" w:rsidP="00EF6FD1">
      <w:pPr>
        <w:pStyle w:val="BulletBlack"/>
      </w:pPr>
      <w:r>
        <w:t xml:space="preserve">Secure FTP services allow encrypted transfer of large data files with clients, if necessary. </w:t>
      </w:r>
      <w:r w:rsidRPr="00EF6FD1">
        <w:t>Internal</w:t>
      </w:r>
      <w:r>
        <w:t xml:space="preserve"> networks are all protected from unauthorized access utilizing defense-in-depth best practices, which incorporate firewalls and intrusion detection and prevention systems. The networks are configured so that each user has a tailored set of rights, granted by the network administrator, to files approved for access and stored on the LAN.</w:t>
      </w:r>
      <w:r w:rsidR="00570AF3">
        <w:t xml:space="preserve"> </w:t>
      </w:r>
      <w:r w:rsidR="00EC6360" w:rsidRPr="008C5227">
        <w:t>Access to hard</w:t>
      </w:r>
      <w:r w:rsidR="00E219BE">
        <w:t>-</w:t>
      </w:r>
      <w:r w:rsidR="00EC6360" w:rsidRPr="008C5227">
        <w:t>copy documents is strictly limited. Documents are stored in locked files and cabinets. Discarded materials are shredded.</w:t>
      </w:r>
    </w:p>
    <w:p w:rsidR="008C5227" w:rsidRPr="008C5227" w:rsidRDefault="00EC6360" w:rsidP="00EF6FD1">
      <w:pPr>
        <w:pStyle w:val="BulletBlack"/>
      </w:pPr>
      <w:r w:rsidRPr="008C5227">
        <w:t>Computer data files are protected with passwords</w:t>
      </w:r>
      <w:r w:rsidR="00E219BE">
        <w:t>,</w:t>
      </w:r>
      <w:r w:rsidRPr="008C5227">
        <w:t xml:space="preserve"> and access is limited to specific users</w:t>
      </w:r>
      <w:r w:rsidR="00283090">
        <w:t>, who must change their passwords on a regular basis and conform to strong password policies</w:t>
      </w:r>
      <w:r w:rsidRPr="008C5227">
        <w:t>.</w:t>
      </w:r>
    </w:p>
    <w:p w:rsidR="00667D44" w:rsidRDefault="00EC6360" w:rsidP="00EF6FD1">
      <w:pPr>
        <w:pStyle w:val="BulletBlackLastSS"/>
      </w:pPr>
      <w:r w:rsidRPr="00FF762B">
        <w:t>Especially sensitive data are maintained on removable storage devices that are kept physically secure when not in use.</w:t>
      </w:r>
    </w:p>
    <w:p w:rsidR="0005074A" w:rsidRPr="0005074A" w:rsidRDefault="0005074A" w:rsidP="0005074A">
      <w:pPr>
        <w:pStyle w:val="NormalSS"/>
        <w:ind w:firstLine="0"/>
      </w:pPr>
      <w:r>
        <w:tab/>
        <w:t xml:space="preserve">After the study concludes, </w:t>
      </w:r>
      <w:r w:rsidR="00215801">
        <w:t xml:space="preserve">the study </w:t>
      </w:r>
      <w:r>
        <w:t>data will be transmitted to the National Center for Education Statistics (NCES) for saf</w:t>
      </w:r>
      <w:r w:rsidR="00950C09">
        <w:t>e</w:t>
      </w:r>
      <w:r>
        <w:t xml:space="preserve">keeping as a restricted-use file. </w:t>
      </w:r>
      <w:r w:rsidR="00950C09">
        <w:t xml:space="preserve">All other </w:t>
      </w:r>
      <w:r w:rsidR="00215801">
        <w:t>versions</w:t>
      </w:r>
      <w:r w:rsidR="00950C09">
        <w:t xml:space="preserve"> of the data will be destroyed. </w:t>
      </w:r>
      <w:r>
        <w:t>Prior to transmittal, the data will undergo careful screening, and modification if necessary, to ensure that there is no unacceptably high level of disclosure</w:t>
      </w:r>
      <w:r w:rsidR="00215801">
        <w:t xml:space="preserve"> risk</w:t>
      </w:r>
      <w:r>
        <w:t xml:space="preserve"> for protected </w:t>
      </w:r>
      <w:r>
        <w:lastRenderedPageBreak/>
        <w:t xml:space="preserve">respondents. Researchers wishing to access the data for </w:t>
      </w:r>
      <w:r w:rsidR="00950C09">
        <w:t xml:space="preserve">secondary </w:t>
      </w:r>
      <w:r>
        <w:t>analysis must apply for an NCES license and agree to the applicable rules and procedures guiding the use of restricted-use files.</w:t>
      </w:r>
    </w:p>
    <w:p w:rsidR="00EC6360" w:rsidRPr="00F81E64" w:rsidRDefault="00EC6360" w:rsidP="00EC6360">
      <w:pPr>
        <w:pStyle w:val="Heading3"/>
      </w:pPr>
      <w:bookmarkStart w:id="45" w:name="_Toc276647499"/>
      <w:bookmarkStart w:id="46" w:name="_Toc276719888"/>
      <w:bookmarkStart w:id="47" w:name="_Toc299455757"/>
      <w:r>
        <w:t>11.</w:t>
      </w:r>
      <w:r>
        <w:tab/>
      </w:r>
      <w:r w:rsidRPr="00F81E64">
        <w:t>Additional Justification for Sensitive Questions</w:t>
      </w:r>
      <w:bookmarkEnd w:id="45"/>
      <w:bookmarkEnd w:id="46"/>
      <w:bookmarkEnd w:id="47"/>
    </w:p>
    <w:p w:rsidR="00EC6360" w:rsidRDefault="009D0454" w:rsidP="00EC6360">
      <w:pPr>
        <w:pStyle w:val="NormalSS"/>
      </w:pPr>
      <w:r>
        <w:t>No questions of a sensitive nature will be included in this study.</w:t>
      </w:r>
    </w:p>
    <w:p w:rsidR="00EC6360" w:rsidRPr="00F81E64" w:rsidRDefault="00EC6360" w:rsidP="00EC6360">
      <w:pPr>
        <w:pStyle w:val="Heading3"/>
      </w:pPr>
      <w:bookmarkStart w:id="48" w:name="_Toc276647500"/>
      <w:bookmarkStart w:id="49" w:name="_Toc276719889"/>
      <w:bookmarkStart w:id="50" w:name="_Toc299455758"/>
      <w:r>
        <w:t>12.</w:t>
      </w:r>
      <w:r>
        <w:tab/>
      </w:r>
      <w:r w:rsidRPr="00F81E64">
        <w:t>Estimates of Hours Burden</w:t>
      </w:r>
      <w:bookmarkEnd w:id="48"/>
      <w:bookmarkEnd w:id="49"/>
      <w:bookmarkEnd w:id="50"/>
    </w:p>
    <w:p w:rsidR="00EC6360" w:rsidRPr="00EC6055" w:rsidRDefault="00EC6360" w:rsidP="00EC6360">
      <w:pPr>
        <w:pStyle w:val="NormalSS"/>
      </w:pPr>
      <w:r w:rsidRPr="00EC6055">
        <w:t xml:space="preserve">Representatives from all 50 states and the District of Columbia, officials from </w:t>
      </w:r>
      <w:r w:rsidR="00BB672B">
        <w:t>134</w:t>
      </w:r>
      <w:r w:rsidR="00BB672B" w:rsidRPr="00EC6055">
        <w:t xml:space="preserve"> </w:t>
      </w:r>
      <w:r w:rsidRPr="00EC6055">
        <w:t>school districts, and administrators from 1,200 schools will be asked to participate in data collection activities</w:t>
      </w:r>
      <w:r w:rsidR="00B434B9">
        <w:t xml:space="preserve"> over three years</w:t>
      </w:r>
      <w:r w:rsidRPr="00EC6055">
        <w:t xml:space="preserve">. These include student record collection, interviews with state and district </w:t>
      </w:r>
      <w:r w:rsidR="00A21AD6">
        <w:t>representatives</w:t>
      </w:r>
      <w:r w:rsidRPr="00EC6055">
        <w:t xml:space="preserve">, and </w:t>
      </w:r>
      <w:r w:rsidR="00BB672B">
        <w:t>surveys of</w:t>
      </w:r>
      <w:r w:rsidRPr="00EC6055">
        <w:t xml:space="preserve"> school administrators. </w:t>
      </w:r>
    </w:p>
    <w:p w:rsidR="00EC6360" w:rsidRPr="00EC6055" w:rsidRDefault="00EC6360" w:rsidP="00EC6360">
      <w:pPr>
        <w:pStyle w:val="NormalSS"/>
      </w:pPr>
      <w:r w:rsidRPr="00EC6055">
        <w:t>We estimate</w:t>
      </w:r>
      <w:r w:rsidR="00C224AD">
        <w:t xml:space="preserve"> that the total number of state, </w:t>
      </w:r>
      <w:r w:rsidRPr="00EC6055">
        <w:t>district</w:t>
      </w:r>
      <w:r w:rsidR="00C224AD">
        <w:t>, and school</w:t>
      </w:r>
      <w:r w:rsidRPr="00EC6055">
        <w:t xml:space="preserve"> </w:t>
      </w:r>
      <w:r w:rsidR="000925D0">
        <w:t>respondents</w:t>
      </w:r>
      <w:r w:rsidR="000925D0" w:rsidRPr="00EC6055">
        <w:t xml:space="preserve"> </w:t>
      </w:r>
      <w:r w:rsidRPr="00EC6055">
        <w:t>involved in</w:t>
      </w:r>
      <w:r w:rsidR="000925D0">
        <w:t xml:space="preserve"> the three years of</w:t>
      </w:r>
      <w:r w:rsidRPr="00EC6055">
        <w:t xml:space="preserve"> data collection activities will be </w:t>
      </w:r>
      <w:r w:rsidR="001F18E4">
        <w:t>1</w:t>
      </w:r>
      <w:r w:rsidR="006C6E87">
        <w:t>,</w:t>
      </w:r>
      <w:r w:rsidR="001F18E4">
        <w:t>526</w:t>
      </w:r>
      <w:r w:rsidR="001F18E4" w:rsidRPr="00EC6055">
        <w:t xml:space="preserve"> </w:t>
      </w:r>
      <w:r w:rsidRPr="00EC6055">
        <w:t xml:space="preserve">and the total number of </w:t>
      </w:r>
      <w:r w:rsidR="007C3998">
        <w:t>burden</w:t>
      </w:r>
      <w:r w:rsidRPr="00EC6055">
        <w:t xml:space="preserve"> hours will be </w:t>
      </w:r>
      <w:r w:rsidR="006C6E87">
        <w:t>7,376</w:t>
      </w:r>
      <w:r w:rsidRPr="00EC6055">
        <w:t xml:space="preserve">, for an average of </w:t>
      </w:r>
      <w:r w:rsidR="00775DD9">
        <w:t>4.83</w:t>
      </w:r>
      <w:r w:rsidRPr="00EC6055">
        <w:t xml:space="preserve"> hours per </w:t>
      </w:r>
      <w:r w:rsidR="000925D0">
        <w:t xml:space="preserve">respondent </w:t>
      </w:r>
      <w:r w:rsidR="00EC0B7C">
        <w:t>(Table A.5)</w:t>
      </w:r>
      <w:r w:rsidRPr="00EC6055">
        <w:t xml:space="preserve">. </w:t>
      </w:r>
      <w:r w:rsidR="000925D0">
        <w:t xml:space="preserve">The data collection instruments are contained in appendices A, B, C, D, and E, and </w:t>
      </w:r>
      <w:r w:rsidRPr="00EC6055">
        <w:t>will include the following appropriately tailored Public Burden Statement:</w:t>
      </w:r>
    </w:p>
    <w:p w:rsidR="00C047FA" w:rsidRDefault="00EC6360" w:rsidP="00F7534D">
      <w:pPr>
        <w:pStyle w:val="PlainText"/>
        <w:spacing w:after="240"/>
        <w:ind w:left="720" w:right="720"/>
        <w:jc w:val="both"/>
        <w:rPr>
          <w:rFonts w:ascii="Garamond" w:hAnsi="Garamond"/>
          <w:sz w:val="24"/>
          <w:szCs w:val="24"/>
        </w:rPr>
      </w:pPr>
      <w:r w:rsidRPr="006A5509">
        <w:rPr>
          <w:rFonts w:ascii="Garamond" w:hAnsi="Garamond"/>
          <w:sz w:val="24"/>
          <w:szCs w:val="24"/>
        </w:rPr>
        <w:t>According to the Paperwork Reduction Act of 1995, no person</w:t>
      </w:r>
      <w:r>
        <w:rPr>
          <w:rFonts w:ascii="Garamond" w:hAnsi="Garamond"/>
          <w:sz w:val="24"/>
          <w:szCs w:val="24"/>
        </w:rPr>
        <w:t>s are required to respond to a c</w:t>
      </w:r>
      <w:r w:rsidRPr="006A5509">
        <w:rPr>
          <w:rFonts w:ascii="Garamond" w:hAnsi="Garamond"/>
          <w:sz w:val="24"/>
          <w:szCs w:val="24"/>
        </w:rPr>
        <w:t xml:space="preserve">ollection of information unless such collection displays a valid OMB control number. Public reporting burden for this collection of information is estimated to average </w:t>
      </w:r>
      <w:r w:rsidRPr="00EC6055">
        <w:rPr>
          <w:rFonts w:ascii="Garamond" w:hAnsi="Garamond"/>
          <w:sz w:val="24"/>
          <w:szCs w:val="24"/>
          <w:highlight w:val="yellow"/>
        </w:rPr>
        <w:t>XX</w:t>
      </w:r>
      <w:r w:rsidRPr="008A2FB3">
        <w:rPr>
          <w:rFonts w:ascii="Garamond" w:hAnsi="Garamond"/>
          <w:sz w:val="24"/>
          <w:szCs w:val="24"/>
        </w:rPr>
        <w:t xml:space="preserve"> minutes/hours per response, including time for reviewing instructions, searching existing data sources, gathering and maintaining the data needed, and completing and reviewing the collection of information. The obligation to respond to this collection is </w:t>
      </w:r>
      <w:r w:rsidR="009414F1">
        <w:rPr>
          <w:rFonts w:ascii="Garamond" w:hAnsi="Garamond"/>
          <w:sz w:val="24"/>
          <w:szCs w:val="24"/>
        </w:rPr>
        <w:t>required to obtain or retain a benefit</w:t>
      </w:r>
      <w:r w:rsidR="009414F1" w:rsidRPr="008A2FB3">
        <w:rPr>
          <w:rFonts w:ascii="Garamond" w:hAnsi="Garamond"/>
          <w:sz w:val="24"/>
          <w:szCs w:val="24"/>
        </w:rPr>
        <w:t xml:space="preserve"> </w:t>
      </w:r>
      <w:r w:rsidRPr="008A2FB3">
        <w:rPr>
          <w:rFonts w:ascii="Garamond" w:hAnsi="Garamond"/>
          <w:sz w:val="24"/>
          <w:szCs w:val="24"/>
        </w:rPr>
        <w:t>(</w:t>
      </w:r>
      <w:r w:rsidR="009414F1" w:rsidRPr="00A92D43">
        <w:rPr>
          <w:rFonts w:ascii="Garamond" w:eastAsia="Times New Roman" w:hAnsi="Garamond"/>
          <w:sz w:val="24"/>
          <w:szCs w:val="24"/>
        </w:rPr>
        <w:t>The Education Department Gene</w:t>
      </w:r>
      <w:r w:rsidR="00A92D43">
        <w:rPr>
          <w:rFonts w:ascii="Garamond" w:eastAsia="Times New Roman" w:hAnsi="Garamond"/>
          <w:sz w:val="24"/>
          <w:szCs w:val="24"/>
        </w:rPr>
        <w:t xml:space="preserve">ral Administrative Regulations, </w:t>
      </w:r>
      <w:r w:rsidR="009414F1" w:rsidRPr="00A92D43">
        <w:rPr>
          <w:rFonts w:ascii="Garamond" w:eastAsia="Times New Roman" w:hAnsi="Garamond"/>
          <w:sz w:val="24"/>
          <w:szCs w:val="24"/>
        </w:rPr>
        <w:t>34 C.F.R. § 76.591</w:t>
      </w:r>
      <w:r w:rsidR="00EB2BF0">
        <w:rPr>
          <w:rFonts w:ascii="Garamond" w:hAnsi="Garamond"/>
          <w:sz w:val="24"/>
          <w:szCs w:val="24"/>
        </w:rPr>
        <w:t>)</w:t>
      </w:r>
      <w:r w:rsidRPr="008A2FB3">
        <w:rPr>
          <w:rFonts w:ascii="Garamond" w:hAnsi="Garamond"/>
          <w:sz w:val="24"/>
          <w:szCs w:val="24"/>
        </w:rPr>
        <w:t xml:space="preserve">. Send comments regarding the burden estimate or any other aspect of this collection of information, including suggestions for reducing this burden, to the U.S. Department of Education, </w:t>
      </w:r>
      <w:r w:rsidR="009A3563">
        <w:rPr>
          <w:rFonts w:ascii="Garamond" w:hAnsi="Garamond"/>
          <w:sz w:val="24"/>
          <w:szCs w:val="24"/>
        </w:rPr>
        <w:t>Washington, DC 20202-4651</w:t>
      </w:r>
      <w:r w:rsidRPr="008A2FB3">
        <w:rPr>
          <w:rFonts w:ascii="Garamond" w:hAnsi="Garamond"/>
          <w:sz w:val="24"/>
          <w:szCs w:val="24"/>
        </w:rPr>
        <w:t xml:space="preserve"> and reference the OMB Control Number </w:t>
      </w:r>
      <w:r w:rsidR="009414F1">
        <w:rPr>
          <w:rFonts w:ascii="Garamond" w:hAnsi="Garamond"/>
          <w:sz w:val="24"/>
          <w:szCs w:val="24"/>
        </w:rPr>
        <w:t>1850-0884</w:t>
      </w:r>
      <w:r w:rsidRPr="008A2FB3">
        <w:rPr>
          <w:rFonts w:ascii="Garamond" w:hAnsi="Garamond"/>
          <w:sz w:val="24"/>
          <w:szCs w:val="24"/>
        </w:rPr>
        <w:t xml:space="preserve">. </w:t>
      </w:r>
      <w:r w:rsidR="009A3563">
        <w:rPr>
          <w:rFonts w:ascii="Garamond" w:hAnsi="Garamond"/>
          <w:sz w:val="24"/>
          <w:szCs w:val="24"/>
        </w:rPr>
        <w:t>If you have comments or concerns regarding the status of your individual submission of this form, write directly to: Institute of Education Sciences, U.S. Department of Education, 555 New Jersey Ave</w:t>
      </w:r>
      <w:r w:rsidR="001A7BFD">
        <w:rPr>
          <w:rFonts w:ascii="Garamond" w:hAnsi="Garamond"/>
          <w:sz w:val="24"/>
          <w:szCs w:val="24"/>
        </w:rPr>
        <w:t>.</w:t>
      </w:r>
      <w:r w:rsidR="009A3563">
        <w:rPr>
          <w:rFonts w:ascii="Garamond" w:hAnsi="Garamond"/>
          <w:sz w:val="24"/>
          <w:szCs w:val="24"/>
        </w:rPr>
        <w:t xml:space="preserve"> NW, Washington, DC 20208.</w:t>
      </w:r>
    </w:p>
    <w:p w:rsidR="00F7534D" w:rsidRPr="00F81E64" w:rsidRDefault="00F7534D" w:rsidP="00F7534D">
      <w:pPr>
        <w:pStyle w:val="Heading3"/>
      </w:pPr>
      <w:bookmarkStart w:id="51" w:name="_Toc276647501"/>
      <w:bookmarkStart w:id="52" w:name="_Toc276719890"/>
      <w:bookmarkStart w:id="53" w:name="_Toc299455759"/>
      <w:r>
        <w:t>13.</w:t>
      </w:r>
      <w:r>
        <w:tab/>
      </w:r>
      <w:r w:rsidRPr="00F81E64">
        <w:t>Estimates of Cost Burden to Respondents</w:t>
      </w:r>
      <w:bookmarkEnd w:id="51"/>
      <w:bookmarkEnd w:id="52"/>
      <w:bookmarkEnd w:id="53"/>
    </w:p>
    <w:p w:rsidR="00F7534D" w:rsidRDefault="00F7534D" w:rsidP="00F7534D">
      <w:pPr>
        <w:pStyle w:val="NormalSS"/>
      </w:pPr>
      <w:r w:rsidRPr="00EC6360">
        <w:t xml:space="preserve">There are no </w:t>
      </w:r>
      <w:r>
        <w:t>additional respondent costs associated with this data collection beyond the burden estimated in item A12.</w:t>
      </w:r>
    </w:p>
    <w:p w:rsidR="00F7534D" w:rsidRPr="00F81E64" w:rsidRDefault="00F7534D" w:rsidP="00F7534D">
      <w:pPr>
        <w:pStyle w:val="Heading3"/>
      </w:pPr>
      <w:bookmarkStart w:id="54" w:name="_Toc276647502"/>
      <w:bookmarkStart w:id="55" w:name="_Toc276719891"/>
      <w:bookmarkStart w:id="56" w:name="_Toc299455760"/>
      <w:r>
        <w:t>14.</w:t>
      </w:r>
      <w:r>
        <w:tab/>
      </w:r>
      <w:r w:rsidRPr="00F81E64">
        <w:t>Estimates of Annual Costs to the Federal Government</w:t>
      </w:r>
      <w:bookmarkEnd w:id="54"/>
      <w:bookmarkEnd w:id="55"/>
      <w:bookmarkEnd w:id="56"/>
    </w:p>
    <w:p w:rsidR="00F7534D" w:rsidRPr="00EC6055" w:rsidRDefault="00F7534D" w:rsidP="00F7534D">
      <w:pPr>
        <w:pStyle w:val="NormalSS"/>
      </w:pPr>
      <w:r w:rsidRPr="00EC6055">
        <w:t xml:space="preserve">The </w:t>
      </w:r>
      <w:r>
        <w:t>estimated cost for this five-year study</w:t>
      </w:r>
      <w:r w:rsidRPr="00EC6055">
        <w:t xml:space="preserve">, including </w:t>
      </w:r>
      <w:r>
        <w:t xml:space="preserve">development of a detailed study design, data collection instruments, justification package, recruitment, data collection, data analysis, and report preparation, is </w:t>
      </w:r>
      <w:r w:rsidRPr="00570AF3">
        <w:rPr>
          <w:rFonts w:ascii="Palatino Linotype" w:hAnsi="Palatino Linotype"/>
          <w:sz w:val="22"/>
          <w:szCs w:val="22"/>
        </w:rPr>
        <w:t>$18,606,416</w:t>
      </w:r>
      <w:r w:rsidRPr="00570AF3">
        <w:t xml:space="preserve"> or approximately </w:t>
      </w:r>
      <w:r w:rsidRPr="00570AF3">
        <w:rPr>
          <w:rFonts w:ascii="Palatino Linotype" w:hAnsi="Palatino Linotype"/>
          <w:sz w:val="22"/>
          <w:szCs w:val="22"/>
        </w:rPr>
        <w:t>$3,721,283</w:t>
      </w:r>
      <w:r>
        <w:t xml:space="preserve"> per year.</w:t>
      </w:r>
    </w:p>
    <w:p w:rsidR="00F7534D" w:rsidRPr="00F81E64" w:rsidRDefault="00F7534D" w:rsidP="00F7534D">
      <w:pPr>
        <w:pStyle w:val="Heading3"/>
      </w:pPr>
      <w:bookmarkStart w:id="57" w:name="_Toc276647503"/>
      <w:bookmarkStart w:id="58" w:name="_Toc276719892"/>
      <w:bookmarkStart w:id="59" w:name="_Toc299455761"/>
      <w:r>
        <w:t>15.</w:t>
      </w:r>
      <w:r>
        <w:tab/>
      </w:r>
      <w:r w:rsidRPr="00F81E64">
        <w:t>Reasons for Program Changes or Adjustments</w:t>
      </w:r>
      <w:bookmarkEnd w:id="57"/>
      <w:bookmarkEnd w:id="58"/>
      <w:bookmarkEnd w:id="59"/>
    </w:p>
    <w:p w:rsidR="009414F1" w:rsidRDefault="009414F1" w:rsidP="009414F1">
      <w:pPr>
        <w:autoSpaceDE w:val="0"/>
        <w:autoSpaceDN w:val="0"/>
        <w:adjustRightInd w:val="0"/>
        <w:spacing w:line="240" w:lineRule="auto"/>
      </w:pPr>
      <w:r>
        <w:t xml:space="preserve">There is an overall annual decrease in burden hours of 2,303 hours. This program change is a result of the burden hours from this second phase (the data collection phase) being added and the </w:t>
      </w:r>
      <w:r>
        <w:lastRenderedPageBreak/>
        <w:t>burden hours from the first phase (the recruitment phase) being eliminated since they will be completed by the time this second phase is approved.</w:t>
      </w:r>
    </w:p>
    <w:p w:rsidR="00F7534D" w:rsidRDefault="00F7534D" w:rsidP="002D2912">
      <w:pPr>
        <w:pStyle w:val="NormalSS"/>
        <w:ind w:firstLine="0"/>
      </w:pPr>
    </w:p>
    <w:p w:rsidR="00F7534D" w:rsidRDefault="00F7534D" w:rsidP="00F7534D">
      <w:pPr>
        <w:pStyle w:val="Heading3"/>
      </w:pPr>
      <w:bookmarkStart w:id="60" w:name="_Toc299455762"/>
      <w:r w:rsidRPr="004125D6">
        <w:t>16.</w:t>
      </w:r>
      <w:r w:rsidRPr="004125D6">
        <w:tab/>
        <w:t>Plan for Tabulation and Publication of Results</w:t>
      </w:r>
      <w:bookmarkEnd w:id="60"/>
    </w:p>
    <w:p w:rsidR="00F7534D" w:rsidRPr="003A6CBB" w:rsidRDefault="00F7534D" w:rsidP="00F7534D">
      <w:pPr>
        <w:pStyle w:val="NormalSS"/>
        <w:keepNext/>
        <w:spacing w:after="160"/>
        <w:ind w:left="432" w:hanging="432"/>
        <w:rPr>
          <w:b/>
        </w:rPr>
      </w:pPr>
      <w:r w:rsidRPr="003A6CBB">
        <w:rPr>
          <w:b/>
        </w:rPr>
        <w:t>a.</w:t>
      </w:r>
      <w:r w:rsidRPr="003A6CBB">
        <w:rPr>
          <w:b/>
        </w:rPr>
        <w:tab/>
        <w:t>Tabulation Plans</w:t>
      </w:r>
    </w:p>
    <w:p w:rsidR="00F7534D" w:rsidRPr="00D85A87" w:rsidRDefault="00F7534D" w:rsidP="00F7534D">
      <w:pPr>
        <w:pStyle w:val="NormalSS"/>
        <w:rPr>
          <w:highlight w:val="yellow"/>
        </w:rPr>
      </w:pPr>
      <w:r w:rsidRPr="003A6CBB">
        <w:t xml:space="preserve">Our tabulation plans include </w:t>
      </w:r>
      <w:r>
        <w:t>four</w:t>
      </w:r>
      <w:r w:rsidRPr="003A6CBB">
        <w:t xml:space="preserve"> sets of analyses ali</w:t>
      </w:r>
      <w:r>
        <w:t>gned to the research questions.</w:t>
      </w:r>
    </w:p>
    <w:p w:rsidR="009F4E20" w:rsidRDefault="009F4E20">
      <w:pPr>
        <w:pStyle w:val="PlainText"/>
        <w:ind w:left="720" w:right="720"/>
        <w:jc w:val="both"/>
        <w:rPr>
          <w:rFonts w:ascii="Garamond" w:hAnsi="Garamond"/>
          <w:sz w:val="24"/>
          <w:szCs w:val="24"/>
        </w:rPr>
      </w:pPr>
    </w:p>
    <w:p w:rsidR="00EC6360" w:rsidRPr="00EC6055" w:rsidRDefault="00EC6055" w:rsidP="004D30D5">
      <w:pPr>
        <w:pStyle w:val="TableHeaderLeft"/>
        <w:pageBreakBefore/>
        <w:rPr>
          <w:b/>
        </w:rPr>
      </w:pPr>
      <w:bookmarkStart w:id="61" w:name="_Toc276714797"/>
      <w:r>
        <w:rPr>
          <w:b/>
        </w:rPr>
        <w:lastRenderedPageBreak/>
        <w:t>Table A.5</w:t>
      </w:r>
      <w:r w:rsidR="00EC6360" w:rsidRPr="00EC6055">
        <w:rPr>
          <w:b/>
        </w:rPr>
        <w:t xml:space="preserve">. </w:t>
      </w:r>
      <w:bookmarkEnd w:id="61"/>
      <w:r w:rsidR="00EC6360" w:rsidRPr="00EC6055">
        <w:rPr>
          <w:b/>
        </w:rPr>
        <w:t>Burden in Hours to Respondents</w:t>
      </w:r>
    </w:p>
    <w:tbl>
      <w:tblPr>
        <w:tblW w:w="5137" w:type="pct"/>
        <w:tblLayout w:type="fixed"/>
        <w:tblCellMar>
          <w:left w:w="115" w:type="dxa"/>
          <w:right w:w="115" w:type="dxa"/>
        </w:tblCellMar>
        <w:tblLook w:val="00A0"/>
      </w:tblPr>
      <w:tblGrid>
        <w:gridCol w:w="1914"/>
        <w:gridCol w:w="6"/>
        <w:gridCol w:w="1435"/>
        <w:gridCol w:w="1352"/>
        <w:gridCol w:w="1620"/>
        <w:gridCol w:w="1171"/>
        <w:gridCol w:w="1171"/>
        <w:gridCol w:w="1184"/>
      </w:tblGrid>
      <w:tr w:rsidR="001C2416" w:rsidRPr="00D2430E" w:rsidTr="008A4A61">
        <w:trPr>
          <w:cantSplit/>
          <w:tblHeader/>
        </w:trPr>
        <w:tc>
          <w:tcPr>
            <w:tcW w:w="972" w:type="pct"/>
            <w:tcBorders>
              <w:top w:val="single" w:sz="12" w:space="0" w:color="auto"/>
              <w:left w:val="nil"/>
              <w:bottom w:val="single" w:sz="4" w:space="0" w:color="auto"/>
              <w:right w:val="nil"/>
            </w:tcBorders>
            <w:vAlign w:val="bottom"/>
          </w:tcPr>
          <w:p w:rsidR="00B434B9" w:rsidRPr="00D2430E" w:rsidRDefault="00B434B9" w:rsidP="009F4E20">
            <w:pPr>
              <w:pStyle w:val="TableText"/>
              <w:spacing w:before="120" w:after="60"/>
            </w:pPr>
            <w:r w:rsidRPr="00D2430E">
              <w:t>Respondents/</w:t>
            </w:r>
            <w:r w:rsidR="001C2416">
              <w:t xml:space="preserve"> </w:t>
            </w:r>
            <w:r w:rsidRPr="00D2430E">
              <w:t>Activity</w:t>
            </w:r>
          </w:p>
        </w:tc>
        <w:tc>
          <w:tcPr>
            <w:tcW w:w="731" w:type="pct"/>
            <w:gridSpan w:val="2"/>
            <w:tcBorders>
              <w:top w:val="single" w:sz="12" w:space="0" w:color="auto"/>
              <w:left w:val="nil"/>
              <w:bottom w:val="single" w:sz="4" w:space="0" w:color="auto"/>
              <w:right w:val="nil"/>
            </w:tcBorders>
            <w:vAlign w:val="bottom"/>
          </w:tcPr>
          <w:p w:rsidR="00B434B9" w:rsidRDefault="00B434B9" w:rsidP="009F4E20">
            <w:pPr>
              <w:pStyle w:val="TableText"/>
              <w:spacing w:before="120" w:after="60"/>
              <w:jc w:val="center"/>
            </w:pPr>
            <w:r w:rsidRPr="00D2430E">
              <w:t xml:space="preserve">Total Number of </w:t>
            </w:r>
            <w:r w:rsidRPr="00D2430E">
              <w:br/>
              <w:t>Respondents</w:t>
            </w:r>
          </w:p>
        </w:tc>
        <w:tc>
          <w:tcPr>
            <w:tcW w:w="686" w:type="pct"/>
            <w:tcBorders>
              <w:top w:val="single" w:sz="12" w:space="0" w:color="auto"/>
              <w:left w:val="nil"/>
              <w:bottom w:val="single" w:sz="4" w:space="0" w:color="auto"/>
              <w:right w:val="nil"/>
            </w:tcBorders>
            <w:vAlign w:val="bottom"/>
          </w:tcPr>
          <w:p w:rsidR="00B434B9" w:rsidRDefault="00B434B9" w:rsidP="009F4E20">
            <w:pPr>
              <w:pStyle w:val="TableText"/>
              <w:spacing w:before="120" w:after="60"/>
              <w:jc w:val="center"/>
            </w:pPr>
            <w:r w:rsidRPr="00D2430E">
              <w:t xml:space="preserve">Number of Responses </w:t>
            </w:r>
            <w:r>
              <w:t>p</w:t>
            </w:r>
            <w:r w:rsidRPr="00D2430E">
              <w:t>er Respondent</w:t>
            </w:r>
          </w:p>
        </w:tc>
        <w:tc>
          <w:tcPr>
            <w:tcW w:w="822" w:type="pct"/>
            <w:tcBorders>
              <w:top w:val="single" w:sz="12" w:space="0" w:color="auto"/>
              <w:left w:val="nil"/>
              <w:bottom w:val="single" w:sz="4" w:space="0" w:color="auto"/>
              <w:right w:val="nil"/>
            </w:tcBorders>
            <w:vAlign w:val="bottom"/>
          </w:tcPr>
          <w:p w:rsidR="00B434B9" w:rsidRPr="00D2430E" w:rsidRDefault="00B434B9" w:rsidP="00B434B9">
            <w:pPr>
              <w:pStyle w:val="TableText"/>
              <w:spacing w:before="120" w:after="60"/>
              <w:jc w:val="center"/>
            </w:pPr>
            <w:r w:rsidRPr="00D2430E">
              <w:t xml:space="preserve">Number of </w:t>
            </w:r>
            <w:r>
              <w:t>Administrations</w:t>
            </w:r>
          </w:p>
        </w:tc>
        <w:tc>
          <w:tcPr>
            <w:tcW w:w="594" w:type="pct"/>
            <w:tcBorders>
              <w:top w:val="single" w:sz="12" w:space="0" w:color="auto"/>
              <w:left w:val="nil"/>
              <w:bottom w:val="single" w:sz="4" w:space="0" w:color="auto"/>
              <w:right w:val="nil"/>
            </w:tcBorders>
            <w:vAlign w:val="bottom"/>
          </w:tcPr>
          <w:p w:rsidR="00B434B9" w:rsidRDefault="00B434B9" w:rsidP="009F4E20">
            <w:pPr>
              <w:pStyle w:val="TableText"/>
              <w:spacing w:before="120" w:after="60"/>
              <w:jc w:val="center"/>
            </w:pPr>
            <w:r w:rsidRPr="00D2430E">
              <w:t>Total Number of Responses</w:t>
            </w:r>
          </w:p>
        </w:tc>
        <w:tc>
          <w:tcPr>
            <w:tcW w:w="594" w:type="pct"/>
            <w:tcBorders>
              <w:top w:val="single" w:sz="12" w:space="0" w:color="auto"/>
              <w:left w:val="nil"/>
              <w:bottom w:val="single" w:sz="4" w:space="0" w:color="auto"/>
              <w:right w:val="nil"/>
            </w:tcBorders>
            <w:vAlign w:val="bottom"/>
          </w:tcPr>
          <w:p w:rsidR="00B434B9" w:rsidRDefault="00B434B9" w:rsidP="009F4E20">
            <w:pPr>
              <w:pStyle w:val="TableText"/>
              <w:spacing w:before="120" w:after="60"/>
              <w:jc w:val="center"/>
            </w:pPr>
            <w:r>
              <w:t xml:space="preserve">Average </w:t>
            </w:r>
            <w:r w:rsidRPr="00D2430E">
              <w:t xml:space="preserve">Burden Hours </w:t>
            </w:r>
            <w:r>
              <w:t>p</w:t>
            </w:r>
            <w:r w:rsidRPr="00D2430E">
              <w:t>er Response</w:t>
            </w:r>
          </w:p>
        </w:tc>
        <w:tc>
          <w:tcPr>
            <w:tcW w:w="601" w:type="pct"/>
            <w:tcBorders>
              <w:top w:val="single" w:sz="12" w:space="0" w:color="auto"/>
              <w:left w:val="nil"/>
              <w:bottom w:val="single" w:sz="4" w:space="0" w:color="auto"/>
              <w:right w:val="nil"/>
            </w:tcBorders>
            <w:vAlign w:val="bottom"/>
          </w:tcPr>
          <w:p w:rsidR="00B434B9" w:rsidRDefault="00B434B9" w:rsidP="009F4E20">
            <w:pPr>
              <w:pStyle w:val="TableText"/>
              <w:spacing w:before="120" w:after="60"/>
              <w:jc w:val="center"/>
            </w:pPr>
            <w:r w:rsidRPr="00D2430E">
              <w:t xml:space="preserve">Total Burden </w:t>
            </w:r>
            <w:r w:rsidRPr="00D2430E">
              <w:br/>
              <w:t>(Hours)</w:t>
            </w:r>
          </w:p>
        </w:tc>
      </w:tr>
      <w:tr w:rsidR="001C2416" w:rsidRPr="00D2430E" w:rsidTr="008A4A61">
        <w:trPr>
          <w:cantSplit/>
        </w:trPr>
        <w:tc>
          <w:tcPr>
            <w:tcW w:w="975" w:type="pct"/>
            <w:gridSpan w:val="2"/>
            <w:tcBorders>
              <w:top w:val="single" w:sz="4" w:space="0" w:color="auto"/>
            </w:tcBorders>
            <w:vAlign w:val="bottom"/>
          </w:tcPr>
          <w:p w:rsidR="00B434B9" w:rsidRPr="00D2430E" w:rsidRDefault="00B434B9" w:rsidP="009F4E20">
            <w:pPr>
              <w:pStyle w:val="TableText"/>
              <w:spacing w:before="120"/>
              <w:rPr>
                <w:b/>
              </w:rPr>
            </w:pPr>
            <w:r w:rsidRPr="00D2430E">
              <w:rPr>
                <w:b/>
              </w:rPr>
              <w:t>States</w:t>
            </w:r>
          </w:p>
        </w:tc>
        <w:tc>
          <w:tcPr>
            <w:tcW w:w="728" w:type="pct"/>
            <w:tcBorders>
              <w:top w:val="single" w:sz="4" w:space="0" w:color="auto"/>
            </w:tcBorders>
            <w:vAlign w:val="bottom"/>
          </w:tcPr>
          <w:p w:rsidR="00B434B9" w:rsidRDefault="00B434B9" w:rsidP="009F4E20">
            <w:pPr>
              <w:pStyle w:val="TableText"/>
              <w:spacing w:before="120"/>
              <w:jc w:val="center"/>
            </w:pPr>
          </w:p>
        </w:tc>
        <w:tc>
          <w:tcPr>
            <w:tcW w:w="686" w:type="pct"/>
            <w:tcBorders>
              <w:top w:val="single" w:sz="4" w:space="0" w:color="auto"/>
            </w:tcBorders>
            <w:vAlign w:val="bottom"/>
          </w:tcPr>
          <w:p w:rsidR="00B434B9" w:rsidRDefault="00B434B9" w:rsidP="009F4E20">
            <w:pPr>
              <w:pStyle w:val="TableText"/>
              <w:spacing w:before="120"/>
              <w:jc w:val="center"/>
            </w:pPr>
          </w:p>
        </w:tc>
        <w:tc>
          <w:tcPr>
            <w:tcW w:w="822" w:type="pct"/>
            <w:tcBorders>
              <w:top w:val="single" w:sz="4" w:space="0" w:color="auto"/>
            </w:tcBorders>
            <w:vAlign w:val="bottom"/>
          </w:tcPr>
          <w:p w:rsidR="00B434B9" w:rsidRDefault="00B434B9" w:rsidP="009F4E20">
            <w:pPr>
              <w:pStyle w:val="TableText"/>
              <w:spacing w:before="120"/>
              <w:jc w:val="center"/>
            </w:pPr>
          </w:p>
        </w:tc>
        <w:tc>
          <w:tcPr>
            <w:tcW w:w="594" w:type="pct"/>
            <w:tcBorders>
              <w:top w:val="single" w:sz="4" w:space="0" w:color="auto"/>
            </w:tcBorders>
            <w:vAlign w:val="bottom"/>
          </w:tcPr>
          <w:p w:rsidR="00B434B9" w:rsidRDefault="00B434B9" w:rsidP="009F4E20">
            <w:pPr>
              <w:pStyle w:val="TableText"/>
              <w:spacing w:before="120"/>
              <w:jc w:val="center"/>
            </w:pPr>
          </w:p>
        </w:tc>
        <w:tc>
          <w:tcPr>
            <w:tcW w:w="594" w:type="pct"/>
            <w:tcBorders>
              <w:top w:val="single" w:sz="4" w:space="0" w:color="auto"/>
            </w:tcBorders>
            <w:vAlign w:val="bottom"/>
          </w:tcPr>
          <w:p w:rsidR="00B434B9" w:rsidRDefault="00B434B9" w:rsidP="009F4E20">
            <w:pPr>
              <w:pStyle w:val="TableText"/>
              <w:spacing w:before="120"/>
              <w:jc w:val="center"/>
            </w:pPr>
          </w:p>
        </w:tc>
        <w:tc>
          <w:tcPr>
            <w:tcW w:w="601" w:type="pct"/>
            <w:tcBorders>
              <w:top w:val="single" w:sz="4" w:space="0" w:color="auto"/>
            </w:tcBorders>
            <w:vAlign w:val="bottom"/>
          </w:tcPr>
          <w:p w:rsidR="00B434B9" w:rsidRDefault="00B434B9" w:rsidP="009F4E20">
            <w:pPr>
              <w:pStyle w:val="TableText"/>
              <w:spacing w:before="120"/>
              <w:jc w:val="center"/>
            </w:pPr>
          </w:p>
        </w:tc>
      </w:tr>
      <w:tr w:rsidR="001C2416" w:rsidRPr="00D2430E" w:rsidTr="008A4A61">
        <w:trPr>
          <w:cantSplit/>
        </w:trPr>
        <w:tc>
          <w:tcPr>
            <w:tcW w:w="975" w:type="pct"/>
            <w:gridSpan w:val="2"/>
            <w:vAlign w:val="bottom"/>
          </w:tcPr>
          <w:p w:rsidR="00B434B9" w:rsidRPr="00D2430E" w:rsidRDefault="00B434B9" w:rsidP="00EC6055">
            <w:pPr>
              <w:pStyle w:val="TableText"/>
            </w:pPr>
          </w:p>
          <w:p w:rsidR="00B434B9" w:rsidRDefault="00B434B9" w:rsidP="00EC6055">
            <w:pPr>
              <w:pStyle w:val="TableText"/>
            </w:pPr>
            <w:r>
              <w:t xml:space="preserve">State Interview </w:t>
            </w:r>
          </w:p>
          <w:p w:rsidR="00B434B9" w:rsidRPr="00D2430E" w:rsidRDefault="00B434B9" w:rsidP="00EC6055">
            <w:pPr>
              <w:pStyle w:val="TableText"/>
            </w:pPr>
            <w:r>
              <w:t>(Appendix A)</w:t>
            </w:r>
          </w:p>
        </w:tc>
        <w:tc>
          <w:tcPr>
            <w:tcW w:w="728" w:type="pct"/>
            <w:vAlign w:val="bottom"/>
          </w:tcPr>
          <w:p w:rsidR="00B434B9" w:rsidRDefault="00B434B9" w:rsidP="00D03843">
            <w:pPr>
              <w:pStyle w:val="TableText"/>
              <w:tabs>
                <w:tab w:val="decimal" w:pos="869"/>
              </w:tabs>
            </w:pPr>
            <w:r>
              <w:t>51</w:t>
            </w:r>
          </w:p>
        </w:tc>
        <w:tc>
          <w:tcPr>
            <w:tcW w:w="686" w:type="pct"/>
            <w:vAlign w:val="bottom"/>
          </w:tcPr>
          <w:p w:rsidR="00B434B9" w:rsidRDefault="00B434B9" w:rsidP="00D03843">
            <w:pPr>
              <w:pStyle w:val="TableText"/>
              <w:jc w:val="center"/>
            </w:pPr>
          </w:p>
          <w:p w:rsidR="00B434B9" w:rsidRDefault="00B434B9" w:rsidP="00D03843">
            <w:pPr>
              <w:pStyle w:val="TableText"/>
              <w:jc w:val="center"/>
            </w:pPr>
            <w:r w:rsidRPr="00D2430E">
              <w:t>1</w:t>
            </w:r>
          </w:p>
        </w:tc>
        <w:tc>
          <w:tcPr>
            <w:tcW w:w="822" w:type="pct"/>
            <w:vAlign w:val="bottom"/>
          </w:tcPr>
          <w:p w:rsidR="00B434B9" w:rsidRDefault="00B434B9" w:rsidP="007F375D">
            <w:pPr>
              <w:pStyle w:val="TableText"/>
              <w:jc w:val="center"/>
            </w:pPr>
          </w:p>
          <w:p w:rsidR="00B434B9" w:rsidRDefault="00B434B9" w:rsidP="00D03843">
            <w:pPr>
              <w:pStyle w:val="TableText"/>
              <w:tabs>
                <w:tab w:val="decimal" w:pos="864"/>
              </w:tabs>
            </w:pPr>
            <w:r>
              <w:t>3</w:t>
            </w:r>
          </w:p>
        </w:tc>
        <w:tc>
          <w:tcPr>
            <w:tcW w:w="594" w:type="pct"/>
            <w:vAlign w:val="bottom"/>
          </w:tcPr>
          <w:p w:rsidR="00B434B9" w:rsidRDefault="00B434B9" w:rsidP="00D03843">
            <w:pPr>
              <w:pStyle w:val="TableText"/>
              <w:tabs>
                <w:tab w:val="decimal" w:pos="864"/>
              </w:tabs>
            </w:pPr>
          </w:p>
          <w:p w:rsidR="00B434B9" w:rsidRDefault="00B434B9" w:rsidP="00B434B9">
            <w:pPr>
              <w:pStyle w:val="TableText"/>
              <w:tabs>
                <w:tab w:val="decimal" w:pos="864"/>
              </w:tabs>
            </w:pPr>
            <w:r>
              <w:t>153</w:t>
            </w:r>
          </w:p>
        </w:tc>
        <w:tc>
          <w:tcPr>
            <w:tcW w:w="594" w:type="pct"/>
            <w:vAlign w:val="bottom"/>
          </w:tcPr>
          <w:p w:rsidR="00B434B9" w:rsidRDefault="00B434B9" w:rsidP="007F375D">
            <w:pPr>
              <w:pStyle w:val="TableText"/>
              <w:tabs>
                <w:tab w:val="decimal" w:pos="674"/>
              </w:tabs>
            </w:pPr>
            <w:r>
              <w:t>4.5</w:t>
            </w:r>
          </w:p>
        </w:tc>
        <w:tc>
          <w:tcPr>
            <w:tcW w:w="601" w:type="pct"/>
            <w:vAlign w:val="bottom"/>
          </w:tcPr>
          <w:p w:rsidR="00B434B9" w:rsidRDefault="00F3693A" w:rsidP="00D03843">
            <w:pPr>
              <w:pStyle w:val="TableText"/>
              <w:tabs>
                <w:tab w:val="decimal" w:pos="749"/>
              </w:tabs>
            </w:pPr>
            <w:r>
              <w:t>689</w:t>
            </w:r>
          </w:p>
        </w:tc>
      </w:tr>
      <w:tr w:rsidR="001C2416" w:rsidRPr="00D2430E" w:rsidTr="008A4A61">
        <w:trPr>
          <w:cantSplit/>
        </w:trPr>
        <w:tc>
          <w:tcPr>
            <w:tcW w:w="975" w:type="pct"/>
            <w:gridSpan w:val="2"/>
            <w:vAlign w:val="bottom"/>
          </w:tcPr>
          <w:p w:rsidR="00B434B9" w:rsidRDefault="00B434B9" w:rsidP="00F15AC9">
            <w:pPr>
              <w:pStyle w:val="TableText"/>
              <w:ind w:left="187" w:hanging="187"/>
              <w:rPr>
                <w:bCs/>
              </w:rPr>
            </w:pPr>
            <w:r>
              <w:rPr>
                <w:bCs/>
              </w:rPr>
              <w:t xml:space="preserve">Student and School Records Request </w:t>
            </w:r>
          </w:p>
          <w:p w:rsidR="00B434B9" w:rsidRPr="00D2430E" w:rsidRDefault="00B434B9" w:rsidP="00F15AC9">
            <w:pPr>
              <w:pStyle w:val="TableText"/>
              <w:ind w:left="187" w:hanging="187"/>
              <w:rPr>
                <w:bCs/>
              </w:rPr>
            </w:pPr>
            <w:r>
              <w:rPr>
                <w:bCs/>
              </w:rPr>
              <w:t>(Appendix D)</w:t>
            </w:r>
          </w:p>
        </w:tc>
        <w:tc>
          <w:tcPr>
            <w:tcW w:w="728" w:type="pct"/>
            <w:vAlign w:val="bottom"/>
          </w:tcPr>
          <w:p w:rsidR="00B434B9" w:rsidRDefault="00B434B9" w:rsidP="00F15AC9">
            <w:pPr>
              <w:pStyle w:val="TableText"/>
              <w:tabs>
                <w:tab w:val="decimal" w:pos="869"/>
              </w:tabs>
              <w:ind w:left="187" w:hanging="187"/>
            </w:pPr>
            <w:r>
              <w:t>51</w:t>
            </w:r>
          </w:p>
        </w:tc>
        <w:tc>
          <w:tcPr>
            <w:tcW w:w="686" w:type="pct"/>
            <w:vAlign w:val="bottom"/>
          </w:tcPr>
          <w:p w:rsidR="00B434B9" w:rsidRDefault="00B434B9" w:rsidP="00F15AC9">
            <w:pPr>
              <w:pStyle w:val="TableText"/>
              <w:ind w:left="187" w:hanging="187"/>
              <w:jc w:val="center"/>
            </w:pPr>
          </w:p>
          <w:p w:rsidR="00B434B9" w:rsidRDefault="00B434B9" w:rsidP="00F15AC9">
            <w:pPr>
              <w:pStyle w:val="TableText"/>
              <w:ind w:left="187" w:hanging="187"/>
              <w:jc w:val="center"/>
            </w:pPr>
            <w:r w:rsidRPr="00D2430E">
              <w:t>1</w:t>
            </w:r>
          </w:p>
        </w:tc>
        <w:tc>
          <w:tcPr>
            <w:tcW w:w="822" w:type="pct"/>
            <w:vAlign w:val="bottom"/>
          </w:tcPr>
          <w:p w:rsidR="00B434B9" w:rsidRDefault="00B434B9" w:rsidP="007F375D">
            <w:pPr>
              <w:pStyle w:val="TableText"/>
              <w:ind w:left="187" w:hanging="187"/>
              <w:jc w:val="center"/>
            </w:pPr>
          </w:p>
          <w:p w:rsidR="00B434B9" w:rsidRDefault="00B434B9" w:rsidP="00F15AC9">
            <w:pPr>
              <w:pStyle w:val="TableText"/>
              <w:tabs>
                <w:tab w:val="decimal" w:pos="864"/>
              </w:tabs>
              <w:ind w:left="187" w:hanging="187"/>
            </w:pPr>
            <w:r>
              <w:t>3</w:t>
            </w:r>
          </w:p>
        </w:tc>
        <w:tc>
          <w:tcPr>
            <w:tcW w:w="594" w:type="pct"/>
            <w:vAlign w:val="bottom"/>
          </w:tcPr>
          <w:p w:rsidR="00B434B9" w:rsidRDefault="00B434B9" w:rsidP="00F15AC9">
            <w:pPr>
              <w:pStyle w:val="TableText"/>
              <w:tabs>
                <w:tab w:val="decimal" w:pos="864"/>
              </w:tabs>
              <w:ind w:left="187" w:hanging="187"/>
            </w:pPr>
          </w:p>
          <w:p w:rsidR="00B434B9" w:rsidRDefault="007F375D" w:rsidP="007F375D">
            <w:pPr>
              <w:pStyle w:val="TableText"/>
              <w:tabs>
                <w:tab w:val="decimal" w:pos="864"/>
              </w:tabs>
              <w:ind w:left="187" w:hanging="187"/>
            </w:pPr>
            <w:r>
              <w:t>1</w:t>
            </w:r>
            <w:r w:rsidR="00B434B9">
              <w:t>5</w:t>
            </w:r>
            <w:r>
              <w:t>3</w:t>
            </w:r>
          </w:p>
        </w:tc>
        <w:tc>
          <w:tcPr>
            <w:tcW w:w="594" w:type="pct"/>
            <w:vAlign w:val="bottom"/>
          </w:tcPr>
          <w:p w:rsidR="00B434B9" w:rsidRDefault="00B434B9" w:rsidP="00F15AC9">
            <w:pPr>
              <w:pStyle w:val="TableText"/>
              <w:tabs>
                <w:tab w:val="decimal" w:pos="674"/>
              </w:tabs>
              <w:ind w:left="187" w:hanging="187"/>
            </w:pPr>
            <w:r>
              <w:t>8.0</w:t>
            </w:r>
          </w:p>
        </w:tc>
        <w:tc>
          <w:tcPr>
            <w:tcW w:w="601" w:type="pct"/>
            <w:vAlign w:val="bottom"/>
          </w:tcPr>
          <w:p w:rsidR="00B434B9" w:rsidRDefault="007F375D" w:rsidP="007F375D">
            <w:pPr>
              <w:pStyle w:val="TableText"/>
              <w:tabs>
                <w:tab w:val="decimal" w:pos="749"/>
              </w:tabs>
              <w:ind w:left="187" w:hanging="187"/>
            </w:pPr>
            <w:r>
              <w:t>1,224</w:t>
            </w:r>
          </w:p>
        </w:tc>
      </w:tr>
      <w:tr w:rsidR="001C2416" w:rsidRPr="00D2430E" w:rsidTr="008A4A61">
        <w:trPr>
          <w:cantSplit/>
        </w:trPr>
        <w:tc>
          <w:tcPr>
            <w:tcW w:w="975" w:type="pct"/>
            <w:gridSpan w:val="2"/>
            <w:tcBorders>
              <w:top w:val="single" w:sz="4" w:space="0" w:color="auto"/>
              <w:bottom w:val="single" w:sz="4" w:space="0" w:color="auto"/>
            </w:tcBorders>
            <w:vAlign w:val="bottom"/>
          </w:tcPr>
          <w:p w:rsidR="00B434B9" w:rsidRPr="00D2430E" w:rsidRDefault="00B434B9" w:rsidP="00D03843">
            <w:pPr>
              <w:pStyle w:val="TableText"/>
              <w:spacing w:before="120" w:after="60"/>
            </w:pPr>
            <w:r w:rsidRPr="00D2430E">
              <w:rPr>
                <w:b/>
              </w:rPr>
              <w:t>Total State Staff</w:t>
            </w:r>
          </w:p>
        </w:tc>
        <w:tc>
          <w:tcPr>
            <w:tcW w:w="728" w:type="pct"/>
            <w:tcBorders>
              <w:top w:val="single" w:sz="4" w:space="0" w:color="auto"/>
              <w:bottom w:val="single" w:sz="4" w:space="0" w:color="auto"/>
            </w:tcBorders>
            <w:vAlign w:val="bottom"/>
          </w:tcPr>
          <w:p w:rsidR="00B434B9" w:rsidRDefault="00B434B9" w:rsidP="00D03843">
            <w:pPr>
              <w:pStyle w:val="TableText"/>
              <w:tabs>
                <w:tab w:val="decimal" w:pos="869"/>
              </w:tabs>
              <w:spacing w:before="120" w:after="60"/>
            </w:pPr>
            <w:r>
              <w:rPr>
                <w:b/>
              </w:rPr>
              <w:t>102</w:t>
            </w:r>
          </w:p>
        </w:tc>
        <w:tc>
          <w:tcPr>
            <w:tcW w:w="686" w:type="pct"/>
            <w:tcBorders>
              <w:top w:val="single" w:sz="4" w:space="0" w:color="auto"/>
              <w:bottom w:val="single" w:sz="4" w:space="0" w:color="auto"/>
            </w:tcBorders>
            <w:vAlign w:val="bottom"/>
          </w:tcPr>
          <w:p w:rsidR="00B434B9" w:rsidRDefault="00B434B9" w:rsidP="00D03843">
            <w:pPr>
              <w:pStyle w:val="TableText"/>
              <w:spacing w:before="120" w:after="60"/>
              <w:jc w:val="center"/>
              <w:rPr>
                <w:b/>
              </w:rPr>
            </w:pPr>
          </w:p>
        </w:tc>
        <w:tc>
          <w:tcPr>
            <w:tcW w:w="822" w:type="pct"/>
            <w:tcBorders>
              <w:top w:val="single" w:sz="4" w:space="0" w:color="auto"/>
              <w:bottom w:val="single" w:sz="4" w:space="0" w:color="auto"/>
            </w:tcBorders>
            <w:vAlign w:val="bottom"/>
          </w:tcPr>
          <w:p w:rsidR="00B434B9" w:rsidRDefault="00B434B9" w:rsidP="00D03843">
            <w:pPr>
              <w:pStyle w:val="TableText"/>
              <w:tabs>
                <w:tab w:val="decimal" w:pos="864"/>
              </w:tabs>
              <w:spacing w:before="120" w:after="60"/>
              <w:rPr>
                <w:b/>
              </w:rPr>
            </w:pPr>
          </w:p>
        </w:tc>
        <w:tc>
          <w:tcPr>
            <w:tcW w:w="594" w:type="pct"/>
            <w:tcBorders>
              <w:top w:val="single" w:sz="4" w:space="0" w:color="auto"/>
              <w:bottom w:val="single" w:sz="4" w:space="0" w:color="auto"/>
            </w:tcBorders>
            <w:vAlign w:val="bottom"/>
          </w:tcPr>
          <w:p w:rsidR="00B434B9" w:rsidRDefault="007F375D" w:rsidP="00D03843">
            <w:pPr>
              <w:pStyle w:val="TableText"/>
              <w:tabs>
                <w:tab w:val="decimal" w:pos="864"/>
              </w:tabs>
              <w:spacing w:before="120" w:after="60"/>
              <w:rPr>
                <w:b/>
              </w:rPr>
            </w:pPr>
            <w:r>
              <w:rPr>
                <w:b/>
              </w:rPr>
              <w:t>306</w:t>
            </w:r>
          </w:p>
        </w:tc>
        <w:tc>
          <w:tcPr>
            <w:tcW w:w="594" w:type="pct"/>
            <w:tcBorders>
              <w:top w:val="single" w:sz="4" w:space="0" w:color="auto"/>
              <w:bottom w:val="single" w:sz="4" w:space="0" w:color="auto"/>
            </w:tcBorders>
            <w:vAlign w:val="bottom"/>
          </w:tcPr>
          <w:p w:rsidR="00B434B9" w:rsidRDefault="00B434B9" w:rsidP="00D03843">
            <w:pPr>
              <w:pStyle w:val="TableText"/>
              <w:tabs>
                <w:tab w:val="decimal" w:pos="674"/>
              </w:tabs>
              <w:spacing w:before="120" w:after="60"/>
            </w:pPr>
          </w:p>
        </w:tc>
        <w:tc>
          <w:tcPr>
            <w:tcW w:w="601" w:type="pct"/>
            <w:tcBorders>
              <w:top w:val="single" w:sz="4" w:space="0" w:color="auto"/>
              <w:bottom w:val="single" w:sz="4" w:space="0" w:color="auto"/>
            </w:tcBorders>
            <w:vAlign w:val="bottom"/>
          </w:tcPr>
          <w:p w:rsidR="00B434B9" w:rsidRDefault="00F3693A" w:rsidP="007F375D">
            <w:pPr>
              <w:pStyle w:val="TableText"/>
              <w:tabs>
                <w:tab w:val="decimal" w:pos="749"/>
              </w:tabs>
              <w:spacing w:before="120" w:after="60"/>
            </w:pPr>
            <w:r>
              <w:rPr>
                <w:b/>
              </w:rPr>
              <w:t>1,913</w:t>
            </w:r>
          </w:p>
        </w:tc>
      </w:tr>
      <w:tr w:rsidR="001C2416" w:rsidRPr="00D2430E" w:rsidTr="008A4A61">
        <w:trPr>
          <w:cantSplit/>
        </w:trPr>
        <w:tc>
          <w:tcPr>
            <w:tcW w:w="975" w:type="pct"/>
            <w:gridSpan w:val="2"/>
            <w:vAlign w:val="bottom"/>
          </w:tcPr>
          <w:p w:rsidR="00B434B9" w:rsidRPr="00D2430E" w:rsidRDefault="00B434B9" w:rsidP="00EC6055">
            <w:pPr>
              <w:pStyle w:val="TableText"/>
              <w:rPr>
                <w:b/>
              </w:rPr>
            </w:pPr>
          </w:p>
          <w:p w:rsidR="00B434B9" w:rsidRPr="00D2430E" w:rsidRDefault="00B434B9" w:rsidP="00EC6055">
            <w:pPr>
              <w:pStyle w:val="TableText"/>
            </w:pPr>
            <w:r w:rsidRPr="00D2430E">
              <w:rPr>
                <w:b/>
              </w:rPr>
              <w:t>Districts</w:t>
            </w:r>
          </w:p>
        </w:tc>
        <w:tc>
          <w:tcPr>
            <w:tcW w:w="728" w:type="pct"/>
            <w:vAlign w:val="bottom"/>
          </w:tcPr>
          <w:p w:rsidR="00B434B9" w:rsidRDefault="00B434B9" w:rsidP="00D03843">
            <w:pPr>
              <w:pStyle w:val="TableText"/>
              <w:tabs>
                <w:tab w:val="decimal" w:pos="869"/>
              </w:tabs>
            </w:pPr>
          </w:p>
        </w:tc>
        <w:tc>
          <w:tcPr>
            <w:tcW w:w="686" w:type="pct"/>
            <w:vAlign w:val="bottom"/>
          </w:tcPr>
          <w:p w:rsidR="00B434B9" w:rsidRDefault="00B434B9" w:rsidP="00D03843">
            <w:pPr>
              <w:pStyle w:val="TableText"/>
              <w:jc w:val="center"/>
            </w:pPr>
          </w:p>
        </w:tc>
        <w:tc>
          <w:tcPr>
            <w:tcW w:w="822" w:type="pct"/>
            <w:vAlign w:val="bottom"/>
          </w:tcPr>
          <w:p w:rsidR="00B434B9" w:rsidRDefault="00B434B9" w:rsidP="00D03843">
            <w:pPr>
              <w:pStyle w:val="TableText"/>
              <w:tabs>
                <w:tab w:val="decimal" w:pos="864"/>
              </w:tabs>
            </w:pPr>
          </w:p>
        </w:tc>
        <w:tc>
          <w:tcPr>
            <w:tcW w:w="594" w:type="pct"/>
            <w:vAlign w:val="bottom"/>
          </w:tcPr>
          <w:p w:rsidR="00B434B9" w:rsidRDefault="00B434B9" w:rsidP="00D03843">
            <w:pPr>
              <w:pStyle w:val="TableText"/>
              <w:tabs>
                <w:tab w:val="decimal" w:pos="864"/>
              </w:tabs>
            </w:pPr>
          </w:p>
        </w:tc>
        <w:tc>
          <w:tcPr>
            <w:tcW w:w="594" w:type="pct"/>
            <w:vAlign w:val="bottom"/>
          </w:tcPr>
          <w:p w:rsidR="00B434B9" w:rsidRDefault="00B434B9" w:rsidP="00D03843">
            <w:pPr>
              <w:pStyle w:val="TableText"/>
              <w:tabs>
                <w:tab w:val="decimal" w:pos="674"/>
              </w:tabs>
            </w:pPr>
          </w:p>
        </w:tc>
        <w:tc>
          <w:tcPr>
            <w:tcW w:w="601" w:type="pct"/>
            <w:vAlign w:val="bottom"/>
          </w:tcPr>
          <w:p w:rsidR="00B434B9" w:rsidRDefault="00B434B9" w:rsidP="00D03843">
            <w:pPr>
              <w:pStyle w:val="TableText"/>
              <w:tabs>
                <w:tab w:val="decimal" w:pos="749"/>
              </w:tabs>
            </w:pPr>
          </w:p>
        </w:tc>
      </w:tr>
      <w:tr w:rsidR="001C2416" w:rsidRPr="00D2430E" w:rsidTr="008A4A61">
        <w:trPr>
          <w:cantSplit/>
        </w:trPr>
        <w:tc>
          <w:tcPr>
            <w:tcW w:w="975" w:type="pct"/>
            <w:gridSpan w:val="2"/>
            <w:vAlign w:val="bottom"/>
          </w:tcPr>
          <w:p w:rsidR="00B434B9" w:rsidRDefault="00B434B9" w:rsidP="00EC6055">
            <w:pPr>
              <w:pStyle w:val="TableText"/>
            </w:pPr>
          </w:p>
          <w:p w:rsidR="00B434B9" w:rsidRDefault="00B434B9" w:rsidP="00B0500D">
            <w:pPr>
              <w:pStyle w:val="TableText"/>
            </w:pPr>
            <w:r>
              <w:t>District Interview</w:t>
            </w:r>
            <w:r w:rsidRPr="00D2430E">
              <w:t xml:space="preserve"> </w:t>
            </w:r>
          </w:p>
          <w:p w:rsidR="00B434B9" w:rsidRPr="00D2430E" w:rsidRDefault="00B434B9" w:rsidP="00B0500D">
            <w:pPr>
              <w:pStyle w:val="TableText"/>
            </w:pPr>
            <w:r>
              <w:t>(Appendix B)</w:t>
            </w:r>
          </w:p>
        </w:tc>
        <w:tc>
          <w:tcPr>
            <w:tcW w:w="728" w:type="pct"/>
            <w:vAlign w:val="bottom"/>
          </w:tcPr>
          <w:p w:rsidR="00B434B9" w:rsidRDefault="00B434B9" w:rsidP="00D03843">
            <w:pPr>
              <w:pStyle w:val="TableText"/>
              <w:tabs>
                <w:tab w:val="decimal" w:pos="869"/>
              </w:tabs>
            </w:pPr>
            <w:r>
              <w:t>134</w:t>
            </w:r>
          </w:p>
        </w:tc>
        <w:tc>
          <w:tcPr>
            <w:tcW w:w="686" w:type="pct"/>
            <w:vAlign w:val="bottom"/>
          </w:tcPr>
          <w:p w:rsidR="00B434B9" w:rsidRDefault="00B434B9" w:rsidP="00D03843">
            <w:pPr>
              <w:pStyle w:val="TableText"/>
              <w:jc w:val="center"/>
            </w:pPr>
          </w:p>
          <w:p w:rsidR="00B434B9" w:rsidRDefault="00B434B9" w:rsidP="00D03843">
            <w:pPr>
              <w:pStyle w:val="TableText"/>
              <w:jc w:val="center"/>
            </w:pPr>
            <w:r w:rsidRPr="00D2430E">
              <w:t>1</w:t>
            </w:r>
          </w:p>
        </w:tc>
        <w:tc>
          <w:tcPr>
            <w:tcW w:w="822" w:type="pct"/>
            <w:vAlign w:val="bottom"/>
          </w:tcPr>
          <w:p w:rsidR="00B434B9" w:rsidRDefault="00B434B9" w:rsidP="007F375D">
            <w:pPr>
              <w:pStyle w:val="TableText"/>
              <w:jc w:val="center"/>
            </w:pPr>
          </w:p>
          <w:p w:rsidR="00B434B9" w:rsidRDefault="00B434B9" w:rsidP="00D03843">
            <w:pPr>
              <w:pStyle w:val="TableText"/>
              <w:tabs>
                <w:tab w:val="decimal" w:pos="864"/>
              </w:tabs>
            </w:pPr>
            <w:r>
              <w:t>3</w:t>
            </w:r>
          </w:p>
        </w:tc>
        <w:tc>
          <w:tcPr>
            <w:tcW w:w="594" w:type="pct"/>
            <w:vAlign w:val="bottom"/>
          </w:tcPr>
          <w:p w:rsidR="00B434B9" w:rsidRDefault="00B434B9" w:rsidP="00D03843">
            <w:pPr>
              <w:pStyle w:val="TableText"/>
              <w:tabs>
                <w:tab w:val="decimal" w:pos="864"/>
              </w:tabs>
            </w:pPr>
          </w:p>
          <w:p w:rsidR="00B434B9" w:rsidRDefault="00EE159F" w:rsidP="00EE159F">
            <w:pPr>
              <w:pStyle w:val="TableText"/>
              <w:tabs>
                <w:tab w:val="decimal" w:pos="864"/>
              </w:tabs>
            </w:pPr>
            <w:r>
              <w:t>402</w:t>
            </w:r>
          </w:p>
        </w:tc>
        <w:tc>
          <w:tcPr>
            <w:tcW w:w="594" w:type="pct"/>
            <w:vAlign w:val="bottom"/>
          </w:tcPr>
          <w:p w:rsidR="00B434B9" w:rsidRDefault="00B434B9" w:rsidP="00EE159F">
            <w:pPr>
              <w:pStyle w:val="TableText"/>
              <w:tabs>
                <w:tab w:val="decimal" w:pos="674"/>
              </w:tabs>
            </w:pPr>
            <w:r w:rsidRPr="00D2430E">
              <w:t>1.5</w:t>
            </w:r>
          </w:p>
        </w:tc>
        <w:tc>
          <w:tcPr>
            <w:tcW w:w="601" w:type="pct"/>
            <w:vAlign w:val="bottom"/>
          </w:tcPr>
          <w:p w:rsidR="00B434B9" w:rsidRDefault="00F3693A" w:rsidP="00EE159F">
            <w:pPr>
              <w:pStyle w:val="TableText"/>
              <w:tabs>
                <w:tab w:val="decimal" w:pos="749"/>
              </w:tabs>
            </w:pPr>
            <w:r>
              <w:t>603</w:t>
            </w:r>
          </w:p>
        </w:tc>
      </w:tr>
      <w:tr w:rsidR="001C2416" w:rsidRPr="00D2430E" w:rsidTr="008A4A61">
        <w:trPr>
          <w:cantSplit/>
        </w:trPr>
        <w:tc>
          <w:tcPr>
            <w:tcW w:w="975" w:type="pct"/>
            <w:gridSpan w:val="2"/>
            <w:vAlign w:val="bottom"/>
          </w:tcPr>
          <w:p w:rsidR="00B434B9" w:rsidRPr="00D2430E" w:rsidDel="00DB6B1C" w:rsidRDefault="00B434B9" w:rsidP="0082790D">
            <w:pPr>
              <w:pStyle w:val="TableText"/>
            </w:pPr>
            <w:r>
              <w:t>Student Records Request (Appendix E)</w:t>
            </w:r>
          </w:p>
        </w:tc>
        <w:tc>
          <w:tcPr>
            <w:tcW w:w="728" w:type="pct"/>
            <w:vAlign w:val="bottom"/>
          </w:tcPr>
          <w:p w:rsidR="00B434B9" w:rsidRDefault="00B434B9" w:rsidP="00D03843">
            <w:pPr>
              <w:pStyle w:val="TableText"/>
              <w:tabs>
                <w:tab w:val="decimal" w:pos="869"/>
              </w:tabs>
            </w:pPr>
            <w:r>
              <w:t>90</w:t>
            </w:r>
          </w:p>
        </w:tc>
        <w:tc>
          <w:tcPr>
            <w:tcW w:w="686" w:type="pct"/>
            <w:vAlign w:val="bottom"/>
          </w:tcPr>
          <w:p w:rsidR="00B434B9" w:rsidRDefault="00B434B9" w:rsidP="00D03843">
            <w:pPr>
              <w:pStyle w:val="TableText"/>
              <w:jc w:val="center"/>
            </w:pPr>
            <w:r>
              <w:t>1</w:t>
            </w:r>
          </w:p>
        </w:tc>
        <w:tc>
          <w:tcPr>
            <w:tcW w:w="822" w:type="pct"/>
            <w:vAlign w:val="bottom"/>
          </w:tcPr>
          <w:p w:rsidR="00B434B9" w:rsidRDefault="00B434B9" w:rsidP="00D03843">
            <w:pPr>
              <w:pStyle w:val="TableText"/>
              <w:tabs>
                <w:tab w:val="decimal" w:pos="864"/>
              </w:tabs>
            </w:pPr>
            <w:r>
              <w:t>3</w:t>
            </w:r>
          </w:p>
        </w:tc>
        <w:tc>
          <w:tcPr>
            <w:tcW w:w="594" w:type="pct"/>
            <w:vAlign w:val="bottom"/>
          </w:tcPr>
          <w:p w:rsidR="00B434B9" w:rsidRDefault="00EE159F" w:rsidP="00EE159F">
            <w:pPr>
              <w:pStyle w:val="TableText"/>
              <w:tabs>
                <w:tab w:val="decimal" w:pos="864"/>
              </w:tabs>
            </w:pPr>
            <w:r>
              <w:t>270</w:t>
            </w:r>
          </w:p>
        </w:tc>
        <w:tc>
          <w:tcPr>
            <w:tcW w:w="594" w:type="pct"/>
            <w:vAlign w:val="bottom"/>
          </w:tcPr>
          <w:p w:rsidR="00B434B9" w:rsidRDefault="00B434B9" w:rsidP="00D03843">
            <w:pPr>
              <w:pStyle w:val="TableText"/>
              <w:tabs>
                <w:tab w:val="decimal" w:pos="674"/>
              </w:tabs>
            </w:pPr>
            <w:r>
              <w:t>8.0</w:t>
            </w:r>
          </w:p>
        </w:tc>
        <w:tc>
          <w:tcPr>
            <w:tcW w:w="601" w:type="pct"/>
            <w:vAlign w:val="bottom"/>
          </w:tcPr>
          <w:p w:rsidR="00B434B9" w:rsidRDefault="00EE159F" w:rsidP="00EE159F">
            <w:pPr>
              <w:pStyle w:val="TableText"/>
              <w:tabs>
                <w:tab w:val="decimal" w:pos="749"/>
              </w:tabs>
            </w:pPr>
            <w:r>
              <w:t>2,160</w:t>
            </w:r>
          </w:p>
        </w:tc>
      </w:tr>
      <w:tr w:rsidR="001C2416" w:rsidRPr="00D2430E" w:rsidTr="008A4A61">
        <w:trPr>
          <w:cantSplit/>
        </w:trPr>
        <w:tc>
          <w:tcPr>
            <w:tcW w:w="975" w:type="pct"/>
            <w:gridSpan w:val="2"/>
            <w:tcBorders>
              <w:top w:val="single" w:sz="4" w:space="0" w:color="auto"/>
            </w:tcBorders>
            <w:vAlign w:val="bottom"/>
          </w:tcPr>
          <w:p w:rsidR="00B434B9" w:rsidRDefault="00B434B9" w:rsidP="00D03843">
            <w:pPr>
              <w:pStyle w:val="TableText"/>
              <w:spacing w:before="120" w:after="60"/>
            </w:pPr>
            <w:r w:rsidRPr="00D2430E">
              <w:rPr>
                <w:b/>
              </w:rPr>
              <w:t>Total District Staff</w:t>
            </w:r>
          </w:p>
        </w:tc>
        <w:tc>
          <w:tcPr>
            <w:tcW w:w="728" w:type="pct"/>
            <w:tcBorders>
              <w:top w:val="single" w:sz="4" w:space="0" w:color="auto"/>
            </w:tcBorders>
            <w:vAlign w:val="bottom"/>
          </w:tcPr>
          <w:p w:rsidR="00B434B9" w:rsidRDefault="00B434B9" w:rsidP="00D03843">
            <w:pPr>
              <w:pStyle w:val="TableText"/>
              <w:tabs>
                <w:tab w:val="decimal" w:pos="869"/>
              </w:tabs>
              <w:spacing w:before="120" w:after="60"/>
            </w:pPr>
            <w:r>
              <w:rPr>
                <w:b/>
              </w:rPr>
              <w:t>224</w:t>
            </w:r>
          </w:p>
        </w:tc>
        <w:tc>
          <w:tcPr>
            <w:tcW w:w="686" w:type="pct"/>
            <w:tcBorders>
              <w:top w:val="single" w:sz="4" w:space="0" w:color="auto"/>
            </w:tcBorders>
            <w:vAlign w:val="bottom"/>
          </w:tcPr>
          <w:p w:rsidR="00B434B9" w:rsidRDefault="00B434B9" w:rsidP="00D03843">
            <w:pPr>
              <w:pStyle w:val="TableText"/>
              <w:spacing w:before="120" w:after="60"/>
              <w:jc w:val="center"/>
              <w:rPr>
                <w:b/>
              </w:rPr>
            </w:pPr>
          </w:p>
        </w:tc>
        <w:tc>
          <w:tcPr>
            <w:tcW w:w="822" w:type="pct"/>
            <w:tcBorders>
              <w:top w:val="single" w:sz="4" w:space="0" w:color="auto"/>
            </w:tcBorders>
            <w:vAlign w:val="bottom"/>
          </w:tcPr>
          <w:p w:rsidR="00B434B9" w:rsidRDefault="00B434B9" w:rsidP="00D03843">
            <w:pPr>
              <w:pStyle w:val="TableText"/>
              <w:tabs>
                <w:tab w:val="decimal" w:pos="864"/>
              </w:tabs>
              <w:spacing w:before="120" w:after="60"/>
              <w:rPr>
                <w:b/>
              </w:rPr>
            </w:pPr>
          </w:p>
        </w:tc>
        <w:tc>
          <w:tcPr>
            <w:tcW w:w="594" w:type="pct"/>
            <w:tcBorders>
              <w:top w:val="single" w:sz="4" w:space="0" w:color="auto"/>
            </w:tcBorders>
            <w:vAlign w:val="bottom"/>
          </w:tcPr>
          <w:p w:rsidR="00B434B9" w:rsidRDefault="00EE159F" w:rsidP="00EE159F">
            <w:pPr>
              <w:pStyle w:val="TableText"/>
              <w:tabs>
                <w:tab w:val="decimal" w:pos="864"/>
              </w:tabs>
              <w:spacing w:before="120" w:after="60"/>
              <w:rPr>
                <w:b/>
              </w:rPr>
            </w:pPr>
            <w:r>
              <w:rPr>
                <w:b/>
              </w:rPr>
              <w:t>672</w:t>
            </w:r>
          </w:p>
        </w:tc>
        <w:tc>
          <w:tcPr>
            <w:tcW w:w="594" w:type="pct"/>
            <w:tcBorders>
              <w:top w:val="single" w:sz="4" w:space="0" w:color="auto"/>
            </w:tcBorders>
            <w:vAlign w:val="bottom"/>
          </w:tcPr>
          <w:p w:rsidR="00B434B9" w:rsidRDefault="00B434B9" w:rsidP="00D03843">
            <w:pPr>
              <w:pStyle w:val="TableText"/>
              <w:tabs>
                <w:tab w:val="decimal" w:pos="674"/>
              </w:tabs>
              <w:spacing w:before="120" w:after="60"/>
            </w:pPr>
          </w:p>
        </w:tc>
        <w:tc>
          <w:tcPr>
            <w:tcW w:w="601" w:type="pct"/>
            <w:tcBorders>
              <w:top w:val="single" w:sz="4" w:space="0" w:color="auto"/>
            </w:tcBorders>
            <w:vAlign w:val="bottom"/>
          </w:tcPr>
          <w:p w:rsidR="00B434B9" w:rsidRDefault="00EE159F" w:rsidP="00F3693A">
            <w:pPr>
              <w:pStyle w:val="TableText"/>
              <w:tabs>
                <w:tab w:val="decimal" w:pos="749"/>
              </w:tabs>
              <w:spacing w:before="120" w:after="60"/>
            </w:pPr>
            <w:r>
              <w:rPr>
                <w:b/>
              </w:rPr>
              <w:t>2,</w:t>
            </w:r>
            <w:r w:rsidR="00F3693A">
              <w:rPr>
                <w:b/>
              </w:rPr>
              <w:t>763</w:t>
            </w:r>
          </w:p>
        </w:tc>
      </w:tr>
      <w:tr w:rsidR="001C2416" w:rsidRPr="00D2430E" w:rsidTr="008A4A61">
        <w:trPr>
          <w:cantSplit/>
        </w:trPr>
        <w:tc>
          <w:tcPr>
            <w:tcW w:w="975" w:type="pct"/>
            <w:gridSpan w:val="2"/>
            <w:tcBorders>
              <w:top w:val="single" w:sz="4" w:space="0" w:color="auto"/>
            </w:tcBorders>
            <w:vAlign w:val="bottom"/>
          </w:tcPr>
          <w:p w:rsidR="00B434B9" w:rsidRDefault="00B434B9" w:rsidP="00EC6055">
            <w:pPr>
              <w:pStyle w:val="TableText"/>
              <w:rPr>
                <w:b/>
              </w:rPr>
            </w:pPr>
          </w:p>
          <w:p w:rsidR="00B434B9" w:rsidRPr="00D2430E" w:rsidRDefault="00B434B9" w:rsidP="00EC6055">
            <w:pPr>
              <w:pStyle w:val="TableText"/>
              <w:rPr>
                <w:b/>
              </w:rPr>
            </w:pPr>
            <w:r w:rsidRPr="00D2430E">
              <w:rPr>
                <w:b/>
              </w:rPr>
              <w:t>S</w:t>
            </w:r>
            <w:r>
              <w:rPr>
                <w:b/>
              </w:rPr>
              <w:t>chools</w:t>
            </w:r>
          </w:p>
        </w:tc>
        <w:tc>
          <w:tcPr>
            <w:tcW w:w="728" w:type="pct"/>
            <w:tcBorders>
              <w:top w:val="single" w:sz="4" w:space="0" w:color="auto"/>
            </w:tcBorders>
            <w:vAlign w:val="bottom"/>
          </w:tcPr>
          <w:p w:rsidR="00B434B9" w:rsidRDefault="00B434B9" w:rsidP="00D03843">
            <w:pPr>
              <w:pStyle w:val="TableText"/>
              <w:tabs>
                <w:tab w:val="decimal" w:pos="869"/>
              </w:tabs>
            </w:pPr>
          </w:p>
        </w:tc>
        <w:tc>
          <w:tcPr>
            <w:tcW w:w="686" w:type="pct"/>
            <w:tcBorders>
              <w:top w:val="single" w:sz="4" w:space="0" w:color="auto"/>
            </w:tcBorders>
            <w:vAlign w:val="bottom"/>
          </w:tcPr>
          <w:p w:rsidR="00B434B9" w:rsidRDefault="00B434B9" w:rsidP="00D03843">
            <w:pPr>
              <w:pStyle w:val="TableText"/>
              <w:jc w:val="center"/>
            </w:pPr>
          </w:p>
        </w:tc>
        <w:tc>
          <w:tcPr>
            <w:tcW w:w="822" w:type="pct"/>
            <w:tcBorders>
              <w:top w:val="single" w:sz="4" w:space="0" w:color="auto"/>
            </w:tcBorders>
            <w:vAlign w:val="bottom"/>
          </w:tcPr>
          <w:p w:rsidR="00B434B9" w:rsidRDefault="00B434B9" w:rsidP="00D03843">
            <w:pPr>
              <w:pStyle w:val="TableText"/>
              <w:tabs>
                <w:tab w:val="decimal" w:pos="864"/>
              </w:tabs>
            </w:pPr>
          </w:p>
        </w:tc>
        <w:tc>
          <w:tcPr>
            <w:tcW w:w="594" w:type="pct"/>
            <w:tcBorders>
              <w:top w:val="single" w:sz="4" w:space="0" w:color="auto"/>
            </w:tcBorders>
            <w:vAlign w:val="bottom"/>
          </w:tcPr>
          <w:p w:rsidR="00B434B9" w:rsidRDefault="00B434B9" w:rsidP="00D03843">
            <w:pPr>
              <w:pStyle w:val="TableText"/>
              <w:tabs>
                <w:tab w:val="decimal" w:pos="864"/>
              </w:tabs>
            </w:pPr>
          </w:p>
        </w:tc>
        <w:tc>
          <w:tcPr>
            <w:tcW w:w="594" w:type="pct"/>
            <w:tcBorders>
              <w:top w:val="single" w:sz="4" w:space="0" w:color="auto"/>
            </w:tcBorders>
            <w:vAlign w:val="bottom"/>
          </w:tcPr>
          <w:p w:rsidR="00B434B9" w:rsidRDefault="00B434B9" w:rsidP="00D03843">
            <w:pPr>
              <w:pStyle w:val="TableText"/>
              <w:tabs>
                <w:tab w:val="decimal" w:pos="674"/>
              </w:tabs>
            </w:pPr>
          </w:p>
        </w:tc>
        <w:tc>
          <w:tcPr>
            <w:tcW w:w="601" w:type="pct"/>
            <w:tcBorders>
              <w:top w:val="single" w:sz="4" w:space="0" w:color="auto"/>
            </w:tcBorders>
            <w:vAlign w:val="bottom"/>
          </w:tcPr>
          <w:p w:rsidR="00B434B9" w:rsidRDefault="00B434B9" w:rsidP="00D03843">
            <w:pPr>
              <w:pStyle w:val="TableText"/>
              <w:tabs>
                <w:tab w:val="decimal" w:pos="749"/>
              </w:tabs>
            </w:pPr>
          </w:p>
        </w:tc>
      </w:tr>
      <w:tr w:rsidR="001C2416" w:rsidRPr="00D2430E" w:rsidTr="008A4A61">
        <w:trPr>
          <w:cantSplit/>
        </w:trPr>
        <w:tc>
          <w:tcPr>
            <w:tcW w:w="975" w:type="pct"/>
            <w:gridSpan w:val="2"/>
            <w:vAlign w:val="bottom"/>
          </w:tcPr>
          <w:p w:rsidR="00B434B9" w:rsidRPr="00D2430E" w:rsidRDefault="00B434B9" w:rsidP="004661CF">
            <w:pPr>
              <w:pStyle w:val="TableText"/>
              <w:rPr>
                <w:b/>
                <w:bCs/>
              </w:rPr>
            </w:pPr>
            <w:r>
              <w:t>School Survey (Appendix C)</w:t>
            </w:r>
          </w:p>
        </w:tc>
        <w:tc>
          <w:tcPr>
            <w:tcW w:w="728" w:type="pct"/>
            <w:vAlign w:val="bottom"/>
          </w:tcPr>
          <w:p w:rsidR="00B434B9" w:rsidRDefault="00B434B9" w:rsidP="00D03843">
            <w:pPr>
              <w:pStyle w:val="TableText"/>
              <w:tabs>
                <w:tab w:val="decimal" w:pos="869"/>
              </w:tabs>
            </w:pPr>
            <w:r>
              <w:t>1,</w:t>
            </w:r>
            <w:r w:rsidR="006C6E87">
              <w:t>20</w:t>
            </w:r>
            <w:r>
              <w:t>0</w:t>
            </w:r>
          </w:p>
        </w:tc>
        <w:tc>
          <w:tcPr>
            <w:tcW w:w="686" w:type="pct"/>
            <w:vAlign w:val="bottom"/>
          </w:tcPr>
          <w:p w:rsidR="00B434B9" w:rsidRDefault="00B434B9" w:rsidP="00D03843">
            <w:pPr>
              <w:pStyle w:val="TableText"/>
              <w:jc w:val="center"/>
            </w:pPr>
          </w:p>
          <w:p w:rsidR="00B434B9" w:rsidRDefault="00B434B9" w:rsidP="00D03843">
            <w:pPr>
              <w:pStyle w:val="TableText"/>
              <w:jc w:val="center"/>
            </w:pPr>
            <w:r w:rsidRPr="00D2430E">
              <w:t>1</w:t>
            </w:r>
          </w:p>
        </w:tc>
        <w:tc>
          <w:tcPr>
            <w:tcW w:w="822" w:type="pct"/>
            <w:vAlign w:val="bottom"/>
          </w:tcPr>
          <w:p w:rsidR="00B434B9" w:rsidRDefault="00B434B9" w:rsidP="007F375D">
            <w:pPr>
              <w:pStyle w:val="TableText"/>
              <w:jc w:val="center"/>
            </w:pPr>
          </w:p>
          <w:p w:rsidR="00B434B9" w:rsidRDefault="00B434B9" w:rsidP="00D03843">
            <w:pPr>
              <w:pStyle w:val="TableText"/>
              <w:tabs>
                <w:tab w:val="decimal" w:pos="864"/>
              </w:tabs>
            </w:pPr>
            <w:r>
              <w:t>3</w:t>
            </w:r>
          </w:p>
        </w:tc>
        <w:tc>
          <w:tcPr>
            <w:tcW w:w="594" w:type="pct"/>
            <w:vAlign w:val="bottom"/>
          </w:tcPr>
          <w:p w:rsidR="00B434B9" w:rsidRDefault="00B434B9" w:rsidP="00D03843">
            <w:pPr>
              <w:pStyle w:val="TableText"/>
              <w:tabs>
                <w:tab w:val="decimal" w:pos="864"/>
              </w:tabs>
            </w:pPr>
          </w:p>
          <w:p w:rsidR="00B434B9" w:rsidRDefault="006C6E87" w:rsidP="00EE159F">
            <w:pPr>
              <w:pStyle w:val="TableText"/>
              <w:tabs>
                <w:tab w:val="decimal" w:pos="864"/>
              </w:tabs>
            </w:pPr>
            <w:r>
              <w:t>3,60</w:t>
            </w:r>
            <w:r w:rsidR="00EE159F">
              <w:t>0</w:t>
            </w:r>
          </w:p>
        </w:tc>
        <w:tc>
          <w:tcPr>
            <w:tcW w:w="594" w:type="pct"/>
            <w:vAlign w:val="bottom"/>
          </w:tcPr>
          <w:p w:rsidR="00B434B9" w:rsidRDefault="00B434B9" w:rsidP="00D03843">
            <w:pPr>
              <w:pStyle w:val="TableText"/>
              <w:tabs>
                <w:tab w:val="decimal" w:pos="533"/>
              </w:tabs>
            </w:pPr>
            <w:r>
              <w:t>0.75</w:t>
            </w:r>
          </w:p>
        </w:tc>
        <w:tc>
          <w:tcPr>
            <w:tcW w:w="601" w:type="pct"/>
            <w:vAlign w:val="bottom"/>
          </w:tcPr>
          <w:p w:rsidR="00B434B9" w:rsidRDefault="006C6E87" w:rsidP="00F3693A">
            <w:pPr>
              <w:pStyle w:val="TableText"/>
              <w:tabs>
                <w:tab w:val="decimal" w:pos="749"/>
              </w:tabs>
            </w:pPr>
            <w:r>
              <w:t>2,700</w:t>
            </w:r>
          </w:p>
        </w:tc>
      </w:tr>
      <w:tr w:rsidR="001C2416" w:rsidRPr="002A01E8" w:rsidTr="008A4A61">
        <w:trPr>
          <w:cantSplit/>
        </w:trPr>
        <w:tc>
          <w:tcPr>
            <w:tcW w:w="975" w:type="pct"/>
            <w:gridSpan w:val="2"/>
            <w:tcBorders>
              <w:top w:val="single" w:sz="4" w:space="0" w:color="auto"/>
              <w:bottom w:val="single" w:sz="4" w:space="0" w:color="auto"/>
            </w:tcBorders>
            <w:vAlign w:val="bottom"/>
          </w:tcPr>
          <w:p w:rsidR="00B434B9" w:rsidRDefault="00B434B9" w:rsidP="00D03843">
            <w:pPr>
              <w:pStyle w:val="TableText"/>
              <w:spacing w:before="120" w:after="60"/>
              <w:rPr>
                <w:b/>
              </w:rPr>
            </w:pPr>
            <w:r>
              <w:rPr>
                <w:b/>
              </w:rPr>
              <w:t>Total School Staff</w:t>
            </w:r>
          </w:p>
        </w:tc>
        <w:tc>
          <w:tcPr>
            <w:tcW w:w="728" w:type="pct"/>
            <w:tcBorders>
              <w:top w:val="single" w:sz="4" w:space="0" w:color="auto"/>
              <w:bottom w:val="single" w:sz="4" w:space="0" w:color="auto"/>
            </w:tcBorders>
            <w:vAlign w:val="bottom"/>
          </w:tcPr>
          <w:p w:rsidR="00B434B9" w:rsidRDefault="00B434B9" w:rsidP="00D03843">
            <w:pPr>
              <w:pStyle w:val="TableText"/>
              <w:tabs>
                <w:tab w:val="decimal" w:pos="869"/>
              </w:tabs>
              <w:spacing w:before="120" w:after="60"/>
              <w:rPr>
                <w:b/>
              </w:rPr>
            </w:pPr>
            <w:r w:rsidRPr="00BA6386">
              <w:rPr>
                <w:b/>
              </w:rPr>
              <w:t>1,2</w:t>
            </w:r>
            <w:r w:rsidR="006C6E87">
              <w:rPr>
                <w:b/>
              </w:rPr>
              <w:t>0</w:t>
            </w:r>
            <w:r w:rsidRPr="00BA6386">
              <w:rPr>
                <w:b/>
              </w:rPr>
              <w:t>0</w:t>
            </w:r>
          </w:p>
        </w:tc>
        <w:tc>
          <w:tcPr>
            <w:tcW w:w="686" w:type="pct"/>
            <w:tcBorders>
              <w:top w:val="single" w:sz="4" w:space="0" w:color="auto"/>
              <w:bottom w:val="single" w:sz="4" w:space="0" w:color="auto"/>
            </w:tcBorders>
            <w:vAlign w:val="bottom"/>
          </w:tcPr>
          <w:p w:rsidR="00B434B9" w:rsidRDefault="00B434B9" w:rsidP="00D03843">
            <w:pPr>
              <w:pStyle w:val="TableText"/>
              <w:spacing w:before="120" w:after="60"/>
              <w:jc w:val="center"/>
              <w:rPr>
                <w:b/>
              </w:rPr>
            </w:pPr>
          </w:p>
        </w:tc>
        <w:tc>
          <w:tcPr>
            <w:tcW w:w="822" w:type="pct"/>
            <w:tcBorders>
              <w:top w:val="single" w:sz="4" w:space="0" w:color="auto"/>
              <w:bottom w:val="single" w:sz="4" w:space="0" w:color="auto"/>
            </w:tcBorders>
            <w:vAlign w:val="bottom"/>
          </w:tcPr>
          <w:p w:rsidR="00B434B9" w:rsidRDefault="00B434B9" w:rsidP="00D03843">
            <w:pPr>
              <w:pStyle w:val="TableText"/>
              <w:tabs>
                <w:tab w:val="decimal" w:pos="864"/>
              </w:tabs>
              <w:spacing w:before="120" w:after="60"/>
              <w:rPr>
                <w:b/>
              </w:rPr>
            </w:pPr>
          </w:p>
        </w:tc>
        <w:tc>
          <w:tcPr>
            <w:tcW w:w="594" w:type="pct"/>
            <w:tcBorders>
              <w:top w:val="single" w:sz="4" w:space="0" w:color="auto"/>
              <w:bottom w:val="single" w:sz="4" w:space="0" w:color="auto"/>
            </w:tcBorders>
            <w:vAlign w:val="bottom"/>
          </w:tcPr>
          <w:p w:rsidR="00B434B9" w:rsidRDefault="006C6E87" w:rsidP="00EE159F">
            <w:pPr>
              <w:pStyle w:val="TableText"/>
              <w:tabs>
                <w:tab w:val="decimal" w:pos="864"/>
              </w:tabs>
              <w:spacing w:before="120" w:after="60"/>
              <w:rPr>
                <w:b/>
              </w:rPr>
            </w:pPr>
            <w:r>
              <w:rPr>
                <w:b/>
              </w:rPr>
              <w:t>3,60</w:t>
            </w:r>
            <w:r w:rsidR="00EE159F">
              <w:rPr>
                <w:b/>
              </w:rPr>
              <w:t>0</w:t>
            </w:r>
          </w:p>
        </w:tc>
        <w:tc>
          <w:tcPr>
            <w:tcW w:w="594" w:type="pct"/>
            <w:tcBorders>
              <w:top w:val="single" w:sz="4" w:space="0" w:color="auto"/>
              <w:bottom w:val="single" w:sz="4" w:space="0" w:color="auto"/>
            </w:tcBorders>
            <w:vAlign w:val="bottom"/>
          </w:tcPr>
          <w:p w:rsidR="00B434B9" w:rsidRDefault="00B434B9" w:rsidP="00D03843">
            <w:pPr>
              <w:pStyle w:val="TableText"/>
              <w:tabs>
                <w:tab w:val="decimal" w:pos="674"/>
              </w:tabs>
              <w:spacing w:before="120" w:after="60"/>
              <w:rPr>
                <w:b/>
              </w:rPr>
            </w:pPr>
          </w:p>
        </w:tc>
        <w:tc>
          <w:tcPr>
            <w:tcW w:w="601" w:type="pct"/>
            <w:tcBorders>
              <w:top w:val="single" w:sz="4" w:space="0" w:color="auto"/>
              <w:bottom w:val="single" w:sz="4" w:space="0" w:color="auto"/>
            </w:tcBorders>
            <w:vAlign w:val="bottom"/>
          </w:tcPr>
          <w:p w:rsidR="00B434B9" w:rsidRDefault="006C6E87" w:rsidP="00EE159F">
            <w:pPr>
              <w:pStyle w:val="TableText"/>
              <w:tabs>
                <w:tab w:val="decimal" w:pos="749"/>
              </w:tabs>
              <w:spacing w:before="120" w:after="60"/>
              <w:rPr>
                <w:b/>
              </w:rPr>
            </w:pPr>
            <w:r>
              <w:rPr>
                <w:b/>
              </w:rPr>
              <w:t>2,700</w:t>
            </w:r>
          </w:p>
        </w:tc>
      </w:tr>
      <w:tr w:rsidR="001C2416" w:rsidRPr="002A01E8" w:rsidTr="008A4A61">
        <w:trPr>
          <w:cantSplit/>
        </w:trPr>
        <w:tc>
          <w:tcPr>
            <w:tcW w:w="975" w:type="pct"/>
            <w:gridSpan w:val="2"/>
            <w:tcBorders>
              <w:top w:val="single" w:sz="4" w:space="0" w:color="auto"/>
              <w:left w:val="nil"/>
              <w:bottom w:val="single" w:sz="4" w:space="0" w:color="auto"/>
              <w:right w:val="nil"/>
            </w:tcBorders>
            <w:vAlign w:val="bottom"/>
          </w:tcPr>
          <w:p w:rsidR="00B434B9" w:rsidRDefault="00B434B9" w:rsidP="00D03843">
            <w:pPr>
              <w:pStyle w:val="TableText"/>
              <w:spacing w:before="120" w:after="60"/>
              <w:rPr>
                <w:b/>
              </w:rPr>
            </w:pPr>
            <w:r w:rsidRPr="00D2430E" w:rsidDel="00EB28C9">
              <w:rPr>
                <w:b/>
              </w:rPr>
              <w:t>Overall Total</w:t>
            </w:r>
            <w:r w:rsidRPr="00BA6386">
              <w:rPr>
                <w:b/>
              </w:rPr>
              <w:t xml:space="preserve"> </w:t>
            </w:r>
          </w:p>
        </w:tc>
        <w:tc>
          <w:tcPr>
            <w:tcW w:w="728" w:type="pct"/>
            <w:tcBorders>
              <w:top w:val="single" w:sz="4" w:space="0" w:color="auto"/>
              <w:left w:val="nil"/>
              <w:bottom w:val="single" w:sz="4" w:space="0" w:color="auto"/>
              <w:right w:val="nil"/>
            </w:tcBorders>
            <w:vAlign w:val="bottom"/>
          </w:tcPr>
          <w:p w:rsidR="00B434B9" w:rsidRDefault="00B434B9" w:rsidP="00D03843">
            <w:pPr>
              <w:pStyle w:val="TableText"/>
              <w:tabs>
                <w:tab w:val="decimal" w:pos="869"/>
              </w:tabs>
              <w:spacing w:before="120" w:after="60"/>
              <w:rPr>
                <w:b/>
              </w:rPr>
            </w:pPr>
            <w:r>
              <w:rPr>
                <w:b/>
              </w:rPr>
              <w:t>1,</w:t>
            </w:r>
            <w:r w:rsidR="006C6E87">
              <w:rPr>
                <w:b/>
              </w:rPr>
              <w:t>52</w:t>
            </w:r>
            <w:r>
              <w:rPr>
                <w:b/>
              </w:rPr>
              <w:t>6</w:t>
            </w:r>
          </w:p>
        </w:tc>
        <w:tc>
          <w:tcPr>
            <w:tcW w:w="686" w:type="pct"/>
            <w:tcBorders>
              <w:top w:val="single" w:sz="4" w:space="0" w:color="auto"/>
              <w:left w:val="nil"/>
              <w:bottom w:val="single" w:sz="4" w:space="0" w:color="auto"/>
              <w:right w:val="nil"/>
            </w:tcBorders>
            <w:vAlign w:val="bottom"/>
          </w:tcPr>
          <w:p w:rsidR="00B434B9" w:rsidRDefault="00B434B9" w:rsidP="00D03843">
            <w:pPr>
              <w:pStyle w:val="TableText"/>
              <w:spacing w:before="120" w:after="60"/>
              <w:jc w:val="center"/>
              <w:rPr>
                <w:b/>
              </w:rPr>
            </w:pPr>
          </w:p>
        </w:tc>
        <w:tc>
          <w:tcPr>
            <w:tcW w:w="822" w:type="pct"/>
            <w:tcBorders>
              <w:top w:val="single" w:sz="4" w:space="0" w:color="auto"/>
              <w:left w:val="nil"/>
              <w:bottom w:val="single" w:sz="4" w:space="0" w:color="auto"/>
              <w:right w:val="nil"/>
            </w:tcBorders>
            <w:vAlign w:val="bottom"/>
          </w:tcPr>
          <w:p w:rsidR="00B434B9" w:rsidRPr="00D2430E" w:rsidRDefault="00B434B9" w:rsidP="00D03843">
            <w:pPr>
              <w:pStyle w:val="TableText"/>
              <w:tabs>
                <w:tab w:val="decimal" w:pos="864"/>
              </w:tabs>
              <w:spacing w:before="120" w:after="60"/>
              <w:rPr>
                <w:b/>
              </w:rPr>
            </w:pPr>
          </w:p>
        </w:tc>
        <w:tc>
          <w:tcPr>
            <w:tcW w:w="594" w:type="pct"/>
            <w:tcBorders>
              <w:top w:val="single" w:sz="4" w:space="0" w:color="auto"/>
              <w:left w:val="nil"/>
              <w:bottom w:val="single" w:sz="4" w:space="0" w:color="auto"/>
              <w:right w:val="nil"/>
            </w:tcBorders>
            <w:vAlign w:val="bottom"/>
          </w:tcPr>
          <w:p w:rsidR="00B434B9" w:rsidRDefault="00EE159F" w:rsidP="00EE159F">
            <w:pPr>
              <w:pStyle w:val="TableText"/>
              <w:tabs>
                <w:tab w:val="decimal" w:pos="864"/>
              </w:tabs>
              <w:spacing w:before="120" w:after="60"/>
              <w:rPr>
                <w:b/>
              </w:rPr>
            </w:pPr>
            <w:r>
              <w:rPr>
                <w:b/>
              </w:rPr>
              <w:t>4,</w:t>
            </w:r>
            <w:r w:rsidR="006C6E87">
              <w:rPr>
                <w:b/>
              </w:rPr>
              <w:t>578</w:t>
            </w:r>
          </w:p>
        </w:tc>
        <w:tc>
          <w:tcPr>
            <w:tcW w:w="594" w:type="pct"/>
            <w:tcBorders>
              <w:top w:val="single" w:sz="4" w:space="0" w:color="auto"/>
              <w:left w:val="nil"/>
              <w:bottom w:val="single" w:sz="4" w:space="0" w:color="auto"/>
              <w:right w:val="nil"/>
            </w:tcBorders>
            <w:vAlign w:val="bottom"/>
          </w:tcPr>
          <w:p w:rsidR="00B434B9" w:rsidRDefault="00B434B9" w:rsidP="00D03843">
            <w:pPr>
              <w:pStyle w:val="TableText"/>
              <w:tabs>
                <w:tab w:val="decimal" w:pos="674"/>
              </w:tabs>
              <w:spacing w:before="120" w:after="60"/>
              <w:rPr>
                <w:b/>
              </w:rPr>
            </w:pPr>
          </w:p>
        </w:tc>
        <w:tc>
          <w:tcPr>
            <w:tcW w:w="601" w:type="pct"/>
            <w:tcBorders>
              <w:top w:val="single" w:sz="4" w:space="0" w:color="auto"/>
              <w:left w:val="nil"/>
              <w:bottom w:val="single" w:sz="4" w:space="0" w:color="auto"/>
              <w:right w:val="nil"/>
            </w:tcBorders>
            <w:vAlign w:val="bottom"/>
          </w:tcPr>
          <w:p w:rsidR="00B434B9" w:rsidRDefault="006C6E87" w:rsidP="00EE159F">
            <w:pPr>
              <w:pStyle w:val="TableText"/>
              <w:tabs>
                <w:tab w:val="decimal" w:pos="749"/>
              </w:tabs>
              <w:spacing w:before="120" w:after="60"/>
              <w:rPr>
                <w:b/>
              </w:rPr>
            </w:pPr>
            <w:r>
              <w:rPr>
                <w:b/>
              </w:rPr>
              <w:t>7,376</w:t>
            </w:r>
          </w:p>
        </w:tc>
      </w:tr>
    </w:tbl>
    <w:p w:rsidR="00EC6360" w:rsidRPr="00D2430E" w:rsidRDefault="00EC6360" w:rsidP="00EC6360">
      <w:pPr>
        <w:pStyle w:val="NormalSS"/>
        <w:ind w:firstLine="0"/>
        <w:rPr>
          <w:color w:val="FF0000"/>
        </w:rPr>
      </w:pPr>
    </w:p>
    <w:p w:rsidR="00406320" w:rsidRPr="009C25B8" w:rsidRDefault="0028722A" w:rsidP="00AE7C63">
      <w:pPr>
        <w:pStyle w:val="NormalSS"/>
      </w:pPr>
      <w:r>
        <w:rPr>
          <w:b/>
        </w:rPr>
        <w:t>Implementation Analysis</w:t>
      </w:r>
      <w:r w:rsidR="000851D4" w:rsidRPr="003A6CBB">
        <w:rPr>
          <w:b/>
        </w:rPr>
        <w:t>.</w:t>
      </w:r>
      <w:r w:rsidR="000851D4" w:rsidRPr="003A6CBB">
        <w:t xml:space="preserve"> </w:t>
      </w:r>
      <w:r w:rsidR="00AE7C63">
        <w:t xml:space="preserve">To thoroughly </w:t>
      </w:r>
      <w:r w:rsidR="00DA4B04">
        <w:t xml:space="preserve">document </w:t>
      </w:r>
      <w:r w:rsidR="00AE7C63">
        <w:t xml:space="preserve">the extent to which states, districts, and schools have implemented RTT and SIG systems and requirements, we will use data collected through interviews with state and district representatives and surveys of school administrators. </w:t>
      </w:r>
      <w:r w:rsidR="000851D4" w:rsidRPr="003A6CBB">
        <w:t>W</w:t>
      </w:r>
      <w:r w:rsidR="00406320" w:rsidRPr="003A6CBB">
        <w:t xml:space="preserve">e will </w:t>
      </w:r>
      <w:r w:rsidR="004D508F">
        <w:t xml:space="preserve">use </w:t>
      </w:r>
      <w:r w:rsidR="00406320" w:rsidRPr="003A6CBB">
        <w:t xml:space="preserve">descriptive analyses to report observed patterns in the data. We will also describe implementation by key groups at different levels. For the RTT sample, we will report findings separately for RTT states and non-RTT states. For the STM sample at the district level, we will report what district </w:t>
      </w:r>
      <w:r w:rsidR="004D508F">
        <w:t>representatives</w:t>
      </w:r>
      <w:r w:rsidR="00406320" w:rsidRPr="003A6CBB">
        <w:t xml:space="preserve"> recount in response to questions about the treatment and </w:t>
      </w:r>
      <w:r w:rsidR="00625065">
        <w:t>comparison</w:t>
      </w:r>
      <w:r w:rsidR="00625065" w:rsidRPr="003A6CBB">
        <w:t xml:space="preserve"> </w:t>
      </w:r>
      <w:r w:rsidR="00406320" w:rsidRPr="003A6CBB">
        <w:t xml:space="preserve">schools in their districts. For the STM sample at the school level, we will report findings separately for schools that received STM funding and for schools that did not. We </w:t>
      </w:r>
      <w:r w:rsidR="004D508F">
        <w:t xml:space="preserve">will use the data </w:t>
      </w:r>
      <w:r w:rsidR="00406320" w:rsidRPr="003A6CBB">
        <w:t>to compare responses to questions about implementation from year to year</w:t>
      </w:r>
      <w:r w:rsidR="00175EC2">
        <w:t>, and i</w:t>
      </w:r>
      <w:r w:rsidR="00AE7C63" w:rsidRPr="00AE7C63">
        <w:t xml:space="preserve">mplementation analyses to help interpret the impacts of STM by describing the implementation of STMs in the treatment group and the reform experiences of schools in the </w:t>
      </w:r>
      <w:r w:rsidR="00AE7C63" w:rsidRPr="009C25B8">
        <w:t>comparison group.</w:t>
      </w:r>
    </w:p>
    <w:p w:rsidR="00962226" w:rsidRDefault="003A6CBB" w:rsidP="0028722A">
      <w:pPr>
        <w:pStyle w:val="NormalSScontinued"/>
      </w:pPr>
      <w:r w:rsidRPr="009C25B8">
        <w:rPr>
          <w:lang w:bidi="en-US"/>
        </w:rPr>
        <w:tab/>
      </w:r>
      <w:r w:rsidR="00962226" w:rsidRPr="009C25B8">
        <w:t xml:space="preserve">Because </w:t>
      </w:r>
      <w:r w:rsidR="004D236C">
        <w:t xml:space="preserve">we plan to estimate </w:t>
      </w:r>
      <w:r w:rsidR="00962226" w:rsidRPr="009C25B8">
        <w:t>the impacts of STMs using</w:t>
      </w:r>
      <w:r w:rsidR="0028575B">
        <w:t xml:space="preserve"> an</w:t>
      </w:r>
      <w:r w:rsidR="00962226" w:rsidRPr="009C25B8">
        <w:t xml:space="preserve"> RDD (which generates impact estimates that apply primarily to schools at the cutoff value of an assignment variable), it will also be important to describe the difference in reform experiences between the treatment and comparison groups near the cutoff value of the RDD assignment variable. In calculating the difference in treatment and comparison group reform experiences at the cutoff value of the assignment variable, we will use the same analytic techniques for calculating outcome differences. The data source for these analyses will be the school administrator survey. In comparing the average experiences of the </w:t>
      </w:r>
      <w:r w:rsidR="00962226" w:rsidRPr="009C25B8">
        <w:lastRenderedPageBreak/>
        <w:t>full treatment and comparison groups, we will draw on the school administrator survey and interviews with district representatives.</w:t>
      </w:r>
    </w:p>
    <w:p w:rsidR="00584630" w:rsidRDefault="00584630" w:rsidP="00584630">
      <w:pPr>
        <w:pStyle w:val="NormalSS"/>
      </w:pPr>
      <w:r>
        <w:rPr>
          <w:b/>
          <w:lang w:bidi="en-US"/>
        </w:rPr>
        <w:t>RTT Outcomes</w:t>
      </w:r>
      <w:r w:rsidRPr="009C25B8">
        <w:rPr>
          <w:b/>
          <w:lang w:bidi="en-US"/>
        </w:rPr>
        <w:t xml:space="preserve"> Analysis.</w:t>
      </w:r>
      <w:r>
        <w:rPr>
          <w:b/>
          <w:lang w:bidi="en-US"/>
        </w:rPr>
        <w:t xml:space="preserve"> </w:t>
      </w:r>
      <w:r w:rsidRPr="00A17832">
        <w:t xml:space="preserve">We will use </w:t>
      </w:r>
      <w:r>
        <w:t xml:space="preserve">an ITS design </w:t>
      </w:r>
      <w:r w:rsidRPr="00A17832">
        <w:t xml:space="preserve">to assess how student outcomes change following the receipt of RTT grants. </w:t>
      </w:r>
      <w:r>
        <w:t xml:space="preserve">The ITS design will take advantage of the timing of RTT grants. </w:t>
      </w:r>
      <w:r w:rsidRPr="00A17832">
        <w:t xml:space="preserve">The ITS model </w:t>
      </w:r>
      <w:r w:rsidRPr="00A17832">
        <w:rPr>
          <w:i/>
          <w:iCs/>
        </w:rPr>
        <w:t>projects</w:t>
      </w:r>
      <w:r w:rsidRPr="00A17832">
        <w:t xml:space="preserve"> the outcomes that would have been expected in the absence of RTT funding and compares the projections with the pattern of outcomes </w:t>
      </w:r>
      <w:r w:rsidRPr="00A17832">
        <w:rPr>
          <w:i/>
          <w:iCs/>
        </w:rPr>
        <w:t>actually observed</w:t>
      </w:r>
      <w:r w:rsidRPr="00A17832">
        <w:t xml:space="preserve"> in the post-intervention period. The effect of the intervention is estimated as the difference between the </w:t>
      </w:r>
      <w:r w:rsidRPr="00A17832">
        <w:rPr>
          <w:i/>
          <w:iCs/>
        </w:rPr>
        <w:t>predicted</w:t>
      </w:r>
      <w:r w:rsidRPr="00A17832">
        <w:t xml:space="preserve"> pattern of outcomes and the </w:t>
      </w:r>
      <w:r w:rsidRPr="00A17832">
        <w:rPr>
          <w:i/>
          <w:iCs/>
        </w:rPr>
        <w:t>actual</w:t>
      </w:r>
      <w:r w:rsidRPr="00A17832">
        <w:t xml:space="preserve"> trend in outcomes in the post-intervention period.</w:t>
      </w:r>
      <w:r>
        <w:t xml:space="preserve"> </w:t>
      </w:r>
    </w:p>
    <w:p w:rsidR="00584630" w:rsidRDefault="00584630" w:rsidP="00584630">
      <w:pPr>
        <w:pStyle w:val="NormalSS"/>
      </w:pPr>
      <w:r>
        <w:t xml:space="preserve">To strengthen the validity of our estimates and to increase statistical power, our ITS design will also incorporate a comparison group of states that did not win RTT funding. This will be accomplished by using the </w:t>
      </w:r>
      <w:r w:rsidR="007544D0">
        <w:t xml:space="preserve">estimated </w:t>
      </w:r>
      <w:r w:rsidRPr="00C540B9">
        <w:rPr>
          <w:i/>
        </w:rPr>
        <w:t xml:space="preserve">difference </w:t>
      </w:r>
      <w:r>
        <w:t xml:space="preserve">in outcomes between RTT winners and losers </w:t>
      </w:r>
      <w:r w:rsidR="007544D0">
        <w:t xml:space="preserve">who were on the cusp of winning or losing RTT </w:t>
      </w:r>
      <w:r>
        <w:t>as the outcome in the ITS analysis. In forming this comparison group</w:t>
      </w:r>
      <w:r w:rsidR="0028575B">
        <w:t>,</w:t>
      </w:r>
      <w:r>
        <w:t xml:space="preserve"> we will take advantage of the application scores used to select RTT winners in the second phase of the competition. The cutoff value on this score is the lowest application score received by one of the 10 winning </w:t>
      </w:r>
      <w:r w:rsidR="008A1B2E">
        <w:t>P</w:t>
      </w:r>
      <w:r>
        <w:t xml:space="preserve">hase </w:t>
      </w:r>
      <w:r w:rsidR="008A1B2E">
        <w:t>II</w:t>
      </w:r>
      <w:r>
        <w:t xml:space="preserve"> applicants. </w:t>
      </w:r>
    </w:p>
    <w:p w:rsidR="00DC015C" w:rsidRPr="00AC0DC7" w:rsidRDefault="00DC015C" w:rsidP="00DC015C">
      <w:pPr>
        <w:pStyle w:val="NormalSS"/>
      </w:pPr>
      <w:r w:rsidRPr="00AC0DC7">
        <w:t xml:space="preserve">The ITS approach is illustrated graphically in Figure </w:t>
      </w:r>
      <w:r>
        <w:t>A.2</w:t>
      </w:r>
      <w:r w:rsidRPr="00AC0DC7">
        <w:t xml:space="preserve">. Figure </w:t>
      </w:r>
      <w:r>
        <w:t>A.2</w:t>
      </w:r>
      <w:r w:rsidRPr="00AC0DC7">
        <w:t xml:space="preserve"> shows </w:t>
      </w:r>
      <w:r>
        <w:t xml:space="preserve">the </w:t>
      </w:r>
      <w:r w:rsidR="007544D0">
        <w:t xml:space="preserve">estimated </w:t>
      </w:r>
      <w:r>
        <w:t xml:space="preserve">difference in NAEP scores between states that </w:t>
      </w:r>
      <w:r w:rsidR="00A2587B">
        <w:t xml:space="preserve">just </w:t>
      </w:r>
      <w:r>
        <w:t xml:space="preserve">won RTT in </w:t>
      </w:r>
      <w:r w:rsidR="008A1B2E">
        <w:t>P</w:t>
      </w:r>
      <w:r>
        <w:t xml:space="preserve">hase </w:t>
      </w:r>
      <w:r w:rsidR="008A1B2E">
        <w:t>II</w:t>
      </w:r>
      <w:r>
        <w:t xml:space="preserve"> and </w:t>
      </w:r>
      <w:r w:rsidR="007544D0">
        <w:t>states that just lost RTT</w:t>
      </w:r>
      <w:r>
        <w:t xml:space="preserve"> </w:t>
      </w:r>
      <w:r w:rsidRPr="00AC0DC7">
        <w:t xml:space="preserve">in </w:t>
      </w:r>
      <w:r>
        <w:t>2003, 2005, 2007, and 2009</w:t>
      </w:r>
      <w:r w:rsidRPr="00AC0DC7">
        <w:t xml:space="preserve">, with the </w:t>
      </w:r>
      <w:r>
        <w:t xml:space="preserve">cutoff </w:t>
      </w:r>
      <w:r w:rsidRPr="00AC0DC7">
        <w:t xml:space="preserve">year </w:t>
      </w:r>
      <w:r>
        <w:t xml:space="preserve">between receiving and not receiving </w:t>
      </w:r>
      <w:r w:rsidRPr="00AC0DC7">
        <w:t xml:space="preserve">RTT </w:t>
      </w:r>
      <w:r>
        <w:t xml:space="preserve">funds </w:t>
      </w:r>
      <w:r w:rsidRPr="00AC0DC7">
        <w:t xml:space="preserve">taken </w:t>
      </w:r>
      <w:r>
        <w:t>to be 2010</w:t>
      </w:r>
      <w:r w:rsidRPr="00AC0DC7">
        <w:t xml:space="preserve">. </w:t>
      </w:r>
      <w:r>
        <w:t xml:space="preserve">We focus on </w:t>
      </w:r>
      <w:r w:rsidR="008A1B2E">
        <w:t>P</w:t>
      </w:r>
      <w:r>
        <w:t xml:space="preserve">hase </w:t>
      </w:r>
      <w:r w:rsidR="008A1B2E">
        <w:t>II</w:t>
      </w:r>
      <w:r>
        <w:t xml:space="preserve"> winners because </w:t>
      </w:r>
      <w:r w:rsidR="008A1B2E">
        <w:t>P</w:t>
      </w:r>
      <w:r>
        <w:t xml:space="preserve">hase </w:t>
      </w:r>
      <w:r w:rsidR="008A1B2E">
        <w:t>I</w:t>
      </w:r>
      <w:r>
        <w:t xml:space="preserve"> winners lack a </w:t>
      </w:r>
      <w:r w:rsidR="008A1B2E">
        <w:t>P</w:t>
      </w:r>
      <w:r>
        <w:t xml:space="preserve">hase </w:t>
      </w:r>
      <w:r w:rsidR="008A1B2E">
        <w:t>II</w:t>
      </w:r>
      <w:r>
        <w:t xml:space="preserve"> application score, which is needed to adjust for the application score when calculating the difference </w:t>
      </w:r>
      <w:r w:rsidR="0028575B">
        <w:t>between</w:t>
      </w:r>
      <w:r>
        <w:t xml:space="preserve"> RTT and non-RTT outcomes in each year. </w:t>
      </w:r>
      <w:r w:rsidRPr="00AC0DC7">
        <w:t xml:space="preserve">The solid line shows the (linear) trend in outcomes estimated on the basis of </w:t>
      </w:r>
      <w:r>
        <w:t>the period before the intervention</w:t>
      </w:r>
      <w:r w:rsidRPr="00AC0DC7">
        <w:t>, which is then extended to the post</w:t>
      </w:r>
      <w:r w:rsidR="00F6198D">
        <w:t>-</w:t>
      </w:r>
      <w:r>
        <w:t>intervention</w:t>
      </w:r>
      <w:r w:rsidRPr="00AC0DC7">
        <w:t xml:space="preserve"> period (dashed line). The </w:t>
      </w:r>
      <w:r w:rsidR="00CC5CE3">
        <w:t xml:space="preserve">gains associated with RTT </w:t>
      </w:r>
      <w:r w:rsidR="00CC5CE3" w:rsidRPr="00AC0DC7">
        <w:t xml:space="preserve">in </w:t>
      </w:r>
      <w:r w:rsidR="00CC5CE3">
        <w:t xml:space="preserve">the </w:t>
      </w:r>
      <w:r w:rsidR="00CC5CE3" w:rsidRPr="00AC0DC7">
        <w:t>post-RTT year</w:t>
      </w:r>
      <w:r w:rsidR="00CC5CE3">
        <w:t>s</w:t>
      </w:r>
      <w:r w:rsidR="00CC5CE3" w:rsidRPr="00AC0DC7">
        <w:t xml:space="preserve"> are</w:t>
      </w:r>
      <w:r w:rsidRPr="00AC0DC7">
        <w:t xml:space="preserve"> estimated as the </w:t>
      </w:r>
      <w:r>
        <w:t xml:space="preserve">average </w:t>
      </w:r>
      <w:r w:rsidRPr="00AC0DC7">
        <w:t>devia</w:t>
      </w:r>
      <w:r>
        <w:t>tion from this projected trend.</w:t>
      </w:r>
      <w:r w:rsidR="006E75E9">
        <w:t xml:space="preserve"> Actual outcomes in the post-RTT years are shown by the squares in the figure.</w:t>
      </w:r>
    </w:p>
    <w:p w:rsidR="00DC015C" w:rsidRDefault="00DC015C" w:rsidP="00584630">
      <w:pPr>
        <w:pStyle w:val="NormalSS"/>
      </w:pPr>
    </w:p>
    <w:p w:rsidR="00DC015C" w:rsidRPr="00F5098D" w:rsidRDefault="00DC015C" w:rsidP="00DC015C">
      <w:pPr>
        <w:pStyle w:val="MarkforFigureHeading"/>
        <w:pageBreakBefore/>
        <w:rPr>
          <w:noProof/>
        </w:rPr>
      </w:pPr>
      <w:bookmarkStart w:id="62" w:name="_Toc299631299"/>
      <w:r>
        <w:rPr>
          <w:noProof/>
        </w:rPr>
        <w:lastRenderedPageBreak/>
        <w:t>F</w:t>
      </w:r>
      <w:r w:rsidR="00B44532">
        <w:rPr>
          <w:noProof/>
        </w:rPr>
        <w:t>igure</w:t>
      </w:r>
      <w:r>
        <w:rPr>
          <w:noProof/>
        </w:rPr>
        <w:t xml:space="preserve"> A.2. </w:t>
      </w:r>
      <w:r w:rsidRPr="00F5098D">
        <w:rPr>
          <w:noProof/>
        </w:rPr>
        <w:t>Illustration of the ITS Design</w:t>
      </w:r>
      <w:bookmarkEnd w:id="62"/>
      <w:r w:rsidR="001C2416">
        <w:rPr>
          <w:noProof/>
        </w:rPr>
        <w:drawing>
          <wp:anchor distT="0" distB="182880" distL="114300" distR="114300" simplePos="0" relativeHeight="251678720" behindDoc="0" locked="1" layoutInCell="1" allowOverlap="1">
            <wp:simplePos x="0" y="0"/>
            <wp:positionH relativeFrom="margin">
              <wp:posOffset>411480</wp:posOffset>
            </wp:positionH>
            <wp:positionV relativeFrom="page">
              <wp:posOffset>1190625</wp:posOffset>
            </wp:positionV>
            <wp:extent cx="5120640" cy="3312160"/>
            <wp:effectExtent l="0" t="0" r="0" b="0"/>
            <wp:wrapTopAndBottom/>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cstate="print"/>
                    <a:srcRect l="10959" t="24103"/>
                    <a:stretch>
                      <a:fillRect/>
                    </a:stretch>
                  </pic:blipFill>
                  <pic:spPr bwMode="auto">
                    <a:xfrm>
                      <a:off x="0" y="0"/>
                      <a:ext cx="5120640" cy="3312160"/>
                    </a:xfrm>
                    <a:prstGeom prst="rect">
                      <a:avLst/>
                    </a:prstGeom>
                    <a:noFill/>
                    <a:ln w="9525">
                      <a:noFill/>
                      <a:miter lim="800000"/>
                      <a:headEnd/>
                      <a:tailEnd/>
                    </a:ln>
                  </pic:spPr>
                </pic:pic>
              </a:graphicData>
            </a:graphic>
          </wp:anchor>
        </w:drawing>
      </w:r>
    </w:p>
    <w:p w:rsidR="00CC5CE3" w:rsidRDefault="00CC5CE3" w:rsidP="00CC5CE3">
      <w:pPr>
        <w:pStyle w:val="NormalSS"/>
      </w:pPr>
      <w:r>
        <w:t>For our benchmark ITS analysis, we will use an approach consistent with Figure A.2. Specifically, we will estimate a linear trend using the difference in NAEP scores</w:t>
      </w:r>
      <w:r>
        <w:rPr>
          <w:rStyle w:val="FootnoteReference"/>
        </w:rPr>
        <w:footnoteReference w:id="4"/>
      </w:r>
      <w:r>
        <w:t xml:space="preserve"> from 2003, 2005, 2007, and 2009 between the 10 </w:t>
      </w:r>
      <w:r w:rsidR="008A1B2E">
        <w:t>P</w:t>
      </w:r>
      <w:r>
        <w:t xml:space="preserve">hase </w:t>
      </w:r>
      <w:r w:rsidR="008A1B2E">
        <w:t>II</w:t>
      </w:r>
      <w:r>
        <w:t xml:space="preserve"> RTT grantees and 12 non-RTT states in our sample. We will then </w:t>
      </w:r>
      <w:r w:rsidR="00F6198D">
        <w:t>analyze outcomes by examining</w:t>
      </w:r>
      <w:r>
        <w:t xml:space="preserve"> the difference between that trend and the observed difference between those two groups of states in 2011 and 2013. </w:t>
      </w:r>
    </w:p>
    <w:p w:rsidR="00627222" w:rsidRPr="00AE5F81" w:rsidRDefault="00CC5CE3" w:rsidP="00627222">
      <w:pPr>
        <w:pStyle w:val="NormalSS"/>
      </w:pPr>
      <w:r>
        <w:t xml:space="preserve">Estimation involves a two-step procedure. </w:t>
      </w:r>
      <w:r w:rsidR="002611B2">
        <w:t>In the first step</w:t>
      </w:r>
      <w:r w:rsidR="0028575B">
        <w:t>,</w:t>
      </w:r>
      <w:r w:rsidR="002611B2">
        <w:t xml:space="preserve"> we </w:t>
      </w:r>
      <w:r w:rsidR="00A2587B">
        <w:t>estimate</w:t>
      </w:r>
      <w:r w:rsidR="002611B2">
        <w:t xml:space="preserve"> the average difference in outcomes between </w:t>
      </w:r>
      <w:r w:rsidR="00AF6412">
        <w:t xml:space="preserve">states that </w:t>
      </w:r>
      <w:r w:rsidR="00A2587B">
        <w:t xml:space="preserve">just </w:t>
      </w:r>
      <w:r w:rsidR="00AF6412">
        <w:t xml:space="preserve">won </w:t>
      </w:r>
      <w:r w:rsidR="002611B2">
        <w:t xml:space="preserve">RTT and </w:t>
      </w:r>
      <w:r w:rsidR="00AF6412">
        <w:t xml:space="preserve">states that just lost </w:t>
      </w:r>
      <w:r w:rsidR="002611B2">
        <w:t xml:space="preserve">RTT in each year. </w:t>
      </w:r>
      <w:r w:rsidR="00627222">
        <w:t>We wil</w:t>
      </w:r>
      <w:r w:rsidR="002F4378">
        <w:t xml:space="preserve">l estimate this difference using a simplified </w:t>
      </w:r>
      <w:r w:rsidR="00627222">
        <w:t xml:space="preserve">RDD </w:t>
      </w:r>
      <w:r w:rsidR="002F4378">
        <w:t>approach</w:t>
      </w:r>
      <w:r w:rsidR="00C305E6">
        <w:rPr>
          <w:rStyle w:val="FootnoteReference"/>
        </w:rPr>
        <w:footnoteReference w:id="5"/>
      </w:r>
      <w:r w:rsidR="002F4378">
        <w:t xml:space="preserve"> </w:t>
      </w:r>
      <w:r w:rsidR="00627222">
        <w:t xml:space="preserve">in each year using equations </w:t>
      </w:r>
      <w:r w:rsidR="00D02F4A">
        <w:t>1</w:t>
      </w:r>
      <w:r w:rsidR="00627222">
        <w:t xml:space="preserve"> and </w:t>
      </w:r>
      <w:r w:rsidR="00D02F4A">
        <w:t>2</w:t>
      </w:r>
      <w:r w:rsidR="00627222">
        <w:t xml:space="preserve">. </w:t>
      </w:r>
    </w:p>
    <w:p w:rsidR="00627222" w:rsidRPr="00F31204" w:rsidRDefault="00627222" w:rsidP="00627222">
      <w:pPr>
        <w:pStyle w:val="NormalSS"/>
      </w:pPr>
      <w:r>
        <w:t>(</w:t>
      </w:r>
      <w:r w:rsidR="00D02F4A">
        <w:t>1</w:t>
      </w:r>
      <w:r>
        <w:t xml:space="preserve">) </w:t>
      </w:r>
      <w:r w:rsidR="00330DC3" w:rsidRPr="0055700C">
        <w:rPr>
          <w:position w:val="-1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20.25pt">
            <v:imagedata r:id="rId41" o:title=""/>
          </v:shape>
        </w:pict>
      </w:r>
    </w:p>
    <w:p w:rsidR="00627222" w:rsidRDefault="00627222" w:rsidP="00627222">
      <w:pPr>
        <w:spacing w:line="240" w:lineRule="auto"/>
      </w:pPr>
      <w:r>
        <w:t>(</w:t>
      </w:r>
      <w:r w:rsidR="00D02F4A">
        <w:t>2</w:t>
      </w:r>
      <w:r>
        <w:t xml:space="preserve">) </w:t>
      </w:r>
      <w:r w:rsidR="00330DC3" w:rsidRPr="0055700C">
        <w:rPr>
          <w:position w:val="-12"/>
        </w:rPr>
        <w:pict>
          <v:shape id="_x0000_i1026" type="#_x0000_t75" style="width:154.5pt;height:20.25pt">
            <v:imagedata r:id="rId42" o:title=""/>
          </v:shape>
        </w:pict>
      </w:r>
    </w:p>
    <w:p w:rsidR="00627222" w:rsidRDefault="00627222" w:rsidP="00627222">
      <w:pPr>
        <w:pStyle w:val="NormalSS"/>
      </w:pPr>
    </w:p>
    <w:p w:rsidR="00627222" w:rsidRDefault="00627222" w:rsidP="00627222">
      <w:pPr>
        <w:pStyle w:val="NormalSS"/>
        <w:ind w:firstLine="0"/>
      </w:pPr>
      <w:r>
        <w:t xml:space="preserve">Equations </w:t>
      </w:r>
      <w:r w:rsidR="00D02F4A">
        <w:t>1</w:t>
      </w:r>
      <w:r>
        <w:t xml:space="preserve"> and </w:t>
      </w:r>
      <w:r w:rsidR="00D02F4A">
        <w:t>2</w:t>
      </w:r>
      <w:r>
        <w:t xml:space="preserve"> will be estimated separately in each year. T</w:t>
      </w:r>
      <w:r w:rsidRPr="00F31204">
        <w:t xml:space="preserve">he superscripts </w:t>
      </w:r>
      <w:r w:rsidRPr="00F31204">
        <w:rPr>
          <w:i/>
        </w:rPr>
        <w:t>R</w:t>
      </w:r>
      <w:r w:rsidRPr="00F31204">
        <w:t xml:space="preserve"> and </w:t>
      </w:r>
      <w:r w:rsidRPr="00F31204">
        <w:rPr>
          <w:i/>
        </w:rPr>
        <w:t>L</w:t>
      </w:r>
      <w:r w:rsidRPr="00F31204">
        <w:t xml:space="preserve"> denote the right</w:t>
      </w:r>
      <w:r>
        <w:t xml:space="preserve"> (treatment)</w:t>
      </w:r>
      <w:r w:rsidRPr="00F31204">
        <w:t xml:space="preserve"> and left </w:t>
      </w:r>
      <w:r>
        <w:t xml:space="preserve">(comparison) </w:t>
      </w:r>
      <w:r w:rsidRPr="00F31204">
        <w:t>sides of the RDD cutoff value,</w:t>
      </w:r>
      <w:r>
        <w:t xml:space="preserve"> </w:t>
      </w:r>
      <w:r w:rsidRPr="004D17E9">
        <w:rPr>
          <w:i/>
        </w:rPr>
        <w:t>Y</w:t>
      </w:r>
      <w:r w:rsidRPr="004D17E9">
        <w:rPr>
          <w:i/>
          <w:vertAlign w:val="subscript"/>
        </w:rPr>
        <w:t>i</w:t>
      </w:r>
      <w:r w:rsidRPr="00F31204">
        <w:t xml:space="preserve"> is the outcome for </w:t>
      </w:r>
      <w:r>
        <w:t xml:space="preserve">state </w:t>
      </w:r>
      <w:r w:rsidRPr="00F31204">
        <w:rPr>
          <w:i/>
        </w:rPr>
        <w:t>i</w:t>
      </w:r>
      <w:r w:rsidRPr="00F31204">
        <w:t xml:space="preserve">, </w:t>
      </w:r>
      <w:r w:rsidRPr="004D17E9">
        <w:rPr>
          <w:i/>
        </w:rPr>
        <w:lastRenderedPageBreak/>
        <w:t>X</w:t>
      </w:r>
      <w:r w:rsidRPr="004D17E9">
        <w:rPr>
          <w:i/>
          <w:vertAlign w:val="subscript"/>
        </w:rPr>
        <w:t>i</w:t>
      </w:r>
      <w:r>
        <w:rPr>
          <w:vertAlign w:val="subscript"/>
        </w:rPr>
        <w:t xml:space="preserve"> </w:t>
      </w:r>
      <w:r w:rsidRPr="00F31204">
        <w:t xml:space="preserve">is the </w:t>
      </w:r>
      <w:r>
        <w:t>RTT application score</w:t>
      </w:r>
      <w:r w:rsidRPr="00F31204">
        <w:t xml:space="preserve"> centered at the cutoff value, </w:t>
      </w:r>
      <w:r w:rsidR="009E1F2C" w:rsidRPr="0017467A">
        <w:rPr>
          <w:i/>
        </w:rPr>
        <w:t>Z</w:t>
      </w:r>
      <w:r w:rsidR="009E1F2C" w:rsidRPr="0017467A">
        <w:rPr>
          <w:i/>
          <w:vertAlign w:val="subscript"/>
        </w:rPr>
        <w:t>i</w:t>
      </w:r>
      <w:r w:rsidR="009E1F2C" w:rsidRPr="0017467A">
        <w:rPr>
          <w:vertAlign w:val="subscript"/>
        </w:rPr>
        <w:t xml:space="preserve"> </w:t>
      </w:r>
      <w:r w:rsidR="009E1F2C" w:rsidRPr="0017467A">
        <w:t>is a set of mean-centered pre-RTT covariates</w:t>
      </w:r>
      <w:r w:rsidRPr="00F31204">
        <w:t xml:space="preserve">, and </w:t>
      </w:r>
      <w:r w:rsidRPr="005D3EFE">
        <w:rPr>
          <w:rFonts w:ascii="Times New Roman" w:hAnsi="Times New Roman" w:hint="eastAsia"/>
          <w:i/>
        </w:rPr>
        <w:t>ε</w:t>
      </w:r>
      <w:r w:rsidRPr="008C0378">
        <w:rPr>
          <w:i/>
          <w:vertAlign w:val="subscript"/>
        </w:rPr>
        <w:t>i</w:t>
      </w:r>
      <w:r>
        <w:t xml:space="preserve"> </w:t>
      </w:r>
      <w:r w:rsidRPr="00F31204">
        <w:t xml:space="preserve">is </w:t>
      </w:r>
      <w:r>
        <w:t xml:space="preserve">the </w:t>
      </w:r>
      <w:r w:rsidRPr="00F31204">
        <w:t xml:space="preserve">error term. The interpretation of the constant term in a regression is the expected mean outcome when all covariates equal zero. Thus, the assignment variable is centered at the RDD cutoff value so that the intercept terms in equations </w:t>
      </w:r>
      <w:r w:rsidR="00D02F4A">
        <w:t>1</w:t>
      </w:r>
      <w:r w:rsidRPr="00F31204">
        <w:t xml:space="preserve"> and </w:t>
      </w:r>
      <w:r w:rsidR="00D02F4A">
        <w:t>2</w:t>
      </w:r>
      <w:r w:rsidRPr="00F31204">
        <w:t xml:space="preserve"> represent the predicted value of the outcome variable at the cutoff value. </w:t>
      </w:r>
      <w:r w:rsidR="00C305E6">
        <w:t xml:space="preserve">Thus, the RDD-adjusted difference in outcomes between RTT and non-RTT states </w:t>
      </w:r>
      <w:r w:rsidRPr="00F31204">
        <w:t>is estimated by the difference in intercept terms:</w:t>
      </w:r>
      <w:r w:rsidR="00214491" w:rsidRPr="00214491">
        <w:rPr>
          <w:position w:val="-12"/>
        </w:rPr>
        <w:object w:dxaOrig="1460" w:dyaOrig="400">
          <v:shape id="_x0000_i1027" type="#_x0000_t75" style="width:72.75pt;height:20.25pt" o:ole="">
            <v:imagedata r:id="rId43" o:title=""/>
          </v:shape>
          <o:OLEObject Type="Embed" ProgID="Equation.DSMT4" ShapeID="_x0000_i1027" DrawAspect="Content" ObjectID="_1384773504" r:id="rId44"/>
        </w:object>
      </w:r>
      <w:r w:rsidRPr="00F31204">
        <w:t xml:space="preserve">. </w:t>
      </w:r>
    </w:p>
    <w:p w:rsidR="00627222" w:rsidRPr="00AC0DC7" w:rsidRDefault="00214491" w:rsidP="00CC5CE3">
      <w:pPr>
        <w:pStyle w:val="NormalSS"/>
      </w:pPr>
      <w:r>
        <w:t xml:space="preserve">In the second step, </w:t>
      </w:r>
      <w:r w:rsidRPr="00214491">
        <w:rPr>
          <w:position w:val="-12"/>
        </w:rPr>
        <w:object w:dxaOrig="420" w:dyaOrig="380">
          <v:shape id="_x0000_i1028" type="#_x0000_t75" style="width:20.25pt;height:18.75pt" o:ole="">
            <v:imagedata r:id="rId45" o:title=""/>
          </v:shape>
          <o:OLEObject Type="Embed" ProgID="Equation.DSMT4" ShapeID="_x0000_i1028" DrawAspect="Content" ObjectID="_1384773505" r:id="rId46"/>
        </w:object>
      </w:r>
      <w:r>
        <w:t xml:space="preserve"> becomes the outcome in an ITS </w:t>
      </w:r>
      <w:r w:rsidR="00E113F1">
        <w:t xml:space="preserve">estimation </w:t>
      </w:r>
      <w:r>
        <w:t>equation:</w:t>
      </w:r>
    </w:p>
    <w:p w:rsidR="00584630" w:rsidRPr="00AC0DC7" w:rsidRDefault="00584630" w:rsidP="00584630">
      <w:pPr>
        <w:pStyle w:val="NormalSS"/>
        <w:rPr>
          <w:position w:val="-28"/>
        </w:rPr>
      </w:pPr>
      <w:r w:rsidRPr="00AC0DC7">
        <w:t>(</w:t>
      </w:r>
      <w:r w:rsidR="00D02F4A">
        <w:t>3</w:t>
      </w:r>
      <w:r w:rsidRPr="00AC0DC7">
        <w:t>)</w:t>
      </w:r>
      <w:r w:rsidRPr="00AC0DC7">
        <w:tab/>
      </w:r>
      <w:r w:rsidRPr="00AC0DC7">
        <w:tab/>
      </w:r>
      <w:r w:rsidR="0017467A" w:rsidRPr="00214491">
        <w:rPr>
          <w:position w:val="-16"/>
        </w:rPr>
        <w:object w:dxaOrig="3880" w:dyaOrig="460">
          <v:shape id="_x0000_i1029" type="#_x0000_t75" style="width:193.5pt;height:24pt" o:ole="">
            <v:imagedata r:id="rId47" o:title=""/>
          </v:shape>
          <o:OLEObject Type="Embed" ProgID="Equation.DSMT4" ShapeID="_x0000_i1029" DrawAspect="Content" ObjectID="_1384773506" r:id="rId48"/>
        </w:object>
      </w:r>
    </w:p>
    <w:p w:rsidR="00584630" w:rsidRPr="00AE5F81" w:rsidRDefault="00584630" w:rsidP="00584630">
      <w:pPr>
        <w:pStyle w:val="NormalSS"/>
        <w:ind w:firstLine="0"/>
      </w:pPr>
      <w:r w:rsidRPr="00AC0DC7">
        <w:t xml:space="preserve">where </w:t>
      </w:r>
      <w:bookmarkStart w:id="63" w:name="OLE_LINK12"/>
      <w:bookmarkStart w:id="64" w:name="OLE_LINK13"/>
      <w:r w:rsidR="00214491" w:rsidRPr="0099161C">
        <w:rPr>
          <w:position w:val="-12"/>
        </w:rPr>
        <w:object w:dxaOrig="420" w:dyaOrig="380">
          <v:shape id="_x0000_i1030" type="#_x0000_t75" style="width:20.25pt;height:18.75pt" o:ole="">
            <v:imagedata r:id="rId45" o:title=""/>
          </v:shape>
          <o:OLEObject Type="Embed" ProgID="Equation.DSMT4" ShapeID="_x0000_i1030" DrawAspect="Content" ObjectID="_1384773507" r:id="rId49"/>
        </w:object>
      </w:r>
      <w:bookmarkEnd w:id="63"/>
      <w:bookmarkEnd w:id="64"/>
      <w:r w:rsidRPr="00AC0DC7">
        <w:t xml:space="preserve"> is </w:t>
      </w:r>
      <w:r>
        <w:t xml:space="preserve">the difference between RTT and non-RTT states in NAEP scores </w:t>
      </w:r>
      <w:r w:rsidRPr="00AC0DC7">
        <w:t xml:space="preserve">(in a particular subject and grade) in year </w:t>
      </w:r>
      <w:r w:rsidRPr="00AC0DC7">
        <w:rPr>
          <w:i/>
        </w:rPr>
        <w:t>t</w:t>
      </w:r>
      <w:r w:rsidRPr="00AC0DC7">
        <w:t xml:space="preserve">. The term </w:t>
      </w:r>
      <w:r w:rsidRPr="005D3EFE">
        <w:rPr>
          <w:rFonts w:ascii="Times New Roman" w:hAnsi="Times New Roman" w:hint="eastAsia"/>
          <w:i/>
        </w:rPr>
        <w:t>α</w:t>
      </w:r>
      <w:r w:rsidRPr="00AC0DC7">
        <w:t xml:space="preserve"> is a constant, </w:t>
      </w:r>
      <w:r w:rsidRPr="005D3EFE">
        <w:rPr>
          <w:rFonts w:ascii="Times New Roman" w:hAnsi="Times New Roman" w:hint="eastAsia"/>
          <w:i/>
        </w:rPr>
        <w:t>β</w:t>
      </w:r>
      <w:r>
        <w:t xml:space="preserve"> </w:t>
      </w:r>
      <w:r w:rsidRPr="00AC0DC7">
        <w:t>is a linear trend</w:t>
      </w:r>
      <w:r w:rsidR="00D65DC6">
        <w:t>,</w:t>
      </w:r>
      <w:r w:rsidRPr="00AC0DC7">
        <w:t xml:space="preserve"> and </w:t>
      </w:r>
      <w:r w:rsidRPr="00AC0DC7">
        <w:rPr>
          <w:i/>
        </w:rPr>
        <w:t>RTT</w:t>
      </w:r>
      <w:r>
        <w:rPr>
          <w:i/>
          <w:vertAlign w:val="subscript"/>
        </w:rPr>
        <w:t>t</w:t>
      </w:r>
      <w:r w:rsidRPr="00AC0DC7">
        <w:t xml:space="preserve"> is an indicator </w:t>
      </w:r>
      <w:r>
        <w:t xml:space="preserve">of whether year </w:t>
      </w:r>
      <w:r w:rsidRPr="00721B3D">
        <w:rPr>
          <w:i/>
        </w:rPr>
        <w:t>t</w:t>
      </w:r>
      <w:r>
        <w:t xml:space="preserve"> is after RTT funding begins</w:t>
      </w:r>
      <w:r w:rsidRPr="00AC0DC7">
        <w:t xml:space="preserve">. </w:t>
      </w:r>
      <w:r w:rsidRPr="00E07AA0">
        <w:t xml:space="preserve">The time variable, </w:t>
      </w:r>
      <w:r w:rsidRPr="00E07AA0">
        <w:rPr>
          <w:i/>
          <w:iCs/>
        </w:rPr>
        <w:t>t</w:t>
      </w:r>
      <w:r w:rsidRPr="00E07AA0">
        <w:t>, will be centered at 2010 (the year RTT grantees began receiving their funding)</w:t>
      </w:r>
      <w:r>
        <w:t xml:space="preserve">. This regression does not include additional covariates due to a lack of available degrees of freedom. Because </w:t>
      </w:r>
      <w:r w:rsidR="00214491" w:rsidRPr="0099161C">
        <w:rPr>
          <w:position w:val="-12"/>
        </w:rPr>
        <w:object w:dxaOrig="420" w:dyaOrig="380">
          <v:shape id="_x0000_i1031" type="#_x0000_t75" style="width:20.25pt;height:18.75pt" o:ole="">
            <v:imagedata r:id="rId45" o:title=""/>
          </v:shape>
          <o:OLEObject Type="Embed" ProgID="Equation.DSMT4" ShapeID="_x0000_i1031" DrawAspect="Content" ObjectID="_1384773508" r:id="rId50"/>
        </w:object>
      </w:r>
      <w:r>
        <w:t xml:space="preserve"> is an estimate with potentially varying precision across years, we will estimate equation (</w:t>
      </w:r>
      <w:r w:rsidR="00D02F4A">
        <w:t>3</w:t>
      </w:r>
      <w:r>
        <w:t xml:space="preserve">) using inverse variance weights. </w:t>
      </w:r>
    </w:p>
    <w:p w:rsidR="00584630" w:rsidRPr="00AC0DC7" w:rsidRDefault="00584630" w:rsidP="00584630">
      <w:pPr>
        <w:pStyle w:val="NormalSS"/>
      </w:pPr>
      <w:r w:rsidRPr="00F6079C">
        <w:t xml:space="preserve">The outcome gains associated with RTT are </w:t>
      </w:r>
      <w:r w:rsidR="00330DC3" w:rsidRPr="0055700C">
        <w:rPr>
          <w:position w:val="-10"/>
        </w:rPr>
        <w:pict>
          <v:shape id="_x0000_i1032" type="#_x0000_t75" style="width:42pt;height:15.75pt">
            <v:imagedata r:id="rId51" o:title=""/>
          </v:shape>
        </w:pict>
      </w:r>
      <w:r w:rsidRPr="00F6079C">
        <w:t xml:space="preserve">. As discussed, the gains associated with RTT are the deviation relative to the pre-existing trend. The reason we subtract </w:t>
      </w:r>
      <w:r w:rsidR="00330DC3" w:rsidRPr="0055700C">
        <w:rPr>
          <w:position w:val="-10"/>
        </w:rPr>
        <w:pict>
          <v:shape id="_x0000_i1033" type="#_x0000_t75" style="width:23.25pt;height:15.75pt">
            <v:imagedata r:id="rId52" o:title=""/>
          </v:shape>
        </w:pict>
      </w:r>
      <w:r w:rsidRPr="00F6079C">
        <w:t xml:space="preserve"> is to account for the rise in the projected trend line over the two years between 2010 and 2012 (2012 is the average of 2011 and 2013, the two post-RTT data points whose average is estimated by </w:t>
      </w:r>
      <w:r w:rsidR="00330DC3" w:rsidRPr="0055700C">
        <w:rPr>
          <w:position w:val="-6"/>
        </w:rPr>
        <w:pict>
          <v:shape id="_x0000_i1034" type="#_x0000_t75" style="width:10.5pt;height:13.5pt">
            <v:imagedata r:id="rId53" o:title=""/>
          </v:shape>
        </w:pict>
      </w:r>
      <w:r w:rsidRPr="00F6079C">
        <w:t xml:space="preserve">). We will also calculate outcome gains separately for 2011 and 2013 </w:t>
      </w:r>
      <w:r w:rsidR="00214491" w:rsidRPr="00F6079C">
        <w:t>by replacing the single RTT indicator with two, one for each post year</w:t>
      </w:r>
      <w:r w:rsidRPr="00F6079C">
        <w:t xml:space="preserve"> (for the study’s first report with outcome findings, only 2011 data will be available).</w:t>
      </w:r>
      <w:r>
        <w:t xml:space="preserve"> </w:t>
      </w:r>
    </w:p>
    <w:p w:rsidR="0028722A" w:rsidRPr="009C25B8" w:rsidRDefault="00195AC8" w:rsidP="0028722A">
      <w:pPr>
        <w:pStyle w:val="NormalSScontinued"/>
      </w:pPr>
      <w:r w:rsidRPr="00195AC8">
        <w:rPr>
          <w:b/>
        </w:rPr>
        <w:tab/>
      </w:r>
      <w:r w:rsidR="00AD341A">
        <w:rPr>
          <w:b/>
          <w:lang w:bidi="en-US"/>
        </w:rPr>
        <w:t>STM</w:t>
      </w:r>
      <w:r w:rsidR="00AD341A" w:rsidRPr="009C25B8">
        <w:rPr>
          <w:b/>
          <w:lang w:bidi="en-US"/>
        </w:rPr>
        <w:t xml:space="preserve"> </w:t>
      </w:r>
      <w:r w:rsidR="0028722A" w:rsidRPr="009C25B8">
        <w:rPr>
          <w:b/>
          <w:lang w:bidi="en-US"/>
        </w:rPr>
        <w:t>Impact Analysis</w:t>
      </w:r>
      <w:r w:rsidR="003A6CBB" w:rsidRPr="009C25B8">
        <w:rPr>
          <w:b/>
          <w:lang w:bidi="en-US"/>
        </w:rPr>
        <w:t>.</w:t>
      </w:r>
      <w:r w:rsidR="003A6CBB" w:rsidRPr="009C25B8">
        <w:rPr>
          <w:lang w:bidi="en-US"/>
        </w:rPr>
        <w:t xml:space="preserve"> </w:t>
      </w:r>
      <w:r w:rsidR="004D236C">
        <w:rPr>
          <w:lang w:bidi="en-US"/>
        </w:rPr>
        <w:t xml:space="preserve">Unless it is not feasible, </w:t>
      </w:r>
      <w:r w:rsidR="004D236C">
        <w:t>w</w:t>
      </w:r>
      <w:r w:rsidR="00AE7C63" w:rsidRPr="009C25B8">
        <w:t xml:space="preserve">e </w:t>
      </w:r>
      <w:r w:rsidR="004D236C">
        <w:t>plan to</w:t>
      </w:r>
      <w:r w:rsidR="004D236C" w:rsidRPr="009C25B8">
        <w:t xml:space="preserve"> </w:t>
      </w:r>
      <w:r w:rsidR="00AE7C63" w:rsidRPr="009C25B8">
        <w:t>use a</w:t>
      </w:r>
      <w:r w:rsidR="00D41391">
        <w:t>n</w:t>
      </w:r>
      <w:r w:rsidR="00AE7C63" w:rsidRPr="009C25B8">
        <w:t xml:space="preserve"> RDD to estimate the impact of STM funding on student outcomes. The rules from </w:t>
      </w:r>
      <w:r w:rsidR="0028722A" w:rsidRPr="009C25B8">
        <w:t>ED</w:t>
      </w:r>
      <w:r w:rsidR="00AE7C63" w:rsidRPr="009C25B8">
        <w:t xml:space="preserve"> about the prioritization of state STM funds to the persistently lowest</w:t>
      </w:r>
      <w:r w:rsidR="006C698E">
        <w:t>-</w:t>
      </w:r>
      <w:r w:rsidR="00AE7C63" w:rsidRPr="009C25B8">
        <w:t xml:space="preserve">achieving schools create the opportunity for an RDD, generally considered one of the strongest quasi-experimental designs (see, for example, Shadish et al. 2002). </w:t>
      </w:r>
      <w:r w:rsidR="004D508F" w:rsidRPr="009C25B8">
        <w:t xml:space="preserve">Student-level data used </w:t>
      </w:r>
      <w:r w:rsidR="006C698E">
        <w:t>for this analysis</w:t>
      </w:r>
      <w:r w:rsidR="004D508F" w:rsidRPr="009C25B8">
        <w:t xml:space="preserve"> will come from two sources: (1) the school districts recruited for the study</w:t>
      </w:r>
      <w:r w:rsidR="00D41391">
        <w:t>,</w:t>
      </w:r>
      <w:r w:rsidR="004D508F" w:rsidRPr="009C25B8">
        <w:t xml:space="preserve"> and (2) extant data from the data systems of states. The recruited school districts will include a</w:t>
      </w:r>
      <w:r w:rsidR="00D41391">
        <w:t>bout</w:t>
      </w:r>
      <w:r w:rsidR="004D508F" w:rsidRPr="009C25B8">
        <w:t xml:space="preserve"> 600 treatment group and 600 comparison group schools.</w:t>
      </w:r>
      <w:r w:rsidR="002D20EA" w:rsidRPr="009C25B8" w:rsidDel="002D20EA">
        <w:t xml:space="preserve"> </w:t>
      </w:r>
    </w:p>
    <w:p w:rsidR="0028722A" w:rsidRPr="009C25B8" w:rsidRDefault="009349A8" w:rsidP="009349A8">
      <w:pPr>
        <w:pStyle w:val="NormalSScontinued"/>
      </w:pPr>
      <w:r>
        <w:tab/>
      </w:r>
      <w:r w:rsidR="0028722A" w:rsidRPr="009C25B8">
        <w:t>The RDD component of this study can be characterized as a set of many mini-studies, each corresponding to a specific combination of state, outcome, and grade level. For some mini-studies</w:t>
      </w:r>
      <w:r w:rsidR="00D41391">
        <w:t>,</w:t>
      </w:r>
      <w:r w:rsidR="0028722A" w:rsidRPr="009C25B8">
        <w:t xml:space="preserve"> schools could be assigned using two assignment variables (average achievement and graduation rate), and we will estimate separate impacts for each assignment variable. We will conduct a separate RDD analysis for each mini-study</w:t>
      </w:r>
      <w:r w:rsidR="00B43DB9">
        <w:t>,</w:t>
      </w:r>
      <w:r w:rsidR="0028722A" w:rsidRPr="009C25B8">
        <w:t xml:space="preserve"> because the relationship between the outcome and the assignment variable could vary across mini-studies, and estimating that relationship accurately is essential for obtaining unbiased impacts. </w:t>
      </w:r>
    </w:p>
    <w:p w:rsidR="0028722A" w:rsidRPr="009C25B8" w:rsidRDefault="0028722A" w:rsidP="0028722A">
      <w:pPr>
        <w:spacing w:line="240" w:lineRule="auto"/>
      </w:pPr>
      <w:r w:rsidRPr="009C25B8">
        <w:t>For each mini-study</w:t>
      </w:r>
      <w:r w:rsidRPr="003927FF">
        <w:t xml:space="preserve">, we </w:t>
      </w:r>
      <w:r w:rsidR="00481708" w:rsidRPr="003927FF">
        <w:t xml:space="preserve">plan to </w:t>
      </w:r>
      <w:r w:rsidRPr="003927FF">
        <w:t>estimat</w:t>
      </w:r>
      <w:r w:rsidR="00454A98" w:rsidRPr="003927FF">
        <w:t xml:space="preserve">e </w:t>
      </w:r>
      <w:r w:rsidR="00195AC8" w:rsidRPr="00195AC8">
        <w:t>intent to treat (</w:t>
      </w:r>
      <w:r w:rsidR="00454A98" w:rsidRPr="003927FF">
        <w:t>ITT</w:t>
      </w:r>
      <w:r w:rsidR="00195AC8" w:rsidRPr="00195AC8">
        <w:t>)</w:t>
      </w:r>
      <w:r w:rsidR="00454A98" w:rsidRPr="003927FF">
        <w:t xml:space="preserve"> impacts</w:t>
      </w:r>
      <w:r w:rsidR="007C325B" w:rsidRPr="003927FF">
        <w:t xml:space="preserve"> and</w:t>
      </w:r>
      <w:r w:rsidR="00454A98" w:rsidRPr="003927FF">
        <w:t xml:space="preserve"> </w:t>
      </w:r>
      <w:r w:rsidRPr="003927FF">
        <w:t>the CACE</w:t>
      </w:r>
      <w:r w:rsidR="000D0E6F" w:rsidRPr="003927FF">
        <w:t xml:space="preserve">. </w:t>
      </w:r>
      <w:r w:rsidR="005E4A83" w:rsidRPr="003927FF">
        <w:t>The ITT impact</w:t>
      </w:r>
      <w:r w:rsidR="005E4A83" w:rsidRPr="005E4A83">
        <w:t xml:space="preserve"> is the impact of being below the cutoff value on the assignment variable (the impact of being eligible for STM funding). Because not all schools below the cutoff value will actually receive STM funding (preliminary calculations reveal that about 70 percent of schools that would be in our treatment group received funding), the ITT impact does not correspond to the impact of being </w:t>
      </w:r>
      <w:r w:rsidR="005E4A83" w:rsidRPr="005E4A83">
        <w:lastRenderedPageBreak/>
        <w:t>offered, or of receiving, STM funding. Both the impact of being offered STM funding (measured using SIG award information from state websites and reported in Hurlburt et al. 2011) and the impact of actually receiving STM funding (measured using the STM school survey) will be estimated using CACE analysis. Therefore</w:t>
      </w:r>
      <w:r w:rsidR="00BC567E">
        <w:t>,</w:t>
      </w:r>
      <w:r w:rsidR="005E4A83" w:rsidRPr="005E4A83">
        <w:t xml:space="preserve"> the CACE impacts are likely to be of greatest policy </w:t>
      </w:r>
      <w:r w:rsidR="00DC3C40">
        <w:t>interest</w:t>
      </w:r>
      <w:r w:rsidR="005E4A83" w:rsidRPr="005E4A83">
        <w:t>.</w:t>
      </w:r>
      <w:r w:rsidRPr="009C25B8">
        <w:t xml:space="preserve"> </w:t>
      </w:r>
    </w:p>
    <w:p w:rsidR="0028722A" w:rsidRPr="009C25B8" w:rsidRDefault="0028722A" w:rsidP="0028722A">
      <w:pPr>
        <w:spacing w:line="240" w:lineRule="auto"/>
      </w:pPr>
    </w:p>
    <w:p w:rsidR="0028722A" w:rsidRPr="009C25B8" w:rsidRDefault="004D508F" w:rsidP="0028722A">
      <w:pPr>
        <w:spacing w:line="240" w:lineRule="auto"/>
      </w:pPr>
      <w:r w:rsidRPr="009C25B8">
        <w:t>The ITT</w:t>
      </w:r>
      <w:r w:rsidR="0028722A" w:rsidRPr="009C25B8">
        <w:t xml:space="preserve"> impact estimation equations for the mini-studies, in which the unit of assignment is the school, are: </w:t>
      </w:r>
    </w:p>
    <w:p w:rsidR="0028722A" w:rsidRPr="009C25B8" w:rsidRDefault="0028722A" w:rsidP="0028722A">
      <w:pPr>
        <w:spacing w:line="240" w:lineRule="auto"/>
      </w:pPr>
    </w:p>
    <w:p w:rsidR="00D02F4A" w:rsidRPr="00F31204" w:rsidRDefault="00D02F4A" w:rsidP="00D02F4A">
      <w:pPr>
        <w:pStyle w:val="NormalSS"/>
      </w:pPr>
      <w:r>
        <w:t>(</w:t>
      </w:r>
      <w:r w:rsidR="00183A9F">
        <w:t>4</w:t>
      </w:r>
      <w:r>
        <w:t xml:space="preserve">)   </w:t>
      </w:r>
      <w:r w:rsidRPr="00D43462">
        <w:rPr>
          <w:position w:val="-14"/>
        </w:rPr>
        <w:object w:dxaOrig="3400" w:dyaOrig="400">
          <v:shape id="_x0000_i1035" type="#_x0000_t75" style="width:171.75pt;height:20.25pt" o:ole="">
            <v:imagedata r:id="rId54" o:title=""/>
          </v:shape>
          <o:OLEObject Type="Embed" ProgID="Equation.DSMT4" ShapeID="_x0000_i1035" DrawAspect="Content" ObjectID="_1384773509" r:id="rId55"/>
        </w:object>
      </w:r>
      <w:r>
        <w:t>,</w:t>
      </w:r>
    </w:p>
    <w:p w:rsidR="00D02F4A" w:rsidRPr="00F31204" w:rsidRDefault="00D02F4A" w:rsidP="00D02F4A">
      <w:pPr>
        <w:pStyle w:val="NormalSS"/>
      </w:pPr>
      <w:r>
        <w:t>(</w:t>
      </w:r>
      <w:r w:rsidR="00183A9F">
        <w:t>5</w:t>
      </w:r>
      <w:r>
        <w:t xml:space="preserve">)   </w:t>
      </w:r>
      <w:r w:rsidRPr="00621E61">
        <w:rPr>
          <w:position w:val="-14"/>
        </w:rPr>
        <w:object w:dxaOrig="3320" w:dyaOrig="400">
          <v:shape id="_x0000_i1036" type="#_x0000_t75" style="width:165pt;height:20.25pt" o:ole="">
            <v:imagedata r:id="rId56" o:title=""/>
          </v:shape>
          <o:OLEObject Type="Embed" ProgID="Equation.DSMT4" ShapeID="_x0000_i1036" DrawAspect="Content" ObjectID="_1384773510" r:id="rId57"/>
        </w:object>
      </w:r>
      <w:r>
        <w:t>,</w:t>
      </w:r>
    </w:p>
    <w:p w:rsidR="0028722A" w:rsidRPr="009C25B8" w:rsidRDefault="0028722A" w:rsidP="0028722A">
      <w:pPr>
        <w:spacing w:line="240" w:lineRule="auto"/>
        <w:ind w:firstLine="0"/>
      </w:pPr>
      <w:r w:rsidRPr="009C25B8">
        <w:t xml:space="preserve">where the superscripts </w:t>
      </w:r>
      <w:r w:rsidRPr="009C25B8">
        <w:rPr>
          <w:i/>
        </w:rPr>
        <w:t>R</w:t>
      </w:r>
      <w:r w:rsidRPr="009C25B8">
        <w:t xml:space="preserve"> and </w:t>
      </w:r>
      <w:r w:rsidRPr="009C25B8">
        <w:rPr>
          <w:i/>
        </w:rPr>
        <w:t>L</w:t>
      </w:r>
      <w:r w:rsidRPr="009C25B8">
        <w:t xml:space="preserve"> denote the right and left sides of the RDD cutoff value, </w:t>
      </w:r>
      <w:r w:rsidR="0055700C" w:rsidRPr="0055700C">
        <w:rPr>
          <w:position w:val="-14"/>
        </w:rPr>
        <w:pict>
          <v:shape id="_x0000_i1037" type="#_x0000_t75" style="width:13.5pt;height:18.75pt">
            <v:imagedata r:id="rId58" o:title=""/>
          </v:shape>
        </w:pict>
      </w:r>
      <w:r w:rsidRPr="009C25B8">
        <w:t xml:space="preserve"> is the outcome (for example, scores on the state assessment or postsecondary matriculation) for student </w:t>
      </w:r>
      <w:r w:rsidRPr="009C25B8">
        <w:rPr>
          <w:i/>
        </w:rPr>
        <w:t>i</w:t>
      </w:r>
      <w:r w:rsidRPr="009C25B8">
        <w:t xml:space="preserve"> in school </w:t>
      </w:r>
      <w:r w:rsidRPr="009C25B8">
        <w:rPr>
          <w:i/>
        </w:rPr>
        <w:t>j</w:t>
      </w:r>
      <w:r w:rsidRPr="009C25B8">
        <w:t xml:space="preserve">, </w:t>
      </w:r>
      <w:r w:rsidR="0055700C" w:rsidRPr="0055700C">
        <w:rPr>
          <w:position w:val="-14"/>
        </w:rPr>
        <w:pict>
          <v:shape id="_x0000_i1038" type="#_x0000_t75" style="width:18.75pt;height:18.75pt">
            <v:imagedata r:id="rId59" o:title=""/>
          </v:shape>
        </w:pict>
      </w:r>
      <w:r w:rsidRPr="009C25B8">
        <w:t xml:space="preserve"> is the assignment variable centered at the cutoff value (either school-level achievement or graduation rate, depending on which assignment variable is used in a particular mini-study), </w:t>
      </w:r>
      <w:r w:rsidR="0055700C" w:rsidRPr="0055700C">
        <w:rPr>
          <w:position w:val="-14"/>
        </w:rPr>
        <w:pict>
          <v:shape id="_x0000_i1039" type="#_x0000_t75" style="width:13.5pt;height:18.75pt">
            <v:imagedata r:id="rId60" o:title=""/>
          </v:shape>
        </w:pict>
      </w:r>
      <w:r w:rsidRPr="009C25B8">
        <w:t xml:space="preserve"> is a set of mean-centered baseline covariates, </w:t>
      </w:r>
      <w:r w:rsidR="0055700C" w:rsidRPr="0055700C">
        <w:rPr>
          <w:position w:val="-14"/>
        </w:rPr>
        <w:pict>
          <v:shape id="_x0000_i1040" type="#_x0000_t75" style="width:13.5pt;height:18.75pt">
            <v:imagedata r:id="rId61" o:title=""/>
          </v:shape>
        </w:pict>
      </w:r>
      <w:r w:rsidRPr="009C25B8">
        <w:t xml:space="preserve"> is a school-level error term, and </w:t>
      </w:r>
      <w:r w:rsidR="0055700C" w:rsidRPr="0055700C">
        <w:rPr>
          <w:position w:val="-12"/>
        </w:rPr>
        <w:pict>
          <v:shape id="_x0000_i1041" type="#_x0000_t75" style="width:10.5pt;height:15.75pt">
            <v:imagedata r:id="rId62" o:title=""/>
          </v:shape>
        </w:pict>
      </w:r>
      <w:r w:rsidRPr="009C25B8">
        <w:t xml:space="preserve"> is a student-level error term. The interpretation of the constant term in a regression is the expected mean outcome when all covariates equal zero. Thus, the assignment variable is centered at the RDD cutoff value so that the</w:t>
      </w:r>
      <w:r w:rsidR="00183A9F">
        <w:t xml:space="preserve"> intercept terms in equations 4</w:t>
      </w:r>
      <w:r w:rsidRPr="009C25B8">
        <w:t xml:space="preserve"> and </w:t>
      </w:r>
      <w:r w:rsidR="00183A9F">
        <w:t>5</w:t>
      </w:r>
      <w:r w:rsidRPr="009C25B8">
        <w:t xml:space="preserve"> represent the predicted value of the outcome variable at the cutoff value. Similarly, the covariates </w:t>
      </w:r>
      <w:r w:rsidR="0055700C" w:rsidRPr="0055700C">
        <w:rPr>
          <w:position w:val="-14"/>
        </w:rPr>
        <w:pict>
          <v:shape id="_x0000_i1042" type="#_x0000_t75" style="width:25.5pt;height:18.75pt">
            <v:imagedata r:id="rId63" o:title=""/>
          </v:shape>
        </w:pict>
      </w:r>
      <w:r w:rsidRPr="009C25B8">
        <w:t xml:space="preserve"> are mean-centered. The RDD impact of STM funding receipt on the outcome is estimated by the difference in intercept terms: </w:t>
      </w:r>
      <w:r w:rsidR="0055700C" w:rsidRPr="0055700C">
        <w:rPr>
          <w:position w:val="-12"/>
        </w:rPr>
        <w:pict>
          <v:shape id="_x0000_i1043" type="#_x0000_t75" style="width:77.25pt;height:18.75pt">
            <v:imagedata r:id="rId64" o:title=""/>
          </v:shape>
        </w:pict>
      </w:r>
      <w:r w:rsidRPr="009C25B8">
        <w:t xml:space="preserve">. The baseline covariates </w:t>
      </w:r>
      <w:r w:rsidR="0055700C" w:rsidRPr="0055700C">
        <w:rPr>
          <w:position w:val="-14"/>
        </w:rPr>
        <w:pict>
          <v:shape id="_x0000_i1044" type="#_x0000_t75" style="width:25.5pt;height:18.75pt">
            <v:imagedata r:id="rId65" o:title=""/>
          </v:shape>
        </w:pict>
      </w:r>
      <w:r w:rsidRPr="009C25B8">
        <w:t xml:space="preserve"> are included in this model to increase precision and will vary by state and district depending on data availability.</w:t>
      </w:r>
    </w:p>
    <w:p w:rsidR="0028722A" w:rsidRPr="009C25B8" w:rsidRDefault="0028722A" w:rsidP="0028722A">
      <w:pPr>
        <w:spacing w:line="240" w:lineRule="auto"/>
        <w:ind w:firstLine="0"/>
      </w:pPr>
    </w:p>
    <w:p w:rsidR="0028722A" w:rsidRPr="009C25B8" w:rsidRDefault="0028722A" w:rsidP="0028722A">
      <w:pPr>
        <w:spacing w:line="240" w:lineRule="auto"/>
        <w:ind w:firstLine="0"/>
      </w:pPr>
      <w:r w:rsidRPr="009C25B8">
        <w:tab/>
        <w:t xml:space="preserve">An RDD in which the difference in the intervention participation rate between the treatment and comparison groups is less than 100 percent is known as a “fuzzy” RDD (Trochim 1984; Hahn et al. 2001). In the context of a fuzzy RDD, it is possible to estimate the impact either </w:t>
      </w:r>
      <w:r w:rsidR="00BC567E">
        <w:t xml:space="preserve">of </w:t>
      </w:r>
      <w:r w:rsidRPr="009C25B8">
        <w:t xml:space="preserve">receiving an </w:t>
      </w:r>
      <w:r w:rsidRPr="009C25B8">
        <w:rPr>
          <w:i/>
        </w:rPr>
        <w:t xml:space="preserve">offer </w:t>
      </w:r>
      <w:r w:rsidRPr="009C25B8">
        <w:t xml:space="preserve">of STM funding or of </w:t>
      </w:r>
      <w:r w:rsidRPr="009C25B8">
        <w:rPr>
          <w:i/>
        </w:rPr>
        <w:t>actually</w:t>
      </w:r>
      <w:r w:rsidRPr="009C25B8">
        <w:t xml:space="preserve"> receiving STM funding by calculating the </w:t>
      </w:r>
      <w:r w:rsidR="004D508F" w:rsidRPr="009C25B8">
        <w:t>CACE</w:t>
      </w:r>
      <w:r w:rsidRPr="009C25B8">
        <w:t>. To calculate CACE impacts, we will add two estimating equations:</w:t>
      </w:r>
    </w:p>
    <w:p w:rsidR="0028722A" w:rsidRPr="009C25B8" w:rsidRDefault="0028722A" w:rsidP="0028722A">
      <w:pPr>
        <w:spacing w:line="240" w:lineRule="auto"/>
        <w:ind w:firstLine="0"/>
      </w:pPr>
    </w:p>
    <w:p w:rsidR="00D02F4A" w:rsidRPr="00F31204" w:rsidRDefault="00D02F4A" w:rsidP="00D02F4A">
      <w:pPr>
        <w:pStyle w:val="NormalSS"/>
      </w:pPr>
      <w:r>
        <w:t>(</w:t>
      </w:r>
      <w:r w:rsidR="00183A9F">
        <w:t>6</w:t>
      </w:r>
      <w:r>
        <w:t xml:space="preserve">)   </w:t>
      </w:r>
      <w:r w:rsidRPr="00395CCC">
        <w:rPr>
          <w:position w:val="-14"/>
        </w:rPr>
        <w:object w:dxaOrig="3280" w:dyaOrig="400">
          <v:shape id="_x0000_i1045" type="#_x0000_t75" style="width:162pt;height:20.25pt" o:ole="">
            <v:imagedata r:id="rId66" o:title=""/>
          </v:shape>
          <o:OLEObject Type="Embed" ProgID="Equation.DSMT4" ShapeID="_x0000_i1045" DrawAspect="Content" ObjectID="_1384773511" r:id="rId67"/>
        </w:object>
      </w:r>
      <w:r>
        <w:t>,</w:t>
      </w:r>
    </w:p>
    <w:p w:rsidR="00D02F4A" w:rsidRPr="00F31204" w:rsidRDefault="00D02F4A" w:rsidP="00D02F4A">
      <w:pPr>
        <w:pStyle w:val="NormalSS"/>
      </w:pPr>
      <w:r>
        <w:t>(</w:t>
      </w:r>
      <w:r w:rsidR="00183A9F">
        <w:t>7</w:t>
      </w:r>
      <w:r>
        <w:t xml:space="preserve">)   </w:t>
      </w:r>
      <w:r w:rsidRPr="00395CCC">
        <w:rPr>
          <w:position w:val="-14"/>
        </w:rPr>
        <w:object w:dxaOrig="3200" w:dyaOrig="400">
          <v:shape id="_x0000_i1046" type="#_x0000_t75" style="width:159pt;height:20.25pt" o:ole="">
            <v:imagedata r:id="rId68" o:title=""/>
          </v:shape>
          <o:OLEObject Type="Embed" ProgID="Equation.DSMT4" ShapeID="_x0000_i1046" DrawAspect="Content" ObjectID="_1384773512" r:id="rId69"/>
        </w:object>
      </w:r>
      <w:r>
        <w:t>,</w:t>
      </w:r>
    </w:p>
    <w:p w:rsidR="0028722A" w:rsidRPr="009C25B8" w:rsidRDefault="0028722A" w:rsidP="004D508F">
      <w:pPr>
        <w:spacing w:line="240" w:lineRule="auto"/>
        <w:ind w:firstLine="0"/>
      </w:pPr>
      <w:r w:rsidRPr="009C25B8">
        <w:t xml:space="preserve">where </w:t>
      </w:r>
      <w:r w:rsidR="005D3EFE" w:rsidRPr="005D3EFE">
        <w:rPr>
          <w:i/>
        </w:rPr>
        <w:t>P</w:t>
      </w:r>
      <w:r w:rsidRPr="009C25B8">
        <w:t xml:space="preserve"> is an indicator of whether a school is offered (or receives) STM funding</w:t>
      </w:r>
      <w:r w:rsidR="00B43DB9">
        <w:t>,</w:t>
      </w:r>
      <w:r w:rsidRPr="009C25B8">
        <w:t xml:space="preserve"> and other variables are defined similarly to equations </w:t>
      </w:r>
      <w:r w:rsidR="00183A9F">
        <w:t>4</w:t>
      </w:r>
      <w:r w:rsidRPr="009C25B8">
        <w:t xml:space="preserve"> and </w:t>
      </w:r>
      <w:r w:rsidR="00183A9F">
        <w:t>5</w:t>
      </w:r>
      <w:r w:rsidRPr="009C25B8">
        <w:t xml:space="preserve">. The impact on being offered (or receiving) STM funding is </w:t>
      </w:r>
      <w:r w:rsidR="00330DC3" w:rsidRPr="0055700C">
        <w:rPr>
          <w:position w:val="-12"/>
        </w:rPr>
        <w:pict>
          <v:shape id="_x0000_i1047" type="#_x0000_t75" style="width:66pt;height:20.25pt">
            <v:imagedata r:id="rId70" o:title=""/>
          </v:shape>
        </w:pict>
      </w:r>
      <w:r w:rsidRPr="009C25B8">
        <w:rPr>
          <w:position w:val="-12"/>
        </w:rPr>
        <w:t xml:space="preserve"> </w:t>
      </w:r>
      <w:r w:rsidR="00BC567E">
        <w:t>, a</w:t>
      </w:r>
      <w:r w:rsidRPr="009C25B8">
        <w:t xml:space="preserve">nd the CACE impact is </w:t>
      </w:r>
      <w:r w:rsidR="00330DC3" w:rsidRPr="0055700C">
        <w:rPr>
          <w:position w:val="-24"/>
        </w:rPr>
        <w:pict>
          <v:shape id="_x0000_i1048" type="#_x0000_t75" style="width:63.75pt;height:35.25pt">
            <v:imagedata r:id="rId71" o:title=""/>
          </v:shape>
        </w:pict>
      </w:r>
      <w:r w:rsidRPr="009C25B8">
        <w:t xml:space="preserve">. </w:t>
      </w:r>
    </w:p>
    <w:p w:rsidR="004D236C" w:rsidRPr="004D236C" w:rsidRDefault="004D236C" w:rsidP="000B2D3E">
      <w:pPr>
        <w:pStyle w:val="NormalSS"/>
        <w:rPr>
          <w:lang w:bidi="en-US"/>
        </w:rPr>
      </w:pPr>
      <w:r>
        <w:rPr>
          <w:lang w:bidi="en-US"/>
        </w:rPr>
        <w:t xml:space="preserve">If it is not feasible to implement an RDD, we will </w:t>
      </w:r>
      <w:r w:rsidR="00D83717" w:rsidRPr="00EC55D7">
        <w:t>use an ITS design to assess how student outcomes change following the implementation of an STM. The ITS design will take advantage of the timing of STM implementation. The ITS model projects the outcomes that would have been expected in the absence of the STM and compares the projections with the pattern of outcomes actually observed in the post</w:t>
      </w:r>
      <w:r w:rsidR="00570AF3">
        <w:t>-</w:t>
      </w:r>
      <w:r w:rsidR="00D83717" w:rsidRPr="00EC55D7">
        <w:t>intervention period. The effect of STM</w:t>
      </w:r>
      <w:r w:rsidR="00D83717">
        <w:t xml:space="preserve"> implementation</w:t>
      </w:r>
      <w:r w:rsidR="00D83717" w:rsidRPr="00EC55D7">
        <w:t xml:space="preserve"> is estimated as the difference between the predicted pattern of outcomes and the actual outcomes observed in the </w:t>
      </w:r>
      <w:r w:rsidR="00D83717" w:rsidRPr="00EC55D7">
        <w:lastRenderedPageBreak/>
        <w:t>post</w:t>
      </w:r>
      <w:r w:rsidR="00570AF3">
        <w:t>-</w:t>
      </w:r>
      <w:r w:rsidR="00D83717" w:rsidRPr="00EC55D7">
        <w:t>intervention period.</w:t>
      </w:r>
      <w:r w:rsidR="00D83717">
        <w:t xml:space="preserve"> </w:t>
      </w:r>
      <w:r w:rsidR="00D83717" w:rsidRPr="00EC55D7">
        <w:t xml:space="preserve">To strengthen the validity of our estimates and to increase statistical power, our ITS design will also incorporate a comparison group of </w:t>
      </w:r>
      <w:r w:rsidR="00D83717">
        <w:t xml:space="preserve">schools </w:t>
      </w:r>
      <w:r w:rsidR="00D83717" w:rsidRPr="00EC55D7">
        <w:t xml:space="preserve">that did not </w:t>
      </w:r>
      <w:r w:rsidR="00D83717">
        <w:t xml:space="preserve">receive STM </w:t>
      </w:r>
      <w:r w:rsidR="00D83717" w:rsidRPr="00EC55D7">
        <w:t xml:space="preserve">funding. This will be accomplished by using the difference in outcomes between </w:t>
      </w:r>
      <w:r w:rsidR="00D83717">
        <w:t xml:space="preserve">schools that do and do not receive STM funding </w:t>
      </w:r>
      <w:r w:rsidR="00D83717" w:rsidRPr="00EC55D7">
        <w:t xml:space="preserve">as the outcome in the ITS analysis. </w:t>
      </w:r>
      <w:r w:rsidR="00D83717">
        <w:t>The sample of schools use</w:t>
      </w:r>
      <w:r w:rsidR="00FA4706">
        <w:t>d</w:t>
      </w:r>
      <w:r w:rsidR="00D83717">
        <w:t xml:space="preserve"> to estimate impacts </w:t>
      </w:r>
      <w:r w:rsidR="00FA4706">
        <w:t>with</w:t>
      </w:r>
      <w:r w:rsidR="00D83717">
        <w:t xml:space="preserve"> this ITS design would be </w:t>
      </w:r>
      <w:r w:rsidR="001E0A0E">
        <w:t>based on</w:t>
      </w:r>
      <w:r w:rsidR="00D83717">
        <w:t xml:space="preserve"> the sample</w:t>
      </w:r>
      <w:r w:rsidR="001E0A0E">
        <w:t xml:space="preserve"> identified for</w:t>
      </w:r>
      <w:r w:rsidR="00D83717">
        <w:t xml:space="preserve"> estimat</w:t>
      </w:r>
      <w:r w:rsidR="001E0A0E">
        <w:t>ing</w:t>
      </w:r>
      <w:r w:rsidR="00D83717">
        <w:t xml:space="preserve"> RDD impacts</w:t>
      </w:r>
      <w:r w:rsidR="001E0A0E">
        <w:t>, but augmented to reduce any observed differences between our analysis sample and the national population of SIG grantees</w:t>
      </w:r>
      <w:r w:rsidR="00D83717">
        <w:t>.</w:t>
      </w:r>
    </w:p>
    <w:p w:rsidR="00CE2542" w:rsidRDefault="00556D3C" w:rsidP="00CE2542">
      <w:pPr>
        <w:pStyle w:val="NormalSS"/>
        <w:ind w:firstLine="0"/>
      </w:pPr>
      <w:r>
        <w:tab/>
      </w:r>
      <w:r w:rsidR="005D3EFE" w:rsidRPr="005D3EFE">
        <w:rPr>
          <w:b/>
        </w:rPr>
        <w:t>Relating Student Outcome Gains to STMs and Practices</w:t>
      </w:r>
      <w:r>
        <w:t xml:space="preserve">. </w:t>
      </w:r>
      <w:r w:rsidR="00CE2542">
        <w:tab/>
      </w:r>
      <w:r w:rsidR="00CE2542" w:rsidRPr="00A17832">
        <w:t xml:space="preserve">We will use </w:t>
      </w:r>
      <w:r w:rsidR="00CE2542">
        <w:t xml:space="preserve">an </w:t>
      </w:r>
      <w:r w:rsidR="007C325B">
        <w:t xml:space="preserve">ITS </w:t>
      </w:r>
      <w:r w:rsidR="00CE2542">
        <w:t xml:space="preserve">design </w:t>
      </w:r>
      <w:r w:rsidR="00CE2542" w:rsidRPr="00A17832">
        <w:t xml:space="preserve">to assess how student outcomes change following the </w:t>
      </w:r>
      <w:r w:rsidR="00CE2542">
        <w:t>implementation of an STM</w:t>
      </w:r>
      <w:r w:rsidR="00CE2542" w:rsidRPr="00A17832">
        <w:t>.</w:t>
      </w:r>
      <w:r w:rsidR="00CE2542">
        <w:t xml:space="preserve"> The ITS design will take advantage of the timing of STM implementation. </w:t>
      </w:r>
      <w:r w:rsidR="00CE2542" w:rsidRPr="00A17832">
        <w:t xml:space="preserve">The ITS model </w:t>
      </w:r>
      <w:r w:rsidR="00CE2542" w:rsidRPr="00A17832">
        <w:rPr>
          <w:i/>
          <w:iCs/>
        </w:rPr>
        <w:t>projects</w:t>
      </w:r>
      <w:r w:rsidR="00CE2542" w:rsidRPr="00A17832">
        <w:t xml:space="preserve"> the outcomes that would have been expected in the absence of </w:t>
      </w:r>
      <w:r w:rsidR="00CE2542">
        <w:t xml:space="preserve">the STM or practice </w:t>
      </w:r>
      <w:r w:rsidR="00CE2542" w:rsidRPr="00A17832">
        <w:t xml:space="preserve">and compares the projections with the pattern of outcomes </w:t>
      </w:r>
      <w:r w:rsidR="00CE2542" w:rsidRPr="00A17832">
        <w:rPr>
          <w:i/>
          <w:iCs/>
        </w:rPr>
        <w:t>actually observed</w:t>
      </w:r>
      <w:r w:rsidR="00CE2542" w:rsidRPr="00A17832">
        <w:t xml:space="preserve"> in the post-intervention period. The effect of the </w:t>
      </w:r>
      <w:r w:rsidR="00CE2542">
        <w:t xml:space="preserve">STM or practice </w:t>
      </w:r>
      <w:r w:rsidR="00CE2542" w:rsidRPr="00A17832">
        <w:t xml:space="preserve">is estimated as the difference between the </w:t>
      </w:r>
      <w:r w:rsidR="00CE2542" w:rsidRPr="00A17832">
        <w:rPr>
          <w:i/>
          <w:iCs/>
        </w:rPr>
        <w:t>predicted</w:t>
      </w:r>
      <w:r w:rsidR="00CE2542" w:rsidRPr="00A17832">
        <w:t xml:space="preserve"> pattern of outcomes and the </w:t>
      </w:r>
      <w:r w:rsidR="00CE2542" w:rsidRPr="00A17832">
        <w:rPr>
          <w:i/>
          <w:iCs/>
        </w:rPr>
        <w:t>actual</w:t>
      </w:r>
      <w:r w:rsidR="00CE2542" w:rsidRPr="00A17832">
        <w:t xml:space="preserve"> outcomes </w:t>
      </w:r>
      <w:r w:rsidR="00CE2542">
        <w:t xml:space="preserve">observed </w:t>
      </w:r>
      <w:r w:rsidR="00CE2542" w:rsidRPr="00A17832">
        <w:t>in the post-intervention period.</w:t>
      </w:r>
      <w:r w:rsidR="00CE2542">
        <w:t xml:space="preserve"> </w:t>
      </w:r>
    </w:p>
    <w:p w:rsidR="00CE2542" w:rsidRPr="0017467A" w:rsidRDefault="00CE2542" w:rsidP="00CE2542">
      <w:pPr>
        <w:pStyle w:val="NormalSS"/>
        <w:ind w:firstLine="0"/>
      </w:pPr>
      <w:r>
        <w:tab/>
      </w:r>
      <w:r w:rsidRPr="0017467A">
        <w:t xml:space="preserve">After outcome gains have been estimated </w:t>
      </w:r>
      <w:r w:rsidR="009E1F2C" w:rsidRPr="0017467A">
        <w:t>for every school</w:t>
      </w:r>
      <w:r w:rsidR="00903E46" w:rsidRPr="0017467A">
        <w:t xml:space="preserve"> in our sample that</w:t>
      </w:r>
      <w:r w:rsidR="009E1F2C" w:rsidRPr="0017467A">
        <w:t xml:space="preserve"> implement</w:t>
      </w:r>
      <w:r w:rsidR="00903E46" w:rsidRPr="0017467A">
        <w:t>ed</w:t>
      </w:r>
      <w:r w:rsidR="009E1F2C" w:rsidRPr="0017467A">
        <w:t xml:space="preserve"> an STM</w:t>
      </w:r>
      <w:r w:rsidRPr="0017467A">
        <w:t xml:space="preserve">, we will examine the relationship between those gains and the specific STM and individual practices that each school implemented. </w:t>
      </w:r>
    </w:p>
    <w:p w:rsidR="00CE2542" w:rsidRPr="0017467A" w:rsidRDefault="00CE2542" w:rsidP="00CE2542">
      <w:pPr>
        <w:pStyle w:val="NormalSS"/>
        <w:ind w:firstLine="0"/>
      </w:pPr>
      <w:r w:rsidRPr="0017467A">
        <w:tab/>
        <w:t>When interpreting findings we will clarify that variation in outcome gains across STMs and practices could be due to unobserved characteristics of schools and cannot necessarily be attributed to the models or practices themselves. This is because the mechanism used to assign STMs and associated practices to schools is unknown, meaning that we cannot adjust for it</w:t>
      </w:r>
      <w:r w:rsidR="007D3998" w:rsidRPr="0017467A">
        <w:t>.</w:t>
      </w:r>
    </w:p>
    <w:p w:rsidR="00CE2542" w:rsidRDefault="00CE2542" w:rsidP="00CE2542">
      <w:pPr>
        <w:pStyle w:val="NormalSS"/>
        <w:ind w:firstLine="0"/>
      </w:pPr>
      <w:r w:rsidRPr="0017467A">
        <w:tab/>
        <w:t xml:space="preserve">Our approach to estimating the relationship between improvements in student outcomes and specific models or practices involves four steps. First, we will assess which STMs and practices can be analyzed with the available data, creating “bundles” of practices when practices cannot be analyzed individually. Second, we will estimate outcome gains for every grade </w:t>
      </w:r>
      <w:r w:rsidR="009E1F2C" w:rsidRPr="0017467A">
        <w:t>in each school</w:t>
      </w:r>
      <w:r w:rsidR="00903E46" w:rsidRPr="0017467A">
        <w:t xml:space="preserve"> in our sample</w:t>
      </w:r>
      <w:r w:rsidR="009E1F2C" w:rsidRPr="0017467A">
        <w:t xml:space="preserve"> that implemented an STM</w:t>
      </w:r>
      <w:r w:rsidRPr="0017467A">
        <w:t xml:space="preserve">. Third, we will examine the relationship between </w:t>
      </w:r>
      <w:r w:rsidR="00DB6272" w:rsidRPr="0017467A">
        <w:t xml:space="preserve">the estimated </w:t>
      </w:r>
      <w:r w:rsidRPr="0017467A">
        <w:t>school-specific gains and the specific STM and practices implemented in schools. Fourth, we will aggregate these relationships across grades.</w:t>
      </w:r>
    </w:p>
    <w:p w:rsidR="00D02F4A" w:rsidRPr="000B3632" w:rsidRDefault="00D02F4A" w:rsidP="00D02F4A">
      <w:pPr>
        <w:pStyle w:val="NormalSS"/>
      </w:pPr>
      <w:r w:rsidRPr="000B3632">
        <w:t>The ITS model is shown in equation (</w:t>
      </w:r>
      <w:r w:rsidR="002A1349">
        <w:t>8</w:t>
      </w:r>
      <w:r w:rsidRPr="000B3632">
        <w:t>)</w:t>
      </w:r>
      <w:r w:rsidR="003927FF">
        <w:t>,</w:t>
      </w:r>
      <w:r w:rsidRPr="000B3632">
        <w:t xml:space="preserve"> where: </w:t>
      </w:r>
      <w:r w:rsidRPr="004164F4">
        <w:rPr>
          <w:i/>
        </w:rPr>
        <w:t>Y</w:t>
      </w:r>
      <w:r w:rsidRPr="000B3632">
        <w:t xml:space="preserve"> is the outcome</w:t>
      </w:r>
      <w:r>
        <w:t xml:space="preserve"> (in the case of test scores, </w:t>
      </w:r>
      <w:r w:rsidRPr="004164F4">
        <w:rPr>
          <w:i/>
        </w:rPr>
        <w:t>Y</w:t>
      </w:r>
      <w:r>
        <w:t xml:space="preserve"> is transformed into a z-score</w:t>
      </w:r>
      <w:r>
        <w:rPr>
          <w:rStyle w:val="FootnoteReference"/>
        </w:rPr>
        <w:footnoteReference w:id="6"/>
      </w:r>
      <w:r>
        <w:t>)</w:t>
      </w:r>
      <w:r w:rsidRPr="000B3632">
        <w:t xml:space="preserve">; </w:t>
      </w:r>
      <w:r w:rsidRPr="004164F4">
        <w:rPr>
          <w:i/>
        </w:rPr>
        <w:t>t</w:t>
      </w:r>
      <w:r w:rsidRPr="000B3632">
        <w:t xml:space="preserve"> is the year (centered at the 2010</w:t>
      </w:r>
      <w:r>
        <w:t>–</w:t>
      </w:r>
      <w:r w:rsidRPr="000B3632">
        <w:t xml:space="preserve">2011 school year); </w:t>
      </w:r>
      <w:r w:rsidRPr="00D91776">
        <w:rPr>
          <w:position w:val="-6"/>
        </w:rPr>
        <w:object w:dxaOrig="660" w:dyaOrig="320">
          <v:shape id="_x0000_i1049" type="#_x0000_t75" style="width:33pt;height:15.75pt" o:ole="">
            <v:imagedata r:id="rId72" o:title=""/>
          </v:shape>
          <o:OLEObject Type="Embed" ProgID="Equation.DSMT4" ShapeID="_x0000_i1049" DrawAspect="Content" ObjectID="_1384773513" r:id="rId73"/>
        </w:object>
      </w:r>
      <w:r w:rsidRPr="000B3632">
        <w:t xml:space="preserve"> is a binary variable that equals 1 for years prior to 2010</w:t>
      </w:r>
      <w:r>
        <w:t>–</w:t>
      </w:r>
      <w:r w:rsidRPr="000B3632">
        <w:t xml:space="preserve">2011 and 0 otherwise; </w:t>
      </w:r>
      <w:r w:rsidRPr="00D91776">
        <w:rPr>
          <w:position w:val="-6"/>
        </w:rPr>
        <w:object w:dxaOrig="680" w:dyaOrig="320">
          <v:shape id="_x0000_i1050" type="#_x0000_t75" style="width:35.25pt;height:15.75pt" o:ole="">
            <v:imagedata r:id="rId74" o:title=""/>
          </v:shape>
          <o:OLEObject Type="Embed" ProgID="Equation.DSMT4" ShapeID="_x0000_i1050" DrawAspect="Content" ObjectID="_1384773514" r:id="rId75"/>
        </w:object>
      </w:r>
      <w:r w:rsidRPr="000B3632">
        <w:t xml:space="preserve"> (</w:t>
      </w:r>
      <w:r w:rsidRPr="00D56344">
        <w:rPr>
          <w:i/>
        </w:rPr>
        <w:t>T</w:t>
      </w:r>
      <w:r w:rsidRPr="000B3632">
        <w:t xml:space="preserve"> corresponds to outcome year 1, 2, or 3) </w:t>
      </w:r>
      <w:r>
        <w:t>is a</w:t>
      </w:r>
      <w:r w:rsidRPr="000B3632">
        <w:t xml:space="preserve"> binary variable that equal</w:t>
      </w:r>
      <w:r>
        <w:t>s</w:t>
      </w:r>
      <w:r w:rsidRPr="000B3632">
        <w:t xml:space="preserve"> 1 when </w:t>
      </w:r>
      <w:r w:rsidRPr="00D56344">
        <w:rPr>
          <w:i/>
        </w:rPr>
        <w:t>t = T</w:t>
      </w:r>
      <w:r w:rsidRPr="000B3632">
        <w:t xml:space="preserve"> and 0 otherwise; </w:t>
      </w:r>
      <w:r w:rsidRPr="00D91776">
        <w:rPr>
          <w:position w:val="-6"/>
        </w:rPr>
        <w:object w:dxaOrig="200" w:dyaOrig="220">
          <v:shape id="_x0000_i1051" type="#_x0000_t75" style="width:9.75pt;height:9.75pt" o:ole="">
            <v:imagedata r:id="rId76" o:title=""/>
          </v:shape>
          <o:OLEObject Type="Embed" ProgID="Equation.DSMT4" ShapeID="_x0000_i1051" DrawAspect="Content" ObjectID="_1384773515" r:id="rId77"/>
        </w:object>
      </w:r>
      <w:r w:rsidRPr="000B3632">
        <w:t xml:space="preserve"> is an error term; and </w:t>
      </w:r>
      <w:r w:rsidRPr="00D91776">
        <w:rPr>
          <w:position w:val="-6"/>
        </w:rPr>
        <w:object w:dxaOrig="240" w:dyaOrig="220">
          <v:shape id="_x0000_i1052" type="#_x0000_t75" style="width:12pt;height:9.75pt" o:ole="">
            <v:imagedata r:id="rId78" o:title=""/>
          </v:shape>
          <o:OLEObject Type="Embed" ProgID="Equation.DSMT4" ShapeID="_x0000_i1052" DrawAspect="Content" ObjectID="_1384773516" r:id="rId79"/>
        </w:object>
      </w:r>
      <w:r w:rsidRPr="000B3632">
        <w:t>,</w:t>
      </w:r>
      <w:r>
        <w:t xml:space="preserve"> </w:t>
      </w:r>
      <w:r w:rsidRPr="00D91776">
        <w:rPr>
          <w:position w:val="-6"/>
        </w:rPr>
        <w:object w:dxaOrig="300" w:dyaOrig="320">
          <v:shape id="_x0000_i1053" type="#_x0000_t75" style="width:15pt;height:15.75pt" o:ole="">
            <v:imagedata r:id="rId80" o:title=""/>
          </v:shape>
          <o:OLEObject Type="Embed" ProgID="Equation.DSMT4" ShapeID="_x0000_i1053" DrawAspect="Content" ObjectID="_1384773517" r:id="rId81"/>
        </w:object>
      </w:r>
      <w:r w:rsidRPr="000B3632">
        <w:t>,</w:t>
      </w:r>
      <w:r>
        <w:t xml:space="preserve"> </w:t>
      </w:r>
      <w:r w:rsidRPr="00D91776">
        <w:rPr>
          <w:position w:val="-6"/>
        </w:rPr>
        <w:object w:dxaOrig="279" w:dyaOrig="320">
          <v:shape id="_x0000_i1054" type="#_x0000_t75" style="width:13.5pt;height:15.75pt" o:ole="">
            <v:imagedata r:id="rId82" o:title=""/>
          </v:shape>
          <o:OLEObject Type="Embed" ProgID="Equation.DSMT4" ShapeID="_x0000_i1054" DrawAspect="Content" ObjectID="_1384773518" r:id="rId83"/>
        </w:object>
      </w:r>
      <w:r w:rsidRPr="000B3632">
        <w:t xml:space="preserve">, </w:t>
      </w:r>
      <w:r w:rsidRPr="00D91776">
        <w:rPr>
          <w:position w:val="-6"/>
        </w:rPr>
        <w:object w:dxaOrig="300" w:dyaOrig="320">
          <v:shape id="_x0000_i1055" type="#_x0000_t75" style="width:15pt;height:15.75pt" o:ole="">
            <v:imagedata r:id="rId84" o:title=""/>
          </v:shape>
          <o:OLEObject Type="Embed" ProgID="Equation.DSMT4" ShapeID="_x0000_i1055" DrawAspect="Content" ObjectID="_1384773519" r:id="rId85"/>
        </w:object>
      </w:r>
      <w:r w:rsidRPr="000B3632">
        <w:t xml:space="preserve">, and </w:t>
      </w:r>
      <w:r w:rsidRPr="00D91776">
        <w:rPr>
          <w:position w:val="-6"/>
        </w:rPr>
        <w:object w:dxaOrig="279" w:dyaOrig="320">
          <v:shape id="_x0000_i1056" type="#_x0000_t75" style="width:13.5pt;height:15.75pt" o:ole="">
            <v:imagedata r:id="rId86" o:title=""/>
          </v:shape>
          <o:OLEObject Type="Embed" ProgID="Equation.DSMT4" ShapeID="_x0000_i1056" DrawAspect="Content" ObjectID="_1384773520" r:id="rId87"/>
        </w:object>
      </w:r>
      <w:r w:rsidRPr="000B3632">
        <w:t xml:space="preserve"> </w:t>
      </w:r>
      <w:r>
        <w:t>are parameters to be estimated.</w:t>
      </w:r>
    </w:p>
    <w:p w:rsidR="00D02F4A" w:rsidRPr="00DE794F" w:rsidRDefault="00183A9F" w:rsidP="00D02F4A">
      <w:pPr>
        <w:pStyle w:val="NormalSS"/>
      </w:pPr>
      <w:r>
        <w:t>(8</w:t>
      </w:r>
      <w:r w:rsidR="00D02F4A" w:rsidRPr="00DE794F">
        <w:t xml:space="preserve">) </w:t>
      </w:r>
      <w:r w:rsidR="00D02F4A">
        <w:t xml:space="preserve">  </w:t>
      </w:r>
      <w:r w:rsidR="00D02F4A" w:rsidRPr="00E274BA">
        <w:rPr>
          <w:position w:val="-16"/>
        </w:rPr>
        <w:object w:dxaOrig="6039" w:dyaOrig="440">
          <v:shape id="_x0000_i1057" type="#_x0000_t75" style="width:303pt;height:22.5pt" o:ole="">
            <v:imagedata r:id="rId88" o:title=""/>
          </v:shape>
          <o:OLEObject Type="Embed" ProgID="Equation.DSMT4" ShapeID="_x0000_i1057" DrawAspect="Content" ObjectID="_1384773521" r:id="rId89"/>
        </w:object>
      </w:r>
    </w:p>
    <w:p w:rsidR="00D02F4A" w:rsidRDefault="00D02F4A" w:rsidP="00D02F4A">
      <w:pPr>
        <w:pStyle w:val="NormalSScontinued"/>
      </w:pPr>
      <w:r w:rsidRPr="000B3632">
        <w:lastRenderedPageBreak/>
        <w:t xml:space="preserve">For an outcome year </w:t>
      </w:r>
      <w:r w:rsidRPr="00D56344">
        <w:rPr>
          <w:i/>
        </w:rPr>
        <w:t>T</w:t>
      </w:r>
      <w:r w:rsidRPr="000B3632">
        <w:t xml:space="preserve">, the outcome gain associated with STM implementation for a given grade in a given school is </w:t>
      </w:r>
      <w:r w:rsidRPr="000B3632">
        <w:rPr>
          <w:position w:val="-6"/>
        </w:rPr>
        <w:object w:dxaOrig="1740" w:dyaOrig="320">
          <v:shape id="_x0000_i1058" type="#_x0000_t75" style="width:87pt;height:15.75pt" o:ole="">
            <v:imagedata r:id="rId90" o:title=""/>
          </v:shape>
          <o:OLEObject Type="Embed" ProgID="Equation.DSMT4" ShapeID="_x0000_i1058" DrawAspect="Content" ObjectID="_1384773522" r:id="rId91"/>
        </w:object>
      </w:r>
      <w:r w:rsidR="003927FF">
        <w:rPr>
          <w:position w:val="-6"/>
        </w:rPr>
        <w:t>,</w:t>
      </w:r>
      <w:r>
        <w:t xml:space="preserve"> which is the distance between the outcome in year </w:t>
      </w:r>
      <w:r w:rsidRPr="00D56344">
        <w:rPr>
          <w:i/>
        </w:rPr>
        <w:t>T</w:t>
      </w:r>
      <w:r>
        <w:t xml:space="preserve"> and the trendline projected by the ITS model from the preintervention time period.</w:t>
      </w:r>
    </w:p>
    <w:p w:rsidR="00436835" w:rsidRPr="000B3632" w:rsidRDefault="00436835" w:rsidP="00436835">
      <w:pPr>
        <w:pStyle w:val="NormalSS"/>
      </w:pPr>
      <w:r w:rsidRPr="000B3632">
        <w:t xml:space="preserve">To assess the relationship between outcome gains and </w:t>
      </w:r>
      <w:r>
        <w:t>whether schools implement specific models</w:t>
      </w:r>
      <w:r w:rsidR="00E64A9D">
        <w:t>, we will estimate equation (9</w:t>
      </w:r>
      <w:r w:rsidRPr="000B3632">
        <w:t>) separately for each grade and outcome year</w:t>
      </w:r>
      <w:r>
        <w:t xml:space="preserve"> (</w:t>
      </w:r>
      <w:r w:rsidRPr="00436835">
        <w:rPr>
          <w:i/>
        </w:rPr>
        <w:t>T</w:t>
      </w:r>
      <w:r>
        <w:t>) of interest</w:t>
      </w:r>
      <w:r w:rsidRPr="000B3632">
        <w:t xml:space="preserve">, where: </w:t>
      </w:r>
      <w:r w:rsidRPr="00F371B0">
        <w:rPr>
          <w:i/>
        </w:rPr>
        <w:t>i</w:t>
      </w:r>
      <w:r w:rsidRPr="000B3632">
        <w:t xml:space="preserve"> indexes schools; </w:t>
      </w:r>
      <w:r w:rsidRPr="002E19A2">
        <w:rPr>
          <w:position w:val="-4"/>
        </w:rPr>
        <w:object w:dxaOrig="480" w:dyaOrig="300">
          <v:shape id="_x0000_i1059" type="#_x0000_t75" style="width:24pt;height:15pt" o:ole="">
            <v:imagedata r:id="rId92" o:title=""/>
          </v:shape>
          <o:OLEObject Type="Embed" ProgID="Equation.DSMT4" ShapeID="_x0000_i1059" DrawAspect="Content" ObjectID="_1384773523" r:id="rId93"/>
        </w:object>
      </w:r>
      <w:r w:rsidRPr="000B3632">
        <w:t xml:space="preserve"> is the outcome gain for a </w:t>
      </w:r>
      <w:r>
        <w:t>given grade of interest;</w:t>
      </w:r>
      <w:r w:rsidRPr="000B3632">
        <w:t xml:space="preserve"> </w:t>
      </w:r>
      <w:r w:rsidRPr="001221EC">
        <w:rPr>
          <w:i/>
        </w:rPr>
        <w:t xml:space="preserve">STM </w:t>
      </w:r>
      <w:r>
        <w:t xml:space="preserve">is a set of binary variables indicating which STM a school implemented; </w:t>
      </w:r>
      <w:r w:rsidRPr="001221EC">
        <w:rPr>
          <w:i/>
        </w:rPr>
        <w:t>X</w:t>
      </w:r>
      <w:r>
        <w:t xml:space="preserve"> is a set of school characteristics that includes demographic characteristics of the student body and the RDD assignment variables; </w:t>
      </w:r>
      <w:r w:rsidRPr="001E2C70">
        <w:rPr>
          <w:i/>
        </w:rPr>
        <w:t>STATE</w:t>
      </w:r>
      <w:r>
        <w:t xml:space="preserve"> is a set of binary variables indicating the state where the school is located; </w:t>
      </w:r>
      <w:r w:rsidRPr="00D91776">
        <w:rPr>
          <w:position w:val="-6"/>
        </w:rPr>
        <w:object w:dxaOrig="200" w:dyaOrig="220">
          <v:shape id="_x0000_i1060" type="#_x0000_t75" style="width:9.75pt;height:9.75pt" o:ole="">
            <v:imagedata r:id="rId76" o:title=""/>
          </v:shape>
          <o:OLEObject Type="Embed" ProgID="Equation.DSMT4" ShapeID="_x0000_i1060" DrawAspect="Content" ObjectID="_1384773524" r:id="rId94"/>
        </w:object>
      </w:r>
      <w:r w:rsidRPr="000B3632">
        <w:t xml:space="preserve"> is an error term;</w:t>
      </w:r>
      <w:r>
        <w:t xml:space="preserve"> and </w:t>
      </w:r>
      <w:r w:rsidRPr="00C14AD9">
        <w:rPr>
          <w:position w:val="-12"/>
        </w:rPr>
        <w:object w:dxaOrig="300" w:dyaOrig="360">
          <v:shape id="_x0000_i1061" type="#_x0000_t75" style="width:15pt;height:18pt" o:ole="">
            <v:imagedata r:id="rId95" o:title=""/>
          </v:shape>
          <o:OLEObject Type="Embed" ProgID="Equation.DSMT4" ShapeID="_x0000_i1061" DrawAspect="Content" ObjectID="_1384773525" r:id="rId96"/>
        </w:object>
      </w:r>
      <w:r>
        <w:t xml:space="preserve">, </w:t>
      </w:r>
      <w:r w:rsidRPr="00C14AD9">
        <w:rPr>
          <w:position w:val="-12"/>
        </w:rPr>
        <w:object w:dxaOrig="520" w:dyaOrig="360">
          <v:shape id="_x0000_i1062" type="#_x0000_t75" style="width:26.25pt;height:18pt" o:ole="">
            <v:imagedata r:id="rId97" o:title=""/>
          </v:shape>
          <o:OLEObject Type="Embed" ProgID="Equation.DSMT4" ShapeID="_x0000_i1062" DrawAspect="Content" ObjectID="_1384773526" r:id="rId98"/>
        </w:object>
      </w:r>
      <w:r>
        <w:t xml:space="preserve">, </w:t>
      </w:r>
      <w:r w:rsidRPr="00EB5EA3">
        <w:rPr>
          <w:position w:val="-10"/>
        </w:rPr>
        <w:object w:dxaOrig="340" w:dyaOrig="340">
          <v:shape id="_x0000_i1063" type="#_x0000_t75" style="width:18pt;height:18pt" o:ole="">
            <v:imagedata r:id="rId99" o:title=""/>
          </v:shape>
          <o:OLEObject Type="Embed" ProgID="Equation.DSMT4" ShapeID="_x0000_i1063" DrawAspect="Content" ObjectID="_1384773527" r:id="rId100"/>
        </w:object>
      </w:r>
      <w:r>
        <w:t xml:space="preserve">, and </w:t>
      </w:r>
      <w:r w:rsidRPr="00C14AD9">
        <w:rPr>
          <w:position w:val="-12"/>
        </w:rPr>
        <w:object w:dxaOrig="499" w:dyaOrig="360">
          <v:shape id="_x0000_i1064" type="#_x0000_t75" style="width:24pt;height:18pt" o:ole="">
            <v:imagedata r:id="rId101" o:title=""/>
          </v:shape>
          <o:OLEObject Type="Embed" ProgID="Equation.DSMT4" ShapeID="_x0000_i1064" DrawAspect="Content" ObjectID="_1384773528" r:id="rId102"/>
        </w:object>
      </w:r>
      <w:r>
        <w:t xml:space="preserve"> are parameters to be estimated.</w:t>
      </w:r>
    </w:p>
    <w:p w:rsidR="00436835" w:rsidRPr="000B3632" w:rsidRDefault="00E64A9D" w:rsidP="00436835">
      <w:pPr>
        <w:pStyle w:val="NormalSS"/>
      </w:pPr>
      <w:r>
        <w:t>(9</w:t>
      </w:r>
      <w:r w:rsidR="00436835" w:rsidRPr="000B3632">
        <w:t xml:space="preserve">) </w:t>
      </w:r>
      <w:r w:rsidR="00436835">
        <w:t xml:space="preserve">  </w:t>
      </w:r>
      <w:r w:rsidR="00436835" w:rsidRPr="00C14AD9">
        <w:rPr>
          <w:position w:val="-12"/>
        </w:rPr>
        <w:object w:dxaOrig="4700" w:dyaOrig="380">
          <v:shape id="_x0000_i1065" type="#_x0000_t75" style="width:236.25pt;height:18.75pt" o:ole="">
            <v:imagedata r:id="rId103" o:title=""/>
          </v:shape>
          <o:OLEObject Type="Embed" ProgID="Equation.DSMT4" ShapeID="_x0000_i1065" DrawAspect="Content" ObjectID="_1384773529" r:id="rId104"/>
        </w:object>
      </w:r>
    </w:p>
    <w:p w:rsidR="00436835" w:rsidRDefault="00436835" w:rsidP="00436835">
      <w:pPr>
        <w:pStyle w:val="NormalSS"/>
      </w:pPr>
      <w:r>
        <w:t xml:space="preserve">The differences in outcome gains between STMs are given by the </w:t>
      </w:r>
      <w:r w:rsidRPr="00C14AD9">
        <w:rPr>
          <w:position w:val="-12"/>
        </w:rPr>
        <w:object w:dxaOrig="520" w:dyaOrig="360">
          <v:shape id="_x0000_i1066" type="#_x0000_t75" style="width:26.25pt;height:18pt" o:ole="">
            <v:imagedata r:id="rId105" o:title=""/>
          </v:shape>
          <o:OLEObject Type="Embed" ProgID="Equation.DSMT4" ShapeID="_x0000_i1066" DrawAspect="Content" ObjectID="_1384773530" r:id="rId106"/>
        </w:object>
      </w:r>
      <w:r>
        <w:t xml:space="preserve"> estimates. Because we include state indicator variables, these estimates are based only on within-state variation, meaning that the effects of STMs are not confounded with cross-state differences. Also, because we are focusing on differences among STMs in outcome gains, our estimates will be unaffected by changes over time that affect all schools within a state (for example, changing state assessments). </w:t>
      </w:r>
    </w:p>
    <w:p w:rsidR="00E64A9D" w:rsidRDefault="00E64A9D" w:rsidP="00E64A9D">
      <w:pPr>
        <w:pStyle w:val="NormalSS"/>
      </w:pPr>
      <w:r>
        <w:t>To estimate the relationship between individual practices (or bundles of practices) and outcome gains, we will estimate equation (10), which adds to equation (9) th</w:t>
      </w:r>
      <w:bookmarkStart w:id="65" w:name="_GoBack"/>
      <w:bookmarkEnd w:id="65"/>
      <w:r>
        <w:t xml:space="preserve">e term </w:t>
      </w:r>
      <w:r w:rsidRPr="007B32BC">
        <w:rPr>
          <w:position w:val="-10"/>
        </w:rPr>
        <w:object w:dxaOrig="480" w:dyaOrig="320">
          <v:shape id="_x0000_i1067" type="#_x0000_t75" style="width:24pt;height:15.75pt" o:ole="">
            <v:imagedata r:id="rId107" o:title=""/>
          </v:shape>
          <o:OLEObject Type="Embed" ProgID="Equation.DSMT4" ShapeID="_x0000_i1067" DrawAspect="Content" ObjectID="_1384773531" r:id="rId108"/>
        </w:object>
      </w:r>
      <w:r>
        <w:t xml:space="preserve">, where </w:t>
      </w:r>
      <w:r w:rsidRPr="007B32BC">
        <w:rPr>
          <w:i/>
        </w:rPr>
        <w:t>P</w:t>
      </w:r>
      <w:r>
        <w:t xml:space="preserve"> is a set of binary variables indicating which practices (or bundles of practices) were implemented in each school and </w:t>
      </w:r>
      <w:r w:rsidRPr="007B32BC">
        <w:rPr>
          <w:position w:val="-10"/>
        </w:rPr>
        <w:object w:dxaOrig="320" w:dyaOrig="340">
          <v:shape id="_x0000_i1068" type="#_x0000_t75" style="width:18pt;height:18pt" o:ole="">
            <v:imagedata r:id="rId109" o:title=""/>
          </v:shape>
          <o:OLEObject Type="Embed" ProgID="Equation.DSMT4" ShapeID="_x0000_i1068" DrawAspect="Content" ObjectID="_1384773532" r:id="rId110"/>
        </w:object>
      </w:r>
      <w:r>
        <w:t xml:space="preserve"> is a set of parameters representing the differences in outcome gains associated with those practices. Schools that implemented the closure model will not be included in this analysis, since the closure model cannot involve any other practices. </w:t>
      </w:r>
    </w:p>
    <w:p w:rsidR="00E64A9D" w:rsidRPr="000B3632" w:rsidRDefault="00E64A9D" w:rsidP="00E64A9D">
      <w:pPr>
        <w:pStyle w:val="NormalSS"/>
      </w:pPr>
      <w:r w:rsidRPr="001E2C70">
        <w:t>(</w:t>
      </w:r>
      <w:r>
        <w:t>10</w:t>
      </w:r>
      <w:r w:rsidRPr="001E2C70">
        <w:t xml:space="preserve">) </w:t>
      </w:r>
      <w:r>
        <w:t xml:space="preserve">  </w:t>
      </w:r>
      <w:r w:rsidRPr="00C14AD9">
        <w:rPr>
          <w:position w:val="-12"/>
        </w:rPr>
        <w:object w:dxaOrig="5360" w:dyaOrig="380">
          <v:shape id="_x0000_i1069" type="#_x0000_t75" style="width:270pt;height:18.75pt" o:ole="">
            <v:imagedata r:id="rId111" o:title=""/>
          </v:shape>
          <o:OLEObject Type="Embed" ProgID="Equation.DSMT4" ShapeID="_x0000_i1069" DrawAspect="Content" ObjectID="_1384773533" r:id="rId112"/>
        </w:object>
      </w:r>
    </w:p>
    <w:p w:rsidR="00EC6360" w:rsidRDefault="00EC6360" w:rsidP="0028722A">
      <w:pPr>
        <w:spacing w:line="240" w:lineRule="auto"/>
        <w:ind w:firstLine="0"/>
        <w:rPr>
          <w:b/>
        </w:rPr>
      </w:pPr>
      <w:r w:rsidRPr="00C4058B">
        <w:rPr>
          <w:b/>
        </w:rPr>
        <w:t>b.</w:t>
      </w:r>
      <w:r w:rsidRPr="00C4058B">
        <w:rPr>
          <w:b/>
        </w:rPr>
        <w:tab/>
        <w:t>Publication Plans</w:t>
      </w:r>
    </w:p>
    <w:p w:rsidR="002D20EA" w:rsidRPr="00C4058B" w:rsidRDefault="002D20EA" w:rsidP="0028722A">
      <w:pPr>
        <w:spacing w:line="240" w:lineRule="auto"/>
        <w:ind w:firstLine="0"/>
        <w:rPr>
          <w:b/>
        </w:rPr>
      </w:pPr>
    </w:p>
    <w:p w:rsidR="00471F26" w:rsidRDefault="001A3603" w:rsidP="001A3603">
      <w:pPr>
        <w:pStyle w:val="NormalSS"/>
        <w:ind w:firstLine="0"/>
      </w:pPr>
      <w:r>
        <w:tab/>
      </w:r>
      <w:r w:rsidR="0035530A">
        <w:t xml:space="preserve">Table </w:t>
      </w:r>
      <w:r w:rsidR="00471F26">
        <w:t>A.6</w:t>
      </w:r>
      <w:r w:rsidR="0035530A">
        <w:t xml:space="preserve"> displays the</w:t>
      </w:r>
      <w:r w:rsidR="00584359">
        <w:t xml:space="preserve"> anticipated</w:t>
      </w:r>
      <w:r w:rsidR="0035530A">
        <w:t xml:space="preserve"> </w:t>
      </w:r>
      <w:r w:rsidR="00471F26">
        <w:t xml:space="preserve">timetable </w:t>
      </w:r>
      <w:r w:rsidR="0035530A">
        <w:t xml:space="preserve">for </w:t>
      </w:r>
      <w:r w:rsidR="00471F26">
        <w:t>project publications</w:t>
      </w:r>
      <w:r w:rsidR="006D399E">
        <w:t xml:space="preserve">, which include </w:t>
      </w:r>
      <w:r w:rsidR="007870E2">
        <w:t>three</w:t>
      </w:r>
      <w:r w:rsidR="006D399E">
        <w:t xml:space="preserve"> reports and </w:t>
      </w:r>
      <w:r w:rsidR="007870E2">
        <w:t>six</w:t>
      </w:r>
      <w:r w:rsidR="006D399E">
        <w:t xml:space="preserve"> evaluation briefs</w:t>
      </w:r>
      <w:r w:rsidR="0035530A">
        <w:t xml:space="preserve">. </w:t>
      </w:r>
    </w:p>
    <w:p w:rsidR="00EC6360" w:rsidRDefault="00471F26" w:rsidP="001A3603">
      <w:pPr>
        <w:pStyle w:val="NormalSS"/>
        <w:ind w:firstLine="0"/>
      </w:pPr>
      <w:r>
        <w:tab/>
      </w:r>
      <w:r w:rsidR="007870E2">
        <w:t>The topics for the</w:t>
      </w:r>
      <w:r>
        <w:t xml:space="preserve"> evaluation briefs </w:t>
      </w:r>
      <w:r w:rsidR="007870E2">
        <w:t>will</w:t>
      </w:r>
      <w:r>
        <w:t xml:space="preserve"> be determined at a later date</w:t>
      </w:r>
      <w:r w:rsidR="007870E2">
        <w:t>. These briefs</w:t>
      </w:r>
      <w:r w:rsidRPr="00BB62F7">
        <w:t xml:space="preserve"> will be released separately </w:t>
      </w:r>
      <w:r>
        <w:t xml:space="preserve">and </w:t>
      </w:r>
      <w:r w:rsidRPr="00BB62F7">
        <w:t xml:space="preserve">prior to the </w:t>
      </w:r>
      <w:r w:rsidR="007870E2">
        <w:t>release of each</w:t>
      </w:r>
      <w:r w:rsidRPr="00BB62F7">
        <w:t xml:space="preserve"> report. </w:t>
      </w:r>
    </w:p>
    <w:p w:rsidR="00471F26" w:rsidRPr="001E4926" w:rsidRDefault="00471F26" w:rsidP="001F59C7">
      <w:pPr>
        <w:pStyle w:val="MarkforTableHeading"/>
        <w:keepNext w:val="0"/>
        <w:pageBreakBefore/>
      </w:pPr>
      <w:r>
        <w:lastRenderedPageBreak/>
        <w:t>Table A.6.</w:t>
      </w:r>
      <w:r w:rsidRPr="00A95A7B">
        <w:t xml:space="preserve"> Timetable</w:t>
      </w:r>
      <w:r>
        <w:t xml:space="preserve"> for </w:t>
      </w:r>
      <w:r w:rsidR="00EF2347">
        <w:t>Project Publications</w:t>
      </w:r>
    </w:p>
    <w:tbl>
      <w:tblPr>
        <w:tblStyle w:val="TableGrid"/>
        <w:tblW w:w="5000" w:type="pct"/>
        <w:tblBorders>
          <w:top w:val="single" w:sz="12" w:space="0" w:color="C00000"/>
          <w:left w:val="none" w:sz="0" w:space="0" w:color="auto"/>
          <w:bottom w:val="single" w:sz="4" w:space="0" w:color="C00000"/>
          <w:right w:val="none" w:sz="0" w:space="0" w:color="auto"/>
          <w:insideH w:val="none" w:sz="0" w:space="0" w:color="auto"/>
          <w:insideV w:val="none" w:sz="0" w:space="0" w:color="auto"/>
        </w:tblBorders>
        <w:tblLook w:val="04A0"/>
      </w:tblPr>
      <w:tblGrid>
        <w:gridCol w:w="5598"/>
        <w:gridCol w:w="3978"/>
      </w:tblGrid>
      <w:tr w:rsidR="00471F26" w:rsidTr="00471F26">
        <w:trPr>
          <w:cantSplit/>
          <w:tblHeader/>
        </w:trPr>
        <w:tc>
          <w:tcPr>
            <w:tcW w:w="2923" w:type="pct"/>
            <w:tcBorders>
              <w:top w:val="single" w:sz="12" w:space="0" w:color="000000" w:themeColor="text1"/>
              <w:bottom w:val="single" w:sz="4" w:space="0" w:color="000000" w:themeColor="text1"/>
            </w:tcBorders>
            <w:shd w:val="clear" w:color="auto" w:fill="auto"/>
            <w:vAlign w:val="bottom"/>
          </w:tcPr>
          <w:p w:rsidR="00471F26" w:rsidRPr="00A95A7B" w:rsidRDefault="00471F26" w:rsidP="00471F26">
            <w:pPr>
              <w:pStyle w:val="TableHeaderLeft"/>
            </w:pPr>
            <w:r w:rsidRPr="00A95A7B">
              <w:t>Activity</w:t>
            </w:r>
          </w:p>
        </w:tc>
        <w:tc>
          <w:tcPr>
            <w:tcW w:w="2077" w:type="pct"/>
            <w:tcBorders>
              <w:top w:val="single" w:sz="12" w:space="0" w:color="000000" w:themeColor="text1"/>
              <w:bottom w:val="single" w:sz="4" w:space="0" w:color="000000" w:themeColor="text1"/>
            </w:tcBorders>
            <w:shd w:val="clear" w:color="auto" w:fill="auto"/>
            <w:vAlign w:val="bottom"/>
          </w:tcPr>
          <w:p w:rsidR="00471F26" w:rsidRDefault="00471F26" w:rsidP="00471F26">
            <w:pPr>
              <w:pStyle w:val="TableHeaderCenter"/>
            </w:pPr>
            <w:r w:rsidRPr="00A95A7B">
              <w:t>Date</w:t>
            </w:r>
          </w:p>
        </w:tc>
      </w:tr>
      <w:tr w:rsidR="006D399E" w:rsidTr="00036E21">
        <w:trPr>
          <w:cantSplit/>
        </w:trPr>
        <w:tc>
          <w:tcPr>
            <w:tcW w:w="5000" w:type="pct"/>
            <w:gridSpan w:val="2"/>
            <w:shd w:val="clear" w:color="auto" w:fill="D9D9D9" w:themeFill="background1" w:themeFillShade="D9"/>
          </w:tcPr>
          <w:p w:rsidR="00195AC8" w:rsidRDefault="00B12B6F" w:rsidP="00195AC8">
            <w:pPr>
              <w:pStyle w:val="TableText"/>
              <w:spacing w:before="120" w:after="120"/>
              <w:jc w:val="center"/>
              <w:rPr>
                <w:b/>
              </w:rPr>
            </w:pPr>
            <w:r w:rsidRPr="00B12B6F">
              <w:rPr>
                <w:b/>
                <w:color w:val="000000"/>
              </w:rPr>
              <w:t>Reports</w:t>
            </w:r>
          </w:p>
        </w:tc>
      </w:tr>
      <w:tr w:rsidR="00471F26" w:rsidTr="00471F26">
        <w:trPr>
          <w:cantSplit/>
        </w:trPr>
        <w:tc>
          <w:tcPr>
            <w:tcW w:w="2923" w:type="pct"/>
            <w:shd w:val="clear" w:color="auto" w:fill="auto"/>
          </w:tcPr>
          <w:p w:rsidR="00471F26" w:rsidRDefault="00471F26" w:rsidP="00471F26">
            <w:pPr>
              <w:pStyle w:val="TableText"/>
              <w:spacing w:before="20" w:after="10"/>
              <w:rPr>
                <w:color w:val="000000"/>
              </w:rPr>
            </w:pPr>
            <w:r>
              <w:rPr>
                <w:color w:val="000000"/>
              </w:rPr>
              <w:t>Draft Report</w:t>
            </w:r>
            <w:r w:rsidR="00584359">
              <w:rPr>
                <w:color w:val="000000"/>
              </w:rPr>
              <w:t xml:space="preserve"> 1</w:t>
            </w:r>
          </w:p>
          <w:p w:rsidR="006D399E" w:rsidRDefault="006D399E" w:rsidP="00471F26">
            <w:pPr>
              <w:pStyle w:val="TableText"/>
              <w:spacing w:before="20" w:after="10"/>
              <w:rPr>
                <w:color w:val="000000"/>
              </w:rPr>
            </w:pPr>
            <w:r>
              <w:rPr>
                <w:color w:val="000000"/>
              </w:rPr>
              <w:t>Revised Draft Report</w:t>
            </w:r>
            <w:r w:rsidR="00584359">
              <w:rPr>
                <w:color w:val="000000"/>
              </w:rPr>
              <w:t xml:space="preserve"> 1</w:t>
            </w:r>
          </w:p>
          <w:p w:rsidR="00471F26" w:rsidRDefault="00471F26" w:rsidP="00471F26">
            <w:pPr>
              <w:pStyle w:val="TableText"/>
              <w:spacing w:before="20" w:after="10"/>
              <w:rPr>
                <w:color w:val="000000"/>
              </w:rPr>
            </w:pPr>
            <w:r>
              <w:rPr>
                <w:color w:val="000000"/>
              </w:rPr>
              <w:t>Final Report</w:t>
            </w:r>
            <w:r w:rsidR="00584359">
              <w:rPr>
                <w:color w:val="000000"/>
              </w:rPr>
              <w:t xml:space="preserve"> 1</w:t>
            </w:r>
          </w:p>
        </w:tc>
        <w:tc>
          <w:tcPr>
            <w:tcW w:w="2077" w:type="pct"/>
            <w:shd w:val="clear" w:color="auto" w:fill="auto"/>
            <w:vAlign w:val="bottom"/>
          </w:tcPr>
          <w:p w:rsidR="00471F26" w:rsidRDefault="006D399E" w:rsidP="00471F26">
            <w:pPr>
              <w:pStyle w:val="TableText"/>
              <w:spacing w:before="20" w:after="10"/>
            </w:pPr>
            <w:r>
              <w:t>Ju</w:t>
            </w:r>
            <w:r w:rsidR="00584359">
              <w:t>ne</w:t>
            </w:r>
            <w:r>
              <w:t xml:space="preserve"> 2013</w:t>
            </w:r>
          </w:p>
          <w:p w:rsidR="00471F26" w:rsidRDefault="00584359" w:rsidP="00471F26">
            <w:pPr>
              <w:pStyle w:val="TableText"/>
              <w:spacing w:before="20" w:after="10"/>
              <w:rPr>
                <w:color w:val="000000"/>
              </w:rPr>
            </w:pPr>
            <w:r>
              <w:rPr>
                <w:color w:val="000000"/>
              </w:rPr>
              <w:t>August</w:t>
            </w:r>
            <w:r w:rsidR="006D399E">
              <w:rPr>
                <w:color w:val="000000"/>
              </w:rPr>
              <w:t xml:space="preserve"> 2013</w:t>
            </w:r>
          </w:p>
          <w:p w:rsidR="006D399E" w:rsidRPr="00C32053" w:rsidRDefault="00584359" w:rsidP="00471F26">
            <w:pPr>
              <w:pStyle w:val="TableText"/>
              <w:spacing w:before="20" w:after="10"/>
              <w:rPr>
                <w:color w:val="000000"/>
              </w:rPr>
            </w:pPr>
            <w:r>
              <w:rPr>
                <w:color w:val="000000"/>
              </w:rPr>
              <w:t>February</w:t>
            </w:r>
            <w:r w:rsidR="006D399E">
              <w:rPr>
                <w:color w:val="000000"/>
              </w:rPr>
              <w:t xml:space="preserve"> 2014</w:t>
            </w:r>
          </w:p>
        </w:tc>
      </w:tr>
      <w:tr w:rsidR="006D399E" w:rsidTr="00471F26">
        <w:trPr>
          <w:cantSplit/>
        </w:trPr>
        <w:tc>
          <w:tcPr>
            <w:tcW w:w="2923" w:type="pct"/>
            <w:shd w:val="clear" w:color="auto" w:fill="auto"/>
            <w:vAlign w:val="bottom"/>
          </w:tcPr>
          <w:p w:rsidR="006D399E" w:rsidRDefault="006D399E" w:rsidP="00471F26">
            <w:pPr>
              <w:pStyle w:val="TableText"/>
              <w:spacing w:before="20" w:after="10"/>
              <w:rPr>
                <w:color w:val="000000"/>
              </w:rPr>
            </w:pPr>
          </w:p>
        </w:tc>
        <w:tc>
          <w:tcPr>
            <w:tcW w:w="2077" w:type="pct"/>
            <w:shd w:val="clear" w:color="auto" w:fill="auto"/>
            <w:vAlign w:val="bottom"/>
          </w:tcPr>
          <w:p w:rsidR="006D399E" w:rsidRDefault="006D399E" w:rsidP="006D399E">
            <w:pPr>
              <w:pStyle w:val="TableText"/>
              <w:spacing w:before="20" w:after="10"/>
              <w:rPr>
                <w:color w:val="000000"/>
              </w:rPr>
            </w:pPr>
          </w:p>
        </w:tc>
      </w:tr>
      <w:tr w:rsidR="00471F26" w:rsidTr="00471F26">
        <w:trPr>
          <w:cantSplit/>
        </w:trPr>
        <w:tc>
          <w:tcPr>
            <w:tcW w:w="2923" w:type="pct"/>
            <w:shd w:val="clear" w:color="auto" w:fill="auto"/>
            <w:vAlign w:val="bottom"/>
          </w:tcPr>
          <w:p w:rsidR="00471F26" w:rsidRPr="00686B32" w:rsidRDefault="006D399E" w:rsidP="00471F26">
            <w:pPr>
              <w:pStyle w:val="TableText"/>
              <w:spacing w:before="20" w:after="10"/>
              <w:rPr>
                <w:color w:val="000000"/>
              </w:rPr>
            </w:pPr>
            <w:r>
              <w:rPr>
                <w:color w:val="000000"/>
              </w:rPr>
              <w:t>Draft Report</w:t>
            </w:r>
            <w:r w:rsidR="00584359">
              <w:rPr>
                <w:color w:val="000000"/>
              </w:rPr>
              <w:t xml:space="preserve"> 2 </w:t>
            </w:r>
          </w:p>
        </w:tc>
        <w:tc>
          <w:tcPr>
            <w:tcW w:w="2077" w:type="pct"/>
            <w:shd w:val="clear" w:color="auto" w:fill="auto"/>
            <w:vAlign w:val="bottom"/>
          </w:tcPr>
          <w:p w:rsidR="00471F26" w:rsidRPr="00C32053" w:rsidRDefault="00584359" w:rsidP="006D399E">
            <w:pPr>
              <w:pStyle w:val="TableText"/>
              <w:spacing w:before="20" w:after="10"/>
              <w:rPr>
                <w:color w:val="000000"/>
              </w:rPr>
            </w:pPr>
            <w:r>
              <w:rPr>
                <w:color w:val="000000"/>
              </w:rPr>
              <w:t>January</w:t>
            </w:r>
            <w:r w:rsidR="006D399E">
              <w:rPr>
                <w:color w:val="000000"/>
              </w:rPr>
              <w:t xml:space="preserve"> 2014</w:t>
            </w:r>
          </w:p>
        </w:tc>
      </w:tr>
      <w:tr w:rsidR="00471F26" w:rsidTr="00FB47E4">
        <w:trPr>
          <w:cantSplit/>
        </w:trPr>
        <w:tc>
          <w:tcPr>
            <w:tcW w:w="2923" w:type="pct"/>
            <w:tcBorders>
              <w:bottom w:val="nil"/>
            </w:tcBorders>
            <w:shd w:val="clear" w:color="auto" w:fill="auto"/>
            <w:vAlign w:val="bottom"/>
          </w:tcPr>
          <w:p w:rsidR="00471F26" w:rsidRPr="00686B32" w:rsidRDefault="006D399E" w:rsidP="006D399E">
            <w:pPr>
              <w:pStyle w:val="TableText"/>
              <w:spacing w:before="20" w:after="10"/>
              <w:rPr>
                <w:color w:val="000000"/>
              </w:rPr>
            </w:pPr>
            <w:r>
              <w:rPr>
                <w:color w:val="000000"/>
              </w:rPr>
              <w:t>Revised Draft Report</w:t>
            </w:r>
            <w:r w:rsidR="00584359">
              <w:rPr>
                <w:color w:val="000000"/>
              </w:rPr>
              <w:t xml:space="preserve"> 2</w:t>
            </w:r>
          </w:p>
        </w:tc>
        <w:tc>
          <w:tcPr>
            <w:tcW w:w="2077" w:type="pct"/>
            <w:tcBorders>
              <w:bottom w:val="nil"/>
            </w:tcBorders>
            <w:shd w:val="clear" w:color="auto" w:fill="auto"/>
            <w:vAlign w:val="bottom"/>
          </w:tcPr>
          <w:p w:rsidR="00471F26" w:rsidRPr="00C32053" w:rsidRDefault="00584359" w:rsidP="006D399E">
            <w:pPr>
              <w:pStyle w:val="TableText"/>
              <w:spacing w:before="20" w:after="10"/>
              <w:rPr>
                <w:color w:val="000000"/>
              </w:rPr>
            </w:pPr>
            <w:r>
              <w:rPr>
                <w:color w:val="000000"/>
              </w:rPr>
              <w:t>March</w:t>
            </w:r>
            <w:r w:rsidR="006D399E">
              <w:rPr>
                <w:color w:val="000000"/>
              </w:rPr>
              <w:t xml:space="preserve"> 2014</w:t>
            </w:r>
            <w:r w:rsidR="00471F26" w:rsidRPr="00C32053">
              <w:rPr>
                <w:color w:val="000000"/>
              </w:rPr>
              <w:t xml:space="preserve"> </w:t>
            </w:r>
          </w:p>
        </w:tc>
      </w:tr>
      <w:tr w:rsidR="00471F26" w:rsidTr="00FB47E4">
        <w:trPr>
          <w:cantSplit/>
        </w:trPr>
        <w:tc>
          <w:tcPr>
            <w:tcW w:w="2923" w:type="pct"/>
            <w:tcBorders>
              <w:top w:val="nil"/>
              <w:bottom w:val="nil"/>
            </w:tcBorders>
            <w:shd w:val="clear" w:color="auto" w:fill="auto"/>
            <w:vAlign w:val="bottom"/>
          </w:tcPr>
          <w:p w:rsidR="00471F26" w:rsidRPr="00686B32" w:rsidRDefault="006D399E" w:rsidP="006D399E">
            <w:pPr>
              <w:pStyle w:val="TableText"/>
              <w:spacing w:before="20" w:after="10"/>
              <w:rPr>
                <w:color w:val="000000"/>
              </w:rPr>
            </w:pPr>
            <w:r>
              <w:rPr>
                <w:color w:val="000000"/>
              </w:rPr>
              <w:t xml:space="preserve">Final Report </w:t>
            </w:r>
            <w:r w:rsidR="00584359">
              <w:rPr>
                <w:color w:val="000000"/>
              </w:rPr>
              <w:t xml:space="preserve">2 </w:t>
            </w:r>
          </w:p>
        </w:tc>
        <w:tc>
          <w:tcPr>
            <w:tcW w:w="2077" w:type="pct"/>
            <w:tcBorders>
              <w:top w:val="nil"/>
              <w:bottom w:val="nil"/>
            </w:tcBorders>
            <w:shd w:val="clear" w:color="auto" w:fill="auto"/>
            <w:vAlign w:val="bottom"/>
          </w:tcPr>
          <w:p w:rsidR="00471F26" w:rsidRPr="00C32053" w:rsidRDefault="00584359" w:rsidP="00471F26">
            <w:pPr>
              <w:pStyle w:val="TableText"/>
              <w:spacing w:before="20" w:after="10"/>
              <w:rPr>
                <w:color w:val="000000"/>
              </w:rPr>
            </w:pPr>
            <w:r>
              <w:rPr>
                <w:color w:val="000000"/>
              </w:rPr>
              <w:t>September</w:t>
            </w:r>
            <w:r w:rsidR="006D399E">
              <w:rPr>
                <w:color w:val="000000"/>
              </w:rPr>
              <w:t xml:space="preserve"> 201</w:t>
            </w:r>
            <w:r>
              <w:rPr>
                <w:color w:val="000000"/>
              </w:rPr>
              <w:t>4</w:t>
            </w:r>
          </w:p>
        </w:tc>
      </w:tr>
      <w:tr w:rsidR="009256D0" w:rsidTr="00FB47E4">
        <w:trPr>
          <w:cantSplit/>
        </w:trPr>
        <w:tc>
          <w:tcPr>
            <w:tcW w:w="2923" w:type="pct"/>
            <w:tcBorders>
              <w:top w:val="nil"/>
            </w:tcBorders>
            <w:shd w:val="clear" w:color="auto" w:fill="auto"/>
            <w:vAlign w:val="bottom"/>
          </w:tcPr>
          <w:p w:rsidR="009256D0" w:rsidRDefault="009256D0" w:rsidP="00584359">
            <w:pPr>
              <w:pStyle w:val="TableText"/>
              <w:spacing w:before="20" w:after="10"/>
              <w:rPr>
                <w:color w:val="000000"/>
              </w:rPr>
            </w:pPr>
          </w:p>
        </w:tc>
        <w:tc>
          <w:tcPr>
            <w:tcW w:w="2077" w:type="pct"/>
            <w:tcBorders>
              <w:top w:val="nil"/>
            </w:tcBorders>
            <w:shd w:val="clear" w:color="auto" w:fill="auto"/>
            <w:vAlign w:val="bottom"/>
          </w:tcPr>
          <w:p w:rsidR="009256D0" w:rsidRDefault="009256D0" w:rsidP="00584359">
            <w:pPr>
              <w:pStyle w:val="TableText"/>
              <w:spacing w:before="20" w:after="10"/>
              <w:rPr>
                <w:color w:val="000000"/>
              </w:rPr>
            </w:pPr>
          </w:p>
        </w:tc>
      </w:tr>
      <w:tr w:rsidR="00584359" w:rsidTr="00FB47E4">
        <w:trPr>
          <w:cantSplit/>
        </w:trPr>
        <w:tc>
          <w:tcPr>
            <w:tcW w:w="2923" w:type="pct"/>
            <w:tcBorders>
              <w:top w:val="nil"/>
            </w:tcBorders>
            <w:shd w:val="clear" w:color="auto" w:fill="auto"/>
            <w:vAlign w:val="bottom"/>
          </w:tcPr>
          <w:p w:rsidR="00584359" w:rsidRPr="00686B32" w:rsidRDefault="00584359" w:rsidP="00584359">
            <w:pPr>
              <w:pStyle w:val="TableText"/>
              <w:spacing w:before="20" w:after="10"/>
              <w:rPr>
                <w:color w:val="000000"/>
              </w:rPr>
            </w:pPr>
            <w:r>
              <w:rPr>
                <w:color w:val="000000"/>
              </w:rPr>
              <w:t>Draft Report 3</w:t>
            </w:r>
          </w:p>
        </w:tc>
        <w:tc>
          <w:tcPr>
            <w:tcW w:w="2077" w:type="pct"/>
            <w:tcBorders>
              <w:top w:val="nil"/>
            </w:tcBorders>
            <w:shd w:val="clear" w:color="auto" w:fill="auto"/>
            <w:vAlign w:val="bottom"/>
          </w:tcPr>
          <w:p w:rsidR="00584359" w:rsidRPr="00C32053" w:rsidRDefault="007870E2" w:rsidP="00584359">
            <w:pPr>
              <w:pStyle w:val="TableText"/>
              <w:spacing w:before="20" w:after="10"/>
              <w:rPr>
                <w:color w:val="000000"/>
              </w:rPr>
            </w:pPr>
            <w:r>
              <w:rPr>
                <w:color w:val="000000"/>
              </w:rPr>
              <w:t>December</w:t>
            </w:r>
            <w:r w:rsidR="00584359">
              <w:rPr>
                <w:color w:val="000000"/>
              </w:rPr>
              <w:t xml:space="preserve"> 2014</w:t>
            </w:r>
          </w:p>
        </w:tc>
      </w:tr>
      <w:tr w:rsidR="00584359" w:rsidTr="00584359">
        <w:trPr>
          <w:cantSplit/>
        </w:trPr>
        <w:tc>
          <w:tcPr>
            <w:tcW w:w="2923" w:type="pct"/>
            <w:shd w:val="clear" w:color="auto" w:fill="auto"/>
            <w:vAlign w:val="bottom"/>
          </w:tcPr>
          <w:p w:rsidR="00584359" w:rsidRPr="00686B32" w:rsidRDefault="00584359" w:rsidP="00584359">
            <w:pPr>
              <w:pStyle w:val="TableText"/>
              <w:spacing w:before="20" w:after="10"/>
              <w:rPr>
                <w:color w:val="000000"/>
              </w:rPr>
            </w:pPr>
            <w:r>
              <w:rPr>
                <w:color w:val="000000"/>
              </w:rPr>
              <w:t>Revised Draft Report 3</w:t>
            </w:r>
          </w:p>
        </w:tc>
        <w:tc>
          <w:tcPr>
            <w:tcW w:w="2077" w:type="pct"/>
            <w:shd w:val="clear" w:color="auto" w:fill="auto"/>
            <w:vAlign w:val="bottom"/>
          </w:tcPr>
          <w:p w:rsidR="00584359" w:rsidRPr="00C32053" w:rsidRDefault="007870E2" w:rsidP="00584359">
            <w:pPr>
              <w:pStyle w:val="TableText"/>
              <w:spacing w:before="20" w:after="10"/>
              <w:rPr>
                <w:color w:val="000000"/>
              </w:rPr>
            </w:pPr>
            <w:r>
              <w:rPr>
                <w:color w:val="000000"/>
              </w:rPr>
              <w:t>January 2015</w:t>
            </w:r>
            <w:r w:rsidR="00584359" w:rsidRPr="00C32053">
              <w:rPr>
                <w:color w:val="000000"/>
              </w:rPr>
              <w:t xml:space="preserve"> </w:t>
            </w:r>
          </w:p>
        </w:tc>
      </w:tr>
      <w:tr w:rsidR="00584359" w:rsidTr="00584359">
        <w:trPr>
          <w:cantSplit/>
        </w:trPr>
        <w:tc>
          <w:tcPr>
            <w:tcW w:w="2923" w:type="pct"/>
            <w:shd w:val="clear" w:color="auto" w:fill="auto"/>
            <w:vAlign w:val="bottom"/>
          </w:tcPr>
          <w:p w:rsidR="00584359" w:rsidRPr="00686B32" w:rsidRDefault="00584359" w:rsidP="00584359">
            <w:pPr>
              <w:pStyle w:val="TableText"/>
              <w:spacing w:before="20" w:after="10"/>
              <w:rPr>
                <w:color w:val="000000"/>
              </w:rPr>
            </w:pPr>
            <w:r>
              <w:rPr>
                <w:color w:val="000000"/>
              </w:rPr>
              <w:t xml:space="preserve">Final Report 3 </w:t>
            </w:r>
          </w:p>
        </w:tc>
        <w:tc>
          <w:tcPr>
            <w:tcW w:w="2077" w:type="pct"/>
            <w:shd w:val="clear" w:color="auto" w:fill="auto"/>
            <w:vAlign w:val="bottom"/>
          </w:tcPr>
          <w:p w:rsidR="00584359" w:rsidRPr="00C32053" w:rsidRDefault="007870E2" w:rsidP="00584359">
            <w:pPr>
              <w:pStyle w:val="TableText"/>
              <w:spacing w:before="20" w:after="10"/>
              <w:rPr>
                <w:color w:val="000000"/>
              </w:rPr>
            </w:pPr>
            <w:r>
              <w:rPr>
                <w:color w:val="000000"/>
              </w:rPr>
              <w:t>July</w:t>
            </w:r>
            <w:r w:rsidR="00584359">
              <w:rPr>
                <w:color w:val="000000"/>
              </w:rPr>
              <w:t xml:space="preserve"> 2015</w:t>
            </w:r>
          </w:p>
        </w:tc>
      </w:tr>
      <w:tr w:rsidR="00471F26" w:rsidTr="00774B51">
        <w:trPr>
          <w:cantSplit/>
        </w:trPr>
        <w:tc>
          <w:tcPr>
            <w:tcW w:w="5000" w:type="pct"/>
            <w:gridSpan w:val="2"/>
            <w:tcBorders>
              <w:bottom w:val="nil"/>
            </w:tcBorders>
            <w:shd w:val="clear" w:color="auto" w:fill="D9D9D9" w:themeFill="background1" w:themeFillShade="D9"/>
            <w:vAlign w:val="bottom"/>
          </w:tcPr>
          <w:p w:rsidR="00195AC8" w:rsidRDefault="00B12B6F" w:rsidP="00195AC8">
            <w:pPr>
              <w:pStyle w:val="TableHeaderCenter"/>
              <w:keepNext/>
              <w:spacing w:after="120"/>
              <w:rPr>
                <w:b/>
              </w:rPr>
            </w:pPr>
            <w:r w:rsidRPr="00B12B6F">
              <w:rPr>
                <w:b/>
              </w:rPr>
              <w:t>Evaluation Briefs</w:t>
            </w:r>
          </w:p>
        </w:tc>
      </w:tr>
      <w:tr w:rsidR="00471F26" w:rsidTr="00471F26">
        <w:trPr>
          <w:cantSplit/>
        </w:trPr>
        <w:tc>
          <w:tcPr>
            <w:tcW w:w="2923" w:type="pct"/>
            <w:tcBorders>
              <w:top w:val="nil"/>
              <w:bottom w:val="nil"/>
            </w:tcBorders>
            <w:shd w:val="clear" w:color="auto" w:fill="auto"/>
            <w:vAlign w:val="bottom"/>
          </w:tcPr>
          <w:p w:rsidR="00471F26" w:rsidRPr="00C32053" w:rsidRDefault="006D399E" w:rsidP="00471F26">
            <w:pPr>
              <w:pStyle w:val="TableText"/>
              <w:spacing w:before="20" w:after="10"/>
              <w:rPr>
                <w:color w:val="000000"/>
              </w:rPr>
            </w:pPr>
            <w:r>
              <w:rPr>
                <w:color w:val="000000"/>
              </w:rPr>
              <w:t>Draft Evaluation Brief</w:t>
            </w:r>
            <w:r w:rsidR="00EF2347">
              <w:rPr>
                <w:color w:val="000000"/>
              </w:rPr>
              <w:t>s</w:t>
            </w:r>
            <w:r>
              <w:rPr>
                <w:color w:val="000000"/>
              </w:rPr>
              <w:t xml:space="preserve"> 1 and 2</w:t>
            </w:r>
          </w:p>
        </w:tc>
        <w:tc>
          <w:tcPr>
            <w:tcW w:w="2077" w:type="pct"/>
            <w:tcBorders>
              <w:top w:val="nil"/>
              <w:bottom w:val="nil"/>
            </w:tcBorders>
            <w:shd w:val="clear" w:color="auto" w:fill="auto"/>
            <w:vAlign w:val="bottom"/>
          </w:tcPr>
          <w:p w:rsidR="00471F26" w:rsidRPr="00C32053" w:rsidRDefault="006D399E" w:rsidP="00471F26">
            <w:pPr>
              <w:pStyle w:val="TableText"/>
              <w:spacing w:before="20" w:after="10"/>
              <w:rPr>
                <w:color w:val="000000"/>
              </w:rPr>
            </w:pPr>
            <w:r>
              <w:rPr>
                <w:color w:val="000000"/>
              </w:rPr>
              <w:t>March 2013</w:t>
            </w:r>
          </w:p>
        </w:tc>
      </w:tr>
      <w:tr w:rsidR="00471F26" w:rsidTr="00584359">
        <w:trPr>
          <w:cantSplit/>
        </w:trPr>
        <w:tc>
          <w:tcPr>
            <w:tcW w:w="2923" w:type="pct"/>
            <w:tcBorders>
              <w:top w:val="nil"/>
              <w:bottom w:val="nil"/>
            </w:tcBorders>
            <w:shd w:val="clear" w:color="auto" w:fill="auto"/>
            <w:vAlign w:val="bottom"/>
          </w:tcPr>
          <w:p w:rsidR="00471F26" w:rsidRPr="00C32053" w:rsidRDefault="006D399E" w:rsidP="006D399E">
            <w:pPr>
              <w:pStyle w:val="TableText"/>
              <w:spacing w:before="20" w:after="10"/>
              <w:rPr>
                <w:color w:val="000000"/>
              </w:rPr>
            </w:pPr>
            <w:r>
              <w:rPr>
                <w:color w:val="000000"/>
              </w:rPr>
              <w:t>Revised Draft Evaluation Brief</w:t>
            </w:r>
            <w:r w:rsidR="00EF2347">
              <w:rPr>
                <w:color w:val="000000"/>
              </w:rPr>
              <w:t>s</w:t>
            </w:r>
            <w:r>
              <w:rPr>
                <w:color w:val="000000"/>
              </w:rPr>
              <w:t xml:space="preserve"> 1 and 2</w:t>
            </w:r>
          </w:p>
        </w:tc>
        <w:tc>
          <w:tcPr>
            <w:tcW w:w="2077" w:type="pct"/>
            <w:tcBorders>
              <w:top w:val="nil"/>
              <w:bottom w:val="nil"/>
            </w:tcBorders>
            <w:shd w:val="clear" w:color="auto" w:fill="auto"/>
            <w:vAlign w:val="bottom"/>
          </w:tcPr>
          <w:p w:rsidR="00471F26" w:rsidRPr="00C32053" w:rsidRDefault="006D399E" w:rsidP="006D399E">
            <w:pPr>
              <w:pStyle w:val="TableText"/>
              <w:spacing w:before="20" w:after="10"/>
              <w:rPr>
                <w:color w:val="000000"/>
              </w:rPr>
            </w:pPr>
            <w:r>
              <w:rPr>
                <w:color w:val="000000"/>
              </w:rPr>
              <w:t xml:space="preserve">April </w:t>
            </w:r>
            <w:r w:rsidR="00471F26" w:rsidRPr="00C32053">
              <w:rPr>
                <w:color w:val="000000"/>
              </w:rPr>
              <w:t>2013</w:t>
            </w:r>
          </w:p>
        </w:tc>
      </w:tr>
      <w:tr w:rsidR="00471F26" w:rsidTr="00584359">
        <w:trPr>
          <w:cantSplit/>
        </w:trPr>
        <w:tc>
          <w:tcPr>
            <w:tcW w:w="2923" w:type="pct"/>
            <w:tcBorders>
              <w:top w:val="nil"/>
              <w:bottom w:val="nil"/>
            </w:tcBorders>
            <w:shd w:val="clear" w:color="auto" w:fill="auto"/>
            <w:vAlign w:val="bottom"/>
          </w:tcPr>
          <w:p w:rsidR="00471F26" w:rsidRPr="00C32053" w:rsidRDefault="006D399E" w:rsidP="006D399E">
            <w:pPr>
              <w:pStyle w:val="TableText"/>
              <w:spacing w:before="20" w:after="10"/>
              <w:rPr>
                <w:color w:val="000000"/>
              </w:rPr>
            </w:pPr>
            <w:r>
              <w:rPr>
                <w:color w:val="000000"/>
              </w:rPr>
              <w:t>Final Evaluation Brief</w:t>
            </w:r>
            <w:r w:rsidR="00EF2347">
              <w:rPr>
                <w:color w:val="000000"/>
              </w:rPr>
              <w:t>s</w:t>
            </w:r>
            <w:r>
              <w:rPr>
                <w:color w:val="000000"/>
              </w:rPr>
              <w:t xml:space="preserve"> 1 and 2</w:t>
            </w:r>
          </w:p>
        </w:tc>
        <w:tc>
          <w:tcPr>
            <w:tcW w:w="2077" w:type="pct"/>
            <w:tcBorders>
              <w:top w:val="nil"/>
              <w:bottom w:val="nil"/>
            </w:tcBorders>
            <w:shd w:val="clear" w:color="auto" w:fill="auto"/>
            <w:vAlign w:val="bottom"/>
          </w:tcPr>
          <w:p w:rsidR="00471F26" w:rsidRPr="00C32053" w:rsidRDefault="006D399E" w:rsidP="006D399E">
            <w:pPr>
              <w:pStyle w:val="TableText"/>
              <w:spacing w:before="20" w:after="10"/>
              <w:rPr>
                <w:color w:val="000000"/>
              </w:rPr>
            </w:pPr>
            <w:r>
              <w:rPr>
                <w:color w:val="000000"/>
              </w:rPr>
              <w:t xml:space="preserve">July </w:t>
            </w:r>
            <w:r w:rsidR="00471F26" w:rsidRPr="00C32053">
              <w:rPr>
                <w:color w:val="000000"/>
              </w:rPr>
              <w:t>2013</w:t>
            </w:r>
          </w:p>
        </w:tc>
      </w:tr>
      <w:tr w:rsidR="00584359" w:rsidTr="00584359">
        <w:tc>
          <w:tcPr>
            <w:tcW w:w="2923" w:type="pct"/>
            <w:tcBorders>
              <w:top w:val="nil"/>
              <w:left w:val="nil"/>
              <w:bottom w:val="nil"/>
              <w:right w:val="nil"/>
            </w:tcBorders>
          </w:tcPr>
          <w:p w:rsidR="00584359" w:rsidRDefault="00584359" w:rsidP="00584359">
            <w:pPr>
              <w:pStyle w:val="TableText"/>
              <w:spacing w:before="20" w:after="10"/>
              <w:rPr>
                <w:color w:val="000000"/>
              </w:rPr>
            </w:pPr>
          </w:p>
        </w:tc>
        <w:tc>
          <w:tcPr>
            <w:tcW w:w="2077" w:type="pct"/>
            <w:tcBorders>
              <w:top w:val="nil"/>
              <w:left w:val="nil"/>
              <w:bottom w:val="nil"/>
              <w:right w:val="nil"/>
            </w:tcBorders>
          </w:tcPr>
          <w:p w:rsidR="00584359" w:rsidRDefault="00584359" w:rsidP="00584359">
            <w:pPr>
              <w:pStyle w:val="TableText"/>
              <w:spacing w:before="20" w:after="10"/>
              <w:rPr>
                <w:color w:val="000000"/>
              </w:rPr>
            </w:pPr>
          </w:p>
        </w:tc>
      </w:tr>
      <w:tr w:rsidR="00584359" w:rsidTr="00584359">
        <w:tc>
          <w:tcPr>
            <w:tcW w:w="2923" w:type="pct"/>
            <w:tcBorders>
              <w:top w:val="nil"/>
              <w:left w:val="nil"/>
              <w:bottom w:val="nil"/>
              <w:right w:val="nil"/>
            </w:tcBorders>
            <w:vAlign w:val="bottom"/>
          </w:tcPr>
          <w:p w:rsidR="00584359" w:rsidRPr="00686B32" w:rsidRDefault="00584359" w:rsidP="00584359">
            <w:pPr>
              <w:pStyle w:val="TableText"/>
              <w:spacing w:before="20" w:after="10"/>
              <w:rPr>
                <w:color w:val="000000"/>
              </w:rPr>
            </w:pPr>
            <w:r>
              <w:rPr>
                <w:color w:val="000000"/>
              </w:rPr>
              <w:t>Draft Evaluation Brief</w:t>
            </w:r>
            <w:r w:rsidR="00EF2347">
              <w:rPr>
                <w:color w:val="000000"/>
              </w:rPr>
              <w:t>s</w:t>
            </w:r>
            <w:r>
              <w:rPr>
                <w:color w:val="000000"/>
              </w:rPr>
              <w:t xml:space="preserve"> </w:t>
            </w:r>
            <w:r w:rsidR="00175EC2">
              <w:rPr>
                <w:color w:val="000000"/>
              </w:rPr>
              <w:t>3</w:t>
            </w:r>
            <w:r>
              <w:rPr>
                <w:color w:val="000000"/>
              </w:rPr>
              <w:t xml:space="preserve"> and </w:t>
            </w:r>
            <w:r w:rsidR="00175EC2">
              <w:rPr>
                <w:color w:val="000000"/>
              </w:rPr>
              <w:t>4</w:t>
            </w:r>
          </w:p>
        </w:tc>
        <w:tc>
          <w:tcPr>
            <w:tcW w:w="2077" w:type="pct"/>
            <w:tcBorders>
              <w:top w:val="nil"/>
              <w:left w:val="nil"/>
              <w:bottom w:val="nil"/>
              <w:right w:val="nil"/>
            </w:tcBorders>
            <w:vAlign w:val="bottom"/>
          </w:tcPr>
          <w:p w:rsidR="00584359" w:rsidRPr="00C32053" w:rsidRDefault="007870E2" w:rsidP="00584359">
            <w:pPr>
              <w:pStyle w:val="TableText"/>
              <w:spacing w:before="20" w:after="10"/>
              <w:rPr>
                <w:color w:val="000000"/>
              </w:rPr>
            </w:pPr>
            <w:r>
              <w:rPr>
                <w:color w:val="000000"/>
              </w:rPr>
              <w:t>December</w:t>
            </w:r>
            <w:r w:rsidR="00584359">
              <w:rPr>
                <w:color w:val="000000"/>
              </w:rPr>
              <w:t xml:space="preserve"> 201</w:t>
            </w:r>
            <w:r w:rsidR="009A34AB">
              <w:rPr>
                <w:color w:val="000000"/>
              </w:rPr>
              <w:t>3</w:t>
            </w:r>
          </w:p>
        </w:tc>
      </w:tr>
      <w:tr w:rsidR="00584359" w:rsidTr="00584359">
        <w:tc>
          <w:tcPr>
            <w:tcW w:w="2923" w:type="pct"/>
            <w:tcBorders>
              <w:top w:val="nil"/>
              <w:left w:val="nil"/>
              <w:bottom w:val="nil"/>
              <w:right w:val="nil"/>
            </w:tcBorders>
            <w:vAlign w:val="bottom"/>
          </w:tcPr>
          <w:p w:rsidR="00584359" w:rsidRPr="00686B32" w:rsidRDefault="00584359" w:rsidP="00584359">
            <w:pPr>
              <w:pStyle w:val="TableText"/>
              <w:spacing w:before="20" w:after="10"/>
              <w:rPr>
                <w:color w:val="000000"/>
              </w:rPr>
            </w:pPr>
            <w:r>
              <w:rPr>
                <w:color w:val="000000"/>
              </w:rPr>
              <w:t>Revised Draft Evaluation Brief</w:t>
            </w:r>
            <w:r w:rsidR="00EF2347">
              <w:rPr>
                <w:color w:val="000000"/>
              </w:rPr>
              <w:t>s</w:t>
            </w:r>
            <w:r w:rsidR="00175EC2">
              <w:rPr>
                <w:color w:val="000000"/>
              </w:rPr>
              <w:t xml:space="preserve"> 3</w:t>
            </w:r>
            <w:r>
              <w:rPr>
                <w:color w:val="000000"/>
              </w:rPr>
              <w:t xml:space="preserve"> and </w:t>
            </w:r>
            <w:r w:rsidR="00175EC2">
              <w:rPr>
                <w:color w:val="000000"/>
              </w:rPr>
              <w:t>4</w:t>
            </w:r>
          </w:p>
        </w:tc>
        <w:tc>
          <w:tcPr>
            <w:tcW w:w="2077" w:type="pct"/>
            <w:tcBorders>
              <w:top w:val="nil"/>
              <w:left w:val="nil"/>
              <w:bottom w:val="nil"/>
              <w:right w:val="nil"/>
            </w:tcBorders>
            <w:vAlign w:val="bottom"/>
          </w:tcPr>
          <w:p w:rsidR="00584359" w:rsidRPr="00C32053" w:rsidRDefault="007870E2" w:rsidP="00584359">
            <w:pPr>
              <w:pStyle w:val="TableText"/>
              <w:spacing w:before="20" w:after="10"/>
              <w:rPr>
                <w:color w:val="000000"/>
              </w:rPr>
            </w:pPr>
            <w:r>
              <w:rPr>
                <w:color w:val="000000"/>
              </w:rPr>
              <w:t>January</w:t>
            </w:r>
            <w:r w:rsidR="00584359">
              <w:rPr>
                <w:color w:val="000000"/>
              </w:rPr>
              <w:t xml:space="preserve"> </w:t>
            </w:r>
            <w:r>
              <w:rPr>
                <w:color w:val="000000"/>
              </w:rPr>
              <w:t>2014</w:t>
            </w:r>
          </w:p>
        </w:tc>
      </w:tr>
      <w:tr w:rsidR="00584359" w:rsidTr="00584359">
        <w:tc>
          <w:tcPr>
            <w:tcW w:w="2923" w:type="pct"/>
            <w:tcBorders>
              <w:top w:val="nil"/>
              <w:left w:val="nil"/>
              <w:bottom w:val="nil"/>
              <w:right w:val="nil"/>
            </w:tcBorders>
            <w:vAlign w:val="bottom"/>
          </w:tcPr>
          <w:p w:rsidR="00584359" w:rsidRPr="00686B32" w:rsidRDefault="00584359" w:rsidP="00584359">
            <w:pPr>
              <w:pStyle w:val="TableText"/>
              <w:spacing w:before="20" w:after="10"/>
              <w:rPr>
                <w:color w:val="000000"/>
              </w:rPr>
            </w:pPr>
            <w:r>
              <w:rPr>
                <w:color w:val="000000"/>
              </w:rPr>
              <w:t>Final Evaluation Brief</w:t>
            </w:r>
            <w:r w:rsidR="00EF2347">
              <w:rPr>
                <w:color w:val="000000"/>
              </w:rPr>
              <w:t>s</w:t>
            </w:r>
            <w:r>
              <w:rPr>
                <w:color w:val="000000"/>
              </w:rPr>
              <w:t xml:space="preserve"> </w:t>
            </w:r>
            <w:r w:rsidR="00175EC2">
              <w:rPr>
                <w:color w:val="000000"/>
              </w:rPr>
              <w:t>3 and 4</w:t>
            </w:r>
          </w:p>
        </w:tc>
        <w:tc>
          <w:tcPr>
            <w:tcW w:w="2077" w:type="pct"/>
            <w:tcBorders>
              <w:top w:val="nil"/>
              <w:left w:val="nil"/>
              <w:bottom w:val="nil"/>
              <w:right w:val="nil"/>
            </w:tcBorders>
            <w:vAlign w:val="bottom"/>
          </w:tcPr>
          <w:p w:rsidR="00584359" w:rsidRPr="00C32053" w:rsidRDefault="007870E2" w:rsidP="00584359">
            <w:pPr>
              <w:pStyle w:val="TableText"/>
              <w:spacing w:before="20" w:after="10"/>
              <w:rPr>
                <w:color w:val="000000"/>
              </w:rPr>
            </w:pPr>
            <w:r>
              <w:rPr>
                <w:color w:val="000000"/>
              </w:rPr>
              <w:t>April</w:t>
            </w:r>
            <w:r w:rsidR="00584359">
              <w:rPr>
                <w:color w:val="000000"/>
              </w:rPr>
              <w:t xml:space="preserve"> </w:t>
            </w:r>
            <w:r>
              <w:rPr>
                <w:color w:val="000000"/>
              </w:rPr>
              <w:t>2014</w:t>
            </w:r>
          </w:p>
        </w:tc>
      </w:tr>
      <w:tr w:rsidR="00584359" w:rsidTr="00584359">
        <w:tc>
          <w:tcPr>
            <w:tcW w:w="2923" w:type="pct"/>
            <w:tcBorders>
              <w:top w:val="nil"/>
              <w:left w:val="nil"/>
              <w:bottom w:val="nil"/>
              <w:right w:val="nil"/>
            </w:tcBorders>
          </w:tcPr>
          <w:p w:rsidR="00584359" w:rsidRDefault="00584359" w:rsidP="00584359">
            <w:pPr>
              <w:pStyle w:val="TableText"/>
              <w:spacing w:before="20" w:after="10"/>
              <w:rPr>
                <w:color w:val="000000"/>
              </w:rPr>
            </w:pPr>
          </w:p>
        </w:tc>
        <w:tc>
          <w:tcPr>
            <w:tcW w:w="2077" w:type="pct"/>
            <w:tcBorders>
              <w:top w:val="nil"/>
              <w:left w:val="nil"/>
              <w:bottom w:val="nil"/>
              <w:right w:val="nil"/>
            </w:tcBorders>
          </w:tcPr>
          <w:p w:rsidR="00584359" w:rsidRDefault="00584359" w:rsidP="00584359">
            <w:pPr>
              <w:pStyle w:val="TableText"/>
              <w:spacing w:before="20" w:after="10"/>
              <w:rPr>
                <w:color w:val="000000"/>
              </w:rPr>
            </w:pPr>
          </w:p>
        </w:tc>
      </w:tr>
      <w:tr w:rsidR="00584359" w:rsidTr="00584359">
        <w:tc>
          <w:tcPr>
            <w:tcW w:w="2923" w:type="pct"/>
            <w:tcBorders>
              <w:top w:val="nil"/>
              <w:left w:val="nil"/>
              <w:bottom w:val="nil"/>
              <w:right w:val="nil"/>
            </w:tcBorders>
            <w:vAlign w:val="bottom"/>
          </w:tcPr>
          <w:p w:rsidR="00584359" w:rsidRPr="00686B32" w:rsidRDefault="00584359" w:rsidP="00584359">
            <w:pPr>
              <w:pStyle w:val="TableText"/>
              <w:spacing w:before="20" w:after="10"/>
              <w:rPr>
                <w:color w:val="000000"/>
              </w:rPr>
            </w:pPr>
            <w:r>
              <w:rPr>
                <w:color w:val="000000"/>
              </w:rPr>
              <w:t>Draft Evaluation Brief</w:t>
            </w:r>
            <w:r w:rsidR="00EF2347">
              <w:rPr>
                <w:color w:val="000000"/>
              </w:rPr>
              <w:t>s</w:t>
            </w:r>
            <w:r w:rsidR="00175EC2">
              <w:rPr>
                <w:color w:val="000000"/>
              </w:rPr>
              <w:t xml:space="preserve"> 5</w:t>
            </w:r>
            <w:r>
              <w:rPr>
                <w:color w:val="000000"/>
              </w:rPr>
              <w:t xml:space="preserve"> and </w:t>
            </w:r>
            <w:r w:rsidR="00175EC2">
              <w:rPr>
                <w:color w:val="000000"/>
              </w:rPr>
              <w:t>6</w:t>
            </w:r>
          </w:p>
        </w:tc>
        <w:tc>
          <w:tcPr>
            <w:tcW w:w="2077" w:type="pct"/>
            <w:tcBorders>
              <w:top w:val="nil"/>
              <w:left w:val="nil"/>
              <w:bottom w:val="nil"/>
              <w:right w:val="nil"/>
            </w:tcBorders>
            <w:vAlign w:val="bottom"/>
          </w:tcPr>
          <w:p w:rsidR="00584359" w:rsidRPr="00C32053" w:rsidRDefault="007870E2" w:rsidP="00584359">
            <w:pPr>
              <w:pStyle w:val="TableText"/>
              <w:spacing w:before="20" w:after="10"/>
              <w:rPr>
                <w:color w:val="000000"/>
              </w:rPr>
            </w:pPr>
            <w:r>
              <w:rPr>
                <w:color w:val="000000"/>
              </w:rPr>
              <w:t>November</w:t>
            </w:r>
            <w:r w:rsidR="00584359">
              <w:rPr>
                <w:color w:val="000000"/>
              </w:rPr>
              <w:t xml:space="preserve"> 201</w:t>
            </w:r>
            <w:r>
              <w:rPr>
                <w:color w:val="000000"/>
              </w:rPr>
              <w:t>4</w:t>
            </w:r>
          </w:p>
        </w:tc>
      </w:tr>
      <w:tr w:rsidR="00584359" w:rsidTr="00584359">
        <w:tc>
          <w:tcPr>
            <w:tcW w:w="2923" w:type="pct"/>
            <w:tcBorders>
              <w:top w:val="nil"/>
              <w:left w:val="nil"/>
              <w:bottom w:val="nil"/>
              <w:right w:val="nil"/>
            </w:tcBorders>
            <w:vAlign w:val="bottom"/>
          </w:tcPr>
          <w:p w:rsidR="00584359" w:rsidRPr="00686B32" w:rsidRDefault="00584359" w:rsidP="00584359">
            <w:pPr>
              <w:pStyle w:val="TableText"/>
              <w:spacing w:before="20" w:after="10"/>
              <w:rPr>
                <w:color w:val="000000"/>
              </w:rPr>
            </w:pPr>
            <w:r>
              <w:rPr>
                <w:color w:val="000000"/>
              </w:rPr>
              <w:t>Revised Draft Evaluation Brief</w:t>
            </w:r>
            <w:r w:rsidR="00EF2347">
              <w:rPr>
                <w:color w:val="000000"/>
              </w:rPr>
              <w:t>s</w:t>
            </w:r>
            <w:r>
              <w:rPr>
                <w:color w:val="000000"/>
              </w:rPr>
              <w:t xml:space="preserve"> </w:t>
            </w:r>
            <w:r w:rsidR="00175EC2">
              <w:rPr>
                <w:color w:val="000000"/>
              </w:rPr>
              <w:t>5 and 6</w:t>
            </w:r>
          </w:p>
        </w:tc>
        <w:tc>
          <w:tcPr>
            <w:tcW w:w="2077" w:type="pct"/>
            <w:tcBorders>
              <w:top w:val="nil"/>
              <w:left w:val="nil"/>
              <w:bottom w:val="nil"/>
              <w:right w:val="nil"/>
            </w:tcBorders>
            <w:vAlign w:val="bottom"/>
          </w:tcPr>
          <w:p w:rsidR="00584359" w:rsidRPr="00C32053" w:rsidRDefault="007870E2" w:rsidP="00584359">
            <w:pPr>
              <w:pStyle w:val="TableText"/>
              <w:spacing w:before="20" w:after="10"/>
              <w:rPr>
                <w:color w:val="000000"/>
              </w:rPr>
            </w:pPr>
            <w:r>
              <w:rPr>
                <w:color w:val="000000"/>
              </w:rPr>
              <w:t>December</w:t>
            </w:r>
            <w:r w:rsidR="00584359">
              <w:rPr>
                <w:color w:val="000000"/>
              </w:rPr>
              <w:t xml:space="preserve"> </w:t>
            </w:r>
            <w:r>
              <w:rPr>
                <w:color w:val="000000"/>
              </w:rPr>
              <w:t>2014</w:t>
            </w:r>
          </w:p>
        </w:tc>
      </w:tr>
      <w:tr w:rsidR="00584359" w:rsidTr="00774B51">
        <w:tc>
          <w:tcPr>
            <w:tcW w:w="2923" w:type="pct"/>
            <w:tcBorders>
              <w:top w:val="nil"/>
              <w:left w:val="nil"/>
              <w:bottom w:val="single" w:sz="4" w:space="0" w:color="auto"/>
              <w:right w:val="nil"/>
            </w:tcBorders>
            <w:vAlign w:val="bottom"/>
          </w:tcPr>
          <w:p w:rsidR="00584359" w:rsidRPr="00686B32" w:rsidRDefault="00584359" w:rsidP="00584359">
            <w:pPr>
              <w:pStyle w:val="TableText"/>
              <w:spacing w:before="20" w:after="10"/>
              <w:rPr>
                <w:color w:val="000000"/>
              </w:rPr>
            </w:pPr>
            <w:r>
              <w:rPr>
                <w:color w:val="000000"/>
              </w:rPr>
              <w:t>Final Evaluation Brief</w:t>
            </w:r>
            <w:r w:rsidR="00EF2347">
              <w:rPr>
                <w:color w:val="000000"/>
              </w:rPr>
              <w:t>s</w:t>
            </w:r>
            <w:r>
              <w:rPr>
                <w:color w:val="000000"/>
              </w:rPr>
              <w:t xml:space="preserve"> </w:t>
            </w:r>
            <w:r w:rsidR="00175EC2">
              <w:rPr>
                <w:color w:val="000000"/>
              </w:rPr>
              <w:t>5 and 6</w:t>
            </w:r>
          </w:p>
        </w:tc>
        <w:tc>
          <w:tcPr>
            <w:tcW w:w="2077" w:type="pct"/>
            <w:tcBorders>
              <w:top w:val="nil"/>
              <w:left w:val="nil"/>
              <w:bottom w:val="single" w:sz="4" w:space="0" w:color="auto"/>
              <w:right w:val="nil"/>
            </w:tcBorders>
            <w:vAlign w:val="bottom"/>
          </w:tcPr>
          <w:p w:rsidR="00584359" w:rsidRPr="00C32053" w:rsidRDefault="007870E2" w:rsidP="00584359">
            <w:pPr>
              <w:pStyle w:val="TableText"/>
              <w:spacing w:before="20" w:after="10"/>
              <w:rPr>
                <w:color w:val="000000"/>
              </w:rPr>
            </w:pPr>
            <w:r>
              <w:rPr>
                <w:color w:val="000000"/>
              </w:rPr>
              <w:t>March</w:t>
            </w:r>
            <w:r w:rsidR="00584359">
              <w:rPr>
                <w:color w:val="000000"/>
              </w:rPr>
              <w:t xml:space="preserve"> </w:t>
            </w:r>
            <w:r>
              <w:rPr>
                <w:color w:val="000000"/>
              </w:rPr>
              <w:t>2015</w:t>
            </w:r>
          </w:p>
        </w:tc>
      </w:tr>
    </w:tbl>
    <w:p w:rsidR="001A3603" w:rsidRPr="001A3603" w:rsidRDefault="001A3603" w:rsidP="001A3603">
      <w:pPr>
        <w:pStyle w:val="NormalSS"/>
        <w:ind w:firstLine="0"/>
      </w:pPr>
    </w:p>
    <w:p w:rsidR="00EC6360" w:rsidRPr="00FF762B" w:rsidRDefault="00EC6360" w:rsidP="00EC6360">
      <w:pPr>
        <w:pStyle w:val="Heading3"/>
      </w:pPr>
      <w:bookmarkStart w:id="66" w:name="_Toc276647505"/>
      <w:bookmarkStart w:id="67" w:name="_Toc276719894"/>
      <w:bookmarkStart w:id="68" w:name="_Toc299455763"/>
      <w:r>
        <w:t>17.</w:t>
      </w:r>
      <w:r>
        <w:tab/>
      </w:r>
      <w:r w:rsidRPr="00FF762B">
        <w:t>Approval Not to Display the OMB Expiration Date</w:t>
      </w:r>
      <w:bookmarkEnd w:id="66"/>
      <w:bookmarkEnd w:id="67"/>
      <w:bookmarkEnd w:id="68"/>
    </w:p>
    <w:p w:rsidR="00EC6360" w:rsidRDefault="0002621E" w:rsidP="00EC6360">
      <w:pPr>
        <w:pStyle w:val="NormalSS"/>
      </w:pPr>
      <w:r>
        <w:t>All data collection instruments will include the OMB expiration date.</w:t>
      </w:r>
    </w:p>
    <w:p w:rsidR="00EC6360" w:rsidRPr="00FF762B" w:rsidRDefault="00EC6360" w:rsidP="00EC6360">
      <w:pPr>
        <w:pStyle w:val="Heading3"/>
        <w:ind w:left="0" w:firstLine="0"/>
      </w:pPr>
      <w:bookmarkStart w:id="69" w:name="_Toc276647506"/>
      <w:bookmarkStart w:id="70" w:name="_Toc276719895"/>
      <w:bookmarkStart w:id="71" w:name="_Toc299455764"/>
      <w:r>
        <w:t>18.</w:t>
      </w:r>
      <w:r>
        <w:tab/>
      </w:r>
      <w:r w:rsidRPr="00FF762B">
        <w:t>Explanation of Exceptions</w:t>
      </w:r>
      <w:bookmarkEnd w:id="69"/>
      <w:bookmarkEnd w:id="70"/>
      <w:bookmarkEnd w:id="71"/>
    </w:p>
    <w:p w:rsidR="007F1DE5" w:rsidRDefault="00EC6360" w:rsidP="00EC6360">
      <w:pPr>
        <w:pStyle w:val="NormalSS"/>
      </w:pPr>
      <w:r w:rsidRPr="00FF762B">
        <w:t xml:space="preserve">No exceptions are </w:t>
      </w:r>
      <w:r w:rsidR="0002621E">
        <w:t>requested.</w:t>
      </w:r>
    </w:p>
    <w:p w:rsidR="007F1DE5" w:rsidRDefault="007F1DE5" w:rsidP="00EC6360">
      <w:pPr>
        <w:pStyle w:val="NormalSS"/>
        <w:sectPr w:rsidR="007F1DE5" w:rsidSect="006F779F">
          <w:footerReference w:type="default" r:id="rId113"/>
          <w:endnotePr>
            <w:numFmt w:val="decimal"/>
          </w:endnotePr>
          <w:pgSz w:w="12240" w:h="15840" w:code="1"/>
          <w:pgMar w:top="1440" w:right="1440" w:bottom="576" w:left="1440" w:header="720" w:footer="576" w:gutter="0"/>
          <w:cols w:space="720"/>
          <w:docGrid w:linePitch="326"/>
        </w:sectPr>
      </w:pPr>
    </w:p>
    <w:p w:rsidR="00EC6360" w:rsidRDefault="00383A7C" w:rsidP="00383A7C">
      <w:pPr>
        <w:pStyle w:val="MarkforAppendixHeadingBlack"/>
      </w:pPr>
      <w:bookmarkStart w:id="72" w:name="_Toc299455765"/>
      <w:r>
        <w:lastRenderedPageBreak/>
        <w:t>References</w:t>
      </w:r>
      <w:bookmarkEnd w:id="72"/>
    </w:p>
    <w:p w:rsidR="0005359B" w:rsidRPr="00383A7C" w:rsidRDefault="0005359B" w:rsidP="0005359B">
      <w:pPr>
        <w:pStyle w:val="References"/>
      </w:pPr>
      <w:r w:rsidRPr="00383A7C">
        <w:t xml:space="preserve">Hahn, J., </w:t>
      </w:r>
      <w:r w:rsidR="00A01CDD">
        <w:t xml:space="preserve">P. </w:t>
      </w:r>
      <w:r w:rsidRPr="00383A7C">
        <w:t xml:space="preserve">Todd, </w:t>
      </w:r>
      <w:r w:rsidR="00A01CDD">
        <w:t>and</w:t>
      </w:r>
      <w:r w:rsidRPr="00383A7C">
        <w:t xml:space="preserve"> </w:t>
      </w:r>
      <w:r w:rsidR="00A01CDD">
        <w:t xml:space="preserve">W. </w:t>
      </w:r>
      <w:r w:rsidRPr="00383A7C">
        <w:t xml:space="preserve">Van Der Klaauw. </w:t>
      </w:r>
      <w:r w:rsidR="00A01CDD">
        <w:t>“</w:t>
      </w:r>
      <w:r w:rsidRPr="00383A7C">
        <w:t xml:space="preserve">Regression </w:t>
      </w:r>
      <w:r w:rsidR="00A01CDD">
        <w:t>D</w:t>
      </w:r>
      <w:r w:rsidRPr="00383A7C">
        <w:t>iscontinuity.</w:t>
      </w:r>
      <w:r w:rsidR="00A01CDD">
        <w:t>”</w:t>
      </w:r>
      <w:r w:rsidRPr="00383A7C">
        <w:t xml:space="preserve"> </w:t>
      </w:r>
      <w:r w:rsidRPr="009D7F4D">
        <w:rPr>
          <w:i/>
        </w:rPr>
        <w:t>Econometrica</w:t>
      </w:r>
      <w:r w:rsidR="00A01CDD">
        <w:rPr>
          <w:i/>
        </w:rPr>
        <w:t>,</w:t>
      </w:r>
      <w:r w:rsidRPr="00383A7C">
        <w:t xml:space="preserve"> </w:t>
      </w:r>
      <w:r w:rsidR="00A01CDD">
        <w:t xml:space="preserve">vol. </w:t>
      </w:r>
      <w:r w:rsidRPr="00383A7C">
        <w:t>69</w:t>
      </w:r>
      <w:r w:rsidR="00A01CDD">
        <w:t xml:space="preserve">, no. </w:t>
      </w:r>
      <w:r w:rsidRPr="00383A7C">
        <w:t xml:space="preserve">1, </w:t>
      </w:r>
      <w:r w:rsidR="00A01CDD">
        <w:t xml:space="preserve">2001, pp. </w:t>
      </w:r>
      <w:r w:rsidRPr="00383A7C">
        <w:t>201-209.</w:t>
      </w:r>
    </w:p>
    <w:p w:rsidR="0070513E" w:rsidRPr="00095E32" w:rsidRDefault="0070513E" w:rsidP="009D7F4D">
      <w:pPr>
        <w:pStyle w:val="References"/>
        <w:rPr>
          <w:rStyle w:val="googqs-tidbit1"/>
          <w:szCs w:val="20"/>
        </w:rPr>
      </w:pPr>
      <w:r w:rsidRPr="00095E32">
        <w:t>Hurlburt, S., K. C. Le Floch, S. B. Therriault, and S. Cole. “</w:t>
      </w:r>
      <w:r w:rsidRPr="00095E32">
        <w:rPr>
          <w:iCs/>
        </w:rPr>
        <w:t>Baseline Analyses of SIG Applications and SIG-Eligible and SIG-Awarded Schools.”</w:t>
      </w:r>
      <w:r w:rsidRPr="00095E32">
        <w:rPr>
          <w:i/>
          <w:iCs/>
        </w:rPr>
        <w:t xml:space="preserve"> </w:t>
      </w:r>
      <w:r w:rsidRPr="00095E32">
        <w:t>(NCEE 2011-4019.) Washington, DC: National Center for Education Evaluation and Regional Assistance, Institute of Education Sciences, U.S. Department of Education, 2011.</w:t>
      </w:r>
    </w:p>
    <w:p w:rsidR="0005359B" w:rsidRPr="00383A7C" w:rsidRDefault="0005359B" w:rsidP="0005359B">
      <w:pPr>
        <w:pStyle w:val="References"/>
      </w:pPr>
      <w:r w:rsidRPr="00383A7C">
        <w:t xml:space="preserve">Shadish, W.R., </w:t>
      </w:r>
      <w:r w:rsidR="00D7584B">
        <w:t xml:space="preserve">T.D. </w:t>
      </w:r>
      <w:r w:rsidRPr="00383A7C">
        <w:t xml:space="preserve">Cook, </w:t>
      </w:r>
      <w:r w:rsidR="00D7584B">
        <w:t>and D.T.</w:t>
      </w:r>
      <w:r w:rsidRPr="00383A7C">
        <w:t xml:space="preserve"> Campbell. </w:t>
      </w:r>
      <w:r w:rsidRPr="009D7F4D">
        <w:rPr>
          <w:i/>
        </w:rPr>
        <w:t xml:space="preserve">Experimental and </w:t>
      </w:r>
      <w:r w:rsidR="00D7584B">
        <w:rPr>
          <w:i/>
        </w:rPr>
        <w:t>Q</w:t>
      </w:r>
      <w:r w:rsidRPr="009D7F4D">
        <w:rPr>
          <w:i/>
        </w:rPr>
        <w:t xml:space="preserve">uasi-experimental </w:t>
      </w:r>
      <w:r w:rsidR="00D7584B">
        <w:rPr>
          <w:i/>
        </w:rPr>
        <w:t>D</w:t>
      </w:r>
      <w:r w:rsidRPr="009D7F4D">
        <w:rPr>
          <w:i/>
        </w:rPr>
        <w:t xml:space="preserve">esigns for </w:t>
      </w:r>
      <w:r w:rsidR="00D7584B">
        <w:rPr>
          <w:i/>
        </w:rPr>
        <w:t>G</w:t>
      </w:r>
      <w:r w:rsidRPr="009D7F4D">
        <w:rPr>
          <w:i/>
        </w:rPr>
        <w:t xml:space="preserve">eneralized </w:t>
      </w:r>
      <w:r w:rsidR="00D7584B">
        <w:rPr>
          <w:i/>
        </w:rPr>
        <w:t>C</w:t>
      </w:r>
      <w:r w:rsidRPr="009D7F4D">
        <w:rPr>
          <w:i/>
        </w:rPr>
        <w:t xml:space="preserve">ausal </w:t>
      </w:r>
      <w:r w:rsidR="00D7584B">
        <w:rPr>
          <w:i/>
        </w:rPr>
        <w:t>I</w:t>
      </w:r>
      <w:r w:rsidRPr="009D7F4D">
        <w:rPr>
          <w:i/>
        </w:rPr>
        <w:t>nference</w:t>
      </w:r>
      <w:r w:rsidR="00D7584B">
        <w:rPr>
          <w:i/>
        </w:rPr>
        <w:t>.</w:t>
      </w:r>
      <w:r w:rsidRPr="00383A7C">
        <w:t xml:space="preserve"> Boston, MA: Houghton Mifflin</w:t>
      </w:r>
      <w:r w:rsidR="00D7584B">
        <w:t>, 2002.</w:t>
      </w:r>
    </w:p>
    <w:p w:rsidR="00383A7C" w:rsidRPr="00383A7C" w:rsidRDefault="00383A7C" w:rsidP="00383A7C">
      <w:pPr>
        <w:pStyle w:val="References"/>
      </w:pPr>
      <w:r w:rsidRPr="00383A7C">
        <w:t xml:space="preserve">Trochim, W.M.K. </w:t>
      </w:r>
      <w:r w:rsidRPr="009D7F4D">
        <w:rPr>
          <w:i/>
        </w:rPr>
        <w:t xml:space="preserve">Research </w:t>
      </w:r>
      <w:r w:rsidR="00D7584B">
        <w:rPr>
          <w:i/>
        </w:rPr>
        <w:t>D</w:t>
      </w:r>
      <w:r w:rsidRPr="009D7F4D">
        <w:rPr>
          <w:i/>
        </w:rPr>
        <w:t xml:space="preserve">esign for </w:t>
      </w:r>
      <w:r w:rsidR="00D7584B">
        <w:rPr>
          <w:i/>
        </w:rPr>
        <w:t>P</w:t>
      </w:r>
      <w:r w:rsidRPr="009D7F4D">
        <w:rPr>
          <w:i/>
        </w:rPr>
        <w:t xml:space="preserve">rogram </w:t>
      </w:r>
      <w:r w:rsidR="00D7584B">
        <w:rPr>
          <w:i/>
        </w:rPr>
        <w:t>E</w:t>
      </w:r>
      <w:r w:rsidRPr="009D7F4D">
        <w:rPr>
          <w:i/>
        </w:rPr>
        <w:t>valuation</w:t>
      </w:r>
      <w:r w:rsidRPr="00383A7C">
        <w:t>. Beverly Hills, CA: Sage Publications</w:t>
      </w:r>
      <w:r w:rsidR="00D7584B">
        <w:t>, 1984</w:t>
      </w:r>
      <w:r w:rsidRPr="00383A7C">
        <w:t>.</w:t>
      </w:r>
    </w:p>
    <w:p w:rsidR="0056142F" w:rsidRDefault="0056142F">
      <w:pPr>
        <w:tabs>
          <w:tab w:val="clear" w:pos="432"/>
        </w:tabs>
        <w:spacing w:line="240" w:lineRule="auto"/>
        <w:ind w:firstLine="0"/>
        <w:jc w:val="left"/>
      </w:pPr>
    </w:p>
    <w:p w:rsidR="007F1DE5" w:rsidRDefault="007F1DE5" w:rsidP="0056142F">
      <w:pPr>
        <w:pStyle w:val="MarkforAppendixHeadingBlack"/>
        <w:sectPr w:rsidR="007F1DE5" w:rsidSect="007F1DE5">
          <w:headerReference w:type="default" r:id="rId114"/>
          <w:footerReference w:type="default" r:id="rId115"/>
          <w:endnotePr>
            <w:numFmt w:val="decimal"/>
          </w:endnotePr>
          <w:pgSz w:w="12240" w:h="15840" w:code="1"/>
          <w:pgMar w:top="1440" w:right="1440" w:bottom="576" w:left="1440" w:header="720" w:footer="576" w:gutter="0"/>
          <w:cols w:space="720"/>
          <w:docGrid w:linePitch="326"/>
        </w:sectPr>
      </w:pPr>
      <w:bookmarkStart w:id="73" w:name="_Toc299455766"/>
    </w:p>
    <w:p w:rsidR="00D9403C" w:rsidRDefault="00D9403C" w:rsidP="0056142F">
      <w:pPr>
        <w:pStyle w:val="MarkforAppendixHeadingBlack"/>
        <w:sectPr w:rsidR="00D9403C" w:rsidSect="007F1DE5">
          <w:headerReference w:type="default" r:id="rId116"/>
          <w:footerReference w:type="default" r:id="rId117"/>
          <w:endnotePr>
            <w:numFmt w:val="decimal"/>
          </w:endnotePr>
          <w:pgSz w:w="12240" w:h="15840" w:code="1"/>
          <w:pgMar w:top="1440" w:right="1440" w:bottom="576" w:left="1440" w:header="720" w:footer="576" w:gutter="0"/>
          <w:cols w:space="720"/>
          <w:docGrid w:linePitch="326"/>
        </w:sectPr>
      </w:pPr>
    </w:p>
    <w:p w:rsidR="00D9403C" w:rsidRDefault="00D9403C" w:rsidP="0056142F">
      <w:pPr>
        <w:pStyle w:val="MarkforAppendixHeadingBlack"/>
      </w:pPr>
    </w:p>
    <w:p w:rsidR="00D9403C" w:rsidRDefault="00D9403C" w:rsidP="00D9403C"/>
    <w:p w:rsidR="00D9403C" w:rsidRDefault="00D9403C" w:rsidP="00D9403C"/>
    <w:p w:rsidR="00D9403C" w:rsidRDefault="00D9403C" w:rsidP="00D9403C"/>
    <w:p w:rsidR="00D9403C" w:rsidRDefault="00D9403C" w:rsidP="00D9403C"/>
    <w:p w:rsidR="00D9403C" w:rsidRDefault="00D9403C" w:rsidP="00D9403C"/>
    <w:p w:rsidR="00D535EC" w:rsidRDefault="00D535EC" w:rsidP="00793C20">
      <w:pPr>
        <w:spacing w:line="240" w:lineRule="auto"/>
        <w:ind w:firstLine="0"/>
        <w:rPr>
          <w:b/>
          <w:i/>
        </w:rPr>
        <w:sectPr w:rsidR="00D535EC" w:rsidSect="00F809CF">
          <w:footerReference w:type="default" r:id="rId118"/>
          <w:endnotePr>
            <w:numFmt w:val="decimal"/>
          </w:endnotePr>
          <w:pgSz w:w="12240" w:h="15840" w:code="1"/>
          <w:pgMar w:top="1440" w:right="1440" w:bottom="576" w:left="1440" w:header="720" w:footer="576" w:gutter="0"/>
          <w:cols w:space="720"/>
          <w:docGrid w:linePitch="326"/>
        </w:sectPr>
      </w:pPr>
      <w:bookmarkStart w:id="74" w:name="_Toc299455778"/>
      <w:bookmarkEnd w:id="73"/>
    </w:p>
    <w:p w:rsidR="00793C20" w:rsidRPr="00A2684F" w:rsidRDefault="00793C20" w:rsidP="00793C20">
      <w:pPr>
        <w:spacing w:line="240" w:lineRule="auto"/>
        <w:ind w:firstLine="0"/>
        <w:rPr>
          <w:b/>
          <w:i/>
        </w:rPr>
      </w:pPr>
    </w:p>
    <w:bookmarkEnd w:id="74"/>
    <w:p w:rsidR="00A10D45" w:rsidRDefault="00A10D45" w:rsidP="00A10D45"/>
    <w:p w:rsidR="00A10D45" w:rsidRDefault="00A10D45" w:rsidP="00A10D45"/>
    <w:p w:rsidR="00A10D45" w:rsidRDefault="00A10D45" w:rsidP="00A10D45"/>
    <w:p w:rsidR="003F405B" w:rsidRDefault="003F405B" w:rsidP="00A10D45">
      <w:pPr>
        <w:pStyle w:val="MarkforAppendixHeadingBlack"/>
      </w:pPr>
    </w:p>
    <w:p w:rsidR="003F405B" w:rsidRDefault="003F405B" w:rsidP="00A10D45">
      <w:pPr>
        <w:pStyle w:val="MarkforAppendixHeadingBlack"/>
      </w:pPr>
    </w:p>
    <w:p w:rsidR="001426E8" w:rsidRPr="001426E8" w:rsidRDefault="0055700C" w:rsidP="001426E8">
      <w:pPr>
        <w:spacing w:after="480" w:line="240" w:lineRule="auto"/>
        <w:ind w:firstLine="0"/>
        <w:rPr>
          <w:rFonts w:ascii="Lucida Sans" w:hAnsi="Lucida Sans" w:cs="Lucida Sans"/>
        </w:rPr>
      </w:pPr>
      <w:r>
        <w:rPr>
          <w:rFonts w:ascii="Lucida Sans" w:hAnsi="Lucida Sans" w:cs="Lucida Sans"/>
        </w:rPr>
        <w:pict>
          <v:shapetype id="_x0000_t202" coordsize="21600,21600" o:spt="202" path="m,l,21600r21600,l21600,xe">
            <v:stroke joinstyle="miter"/>
            <v:path gradientshapeok="t" o:connecttype="rect"/>
          </v:shapetype>
          <v:shape id="Text Box 2" o:spid="_x0000_s1036" type="#_x0000_t202" style="position:absolute;left:0;text-align:left;margin-left:-56.9pt;margin-top:461.25pt;width:581.9pt;height:67.5pt;z-index:25167257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" filled="f" stroked="f" strokeweight="0">
            <v:textbox>
              <w:txbxContent>
                <w:p w:rsidR="00FC23AF" w:rsidRPr="000F53E2" w:rsidRDefault="00FC23AF" w:rsidP="001426E8">
                  <w:pPr>
                    <w:tabs>
                      <w:tab w:val="clear" w:pos="432"/>
                    </w:tabs>
                    <w:spacing w:after="200" w:line="264" w:lineRule="auto"/>
                    <w:ind w:firstLine="0"/>
                    <w:jc w:val="center"/>
                    <w:rPr>
                      <w:rFonts w:ascii="Lucida Sans" w:hAnsi="Lucida Sans"/>
                      <w:sz w:val="17"/>
                      <w:szCs w:val="18"/>
                    </w:rPr>
                  </w:pPr>
                  <w:r w:rsidRPr="000F53E2">
                    <w:rPr>
                      <w:rFonts w:ascii="Lucida Sans" w:hAnsi="Lucida Sans"/>
                      <w:sz w:val="17"/>
                      <w:szCs w:val="18"/>
                    </w:rPr>
                    <w:t>Improving public well-being by conducting high-quality, objective research and surveys</w:t>
                  </w:r>
                </w:p>
                <w:p w:rsidR="00FC23AF" w:rsidRDefault="00FC23AF" w:rsidP="001426E8">
                  <w:pPr>
                    <w:tabs>
                      <w:tab w:val="clear" w:pos="432"/>
                    </w:tabs>
                    <w:spacing w:line="264" w:lineRule="auto"/>
                    <w:ind w:firstLine="0"/>
                    <w:jc w:val="center"/>
                    <w:rPr>
                      <w:rFonts w:ascii="Lucida Sans" w:hAnsi="Lucida Sans"/>
                      <w:sz w:val="17"/>
                      <w:szCs w:val="18"/>
                    </w:rPr>
                  </w:pPr>
                  <w:r w:rsidRPr="000F53E2">
                    <w:rPr>
                      <w:rFonts w:ascii="Lucida Sans" w:hAnsi="Lucida Sans"/>
                      <w:sz w:val="17"/>
                      <w:szCs w:val="18"/>
                    </w:rPr>
                    <w:t xml:space="preserve">Princeton, NJ  </w:t>
                  </w:r>
                  <w:r w:rsidRPr="000F53E2">
                    <w:rPr>
                      <w:sz w:val="17"/>
                      <w:szCs w:val="16"/>
                    </w:rPr>
                    <w:t>■</w:t>
                  </w:r>
                  <w:r w:rsidRPr="000F53E2">
                    <w:rPr>
                      <w:rFonts w:ascii="Lucida Sans" w:hAnsi="Lucida Sans"/>
                      <w:sz w:val="17"/>
                      <w:szCs w:val="18"/>
                    </w:rPr>
                    <w:t xml:space="preserve">  Ann Arbor, MI  </w:t>
                  </w:r>
                  <w:r w:rsidRPr="000F53E2">
                    <w:rPr>
                      <w:sz w:val="17"/>
                      <w:szCs w:val="18"/>
                    </w:rPr>
                    <w:t>■</w:t>
                  </w:r>
                  <w:r w:rsidRPr="000F53E2">
                    <w:rPr>
                      <w:rFonts w:ascii="Lucida Sans" w:hAnsi="Lucida Sans"/>
                      <w:sz w:val="17"/>
                      <w:szCs w:val="18"/>
                    </w:rPr>
                    <w:t xml:space="preserve">  Cambridge, MA  </w:t>
                  </w:r>
                  <w:r w:rsidRPr="000F53E2">
                    <w:rPr>
                      <w:sz w:val="17"/>
                      <w:szCs w:val="18"/>
                    </w:rPr>
                    <w:t>■</w:t>
                  </w:r>
                  <w:r w:rsidRPr="000F53E2">
                    <w:rPr>
                      <w:rFonts w:ascii="Lucida Sans" w:hAnsi="Lucida Sans"/>
                      <w:sz w:val="17"/>
                      <w:szCs w:val="18"/>
                    </w:rPr>
                    <w:t xml:space="preserve">  Chicago, IL  </w:t>
                  </w:r>
                  <w:r w:rsidRPr="000F53E2">
                    <w:rPr>
                      <w:sz w:val="17"/>
                      <w:szCs w:val="18"/>
                    </w:rPr>
                    <w:t>■</w:t>
                  </w:r>
                  <w:r w:rsidRPr="000F53E2">
                    <w:rPr>
                      <w:rFonts w:ascii="Lucida Sans" w:hAnsi="Lucida Sans"/>
                      <w:sz w:val="17"/>
                      <w:szCs w:val="18"/>
                    </w:rPr>
                    <w:t xml:space="preserve">  Oakland, CA  </w:t>
                  </w:r>
                  <w:r w:rsidRPr="000F53E2">
                    <w:rPr>
                      <w:sz w:val="17"/>
                      <w:szCs w:val="18"/>
                    </w:rPr>
                    <w:t>■</w:t>
                  </w:r>
                  <w:r w:rsidRPr="000F53E2">
                    <w:rPr>
                      <w:rFonts w:ascii="Lucida Sans" w:hAnsi="Lucida Sans"/>
                      <w:sz w:val="17"/>
                      <w:szCs w:val="18"/>
                    </w:rPr>
                    <w:t xml:space="preserve">  Washington, DC</w:t>
                  </w:r>
                </w:p>
                <w:p w:rsidR="00FC23AF" w:rsidRDefault="00FC23AF" w:rsidP="001426E8">
                  <w:pPr>
                    <w:tabs>
                      <w:tab w:val="clear" w:pos="432"/>
                    </w:tabs>
                    <w:spacing w:line="264" w:lineRule="auto"/>
                    <w:ind w:firstLine="0"/>
                    <w:jc w:val="center"/>
                    <w:rPr>
                      <w:rFonts w:ascii="Lucida Sans" w:hAnsi="Lucida Sans"/>
                      <w:sz w:val="17"/>
                      <w:szCs w:val="18"/>
                    </w:rPr>
                  </w:pPr>
                </w:p>
                <w:p w:rsidR="00FC23AF" w:rsidRPr="000F53E2" w:rsidRDefault="00FC23AF" w:rsidP="001426E8">
                  <w:pPr>
                    <w:tabs>
                      <w:tab w:val="clear" w:pos="432"/>
                    </w:tabs>
                    <w:spacing w:line="264" w:lineRule="auto"/>
                    <w:ind w:firstLine="0"/>
                    <w:jc w:val="center"/>
                    <w:rPr>
                      <w:rFonts w:ascii="Lucida Sans" w:hAnsi="Lucida Sans"/>
                      <w:sz w:val="17"/>
                      <w:szCs w:val="18"/>
                    </w:rPr>
                  </w:pPr>
                  <w:r w:rsidRPr="00D03435">
                    <w:rPr>
                      <w:rFonts w:ascii="Lucida Sans" w:hAnsi="Lucida Sans"/>
                      <w:sz w:val="17"/>
                      <w:szCs w:val="18"/>
                    </w:rPr>
                    <w:t>Mathematica® is a registered trademark of Mathematica Policy Research</w:t>
                  </w:r>
                </w:p>
              </w:txbxContent>
            </v:textbox>
          </v:shape>
        </w:pict>
      </w:r>
      <w:r>
        <w:rPr>
          <w:rFonts w:ascii="Lucida Sans" w:hAnsi="Lucida Sans" w:cs="Lucida Sans"/>
        </w:rPr>
        <w:pict>
          <v:shape id="Text Box 3" o:spid="_x0000_s1037" type="#_x0000_t202" style="position:absolute;left:0;text-align:left;margin-left:333.25pt;margin-top:412.55pt;width:154.45pt;height:28.3pt;z-index:-251641856;visibility:visible;mso-height-percent:200;mso-position-horizontal-relative:page;mso-position-vertical-relative:page;mso-height-percent:200;mso-width-relative:margin;mso-height-relative:margin"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" filled="f" stroked="f">
            <v:textbox style="mso-fit-shape-to-text:t">
              <w:txbxContent>
                <w:p w:rsidR="00FC23AF" w:rsidRPr="00347DD8" w:rsidRDefault="00FC23AF" w:rsidP="001426E8">
                  <w:pPr>
                    <w:tabs>
                      <w:tab w:val="clear" w:pos="432"/>
                    </w:tabs>
                    <w:ind w:firstLine="0"/>
                    <w:rPr>
                      <w:rFonts w:ascii="Lucida Sans Std" w:hAnsi="Lucida Sans Std"/>
                      <w:b/>
                      <w:sz w:val="18"/>
                      <w:szCs w:val="18"/>
                    </w:rPr>
                  </w:pPr>
                  <w:r w:rsidRPr="00347DD8">
                    <w:rPr>
                      <w:rFonts w:ascii="Lucida Sans Std" w:hAnsi="Lucida Sans Std"/>
                      <w:b/>
                      <w:sz w:val="18"/>
                      <w:szCs w:val="18"/>
                    </w:rPr>
                    <w:t>www.mathematica-mpr.com</w:t>
                  </w:r>
                </w:p>
              </w:txbxContent>
            </v:textbox>
            <w10:wrap type="through" anchorx="page" anchory="page"/>
          </v:shape>
        </w:pict>
      </w:r>
      <w:r w:rsidR="001426E8" w:rsidRPr="001426E8">
        <w:rPr>
          <w:rFonts w:ascii="Lucida Sans" w:hAnsi="Lucida Sans" w:cs="Lucida Sans"/>
          <w:noProof/>
        </w:rPr>
        <w:drawing>
          <wp:anchor distT="0" distB="0" distL="114300" distR="114300" simplePos="0" relativeHeight="251673600" behindDoc="0" locked="1" layoutInCell="1" allowOverlap="1">
            <wp:simplePos x="0" y="0"/>
            <wp:positionH relativeFrom="page">
              <wp:posOffset>4200525</wp:posOffset>
            </wp:positionH>
            <wp:positionV relativeFrom="page">
              <wp:posOffset>4572000</wp:posOffset>
            </wp:positionV>
            <wp:extent cx="1828800" cy="581025"/>
            <wp:effectExtent l="19050" t="0" r="0" b="0"/>
            <wp:wrapThrough wrapText="bothSides">
              <wp:wrapPolygon edited="0">
                <wp:start x="-225" y="0"/>
                <wp:lineTo x="-225" y="21246"/>
                <wp:lineTo x="21600" y="21246"/>
                <wp:lineTo x="21600" y="0"/>
                <wp:lineTo x="-225" y="0"/>
              </wp:wrapPolygon>
            </wp:wrapThrough>
            <wp:docPr id="37" name="Picture 6"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thematica Policy Research logo."/>
                    <pic:cNvPicPr>
                      <a:picLocks noChangeAspect="1" noChangeArrowheads="1"/>
                    </pic:cNvPicPr>
                  </pic:nvPicPr>
                  <pic:blipFill>
                    <a:blip r:embed="rId25" cstate="print"/>
                    <a:srcRect/>
                    <a:stretch>
                      <a:fillRect/>
                    </a:stretch>
                  </pic:blipFill>
                  <pic:spPr bwMode="auto">
                    <a:xfrm>
                      <a:off x="0" y="0"/>
                      <a:ext cx="1828800" cy="581025"/>
                    </a:xfrm>
                    <a:prstGeom prst="rect">
                      <a:avLst/>
                    </a:prstGeom>
                    <a:noFill/>
                  </pic:spPr>
                </pic:pic>
              </a:graphicData>
            </a:graphic>
          </wp:anchor>
        </w:drawing>
      </w:r>
      <w:r w:rsidR="001426E8" w:rsidRPr="001426E8">
        <w:rPr>
          <w:rFonts w:ascii="Lucida Sans" w:hAnsi="Lucida Sans" w:cs="Lucida Sans"/>
          <w:noProof/>
        </w:rPr>
        <w:drawing>
          <wp:anchor distT="0" distB="0" distL="114300" distR="114300" simplePos="0" relativeHeight="251671552" behindDoc="0" locked="1" layoutInCell="1" allowOverlap="1">
            <wp:simplePos x="0" y="0"/>
            <wp:positionH relativeFrom="page">
              <wp:posOffset>-27305</wp:posOffset>
            </wp:positionH>
            <wp:positionV relativeFrom="page">
              <wp:posOffset>5852160</wp:posOffset>
            </wp:positionV>
            <wp:extent cx="7879080" cy="2562225"/>
            <wp:effectExtent l="19050" t="0" r="7620" b="0"/>
            <wp:wrapThrough wrapText="bothSides">
              <wp:wrapPolygon edited="0">
                <wp:start x="-52" y="0"/>
                <wp:lineTo x="-52" y="21520"/>
                <wp:lineTo x="21621" y="21520"/>
                <wp:lineTo x="21621" y="0"/>
                <wp:lineTo x="-52" y="0"/>
              </wp:wrapPolygon>
            </wp:wrapThrough>
            <wp:docPr id="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9" cstate="print"/>
                    <a:srcRect/>
                    <a:stretch>
                      <a:fillRect/>
                    </a:stretch>
                  </pic:blipFill>
                  <pic:spPr bwMode="auto">
                    <a:xfrm>
                      <a:off x="0" y="0"/>
                      <a:ext cx="7879080" cy="2562225"/>
                    </a:xfrm>
                    <a:prstGeom prst="rect">
                      <a:avLst/>
                    </a:prstGeom>
                    <a:noFill/>
                  </pic:spPr>
                </pic:pic>
              </a:graphicData>
            </a:graphic>
          </wp:anchor>
        </w:drawing>
      </w:r>
    </w:p>
    <w:p w:rsidR="001426E8" w:rsidRPr="001426E8" w:rsidRDefault="001426E8" w:rsidP="001426E8">
      <w:pPr>
        <w:spacing w:after="480" w:line="240" w:lineRule="auto"/>
        <w:ind w:firstLine="0"/>
        <w:rPr>
          <w:rFonts w:ascii="Lucida Sans" w:hAnsi="Lucida Sans" w:cs="Lucida Sans"/>
        </w:rPr>
      </w:pPr>
    </w:p>
    <w:p w:rsidR="0056142F" w:rsidRPr="001A4A59" w:rsidRDefault="0056142F" w:rsidP="007A0670">
      <w:pPr>
        <w:spacing w:after="480" w:line="240" w:lineRule="auto"/>
        <w:ind w:firstLine="0"/>
        <w:rPr>
          <w:rFonts w:ascii="Lucida Sans" w:hAnsi="Lucida Sans" w:cs="Lucida Sans"/>
        </w:rPr>
      </w:pPr>
    </w:p>
    <w:sectPr w:rsidR="0056142F" w:rsidRPr="001A4A59" w:rsidSect="003A1506">
      <w:headerReference w:type="default" r:id="rId120"/>
      <w:footerReference w:type="default" r:id="rId121"/>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23AF" w:rsidRDefault="00FC23AF">
      <w:pPr>
        <w:spacing w:line="240" w:lineRule="auto"/>
        <w:ind w:firstLine="0"/>
      </w:pPr>
    </w:p>
  </w:endnote>
  <w:endnote w:type="continuationSeparator" w:id="0">
    <w:p w:rsidR="00FC23AF" w:rsidRDefault="00FC23AF">
      <w:pPr>
        <w:spacing w:line="240" w:lineRule="auto"/>
        <w:ind w:firstLine="0"/>
      </w:pPr>
    </w:p>
  </w:endnote>
  <w:endnote w:type="continuationNotice" w:id="1">
    <w:p w:rsidR="00FC23AF" w:rsidRDefault="00FC23AF">
      <w:pPr>
        <w:spacing w:line="240" w:lineRule="auto"/>
        <w:ind w:firstLine="0"/>
      </w:pPr>
    </w:p>
    <w:p w:rsidR="00FC23AF" w:rsidRDefault="00FC23AF"/>
    <w:p w:rsidR="00FC23AF" w:rsidRDefault="00FC23AF">
      <w:r>
        <w:rPr>
          <w:b/>
          <w:snapToGrid w:val="0"/>
        </w:rPr>
        <w:t>DRAFT</w:t>
      </w:r>
      <w:r>
        <w:rPr>
          <w:snapToGrid w:val="0"/>
          <w:sz w:val="16"/>
        </w:rPr>
        <w:t xml:space="preserve"> </w:t>
      </w:r>
      <w:r w:rsidR="0055700C">
        <w:rPr>
          <w:snapToGrid w:val="0"/>
          <w:sz w:val="16"/>
        </w:rPr>
        <w:fldChar w:fldCharType="begin"/>
      </w:r>
      <w:r>
        <w:rPr>
          <w:snapToGrid w:val="0"/>
          <w:sz w:val="16"/>
        </w:rPr>
        <w:instrText xml:space="preserve"> FILENAME \p </w:instrText>
      </w:r>
      <w:r w:rsidR="0055700C">
        <w:rPr>
          <w:snapToGrid w:val="0"/>
          <w:sz w:val="16"/>
        </w:rPr>
        <w:fldChar w:fldCharType="separate"/>
      </w:r>
      <w:r>
        <w:rPr>
          <w:noProof/>
          <w:snapToGrid w:val="0"/>
          <w:sz w:val="16"/>
        </w:rPr>
        <w:t>N:\Shared-NJ1\06844_RTT_SIG\OMB Packages\Data Collection OMB Package\Draft sent to IES Sept 2011\06844 PartA IES 9-8-11.docx</w:t>
      </w:r>
      <w:r w:rsidR="0055700C">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ucida Sans Std">
    <w:altName w:val="Cambria"/>
    <w:panose1 w:val="00000000000000000000"/>
    <w:charset w:val="00"/>
    <w:family w:val="swiss"/>
    <w:notTrueType/>
    <w:pitch w:val="variable"/>
    <w:sig w:usb0="800000EF" w:usb1="5000204A"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3AF" w:rsidRPr="008F1A3F" w:rsidRDefault="00FC23AF" w:rsidP="00E16FDA">
    <w:pPr>
      <w:pStyle w:val="Footer"/>
      <w:ind w:firstLine="0"/>
      <w:rPr>
        <w:rStyle w:val="PageNumber"/>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3AF" w:rsidRPr="007F1DE5" w:rsidRDefault="00FC23AF" w:rsidP="007F1DE5">
    <w:pPr>
      <w:pStyle w:val="Footer"/>
      <w:rPr>
        <w:rStyle w:val="PageNumber"/>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3AF" w:rsidRPr="0008769A" w:rsidRDefault="00FC23AF" w:rsidP="0008769A">
    <w:pPr>
      <w:pStyle w:val="Footer"/>
      <w:rPr>
        <w:rStyle w:val="PageNumber"/>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3AF" w:rsidRDefault="00FC23AF" w:rsidP="00012863">
    <w:pPr>
      <w:pStyle w:val="Footer"/>
      <w:tabs>
        <w:tab w:val="clear" w:pos="432"/>
        <w:tab w:val="clear" w:pos="4320"/>
        <w:tab w:val="clear" w:pos="8640"/>
        <w:tab w:val="center" w:pos="4770"/>
        <w:tab w:val="right" w:pos="9360"/>
      </w:tabs>
      <w:spacing w:before="120"/>
      <w:ind w:firstLine="0"/>
      <w:rPr>
        <w:rStyle w:val="PageNumber"/>
      </w:rPr>
    </w:pPr>
    <w:r>
      <w:rPr>
        <w:sz w:val="16"/>
      </w:rPr>
      <w:tab/>
    </w:r>
    <w:r>
      <w:rPr>
        <w:rStyle w:val="PageNumber"/>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3AF" w:rsidRDefault="00FC23AF" w:rsidP="00012863">
    <w:pPr>
      <w:pStyle w:val="Footer"/>
      <w:tabs>
        <w:tab w:val="clear" w:pos="432"/>
        <w:tab w:val="clear" w:pos="4320"/>
        <w:tab w:val="clear" w:pos="8640"/>
        <w:tab w:val="center" w:pos="4770"/>
        <w:tab w:val="right" w:pos="9360"/>
      </w:tabs>
      <w:spacing w:before="120"/>
      <w:ind w:firstLine="0"/>
      <w:rPr>
        <w:rStyle w:val="PageNumbe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3AF" w:rsidRDefault="00FC23AF" w:rsidP="00012863">
    <w:pPr>
      <w:pStyle w:val="Footer"/>
      <w:tabs>
        <w:tab w:val="clear" w:pos="432"/>
        <w:tab w:val="clear" w:pos="4320"/>
        <w:tab w:val="clear" w:pos="8640"/>
        <w:tab w:val="center" w:pos="4770"/>
        <w:tab w:val="right" w:pos="9360"/>
      </w:tabs>
      <w:spacing w:before="120"/>
      <w:ind w:firstLine="0"/>
      <w:rPr>
        <w:rStyle w:val="PageNumber"/>
        <w:b/>
        <w:sz w:val="17"/>
      </w:rPr>
    </w:pPr>
    <w:r>
      <w:tab/>
    </w:r>
    <w:r w:rsidR="0055700C">
      <w:rPr>
        <w:rStyle w:val="PageNumber"/>
      </w:rPr>
      <w:fldChar w:fldCharType="begin"/>
    </w:r>
    <w:r>
      <w:rPr>
        <w:rStyle w:val="PageNumber"/>
      </w:rPr>
      <w:instrText xml:space="preserve"> PAGE </w:instrText>
    </w:r>
    <w:r w:rsidR="0055700C">
      <w:rPr>
        <w:rStyle w:val="PageNumber"/>
      </w:rPr>
      <w:fldChar w:fldCharType="separate"/>
    </w:r>
    <w:r>
      <w:rPr>
        <w:rStyle w:val="PageNumber"/>
        <w:noProof/>
      </w:rPr>
      <w:t>iii</w:t>
    </w:r>
    <w:r w:rsidR="0055700C">
      <w:rPr>
        <w:rStyle w:val="PageNumber"/>
      </w:rPr>
      <w:fldChar w:fldCharType="end"/>
    </w:r>
    <w:r>
      <w:rPr>
        <w:rStyle w:val="PageNumber"/>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3AF" w:rsidRPr="00891D02" w:rsidRDefault="00FC23AF" w:rsidP="00891D02">
    <w:pPr>
      <w:pStyle w:val="Footer"/>
      <w:rPr>
        <w:rStyle w:val="PageNumber"/>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3AF" w:rsidRPr="00E16FDA" w:rsidRDefault="00FC23AF" w:rsidP="006F779F">
    <w:pPr>
      <w:pStyle w:val="Footer"/>
      <w:tabs>
        <w:tab w:val="clear" w:pos="432"/>
        <w:tab w:val="clear" w:pos="4320"/>
        <w:tab w:val="clear" w:pos="8640"/>
        <w:tab w:val="center" w:pos="4770"/>
        <w:tab w:val="right" w:pos="9360"/>
      </w:tabs>
      <w:spacing w:before="120"/>
      <w:ind w:firstLine="0"/>
      <w:rPr>
        <w:rStyle w:val="PageNumber"/>
      </w:rPr>
    </w:pPr>
    <w:r>
      <w:tab/>
    </w:r>
    <w:r w:rsidR="0055700C">
      <w:rPr>
        <w:rStyle w:val="PageNumber"/>
      </w:rPr>
      <w:fldChar w:fldCharType="begin"/>
    </w:r>
    <w:r>
      <w:rPr>
        <w:rStyle w:val="PageNumber"/>
      </w:rPr>
      <w:instrText xml:space="preserve"> PAGE </w:instrText>
    </w:r>
    <w:r w:rsidR="0055700C">
      <w:rPr>
        <w:rStyle w:val="PageNumber"/>
      </w:rPr>
      <w:fldChar w:fldCharType="separate"/>
    </w:r>
    <w:r w:rsidR="00330DC3">
      <w:rPr>
        <w:rStyle w:val="PageNumber"/>
        <w:noProof/>
      </w:rPr>
      <w:t>iii</w:t>
    </w:r>
    <w:r w:rsidR="0055700C">
      <w:rPr>
        <w:rStyle w:val="PageNumber"/>
      </w:rPr>
      <w:fldChar w:fldCharType="end"/>
    </w:r>
    <w:r>
      <w:rPr>
        <w:rStyle w:val="PageNumber"/>
      </w:rPr>
      <w:tab/>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3AF" w:rsidRPr="00532BEE" w:rsidRDefault="00FC23AF" w:rsidP="00532BEE">
    <w:pPr>
      <w:pStyle w:val="Footer"/>
      <w:rPr>
        <w:rStyle w:val="PageNumber"/>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3AF" w:rsidRDefault="00FC23AF" w:rsidP="00012863">
    <w:pPr>
      <w:pStyle w:val="Footer"/>
      <w:tabs>
        <w:tab w:val="clear" w:pos="432"/>
        <w:tab w:val="clear" w:pos="4320"/>
        <w:tab w:val="clear" w:pos="8640"/>
        <w:tab w:val="center" w:pos="4770"/>
        <w:tab w:val="right" w:pos="9360"/>
      </w:tabs>
      <w:spacing w:before="120"/>
      <w:ind w:firstLine="0"/>
      <w:rPr>
        <w:rStyle w:val="PageNumber"/>
        <w:b/>
        <w:sz w:val="17"/>
      </w:rPr>
    </w:pPr>
    <w:r>
      <w:tab/>
    </w:r>
    <w:r w:rsidR="0055700C">
      <w:rPr>
        <w:rStyle w:val="PageNumber"/>
      </w:rPr>
      <w:fldChar w:fldCharType="begin"/>
    </w:r>
    <w:r>
      <w:rPr>
        <w:rStyle w:val="PageNumber"/>
      </w:rPr>
      <w:instrText xml:space="preserve"> PAGE </w:instrText>
    </w:r>
    <w:r w:rsidR="0055700C">
      <w:rPr>
        <w:rStyle w:val="PageNumber"/>
      </w:rPr>
      <w:fldChar w:fldCharType="separate"/>
    </w:r>
    <w:r w:rsidR="00330DC3">
      <w:rPr>
        <w:rStyle w:val="PageNumber"/>
        <w:noProof/>
      </w:rPr>
      <w:t>3</w:t>
    </w:r>
    <w:r w:rsidR="0055700C">
      <w:rPr>
        <w:rStyle w:val="PageNumber"/>
      </w:rPr>
      <w:fldChar w:fldCharType="end"/>
    </w:r>
    <w:r>
      <w:rPr>
        <w:rStyle w:val="PageNumber"/>
      </w:rPr>
      <w:tab/>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3AF" w:rsidRDefault="00FC23AF" w:rsidP="00012863">
    <w:pPr>
      <w:pStyle w:val="Footer"/>
      <w:tabs>
        <w:tab w:val="clear" w:pos="432"/>
        <w:tab w:val="clear" w:pos="4320"/>
        <w:tab w:val="clear" w:pos="8640"/>
        <w:tab w:val="center" w:pos="4770"/>
        <w:tab w:val="right" w:pos="9360"/>
      </w:tabs>
      <w:spacing w:before="120"/>
      <w:ind w:firstLine="0"/>
      <w:rPr>
        <w:rStyle w:val="PageNumber"/>
        <w:b/>
        <w:sz w:val="17"/>
      </w:rPr>
    </w:pPr>
    <w:r>
      <w:tab/>
    </w:r>
    <w:r w:rsidR="0055700C">
      <w:rPr>
        <w:rStyle w:val="PageNumber"/>
      </w:rPr>
      <w:fldChar w:fldCharType="begin"/>
    </w:r>
    <w:r>
      <w:rPr>
        <w:rStyle w:val="PageNumber"/>
      </w:rPr>
      <w:instrText xml:space="preserve"> PAGE </w:instrText>
    </w:r>
    <w:r w:rsidR="0055700C">
      <w:rPr>
        <w:rStyle w:val="PageNumber"/>
      </w:rPr>
      <w:fldChar w:fldCharType="separate"/>
    </w:r>
    <w:r w:rsidR="00330DC3">
      <w:rPr>
        <w:rStyle w:val="PageNumber"/>
        <w:noProof/>
      </w:rPr>
      <w:t>12</w:t>
    </w:r>
    <w:r w:rsidR="0055700C">
      <w:rPr>
        <w:rStyle w:val="PageNumber"/>
      </w:rPr>
      <w:fldChar w:fldCharType="end"/>
    </w:r>
    <w:r>
      <w:rPr>
        <w:rStyle w:val="PageNumber"/>
      </w:rPr>
      <w:tab/>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3AF" w:rsidRDefault="00FC23AF" w:rsidP="00954821">
    <w:pPr>
      <w:pStyle w:val="Footer"/>
      <w:tabs>
        <w:tab w:val="clear" w:pos="432"/>
        <w:tab w:val="clear" w:pos="4320"/>
        <w:tab w:val="clear" w:pos="8640"/>
        <w:tab w:val="center" w:pos="4770"/>
        <w:tab w:val="right" w:pos="9360"/>
      </w:tabs>
      <w:spacing w:before="120"/>
      <w:ind w:firstLine="0"/>
      <w:rPr>
        <w:rStyle w:val="PageNumber"/>
        <w:b/>
        <w:sz w:val="17"/>
      </w:rPr>
    </w:pPr>
    <w:r>
      <w:tab/>
    </w:r>
    <w:r w:rsidR="0055700C">
      <w:rPr>
        <w:rStyle w:val="PageNumber"/>
      </w:rPr>
      <w:fldChar w:fldCharType="begin"/>
    </w:r>
    <w:r>
      <w:rPr>
        <w:rStyle w:val="PageNumber"/>
      </w:rPr>
      <w:instrText xml:space="preserve"> PAGE </w:instrText>
    </w:r>
    <w:r w:rsidR="0055700C">
      <w:rPr>
        <w:rStyle w:val="PageNumber"/>
      </w:rPr>
      <w:fldChar w:fldCharType="separate"/>
    </w:r>
    <w:r w:rsidR="00330DC3">
      <w:rPr>
        <w:rStyle w:val="PageNumber"/>
        <w:noProof/>
      </w:rPr>
      <w:t>25</w:t>
    </w:r>
    <w:r w:rsidR="0055700C">
      <w:rPr>
        <w:rStyle w:val="PageNumber"/>
      </w:rPr>
      <w:fldChar w:fldCharType="end"/>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23AF" w:rsidRDefault="00FC23AF">
      <w:pPr>
        <w:spacing w:line="240" w:lineRule="auto"/>
        <w:ind w:firstLine="0"/>
      </w:pPr>
      <w:r>
        <w:separator/>
      </w:r>
    </w:p>
  </w:footnote>
  <w:footnote w:type="continuationSeparator" w:id="0">
    <w:p w:rsidR="00FC23AF" w:rsidRDefault="00FC23AF">
      <w:pPr>
        <w:spacing w:line="240" w:lineRule="auto"/>
        <w:ind w:firstLine="0"/>
      </w:pPr>
      <w:r>
        <w:separator/>
      </w:r>
    </w:p>
    <w:p w:rsidR="00FC23AF" w:rsidRDefault="00FC23AF">
      <w:pPr>
        <w:spacing w:line="240" w:lineRule="auto"/>
        <w:ind w:firstLine="0"/>
        <w:rPr>
          <w:i/>
        </w:rPr>
      </w:pPr>
      <w:r>
        <w:rPr>
          <w:i/>
        </w:rPr>
        <w:t>(continued)</w:t>
      </w:r>
    </w:p>
  </w:footnote>
  <w:footnote w:type="continuationNotice" w:id="1">
    <w:p w:rsidR="00FC23AF" w:rsidRDefault="00FC23AF">
      <w:pPr>
        <w:pStyle w:val="Footer"/>
      </w:pPr>
    </w:p>
  </w:footnote>
  <w:footnote w:id="2">
    <w:p w:rsidR="00FC23AF" w:rsidRDefault="00FC23AF" w:rsidP="00F415D4">
      <w:pPr>
        <w:pStyle w:val="FootnoteText"/>
      </w:pPr>
      <w:r>
        <w:rPr>
          <w:rStyle w:val="FootnoteReference"/>
        </w:rPr>
        <w:footnoteRef/>
      </w:r>
      <w:r>
        <w:t xml:space="preserve"> A third round of RTT grants will be awarded using funds appropriated in 2011. The fiscal year 2011 appropriation act also authorizes the Secretary to use RTT funds for grants to States for improving early childhood care and education.</w:t>
      </w:r>
    </w:p>
  </w:footnote>
  <w:footnote w:id="3">
    <w:p w:rsidR="00FC23AF" w:rsidRDefault="00FC23AF" w:rsidP="00FC23AF">
      <w:pPr>
        <w:pStyle w:val="FootnoteText"/>
      </w:pPr>
      <w:r>
        <w:rPr>
          <w:rStyle w:val="FootnoteReference"/>
        </w:rPr>
        <w:footnoteRef/>
      </w:r>
      <w:r>
        <w:t xml:space="preserve"> Because of</w:t>
      </w:r>
      <w:r w:rsidRPr="00E8479E">
        <w:t xml:space="preserve"> </w:t>
      </w:r>
      <w:r>
        <w:t>ED’s</w:t>
      </w:r>
      <w:r w:rsidRPr="00E8479E">
        <w:t xml:space="preserve"> interest in the effects of the </w:t>
      </w:r>
      <w:r>
        <w:t>“</w:t>
      </w:r>
      <w:r w:rsidRPr="00E8479E">
        <w:t>restart</w:t>
      </w:r>
      <w:r>
        <w:t xml:space="preserve">” school </w:t>
      </w:r>
      <w:r w:rsidRPr="00E8479E">
        <w:t xml:space="preserve">turnaround model, </w:t>
      </w:r>
      <w:r>
        <w:t xml:space="preserve">the STM sample will also include the approximately 30 schools </w:t>
      </w:r>
      <w:r w:rsidRPr="00E8479E">
        <w:t>implementing that model</w:t>
      </w:r>
      <w:r>
        <w:t>.</w:t>
      </w:r>
    </w:p>
  </w:footnote>
  <w:footnote w:id="4">
    <w:p w:rsidR="00FC23AF" w:rsidRDefault="00FC23AF" w:rsidP="00CC5CE3">
      <w:pPr>
        <w:pStyle w:val="FootnoteText"/>
      </w:pPr>
      <w:r>
        <w:rPr>
          <w:rStyle w:val="FootnoteReference"/>
        </w:rPr>
        <w:footnoteRef/>
      </w:r>
      <w:r>
        <w:t xml:space="preserve"> We frame this discussion in terms of NAEP scores, but the same methods will be used for other outcomes. </w:t>
      </w:r>
    </w:p>
  </w:footnote>
  <w:footnote w:id="5">
    <w:p w:rsidR="00FC23AF" w:rsidRDefault="00FC23AF">
      <w:pPr>
        <w:pStyle w:val="FootnoteText"/>
      </w:pPr>
      <w:r>
        <w:rPr>
          <w:rStyle w:val="FootnoteReference"/>
        </w:rPr>
        <w:footnoteRef/>
      </w:r>
      <w:r>
        <w:t xml:space="preserve"> Due to the relatively small number of states involved in this estimation and the potential for subjectivity in scoring RTT applications, this RDD approach will not have the same level of rigor as that used to estimate impacts of STMs. For example, we do not anticipate that findings based on this RDD analysis would meet WWC standards. However, even a simplified RDD approach will provide a more valid comparison than an approach that compares the average RTT state to the average non-RTT state, since the RDD approach does at least adjust for the RTT application score. </w:t>
      </w:r>
    </w:p>
  </w:footnote>
  <w:footnote w:id="6">
    <w:p w:rsidR="00FC23AF" w:rsidRDefault="00FC23AF" w:rsidP="00D02F4A">
      <w:pPr>
        <w:pStyle w:val="FootnoteText"/>
      </w:pPr>
      <w:r>
        <w:rPr>
          <w:rStyle w:val="FootnoteReference"/>
        </w:rPr>
        <w:footnoteRef/>
      </w:r>
      <w:r>
        <w:t xml:space="preserve"> An individual student’s test score is converted into a z-score by subtracting from the student’s score the statewide mean score and then dividing by the statewide standard deviation.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3AF" w:rsidRPr="000A4439" w:rsidRDefault="00FC23AF" w:rsidP="006C5B99">
    <w:pPr>
      <w:pStyle w:val="Header"/>
      <w:rPr>
        <w:szCs w:val="22"/>
      </w:rPr>
    </w:pPr>
    <w:r>
      <w:rPr>
        <w:szCs w:val="22"/>
      </w:rPr>
      <w:t>Contract Number: ED-IES-10-C-0077</w:t>
    </w:r>
    <w:r w:rsidRPr="000A4439">
      <w:rPr>
        <w:szCs w:val="22"/>
      </w:rPr>
      <w:tab/>
    </w:r>
    <w:r w:rsidRPr="000A4439">
      <w:rPr>
        <w:szCs w:val="22"/>
      </w:rPr>
      <w:tab/>
      <w:t>Mathematica Policy Research</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3AF" w:rsidRPr="00891D02" w:rsidRDefault="00FC23AF" w:rsidP="00891D02">
    <w:pPr>
      <w:pStyle w:val="Header"/>
      <w:rPr>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3AF" w:rsidRPr="00891D02" w:rsidRDefault="00FC23AF" w:rsidP="00891D02">
    <w:pPr>
      <w:pStyle w:val="Header"/>
      <w:rPr>
        <w:szCs w:val="22"/>
      </w:rPr>
    </w:pPr>
    <w:r>
      <w:rPr>
        <w:szCs w:val="22"/>
      </w:rPr>
      <w:t>Contract Number: ED-IES-10-C-0077</w:t>
    </w:r>
    <w:r w:rsidRPr="000A4439">
      <w:rPr>
        <w:szCs w:val="22"/>
      </w:rPr>
      <w:tab/>
    </w:r>
    <w:r w:rsidRPr="000A4439">
      <w:rPr>
        <w:szCs w:val="22"/>
      </w:rPr>
      <w:tab/>
      <w:t>Mathematica Policy Research</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3AF" w:rsidRPr="00532BEE" w:rsidRDefault="00FC23AF" w:rsidP="00532BEE">
    <w:pPr>
      <w:pStyle w:val="Header"/>
      <w:rPr>
        <w:szCs w:val="2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3AF" w:rsidRPr="00532BEE" w:rsidRDefault="00FC23AF" w:rsidP="00532BEE">
    <w:pPr>
      <w:pStyle w:val="Header"/>
      <w:rPr>
        <w:szCs w:val="22"/>
      </w:rPr>
    </w:pPr>
    <w:r>
      <w:rPr>
        <w:szCs w:val="22"/>
      </w:rPr>
      <w:t>Contract Number: ED-IES-10-C-0077</w:t>
    </w:r>
    <w:r w:rsidRPr="000A4439">
      <w:rPr>
        <w:szCs w:val="22"/>
      </w:rPr>
      <w:tab/>
    </w:r>
    <w:r w:rsidRPr="000A4439">
      <w:rPr>
        <w:szCs w:val="22"/>
      </w:rPr>
      <w:tab/>
      <w:t>Mathematica Policy Research</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3AF" w:rsidRPr="000A4439" w:rsidRDefault="00FC23AF" w:rsidP="00E54352">
    <w:pPr>
      <w:pStyle w:val="Header"/>
      <w:rPr>
        <w:szCs w:val="22"/>
      </w:rPr>
    </w:pPr>
    <w:r>
      <w:rPr>
        <w:szCs w:val="22"/>
      </w:rPr>
      <w:t>Contract Number: ED-IES-10-C-0077</w:t>
    </w:r>
    <w:r w:rsidRPr="000A4439">
      <w:rPr>
        <w:szCs w:val="22"/>
      </w:rPr>
      <w:tab/>
    </w:r>
    <w:r w:rsidRPr="000A4439">
      <w:rPr>
        <w:szCs w:val="22"/>
      </w:rPr>
      <w:tab/>
      <w:t>Mathematica Policy Research</w:t>
    </w:r>
  </w:p>
  <w:p w:rsidR="00FC23AF" w:rsidRPr="00532BEE" w:rsidRDefault="00FC23AF" w:rsidP="00E54352">
    <w:pPr>
      <w:pStyle w:val="Header"/>
      <w:rPr>
        <w:szCs w:val="22"/>
      </w:rPr>
    </w:pPr>
  </w:p>
  <w:p w:rsidR="00FC23AF" w:rsidRPr="00EE47AD" w:rsidRDefault="00FC23AF" w:rsidP="00EE47AD">
    <w:pPr>
      <w:pStyle w:val="Header"/>
      <w:rPr>
        <w:szCs w:val="2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3AF" w:rsidRPr="00532BEE" w:rsidRDefault="00FC23AF" w:rsidP="00E54352">
    <w:pPr>
      <w:pStyle w:val="Header"/>
      <w:rPr>
        <w:szCs w:val="22"/>
      </w:rPr>
    </w:pPr>
  </w:p>
  <w:p w:rsidR="00FC23AF" w:rsidRPr="00EE47AD" w:rsidRDefault="00FC23AF" w:rsidP="00EE47AD">
    <w:pPr>
      <w:pStyle w:val="Header"/>
      <w:rPr>
        <w:szCs w:val="2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3AF" w:rsidRPr="000A4439" w:rsidRDefault="00FC23AF" w:rsidP="006C5B99">
    <w:pPr>
      <w:pStyle w:val="Header"/>
      <w:rPr>
        <w:szCs w:val="22"/>
      </w:rPr>
    </w:pPr>
    <w:r w:rsidRPr="000A4439">
      <w:rPr>
        <w:szCs w:val="22"/>
      </w:rPr>
      <w:tab/>
    </w:r>
    <w:r w:rsidRPr="000A4439">
      <w:rPr>
        <w:szCs w:val="2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C0F0A"/>
    <w:multiLevelType w:val="multilevel"/>
    <w:tmpl w:val="1EAE3F5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1800"/>
        </w:tabs>
        <w:ind w:left="1800" w:hanging="360"/>
      </w:pPr>
      <w:rPr>
        <w:rFont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A491226"/>
    <w:multiLevelType w:val="hybridMultilevel"/>
    <w:tmpl w:val="3EC80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042066"/>
    <w:multiLevelType w:val="hybridMultilevel"/>
    <w:tmpl w:val="497A55DC"/>
    <w:lvl w:ilvl="0" w:tplc="04090015">
      <w:start w:val="1"/>
      <w:numFmt w:val="upperLetter"/>
      <w:lvlText w:val="%1."/>
      <w:lvlJc w:val="left"/>
      <w:pPr>
        <w:tabs>
          <w:tab w:val="num" w:pos="1224"/>
        </w:tabs>
        <w:ind w:left="1224" w:hanging="360"/>
      </w:pPr>
    </w:lvl>
    <w:lvl w:ilvl="1" w:tplc="04090019">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41F785B"/>
    <w:multiLevelType w:val="hybridMultilevel"/>
    <w:tmpl w:val="4FDAF2C6"/>
    <w:lvl w:ilvl="0" w:tplc="04090001">
      <w:start w:val="1"/>
      <w:numFmt w:val="bullet"/>
      <w:lvlText w:val=""/>
      <w:lvlJc w:val="left"/>
      <w:pPr>
        <w:ind w:left="2803" w:hanging="360"/>
      </w:pPr>
      <w:rPr>
        <w:rFonts w:ascii="Symbol" w:hAnsi="Symbol" w:hint="default"/>
      </w:rPr>
    </w:lvl>
    <w:lvl w:ilvl="1" w:tplc="04090003" w:tentative="1">
      <w:start w:val="1"/>
      <w:numFmt w:val="bullet"/>
      <w:lvlText w:val="o"/>
      <w:lvlJc w:val="left"/>
      <w:pPr>
        <w:ind w:left="3523" w:hanging="360"/>
      </w:pPr>
      <w:rPr>
        <w:rFonts w:ascii="Courier New" w:hAnsi="Courier New" w:cs="Courier New" w:hint="default"/>
      </w:rPr>
    </w:lvl>
    <w:lvl w:ilvl="2" w:tplc="04090005" w:tentative="1">
      <w:start w:val="1"/>
      <w:numFmt w:val="bullet"/>
      <w:lvlText w:val=""/>
      <w:lvlJc w:val="left"/>
      <w:pPr>
        <w:ind w:left="4243" w:hanging="360"/>
      </w:pPr>
      <w:rPr>
        <w:rFonts w:ascii="Wingdings" w:hAnsi="Wingdings" w:hint="default"/>
      </w:rPr>
    </w:lvl>
    <w:lvl w:ilvl="3" w:tplc="04090001" w:tentative="1">
      <w:start w:val="1"/>
      <w:numFmt w:val="bullet"/>
      <w:lvlText w:val=""/>
      <w:lvlJc w:val="left"/>
      <w:pPr>
        <w:ind w:left="4963" w:hanging="360"/>
      </w:pPr>
      <w:rPr>
        <w:rFonts w:ascii="Symbol" w:hAnsi="Symbol" w:hint="default"/>
      </w:rPr>
    </w:lvl>
    <w:lvl w:ilvl="4" w:tplc="04090003" w:tentative="1">
      <w:start w:val="1"/>
      <w:numFmt w:val="bullet"/>
      <w:lvlText w:val="o"/>
      <w:lvlJc w:val="left"/>
      <w:pPr>
        <w:ind w:left="5683" w:hanging="360"/>
      </w:pPr>
      <w:rPr>
        <w:rFonts w:ascii="Courier New" w:hAnsi="Courier New" w:cs="Courier New" w:hint="default"/>
      </w:rPr>
    </w:lvl>
    <w:lvl w:ilvl="5" w:tplc="04090005" w:tentative="1">
      <w:start w:val="1"/>
      <w:numFmt w:val="bullet"/>
      <w:lvlText w:val=""/>
      <w:lvlJc w:val="left"/>
      <w:pPr>
        <w:ind w:left="6403" w:hanging="360"/>
      </w:pPr>
      <w:rPr>
        <w:rFonts w:ascii="Wingdings" w:hAnsi="Wingdings" w:hint="default"/>
      </w:rPr>
    </w:lvl>
    <w:lvl w:ilvl="6" w:tplc="04090001" w:tentative="1">
      <w:start w:val="1"/>
      <w:numFmt w:val="bullet"/>
      <w:lvlText w:val=""/>
      <w:lvlJc w:val="left"/>
      <w:pPr>
        <w:ind w:left="7123" w:hanging="360"/>
      </w:pPr>
      <w:rPr>
        <w:rFonts w:ascii="Symbol" w:hAnsi="Symbol" w:hint="default"/>
      </w:rPr>
    </w:lvl>
    <w:lvl w:ilvl="7" w:tplc="04090003" w:tentative="1">
      <w:start w:val="1"/>
      <w:numFmt w:val="bullet"/>
      <w:lvlText w:val="o"/>
      <w:lvlJc w:val="left"/>
      <w:pPr>
        <w:ind w:left="7843" w:hanging="360"/>
      </w:pPr>
      <w:rPr>
        <w:rFonts w:ascii="Courier New" w:hAnsi="Courier New" w:cs="Courier New" w:hint="default"/>
      </w:rPr>
    </w:lvl>
    <w:lvl w:ilvl="8" w:tplc="04090005" w:tentative="1">
      <w:start w:val="1"/>
      <w:numFmt w:val="bullet"/>
      <w:lvlText w:val=""/>
      <w:lvlJc w:val="left"/>
      <w:pPr>
        <w:ind w:left="8563" w:hanging="360"/>
      </w:pPr>
      <w:rPr>
        <w:rFonts w:ascii="Wingdings" w:hAnsi="Wingdings" w:hint="default"/>
      </w:rPr>
    </w:lvl>
  </w:abstractNum>
  <w:abstractNum w:abstractNumId="10">
    <w:nsid w:val="24813439"/>
    <w:multiLevelType w:val="hybridMultilevel"/>
    <w:tmpl w:val="524484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BB61D5"/>
    <w:multiLevelType w:val="hybridMultilevel"/>
    <w:tmpl w:val="ABB24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DB745D"/>
    <w:multiLevelType w:val="multilevel"/>
    <w:tmpl w:val="1EAE3F5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1800"/>
        </w:tabs>
        <w:ind w:left="1800" w:hanging="360"/>
      </w:pPr>
      <w:rPr>
        <w:rFont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A1B7E9E"/>
    <w:multiLevelType w:val="hybridMultilevel"/>
    <w:tmpl w:val="8D3CD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4B4181"/>
    <w:multiLevelType w:val="multilevel"/>
    <w:tmpl w:val="1EAE3F5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1800"/>
        </w:tabs>
        <w:ind w:left="1800" w:hanging="360"/>
      </w:pPr>
      <w:rPr>
        <w:rFont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2D99044B"/>
    <w:multiLevelType w:val="hybridMultilevel"/>
    <w:tmpl w:val="AD2C08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137868"/>
    <w:multiLevelType w:val="hybridMultilevel"/>
    <w:tmpl w:val="7E4470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323290"/>
    <w:multiLevelType w:val="hybridMultilevel"/>
    <w:tmpl w:val="5236516A"/>
    <w:lvl w:ilvl="0" w:tplc="B0ECC774">
      <w:start w:val="1"/>
      <w:numFmt w:val="upp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6931B3"/>
    <w:multiLevelType w:val="hybridMultilevel"/>
    <w:tmpl w:val="B0CC22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2B16FC"/>
    <w:multiLevelType w:val="singleLevel"/>
    <w:tmpl w:val="98D46B0A"/>
    <w:lvl w:ilvl="0">
      <w:start w:val="1"/>
      <w:numFmt w:val="bullet"/>
      <w:lvlText w:val=""/>
      <w:lvlJc w:val="left"/>
      <w:pPr>
        <w:tabs>
          <w:tab w:val="num" w:pos="720"/>
        </w:tabs>
        <w:ind w:left="720" w:hanging="360"/>
      </w:pPr>
      <w:rPr>
        <w:rFonts w:ascii="Symbol" w:hAnsi="Symbol" w:hint="default"/>
      </w:rPr>
    </w:lvl>
  </w:abstractNum>
  <w:abstractNum w:abstractNumId="2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1">
    <w:nsid w:val="4DA041CF"/>
    <w:multiLevelType w:val="hybridMultilevel"/>
    <w:tmpl w:val="BB8EC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63B151CE"/>
    <w:multiLevelType w:val="hybridMultilevel"/>
    <w:tmpl w:val="195A0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7">
    <w:nsid w:val="6B166FD6"/>
    <w:multiLevelType w:val="hybridMultilevel"/>
    <w:tmpl w:val="1974CB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nsid w:val="7DF455C3"/>
    <w:multiLevelType w:val="hybridMultilevel"/>
    <w:tmpl w:val="C4C06E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8"/>
  </w:num>
  <w:num w:numId="3">
    <w:abstractNumId w:val="4"/>
  </w:num>
  <w:num w:numId="4">
    <w:abstractNumId w:val="7"/>
  </w:num>
  <w:num w:numId="5">
    <w:abstractNumId w:val="8"/>
  </w:num>
  <w:num w:numId="6">
    <w:abstractNumId w:val="2"/>
  </w:num>
  <w:num w:numId="7">
    <w:abstractNumId w:val="25"/>
  </w:num>
  <w:num w:numId="8">
    <w:abstractNumId w:val="3"/>
  </w:num>
  <w:num w:numId="9">
    <w:abstractNumId w:val="22"/>
  </w:num>
  <w:num w:numId="10">
    <w:abstractNumId w:val="26"/>
  </w:num>
  <w:num w:numId="11">
    <w:abstractNumId w:val="27"/>
  </w:num>
  <w:num w:numId="12">
    <w:abstractNumId w:val="23"/>
  </w:num>
  <w:num w:numId="13">
    <w:abstractNumId w:val="13"/>
  </w:num>
  <w:num w:numId="14">
    <w:abstractNumId w:val="29"/>
  </w:num>
  <w:num w:numId="15">
    <w:abstractNumId w:val="10"/>
  </w:num>
  <w:num w:numId="16">
    <w:abstractNumId w:val="15"/>
  </w:num>
  <w:num w:numId="17">
    <w:abstractNumId w:val="18"/>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0"/>
  </w:num>
  <w:num w:numId="28">
    <w:abstractNumId w:val="14"/>
  </w:num>
  <w:num w:numId="29">
    <w:abstractNumId w:val="12"/>
  </w:num>
  <w:num w:numId="30">
    <w:abstractNumId w:val="6"/>
  </w:num>
  <w:num w:numId="31">
    <w:abstractNumId w:val="1"/>
  </w:num>
  <w:num w:numId="32">
    <w:abstractNumId w:val="20"/>
    <w:lvlOverride w:ilvl="0">
      <w:startOverride w:val="1"/>
    </w:lvlOverride>
  </w:num>
  <w:num w:numId="33">
    <w:abstractNumId w:val="20"/>
    <w:lvlOverride w:ilvl="0">
      <w:startOverride w:val="1"/>
    </w:lvlOverride>
  </w:num>
  <w:num w:numId="34">
    <w:abstractNumId w:val="20"/>
    <w:lvlOverride w:ilvl="0">
      <w:startOverride w:val="1"/>
    </w:lvlOverride>
  </w:num>
  <w:num w:numId="35">
    <w:abstractNumId w:val="20"/>
    <w:lvlOverride w:ilvl="0">
      <w:startOverride w:val="1"/>
    </w:lvlOverride>
  </w:num>
  <w:num w:numId="36">
    <w:abstractNumId w:val="20"/>
    <w:lvlOverride w:ilvl="0">
      <w:startOverride w:val="1"/>
    </w:lvlOverride>
  </w:num>
  <w:num w:numId="37">
    <w:abstractNumId w:val="20"/>
    <w:lvlOverride w:ilvl="0">
      <w:startOverride w:val="1"/>
    </w:lvlOverride>
  </w:num>
  <w:num w:numId="38">
    <w:abstractNumId w:val="20"/>
    <w:lvlOverride w:ilvl="0">
      <w:startOverride w:val="1"/>
    </w:lvlOverride>
  </w:num>
  <w:num w:numId="39">
    <w:abstractNumId w:val="20"/>
    <w:lvlOverride w:ilvl="0">
      <w:startOverride w:val="1"/>
    </w:lvlOverride>
  </w:num>
  <w:num w:numId="40">
    <w:abstractNumId w:val="19"/>
  </w:num>
  <w:num w:numId="41">
    <w:abstractNumId w:val="17"/>
  </w:num>
  <w:num w:numId="42">
    <w:abstractNumId w:val="21"/>
  </w:num>
  <w:num w:numId="43">
    <w:abstractNumId w:val="5"/>
  </w:num>
  <w:num w:numId="44">
    <w:abstractNumId w:val="11"/>
  </w:num>
  <w:num w:numId="45">
    <w:abstractNumId w:val="16"/>
  </w:num>
  <w:num w:numId="46">
    <w:abstractNumId w:val="24"/>
  </w:num>
  <w:num w:numId="47">
    <w:abstractNumId w:val="9"/>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activeWritingStyle w:appName="MSWord" w:lang="es-ES_tradnl" w:vendorID="64" w:dllVersion="131078" w:nlCheck="1" w:checkStyle="1"/>
  <w:proofState w:spelling="clean"/>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1441"/>
  </w:hdrShapeDefaults>
  <w:footnotePr>
    <w:footnote w:id="-1"/>
    <w:footnote w:id="0"/>
    <w:footnote w:id="1"/>
  </w:footnotePr>
  <w:endnotePr>
    <w:numFmt w:val="decimal"/>
    <w:endnote w:id="-1"/>
    <w:endnote w:id="0"/>
    <w:endnote w:id="1"/>
  </w:endnotePr>
  <w:compat>
    <w:doNotUseHTMLParagraphAutoSpacing/>
  </w:compat>
  <w:rsids>
    <w:rsidRoot w:val="00667D44"/>
    <w:rsid w:val="000015FB"/>
    <w:rsid w:val="00002152"/>
    <w:rsid w:val="00003881"/>
    <w:rsid w:val="00006C52"/>
    <w:rsid w:val="00006E1F"/>
    <w:rsid w:val="00007CA0"/>
    <w:rsid w:val="0001191F"/>
    <w:rsid w:val="00012372"/>
    <w:rsid w:val="00012656"/>
    <w:rsid w:val="00012863"/>
    <w:rsid w:val="00017DD1"/>
    <w:rsid w:val="00021A62"/>
    <w:rsid w:val="0002621E"/>
    <w:rsid w:val="000263FB"/>
    <w:rsid w:val="00027A97"/>
    <w:rsid w:val="000300AF"/>
    <w:rsid w:val="000319AD"/>
    <w:rsid w:val="00032C7B"/>
    <w:rsid w:val="00035864"/>
    <w:rsid w:val="00036E21"/>
    <w:rsid w:val="00037098"/>
    <w:rsid w:val="00040AAB"/>
    <w:rsid w:val="00045D52"/>
    <w:rsid w:val="00046CA3"/>
    <w:rsid w:val="00046E51"/>
    <w:rsid w:val="00050412"/>
    <w:rsid w:val="0005074A"/>
    <w:rsid w:val="00052499"/>
    <w:rsid w:val="0005359B"/>
    <w:rsid w:val="00053968"/>
    <w:rsid w:val="00053A3B"/>
    <w:rsid w:val="00055286"/>
    <w:rsid w:val="00056544"/>
    <w:rsid w:val="00063123"/>
    <w:rsid w:val="00063FEF"/>
    <w:rsid w:val="00065B6F"/>
    <w:rsid w:val="00066AB9"/>
    <w:rsid w:val="0007126E"/>
    <w:rsid w:val="00072DB3"/>
    <w:rsid w:val="0007375D"/>
    <w:rsid w:val="00075DED"/>
    <w:rsid w:val="000769A1"/>
    <w:rsid w:val="00076CF0"/>
    <w:rsid w:val="00080DFA"/>
    <w:rsid w:val="000812AE"/>
    <w:rsid w:val="00081D47"/>
    <w:rsid w:val="00082D45"/>
    <w:rsid w:val="000833A8"/>
    <w:rsid w:val="000851D4"/>
    <w:rsid w:val="00087338"/>
    <w:rsid w:val="0008769A"/>
    <w:rsid w:val="00090529"/>
    <w:rsid w:val="000909EE"/>
    <w:rsid w:val="000925D0"/>
    <w:rsid w:val="0009586C"/>
    <w:rsid w:val="00095E32"/>
    <w:rsid w:val="00097FB5"/>
    <w:rsid w:val="000A2C3D"/>
    <w:rsid w:val="000A3477"/>
    <w:rsid w:val="000A3878"/>
    <w:rsid w:val="000A4439"/>
    <w:rsid w:val="000A544F"/>
    <w:rsid w:val="000A664A"/>
    <w:rsid w:val="000B1B80"/>
    <w:rsid w:val="000B2BD0"/>
    <w:rsid w:val="000B2D3E"/>
    <w:rsid w:val="000B3A77"/>
    <w:rsid w:val="000B5A73"/>
    <w:rsid w:val="000B6C31"/>
    <w:rsid w:val="000B7E70"/>
    <w:rsid w:val="000C0118"/>
    <w:rsid w:val="000C15B4"/>
    <w:rsid w:val="000C70DC"/>
    <w:rsid w:val="000C72F8"/>
    <w:rsid w:val="000D0E6F"/>
    <w:rsid w:val="000D2409"/>
    <w:rsid w:val="000D25C4"/>
    <w:rsid w:val="000D2690"/>
    <w:rsid w:val="000D709F"/>
    <w:rsid w:val="000D79C3"/>
    <w:rsid w:val="000D7A31"/>
    <w:rsid w:val="000E06E2"/>
    <w:rsid w:val="000E1D9E"/>
    <w:rsid w:val="000E453B"/>
    <w:rsid w:val="000E5DD7"/>
    <w:rsid w:val="000E6D11"/>
    <w:rsid w:val="000F79B9"/>
    <w:rsid w:val="00101E7F"/>
    <w:rsid w:val="00101FBD"/>
    <w:rsid w:val="0010212D"/>
    <w:rsid w:val="00104AC7"/>
    <w:rsid w:val="00105D23"/>
    <w:rsid w:val="0010710B"/>
    <w:rsid w:val="001073C9"/>
    <w:rsid w:val="001109AF"/>
    <w:rsid w:val="001150FB"/>
    <w:rsid w:val="00116E39"/>
    <w:rsid w:val="00120F50"/>
    <w:rsid w:val="00123DF8"/>
    <w:rsid w:val="00124F0C"/>
    <w:rsid w:val="00130424"/>
    <w:rsid w:val="0013112E"/>
    <w:rsid w:val="001312B9"/>
    <w:rsid w:val="0013282C"/>
    <w:rsid w:val="00132E2F"/>
    <w:rsid w:val="00133366"/>
    <w:rsid w:val="00135AF5"/>
    <w:rsid w:val="00141646"/>
    <w:rsid w:val="00141705"/>
    <w:rsid w:val="00141A0B"/>
    <w:rsid w:val="001425AF"/>
    <w:rsid w:val="001426E8"/>
    <w:rsid w:val="00142AE3"/>
    <w:rsid w:val="001435D4"/>
    <w:rsid w:val="001438DB"/>
    <w:rsid w:val="00144DA7"/>
    <w:rsid w:val="001451F1"/>
    <w:rsid w:val="00145CE2"/>
    <w:rsid w:val="00150FCE"/>
    <w:rsid w:val="0015127C"/>
    <w:rsid w:val="00154198"/>
    <w:rsid w:val="00160306"/>
    <w:rsid w:val="00160E09"/>
    <w:rsid w:val="00161D82"/>
    <w:rsid w:val="00162191"/>
    <w:rsid w:val="001625E9"/>
    <w:rsid w:val="001645C2"/>
    <w:rsid w:val="00164A37"/>
    <w:rsid w:val="00170893"/>
    <w:rsid w:val="00170EB7"/>
    <w:rsid w:val="0017185C"/>
    <w:rsid w:val="001726CA"/>
    <w:rsid w:val="0017467A"/>
    <w:rsid w:val="00175EC2"/>
    <w:rsid w:val="00177C54"/>
    <w:rsid w:val="00181F53"/>
    <w:rsid w:val="00183A9F"/>
    <w:rsid w:val="0018564C"/>
    <w:rsid w:val="001902A4"/>
    <w:rsid w:val="001933B1"/>
    <w:rsid w:val="00195AC8"/>
    <w:rsid w:val="001A07D4"/>
    <w:rsid w:val="001A3603"/>
    <w:rsid w:val="001A4A59"/>
    <w:rsid w:val="001A51B5"/>
    <w:rsid w:val="001A54DB"/>
    <w:rsid w:val="001A5A00"/>
    <w:rsid w:val="001A7BFD"/>
    <w:rsid w:val="001B360E"/>
    <w:rsid w:val="001C0741"/>
    <w:rsid w:val="001C2416"/>
    <w:rsid w:val="001C34D0"/>
    <w:rsid w:val="001C4529"/>
    <w:rsid w:val="001C6D08"/>
    <w:rsid w:val="001D247C"/>
    <w:rsid w:val="001D3C41"/>
    <w:rsid w:val="001D4CBB"/>
    <w:rsid w:val="001D634E"/>
    <w:rsid w:val="001E0A0E"/>
    <w:rsid w:val="001E0AB2"/>
    <w:rsid w:val="001E2AA8"/>
    <w:rsid w:val="001E3F65"/>
    <w:rsid w:val="001E466A"/>
    <w:rsid w:val="001E4BF2"/>
    <w:rsid w:val="001E6369"/>
    <w:rsid w:val="001E7A5F"/>
    <w:rsid w:val="001F0D10"/>
    <w:rsid w:val="001F11F9"/>
    <w:rsid w:val="001F18E4"/>
    <w:rsid w:val="001F2E55"/>
    <w:rsid w:val="001F5410"/>
    <w:rsid w:val="001F59C7"/>
    <w:rsid w:val="001F5B67"/>
    <w:rsid w:val="00200B10"/>
    <w:rsid w:val="00204243"/>
    <w:rsid w:val="002043FF"/>
    <w:rsid w:val="002053F3"/>
    <w:rsid w:val="00210471"/>
    <w:rsid w:val="0021157B"/>
    <w:rsid w:val="00213319"/>
    <w:rsid w:val="00214491"/>
    <w:rsid w:val="00215801"/>
    <w:rsid w:val="00217D85"/>
    <w:rsid w:val="00220114"/>
    <w:rsid w:val="0022402B"/>
    <w:rsid w:val="00225D57"/>
    <w:rsid w:val="00227ADF"/>
    <w:rsid w:val="00234225"/>
    <w:rsid w:val="00236122"/>
    <w:rsid w:val="00240E25"/>
    <w:rsid w:val="00243909"/>
    <w:rsid w:val="00243DEE"/>
    <w:rsid w:val="00251493"/>
    <w:rsid w:val="0025182E"/>
    <w:rsid w:val="00260358"/>
    <w:rsid w:val="002611B2"/>
    <w:rsid w:val="002613D2"/>
    <w:rsid w:val="00262C8E"/>
    <w:rsid w:val="00264485"/>
    <w:rsid w:val="00264716"/>
    <w:rsid w:val="00267BC7"/>
    <w:rsid w:val="00267F6C"/>
    <w:rsid w:val="00271B2B"/>
    <w:rsid w:val="0027353F"/>
    <w:rsid w:val="0027374B"/>
    <w:rsid w:val="00273AB8"/>
    <w:rsid w:val="00273FF2"/>
    <w:rsid w:val="00280AB2"/>
    <w:rsid w:val="00281C08"/>
    <w:rsid w:val="00282FD0"/>
    <w:rsid w:val="00283090"/>
    <w:rsid w:val="00284557"/>
    <w:rsid w:val="002849EE"/>
    <w:rsid w:val="0028575B"/>
    <w:rsid w:val="0028722A"/>
    <w:rsid w:val="00287FD7"/>
    <w:rsid w:val="002921C5"/>
    <w:rsid w:val="002942FB"/>
    <w:rsid w:val="0029484F"/>
    <w:rsid w:val="00295009"/>
    <w:rsid w:val="002A0847"/>
    <w:rsid w:val="002A0EAA"/>
    <w:rsid w:val="002A1349"/>
    <w:rsid w:val="002A1ADA"/>
    <w:rsid w:val="002A25AB"/>
    <w:rsid w:val="002A28C9"/>
    <w:rsid w:val="002A6031"/>
    <w:rsid w:val="002A70E7"/>
    <w:rsid w:val="002A7359"/>
    <w:rsid w:val="002B1593"/>
    <w:rsid w:val="002B2A3A"/>
    <w:rsid w:val="002B564E"/>
    <w:rsid w:val="002B68A5"/>
    <w:rsid w:val="002C413C"/>
    <w:rsid w:val="002C4622"/>
    <w:rsid w:val="002C64E8"/>
    <w:rsid w:val="002C687D"/>
    <w:rsid w:val="002C7011"/>
    <w:rsid w:val="002C734A"/>
    <w:rsid w:val="002C7B8E"/>
    <w:rsid w:val="002D0A34"/>
    <w:rsid w:val="002D20EA"/>
    <w:rsid w:val="002D279D"/>
    <w:rsid w:val="002D2912"/>
    <w:rsid w:val="002D6799"/>
    <w:rsid w:val="002D6999"/>
    <w:rsid w:val="002E19F2"/>
    <w:rsid w:val="002E4D5C"/>
    <w:rsid w:val="002E556E"/>
    <w:rsid w:val="002E5878"/>
    <w:rsid w:val="002E6F39"/>
    <w:rsid w:val="002E7DB8"/>
    <w:rsid w:val="002F07DD"/>
    <w:rsid w:val="002F126C"/>
    <w:rsid w:val="002F1E71"/>
    <w:rsid w:val="002F25A2"/>
    <w:rsid w:val="002F42B4"/>
    <w:rsid w:val="002F4378"/>
    <w:rsid w:val="002F440B"/>
    <w:rsid w:val="002F6A88"/>
    <w:rsid w:val="002F71D4"/>
    <w:rsid w:val="002F7C83"/>
    <w:rsid w:val="00300CE3"/>
    <w:rsid w:val="0030154A"/>
    <w:rsid w:val="00303CF8"/>
    <w:rsid w:val="00304492"/>
    <w:rsid w:val="00304C42"/>
    <w:rsid w:val="00304E43"/>
    <w:rsid w:val="00306F42"/>
    <w:rsid w:val="0031306E"/>
    <w:rsid w:val="00313671"/>
    <w:rsid w:val="00313E69"/>
    <w:rsid w:val="003142E6"/>
    <w:rsid w:val="00316F36"/>
    <w:rsid w:val="00317EDA"/>
    <w:rsid w:val="003202E1"/>
    <w:rsid w:val="003208C4"/>
    <w:rsid w:val="00320EB3"/>
    <w:rsid w:val="003228BB"/>
    <w:rsid w:val="00323F95"/>
    <w:rsid w:val="00324F96"/>
    <w:rsid w:val="00325A1D"/>
    <w:rsid w:val="00330DC3"/>
    <w:rsid w:val="0033168C"/>
    <w:rsid w:val="0033454C"/>
    <w:rsid w:val="00336A60"/>
    <w:rsid w:val="00336E9C"/>
    <w:rsid w:val="0033782E"/>
    <w:rsid w:val="00340C85"/>
    <w:rsid w:val="00342CD8"/>
    <w:rsid w:val="00343A0C"/>
    <w:rsid w:val="00343A2C"/>
    <w:rsid w:val="00350399"/>
    <w:rsid w:val="00350E63"/>
    <w:rsid w:val="00352EB0"/>
    <w:rsid w:val="00353544"/>
    <w:rsid w:val="00353E51"/>
    <w:rsid w:val="00354942"/>
    <w:rsid w:val="00354950"/>
    <w:rsid w:val="00354C34"/>
    <w:rsid w:val="0035530A"/>
    <w:rsid w:val="0035667B"/>
    <w:rsid w:val="0035674B"/>
    <w:rsid w:val="003607F3"/>
    <w:rsid w:val="00361076"/>
    <w:rsid w:val="00362133"/>
    <w:rsid w:val="003623E5"/>
    <w:rsid w:val="0036405F"/>
    <w:rsid w:val="00366826"/>
    <w:rsid w:val="003677B6"/>
    <w:rsid w:val="00370F73"/>
    <w:rsid w:val="00372AB1"/>
    <w:rsid w:val="003744E8"/>
    <w:rsid w:val="00374549"/>
    <w:rsid w:val="00374CD5"/>
    <w:rsid w:val="003761D2"/>
    <w:rsid w:val="00380F77"/>
    <w:rsid w:val="00381A96"/>
    <w:rsid w:val="00381B5C"/>
    <w:rsid w:val="00383A7C"/>
    <w:rsid w:val="00386508"/>
    <w:rsid w:val="00390D0A"/>
    <w:rsid w:val="003914B1"/>
    <w:rsid w:val="003927FF"/>
    <w:rsid w:val="00394715"/>
    <w:rsid w:val="00394752"/>
    <w:rsid w:val="003A069E"/>
    <w:rsid w:val="003A1506"/>
    <w:rsid w:val="003A1774"/>
    <w:rsid w:val="003A17E0"/>
    <w:rsid w:val="003A20CE"/>
    <w:rsid w:val="003A26BB"/>
    <w:rsid w:val="003A6CBB"/>
    <w:rsid w:val="003B1FFC"/>
    <w:rsid w:val="003B303A"/>
    <w:rsid w:val="003C0A5F"/>
    <w:rsid w:val="003C27A1"/>
    <w:rsid w:val="003C27C8"/>
    <w:rsid w:val="003C39C7"/>
    <w:rsid w:val="003C57EB"/>
    <w:rsid w:val="003C5D94"/>
    <w:rsid w:val="003D1756"/>
    <w:rsid w:val="003D2034"/>
    <w:rsid w:val="003D37B1"/>
    <w:rsid w:val="003D67EE"/>
    <w:rsid w:val="003D77B2"/>
    <w:rsid w:val="003E0A97"/>
    <w:rsid w:val="003E0BA0"/>
    <w:rsid w:val="003E0D48"/>
    <w:rsid w:val="003E2CD8"/>
    <w:rsid w:val="003E326B"/>
    <w:rsid w:val="003E3A7F"/>
    <w:rsid w:val="003E4DE6"/>
    <w:rsid w:val="003E69BC"/>
    <w:rsid w:val="003F2E27"/>
    <w:rsid w:val="003F405B"/>
    <w:rsid w:val="003F492E"/>
    <w:rsid w:val="003F4AA2"/>
    <w:rsid w:val="003F539B"/>
    <w:rsid w:val="00401627"/>
    <w:rsid w:val="00402116"/>
    <w:rsid w:val="00403251"/>
    <w:rsid w:val="00406320"/>
    <w:rsid w:val="0040780A"/>
    <w:rsid w:val="004102EC"/>
    <w:rsid w:val="00410924"/>
    <w:rsid w:val="00410D8F"/>
    <w:rsid w:val="00410F60"/>
    <w:rsid w:val="004118E0"/>
    <w:rsid w:val="004125D6"/>
    <w:rsid w:val="00412D08"/>
    <w:rsid w:val="00414FF6"/>
    <w:rsid w:val="00415C21"/>
    <w:rsid w:val="00415D9B"/>
    <w:rsid w:val="00416A17"/>
    <w:rsid w:val="004178CB"/>
    <w:rsid w:val="00417B7A"/>
    <w:rsid w:val="00420B1C"/>
    <w:rsid w:val="00421D10"/>
    <w:rsid w:val="0042391D"/>
    <w:rsid w:val="0042408F"/>
    <w:rsid w:val="0042461E"/>
    <w:rsid w:val="00424964"/>
    <w:rsid w:val="0042550A"/>
    <w:rsid w:val="004263A2"/>
    <w:rsid w:val="00431425"/>
    <w:rsid w:val="00431566"/>
    <w:rsid w:val="0043296F"/>
    <w:rsid w:val="004338D1"/>
    <w:rsid w:val="00436835"/>
    <w:rsid w:val="004373A0"/>
    <w:rsid w:val="00441D47"/>
    <w:rsid w:val="00441D94"/>
    <w:rsid w:val="00442372"/>
    <w:rsid w:val="004452B4"/>
    <w:rsid w:val="0044551C"/>
    <w:rsid w:val="00446472"/>
    <w:rsid w:val="00446961"/>
    <w:rsid w:val="00446CE2"/>
    <w:rsid w:val="00447C62"/>
    <w:rsid w:val="00450873"/>
    <w:rsid w:val="004511A7"/>
    <w:rsid w:val="00454A98"/>
    <w:rsid w:val="00455C7B"/>
    <w:rsid w:val="00460D32"/>
    <w:rsid w:val="00463045"/>
    <w:rsid w:val="00463781"/>
    <w:rsid w:val="00463E03"/>
    <w:rsid w:val="004661CF"/>
    <w:rsid w:val="004718B8"/>
    <w:rsid w:val="00471F26"/>
    <w:rsid w:val="004736FB"/>
    <w:rsid w:val="00474405"/>
    <w:rsid w:val="0047478B"/>
    <w:rsid w:val="004751A1"/>
    <w:rsid w:val="00475483"/>
    <w:rsid w:val="00476CB1"/>
    <w:rsid w:val="00477E93"/>
    <w:rsid w:val="0048143E"/>
    <w:rsid w:val="00481708"/>
    <w:rsid w:val="00482432"/>
    <w:rsid w:val="0048461C"/>
    <w:rsid w:val="00490847"/>
    <w:rsid w:val="00492B11"/>
    <w:rsid w:val="00492B73"/>
    <w:rsid w:val="004968DD"/>
    <w:rsid w:val="0049779E"/>
    <w:rsid w:val="004A0392"/>
    <w:rsid w:val="004A071B"/>
    <w:rsid w:val="004A3A8B"/>
    <w:rsid w:val="004A46CC"/>
    <w:rsid w:val="004A6C6A"/>
    <w:rsid w:val="004B0D54"/>
    <w:rsid w:val="004B3325"/>
    <w:rsid w:val="004B4C30"/>
    <w:rsid w:val="004B7353"/>
    <w:rsid w:val="004C5D09"/>
    <w:rsid w:val="004C7BE4"/>
    <w:rsid w:val="004D20B7"/>
    <w:rsid w:val="004D236C"/>
    <w:rsid w:val="004D30D5"/>
    <w:rsid w:val="004D508F"/>
    <w:rsid w:val="004D62CD"/>
    <w:rsid w:val="004D63F0"/>
    <w:rsid w:val="004D7F55"/>
    <w:rsid w:val="004E72EE"/>
    <w:rsid w:val="004E7D79"/>
    <w:rsid w:val="004F0B74"/>
    <w:rsid w:val="004F3417"/>
    <w:rsid w:val="004F41B7"/>
    <w:rsid w:val="004F493C"/>
    <w:rsid w:val="004F6AC2"/>
    <w:rsid w:val="00506514"/>
    <w:rsid w:val="00512C9A"/>
    <w:rsid w:val="0051327C"/>
    <w:rsid w:val="00513EEB"/>
    <w:rsid w:val="00514688"/>
    <w:rsid w:val="00514703"/>
    <w:rsid w:val="005156C5"/>
    <w:rsid w:val="005209F5"/>
    <w:rsid w:val="00524682"/>
    <w:rsid w:val="00525772"/>
    <w:rsid w:val="00531424"/>
    <w:rsid w:val="00532BEE"/>
    <w:rsid w:val="00533BE2"/>
    <w:rsid w:val="00533CC0"/>
    <w:rsid w:val="00536439"/>
    <w:rsid w:val="005370A7"/>
    <w:rsid w:val="00537F22"/>
    <w:rsid w:val="00540E40"/>
    <w:rsid w:val="00542523"/>
    <w:rsid w:val="00542AB5"/>
    <w:rsid w:val="005453A8"/>
    <w:rsid w:val="00545A82"/>
    <w:rsid w:val="00547D33"/>
    <w:rsid w:val="00552FF5"/>
    <w:rsid w:val="0055364B"/>
    <w:rsid w:val="00556D3C"/>
    <w:rsid w:val="0055700C"/>
    <w:rsid w:val="00557FE1"/>
    <w:rsid w:val="005604DC"/>
    <w:rsid w:val="00560FE4"/>
    <w:rsid w:val="0056142F"/>
    <w:rsid w:val="005637D0"/>
    <w:rsid w:val="0056487B"/>
    <w:rsid w:val="00565798"/>
    <w:rsid w:val="00570AF3"/>
    <w:rsid w:val="00571056"/>
    <w:rsid w:val="005764DB"/>
    <w:rsid w:val="00576B36"/>
    <w:rsid w:val="005811B3"/>
    <w:rsid w:val="00581EE2"/>
    <w:rsid w:val="00582CD2"/>
    <w:rsid w:val="00583141"/>
    <w:rsid w:val="00584359"/>
    <w:rsid w:val="00584630"/>
    <w:rsid w:val="00584664"/>
    <w:rsid w:val="00585537"/>
    <w:rsid w:val="0058753C"/>
    <w:rsid w:val="00587BAF"/>
    <w:rsid w:val="00591AE6"/>
    <w:rsid w:val="00591CF6"/>
    <w:rsid w:val="00592E1A"/>
    <w:rsid w:val="005941D2"/>
    <w:rsid w:val="00597096"/>
    <w:rsid w:val="00597C9C"/>
    <w:rsid w:val="00597FEB"/>
    <w:rsid w:val="005A19C0"/>
    <w:rsid w:val="005A3631"/>
    <w:rsid w:val="005A3D02"/>
    <w:rsid w:val="005A3FEE"/>
    <w:rsid w:val="005A4E2C"/>
    <w:rsid w:val="005A4E9E"/>
    <w:rsid w:val="005A52EB"/>
    <w:rsid w:val="005A60E6"/>
    <w:rsid w:val="005A66CB"/>
    <w:rsid w:val="005B0472"/>
    <w:rsid w:val="005B1EE9"/>
    <w:rsid w:val="005B5B89"/>
    <w:rsid w:val="005C228F"/>
    <w:rsid w:val="005C272F"/>
    <w:rsid w:val="005C42C5"/>
    <w:rsid w:val="005C7DE1"/>
    <w:rsid w:val="005D01A8"/>
    <w:rsid w:val="005D3EFE"/>
    <w:rsid w:val="005D5F82"/>
    <w:rsid w:val="005E1375"/>
    <w:rsid w:val="005E14B4"/>
    <w:rsid w:val="005E1F89"/>
    <w:rsid w:val="005E20F3"/>
    <w:rsid w:val="005E4A83"/>
    <w:rsid w:val="005E7695"/>
    <w:rsid w:val="005F162C"/>
    <w:rsid w:val="005F228A"/>
    <w:rsid w:val="005F28B8"/>
    <w:rsid w:val="005F3C9B"/>
    <w:rsid w:val="005F3D82"/>
    <w:rsid w:val="005F430F"/>
    <w:rsid w:val="005F53E1"/>
    <w:rsid w:val="005F79AF"/>
    <w:rsid w:val="00602A34"/>
    <w:rsid w:val="00603801"/>
    <w:rsid w:val="00603F7A"/>
    <w:rsid w:val="00604D87"/>
    <w:rsid w:val="00605BAC"/>
    <w:rsid w:val="00611C3A"/>
    <w:rsid w:val="00612B12"/>
    <w:rsid w:val="006150A8"/>
    <w:rsid w:val="006152DF"/>
    <w:rsid w:val="00617441"/>
    <w:rsid w:val="006222B4"/>
    <w:rsid w:val="00625065"/>
    <w:rsid w:val="0062522C"/>
    <w:rsid w:val="006257BD"/>
    <w:rsid w:val="00625CCC"/>
    <w:rsid w:val="00626C58"/>
    <w:rsid w:val="00627222"/>
    <w:rsid w:val="00633E37"/>
    <w:rsid w:val="00635E26"/>
    <w:rsid w:val="00635EC3"/>
    <w:rsid w:val="00636860"/>
    <w:rsid w:val="00637A61"/>
    <w:rsid w:val="0064008B"/>
    <w:rsid w:val="00641AC0"/>
    <w:rsid w:val="006424AB"/>
    <w:rsid w:val="00645375"/>
    <w:rsid w:val="00645FA6"/>
    <w:rsid w:val="00646652"/>
    <w:rsid w:val="00656171"/>
    <w:rsid w:val="00661CE0"/>
    <w:rsid w:val="00663127"/>
    <w:rsid w:val="00664D58"/>
    <w:rsid w:val="00665C09"/>
    <w:rsid w:val="00666769"/>
    <w:rsid w:val="00667045"/>
    <w:rsid w:val="006674CB"/>
    <w:rsid w:val="00667D44"/>
    <w:rsid w:val="00670448"/>
    <w:rsid w:val="006714AC"/>
    <w:rsid w:val="00671E2B"/>
    <w:rsid w:val="00672F52"/>
    <w:rsid w:val="00672F90"/>
    <w:rsid w:val="00673C0C"/>
    <w:rsid w:val="0067684B"/>
    <w:rsid w:val="00677703"/>
    <w:rsid w:val="00677BF6"/>
    <w:rsid w:val="00682BCD"/>
    <w:rsid w:val="00683BA0"/>
    <w:rsid w:val="00685E04"/>
    <w:rsid w:val="00690B57"/>
    <w:rsid w:val="0069493F"/>
    <w:rsid w:val="006959AF"/>
    <w:rsid w:val="006966F6"/>
    <w:rsid w:val="006A0C8C"/>
    <w:rsid w:val="006A35D2"/>
    <w:rsid w:val="006A3DE8"/>
    <w:rsid w:val="006A5367"/>
    <w:rsid w:val="006A6DDF"/>
    <w:rsid w:val="006A7614"/>
    <w:rsid w:val="006B0652"/>
    <w:rsid w:val="006B1E57"/>
    <w:rsid w:val="006B2818"/>
    <w:rsid w:val="006B2B5D"/>
    <w:rsid w:val="006B43E8"/>
    <w:rsid w:val="006C3C34"/>
    <w:rsid w:val="006C5B99"/>
    <w:rsid w:val="006C5F78"/>
    <w:rsid w:val="006C698E"/>
    <w:rsid w:val="006C6E87"/>
    <w:rsid w:val="006D12BB"/>
    <w:rsid w:val="006D3504"/>
    <w:rsid w:val="006D357F"/>
    <w:rsid w:val="006D399E"/>
    <w:rsid w:val="006D413F"/>
    <w:rsid w:val="006D44FA"/>
    <w:rsid w:val="006D67B8"/>
    <w:rsid w:val="006D6B4E"/>
    <w:rsid w:val="006E1F12"/>
    <w:rsid w:val="006E2AEF"/>
    <w:rsid w:val="006E3495"/>
    <w:rsid w:val="006E3DE1"/>
    <w:rsid w:val="006E4B91"/>
    <w:rsid w:val="006E555E"/>
    <w:rsid w:val="006E6CDF"/>
    <w:rsid w:val="006E75E9"/>
    <w:rsid w:val="006F02F0"/>
    <w:rsid w:val="006F053F"/>
    <w:rsid w:val="006F1177"/>
    <w:rsid w:val="006F40CD"/>
    <w:rsid w:val="006F779F"/>
    <w:rsid w:val="00702D34"/>
    <w:rsid w:val="0070513E"/>
    <w:rsid w:val="00707664"/>
    <w:rsid w:val="00711CA6"/>
    <w:rsid w:val="0071244B"/>
    <w:rsid w:val="00712A21"/>
    <w:rsid w:val="00713318"/>
    <w:rsid w:val="00717B10"/>
    <w:rsid w:val="00720A3E"/>
    <w:rsid w:val="00720F11"/>
    <w:rsid w:val="007214EF"/>
    <w:rsid w:val="00721E39"/>
    <w:rsid w:val="007222F5"/>
    <w:rsid w:val="00723C00"/>
    <w:rsid w:val="007242BE"/>
    <w:rsid w:val="00724851"/>
    <w:rsid w:val="00724AFA"/>
    <w:rsid w:val="00726DD4"/>
    <w:rsid w:val="00730892"/>
    <w:rsid w:val="007319CB"/>
    <w:rsid w:val="00732665"/>
    <w:rsid w:val="007330B2"/>
    <w:rsid w:val="00733782"/>
    <w:rsid w:val="00735105"/>
    <w:rsid w:val="007351A0"/>
    <w:rsid w:val="007356B3"/>
    <w:rsid w:val="0074195D"/>
    <w:rsid w:val="00742342"/>
    <w:rsid w:val="00742C8C"/>
    <w:rsid w:val="00744CFB"/>
    <w:rsid w:val="0074644D"/>
    <w:rsid w:val="0074653C"/>
    <w:rsid w:val="00747001"/>
    <w:rsid w:val="00747B99"/>
    <w:rsid w:val="007525FD"/>
    <w:rsid w:val="00753063"/>
    <w:rsid w:val="007544D0"/>
    <w:rsid w:val="00754E03"/>
    <w:rsid w:val="007570B4"/>
    <w:rsid w:val="00762CA6"/>
    <w:rsid w:val="00763A57"/>
    <w:rsid w:val="00773734"/>
    <w:rsid w:val="00773D66"/>
    <w:rsid w:val="00774B51"/>
    <w:rsid w:val="00775DD9"/>
    <w:rsid w:val="007761AF"/>
    <w:rsid w:val="007768B2"/>
    <w:rsid w:val="0078127B"/>
    <w:rsid w:val="00784BA2"/>
    <w:rsid w:val="0078577E"/>
    <w:rsid w:val="007870E2"/>
    <w:rsid w:val="007906CE"/>
    <w:rsid w:val="00793C20"/>
    <w:rsid w:val="00795698"/>
    <w:rsid w:val="007959C1"/>
    <w:rsid w:val="00797728"/>
    <w:rsid w:val="007A0670"/>
    <w:rsid w:val="007A2F34"/>
    <w:rsid w:val="007A37CF"/>
    <w:rsid w:val="007A5803"/>
    <w:rsid w:val="007A5AF1"/>
    <w:rsid w:val="007A7598"/>
    <w:rsid w:val="007B2015"/>
    <w:rsid w:val="007B5799"/>
    <w:rsid w:val="007B6D9E"/>
    <w:rsid w:val="007B705F"/>
    <w:rsid w:val="007B7CB1"/>
    <w:rsid w:val="007C0CD8"/>
    <w:rsid w:val="007C1E2F"/>
    <w:rsid w:val="007C21D9"/>
    <w:rsid w:val="007C30B8"/>
    <w:rsid w:val="007C325B"/>
    <w:rsid w:val="007C3668"/>
    <w:rsid w:val="007C3998"/>
    <w:rsid w:val="007C3FDF"/>
    <w:rsid w:val="007C4167"/>
    <w:rsid w:val="007C455A"/>
    <w:rsid w:val="007C4B31"/>
    <w:rsid w:val="007C5220"/>
    <w:rsid w:val="007C5524"/>
    <w:rsid w:val="007C63E5"/>
    <w:rsid w:val="007C7219"/>
    <w:rsid w:val="007D3998"/>
    <w:rsid w:val="007D4181"/>
    <w:rsid w:val="007D4918"/>
    <w:rsid w:val="007D4EE1"/>
    <w:rsid w:val="007D64C8"/>
    <w:rsid w:val="007E1553"/>
    <w:rsid w:val="007E1F9F"/>
    <w:rsid w:val="007E4B90"/>
    <w:rsid w:val="007E519A"/>
    <w:rsid w:val="007E6625"/>
    <w:rsid w:val="007E683C"/>
    <w:rsid w:val="007E75E0"/>
    <w:rsid w:val="007F0DA1"/>
    <w:rsid w:val="007F188C"/>
    <w:rsid w:val="007F1C0F"/>
    <w:rsid w:val="007F1DE5"/>
    <w:rsid w:val="007F2742"/>
    <w:rsid w:val="007F375D"/>
    <w:rsid w:val="007F3E0A"/>
    <w:rsid w:val="007F58E6"/>
    <w:rsid w:val="007F686C"/>
    <w:rsid w:val="007F76BA"/>
    <w:rsid w:val="00802399"/>
    <w:rsid w:val="00803C5B"/>
    <w:rsid w:val="008053DB"/>
    <w:rsid w:val="00805831"/>
    <w:rsid w:val="00806376"/>
    <w:rsid w:val="0080689C"/>
    <w:rsid w:val="00813568"/>
    <w:rsid w:val="008144B2"/>
    <w:rsid w:val="00815ABB"/>
    <w:rsid w:val="008169DF"/>
    <w:rsid w:val="00816DF1"/>
    <w:rsid w:val="0082060D"/>
    <w:rsid w:val="00820F25"/>
    <w:rsid w:val="0082128F"/>
    <w:rsid w:val="0082249E"/>
    <w:rsid w:val="0082790D"/>
    <w:rsid w:val="008309B1"/>
    <w:rsid w:val="00833128"/>
    <w:rsid w:val="00837606"/>
    <w:rsid w:val="00840E7C"/>
    <w:rsid w:val="008421A1"/>
    <w:rsid w:val="008432EE"/>
    <w:rsid w:val="00845478"/>
    <w:rsid w:val="008459F8"/>
    <w:rsid w:val="00847059"/>
    <w:rsid w:val="00850CF2"/>
    <w:rsid w:val="00851DFB"/>
    <w:rsid w:val="008621A7"/>
    <w:rsid w:val="0086314C"/>
    <w:rsid w:val="0086373A"/>
    <w:rsid w:val="0086519F"/>
    <w:rsid w:val="00865596"/>
    <w:rsid w:val="00865D38"/>
    <w:rsid w:val="00867CB7"/>
    <w:rsid w:val="00874265"/>
    <w:rsid w:val="00874E24"/>
    <w:rsid w:val="0088104B"/>
    <w:rsid w:val="00882897"/>
    <w:rsid w:val="008834EA"/>
    <w:rsid w:val="008839AF"/>
    <w:rsid w:val="008840EE"/>
    <w:rsid w:val="00884996"/>
    <w:rsid w:val="00884F87"/>
    <w:rsid w:val="00891D02"/>
    <w:rsid w:val="00891FC0"/>
    <w:rsid w:val="00893B1D"/>
    <w:rsid w:val="00894485"/>
    <w:rsid w:val="00895963"/>
    <w:rsid w:val="00895A2A"/>
    <w:rsid w:val="0089736F"/>
    <w:rsid w:val="00897769"/>
    <w:rsid w:val="008A1B2E"/>
    <w:rsid w:val="008A3B53"/>
    <w:rsid w:val="008A4A61"/>
    <w:rsid w:val="008B032B"/>
    <w:rsid w:val="008B1F5A"/>
    <w:rsid w:val="008B43D6"/>
    <w:rsid w:val="008B5D62"/>
    <w:rsid w:val="008C0EA3"/>
    <w:rsid w:val="008C22BD"/>
    <w:rsid w:val="008C424E"/>
    <w:rsid w:val="008C4666"/>
    <w:rsid w:val="008C472F"/>
    <w:rsid w:val="008C5227"/>
    <w:rsid w:val="008C64F7"/>
    <w:rsid w:val="008D0DC0"/>
    <w:rsid w:val="008D129A"/>
    <w:rsid w:val="008D4F7E"/>
    <w:rsid w:val="008D59BE"/>
    <w:rsid w:val="008D5B53"/>
    <w:rsid w:val="008E12AE"/>
    <w:rsid w:val="008E1E30"/>
    <w:rsid w:val="008E27F1"/>
    <w:rsid w:val="008E53CE"/>
    <w:rsid w:val="008E55FC"/>
    <w:rsid w:val="008E602B"/>
    <w:rsid w:val="008F0444"/>
    <w:rsid w:val="008F18C0"/>
    <w:rsid w:val="008F29E7"/>
    <w:rsid w:val="008F312B"/>
    <w:rsid w:val="008F3692"/>
    <w:rsid w:val="008F5682"/>
    <w:rsid w:val="008F5A8F"/>
    <w:rsid w:val="008F5CAA"/>
    <w:rsid w:val="009009D0"/>
    <w:rsid w:val="00902B68"/>
    <w:rsid w:val="00903CAA"/>
    <w:rsid w:val="00903E46"/>
    <w:rsid w:val="0090571D"/>
    <w:rsid w:val="009072EB"/>
    <w:rsid w:val="00907882"/>
    <w:rsid w:val="0091086B"/>
    <w:rsid w:val="00912344"/>
    <w:rsid w:val="009154FD"/>
    <w:rsid w:val="009156D2"/>
    <w:rsid w:val="00920550"/>
    <w:rsid w:val="0092134D"/>
    <w:rsid w:val="009234A7"/>
    <w:rsid w:val="009256D0"/>
    <w:rsid w:val="0092768A"/>
    <w:rsid w:val="00930E64"/>
    <w:rsid w:val="00931BDB"/>
    <w:rsid w:val="00932DF8"/>
    <w:rsid w:val="009349A8"/>
    <w:rsid w:val="00936037"/>
    <w:rsid w:val="00936DBE"/>
    <w:rsid w:val="00940470"/>
    <w:rsid w:val="009414F1"/>
    <w:rsid w:val="009417B5"/>
    <w:rsid w:val="009431F1"/>
    <w:rsid w:val="00944D67"/>
    <w:rsid w:val="00950C09"/>
    <w:rsid w:val="00951A58"/>
    <w:rsid w:val="009527CF"/>
    <w:rsid w:val="00952FE4"/>
    <w:rsid w:val="00954821"/>
    <w:rsid w:val="00955CD5"/>
    <w:rsid w:val="00956F27"/>
    <w:rsid w:val="0095754B"/>
    <w:rsid w:val="009575B0"/>
    <w:rsid w:val="009603FE"/>
    <w:rsid w:val="009607C0"/>
    <w:rsid w:val="00962226"/>
    <w:rsid w:val="00962C11"/>
    <w:rsid w:val="0096477F"/>
    <w:rsid w:val="00967191"/>
    <w:rsid w:val="009672E4"/>
    <w:rsid w:val="00971B25"/>
    <w:rsid w:val="00971EA2"/>
    <w:rsid w:val="00972701"/>
    <w:rsid w:val="0097376B"/>
    <w:rsid w:val="00973BAD"/>
    <w:rsid w:val="00975C46"/>
    <w:rsid w:val="00980DB0"/>
    <w:rsid w:val="009814FE"/>
    <w:rsid w:val="00982301"/>
    <w:rsid w:val="00983981"/>
    <w:rsid w:val="00984B0B"/>
    <w:rsid w:val="00987A23"/>
    <w:rsid w:val="0099211A"/>
    <w:rsid w:val="00994EDD"/>
    <w:rsid w:val="00997375"/>
    <w:rsid w:val="009A0FA3"/>
    <w:rsid w:val="009A103C"/>
    <w:rsid w:val="009A116E"/>
    <w:rsid w:val="009A1C30"/>
    <w:rsid w:val="009A34AB"/>
    <w:rsid w:val="009A3563"/>
    <w:rsid w:val="009A397C"/>
    <w:rsid w:val="009A4BDC"/>
    <w:rsid w:val="009B004D"/>
    <w:rsid w:val="009B15D8"/>
    <w:rsid w:val="009B20BD"/>
    <w:rsid w:val="009B2152"/>
    <w:rsid w:val="009B61A1"/>
    <w:rsid w:val="009B72A7"/>
    <w:rsid w:val="009B77DE"/>
    <w:rsid w:val="009B7C98"/>
    <w:rsid w:val="009C0EAF"/>
    <w:rsid w:val="009C128A"/>
    <w:rsid w:val="009C1F87"/>
    <w:rsid w:val="009C25B8"/>
    <w:rsid w:val="009C33CD"/>
    <w:rsid w:val="009C4947"/>
    <w:rsid w:val="009C594C"/>
    <w:rsid w:val="009C5F5F"/>
    <w:rsid w:val="009C67C5"/>
    <w:rsid w:val="009D0454"/>
    <w:rsid w:val="009D13D0"/>
    <w:rsid w:val="009D2EBA"/>
    <w:rsid w:val="009D7F4D"/>
    <w:rsid w:val="009E029B"/>
    <w:rsid w:val="009E09A3"/>
    <w:rsid w:val="009E1F2C"/>
    <w:rsid w:val="009E22DD"/>
    <w:rsid w:val="009E71B7"/>
    <w:rsid w:val="009E7EE8"/>
    <w:rsid w:val="009F2C33"/>
    <w:rsid w:val="009F3745"/>
    <w:rsid w:val="009F3F2A"/>
    <w:rsid w:val="009F42D2"/>
    <w:rsid w:val="009F4E20"/>
    <w:rsid w:val="009F58F7"/>
    <w:rsid w:val="00A01202"/>
    <w:rsid w:val="00A017AF"/>
    <w:rsid w:val="00A01CDD"/>
    <w:rsid w:val="00A04E49"/>
    <w:rsid w:val="00A0718C"/>
    <w:rsid w:val="00A10ACD"/>
    <w:rsid w:val="00A10D45"/>
    <w:rsid w:val="00A129F1"/>
    <w:rsid w:val="00A140A6"/>
    <w:rsid w:val="00A1688E"/>
    <w:rsid w:val="00A1735A"/>
    <w:rsid w:val="00A21AD6"/>
    <w:rsid w:val="00A2587B"/>
    <w:rsid w:val="00A26CF0"/>
    <w:rsid w:val="00A274D2"/>
    <w:rsid w:val="00A31BC3"/>
    <w:rsid w:val="00A3304F"/>
    <w:rsid w:val="00A347D6"/>
    <w:rsid w:val="00A356E7"/>
    <w:rsid w:val="00A36752"/>
    <w:rsid w:val="00A37976"/>
    <w:rsid w:val="00A4166D"/>
    <w:rsid w:val="00A43B1C"/>
    <w:rsid w:val="00A441D7"/>
    <w:rsid w:val="00A467CE"/>
    <w:rsid w:val="00A47D4F"/>
    <w:rsid w:val="00A51DCC"/>
    <w:rsid w:val="00A522C2"/>
    <w:rsid w:val="00A52969"/>
    <w:rsid w:val="00A5366E"/>
    <w:rsid w:val="00A55276"/>
    <w:rsid w:val="00A55364"/>
    <w:rsid w:val="00A553D5"/>
    <w:rsid w:val="00A5667C"/>
    <w:rsid w:val="00A56BB5"/>
    <w:rsid w:val="00A56C6B"/>
    <w:rsid w:val="00A60FFF"/>
    <w:rsid w:val="00A61531"/>
    <w:rsid w:val="00A61A2C"/>
    <w:rsid w:val="00A61F8F"/>
    <w:rsid w:val="00A6306A"/>
    <w:rsid w:val="00A6354C"/>
    <w:rsid w:val="00A6358F"/>
    <w:rsid w:val="00A63890"/>
    <w:rsid w:val="00A678FC"/>
    <w:rsid w:val="00A70F0F"/>
    <w:rsid w:val="00A71B7A"/>
    <w:rsid w:val="00A72CF0"/>
    <w:rsid w:val="00A7500F"/>
    <w:rsid w:val="00A75E24"/>
    <w:rsid w:val="00A80A4F"/>
    <w:rsid w:val="00A8173E"/>
    <w:rsid w:val="00A91891"/>
    <w:rsid w:val="00A9227C"/>
    <w:rsid w:val="00A92BDD"/>
    <w:rsid w:val="00A92D43"/>
    <w:rsid w:val="00A939C7"/>
    <w:rsid w:val="00A95D44"/>
    <w:rsid w:val="00A9613A"/>
    <w:rsid w:val="00A96428"/>
    <w:rsid w:val="00A965DE"/>
    <w:rsid w:val="00A973B2"/>
    <w:rsid w:val="00AA3478"/>
    <w:rsid w:val="00AB0F92"/>
    <w:rsid w:val="00AB3261"/>
    <w:rsid w:val="00AB524C"/>
    <w:rsid w:val="00AB567E"/>
    <w:rsid w:val="00AB64DC"/>
    <w:rsid w:val="00AB7EFD"/>
    <w:rsid w:val="00AC08A8"/>
    <w:rsid w:val="00AC2E0B"/>
    <w:rsid w:val="00AC3943"/>
    <w:rsid w:val="00AC4317"/>
    <w:rsid w:val="00AC432D"/>
    <w:rsid w:val="00AC5619"/>
    <w:rsid w:val="00AC5EBF"/>
    <w:rsid w:val="00AC6981"/>
    <w:rsid w:val="00AD341A"/>
    <w:rsid w:val="00AD4163"/>
    <w:rsid w:val="00AE3A26"/>
    <w:rsid w:val="00AE3B84"/>
    <w:rsid w:val="00AE4EDA"/>
    <w:rsid w:val="00AE5A7D"/>
    <w:rsid w:val="00AE5D32"/>
    <w:rsid w:val="00AE7C63"/>
    <w:rsid w:val="00AF1B2F"/>
    <w:rsid w:val="00AF24D5"/>
    <w:rsid w:val="00AF5DED"/>
    <w:rsid w:val="00AF6412"/>
    <w:rsid w:val="00B0500D"/>
    <w:rsid w:val="00B05181"/>
    <w:rsid w:val="00B10131"/>
    <w:rsid w:val="00B12B6F"/>
    <w:rsid w:val="00B12CC5"/>
    <w:rsid w:val="00B13000"/>
    <w:rsid w:val="00B21550"/>
    <w:rsid w:val="00B2364E"/>
    <w:rsid w:val="00B23A03"/>
    <w:rsid w:val="00B24137"/>
    <w:rsid w:val="00B278DC"/>
    <w:rsid w:val="00B30552"/>
    <w:rsid w:val="00B31A39"/>
    <w:rsid w:val="00B31FEF"/>
    <w:rsid w:val="00B325E1"/>
    <w:rsid w:val="00B34628"/>
    <w:rsid w:val="00B3588C"/>
    <w:rsid w:val="00B434B9"/>
    <w:rsid w:val="00B43736"/>
    <w:rsid w:val="00B43DB9"/>
    <w:rsid w:val="00B44532"/>
    <w:rsid w:val="00B50D61"/>
    <w:rsid w:val="00B50FA0"/>
    <w:rsid w:val="00B528FB"/>
    <w:rsid w:val="00B5306E"/>
    <w:rsid w:val="00B5491C"/>
    <w:rsid w:val="00B559AA"/>
    <w:rsid w:val="00B564BC"/>
    <w:rsid w:val="00B625C1"/>
    <w:rsid w:val="00B63270"/>
    <w:rsid w:val="00B64400"/>
    <w:rsid w:val="00B65228"/>
    <w:rsid w:val="00B66074"/>
    <w:rsid w:val="00B701C4"/>
    <w:rsid w:val="00B70CD9"/>
    <w:rsid w:val="00B71025"/>
    <w:rsid w:val="00B71319"/>
    <w:rsid w:val="00B714B7"/>
    <w:rsid w:val="00B746C9"/>
    <w:rsid w:val="00B807F3"/>
    <w:rsid w:val="00B82E71"/>
    <w:rsid w:val="00B83493"/>
    <w:rsid w:val="00B8609B"/>
    <w:rsid w:val="00B919B4"/>
    <w:rsid w:val="00B940DD"/>
    <w:rsid w:val="00B95847"/>
    <w:rsid w:val="00B958AE"/>
    <w:rsid w:val="00B960EC"/>
    <w:rsid w:val="00B966ED"/>
    <w:rsid w:val="00BA268A"/>
    <w:rsid w:val="00BA3D8F"/>
    <w:rsid w:val="00BA4919"/>
    <w:rsid w:val="00BA65A5"/>
    <w:rsid w:val="00BB03A5"/>
    <w:rsid w:val="00BB1C4A"/>
    <w:rsid w:val="00BB2300"/>
    <w:rsid w:val="00BB2DD5"/>
    <w:rsid w:val="00BB6600"/>
    <w:rsid w:val="00BB672B"/>
    <w:rsid w:val="00BB6A0B"/>
    <w:rsid w:val="00BB7419"/>
    <w:rsid w:val="00BB756B"/>
    <w:rsid w:val="00BC15E4"/>
    <w:rsid w:val="00BC567E"/>
    <w:rsid w:val="00BD0408"/>
    <w:rsid w:val="00BD1A05"/>
    <w:rsid w:val="00BD1B80"/>
    <w:rsid w:val="00BD612D"/>
    <w:rsid w:val="00BE2788"/>
    <w:rsid w:val="00BE335A"/>
    <w:rsid w:val="00BE4C70"/>
    <w:rsid w:val="00BE54BA"/>
    <w:rsid w:val="00BE6A16"/>
    <w:rsid w:val="00BF187B"/>
    <w:rsid w:val="00BF33AD"/>
    <w:rsid w:val="00BF4496"/>
    <w:rsid w:val="00C021FD"/>
    <w:rsid w:val="00C02961"/>
    <w:rsid w:val="00C02B5E"/>
    <w:rsid w:val="00C047FA"/>
    <w:rsid w:val="00C05583"/>
    <w:rsid w:val="00C057EF"/>
    <w:rsid w:val="00C07708"/>
    <w:rsid w:val="00C10571"/>
    <w:rsid w:val="00C14296"/>
    <w:rsid w:val="00C15023"/>
    <w:rsid w:val="00C15C9B"/>
    <w:rsid w:val="00C16B6E"/>
    <w:rsid w:val="00C206EE"/>
    <w:rsid w:val="00C224AD"/>
    <w:rsid w:val="00C22B73"/>
    <w:rsid w:val="00C2333D"/>
    <w:rsid w:val="00C23A19"/>
    <w:rsid w:val="00C23E57"/>
    <w:rsid w:val="00C2452C"/>
    <w:rsid w:val="00C2695D"/>
    <w:rsid w:val="00C305E6"/>
    <w:rsid w:val="00C32246"/>
    <w:rsid w:val="00C32DE2"/>
    <w:rsid w:val="00C3463D"/>
    <w:rsid w:val="00C41693"/>
    <w:rsid w:val="00C42276"/>
    <w:rsid w:val="00C4260B"/>
    <w:rsid w:val="00C43792"/>
    <w:rsid w:val="00C450AE"/>
    <w:rsid w:val="00C5146C"/>
    <w:rsid w:val="00C519F7"/>
    <w:rsid w:val="00C525CF"/>
    <w:rsid w:val="00C53387"/>
    <w:rsid w:val="00C546B7"/>
    <w:rsid w:val="00C56ED2"/>
    <w:rsid w:val="00C57829"/>
    <w:rsid w:val="00C604F8"/>
    <w:rsid w:val="00C60BDA"/>
    <w:rsid w:val="00C641D9"/>
    <w:rsid w:val="00C6623A"/>
    <w:rsid w:val="00C67189"/>
    <w:rsid w:val="00C673E2"/>
    <w:rsid w:val="00C70B6C"/>
    <w:rsid w:val="00C72484"/>
    <w:rsid w:val="00C73280"/>
    <w:rsid w:val="00C74089"/>
    <w:rsid w:val="00C758F5"/>
    <w:rsid w:val="00C8043D"/>
    <w:rsid w:val="00C84E26"/>
    <w:rsid w:val="00C87A86"/>
    <w:rsid w:val="00C90E85"/>
    <w:rsid w:val="00C92E5D"/>
    <w:rsid w:val="00C92FC3"/>
    <w:rsid w:val="00C93509"/>
    <w:rsid w:val="00C9390C"/>
    <w:rsid w:val="00C9777C"/>
    <w:rsid w:val="00CA0455"/>
    <w:rsid w:val="00CA20C9"/>
    <w:rsid w:val="00CA30A1"/>
    <w:rsid w:val="00CA41B0"/>
    <w:rsid w:val="00CA4214"/>
    <w:rsid w:val="00CA4640"/>
    <w:rsid w:val="00CA4A39"/>
    <w:rsid w:val="00CA4C69"/>
    <w:rsid w:val="00CA58CB"/>
    <w:rsid w:val="00CA759C"/>
    <w:rsid w:val="00CA7CA0"/>
    <w:rsid w:val="00CB137C"/>
    <w:rsid w:val="00CB4E54"/>
    <w:rsid w:val="00CB5CB1"/>
    <w:rsid w:val="00CB6AA7"/>
    <w:rsid w:val="00CB7FC0"/>
    <w:rsid w:val="00CC215D"/>
    <w:rsid w:val="00CC3F2F"/>
    <w:rsid w:val="00CC424A"/>
    <w:rsid w:val="00CC5545"/>
    <w:rsid w:val="00CC5CE3"/>
    <w:rsid w:val="00CC602E"/>
    <w:rsid w:val="00CC62E0"/>
    <w:rsid w:val="00CD0EB5"/>
    <w:rsid w:val="00CD159A"/>
    <w:rsid w:val="00CD33CF"/>
    <w:rsid w:val="00CD6D27"/>
    <w:rsid w:val="00CD6F65"/>
    <w:rsid w:val="00CE16E0"/>
    <w:rsid w:val="00CE2542"/>
    <w:rsid w:val="00CE2D91"/>
    <w:rsid w:val="00CE5324"/>
    <w:rsid w:val="00CE722E"/>
    <w:rsid w:val="00CE7E03"/>
    <w:rsid w:val="00CE7ECE"/>
    <w:rsid w:val="00CF080B"/>
    <w:rsid w:val="00CF11D9"/>
    <w:rsid w:val="00CF5581"/>
    <w:rsid w:val="00CF74D8"/>
    <w:rsid w:val="00D02F4A"/>
    <w:rsid w:val="00D03843"/>
    <w:rsid w:val="00D04311"/>
    <w:rsid w:val="00D046C2"/>
    <w:rsid w:val="00D05B22"/>
    <w:rsid w:val="00D11C16"/>
    <w:rsid w:val="00D1214E"/>
    <w:rsid w:val="00D137F3"/>
    <w:rsid w:val="00D138A3"/>
    <w:rsid w:val="00D14FDB"/>
    <w:rsid w:val="00D150CA"/>
    <w:rsid w:val="00D15D3F"/>
    <w:rsid w:val="00D2048E"/>
    <w:rsid w:val="00D20BD0"/>
    <w:rsid w:val="00D2311D"/>
    <w:rsid w:val="00D2369E"/>
    <w:rsid w:val="00D2443A"/>
    <w:rsid w:val="00D2622E"/>
    <w:rsid w:val="00D26566"/>
    <w:rsid w:val="00D27605"/>
    <w:rsid w:val="00D33077"/>
    <w:rsid w:val="00D3638A"/>
    <w:rsid w:val="00D36521"/>
    <w:rsid w:val="00D41391"/>
    <w:rsid w:val="00D42C39"/>
    <w:rsid w:val="00D451FE"/>
    <w:rsid w:val="00D500B4"/>
    <w:rsid w:val="00D51953"/>
    <w:rsid w:val="00D535EC"/>
    <w:rsid w:val="00D61BCB"/>
    <w:rsid w:val="00D629FA"/>
    <w:rsid w:val="00D62AA3"/>
    <w:rsid w:val="00D62DF9"/>
    <w:rsid w:val="00D64063"/>
    <w:rsid w:val="00D655B0"/>
    <w:rsid w:val="00D65DC6"/>
    <w:rsid w:val="00D67037"/>
    <w:rsid w:val="00D67274"/>
    <w:rsid w:val="00D73FD0"/>
    <w:rsid w:val="00D7584B"/>
    <w:rsid w:val="00D77566"/>
    <w:rsid w:val="00D81E09"/>
    <w:rsid w:val="00D82BCB"/>
    <w:rsid w:val="00D83437"/>
    <w:rsid w:val="00D83717"/>
    <w:rsid w:val="00D85A87"/>
    <w:rsid w:val="00D865F8"/>
    <w:rsid w:val="00D90DB4"/>
    <w:rsid w:val="00D91882"/>
    <w:rsid w:val="00D9403C"/>
    <w:rsid w:val="00D94283"/>
    <w:rsid w:val="00DA039D"/>
    <w:rsid w:val="00DA371A"/>
    <w:rsid w:val="00DA39C5"/>
    <w:rsid w:val="00DA4B04"/>
    <w:rsid w:val="00DA621C"/>
    <w:rsid w:val="00DA62E3"/>
    <w:rsid w:val="00DA7334"/>
    <w:rsid w:val="00DB0610"/>
    <w:rsid w:val="00DB1DCB"/>
    <w:rsid w:val="00DB33BA"/>
    <w:rsid w:val="00DB4896"/>
    <w:rsid w:val="00DB4940"/>
    <w:rsid w:val="00DB5A55"/>
    <w:rsid w:val="00DB6151"/>
    <w:rsid w:val="00DB6227"/>
    <w:rsid w:val="00DB625D"/>
    <w:rsid w:val="00DB6272"/>
    <w:rsid w:val="00DB6E4E"/>
    <w:rsid w:val="00DB783D"/>
    <w:rsid w:val="00DC015C"/>
    <w:rsid w:val="00DC05C1"/>
    <w:rsid w:val="00DC2634"/>
    <w:rsid w:val="00DC3C40"/>
    <w:rsid w:val="00DC406E"/>
    <w:rsid w:val="00DC683A"/>
    <w:rsid w:val="00DC6D60"/>
    <w:rsid w:val="00DD0747"/>
    <w:rsid w:val="00DD2399"/>
    <w:rsid w:val="00DE0E3B"/>
    <w:rsid w:val="00DE1DED"/>
    <w:rsid w:val="00DE264C"/>
    <w:rsid w:val="00DE391C"/>
    <w:rsid w:val="00DE5628"/>
    <w:rsid w:val="00DE6AD2"/>
    <w:rsid w:val="00DE6E1C"/>
    <w:rsid w:val="00DE791B"/>
    <w:rsid w:val="00DF5DD1"/>
    <w:rsid w:val="00E008D5"/>
    <w:rsid w:val="00E02726"/>
    <w:rsid w:val="00E0295B"/>
    <w:rsid w:val="00E03491"/>
    <w:rsid w:val="00E04753"/>
    <w:rsid w:val="00E0544B"/>
    <w:rsid w:val="00E1049F"/>
    <w:rsid w:val="00E113F1"/>
    <w:rsid w:val="00E11750"/>
    <w:rsid w:val="00E12C39"/>
    <w:rsid w:val="00E136BE"/>
    <w:rsid w:val="00E13871"/>
    <w:rsid w:val="00E15986"/>
    <w:rsid w:val="00E16A37"/>
    <w:rsid w:val="00E16FDA"/>
    <w:rsid w:val="00E20F06"/>
    <w:rsid w:val="00E219BE"/>
    <w:rsid w:val="00E2482B"/>
    <w:rsid w:val="00E3108D"/>
    <w:rsid w:val="00E33FB4"/>
    <w:rsid w:val="00E35802"/>
    <w:rsid w:val="00E36FE2"/>
    <w:rsid w:val="00E3792E"/>
    <w:rsid w:val="00E37BEA"/>
    <w:rsid w:val="00E51F41"/>
    <w:rsid w:val="00E54352"/>
    <w:rsid w:val="00E56A60"/>
    <w:rsid w:val="00E6158B"/>
    <w:rsid w:val="00E620AE"/>
    <w:rsid w:val="00E6376D"/>
    <w:rsid w:val="00E63ACD"/>
    <w:rsid w:val="00E63D3D"/>
    <w:rsid w:val="00E64A9D"/>
    <w:rsid w:val="00E655B8"/>
    <w:rsid w:val="00E65D39"/>
    <w:rsid w:val="00E673D2"/>
    <w:rsid w:val="00E701E0"/>
    <w:rsid w:val="00E714CB"/>
    <w:rsid w:val="00E71C44"/>
    <w:rsid w:val="00E72220"/>
    <w:rsid w:val="00E74213"/>
    <w:rsid w:val="00E76CD9"/>
    <w:rsid w:val="00E77572"/>
    <w:rsid w:val="00E7768F"/>
    <w:rsid w:val="00E80549"/>
    <w:rsid w:val="00E8479E"/>
    <w:rsid w:val="00E84897"/>
    <w:rsid w:val="00E85272"/>
    <w:rsid w:val="00E85F83"/>
    <w:rsid w:val="00E90228"/>
    <w:rsid w:val="00E90555"/>
    <w:rsid w:val="00E9153A"/>
    <w:rsid w:val="00E91E19"/>
    <w:rsid w:val="00E95106"/>
    <w:rsid w:val="00E9562B"/>
    <w:rsid w:val="00EA023E"/>
    <w:rsid w:val="00EA0EBF"/>
    <w:rsid w:val="00EA198E"/>
    <w:rsid w:val="00EB2BF0"/>
    <w:rsid w:val="00EC0B2E"/>
    <w:rsid w:val="00EC0B7C"/>
    <w:rsid w:val="00EC2DC3"/>
    <w:rsid w:val="00EC46DE"/>
    <w:rsid w:val="00EC55D7"/>
    <w:rsid w:val="00EC6055"/>
    <w:rsid w:val="00EC6360"/>
    <w:rsid w:val="00ED1CC5"/>
    <w:rsid w:val="00ED28C0"/>
    <w:rsid w:val="00ED47C6"/>
    <w:rsid w:val="00ED593D"/>
    <w:rsid w:val="00ED74EC"/>
    <w:rsid w:val="00ED79BB"/>
    <w:rsid w:val="00EE0957"/>
    <w:rsid w:val="00EE0E4E"/>
    <w:rsid w:val="00EE159F"/>
    <w:rsid w:val="00EE25C8"/>
    <w:rsid w:val="00EE28E3"/>
    <w:rsid w:val="00EE47AD"/>
    <w:rsid w:val="00EF03D9"/>
    <w:rsid w:val="00EF0715"/>
    <w:rsid w:val="00EF0B95"/>
    <w:rsid w:val="00EF1732"/>
    <w:rsid w:val="00EF1D2B"/>
    <w:rsid w:val="00EF22FF"/>
    <w:rsid w:val="00EF2347"/>
    <w:rsid w:val="00EF3ABF"/>
    <w:rsid w:val="00EF3D56"/>
    <w:rsid w:val="00EF4041"/>
    <w:rsid w:val="00EF484F"/>
    <w:rsid w:val="00EF5D1C"/>
    <w:rsid w:val="00EF636A"/>
    <w:rsid w:val="00EF6795"/>
    <w:rsid w:val="00EF6C5F"/>
    <w:rsid w:val="00EF6FD1"/>
    <w:rsid w:val="00EF775A"/>
    <w:rsid w:val="00EF776D"/>
    <w:rsid w:val="00F01327"/>
    <w:rsid w:val="00F02A24"/>
    <w:rsid w:val="00F03412"/>
    <w:rsid w:val="00F11FE7"/>
    <w:rsid w:val="00F127D9"/>
    <w:rsid w:val="00F1376E"/>
    <w:rsid w:val="00F142BF"/>
    <w:rsid w:val="00F1508D"/>
    <w:rsid w:val="00F15AC9"/>
    <w:rsid w:val="00F309D1"/>
    <w:rsid w:val="00F30F6D"/>
    <w:rsid w:val="00F336F6"/>
    <w:rsid w:val="00F35860"/>
    <w:rsid w:val="00F3693A"/>
    <w:rsid w:val="00F36C1D"/>
    <w:rsid w:val="00F36D66"/>
    <w:rsid w:val="00F37207"/>
    <w:rsid w:val="00F37BFF"/>
    <w:rsid w:val="00F409D0"/>
    <w:rsid w:val="00F40E54"/>
    <w:rsid w:val="00F415D4"/>
    <w:rsid w:val="00F42C01"/>
    <w:rsid w:val="00F44175"/>
    <w:rsid w:val="00F45261"/>
    <w:rsid w:val="00F5243D"/>
    <w:rsid w:val="00F53857"/>
    <w:rsid w:val="00F570F0"/>
    <w:rsid w:val="00F5755F"/>
    <w:rsid w:val="00F6079C"/>
    <w:rsid w:val="00F6198D"/>
    <w:rsid w:val="00F62807"/>
    <w:rsid w:val="00F647CA"/>
    <w:rsid w:val="00F66009"/>
    <w:rsid w:val="00F731D3"/>
    <w:rsid w:val="00F7534D"/>
    <w:rsid w:val="00F809CF"/>
    <w:rsid w:val="00F80D1A"/>
    <w:rsid w:val="00F811F1"/>
    <w:rsid w:val="00F828F1"/>
    <w:rsid w:val="00F903F0"/>
    <w:rsid w:val="00F90C98"/>
    <w:rsid w:val="00F954C6"/>
    <w:rsid w:val="00F96808"/>
    <w:rsid w:val="00F968DD"/>
    <w:rsid w:val="00F97E7D"/>
    <w:rsid w:val="00FA205C"/>
    <w:rsid w:val="00FA2139"/>
    <w:rsid w:val="00FA25F7"/>
    <w:rsid w:val="00FA4706"/>
    <w:rsid w:val="00FA63D5"/>
    <w:rsid w:val="00FA7F74"/>
    <w:rsid w:val="00FB0335"/>
    <w:rsid w:val="00FB04DE"/>
    <w:rsid w:val="00FB3929"/>
    <w:rsid w:val="00FB47E4"/>
    <w:rsid w:val="00FB6B35"/>
    <w:rsid w:val="00FB6B9E"/>
    <w:rsid w:val="00FB7613"/>
    <w:rsid w:val="00FC0EF5"/>
    <w:rsid w:val="00FC1973"/>
    <w:rsid w:val="00FC23AF"/>
    <w:rsid w:val="00FC2CA4"/>
    <w:rsid w:val="00FC5611"/>
    <w:rsid w:val="00FC5F8C"/>
    <w:rsid w:val="00FC6156"/>
    <w:rsid w:val="00FC79B6"/>
    <w:rsid w:val="00FC7C7A"/>
    <w:rsid w:val="00FD0118"/>
    <w:rsid w:val="00FD155D"/>
    <w:rsid w:val="00FD1CCB"/>
    <w:rsid w:val="00FD1E49"/>
    <w:rsid w:val="00FD1ECD"/>
    <w:rsid w:val="00FD2394"/>
    <w:rsid w:val="00FE130F"/>
    <w:rsid w:val="00FE2767"/>
    <w:rsid w:val="00FE3785"/>
    <w:rsid w:val="00FE66C1"/>
    <w:rsid w:val="00FE66FF"/>
    <w:rsid w:val="00FF06E3"/>
    <w:rsid w:val="00FF0DCF"/>
    <w:rsid w:val="00FF1356"/>
    <w:rsid w:val="00FF39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Body Text" w:uiPriority="0"/>
    <w:lsdException w:name="Subtitle" w:uiPriority="11" w:unhideWhenUsed="0" w:qFormat="1"/>
    <w:lsdException w:name="Hyperlink"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F6FD1"/>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semiHidden/>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4F0B74"/>
    <w:pPr>
      <w:keepNext/>
      <w:spacing w:after="240" w:line="240" w:lineRule="auto"/>
      <w:ind w:left="432" w:hanging="432"/>
      <w:outlineLvl w:val="2"/>
    </w:pPr>
    <w:rPr>
      <w:b/>
    </w:rPr>
  </w:style>
  <w:style w:type="paragraph" w:styleId="Heading4">
    <w:name w:val="heading 4"/>
    <w:basedOn w:val="Normal"/>
    <w:next w:val="Normal"/>
    <w:link w:val="Heading4Char"/>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semiHidden/>
    <w:qFormat/>
    <w:rsid w:val="003A1506"/>
    <w:pPr>
      <w:outlineLvl w:val="5"/>
    </w:pPr>
  </w:style>
  <w:style w:type="paragraph" w:styleId="Heading7">
    <w:name w:val="heading 7"/>
    <w:aliases w:val="Heading 7 (business proposal only)"/>
    <w:basedOn w:val="Normal"/>
    <w:next w:val="Normal"/>
    <w:link w:val="Heading7Char"/>
    <w:semiHidden/>
    <w:qFormat/>
    <w:rsid w:val="003A1506"/>
    <w:pPr>
      <w:outlineLvl w:val="6"/>
    </w:pPr>
  </w:style>
  <w:style w:type="paragraph" w:styleId="Heading8">
    <w:name w:val="heading 8"/>
    <w:aliases w:val="Heading 8 (business proposal only)"/>
    <w:basedOn w:val="Normal"/>
    <w:next w:val="Normal"/>
    <w:link w:val="Heading8Char"/>
    <w:semiHidden/>
    <w:qFormat/>
    <w:rsid w:val="003A1506"/>
    <w:pPr>
      <w:outlineLvl w:val="7"/>
    </w:pPr>
  </w:style>
  <w:style w:type="paragraph" w:styleId="Heading9">
    <w:name w:val="heading 9"/>
    <w:aliases w:val="Heading 9 (business proposal only)"/>
    <w:basedOn w:val="Normal"/>
    <w:next w:val="Normal"/>
    <w:link w:val="Heading9Char"/>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282FD0"/>
    <w:pPr>
      <w:tabs>
        <w:tab w:val="center" w:pos="432"/>
        <w:tab w:val="left" w:pos="1008"/>
        <w:tab w:val="right" w:leader="dot" w:pos="9360"/>
      </w:tabs>
      <w:spacing w:after="240"/>
      <w:ind w:left="1008" w:hanging="1008"/>
    </w:pPr>
    <w:rPr>
      <w:rFonts w:ascii="Lucida Sans" w:hAnsi="Lucida Sans"/>
      <w:caps/>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qFormat/>
    <w:rsid w:val="00DB6227"/>
    <w:pPr>
      <w:spacing w:after="240"/>
    </w:pPr>
  </w:style>
  <w:style w:type="paragraph" w:styleId="TOC2">
    <w:name w:val="toc 2"/>
    <w:next w:val="Normal"/>
    <w:autoRedefine/>
    <w:uiPriority w:val="39"/>
    <w:qFormat/>
    <w:rsid w:val="007959C1"/>
    <w:pPr>
      <w:tabs>
        <w:tab w:val="left" w:pos="1008"/>
        <w:tab w:val="left" w:pos="1440"/>
        <w:tab w:val="right" w:leader="dot" w:pos="9360"/>
      </w:tabs>
      <w:spacing w:after="240"/>
      <w:ind w:left="1440" w:right="475" w:hanging="432"/>
    </w:pPr>
    <w:rPr>
      <w:rFonts w:ascii="Lucida Sans" w:hAnsi="Lucida Sans"/>
      <w:sz w:val="22"/>
    </w:rPr>
  </w:style>
  <w:style w:type="paragraph" w:styleId="TOC3">
    <w:name w:val="toc 3"/>
    <w:next w:val="Normal"/>
    <w:autoRedefine/>
    <w:uiPriority w:val="39"/>
    <w:qFormat/>
    <w:rsid w:val="0092768A"/>
    <w:pPr>
      <w:tabs>
        <w:tab w:val="left" w:pos="1915"/>
        <w:tab w:val="left" w:pos="2880"/>
        <w:tab w:val="right" w:leader="dot" w:pos="9360"/>
      </w:tabs>
      <w:ind w:left="1915" w:right="475" w:hanging="475"/>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link w:val="FootnoteTextChar"/>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5A19C0"/>
    <w:pPr>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rsid w:val="002A28C9"/>
    <w:pPr>
      <w:numPr>
        <w:numId w:val="2"/>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EF6FD1"/>
    <w:pPr>
      <w:numPr>
        <w:numId w:val="4"/>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EF6FD1"/>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E466A"/>
    <w:pPr>
      <w:spacing w:after="360"/>
    </w:pPr>
  </w:style>
  <w:style w:type="paragraph" w:customStyle="1" w:styleId="BulletRedLastDS">
    <w:name w:val="Bullet_Red (Last DS)"/>
    <w:basedOn w:val="BulletRedLastSS"/>
    <w:next w:val="Normal"/>
    <w:qFormat/>
    <w:rsid w:val="001E466A"/>
    <w:pPr>
      <w:spacing w:after="360"/>
    </w:pPr>
  </w:style>
  <w:style w:type="paragraph" w:customStyle="1" w:styleId="BulletBlueLastDS">
    <w:name w:val="Bullet_Blue (Last DS)"/>
    <w:basedOn w:val="BulletBlackLastDS"/>
    <w:next w:val="Normal"/>
    <w:qFormat/>
    <w:rsid w:val="00C2452C"/>
    <w:pPr>
      <w:numPr>
        <w:numId w:val="9"/>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637A61"/>
  </w:style>
  <w:style w:type="paragraph" w:customStyle="1" w:styleId="Heading2RedNoTOC">
    <w:name w:val="Heading 2_Red No TOC"/>
    <w:basedOn w:val="Heading2Red"/>
    <w:next w:val="Normal"/>
    <w:qFormat/>
    <w:rsid w:val="00637A61"/>
  </w:style>
  <w:style w:type="paragraph" w:customStyle="1" w:styleId="Heading2BlueNoTOC">
    <w:name w:val="Heading 2_Blue No TOC"/>
    <w:basedOn w:val="Heading2Blue"/>
    <w:next w:val="Normal"/>
    <w:qFormat/>
    <w:rsid w:val="00637A61"/>
  </w:style>
  <w:style w:type="paragraph" w:customStyle="1" w:styleId="MarkforAttachmentHeadingBlack">
    <w:name w:val="Mark for Attachment Heading_Black"/>
    <w:basedOn w:val="Normal"/>
    <w:next w:val="Normal"/>
    <w:qFormat/>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4F493C"/>
    <w:rPr>
      <w:color w:val="345294"/>
    </w:rPr>
  </w:style>
  <w:style w:type="paragraph" w:customStyle="1" w:styleId="NumberedBulletLastDS">
    <w:name w:val="Numbered Bullet (Last DS)"/>
    <w:basedOn w:val="NumberedBulletLASTSS"/>
    <w:next w:val="Normal"/>
    <w:qFormat/>
    <w:rsid w:val="00264716"/>
    <w:pPr>
      <w:spacing w:after="36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basedOn w:val="Normal"/>
    <w:next w:val="Normal"/>
    <w:autoRedefine/>
    <w:uiPriority w:val="39"/>
    <w:unhideWhenUsed/>
    <w:rsid w:val="00BC15E4"/>
    <w:pPr>
      <w:tabs>
        <w:tab w:val="clear" w:pos="432"/>
      </w:tabs>
      <w:spacing w:after="100"/>
      <w:ind w:left="1680"/>
    </w:pPr>
  </w:style>
  <w:style w:type="paragraph" w:styleId="TOC9">
    <w:name w:val="toc 9"/>
    <w:basedOn w:val="Normal"/>
    <w:next w:val="Normal"/>
    <w:autoRedefine/>
    <w:uiPriority w:val="39"/>
    <w:semiHidden/>
    <w:unhideWhenUsed/>
    <w:rsid w:val="00BC15E4"/>
    <w:pPr>
      <w:tabs>
        <w:tab w:val="clear" w:pos="432"/>
      </w:tabs>
      <w:spacing w:after="100"/>
      <w:ind w:left="1920"/>
    </w:pPr>
  </w:style>
  <w:style w:type="character" w:customStyle="1" w:styleId="FootnoteTextChar">
    <w:name w:val="Footnote Text Char"/>
    <w:basedOn w:val="DefaultParagraphFont"/>
    <w:link w:val="FootnoteText"/>
    <w:rsid w:val="00667D44"/>
    <w:rPr>
      <w:sz w:val="20"/>
    </w:rPr>
  </w:style>
  <w:style w:type="character" w:customStyle="1" w:styleId="Heading3Char">
    <w:name w:val="Heading 3 Char"/>
    <w:basedOn w:val="DefaultParagraphFont"/>
    <w:link w:val="Heading3"/>
    <w:rsid w:val="00667D44"/>
    <w:rPr>
      <w:b/>
    </w:rPr>
  </w:style>
  <w:style w:type="character" w:styleId="CommentReference">
    <w:name w:val="annotation reference"/>
    <w:basedOn w:val="DefaultParagraphFont"/>
    <w:uiPriority w:val="99"/>
    <w:semiHidden/>
    <w:unhideWhenUsed/>
    <w:rsid w:val="00667D44"/>
    <w:rPr>
      <w:sz w:val="16"/>
      <w:szCs w:val="16"/>
    </w:rPr>
  </w:style>
  <w:style w:type="paragraph" w:styleId="CommentText">
    <w:name w:val="annotation text"/>
    <w:basedOn w:val="Normal"/>
    <w:link w:val="CommentTextChar"/>
    <w:uiPriority w:val="99"/>
    <w:semiHidden/>
    <w:unhideWhenUsed/>
    <w:rsid w:val="00667D44"/>
    <w:pPr>
      <w:spacing w:line="240" w:lineRule="auto"/>
    </w:pPr>
    <w:rPr>
      <w:sz w:val="20"/>
      <w:szCs w:val="20"/>
    </w:rPr>
  </w:style>
  <w:style w:type="character" w:customStyle="1" w:styleId="CommentTextChar">
    <w:name w:val="Comment Text Char"/>
    <w:basedOn w:val="DefaultParagraphFont"/>
    <w:link w:val="CommentText"/>
    <w:uiPriority w:val="99"/>
    <w:semiHidden/>
    <w:rsid w:val="00667D44"/>
    <w:rPr>
      <w:sz w:val="20"/>
      <w:szCs w:val="20"/>
    </w:rPr>
  </w:style>
  <w:style w:type="character" w:customStyle="1" w:styleId="persontitle1">
    <w:name w:val="person_title1"/>
    <w:basedOn w:val="DefaultParagraphFont"/>
    <w:rsid w:val="00667D44"/>
    <w:rPr>
      <w:rFonts w:ascii="Verdana" w:hAnsi="Verdana" w:hint="default"/>
      <w:sz w:val="20"/>
      <w:szCs w:val="20"/>
    </w:rPr>
  </w:style>
  <w:style w:type="paragraph" w:styleId="PlainText">
    <w:name w:val="Plain Text"/>
    <w:basedOn w:val="Normal"/>
    <w:link w:val="PlainTextChar"/>
    <w:uiPriority w:val="99"/>
    <w:unhideWhenUsed/>
    <w:rsid w:val="00EC6360"/>
    <w:pPr>
      <w:tabs>
        <w:tab w:val="clear" w:pos="432"/>
      </w:tabs>
      <w:spacing w:line="240" w:lineRule="auto"/>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EC6360"/>
    <w:rPr>
      <w:rFonts w:ascii="Consolas" w:eastAsiaTheme="minorHAnsi" w:hAnsi="Consolas" w:cstheme="minorBidi"/>
      <w:sz w:val="21"/>
      <w:szCs w:val="21"/>
    </w:rPr>
  </w:style>
  <w:style w:type="paragraph" w:styleId="DocumentMap">
    <w:name w:val="Document Map"/>
    <w:basedOn w:val="Normal"/>
    <w:link w:val="DocumentMapChar"/>
    <w:uiPriority w:val="99"/>
    <w:semiHidden/>
    <w:unhideWhenUsed/>
    <w:rsid w:val="00E15986"/>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15986"/>
    <w:rPr>
      <w:rFonts w:ascii="Tahoma" w:hAnsi="Tahoma" w:cs="Tahoma"/>
      <w:sz w:val="16"/>
      <w:szCs w:val="16"/>
    </w:rPr>
  </w:style>
  <w:style w:type="character" w:styleId="LineNumber">
    <w:name w:val="line number"/>
    <w:basedOn w:val="DefaultParagraphFont"/>
    <w:uiPriority w:val="99"/>
    <w:semiHidden/>
    <w:unhideWhenUsed/>
    <w:rsid w:val="007330B2"/>
  </w:style>
  <w:style w:type="paragraph" w:styleId="CommentSubject">
    <w:name w:val="annotation subject"/>
    <w:basedOn w:val="CommentText"/>
    <w:next w:val="CommentText"/>
    <w:link w:val="CommentSubjectChar"/>
    <w:uiPriority w:val="99"/>
    <w:semiHidden/>
    <w:unhideWhenUsed/>
    <w:rsid w:val="004D7F55"/>
    <w:rPr>
      <w:b/>
      <w:bCs/>
    </w:rPr>
  </w:style>
  <w:style w:type="character" w:customStyle="1" w:styleId="CommentSubjectChar">
    <w:name w:val="Comment Subject Char"/>
    <w:basedOn w:val="CommentTextChar"/>
    <w:link w:val="CommentSubject"/>
    <w:uiPriority w:val="99"/>
    <w:semiHidden/>
    <w:rsid w:val="004D7F55"/>
    <w:rPr>
      <w:b/>
      <w:bCs/>
      <w:sz w:val="20"/>
      <w:szCs w:val="20"/>
    </w:rPr>
  </w:style>
  <w:style w:type="character" w:styleId="Hyperlink">
    <w:name w:val="Hyperlink"/>
    <w:basedOn w:val="DefaultParagraphFont"/>
    <w:unhideWhenUsed/>
    <w:rsid w:val="004D7F55"/>
    <w:rPr>
      <w:rFonts w:ascii="Arial" w:hAnsi="Arial" w:cs="Arial" w:hint="default"/>
      <w:strike w:val="0"/>
      <w:dstrike w:val="0"/>
      <w:color w:val="003366"/>
      <w:u w:val="none"/>
      <w:effect w:val="none"/>
    </w:rPr>
  </w:style>
  <w:style w:type="paragraph" w:styleId="Revision">
    <w:name w:val="Revision"/>
    <w:hidden/>
    <w:uiPriority w:val="99"/>
    <w:semiHidden/>
    <w:rsid w:val="000909EE"/>
  </w:style>
  <w:style w:type="character" w:styleId="Emphasis">
    <w:name w:val="Emphasis"/>
    <w:basedOn w:val="DefaultParagraphFont"/>
    <w:uiPriority w:val="20"/>
    <w:qFormat/>
    <w:rsid w:val="00F309D1"/>
    <w:rPr>
      <w:i/>
      <w:iCs/>
    </w:rPr>
  </w:style>
  <w:style w:type="character" w:customStyle="1" w:styleId="style91">
    <w:name w:val="style91"/>
    <w:basedOn w:val="DefaultParagraphFont"/>
    <w:rsid w:val="00F309D1"/>
    <w:rPr>
      <w:color w:val="FFFFFF"/>
    </w:rPr>
  </w:style>
  <w:style w:type="character" w:customStyle="1" w:styleId="googqs-tidbit1">
    <w:name w:val="goog_qs-tidbit1"/>
    <w:basedOn w:val="DefaultParagraphFont"/>
    <w:rsid w:val="00F309D1"/>
    <w:rPr>
      <w:vanish w:val="0"/>
      <w:webHidden w:val="0"/>
      <w:specVanish w:val="0"/>
    </w:rPr>
  </w:style>
  <w:style w:type="paragraph" w:styleId="NormalWeb">
    <w:name w:val="Normal (Web)"/>
    <w:basedOn w:val="Normal"/>
    <w:uiPriority w:val="99"/>
    <w:semiHidden/>
    <w:unhideWhenUsed/>
    <w:rsid w:val="00A9227C"/>
    <w:pPr>
      <w:tabs>
        <w:tab w:val="clear" w:pos="432"/>
      </w:tabs>
      <w:spacing w:before="100" w:beforeAutospacing="1" w:after="100" w:afterAutospacing="1" w:line="240" w:lineRule="auto"/>
      <w:ind w:firstLine="0"/>
      <w:jc w:val="left"/>
    </w:pPr>
    <w:rPr>
      <w:rFonts w:ascii="Times New Roman" w:eastAsiaTheme="minorHAnsi" w:hAnsi="Times New Roman"/>
    </w:rPr>
  </w:style>
  <w:style w:type="character" w:customStyle="1" w:styleId="Heading1Char">
    <w:name w:val="Heading 1 Char"/>
    <w:basedOn w:val="DefaultParagraphFont"/>
    <w:link w:val="Heading1"/>
    <w:rsid w:val="009154FD"/>
    <w:rPr>
      <w:b/>
      <w:caps/>
    </w:rPr>
  </w:style>
  <w:style w:type="character" w:customStyle="1" w:styleId="Heading2Char">
    <w:name w:val="Heading 2 Char"/>
    <w:basedOn w:val="DefaultParagraphFont"/>
    <w:link w:val="Heading2"/>
    <w:semiHidden/>
    <w:rsid w:val="009154FD"/>
    <w:rPr>
      <w:b/>
      <w:caps/>
    </w:rPr>
  </w:style>
  <w:style w:type="character" w:customStyle="1" w:styleId="Heading4Char">
    <w:name w:val="Heading 4 Char"/>
    <w:basedOn w:val="DefaultParagraphFont"/>
    <w:link w:val="Heading4"/>
    <w:rsid w:val="009154FD"/>
    <w:rPr>
      <w:b/>
    </w:rPr>
  </w:style>
  <w:style w:type="character" w:customStyle="1" w:styleId="Heading5Char">
    <w:name w:val="Heading 5 Char"/>
    <w:aliases w:val="Heading 5 (business proposal only) Char"/>
    <w:basedOn w:val="DefaultParagraphFont"/>
    <w:link w:val="Heading5"/>
    <w:semiHidden/>
    <w:rsid w:val="009154FD"/>
    <w:rPr>
      <w:b/>
    </w:rPr>
  </w:style>
  <w:style w:type="character" w:customStyle="1" w:styleId="Heading6Char">
    <w:name w:val="Heading 6 Char"/>
    <w:aliases w:val="Heading 6 (business proposal only) Char"/>
    <w:basedOn w:val="DefaultParagraphFont"/>
    <w:link w:val="Heading6"/>
    <w:semiHidden/>
    <w:rsid w:val="009154FD"/>
  </w:style>
  <w:style w:type="character" w:customStyle="1" w:styleId="Heading7Char">
    <w:name w:val="Heading 7 Char"/>
    <w:aliases w:val="Heading 7 (business proposal only) Char"/>
    <w:basedOn w:val="DefaultParagraphFont"/>
    <w:link w:val="Heading7"/>
    <w:semiHidden/>
    <w:rsid w:val="009154FD"/>
  </w:style>
  <w:style w:type="character" w:customStyle="1" w:styleId="Heading8Char">
    <w:name w:val="Heading 8 Char"/>
    <w:aliases w:val="Heading 8 (business proposal only) Char"/>
    <w:basedOn w:val="DefaultParagraphFont"/>
    <w:link w:val="Heading8"/>
    <w:semiHidden/>
    <w:rsid w:val="009154FD"/>
  </w:style>
  <w:style w:type="character" w:customStyle="1" w:styleId="Heading9Char">
    <w:name w:val="Heading 9 Char"/>
    <w:aliases w:val="Heading 9 (business proposal only) Char"/>
    <w:basedOn w:val="DefaultParagraphFont"/>
    <w:link w:val="Heading9"/>
    <w:semiHidden/>
    <w:rsid w:val="009154FD"/>
  </w:style>
  <w:style w:type="character" w:customStyle="1" w:styleId="FooterChar">
    <w:name w:val="Footer Char"/>
    <w:basedOn w:val="DefaultParagraphFont"/>
    <w:link w:val="Footer"/>
    <w:uiPriority w:val="99"/>
    <w:rsid w:val="009154FD"/>
  </w:style>
  <w:style w:type="character" w:customStyle="1" w:styleId="EndnoteTextChar">
    <w:name w:val="Endnote Text Char"/>
    <w:basedOn w:val="DefaultParagraphFont"/>
    <w:link w:val="EndnoteText"/>
    <w:semiHidden/>
    <w:rsid w:val="009154FD"/>
  </w:style>
  <w:style w:type="character" w:customStyle="1" w:styleId="NormalSSChar">
    <w:name w:val="NormalSS Char"/>
    <w:basedOn w:val="DefaultParagraphFont"/>
    <w:link w:val="NormalSS"/>
    <w:rsid w:val="009154FD"/>
  </w:style>
  <w:style w:type="paragraph" w:customStyle="1" w:styleId="Bullet-Circle">
    <w:name w:val="Bullet - Circle"/>
    <w:basedOn w:val="Dash"/>
    <w:rsid w:val="009154FD"/>
    <w:pPr>
      <w:numPr>
        <w:numId w:val="0"/>
      </w:numPr>
      <w:ind w:left="1530" w:hanging="450"/>
    </w:pPr>
  </w:style>
  <w:style w:type="paragraph" w:customStyle="1" w:styleId="Bullet-Square">
    <w:name w:val="Bullet - Square"/>
    <w:basedOn w:val="Dash"/>
    <w:rsid w:val="009154FD"/>
    <w:pPr>
      <w:numPr>
        <w:numId w:val="0"/>
      </w:numPr>
      <w:ind w:left="1890" w:hanging="360"/>
    </w:pPr>
  </w:style>
  <w:style w:type="character" w:styleId="FollowedHyperlink">
    <w:name w:val="FollowedHyperlink"/>
    <w:basedOn w:val="DefaultParagraphFont"/>
    <w:uiPriority w:val="99"/>
    <w:semiHidden/>
    <w:unhideWhenUsed/>
    <w:rsid w:val="009154FD"/>
    <w:rPr>
      <w:color w:val="800080" w:themeColor="followedHyperlink"/>
      <w:u w:val="single"/>
    </w:rPr>
  </w:style>
  <w:style w:type="paragraph" w:customStyle="1" w:styleId="Center">
    <w:name w:val="Center"/>
    <w:basedOn w:val="Normal"/>
    <w:rsid w:val="009154FD"/>
    <w:pPr>
      <w:ind w:firstLine="0"/>
      <w:jc w:val="center"/>
    </w:pPr>
    <w:rPr>
      <w:rFonts w:ascii="Times New Roman" w:hAnsi="Times New Roman"/>
    </w:rPr>
  </w:style>
  <w:style w:type="paragraph" w:styleId="BodyText">
    <w:name w:val="Body Text"/>
    <w:link w:val="BodyTextChar"/>
    <w:rsid w:val="00441D94"/>
    <w:pPr>
      <w:spacing w:after="240"/>
    </w:pPr>
    <w:rPr>
      <w:rFonts w:asciiTheme="minorHAnsi" w:hAnsiTheme="minorHAnsi"/>
      <w:sz w:val="23"/>
    </w:rPr>
  </w:style>
  <w:style w:type="character" w:customStyle="1" w:styleId="BodyTextChar">
    <w:name w:val="Body Text Char"/>
    <w:basedOn w:val="DefaultParagraphFont"/>
    <w:link w:val="BodyText"/>
    <w:rsid w:val="00441D94"/>
    <w:rPr>
      <w:rFonts w:asciiTheme="minorHAnsi" w:hAnsiTheme="minorHAnsi"/>
      <w:sz w:val="23"/>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OC1">
    <w:name w:val="MPROutline"/>
    <w:pPr>
      <w:numPr>
        <w:numId w:val="10"/>
      </w:numPr>
    </w:pPr>
  </w:style>
</w:styles>
</file>

<file path=word/webSettings.xml><?xml version="1.0" encoding="utf-8"?>
<w:webSettings xmlns:r="http://schemas.openxmlformats.org/officeDocument/2006/relationships" xmlns:w="http://schemas.openxmlformats.org/wordprocessingml/2006/main">
  <w:divs>
    <w:div w:id="335691723">
      <w:bodyDiv w:val="1"/>
      <w:marLeft w:val="0"/>
      <w:marRight w:val="0"/>
      <w:marTop w:val="0"/>
      <w:marBottom w:val="0"/>
      <w:divBdr>
        <w:top w:val="none" w:sz="0" w:space="0" w:color="auto"/>
        <w:left w:val="none" w:sz="0" w:space="0" w:color="auto"/>
        <w:bottom w:val="none" w:sz="0" w:space="0" w:color="auto"/>
        <w:right w:val="none" w:sz="0" w:space="0" w:color="auto"/>
      </w:divBdr>
    </w:div>
    <w:div w:id="1260523496">
      <w:bodyDiv w:val="1"/>
      <w:marLeft w:val="0"/>
      <w:marRight w:val="0"/>
      <w:marTop w:val="0"/>
      <w:marBottom w:val="0"/>
      <w:divBdr>
        <w:top w:val="none" w:sz="0" w:space="0" w:color="auto"/>
        <w:left w:val="none" w:sz="0" w:space="0" w:color="auto"/>
        <w:bottom w:val="none" w:sz="0" w:space="0" w:color="auto"/>
        <w:right w:val="none" w:sz="0" w:space="0" w:color="auto"/>
      </w:divBdr>
    </w:div>
    <w:div w:id="1606234036">
      <w:bodyDiv w:val="1"/>
      <w:marLeft w:val="0"/>
      <w:marRight w:val="0"/>
      <w:marTop w:val="0"/>
      <w:marBottom w:val="0"/>
      <w:divBdr>
        <w:top w:val="none" w:sz="0" w:space="0" w:color="auto"/>
        <w:left w:val="none" w:sz="0" w:space="0" w:color="auto"/>
        <w:bottom w:val="none" w:sz="0" w:space="0" w:color="auto"/>
        <w:right w:val="none" w:sz="0" w:space="0" w:color="auto"/>
      </w:divBdr>
    </w:div>
    <w:div w:id="1678921816">
      <w:bodyDiv w:val="1"/>
      <w:marLeft w:val="0"/>
      <w:marRight w:val="0"/>
      <w:marTop w:val="0"/>
      <w:marBottom w:val="0"/>
      <w:divBdr>
        <w:top w:val="none" w:sz="0" w:space="0" w:color="auto"/>
        <w:left w:val="none" w:sz="0" w:space="0" w:color="auto"/>
        <w:bottom w:val="none" w:sz="0" w:space="0" w:color="auto"/>
        <w:right w:val="none" w:sz="0" w:space="0" w:color="auto"/>
      </w:divBdr>
    </w:div>
    <w:div w:id="1835217936">
      <w:bodyDiv w:val="1"/>
      <w:marLeft w:val="0"/>
      <w:marRight w:val="0"/>
      <w:marTop w:val="0"/>
      <w:marBottom w:val="0"/>
      <w:divBdr>
        <w:top w:val="none" w:sz="0" w:space="0" w:color="auto"/>
        <w:left w:val="none" w:sz="0" w:space="0" w:color="auto"/>
        <w:bottom w:val="none" w:sz="0" w:space="0" w:color="auto"/>
        <w:right w:val="none" w:sz="0" w:space="0" w:color="auto"/>
      </w:divBdr>
    </w:div>
    <w:div w:id="184582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4.jpeg"/><Relationship Id="rId117" Type="http://schemas.openxmlformats.org/officeDocument/2006/relationships/footer" Target="footer10.xml"/><Relationship Id="rId21" Type="http://schemas.openxmlformats.org/officeDocument/2006/relationships/image" Target="media/image1.jpeg"/><Relationship Id="rId42" Type="http://schemas.openxmlformats.org/officeDocument/2006/relationships/image" Target="media/image8.emf"/><Relationship Id="rId47" Type="http://schemas.openxmlformats.org/officeDocument/2006/relationships/image" Target="media/image11.emf"/><Relationship Id="rId63" Type="http://schemas.openxmlformats.org/officeDocument/2006/relationships/image" Target="media/image22.wmf"/><Relationship Id="rId68" Type="http://schemas.openxmlformats.org/officeDocument/2006/relationships/image" Target="media/image26.wmf"/><Relationship Id="rId84" Type="http://schemas.openxmlformats.org/officeDocument/2006/relationships/image" Target="media/image35.wmf"/><Relationship Id="rId89" Type="http://schemas.openxmlformats.org/officeDocument/2006/relationships/oleObject" Target="embeddings/oleObject18.bin"/><Relationship Id="rId112" Type="http://schemas.openxmlformats.org/officeDocument/2006/relationships/oleObject" Target="embeddings/oleObject30.bin"/><Relationship Id="rId16" Type="http://schemas.openxmlformats.org/officeDocument/2006/relationships/styles" Target="styles.xml"/><Relationship Id="rId107" Type="http://schemas.openxmlformats.org/officeDocument/2006/relationships/image" Target="media/image46.emf"/><Relationship Id="rId11" Type="http://schemas.openxmlformats.org/officeDocument/2006/relationships/customXml" Target="../customXml/item11.xml"/><Relationship Id="rId32" Type="http://schemas.openxmlformats.org/officeDocument/2006/relationships/footer" Target="footer5.xml"/><Relationship Id="rId37" Type="http://schemas.openxmlformats.org/officeDocument/2006/relationships/image" Target="media/image5.emf"/><Relationship Id="rId53" Type="http://schemas.openxmlformats.org/officeDocument/2006/relationships/image" Target="media/image14.emf"/><Relationship Id="rId58" Type="http://schemas.openxmlformats.org/officeDocument/2006/relationships/image" Target="media/image17.wmf"/><Relationship Id="rId74" Type="http://schemas.openxmlformats.org/officeDocument/2006/relationships/image" Target="media/image30.wmf"/><Relationship Id="rId79" Type="http://schemas.openxmlformats.org/officeDocument/2006/relationships/oleObject" Target="embeddings/oleObject13.bin"/><Relationship Id="rId102" Type="http://schemas.openxmlformats.org/officeDocument/2006/relationships/oleObject" Target="embeddings/oleObject25.bin"/><Relationship Id="rId123"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image" Target="media/image20.wmf"/><Relationship Id="rId82" Type="http://schemas.openxmlformats.org/officeDocument/2006/relationships/image" Target="media/image34.wmf"/><Relationship Id="rId90" Type="http://schemas.openxmlformats.org/officeDocument/2006/relationships/image" Target="media/image38.emf"/><Relationship Id="rId95" Type="http://schemas.openxmlformats.org/officeDocument/2006/relationships/image" Target="media/image40.wmf"/><Relationship Id="rId19" Type="http://schemas.openxmlformats.org/officeDocument/2006/relationships/footnotes" Target="footnotes.xml"/><Relationship Id="rId14" Type="http://schemas.openxmlformats.org/officeDocument/2006/relationships/customXml" Target="../customXml/item14.xml"/><Relationship Id="rId22" Type="http://schemas.openxmlformats.org/officeDocument/2006/relationships/image" Target="media/image2.jpeg"/><Relationship Id="rId27" Type="http://schemas.openxmlformats.org/officeDocument/2006/relationships/header" Target="header1.xml"/><Relationship Id="rId30" Type="http://schemas.openxmlformats.org/officeDocument/2006/relationships/footer" Target="footer4.xml"/><Relationship Id="rId35" Type="http://schemas.openxmlformats.org/officeDocument/2006/relationships/header" Target="header5.xml"/><Relationship Id="rId43" Type="http://schemas.openxmlformats.org/officeDocument/2006/relationships/image" Target="media/image9.emf"/><Relationship Id="rId48" Type="http://schemas.openxmlformats.org/officeDocument/2006/relationships/oleObject" Target="embeddings/oleObject3.bin"/><Relationship Id="rId56" Type="http://schemas.openxmlformats.org/officeDocument/2006/relationships/image" Target="media/image16.wmf"/><Relationship Id="rId64" Type="http://schemas.openxmlformats.org/officeDocument/2006/relationships/image" Target="media/image23.wmf"/><Relationship Id="rId69" Type="http://schemas.openxmlformats.org/officeDocument/2006/relationships/oleObject" Target="embeddings/oleObject9.bin"/><Relationship Id="rId77" Type="http://schemas.openxmlformats.org/officeDocument/2006/relationships/oleObject" Target="embeddings/oleObject12.bin"/><Relationship Id="rId100" Type="http://schemas.openxmlformats.org/officeDocument/2006/relationships/oleObject" Target="embeddings/oleObject24.bin"/><Relationship Id="rId105" Type="http://schemas.openxmlformats.org/officeDocument/2006/relationships/image" Target="media/image45.wmf"/><Relationship Id="rId113" Type="http://schemas.openxmlformats.org/officeDocument/2006/relationships/footer" Target="footer8.xml"/><Relationship Id="rId118" Type="http://schemas.openxmlformats.org/officeDocument/2006/relationships/footer" Target="footer11.xml"/><Relationship Id="rId8" Type="http://schemas.openxmlformats.org/officeDocument/2006/relationships/customXml" Target="../customXml/item8.xml"/><Relationship Id="rId51" Type="http://schemas.openxmlformats.org/officeDocument/2006/relationships/image" Target="media/image12.emf"/><Relationship Id="rId72" Type="http://schemas.openxmlformats.org/officeDocument/2006/relationships/image" Target="media/image29.wmf"/><Relationship Id="rId80" Type="http://schemas.openxmlformats.org/officeDocument/2006/relationships/image" Target="media/image33.wmf"/><Relationship Id="rId85" Type="http://schemas.openxmlformats.org/officeDocument/2006/relationships/oleObject" Target="embeddings/oleObject16.bin"/><Relationship Id="rId93" Type="http://schemas.openxmlformats.org/officeDocument/2006/relationships/oleObject" Target="embeddings/oleObject20.bin"/><Relationship Id="rId98" Type="http://schemas.openxmlformats.org/officeDocument/2006/relationships/oleObject" Target="embeddings/oleObject23.bin"/><Relationship Id="rId121" Type="http://schemas.openxmlformats.org/officeDocument/2006/relationships/footer" Target="footer12.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settings" Target="settings.xml"/><Relationship Id="rId25" Type="http://schemas.openxmlformats.org/officeDocument/2006/relationships/image" Target="media/image3.jpeg"/><Relationship Id="rId33" Type="http://schemas.openxmlformats.org/officeDocument/2006/relationships/header" Target="header4.xml"/><Relationship Id="rId38" Type="http://schemas.openxmlformats.org/officeDocument/2006/relationships/hyperlink" Target="http://www.jhsph.edu/dept/mh" TargetMode="External"/><Relationship Id="rId46" Type="http://schemas.openxmlformats.org/officeDocument/2006/relationships/oleObject" Target="embeddings/oleObject2.bin"/><Relationship Id="rId59" Type="http://schemas.openxmlformats.org/officeDocument/2006/relationships/image" Target="media/image18.wmf"/><Relationship Id="rId67" Type="http://schemas.openxmlformats.org/officeDocument/2006/relationships/oleObject" Target="embeddings/oleObject8.bin"/><Relationship Id="rId103" Type="http://schemas.openxmlformats.org/officeDocument/2006/relationships/image" Target="media/image44.wmf"/><Relationship Id="rId108" Type="http://schemas.openxmlformats.org/officeDocument/2006/relationships/oleObject" Target="embeddings/oleObject28.bin"/><Relationship Id="rId116" Type="http://schemas.openxmlformats.org/officeDocument/2006/relationships/header" Target="header7.xml"/><Relationship Id="rId20" Type="http://schemas.openxmlformats.org/officeDocument/2006/relationships/endnotes" Target="endnotes.xml"/><Relationship Id="rId41" Type="http://schemas.openxmlformats.org/officeDocument/2006/relationships/image" Target="media/image7.emf"/><Relationship Id="rId54" Type="http://schemas.openxmlformats.org/officeDocument/2006/relationships/image" Target="media/image15.wmf"/><Relationship Id="rId62" Type="http://schemas.openxmlformats.org/officeDocument/2006/relationships/image" Target="media/image21.wmf"/><Relationship Id="rId70" Type="http://schemas.openxmlformats.org/officeDocument/2006/relationships/image" Target="media/image27.emf"/><Relationship Id="rId75" Type="http://schemas.openxmlformats.org/officeDocument/2006/relationships/oleObject" Target="embeddings/oleObject11.bin"/><Relationship Id="rId83" Type="http://schemas.openxmlformats.org/officeDocument/2006/relationships/oleObject" Target="embeddings/oleObject15.bin"/><Relationship Id="rId88" Type="http://schemas.openxmlformats.org/officeDocument/2006/relationships/image" Target="media/image37.wmf"/><Relationship Id="rId91" Type="http://schemas.openxmlformats.org/officeDocument/2006/relationships/oleObject" Target="embeddings/oleObject19.bin"/><Relationship Id="rId96" Type="http://schemas.openxmlformats.org/officeDocument/2006/relationships/oleObject" Target="embeddings/oleObject22.bin"/><Relationship Id="rId111" Type="http://schemas.openxmlformats.org/officeDocument/2006/relationships/image" Target="media/image48.wmf"/><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numbering" Target="numbering.xml"/><Relationship Id="rId23" Type="http://schemas.openxmlformats.org/officeDocument/2006/relationships/footer" Target="footer1.xml"/><Relationship Id="rId28" Type="http://schemas.openxmlformats.org/officeDocument/2006/relationships/footer" Target="footer3.xml"/><Relationship Id="rId36" Type="http://schemas.openxmlformats.org/officeDocument/2006/relationships/footer" Target="footer7.xml"/><Relationship Id="rId49" Type="http://schemas.openxmlformats.org/officeDocument/2006/relationships/oleObject" Target="embeddings/oleObject4.bin"/><Relationship Id="rId57" Type="http://schemas.openxmlformats.org/officeDocument/2006/relationships/oleObject" Target="embeddings/oleObject7.bin"/><Relationship Id="rId106" Type="http://schemas.openxmlformats.org/officeDocument/2006/relationships/oleObject" Target="embeddings/oleObject27.bin"/><Relationship Id="rId114" Type="http://schemas.openxmlformats.org/officeDocument/2006/relationships/header" Target="header6.xml"/><Relationship Id="rId119" Type="http://schemas.openxmlformats.org/officeDocument/2006/relationships/image" Target="media/image49.jpeg"/><Relationship Id="rId10" Type="http://schemas.openxmlformats.org/officeDocument/2006/relationships/customXml" Target="../customXml/item10.xml"/><Relationship Id="rId31" Type="http://schemas.openxmlformats.org/officeDocument/2006/relationships/header" Target="header3.xml"/><Relationship Id="rId44" Type="http://schemas.openxmlformats.org/officeDocument/2006/relationships/oleObject" Target="embeddings/oleObject1.bin"/><Relationship Id="rId52" Type="http://schemas.openxmlformats.org/officeDocument/2006/relationships/image" Target="media/image13.emf"/><Relationship Id="rId60" Type="http://schemas.openxmlformats.org/officeDocument/2006/relationships/image" Target="media/image19.wmf"/><Relationship Id="rId65" Type="http://schemas.openxmlformats.org/officeDocument/2006/relationships/image" Target="media/image24.wmf"/><Relationship Id="rId73" Type="http://schemas.openxmlformats.org/officeDocument/2006/relationships/oleObject" Target="embeddings/oleObject10.bin"/><Relationship Id="rId78" Type="http://schemas.openxmlformats.org/officeDocument/2006/relationships/image" Target="media/image32.wmf"/><Relationship Id="rId81" Type="http://schemas.openxmlformats.org/officeDocument/2006/relationships/oleObject" Target="embeddings/oleObject14.bin"/><Relationship Id="rId86" Type="http://schemas.openxmlformats.org/officeDocument/2006/relationships/image" Target="media/image36.wmf"/><Relationship Id="rId94" Type="http://schemas.openxmlformats.org/officeDocument/2006/relationships/oleObject" Target="embeddings/oleObject21.bin"/><Relationship Id="rId99" Type="http://schemas.openxmlformats.org/officeDocument/2006/relationships/image" Target="media/image42.wmf"/><Relationship Id="rId101" Type="http://schemas.openxmlformats.org/officeDocument/2006/relationships/image" Target="media/image43.wmf"/><Relationship Id="rId122" Type="http://schemas.openxmlformats.org/officeDocument/2006/relationships/fontTable" Target="fontTable.xml"/><Relationship Id="rId177"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webSettings" Target="webSettings.xml"/><Relationship Id="rId39" Type="http://schemas.openxmlformats.org/officeDocument/2006/relationships/hyperlink" Target="http://www.biostat.jhsph.edu/" TargetMode="External"/><Relationship Id="rId109" Type="http://schemas.openxmlformats.org/officeDocument/2006/relationships/image" Target="media/image47.wmf"/><Relationship Id="rId34" Type="http://schemas.openxmlformats.org/officeDocument/2006/relationships/footer" Target="footer6.xml"/><Relationship Id="rId50" Type="http://schemas.openxmlformats.org/officeDocument/2006/relationships/oleObject" Target="embeddings/oleObject5.bin"/><Relationship Id="rId55" Type="http://schemas.openxmlformats.org/officeDocument/2006/relationships/oleObject" Target="embeddings/oleObject6.bin"/><Relationship Id="rId76" Type="http://schemas.openxmlformats.org/officeDocument/2006/relationships/image" Target="media/image31.wmf"/><Relationship Id="rId97" Type="http://schemas.openxmlformats.org/officeDocument/2006/relationships/image" Target="media/image41.wmf"/><Relationship Id="rId104" Type="http://schemas.openxmlformats.org/officeDocument/2006/relationships/oleObject" Target="embeddings/oleObject26.bin"/><Relationship Id="rId120" Type="http://schemas.openxmlformats.org/officeDocument/2006/relationships/header" Target="header8.xml"/><Relationship Id="rId7" Type="http://schemas.openxmlformats.org/officeDocument/2006/relationships/customXml" Target="../customXml/item7.xml"/><Relationship Id="rId71" Type="http://schemas.openxmlformats.org/officeDocument/2006/relationships/image" Target="media/image28.emf"/><Relationship Id="rId92" Type="http://schemas.openxmlformats.org/officeDocument/2006/relationships/image" Target="media/image39.wmf"/><Relationship Id="rId2" Type="http://schemas.openxmlformats.org/officeDocument/2006/relationships/customXml" Target="../customXml/item2.xml"/><Relationship Id="rId29" Type="http://schemas.openxmlformats.org/officeDocument/2006/relationships/header" Target="header2.xml"/><Relationship Id="rId24" Type="http://schemas.openxmlformats.org/officeDocument/2006/relationships/footer" Target="footer2.xml"/><Relationship Id="rId40" Type="http://schemas.openxmlformats.org/officeDocument/2006/relationships/image" Target="media/image6.emf"/><Relationship Id="rId45" Type="http://schemas.openxmlformats.org/officeDocument/2006/relationships/image" Target="media/image10.emf"/><Relationship Id="rId66" Type="http://schemas.openxmlformats.org/officeDocument/2006/relationships/image" Target="media/image25.wmf"/><Relationship Id="rId87" Type="http://schemas.openxmlformats.org/officeDocument/2006/relationships/oleObject" Target="embeddings/oleObject17.bin"/><Relationship Id="rId110" Type="http://schemas.openxmlformats.org/officeDocument/2006/relationships/oleObject" Target="embeddings/oleObject29.bin"/><Relationship Id="rId115"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30323-7368-421F-9502-7F8A0A828B38}">
  <ds:schemaRefs>
    <ds:schemaRef ds:uri="http://schemas.openxmlformats.org/officeDocument/2006/bibliography"/>
  </ds:schemaRefs>
</ds:datastoreItem>
</file>

<file path=customXml/itemProps10.xml><?xml version="1.0" encoding="utf-8"?>
<ds:datastoreItem xmlns:ds="http://schemas.openxmlformats.org/officeDocument/2006/customXml" ds:itemID="{93CF57E8-78D2-4F2A-91E0-0074BCC7DD5F}">
  <ds:schemaRefs>
    <ds:schemaRef ds:uri="http://schemas.openxmlformats.org/officeDocument/2006/bibliography"/>
  </ds:schemaRefs>
</ds:datastoreItem>
</file>

<file path=customXml/itemProps11.xml><?xml version="1.0" encoding="utf-8"?>
<ds:datastoreItem xmlns:ds="http://schemas.openxmlformats.org/officeDocument/2006/customXml" ds:itemID="{AC2BAEF6-2F7B-417D-A820-A1C74F415070}">
  <ds:schemaRefs>
    <ds:schemaRef ds:uri="http://schemas.openxmlformats.org/officeDocument/2006/bibliography"/>
  </ds:schemaRefs>
</ds:datastoreItem>
</file>

<file path=customXml/itemProps12.xml><?xml version="1.0" encoding="utf-8"?>
<ds:datastoreItem xmlns:ds="http://schemas.openxmlformats.org/officeDocument/2006/customXml" ds:itemID="{0A1B5833-0D64-47ED-AD61-E84B19D638E9}">
  <ds:schemaRefs>
    <ds:schemaRef ds:uri="http://schemas.openxmlformats.org/officeDocument/2006/bibliography"/>
  </ds:schemaRefs>
</ds:datastoreItem>
</file>

<file path=customXml/itemProps13.xml><?xml version="1.0" encoding="utf-8"?>
<ds:datastoreItem xmlns:ds="http://schemas.openxmlformats.org/officeDocument/2006/customXml" ds:itemID="{5D94D0A3-93C8-41A8-8081-8A8126983CC4}">
  <ds:schemaRefs>
    <ds:schemaRef ds:uri="http://schemas.openxmlformats.org/officeDocument/2006/bibliography"/>
  </ds:schemaRefs>
</ds:datastoreItem>
</file>

<file path=customXml/itemProps14.xml><?xml version="1.0" encoding="utf-8"?>
<ds:datastoreItem xmlns:ds="http://schemas.openxmlformats.org/officeDocument/2006/customXml" ds:itemID="{BD8CBD00-C1BE-488F-9040-CF64CA4FEB63}">
  <ds:schemaRefs>
    <ds:schemaRef ds:uri="http://schemas.openxmlformats.org/officeDocument/2006/bibliography"/>
  </ds:schemaRefs>
</ds:datastoreItem>
</file>

<file path=customXml/itemProps2.xml><?xml version="1.0" encoding="utf-8"?>
<ds:datastoreItem xmlns:ds="http://schemas.openxmlformats.org/officeDocument/2006/customXml" ds:itemID="{FAE43FD0-ED8B-471B-9986-D3F672E27E76}">
  <ds:schemaRefs>
    <ds:schemaRef ds:uri="http://schemas.openxmlformats.org/officeDocument/2006/bibliography"/>
  </ds:schemaRefs>
</ds:datastoreItem>
</file>

<file path=customXml/itemProps3.xml><?xml version="1.0" encoding="utf-8"?>
<ds:datastoreItem xmlns:ds="http://schemas.openxmlformats.org/officeDocument/2006/customXml" ds:itemID="{0220AB76-8462-4B37-A75D-68D801C905DB}">
  <ds:schemaRefs>
    <ds:schemaRef ds:uri="http://schemas.openxmlformats.org/officeDocument/2006/bibliography"/>
  </ds:schemaRefs>
</ds:datastoreItem>
</file>

<file path=customXml/itemProps4.xml><?xml version="1.0" encoding="utf-8"?>
<ds:datastoreItem xmlns:ds="http://schemas.openxmlformats.org/officeDocument/2006/customXml" ds:itemID="{4A7C3291-B72E-4C6E-86EB-4D66EF746CA1}">
  <ds:schemaRefs>
    <ds:schemaRef ds:uri="http://schemas.openxmlformats.org/officeDocument/2006/bibliography"/>
  </ds:schemaRefs>
</ds:datastoreItem>
</file>

<file path=customXml/itemProps5.xml><?xml version="1.0" encoding="utf-8"?>
<ds:datastoreItem xmlns:ds="http://schemas.openxmlformats.org/officeDocument/2006/customXml" ds:itemID="{F49F410D-E505-4ED0-A77B-3F99F7E581F8}">
  <ds:schemaRefs>
    <ds:schemaRef ds:uri="http://schemas.openxmlformats.org/officeDocument/2006/bibliography"/>
  </ds:schemaRefs>
</ds:datastoreItem>
</file>

<file path=customXml/itemProps6.xml><?xml version="1.0" encoding="utf-8"?>
<ds:datastoreItem xmlns:ds="http://schemas.openxmlformats.org/officeDocument/2006/customXml" ds:itemID="{A774070E-1A23-4E43-990D-24E1132582BC}">
  <ds:schemaRefs>
    <ds:schemaRef ds:uri="http://schemas.openxmlformats.org/officeDocument/2006/bibliography"/>
  </ds:schemaRefs>
</ds:datastoreItem>
</file>

<file path=customXml/itemProps7.xml><?xml version="1.0" encoding="utf-8"?>
<ds:datastoreItem xmlns:ds="http://schemas.openxmlformats.org/officeDocument/2006/customXml" ds:itemID="{DF6B2460-558E-4AE5-BE31-B001617A8483}">
  <ds:schemaRefs>
    <ds:schemaRef ds:uri="http://schemas.openxmlformats.org/officeDocument/2006/bibliography"/>
  </ds:schemaRefs>
</ds:datastoreItem>
</file>

<file path=customXml/itemProps8.xml><?xml version="1.0" encoding="utf-8"?>
<ds:datastoreItem xmlns:ds="http://schemas.openxmlformats.org/officeDocument/2006/customXml" ds:itemID="{222BAE73-72A9-4DD8-9A18-9DEFE02202AC}">
  <ds:schemaRefs>
    <ds:schemaRef ds:uri="http://schemas.openxmlformats.org/officeDocument/2006/bibliography"/>
  </ds:schemaRefs>
</ds:datastoreItem>
</file>

<file path=customXml/itemProps9.xml><?xml version="1.0" encoding="utf-8"?>
<ds:datastoreItem xmlns:ds="http://schemas.openxmlformats.org/officeDocument/2006/customXml" ds:itemID="{A9C4EC6A-B12B-4EBD-9627-3315F75F6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36</TotalTime>
  <Pages>34</Pages>
  <Words>9986</Words>
  <Characters>55352</Characters>
  <Application>Microsoft Office Word</Application>
  <DocSecurity>0</DocSecurity>
  <Lines>461</Lines>
  <Paragraphs>130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65208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Hallgren</dc:creator>
  <cp:lastModifiedBy>katrina.ingalls</cp:lastModifiedBy>
  <cp:revision>2</cp:revision>
  <cp:lastPrinted>2011-09-09T16:15:00Z</cp:lastPrinted>
  <dcterms:created xsi:type="dcterms:W3CDTF">2011-12-07T19:32:00Z</dcterms:created>
  <dcterms:modified xsi:type="dcterms:W3CDTF">2011-12-07T19:32:00Z</dcterms:modified>
</cp:coreProperties>
</file>