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84" w:rsidRPr="00F57D0B" w:rsidRDefault="00806084" w:rsidP="00806084">
      <w:pPr>
        <w:pStyle w:val="AbtHeadA"/>
        <w:spacing w:after="0"/>
      </w:pPr>
      <w:bookmarkStart w:id="0" w:name="_Toc190490668"/>
      <w:bookmarkStart w:id="1" w:name="_Toc248818771"/>
      <w:bookmarkStart w:id="2" w:name="_Toc306361482"/>
      <w:r w:rsidRPr="00F343E6">
        <w:t>Part B</w:t>
      </w:r>
      <w:r>
        <w:t>.</w:t>
      </w:r>
      <w:r>
        <w:tab/>
        <w:t xml:space="preserve">Collection of Information Employing </w:t>
      </w:r>
      <w:r w:rsidRPr="00F57D0B">
        <w:t>Statistical Methods</w:t>
      </w:r>
      <w:bookmarkEnd w:id="0"/>
      <w:bookmarkEnd w:id="1"/>
      <w:bookmarkEnd w:id="2"/>
    </w:p>
    <w:p w:rsidR="00806084" w:rsidRDefault="00806084" w:rsidP="00806084">
      <w:bookmarkStart w:id="3" w:name="_Toc190490669"/>
      <w:bookmarkStart w:id="4" w:name="_Toc248818772"/>
    </w:p>
    <w:p w:rsidR="00806084" w:rsidRDefault="00806084" w:rsidP="00806084">
      <w:pPr>
        <w:pStyle w:val="AbtHeadB"/>
        <w:spacing w:after="0"/>
      </w:pPr>
      <w:bookmarkStart w:id="5" w:name="_Toc306361483"/>
      <w:r w:rsidRPr="00F57D0B">
        <w:t>B1</w:t>
      </w:r>
      <w:r w:rsidRPr="00F57D0B">
        <w:tab/>
        <w:t>Potential Respondent Universe</w:t>
      </w:r>
      <w:bookmarkEnd w:id="3"/>
      <w:bookmarkEnd w:id="4"/>
      <w:bookmarkEnd w:id="5"/>
    </w:p>
    <w:p w:rsidR="00806084" w:rsidRPr="00257204" w:rsidRDefault="00806084" w:rsidP="00806084">
      <w:bookmarkStart w:id="6" w:name="_Toc190490670"/>
      <w:bookmarkStart w:id="7" w:name="_Toc248818773"/>
      <w:r>
        <w:t>The potential respondent universe for the site visits includes the 56 grantees throughout the country awarded an NSP2 grant.</w:t>
      </w:r>
      <w:r w:rsidRPr="00257204">
        <w:t xml:space="preserve"> The 56 grantees cover 3,068 census tracts in 133 counties and 29 states.  Of the $1.93 billion in NSP2 funding, approximately $947 million went to 24 grantees operating exclusively in states that were hit hardest by the national foreclosure crisis—</w:t>
      </w:r>
      <w:smartTag w:uri="urn:schemas-microsoft-com:office:smarttags" w:element="State">
        <w:r w:rsidRPr="00257204">
          <w:t>California</w:t>
        </w:r>
      </w:smartTag>
      <w:r w:rsidRPr="00257204">
        <w:t xml:space="preserve">, </w:t>
      </w:r>
      <w:smartTag w:uri="urn:schemas-microsoft-com:office:smarttags" w:element="State">
        <w:r w:rsidRPr="00257204">
          <w:t>Florida</w:t>
        </w:r>
      </w:smartTag>
      <w:r w:rsidRPr="00257204">
        <w:t xml:space="preserve">, </w:t>
      </w:r>
      <w:smartTag w:uri="urn:schemas-microsoft-com:office:smarttags" w:element="State">
        <w:r w:rsidRPr="00257204">
          <w:t>Michigan</w:t>
        </w:r>
      </w:smartTag>
      <w:r w:rsidRPr="00257204">
        <w:t xml:space="preserve">, </w:t>
      </w:r>
      <w:smartTag w:uri="urn:schemas-microsoft-com:office:smarttags" w:element="State">
        <w:r w:rsidRPr="00257204">
          <w:t>Nevada</w:t>
        </w:r>
      </w:smartTag>
      <w:r w:rsidRPr="00257204">
        <w:t xml:space="preserve"> and </w:t>
      </w:r>
      <w:smartTag w:uri="urn:schemas-microsoft-com:office:smarttags" w:element="State">
        <w:smartTag w:uri="urn:schemas-microsoft-com:office:smarttags" w:element="place">
          <w:r w:rsidRPr="00257204">
            <w:t>Ohio</w:t>
          </w:r>
        </w:smartTag>
      </w:smartTag>
      <w:r w:rsidRPr="00257204">
        <w:t>.</w:t>
      </w:r>
      <w:r w:rsidRPr="00257204">
        <w:rPr>
          <w:vertAlign w:val="superscript"/>
        </w:rPr>
        <w:footnoteReference w:id="1"/>
      </w:r>
      <w:r w:rsidRPr="00257204">
        <w:t xml:space="preserve">  </w:t>
      </w:r>
      <w:r>
        <w:t>T</w:t>
      </w:r>
      <w:r w:rsidRPr="00F343E6">
        <w:t>his section describes the plan</w:t>
      </w:r>
      <w:r>
        <w:t xml:space="preserve"> and methods </w:t>
      </w:r>
      <w:r w:rsidRPr="00F343E6">
        <w:t xml:space="preserve">for selecting a sample of these </w:t>
      </w:r>
      <w:r>
        <w:t xml:space="preserve">grantees </w:t>
      </w:r>
      <w:r w:rsidRPr="00F343E6">
        <w:t xml:space="preserve">for the </w:t>
      </w:r>
      <w:r>
        <w:t>baseline site visits and focus of the analysis.</w:t>
      </w:r>
    </w:p>
    <w:p w:rsidR="00806084" w:rsidRDefault="00806084" w:rsidP="00806084"/>
    <w:p w:rsidR="00806084" w:rsidRPr="00F343E6" w:rsidRDefault="00806084" w:rsidP="00806084">
      <w:pPr>
        <w:pStyle w:val="AbtHeadB"/>
        <w:spacing w:after="0"/>
      </w:pPr>
      <w:bookmarkStart w:id="8" w:name="_Toc306361484"/>
      <w:r w:rsidRPr="00F343E6">
        <w:t>B2</w:t>
      </w:r>
      <w:r w:rsidRPr="00F343E6">
        <w:tab/>
      </w:r>
      <w:r w:rsidRPr="00F57D0B">
        <w:t>Statistical Methods</w:t>
      </w:r>
      <w:bookmarkEnd w:id="6"/>
      <w:bookmarkEnd w:id="7"/>
      <w:bookmarkEnd w:id="8"/>
    </w:p>
    <w:p w:rsidR="00806084" w:rsidRPr="00420FCC" w:rsidRDefault="00806084" w:rsidP="00806084">
      <w:bookmarkStart w:id="9" w:name="_Toc245609870"/>
      <w:bookmarkStart w:id="10" w:name="_Toc248818774"/>
    </w:p>
    <w:p w:rsidR="00806084" w:rsidRDefault="00806084" w:rsidP="00806084">
      <w:pPr>
        <w:pStyle w:val="AbtHeadC"/>
        <w:spacing w:after="0"/>
      </w:pPr>
      <w:bookmarkStart w:id="11" w:name="_Toc306361485"/>
      <w:r w:rsidRPr="00F343E6">
        <w:t>B2.1</w:t>
      </w:r>
      <w:r w:rsidRPr="00F343E6">
        <w:tab/>
        <w:t>Sampling Plan</w:t>
      </w:r>
      <w:bookmarkEnd w:id="9"/>
      <w:bookmarkEnd w:id="10"/>
      <w:bookmarkEnd w:id="11"/>
    </w:p>
    <w:p w:rsidR="00806084" w:rsidRDefault="00806084" w:rsidP="00806084">
      <w:r>
        <w:t xml:space="preserve">The sampling </w:t>
      </w:r>
      <w:r w:rsidRPr="000348DB">
        <w:t>plan divide</w:t>
      </w:r>
      <w:r>
        <w:t>d</w:t>
      </w:r>
      <w:r w:rsidRPr="000348DB">
        <w:t xml:space="preserve"> all 133 counties targeted by NSP2 into categories based on the performance of the housing and labor markets during the housing boom and bust periods; select</w:t>
      </w:r>
      <w:r>
        <w:t>ed</w:t>
      </w:r>
      <w:r w:rsidRPr="000348DB">
        <w:t xml:space="preserve"> counties with the highest expected NSP2 investment per census tract within those categories; and then </w:t>
      </w:r>
      <w:r>
        <w:t>made</w:t>
      </w:r>
      <w:r w:rsidRPr="000348DB">
        <w:t xml:space="preserve"> some substitutions by hand to ensure the selected counties represented a large share of the NSP2 funding and </w:t>
      </w:r>
      <w:r>
        <w:t>had representation of the</w:t>
      </w:r>
      <w:r w:rsidRPr="000348DB">
        <w:t xml:space="preserve"> NSP2 </w:t>
      </w:r>
      <w:r>
        <w:t>program</w:t>
      </w:r>
      <w:r w:rsidRPr="000348DB">
        <w:t xml:space="preserve"> on other important grantee characteristics.</w:t>
      </w:r>
      <w:r>
        <w:t xml:space="preserve"> The plan also defined a </w:t>
      </w:r>
      <w:r w:rsidRPr="000348DB">
        <w:t>minimum expected NSP2 investment level for the county to be included in the</w:t>
      </w:r>
      <w:r>
        <w:t xml:space="preserve"> sampling frame.  Specifically, counties </w:t>
      </w:r>
      <w:r w:rsidRPr="000348DB">
        <w:t>that were neither the primary community a grantee was investing in (defined as the county with the most census tracts targeted by the grantee) nor had an expected NSP2 investment level of at least $10 million</w:t>
      </w:r>
      <w:r>
        <w:t xml:space="preserve"> were </w:t>
      </w:r>
      <w:r w:rsidRPr="000348DB">
        <w:t>removed from the sampling frame.  This step eliminated 78 of the 133 counties where NSP2 investments are occurring, leaving 55 counties eligible for the study.</w:t>
      </w:r>
      <w:r w:rsidRPr="000348DB">
        <w:rPr>
          <w:vertAlign w:val="superscript"/>
        </w:rPr>
        <w:footnoteReference w:id="2"/>
      </w:r>
      <w:r>
        <w:t xml:space="preserve">  T</w:t>
      </w:r>
      <w:r w:rsidRPr="000348DB">
        <w:t xml:space="preserve">hese counties </w:t>
      </w:r>
      <w:r>
        <w:t xml:space="preserve">were removed </w:t>
      </w:r>
      <w:r w:rsidRPr="000348DB">
        <w:t xml:space="preserve">because, after looking over the distribution of expected NSP2 investments, </w:t>
      </w:r>
      <w:r>
        <w:t>the researchers</w:t>
      </w:r>
      <w:r w:rsidRPr="000348DB">
        <w:t xml:space="preserve"> judged that the most valuable information on the NSP2 program would be in the communities the grantee was most focused on or </w:t>
      </w:r>
      <w:r>
        <w:t xml:space="preserve">that </w:t>
      </w:r>
      <w:r w:rsidRPr="000348DB">
        <w:t>had a substantial amount of investment from grantees</w:t>
      </w:r>
      <w:r w:rsidRPr="0054118B">
        <w:t xml:space="preserve">.  </w:t>
      </w:r>
      <w:r>
        <w:t>Indeed, m</w:t>
      </w:r>
      <w:r w:rsidRPr="000348DB">
        <w:t>ore than half of the ineligible counties are from primarily non-urban c</w:t>
      </w:r>
      <w:r>
        <w:t xml:space="preserve">ounties in Ohio and Colorado.  </w:t>
      </w:r>
    </w:p>
    <w:p w:rsidR="00806084" w:rsidRDefault="00806084" w:rsidP="00806084">
      <w:pPr>
        <w:pStyle w:val="BodyText"/>
        <w:spacing w:after="0"/>
      </w:pPr>
    </w:p>
    <w:p w:rsidR="00806084" w:rsidRPr="00E82DAF" w:rsidRDefault="00806084" w:rsidP="00806084">
      <w:pPr>
        <w:pStyle w:val="BodyText"/>
        <w:spacing w:after="0"/>
        <w:rPr>
          <w:i/>
        </w:rPr>
      </w:pPr>
      <w:r w:rsidRPr="00E82DAF">
        <w:rPr>
          <w:i/>
        </w:rPr>
        <w:t xml:space="preserve">The sample is a purposive sample </w:t>
      </w:r>
      <w:r>
        <w:rPr>
          <w:i/>
        </w:rPr>
        <w:t>because the</w:t>
      </w:r>
      <w:r>
        <w:t xml:space="preserve"> </w:t>
      </w:r>
      <w:r w:rsidRPr="00E82DAF">
        <w:rPr>
          <w:i/>
        </w:rPr>
        <w:t xml:space="preserve">nature of the program </w:t>
      </w:r>
      <w:r>
        <w:rPr>
          <w:i/>
        </w:rPr>
        <w:t>makes the purposive sample more relevant to future policy than a representative sample specific to the NSP2 program.</w:t>
      </w:r>
      <w:r w:rsidRPr="00E82DAF">
        <w:rPr>
          <w:i/>
        </w:rPr>
        <w:t xml:space="preserve">  </w:t>
      </w:r>
      <w:r>
        <w:rPr>
          <w:i/>
        </w:rPr>
        <w:t xml:space="preserve">NSP2 grants were awarded competitively to communities that could demonstrate both need and effective implementation.  This process differed from the formula-based award process for NSP1 and NSP3 grants.  The objective of the sampling approach is therefore to allow assessment of the impact of NSP activities across housing markets that vary in their market conditions and in the intensity of NSP investment. This choice reflects the study’s focus on understanding the impact of NSP activities in different housing market contexts, rather than defining the sample with respect to the NSP2 program’s funding allocation.  </w:t>
      </w:r>
    </w:p>
    <w:p w:rsidR="00806084" w:rsidRPr="00A70E24" w:rsidRDefault="00806084" w:rsidP="00806084">
      <w:pPr>
        <w:pStyle w:val="BodyText"/>
        <w:spacing w:after="0"/>
      </w:pPr>
    </w:p>
    <w:p w:rsidR="00806084" w:rsidRDefault="00806084" w:rsidP="00806084">
      <w:pPr>
        <w:pStyle w:val="AbtHeadC"/>
        <w:spacing w:after="0"/>
      </w:pPr>
      <w:bookmarkStart w:id="12" w:name="_Toc245537739"/>
      <w:bookmarkStart w:id="13" w:name="_Toc287519683"/>
      <w:bookmarkStart w:id="14" w:name="_Toc306361486"/>
      <w:r>
        <w:lastRenderedPageBreak/>
        <w:t>B2.2</w:t>
      </w:r>
      <w:r>
        <w:tab/>
        <w:t>Analysis Plan</w:t>
      </w:r>
      <w:bookmarkEnd w:id="12"/>
      <w:bookmarkEnd w:id="13"/>
      <w:bookmarkEnd w:id="14"/>
    </w:p>
    <w:p w:rsidR="00806084" w:rsidRPr="000348DB" w:rsidRDefault="00806084" w:rsidP="00806084">
      <w:r w:rsidRPr="000348DB">
        <w:t>The sampling f</w:t>
      </w:r>
      <w:r>
        <w:t>rame was first divided into five</w:t>
      </w:r>
      <w:r w:rsidRPr="000348DB">
        <w:t xml:space="preserve"> strata based on housing market and rel</w:t>
      </w:r>
      <w:r>
        <w:t xml:space="preserve">ated labor market conditions.  </w:t>
      </w:r>
      <w:r w:rsidRPr="000348DB">
        <w:t>This was done to ensure the evaluation sample covered counties with different experiences during the boom and bust period over the past decade because housing market trends are expected to be an important mediating factor on the impact of NSP to stabilize neighborhoods in a co</w:t>
      </w:r>
      <w:r>
        <w:t xml:space="preserve">mmunity. </w:t>
      </w:r>
      <w:r w:rsidRPr="000348DB">
        <w:t xml:space="preserve"> The </w:t>
      </w:r>
      <w:r>
        <w:t>five</w:t>
      </w:r>
      <w:r w:rsidRPr="000348DB">
        <w:t xml:space="preserve"> mutually exclusive housing m</w:t>
      </w:r>
      <w:r>
        <w:t>arket categories are as follows:</w:t>
      </w:r>
    </w:p>
    <w:p w:rsidR="00806084" w:rsidRPr="000348DB" w:rsidRDefault="00806084" w:rsidP="00806084"/>
    <w:p w:rsidR="00806084" w:rsidRPr="005268BE" w:rsidRDefault="00806084" w:rsidP="00806084">
      <w:pPr>
        <w:pStyle w:val="Bullets"/>
        <w:tabs>
          <w:tab w:val="clear" w:pos="720"/>
          <w:tab w:val="clear" w:pos="1080"/>
          <w:tab w:val="clear" w:pos="1440"/>
          <w:tab w:val="clear" w:pos="1800"/>
        </w:tabs>
        <w:spacing w:line="240" w:lineRule="auto"/>
        <w:ind w:left="360"/>
        <w:rPr>
          <w:szCs w:val="22"/>
        </w:rPr>
      </w:pPr>
      <w:r w:rsidRPr="00473F87">
        <w:rPr>
          <w:b/>
        </w:rPr>
        <w:t>Boom-Bust Market Counties</w:t>
      </w:r>
      <w:r w:rsidRPr="00473F87">
        <w:t xml:space="preserve">.  </w:t>
      </w:r>
      <w:r>
        <w:t>These are c</w:t>
      </w:r>
      <w:r w:rsidRPr="000348DB">
        <w:t xml:space="preserve">ounties </w:t>
      </w:r>
      <w:r>
        <w:t>with</w:t>
      </w:r>
      <w:r w:rsidRPr="000348DB">
        <w:t>in MSAs with high price appreciation during the pre-2007 housing bubble and a large decline in housing prices and increase in unemployment during the bust.</w:t>
      </w:r>
      <w:r w:rsidRPr="000348DB">
        <w:rPr>
          <w:vertAlign w:val="superscript"/>
        </w:rPr>
        <w:footnoteReference w:id="3"/>
      </w:r>
      <w:r w:rsidRPr="000348DB">
        <w:t xml:space="preserve">  High growth during the bubble is d</w:t>
      </w:r>
      <w:r>
        <w:t xml:space="preserve">efined as being in the top half of </w:t>
      </w:r>
      <w:r w:rsidRPr="000348DB">
        <w:t>growth</w:t>
      </w:r>
      <w:r>
        <w:t xml:space="preserve"> in housing prices</w:t>
      </w:r>
      <w:r w:rsidRPr="000348DB">
        <w:t xml:space="preserve"> for MSAs in the nation from the first quarter of 2000 to second quarter of 2007</w:t>
      </w:r>
      <w:r>
        <w:t>,</w:t>
      </w:r>
      <w:r w:rsidRPr="000348DB">
        <w:t xml:space="preserve"> and the post-bubble bust is defined as being in the top half of the decline in housing prices and increase in the unemployment rate from the </w:t>
      </w:r>
      <w:r w:rsidRPr="005268BE">
        <w:rPr>
          <w:szCs w:val="22"/>
        </w:rPr>
        <w:t>third quarter of 2007 to the fourth quarter of 2009.</w:t>
      </w:r>
      <w:r w:rsidRPr="005268BE">
        <w:rPr>
          <w:szCs w:val="22"/>
          <w:vertAlign w:val="superscript"/>
        </w:rPr>
        <w:footnoteReference w:id="4"/>
      </w:r>
      <w:r w:rsidRPr="005268BE">
        <w:rPr>
          <w:szCs w:val="22"/>
        </w:rPr>
        <w:t xml:space="preserve">  To account for geographic differences in the housing markets, we divided the boom-bust market counties into two strata. </w:t>
      </w:r>
    </w:p>
    <w:p w:rsidR="00806084" w:rsidRPr="00473F87" w:rsidRDefault="00806084" w:rsidP="00806084">
      <w:pPr>
        <w:ind w:left="720"/>
        <w:rPr>
          <w:szCs w:val="22"/>
        </w:rPr>
      </w:pPr>
    </w:p>
    <w:p w:rsidR="00806084" w:rsidRPr="00473F87" w:rsidRDefault="00806084" w:rsidP="00806084">
      <w:pPr>
        <w:pStyle w:val="ListParagraph"/>
        <w:numPr>
          <w:ilvl w:val="0"/>
          <w:numId w:val="2"/>
        </w:numPr>
        <w:tabs>
          <w:tab w:val="clear" w:pos="720"/>
          <w:tab w:val="clear" w:pos="1440"/>
          <w:tab w:val="left" w:pos="540"/>
        </w:tabs>
        <w:spacing w:line="240" w:lineRule="auto"/>
        <w:ind w:left="540" w:hanging="450"/>
        <w:rPr>
          <w:szCs w:val="22"/>
        </w:rPr>
      </w:pPr>
      <w:r w:rsidRPr="00473F87">
        <w:rPr>
          <w:b/>
        </w:rPr>
        <w:t>Boom-Bust Market Counties: Sand States (18 Counties</w:t>
      </w:r>
      <w:r w:rsidRPr="00564CDE">
        <w:rPr>
          <w:b/>
        </w:rPr>
        <w:t>)</w:t>
      </w:r>
      <w:r w:rsidRPr="00564CDE">
        <w:t>.   Sand States are used in the literature to</w:t>
      </w:r>
      <w:r w:rsidRPr="00564CDE">
        <w:rPr>
          <w:szCs w:val="22"/>
        </w:rPr>
        <w:t xml:space="preserve"> refer to states with significant coastal beaches or deserts and substantial recent population</w:t>
      </w:r>
      <w:r w:rsidRPr="00473F87">
        <w:rPr>
          <w:szCs w:val="22"/>
        </w:rPr>
        <w:t xml:space="preserve"> growth.  These states are considered to be Arizona, California, Florida, and Nevada, but we also included other western states in this category.   Most of the counties in this category are in either California or Florida.  The NSP2 counties in the Sand States tend to have larger housing price appreciation during the boom and larger price depreciation during the bust compared to the other counties in the boom-bust category.  </w:t>
      </w:r>
    </w:p>
    <w:p w:rsidR="00806084" w:rsidRPr="00473F87" w:rsidRDefault="00806084" w:rsidP="00806084">
      <w:pPr>
        <w:tabs>
          <w:tab w:val="left" w:pos="900"/>
        </w:tabs>
        <w:rPr>
          <w:szCs w:val="22"/>
        </w:rPr>
      </w:pPr>
    </w:p>
    <w:p w:rsidR="00806084" w:rsidRPr="00473F87" w:rsidRDefault="00806084" w:rsidP="00806084">
      <w:pPr>
        <w:pStyle w:val="ListParagraph"/>
        <w:numPr>
          <w:ilvl w:val="0"/>
          <w:numId w:val="2"/>
        </w:numPr>
        <w:tabs>
          <w:tab w:val="clear" w:pos="720"/>
          <w:tab w:val="clear" w:pos="1440"/>
          <w:tab w:val="left" w:pos="540"/>
        </w:tabs>
        <w:spacing w:line="240" w:lineRule="auto"/>
        <w:ind w:left="540" w:hanging="450"/>
        <w:rPr>
          <w:szCs w:val="22"/>
        </w:rPr>
      </w:pPr>
      <w:r w:rsidRPr="00473F87">
        <w:rPr>
          <w:b/>
        </w:rPr>
        <w:t>Boom-</w:t>
      </w:r>
      <w:r w:rsidRPr="00473F87">
        <w:rPr>
          <w:b/>
          <w:szCs w:val="22"/>
        </w:rPr>
        <w:t>Bust Market Counties: East Coast States (9 Counties)</w:t>
      </w:r>
      <w:r w:rsidRPr="00473F87">
        <w:rPr>
          <w:szCs w:val="22"/>
        </w:rPr>
        <w:t>.</w:t>
      </w:r>
      <w:r w:rsidRPr="00473F87">
        <w:rPr>
          <w:b/>
          <w:szCs w:val="22"/>
        </w:rPr>
        <w:t xml:space="preserve">   </w:t>
      </w:r>
      <w:r w:rsidRPr="00473F87">
        <w:rPr>
          <w:szCs w:val="22"/>
        </w:rPr>
        <w:t xml:space="preserve">All except one of the other boom-bust counties are all on the East Coast, either in the New York-New Jersey area or in the Mid-Atlantic area.  The one non-East Coast state in this category is Cook County, Illinois.   NSP2 counties in these states did not see as extreme housing price appreciation or price depreciation rates as the counties in Sand States, but housing prices still increased by at least 65 percent in the boom.   The counties in the East Coast also had modest to low </w:t>
      </w:r>
      <w:proofErr w:type="gramStart"/>
      <w:r w:rsidRPr="00473F87">
        <w:rPr>
          <w:szCs w:val="22"/>
        </w:rPr>
        <w:t>levels</w:t>
      </w:r>
      <w:proofErr w:type="gramEnd"/>
      <w:r w:rsidRPr="00473F87">
        <w:rPr>
          <w:szCs w:val="22"/>
        </w:rPr>
        <w:t xml:space="preserve"> of population growth in the first half of the 2000s while the counties in the Sand States tended to have double-digit population growth rates during that period.  The Sand States had correspondingly higher rates of housing growth, particularly in exurban locations.  These differences in housing markets may affect housing market outcomes and the impact of NSP2, and thus the separation of the Boom-Bust group into two categories is warranted.</w:t>
      </w:r>
    </w:p>
    <w:p w:rsidR="00806084" w:rsidRPr="00473F87" w:rsidRDefault="00806084" w:rsidP="00806084">
      <w:pPr>
        <w:rPr>
          <w:szCs w:val="22"/>
        </w:rPr>
      </w:pPr>
    </w:p>
    <w:p w:rsidR="00806084" w:rsidRPr="00473F87" w:rsidRDefault="00806084" w:rsidP="00806084">
      <w:pPr>
        <w:pStyle w:val="ListParagraph"/>
        <w:numPr>
          <w:ilvl w:val="0"/>
          <w:numId w:val="2"/>
        </w:numPr>
        <w:tabs>
          <w:tab w:val="clear" w:pos="720"/>
          <w:tab w:val="clear" w:pos="1440"/>
          <w:tab w:val="left" w:pos="540"/>
        </w:tabs>
        <w:spacing w:line="240" w:lineRule="auto"/>
        <w:ind w:left="540" w:hanging="450"/>
      </w:pPr>
      <w:r w:rsidRPr="00473F87">
        <w:rPr>
          <w:b/>
        </w:rPr>
        <w:t>Boom-Stable Market Counties (9 counties).</w:t>
      </w:r>
      <w:r w:rsidRPr="00473F87">
        <w:t xml:space="preserve">  Counties that had above average housing price growth during the boom, but either did not have an above average decline in housing prices during the bust or did not have an above average increase in unemployment rates during the bust.    These counties usually had housing price rate growth rates lower than the Boom-Bust Sand States, but </w:t>
      </w:r>
      <w:r w:rsidRPr="00473F87">
        <w:lastRenderedPageBreak/>
        <w:t xml:space="preserve">almost as high as the Boom-Bust East Coast States.   However, their housing markets appear to be more stable during the bust period than the Boom-Bust East Coast state as </w:t>
      </w:r>
      <w:proofErr w:type="gramStart"/>
      <w:r w:rsidRPr="00473F87">
        <w:t>neither the housing price declines or</w:t>
      </w:r>
      <w:proofErr w:type="gramEnd"/>
      <w:r w:rsidRPr="00473F87">
        <w:t xml:space="preserve"> the unemployment rate increases tended to be as large.</w:t>
      </w:r>
    </w:p>
    <w:p w:rsidR="00806084" w:rsidRPr="00473F87" w:rsidRDefault="00806084" w:rsidP="00806084">
      <w:pPr>
        <w:pStyle w:val="ListParagraph"/>
        <w:rPr>
          <w:b/>
          <w:szCs w:val="22"/>
        </w:rPr>
      </w:pPr>
    </w:p>
    <w:p w:rsidR="00806084" w:rsidRPr="00473F87" w:rsidRDefault="00806084" w:rsidP="00806084">
      <w:pPr>
        <w:pStyle w:val="ListParagraph"/>
        <w:numPr>
          <w:ilvl w:val="0"/>
          <w:numId w:val="2"/>
        </w:numPr>
        <w:tabs>
          <w:tab w:val="clear" w:pos="720"/>
          <w:tab w:val="clear" w:pos="1440"/>
          <w:tab w:val="left" w:pos="540"/>
        </w:tabs>
        <w:spacing w:line="240" w:lineRule="auto"/>
        <w:ind w:left="540" w:hanging="450"/>
      </w:pPr>
      <w:r w:rsidRPr="00473F87">
        <w:rPr>
          <w:b/>
        </w:rPr>
        <w:t>Lagging</w:t>
      </w:r>
      <w:r w:rsidRPr="00473F87">
        <w:rPr>
          <w:b/>
          <w:szCs w:val="22"/>
        </w:rPr>
        <w:t>/Declining Market Counties (16 Counties)</w:t>
      </w:r>
      <w:r w:rsidRPr="00473F87">
        <w:rPr>
          <w:szCs w:val="22"/>
        </w:rPr>
        <w:t xml:space="preserve">.  For this category, we identify counties with housing markets that appear to be in a longer-term decline than defined by just the national housing market bust period.  </w:t>
      </w:r>
      <w:r w:rsidRPr="00473F87">
        <w:t xml:space="preserve"> Operationally, we placed counties in this category if the MSA was in the bottom half of price appreciation during the boom period and had an unemployment rate above the median at the end of the boom period in 2007.</w:t>
      </w:r>
      <w:r w:rsidRPr="00473F87">
        <w:rPr>
          <w:vertAlign w:val="superscript"/>
        </w:rPr>
        <w:footnoteReference w:id="5"/>
      </w:r>
      <w:r w:rsidRPr="00473F87">
        <w:t xml:space="preserve">   The NSP2 counties in this category are almost exclusively in Ohio and Michigan.  Most of these counties had declining population during the first half of the 2000s.</w:t>
      </w:r>
    </w:p>
    <w:p w:rsidR="00806084" w:rsidRPr="00473F87" w:rsidRDefault="00806084" w:rsidP="00806084">
      <w:pPr>
        <w:ind w:left="720"/>
      </w:pPr>
    </w:p>
    <w:p w:rsidR="00806084" w:rsidRDefault="00806084" w:rsidP="00806084">
      <w:pPr>
        <w:pStyle w:val="ListParagraph"/>
        <w:numPr>
          <w:ilvl w:val="0"/>
          <w:numId w:val="2"/>
        </w:numPr>
        <w:tabs>
          <w:tab w:val="clear" w:pos="720"/>
          <w:tab w:val="clear" w:pos="1440"/>
          <w:tab w:val="left" w:pos="540"/>
        </w:tabs>
        <w:spacing w:line="240" w:lineRule="auto"/>
        <w:ind w:left="540" w:hanging="450"/>
      </w:pPr>
      <w:r w:rsidRPr="00473F87">
        <w:rPr>
          <w:b/>
        </w:rPr>
        <w:t>Slow Growth Counties (3 Counties)</w:t>
      </w:r>
      <w:r w:rsidRPr="00473F87">
        <w:t>.  This category consists of counties in MSAs that are similar to the Boom-Stable counties, except housing prices did not increase as much during the boom period.  Operationally, the counties in this category were in the bottom half of housing price growth during the boom period, but on the lower half of unemployment rates</w:t>
      </w:r>
      <w:r>
        <w:t xml:space="preserve"> at the end of the boom period.</w:t>
      </w:r>
    </w:p>
    <w:p w:rsidR="00806084" w:rsidRDefault="00806084" w:rsidP="00806084">
      <w:pPr>
        <w:pStyle w:val="ListParagraph"/>
      </w:pPr>
    </w:p>
    <w:p w:rsidR="00806084" w:rsidRPr="000348DB" w:rsidRDefault="00806084" w:rsidP="00806084">
      <w:r>
        <w:t>The next step in the sampling plan</w:t>
      </w:r>
      <w:r w:rsidRPr="000348DB">
        <w:t xml:space="preserve"> allocated the sample to housing market categories in proportion to the share of </w:t>
      </w:r>
      <w:r>
        <w:t>counties</w:t>
      </w:r>
      <w:r w:rsidRPr="000348DB">
        <w:t xml:space="preserve"> in that category in the s</w:t>
      </w:r>
      <w:r>
        <w:t>ampling frame.  For example, 33</w:t>
      </w:r>
      <w:r w:rsidRPr="000348DB">
        <w:t xml:space="preserve"> percent of the 55 counties in the sampling frame are Boom-Bust Market Counties in Sand States, </w:t>
      </w:r>
      <w:r>
        <w:t>so we allocated 35 percent of the sample slots (7</w:t>
      </w:r>
      <w:r w:rsidRPr="000348DB">
        <w:t xml:space="preserve"> of the 20 sample slots) to that category.   The planned allocation is </w:t>
      </w:r>
      <w:r w:rsidRPr="00564CDE">
        <w:t xml:space="preserve">shown in Exhibit </w:t>
      </w:r>
      <w:r>
        <w:t>4</w:t>
      </w:r>
      <w:r w:rsidRPr="00564CDE">
        <w:t>.</w:t>
      </w:r>
    </w:p>
    <w:p w:rsidR="00806084" w:rsidRDefault="00806084" w:rsidP="00806084"/>
    <w:p w:rsidR="00806084" w:rsidRPr="000348DB" w:rsidRDefault="00806084" w:rsidP="00806084">
      <w:pPr>
        <w:keepNext/>
        <w:keepLines/>
        <w:widowControl w:val="0"/>
        <w:tabs>
          <w:tab w:val="left" w:pos="1170"/>
        </w:tabs>
        <w:ind w:left="1170" w:hanging="1170"/>
        <w:rPr>
          <w:rFonts w:ascii="Arial" w:hAnsi="Arial"/>
          <w:b/>
          <w:bCs/>
          <w:sz w:val="20"/>
        </w:rPr>
      </w:pPr>
      <w:r w:rsidRPr="00564CDE">
        <w:rPr>
          <w:rFonts w:ascii="Arial" w:hAnsi="Arial"/>
          <w:b/>
          <w:bCs/>
          <w:sz w:val="20"/>
        </w:rPr>
        <w:t xml:space="preserve">Exhibit </w:t>
      </w:r>
      <w:r>
        <w:rPr>
          <w:rFonts w:ascii="Arial" w:hAnsi="Arial"/>
          <w:b/>
          <w:bCs/>
          <w:sz w:val="20"/>
        </w:rPr>
        <w:t>4</w:t>
      </w:r>
      <w:r w:rsidRPr="00564CDE">
        <w:rPr>
          <w:rFonts w:ascii="Arial" w:hAnsi="Arial"/>
          <w:b/>
          <w:bCs/>
          <w:sz w:val="20"/>
        </w:rPr>
        <w:t>:</w:t>
      </w:r>
      <w:r w:rsidRPr="00564CDE">
        <w:rPr>
          <w:rFonts w:ascii="Arial" w:hAnsi="Arial"/>
          <w:b/>
          <w:bCs/>
          <w:sz w:val="20"/>
        </w:rPr>
        <w:tab/>
        <w:t>Number</w:t>
      </w:r>
      <w:r w:rsidRPr="000348DB">
        <w:rPr>
          <w:rFonts w:ascii="Arial" w:hAnsi="Arial"/>
          <w:b/>
          <w:bCs/>
          <w:sz w:val="20"/>
        </w:rPr>
        <w:t xml:space="preserve"> of Counties in Sampling Frame and Selected Planned Sample by Housing Market Category</w:t>
      </w:r>
    </w:p>
    <w:tbl>
      <w:tblPr>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189"/>
        <w:gridCol w:w="1131"/>
        <w:gridCol w:w="1543"/>
        <w:gridCol w:w="1440"/>
        <w:gridCol w:w="2057"/>
      </w:tblGrid>
      <w:tr w:rsidR="00806084" w:rsidRPr="000348DB" w:rsidTr="00D51E0E">
        <w:trPr>
          <w:trHeight w:val="637"/>
        </w:trPr>
        <w:tc>
          <w:tcPr>
            <w:tcW w:w="3189" w:type="dxa"/>
            <w:tcBorders>
              <w:right w:val="single" w:sz="8" w:space="0" w:color="FFFFFF"/>
            </w:tcBorders>
            <w:shd w:val="clear" w:color="auto" w:fill="DA291C"/>
            <w:vAlign w:val="bottom"/>
          </w:tcPr>
          <w:p w:rsidR="00806084" w:rsidRDefault="00806084" w:rsidP="00D51E0E">
            <w:pPr>
              <w:jc w:val="center"/>
              <w:rPr>
                <w:rFonts w:ascii="Arial" w:hAnsi="Arial" w:cs="Arial"/>
                <w:b/>
                <w:color w:val="FFFFFF"/>
                <w:sz w:val="20"/>
              </w:rPr>
            </w:pPr>
          </w:p>
          <w:p w:rsidR="00806084" w:rsidRDefault="00806084" w:rsidP="00D51E0E">
            <w:pPr>
              <w:jc w:val="center"/>
              <w:rPr>
                <w:rFonts w:ascii="Arial" w:hAnsi="Arial" w:cs="Arial"/>
                <w:b/>
                <w:color w:val="FFFFFF"/>
                <w:sz w:val="20"/>
              </w:rPr>
            </w:pPr>
          </w:p>
          <w:p w:rsidR="00806084" w:rsidRDefault="00806084" w:rsidP="00D51E0E">
            <w:pPr>
              <w:jc w:val="center"/>
              <w:rPr>
                <w:rFonts w:ascii="Arial" w:hAnsi="Arial" w:cs="Arial"/>
                <w:b/>
                <w:color w:val="FFFFFF"/>
                <w:sz w:val="20"/>
              </w:rPr>
            </w:pPr>
          </w:p>
          <w:p w:rsidR="00806084" w:rsidRDefault="00806084" w:rsidP="00D51E0E">
            <w:pPr>
              <w:jc w:val="center"/>
              <w:rPr>
                <w:rFonts w:ascii="Arial" w:hAnsi="Arial" w:cs="Arial"/>
                <w:b/>
                <w:color w:val="FFFFFF"/>
                <w:sz w:val="20"/>
              </w:rPr>
            </w:pPr>
          </w:p>
          <w:p w:rsidR="00806084" w:rsidRPr="00F131CB" w:rsidRDefault="00806084" w:rsidP="00D51E0E">
            <w:pPr>
              <w:jc w:val="center"/>
              <w:rPr>
                <w:rFonts w:ascii="Arial" w:hAnsi="Arial" w:cs="Arial"/>
                <w:b/>
                <w:color w:val="FFFFFF"/>
                <w:sz w:val="20"/>
              </w:rPr>
            </w:pPr>
          </w:p>
        </w:tc>
        <w:tc>
          <w:tcPr>
            <w:tcW w:w="1131" w:type="dxa"/>
            <w:tcBorders>
              <w:left w:val="single" w:sz="8" w:space="0" w:color="FFFFFF"/>
              <w:righ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 of Counties in Sampling Frame</w:t>
            </w:r>
          </w:p>
        </w:tc>
        <w:tc>
          <w:tcPr>
            <w:tcW w:w="1543" w:type="dxa"/>
            <w:tcBorders>
              <w:left w:val="single" w:sz="8" w:space="0" w:color="FFFFFF"/>
              <w:righ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 of Counties in Sampling Frame</w:t>
            </w:r>
          </w:p>
        </w:tc>
        <w:tc>
          <w:tcPr>
            <w:tcW w:w="1440" w:type="dxa"/>
            <w:tcBorders>
              <w:left w:val="single" w:sz="8" w:space="0" w:color="FFFFFF"/>
              <w:righ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Pr>
                <w:rFonts w:ascii="Arial" w:hAnsi="Arial" w:cs="Arial"/>
                <w:b/>
                <w:color w:val="FFFFFF"/>
                <w:sz w:val="20"/>
              </w:rPr>
              <w:t xml:space="preserve">Planned Sample Allocation </w:t>
            </w:r>
          </w:p>
        </w:tc>
        <w:tc>
          <w:tcPr>
            <w:tcW w:w="2057" w:type="dxa"/>
            <w:tcBorders>
              <w:left w:val="single" w:sz="8" w:space="0" w:color="FFFFFF"/>
            </w:tcBorders>
            <w:shd w:val="clear" w:color="auto" w:fill="DA291C"/>
            <w:vAlign w:val="bottom"/>
          </w:tcPr>
          <w:p w:rsidR="00806084" w:rsidRDefault="00806084" w:rsidP="00D51E0E">
            <w:pPr>
              <w:jc w:val="center"/>
              <w:rPr>
                <w:rFonts w:ascii="Arial" w:hAnsi="Arial" w:cs="Arial"/>
                <w:b/>
                <w:color w:val="FFFFFF"/>
                <w:sz w:val="20"/>
              </w:rPr>
            </w:pPr>
          </w:p>
          <w:p w:rsidR="00806084" w:rsidRPr="00F131CB" w:rsidRDefault="00806084" w:rsidP="00D51E0E">
            <w:pPr>
              <w:jc w:val="center"/>
              <w:rPr>
                <w:rFonts w:ascii="Arial" w:hAnsi="Arial" w:cs="Arial"/>
                <w:b/>
                <w:color w:val="FFFFFF"/>
                <w:sz w:val="20"/>
              </w:rPr>
            </w:pPr>
            <w:r>
              <w:rPr>
                <w:rFonts w:ascii="Arial" w:hAnsi="Arial" w:cs="Arial"/>
                <w:b/>
                <w:color w:val="FFFFFF"/>
                <w:sz w:val="20"/>
              </w:rPr>
              <w:t>% of Counties in Planned Sample</w:t>
            </w:r>
          </w:p>
        </w:tc>
      </w:tr>
      <w:tr w:rsidR="00806084" w:rsidRPr="000348DB" w:rsidTr="00D51E0E">
        <w:trPr>
          <w:trHeight w:val="88"/>
        </w:trPr>
        <w:tc>
          <w:tcPr>
            <w:tcW w:w="3189" w:type="dxa"/>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Boom-Bust Market Counties – Sand States</w:t>
            </w:r>
          </w:p>
        </w:tc>
        <w:tc>
          <w:tcPr>
            <w:tcW w:w="1131" w:type="dxa"/>
            <w:shd w:val="clear" w:color="auto" w:fill="auto"/>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18</w:t>
            </w:r>
          </w:p>
        </w:tc>
        <w:tc>
          <w:tcPr>
            <w:tcW w:w="1543" w:type="dxa"/>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32.7%</w:t>
            </w:r>
          </w:p>
        </w:tc>
        <w:tc>
          <w:tcPr>
            <w:tcW w:w="1440" w:type="dxa"/>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7</w:t>
            </w:r>
          </w:p>
        </w:tc>
        <w:tc>
          <w:tcPr>
            <w:tcW w:w="2057" w:type="dxa"/>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35%</w:t>
            </w:r>
          </w:p>
        </w:tc>
      </w:tr>
      <w:tr w:rsidR="00806084" w:rsidRPr="000348DB" w:rsidTr="00D51E0E">
        <w:tc>
          <w:tcPr>
            <w:tcW w:w="3189"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Boom-Bust Market Counties—East Coast</w:t>
            </w:r>
          </w:p>
        </w:tc>
        <w:tc>
          <w:tcPr>
            <w:tcW w:w="1131"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9</w:t>
            </w:r>
          </w:p>
        </w:tc>
        <w:tc>
          <w:tcPr>
            <w:tcW w:w="1543"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16.4%</w:t>
            </w:r>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3</w:t>
            </w:r>
          </w:p>
        </w:tc>
        <w:tc>
          <w:tcPr>
            <w:tcW w:w="2057"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15%</w:t>
            </w:r>
          </w:p>
        </w:tc>
      </w:tr>
      <w:tr w:rsidR="00806084" w:rsidRPr="000348DB" w:rsidTr="00D51E0E">
        <w:trPr>
          <w:trHeight w:val="385"/>
        </w:trPr>
        <w:tc>
          <w:tcPr>
            <w:tcW w:w="3189" w:type="dxa"/>
            <w:shd w:val="clear" w:color="auto" w:fill="FFFFFF"/>
            <w:vAlign w:val="center"/>
          </w:tcPr>
          <w:p w:rsidR="00806084" w:rsidRPr="000348DB" w:rsidRDefault="00806084" w:rsidP="00D51E0E">
            <w:pPr>
              <w:rPr>
                <w:rFonts w:ascii="Arial" w:hAnsi="Arial" w:cs="Arial"/>
                <w:bCs/>
                <w:color w:val="000000"/>
                <w:sz w:val="20"/>
              </w:rPr>
            </w:pPr>
            <w:r>
              <w:rPr>
                <w:rFonts w:ascii="Arial" w:hAnsi="Arial" w:cs="Arial"/>
                <w:bCs/>
                <w:color w:val="000000"/>
                <w:sz w:val="20"/>
              </w:rPr>
              <w:t xml:space="preserve">Boom-Stable </w:t>
            </w:r>
          </w:p>
        </w:tc>
        <w:tc>
          <w:tcPr>
            <w:tcW w:w="1131"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9</w:t>
            </w:r>
          </w:p>
        </w:tc>
        <w:tc>
          <w:tcPr>
            <w:tcW w:w="1543"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16.4%</w:t>
            </w:r>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3</w:t>
            </w:r>
          </w:p>
        </w:tc>
        <w:tc>
          <w:tcPr>
            <w:tcW w:w="2057"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15%</w:t>
            </w:r>
          </w:p>
        </w:tc>
      </w:tr>
      <w:tr w:rsidR="00806084" w:rsidRPr="000348DB" w:rsidTr="00D51E0E">
        <w:trPr>
          <w:trHeight w:val="340"/>
        </w:trPr>
        <w:tc>
          <w:tcPr>
            <w:tcW w:w="3189" w:type="dxa"/>
            <w:tcBorders>
              <w:bottom w:val="single" w:sz="8" w:space="0" w:color="000000"/>
            </w:tcBorders>
            <w:shd w:val="clear" w:color="auto" w:fill="FFFFFF"/>
            <w:vAlign w:val="center"/>
          </w:tcPr>
          <w:p w:rsidR="00806084" w:rsidRPr="000348DB" w:rsidRDefault="00806084" w:rsidP="00D51E0E">
            <w:pPr>
              <w:rPr>
                <w:rFonts w:ascii="Arial" w:hAnsi="Arial" w:cs="Arial"/>
                <w:bCs/>
                <w:color w:val="000000"/>
                <w:sz w:val="20"/>
              </w:rPr>
            </w:pPr>
            <w:r>
              <w:rPr>
                <w:rFonts w:ascii="Arial" w:hAnsi="Arial" w:cs="Arial"/>
                <w:bCs/>
                <w:color w:val="000000"/>
                <w:sz w:val="20"/>
              </w:rPr>
              <w:t>Slow Growth</w:t>
            </w:r>
          </w:p>
        </w:tc>
        <w:tc>
          <w:tcPr>
            <w:tcW w:w="1131" w:type="dxa"/>
            <w:tcBorders>
              <w:bottom w:val="single" w:sz="8" w:space="0" w:color="000000"/>
            </w:tcBorders>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3</w:t>
            </w:r>
          </w:p>
        </w:tc>
        <w:tc>
          <w:tcPr>
            <w:tcW w:w="1543" w:type="dxa"/>
            <w:tcBorders>
              <w:bottom w:val="single" w:sz="8" w:space="0" w:color="000000"/>
            </w:tcBorders>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5.5%</w:t>
            </w:r>
          </w:p>
        </w:tc>
        <w:tc>
          <w:tcPr>
            <w:tcW w:w="1440" w:type="dxa"/>
            <w:tcBorders>
              <w:bottom w:val="single" w:sz="8" w:space="0" w:color="000000"/>
            </w:tcBorders>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1</w:t>
            </w:r>
          </w:p>
        </w:tc>
        <w:tc>
          <w:tcPr>
            <w:tcW w:w="2057" w:type="dxa"/>
            <w:tcBorders>
              <w:bottom w:val="single" w:sz="8" w:space="0" w:color="000000"/>
            </w:tcBorders>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5%</w:t>
            </w:r>
          </w:p>
        </w:tc>
      </w:tr>
      <w:tr w:rsidR="00806084" w:rsidRPr="000348DB" w:rsidTr="00D51E0E">
        <w:trPr>
          <w:trHeight w:val="340"/>
        </w:trPr>
        <w:tc>
          <w:tcPr>
            <w:tcW w:w="3189" w:type="dxa"/>
            <w:tcBorders>
              <w:bottom w:val="single" w:sz="8" w:space="0" w:color="000000"/>
            </w:tcBorders>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Lagging/Declining Counties</w:t>
            </w:r>
          </w:p>
        </w:tc>
        <w:tc>
          <w:tcPr>
            <w:tcW w:w="1131" w:type="dxa"/>
            <w:tcBorders>
              <w:bottom w:val="single" w:sz="8" w:space="0" w:color="000000"/>
            </w:tcBorders>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16</w:t>
            </w:r>
          </w:p>
        </w:tc>
        <w:tc>
          <w:tcPr>
            <w:tcW w:w="1543" w:type="dxa"/>
            <w:tcBorders>
              <w:bottom w:val="single" w:sz="8" w:space="0" w:color="000000"/>
            </w:tcBorders>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29.0%</w:t>
            </w:r>
          </w:p>
        </w:tc>
        <w:tc>
          <w:tcPr>
            <w:tcW w:w="1440" w:type="dxa"/>
            <w:tcBorders>
              <w:bottom w:val="single" w:sz="8" w:space="0" w:color="000000"/>
            </w:tcBorders>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6</w:t>
            </w:r>
          </w:p>
        </w:tc>
        <w:tc>
          <w:tcPr>
            <w:tcW w:w="2057" w:type="dxa"/>
            <w:tcBorders>
              <w:bottom w:val="single" w:sz="8" w:space="0" w:color="000000"/>
            </w:tcBorders>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30%</w:t>
            </w:r>
          </w:p>
        </w:tc>
      </w:tr>
      <w:tr w:rsidR="00806084" w:rsidRPr="000348DB" w:rsidTr="00D51E0E">
        <w:trPr>
          <w:trHeight w:val="297"/>
        </w:trPr>
        <w:tc>
          <w:tcPr>
            <w:tcW w:w="3189" w:type="dxa"/>
            <w:shd w:val="clear" w:color="auto" w:fill="D9D9D9"/>
            <w:vAlign w:val="center"/>
          </w:tcPr>
          <w:p w:rsidR="00806084" w:rsidRPr="000348DB" w:rsidRDefault="00806084" w:rsidP="00D51E0E">
            <w:pPr>
              <w:rPr>
                <w:rFonts w:ascii="Arial" w:hAnsi="Arial" w:cs="Arial"/>
                <w:b/>
                <w:bCs/>
                <w:color w:val="000000"/>
                <w:sz w:val="20"/>
              </w:rPr>
            </w:pPr>
            <w:r w:rsidRPr="000348DB">
              <w:rPr>
                <w:rFonts w:ascii="Arial" w:hAnsi="Arial" w:cs="Arial"/>
                <w:b/>
                <w:bCs/>
                <w:color w:val="000000"/>
                <w:sz w:val="20"/>
              </w:rPr>
              <w:t>Total</w:t>
            </w:r>
          </w:p>
        </w:tc>
        <w:tc>
          <w:tcPr>
            <w:tcW w:w="1131" w:type="dxa"/>
            <w:shd w:val="clear" w:color="auto" w:fill="D9D9D9"/>
            <w:vAlign w:val="center"/>
          </w:tcPr>
          <w:p w:rsidR="00806084" w:rsidRPr="000348DB" w:rsidRDefault="00806084" w:rsidP="00D51E0E">
            <w:pPr>
              <w:jc w:val="center"/>
              <w:rPr>
                <w:rFonts w:ascii="Arial" w:hAnsi="Arial" w:cs="Arial"/>
                <w:b/>
                <w:bCs/>
                <w:color w:val="000000"/>
                <w:sz w:val="20"/>
              </w:rPr>
            </w:pPr>
            <w:r w:rsidRPr="000348DB">
              <w:rPr>
                <w:rFonts w:ascii="Arial" w:hAnsi="Arial" w:cs="Arial"/>
                <w:b/>
                <w:bCs/>
                <w:color w:val="000000"/>
                <w:sz w:val="20"/>
              </w:rPr>
              <w:t>55</w:t>
            </w:r>
          </w:p>
        </w:tc>
        <w:tc>
          <w:tcPr>
            <w:tcW w:w="1543" w:type="dxa"/>
            <w:shd w:val="clear" w:color="auto" w:fill="D9D9D9"/>
            <w:vAlign w:val="center"/>
          </w:tcPr>
          <w:p w:rsidR="00806084" w:rsidRPr="000348DB" w:rsidRDefault="00806084" w:rsidP="00D51E0E">
            <w:pPr>
              <w:jc w:val="center"/>
              <w:rPr>
                <w:rFonts w:ascii="Arial" w:hAnsi="Arial" w:cs="Arial"/>
                <w:b/>
                <w:bCs/>
                <w:color w:val="000000"/>
                <w:sz w:val="20"/>
              </w:rPr>
            </w:pPr>
            <w:r w:rsidRPr="000348DB">
              <w:rPr>
                <w:rFonts w:ascii="Arial" w:hAnsi="Arial" w:cs="Arial"/>
                <w:b/>
                <w:bCs/>
                <w:color w:val="000000"/>
                <w:sz w:val="20"/>
              </w:rPr>
              <w:t>100%</w:t>
            </w:r>
          </w:p>
        </w:tc>
        <w:tc>
          <w:tcPr>
            <w:tcW w:w="1440" w:type="dxa"/>
            <w:shd w:val="clear" w:color="auto" w:fill="D9D9D9"/>
            <w:vAlign w:val="center"/>
          </w:tcPr>
          <w:p w:rsidR="00806084" w:rsidRPr="000348DB" w:rsidRDefault="00806084" w:rsidP="00D51E0E">
            <w:pPr>
              <w:jc w:val="center"/>
              <w:rPr>
                <w:rFonts w:ascii="Arial" w:hAnsi="Arial" w:cs="Arial"/>
                <w:b/>
                <w:bCs/>
                <w:color w:val="000000"/>
                <w:sz w:val="20"/>
              </w:rPr>
            </w:pPr>
            <w:r w:rsidRPr="000348DB">
              <w:rPr>
                <w:rFonts w:ascii="Arial" w:hAnsi="Arial" w:cs="Arial"/>
                <w:b/>
                <w:bCs/>
                <w:color w:val="000000"/>
                <w:sz w:val="20"/>
              </w:rPr>
              <w:t>20</w:t>
            </w:r>
            <w:r>
              <w:rPr>
                <w:rFonts w:ascii="Arial" w:hAnsi="Arial" w:cs="Arial"/>
                <w:b/>
                <w:bCs/>
                <w:color w:val="000000"/>
                <w:sz w:val="20"/>
              </w:rPr>
              <w:t>*</w:t>
            </w:r>
          </w:p>
        </w:tc>
        <w:tc>
          <w:tcPr>
            <w:tcW w:w="2057" w:type="dxa"/>
            <w:shd w:val="clear" w:color="auto" w:fill="D9D9D9"/>
            <w:vAlign w:val="center"/>
          </w:tcPr>
          <w:p w:rsidR="00806084" w:rsidRPr="000348DB" w:rsidRDefault="00806084" w:rsidP="00D51E0E">
            <w:pPr>
              <w:jc w:val="center"/>
              <w:rPr>
                <w:rFonts w:ascii="Arial" w:hAnsi="Arial" w:cs="Arial"/>
                <w:b/>
                <w:bCs/>
                <w:color w:val="000000"/>
                <w:sz w:val="20"/>
              </w:rPr>
            </w:pPr>
            <w:r w:rsidRPr="000348DB">
              <w:rPr>
                <w:rFonts w:ascii="Arial" w:hAnsi="Arial" w:cs="Arial"/>
                <w:b/>
                <w:bCs/>
                <w:color w:val="000000"/>
                <w:sz w:val="20"/>
              </w:rPr>
              <w:t>100%</w:t>
            </w:r>
          </w:p>
        </w:tc>
      </w:tr>
      <w:tr w:rsidR="00806084" w:rsidRPr="000348DB" w:rsidTr="00D51E0E">
        <w:trPr>
          <w:trHeight w:val="297"/>
        </w:trPr>
        <w:tc>
          <w:tcPr>
            <w:tcW w:w="9360" w:type="dxa"/>
            <w:gridSpan w:val="5"/>
            <w:tcBorders>
              <w:bottom w:val="single" w:sz="4" w:space="0" w:color="000000"/>
            </w:tcBorders>
            <w:shd w:val="clear" w:color="auto" w:fill="FFFFFF" w:themeFill="background1"/>
            <w:vAlign w:val="center"/>
          </w:tcPr>
          <w:p w:rsidR="00806084" w:rsidRDefault="00806084" w:rsidP="00D51E0E">
            <w:pPr>
              <w:ind w:left="360" w:hanging="360"/>
              <w:rPr>
                <w:i/>
                <w:sz w:val="18"/>
                <w:szCs w:val="18"/>
              </w:rPr>
            </w:pPr>
            <w:r>
              <w:rPr>
                <w:sz w:val="18"/>
                <w:szCs w:val="18"/>
              </w:rPr>
              <w:t>*</w:t>
            </w:r>
            <w:r>
              <w:rPr>
                <w:sz w:val="18"/>
                <w:szCs w:val="18"/>
              </w:rPr>
              <w:tab/>
            </w:r>
            <w:r w:rsidRPr="000348DB">
              <w:rPr>
                <w:sz w:val="18"/>
                <w:szCs w:val="18"/>
              </w:rPr>
              <w:t>The allocation of the initial sample we select (described below) is slightly different than this planned allocation and includes 21 rather than 20 counties.</w:t>
            </w:r>
          </w:p>
          <w:p w:rsidR="00806084" w:rsidRDefault="00806084" w:rsidP="00D51E0E">
            <w:pPr>
              <w:ind w:left="360" w:hanging="360"/>
              <w:rPr>
                <w:sz w:val="18"/>
                <w:szCs w:val="18"/>
              </w:rPr>
            </w:pPr>
            <w:r w:rsidRPr="00301163">
              <w:rPr>
                <w:i/>
                <w:sz w:val="18"/>
                <w:szCs w:val="18"/>
              </w:rPr>
              <w:t>Source</w:t>
            </w:r>
            <w:r w:rsidRPr="000348DB">
              <w:rPr>
                <w:b/>
                <w:sz w:val="18"/>
                <w:szCs w:val="18"/>
              </w:rPr>
              <w:t>:</w:t>
            </w:r>
            <w:r w:rsidRPr="000348DB">
              <w:rPr>
                <w:sz w:val="18"/>
                <w:szCs w:val="18"/>
              </w:rPr>
              <w:t xml:space="preserve"> </w:t>
            </w:r>
            <w:r>
              <w:rPr>
                <w:sz w:val="18"/>
                <w:szCs w:val="18"/>
              </w:rPr>
              <w:t xml:space="preserve"> </w:t>
            </w:r>
            <w:r w:rsidRPr="000348DB">
              <w:rPr>
                <w:sz w:val="18"/>
                <w:szCs w:val="18"/>
              </w:rPr>
              <w:t>HUD NSP2 data.</w:t>
            </w:r>
          </w:p>
          <w:p w:rsidR="00806084" w:rsidRPr="000348DB" w:rsidRDefault="00806084" w:rsidP="00D51E0E">
            <w:pPr>
              <w:rPr>
                <w:rFonts w:ascii="Arial" w:hAnsi="Arial" w:cs="Arial"/>
                <w:b/>
                <w:bCs/>
                <w:color w:val="000000"/>
                <w:sz w:val="20"/>
              </w:rPr>
            </w:pPr>
            <w:r w:rsidRPr="00301163">
              <w:rPr>
                <w:i/>
                <w:sz w:val="18"/>
                <w:szCs w:val="18"/>
              </w:rPr>
              <w:t>Notes</w:t>
            </w:r>
            <w:r w:rsidRPr="000348DB">
              <w:rPr>
                <w:b/>
                <w:sz w:val="18"/>
                <w:szCs w:val="18"/>
              </w:rPr>
              <w:t>:</w:t>
            </w:r>
            <w:r w:rsidRPr="000348DB">
              <w:rPr>
                <w:sz w:val="18"/>
                <w:szCs w:val="18"/>
              </w:rPr>
              <w:t xml:space="preserve"> Counties were categorized in housing markets based on the conditions in the M</w:t>
            </w:r>
            <w:r>
              <w:rPr>
                <w:sz w:val="18"/>
                <w:szCs w:val="18"/>
              </w:rPr>
              <w:t xml:space="preserve">SA in which they are located.  </w:t>
            </w:r>
          </w:p>
        </w:tc>
      </w:tr>
    </w:tbl>
    <w:p w:rsidR="00806084" w:rsidRDefault="00806084" w:rsidP="00806084"/>
    <w:p w:rsidR="00806084" w:rsidRDefault="00806084" w:rsidP="00806084"/>
    <w:p w:rsidR="00806084" w:rsidRDefault="00806084" w:rsidP="00806084">
      <w:r w:rsidRPr="000348DB">
        <w:lastRenderedPageBreak/>
        <w:t xml:space="preserve">To select the sample counties within the housing market categories, </w:t>
      </w:r>
      <w:r>
        <w:t xml:space="preserve">the </w:t>
      </w:r>
      <w:r w:rsidRPr="000348DB">
        <w:t xml:space="preserve">counties </w:t>
      </w:r>
      <w:r>
        <w:t xml:space="preserve">were ordered </w:t>
      </w:r>
      <w:r w:rsidRPr="000348DB">
        <w:t>from the largest to smallest expected NSP2 investme</w:t>
      </w:r>
      <w:r>
        <w:t>nt per targeted census tract.  T</w:t>
      </w:r>
      <w:r w:rsidRPr="000348DB">
        <w:t xml:space="preserve">hen </w:t>
      </w:r>
      <w:r>
        <w:t xml:space="preserve">research staff </w:t>
      </w:r>
      <w:r w:rsidRPr="000348DB">
        <w:t xml:space="preserve">selected the counties with the largest expected investment per census tract until </w:t>
      </w:r>
      <w:r>
        <w:t xml:space="preserve">reaching </w:t>
      </w:r>
      <w:r w:rsidRPr="000348DB">
        <w:t>the number of counties allocated to the sample from that housing market category.  The reason for selecting</w:t>
      </w:r>
      <w:r>
        <w:t xml:space="preserve"> the counties with the highest </w:t>
      </w:r>
      <w:r w:rsidRPr="000348DB">
        <w:t xml:space="preserve">NSP2 dollars per census tract is the expectation that </w:t>
      </w:r>
      <w:r>
        <w:t>the study</w:t>
      </w:r>
      <w:r w:rsidRPr="000348DB">
        <w:t xml:space="preserve"> </w:t>
      </w:r>
      <w:r>
        <w:t>is</w:t>
      </w:r>
      <w:r w:rsidRPr="000348DB">
        <w:t xml:space="preserve"> more likely to be able to measure impacts of NSP2 in neighborhoods with </w:t>
      </w:r>
      <w:r>
        <w:t>large</w:t>
      </w:r>
      <w:r w:rsidRPr="000348DB">
        <w:t xml:space="preserve"> investment</w:t>
      </w:r>
      <w:r>
        <w:t>s</w:t>
      </w:r>
      <w:r w:rsidRPr="000348DB">
        <w:t xml:space="preserve">.  </w:t>
      </w:r>
      <w:r>
        <w:t xml:space="preserve">In addition to the size of the NSP2 </w:t>
      </w:r>
      <w:r w:rsidRPr="000348DB">
        <w:t>investment</w:t>
      </w:r>
      <w:r>
        <w:t xml:space="preserve">, research staff </w:t>
      </w:r>
      <w:r w:rsidRPr="000348DB">
        <w:t>also wanted to make sure the sample covered a large share of the NSP2 grant awards</w:t>
      </w:r>
      <w:r>
        <w:t xml:space="preserve"> in total</w:t>
      </w:r>
      <w:r w:rsidRPr="000348DB">
        <w:t>, was geographically diverse in terms of states and urban/exurban areas, and represented the various types of act</w:t>
      </w:r>
      <w:r>
        <w:t xml:space="preserve">ivities allowable under NSP2.  </w:t>
      </w:r>
      <w:r w:rsidRPr="000348DB">
        <w:t xml:space="preserve">To achieve these other objectives, </w:t>
      </w:r>
      <w:r>
        <w:t>the researchers</w:t>
      </w:r>
      <w:r w:rsidRPr="000348DB">
        <w:t xml:space="preserve"> replaced some of the initial sample counties and added an additional county (to make the sample 21 counties).   The final sample from this selection process is shown in </w:t>
      </w:r>
      <w:r w:rsidRPr="00564CDE">
        <w:t>Exhibit 5.  The</w:t>
      </w:r>
      <w:r w:rsidRPr="000348DB">
        <w:t xml:space="preserve"> 21-county sample:</w:t>
      </w:r>
    </w:p>
    <w:p w:rsidR="00806084" w:rsidRDefault="00806084" w:rsidP="00806084"/>
    <w:p w:rsidR="00806084" w:rsidRPr="000348DB" w:rsidRDefault="00806084" w:rsidP="00806084">
      <w:pPr>
        <w:pStyle w:val="Bullets"/>
        <w:tabs>
          <w:tab w:val="clear" w:pos="720"/>
          <w:tab w:val="clear" w:pos="1080"/>
          <w:tab w:val="clear" w:pos="1440"/>
          <w:tab w:val="clear" w:pos="1800"/>
        </w:tabs>
        <w:spacing w:line="240" w:lineRule="auto"/>
        <w:rPr>
          <w:szCs w:val="22"/>
        </w:rPr>
      </w:pPr>
      <w:r w:rsidRPr="000348DB">
        <w:t>includes</w:t>
      </w:r>
      <w:r w:rsidRPr="000348DB">
        <w:rPr>
          <w:szCs w:val="22"/>
        </w:rPr>
        <w:t xml:space="preserve"> counties where 2</w:t>
      </w:r>
      <w:r>
        <w:rPr>
          <w:szCs w:val="22"/>
        </w:rPr>
        <w:t>7</w:t>
      </w:r>
      <w:r w:rsidRPr="000348DB">
        <w:rPr>
          <w:szCs w:val="22"/>
        </w:rPr>
        <w:t xml:space="preserve"> of the 56 NSP2 grantees are implementing NSP2</w:t>
      </w:r>
      <w:r>
        <w:rPr>
          <w:szCs w:val="22"/>
        </w:rPr>
        <w:t>, although the number of NSP2 grantees is expected to change slightly depending on their capacity to participate in the study (described below)</w:t>
      </w:r>
      <w:r w:rsidRPr="000348DB">
        <w:rPr>
          <w:szCs w:val="22"/>
        </w:rPr>
        <w:t>;</w:t>
      </w:r>
    </w:p>
    <w:p w:rsidR="00806084" w:rsidRPr="000348DB" w:rsidRDefault="00806084" w:rsidP="00806084">
      <w:pPr>
        <w:pStyle w:val="Bullets"/>
        <w:tabs>
          <w:tab w:val="clear" w:pos="720"/>
          <w:tab w:val="clear" w:pos="1080"/>
          <w:tab w:val="clear" w:pos="1440"/>
          <w:tab w:val="clear" w:pos="1800"/>
        </w:tabs>
        <w:spacing w:line="240" w:lineRule="auto"/>
      </w:pPr>
      <w:r w:rsidRPr="000348DB">
        <w:t>covers 1,724 census tracts or 56 percent of the 3,068 census tracts targeted by NSP2; and</w:t>
      </w:r>
    </w:p>
    <w:p w:rsidR="00806084" w:rsidRDefault="00806084" w:rsidP="00806084">
      <w:pPr>
        <w:pStyle w:val="Bullets"/>
        <w:tabs>
          <w:tab w:val="clear" w:pos="720"/>
          <w:tab w:val="clear" w:pos="1080"/>
          <w:tab w:val="clear" w:pos="1440"/>
          <w:tab w:val="clear" w:pos="1800"/>
        </w:tabs>
        <w:spacing w:line="240" w:lineRule="auto"/>
      </w:pPr>
      <w:proofErr w:type="gramStart"/>
      <w:r w:rsidRPr="000348DB">
        <w:t>has</w:t>
      </w:r>
      <w:proofErr w:type="gramEnd"/>
      <w:r w:rsidRPr="000348DB">
        <w:t xml:space="preserve"> an expected investment level $1.1 billion or 57 percent of the $1.93 billion in NSP2 grants. </w:t>
      </w:r>
    </w:p>
    <w:p w:rsidR="00806084" w:rsidRDefault="00806084" w:rsidP="00806084">
      <w:pPr>
        <w:pStyle w:val="Bullets"/>
        <w:numPr>
          <w:ilvl w:val="0"/>
          <w:numId w:val="0"/>
        </w:numPr>
        <w:tabs>
          <w:tab w:val="clear" w:pos="720"/>
          <w:tab w:val="clear" w:pos="1440"/>
          <w:tab w:val="clear" w:pos="1800"/>
        </w:tabs>
        <w:spacing w:line="240" w:lineRule="auto"/>
        <w:ind w:left="1080" w:hanging="360"/>
      </w:pPr>
    </w:p>
    <w:p w:rsidR="00806084" w:rsidRPr="00480BC5" w:rsidRDefault="00806084" w:rsidP="00806084">
      <w:pPr>
        <w:pStyle w:val="Bullets"/>
        <w:numPr>
          <w:ilvl w:val="0"/>
          <w:numId w:val="0"/>
        </w:numPr>
        <w:rPr>
          <w:b/>
        </w:rPr>
      </w:pPr>
      <w:r w:rsidRPr="00480BC5">
        <w:rPr>
          <w:b/>
        </w:rPr>
        <w:t>Exhibit 5: Original Sample and Reason for Replacements in Revised Sample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1440"/>
        <w:gridCol w:w="5220"/>
      </w:tblGrid>
      <w:tr w:rsidR="00806084" w:rsidRPr="000348DB" w:rsidTr="00D51E0E">
        <w:trPr>
          <w:trHeight w:val="637"/>
          <w:tblHeader/>
        </w:trPr>
        <w:tc>
          <w:tcPr>
            <w:tcW w:w="2700" w:type="dxa"/>
            <w:tcBorders>
              <w:right w:val="single" w:sz="4"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Original Sample</w:t>
            </w:r>
          </w:p>
        </w:tc>
        <w:tc>
          <w:tcPr>
            <w:tcW w:w="1440" w:type="dxa"/>
            <w:tcBorders>
              <w:left w:val="single" w:sz="4" w:space="0" w:color="FFFFFF"/>
              <w:right w:val="single" w:sz="4"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Revised Sample</w:t>
            </w:r>
          </w:p>
        </w:tc>
        <w:tc>
          <w:tcPr>
            <w:tcW w:w="5220" w:type="dxa"/>
            <w:tcBorders>
              <w:left w:val="single" w:sz="4"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Reason Original Sample Replaced</w:t>
            </w:r>
          </w:p>
        </w:tc>
      </w:tr>
      <w:tr w:rsidR="00806084" w:rsidRPr="000348DB" w:rsidTr="00D51E0E">
        <w:trPr>
          <w:trHeight w:val="88"/>
        </w:trPr>
        <w:tc>
          <w:tcPr>
            <w:tcW w:w="9360" w:type="dxa"/>
            <w:gridSpan w:val="3"/>
            <w:shd w:val="clear" w:color="auto" w:fill="808080"/>
            <w:vAlign w:val="center"/>
          </w:tcPr>
          <w:p w:rsidR="00806084" w:rsidRPr="00F131CB" w:rsidRDefault="00806084" w:rsidP="00D51E0E">
            <w:pPr>
              <w:rPr>
                <w:rFonts w:ascii="Arial" w:hAnsi="Arial" w:cs="Arial"/>
                <w:b/>
                <w:bCs/>
                <w:color w:val="FFFFFF"/>
                <w:sz w:val="20"/>
              </w:rPr>
            </w:pPr>
            <w:r w:rsidRPr="00F131CB">
              <w:rPr>
                <w:rFonts w:ascii="Arial" w:hAnsi="Arial" w:cs="Arial"/>
                <w:b/>
                <w:bCs/>
                <w:color w:val="FFFFFF"/>
                <w:sz w:val="20"/>
              </w:rPr>
              <w:t>Boom-Bust Market Counties: Sand States (8)</w:t>
            </w: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sz w:val="20"/>
              </w:rPr>
            </w:pPr>
            <w:smartTag w:uri="urn:schemas-microsoft-com:office:smarttags" w:element="place">
              <w:smartTag w:uri="urn:schemas-microsoft-com:office:smarttags" w:element="City">
                <w:r w:rsidRPr="000348DB">
                  <w:rPr>
                    <w:rFonts w:ascii="Arial" w:hAnsi="Arial" w:cs="Arial"/>
                    <w:sz w:val="20"/>
                  </w:rPr>
                  <w:t>Washoe County</w:t>
                </w:r>
              </w:smartTag>
              <w:r w:rsidRPr="000348DB">
                <w:rPr>
                  <w:rFonts w:ascii="Arial" w:hAnsi="Arial" w:cs="Arial"/>
                  <w:sz w:val="20"/>
                </w:rPr>
                <w:t xml:space="preserve">, </w:t>
              </w:r>
              <w:smartTag w:uri="urn:schemas-microsoft-com:office:smarttags" w:element="State">
                <w:r w:rsidRPr="000348DB">
                  <w:rPr>
                    <w:rFonts w:ascii="Arial" w:hAnsi="Arial" w:cs="Arial"/>
                    <w:sz w:val="20"/>
                  </w:rPr>
                  <w:t>NV</w:t>
                </w:r>
              </w:smartTag>
            </w:smartTag>
          </w:p>
        </w:tc>
        <w:tc>
          <w:tcPr>
            <w:tcW w:w="1440" w:type="dxa"/>
            <w:vMerge w:val="restart"/>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 xml:space="preserve">Same </w:t>
            </w:r>
          </w:p>
        </w:tc>
        <w:tc>
          <w:tcPr>
            <w:tcW w:w="5220" w:type="dxa"/>
            <w:vMerge w:val="restart"/>
            <w:shd w:val="clear" w:color="auto" w:fill="FFFFFF"/>
            <w:vAlign w:val="center"/>
          </w:tcPr>
          <w:p w:rsidR="00806084" w:rsidRPr="000348DB" w:rsidRDefault="00806084" w:rsidP="00D51E0E">
            <w:pPr>
              <w:jc w:val="center"/>
              <w:rPr>
                <w:rFonts w:ascii="Arial" w:hAnsi="Arial" w:cs="Arial"/>
                <w:bCs/>
                <w:color w:val="000000"/>
                <w:sz w:val="20"/>
              </w:rPr>
            </w:pP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sz w:val="20"/>
              </w:rPr>
            </w:pPr>
            <w:smartTag w:uri="urn:schemas-microsoft-com:office:smarttags" w:element="place">
              <w:smartTag w:uri="urn:schemas-microsoft-com:office:smarttags" w:element="City">
                <w:r w:rsidRPr="000348DB">
                  <w:rPr>
                    <w:rFonts w:ascii="Arial" w:hAnsi="Arial" w:cs="Arial"/>
                    <w:sz w:val="20"/>
                  </w:rPr>
                  <w:t>Sarasota County</w:t>
                </w:r>
              </w:smartTag>
              <w:r w:rsidRPr="000348DB">
                <w:rPr>
                  <w:rFonts w:ascii="Arial" w:hAnsi="Arial" w:cs="Arial"/>
                  <w:sz w:val="20"/>
                </w:rPr>
                <w:t xml:space="preserve">, </w:t>
              </w:r>
              <w:smartTag w:uri="urn:schemas-microsoft-com:office:smarttags" w:element="State">
                <w:r w:rsidRPr="000348DB">
                  <w:rPr>
                    <w:rFonts w:ascii="Arial" w:hAnsi="Arial" w:cs="Arial"/>
                    <w:sz w:val="20"/>
                  </w:rPr>
                  <w:t>FL</w:t>
                </w:r>
              </w:smartTag>
            </w:smartTag>
          </w:p>
        </w:tc>
        <w:tc>
          <w:tcPr>
            <w:tcW w:w="1440" w:type="dxa"/>
            <w:vMerge/>
            <w:shd w:val="clear" w:color="auto" w:fill="FFFFFF"/>
            <w:vAlign w:val="center"/>
          </w:tcPr>
          <w:p w:rsidR="00806084" w:rsidRPr="000348DB" w:rsidRDefault="00806084" w:rsidP="00D51E0E">
            <w:pPr>
              <w:jc w:val="center"/>
              <w:rPr>
                <w:rFonts w:ascii="Arial" w:hAnsi="Arial" w:cs="Arial"/>
                <w:bCs/>
                <w:color w:val="000000"/>
                <w:sz w:val="20"/>
              </w:rPr>
            </w:pPr>
          </w:p>
        </w:tc>
        <w:tc>
          <w:tcPr>
            <w:tcW w:w="5220" w:type="dxa"/>
            <w:vMerge/>
            <w:shd w:val="clear" w:color="auto" w:fill="FFFFFF"/>
            <w:vAlign w:val="center"/>
          </w:tcPr>
          <w:p w:rsidR="00806084" w:rsidRPr="000348DB" w:rsidRDefault="00806084" w:rsidP="00D51E0E">
            <w:pPr>
              <w:jc w:val="center"/>
              <w:rPr>
                <w:rFonts w:ascii="Arial" w:hAnsi="Arial" w:cs="Arial"/>
                <w:bCs/>
                <w:color w:val="000000"/>
                <w:sz w:val="20"/>
              </w:rPr>
            </w:pP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sz w:val="20"/>
              </w:rPr>
            </w:pPr>
            <w:smartTag w:uri="urn:schemas-microsoft-com:office:smarttags" w:element="place">
              <w:smartTag w:uri="urn:schemas-microsoft-com:office:smarttags" w:element="City">
                <w:r w:rsidRPr="000348DB">
                  <w:rPr>
                    <w:rFonts w:ascii="Arial" w:hAnsi="Arial" w:cs="Arial"/>
                    <w:sz w:val="20"/>
                  </w:rPr>
                  <w:t>Riverside County</w:t>
                </w:r>
              </w:smartTag>
              <w:r w:rsidRPr="000348DB">
                <w:rPr>
                  <w:rFonts w:ascii="Arial" w:hAnsi="Arial" w:cs="Arial"/>
                  <w:sz w:val="20"/>
                </w:rPr>
                <w:t xml:space="preserve">, </w:t>
              </w:r>
              <w:smartTag w:uri="urn:schemas-microsoft-com:office:smarttags" w:element="State">
                <w:r w:rsidRPr="000348DB">
                  <w:rPr>
                    <w:rFonts w:ascii="Arial" w:hAnsi="Arial" w:cs="Arial"/>
                    <w:sz w:val="20"/>
                  </w:rPr>
                  <w:t>CA</w:t>
                </w:r>
              </w:smartTag>
            </w:smartTag>
          </w:p>
        </w:tc>
        <w:tc>
          <w:tcPr>
            <w:tcW w:w="1440" w:type="dxa"/>
            <w:vMerge/>
            <w:shd w:val="clear" w:color="auto" w:fill="FFFFFF"/>
            <w:vAlign w:val="center"/>
          </w:tcPr>
          <w:p w:rsidR="00806084" w:rsidRPr="000348DB" w:rsidRDefault="00806084" w:rsidP="00D51E0E">
            <w:pPr>
              <w:jc w:val="center"/>
              <w:rPr>
                <w:rFonts w:ascii="Arial" w:hAnsi="Arial" w:cs="Arial"/>
                <w:bCs/>
                <w:color w:val="000000"/>
                <w:sz w:val="20"/>
              </w:rPr>
            </w:pPr>
          </w:p>
        </w:tc>
        <w:tc>
          <w:tcPr>
            <w:tcW w:w="5220" w:type="dxa"/>
            <w:vMerge/>
            <w:shd w:val="clear" w:color="auto" w:fill="FFFFFF"/>
            <w:vAlign w:val="center"/>
          </w:tcPr>
          <w:p w:rsidR="00806084" w:rsidRPr="000348DB" w:rsidRDefault="00806084" w:rsidP="00D51E0E">
            <w:pPr>
              <w:jc w:val="center"/>
              <w:rPr>
                <w:rFonts w:ascii="Arial" w:hAnsi="Arial" w:cs="Arial"/>
                <w:bCs/>
                <w:color w:val="000000"/>
                <w:sz w:val="20"/>
              </w:rPr>
            </w:pP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sz w:val="20"/>
              </w:rPr>
            </w:pPr>
            <w:smartTag w:uri="urn:schemas-microsoft-com:office:smarttags" w:element="place">
              <w:smartTag w:uri="urn:schemas-microsoft-com:office:smarttags" w:element="City">
                <w:r w:rsidRPr="000348DB">
                  <w:rPr>
                    <w:rFonts w:ascii="Arial" w:hAnsi="Arial" w:cs="Arial"/>
                    <w:sz w:val="20"/>
                  </w:rPr>
                  <w:t>Palm Beach County</w:t>
                </w:r>
              </w:smartTag>
              <w:r w:rsidRPr="000348DB">
                <w:rPr>
                  <w:rFonts w:ascii="Arial" w:hAnsi="Arial" w:cs="Arial"/>
                  <w:sz w:val="20"/>
                </w:rPr>
                <w:t xml:space="preserve">, </w:t>
              </w:r>
              <w:smartTag w:uri="urn:schemas-microsoft-com:office:smarttags" w:element="State">
                <w:r w:rsidRPr="000348DB">
                  <w:rPr>
                    <w:rFonts w:ascii="Arial" w:hAnsi="Arial" w:cs="Arial"/>
                    <w:sz w:val="20"/>
                  </w:rPr>
                  <w:t>FL</w:t>
                </w:r>
              </w:smartTag>
            </w:smartTag>
          </w:p>
        </w:tc>
        <w:tc>
          <w:tcPr>
            <w:tcW w:w="1440" w:type="dxa"/>
            <w:vMerge/>
            <w:shd w:val="clear" w:color="auto" w:fill="FFFFFF"/>
            <w:vAlign w:val="center"/>
          </w:tcPr>
          <w:p w:rsidR="00806084" w:rsidRPr="000348DB" w:rsidRDefault="00806084" w:rsidP="00D51E0E">
            <w:pPr>
              <w:jc w:val="center"/>
              <w:rPr>
                <w:rFonts w:ascii="Arial" w:hAnsi="Arial" w:cs="Arial"/>
                <w:bCs/>
                <w:color w:val="000000"/>
                <w:sz w:val="20"/>
              </w:rPr>
            </w:pPr>
          </w:p>
        </w:tc>
        <w:tc>
          <w:tcPr>
            <w:tcW w:w="5220" w:type="dxa"/>
            <w:vMerge/>
            <w:shd w:val="clear" w:color="auto" w:fill="FFFFFF"/>
            <w:vAlign w:val="center"/>
          </w:tcPr>
          <w:p w:rsidR="00806084" w:rsidRPr="000348DB" w:rsidRDefault="00806084" w:rsidP="00D51E0E">
            <w:pPr>
              <w:jc w:val="center"/>
              <w:rPr>
                <w:rFonts w:ascii="Arial" w:hAnsi="Arial" w:cs="Arial"/>
                <w:bCs/>
                <w:color w:val="000000"/>
                <w:sz w:val="20"/>
              </w:rPr>
            </w:pP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sz w:val="20"/>
              </w:rPr>
            </w:pPr>
            <w:smartTag w:uri="urn:schemas-microsoft-com:office:smarttags" w:element="place">
              <w:smartTag w:uri="urn:schemas-microsoft-com:office:smarttags" w:element="City">
                <w:r w:rsidRPr="000348DB">
                  <w:rPr>
                    <w:rFonts w:ascii="Arial" w:hAnsi="Arial" w:cs="Arial"/>
                    <w:sz w:val="20"/>
                  </w:rPr>
                  <w:t>Miami-Dade County</w:t>
                </w:r>
              </w:smartTag>
              <w:r w:rsidRPr="000348DB">
                <w:rPr>
                  <w:rFonts w:ascii="Arial" w:hAnsi="Arial" w:cs="Arial"/>
                  <w:sz w:val="20"/>
                </w:rPr>
                <w:t xml:space="preserve">, </w:t>
              </w:r>
              <w:smartTag w:uri="urn:schemas-microsoft-com:office:smarttags" w:element="State">
                <w:r w:rsidRPr="000348DB">
                  <w:rPr>
                    <w:rFonts w:ascii="Arial" w:hAnsi="Arial" w:cs="Arial"/>
                    <w:sz w:val="20"/>
                  </w:rPr>
                  <w:t>FL</w:t>
                </w:r>
              </w:smartTag>
            </w:smartTag>
          </w:p>
        </w:tc>
        <w:tc>
          <w:tcPr>
            <w:tcW w:w="1440" w:type="dxa"/>
            <w:vMerge/>
            <w:shd w:val="clear" w:color="auto" w:fill="FFFFFF"/>
            <w:vAlign w:val="center"/>
          </w:tcPr>
          <w:p w:rsidR="00806084" w:rsidRPr="000348DB" w:rsidRDefault="00806084" w:rsidP="00D51E0E">
            <w:pPr>
              <w:jc w:val="center"/>
              <w:rPr>
                <w:rFonts w:ascii="Arial" w:hAnsi="Arial" w:cs="Arial"/>
                <w:bCs/>
                <w:color w:val="000000"/>
                <w:sz w:val="20"/>
              </w:rPr>
            </w:pPr>
          </w:p>
        </w:tc>
        <w:tc>
          <w:tcPr>
            <w:tcW w:w="5220" w:type="dxa"/>
            <w:vMerge/>
            <w:shd w:val="clear" w:color="auto" w:fill="FFFFFF"/>
            <w:vAlign w:val="center"/>
          </w:tcPr>
          <w:p w:rsidR="00806084" w:rsidRPr="000348DB" w:rsidRDefault="00806084" w:rsidP="00D51E0E">
            <w:pPr>
              <w:jc w:val="center"/>
              <w:rPr>
                <w:rFonts w:ascii="Arial" w:hAnsi="Arial" w:cs="Arial"/>
                <w:bCs/>
                <w:color w:val="000000"/>
                <w:sz w:val="20"/>
              </w:rPr>
            </w:pP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sz w:val="20"/>
              </w:rPr>
            </w:pPr>
            <w:smartTag w:uri="urn:schemas-microsoft-com:office:smarttags" w:element="place">
              <w:smartTag w:uri="urn:schemas-microsoft-com:office:smarttags" w:element="City">
                <w:r w:rsidRPr="000348DB">
                  <w:rPr>
                    <w:rFonts w:ascii="Arial" w:hAnsi="Arial" w:cs="Arial"/>
                    <w:sz w:val="20"/>
                  </w:rPr>
                  <w:t>Hillsborough County</w:t>
                </w:r>
              </w:smartTag>
              <w:r w:rsidRPr="000348DB">
                <w:rPr>
                  <w:rFonts w:ascii="Arial" w:hAnsi="Arial" w:cs="Arial"/>
                  <w:sz w:val="20"/>
                </w:rPr>
                <w:t xml:space="preserve">, </w:t>
              </w:r>
              <w:smartTag w:uri="urn:schemas-microsoft-com:office:smarttags" w:element="State">
                <w:r w:rsidRPr="000348DB">
                  <w:rPr>
                    <w:rFonts w:ascii="Arial" w:hAnsi="Arial" w:cs="Arial"/>
                    <w:sz w:val="20"/>
                  </w:rPr>
                  <w:t>FL</w:t>
                </w:r>
              </w:smartTag>
            </w:smartTag>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smartTag w:uri="urn:schemas-microsoft-com:office:smarttags" w:element="place">
              <w:smartTag w:uri="urn:schemas-microsoft-com:office:smarttags" w:element="City">
                <w:r w:rsidRPr="000348DB">
                  <w:rPr>
                    <w:rFonts w:ascii="Arial" w:hAnsi="Arial" w:cs="Arial"/>
                    <w:bCs/>
                    <w:color w:val="000000"/>
                    <w:sz w:val="20"/>
                  </w:rPr>
                  <w:t>Maricopa County</w:t>
                </w:r>
              </w:smartTag>
              <w:r w:rsidRPr="000348DB">
                <w:rPr>
                  <w:rFonts w:ascii="Arial" w:hAnsi="Arial" w:cs="Arial"/>
                  <w:bCs/>
                  <w:color w:val="000000"/>
                  <w:sz w:val="20"/>
                </w:rPr>
                <w:t xml:space="preserve">, </w:t>
              </w:r>
              <w:smartTag w:uri="urn:schemas-microsoft-com:office:smarttags" w:element="State">
                <w:r w:rsidRPr="000348DB">
                  <w:rPr>
                    <w:rFonts w:ascii="Arial" w:hAnsi="Arial" w:cs="Arial"/>
                    <w:bCs/>
                    <w:color w:val="000000"/>
                    <w:sz w:val="20"/>
                  </w:rPr>
                  <w:t>AZ</w:t>
                </w:r>
              </w:smartTag>
            </w:smartTag>
          </w:p>
        </w:tc>
        <w:tc>
          <w:tcPr>
            <w:tcW w:w="522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 xml:space="preserve">Maricopa has second highest level of NSP2 funding in category; wanted to have an </w:t>
            </w:r>
            <w:smartTag w:uri="urn:schemas-microsoft-com:office:smarttags" w:element="State">
              <w:r w:rsidRPr="000348DB">
                <w:rPr>
                  <w:rFonts w:ascii="Arial" w:hAnsi="Arial" w:cs="Arial"/>
                  <w:bCs/>
                  <w:color w:val="000000"/>
                  <w:sz w:val="20"/>
                </w:rPr>
                <w:t>Arizona</w:t>
              </w:r>
            </w:smartTag>
            <w:r w:rsidRPr="000348DB">
              <w:rPr>
                <w:rFonts w:ascii="Arial" w:hAnsi="Arial" w:cs="Arial"/>
                <w:bCs/>
                <w:color w:val="000000"/>
                <w:sz w:val="20"/>
              </w:rPr>
              <w:t xml:space="preserve"> county rather than a fourth </w:t>
            </w:r>
            <w:smartTag w:uri="urn:schemas-microsoft-com:office:smarttags" w:element="place">
              <w:smartTag w:uri="urn:schemas-microsoft-com:office:smarttags" w:element="State">
                <w:r w:rsidRPr="000348DB">
                  <w:rPr>
                    <w:rFonts w:ascii="Arial" w:hAnsi="Arial" w:cs="Arial"/>
                    <w:bCs/>
                    <w:color w:val="000000"/>
                    <w:sz w:val="20"/>
                  </w:rPr>
                  <w:t>Florida</w:t>
                </w:r>
              </w:smartTag>
            </w:smartTag>
            <w:r w:rsidRPr="000348DB">
              <w:rPr>
                <w:rFonts w:ascii="Arial" w:hAnsi="Arial" w:cs="Arial"/>
                <w:bCs/>
                <w:color w:val="000000"/>
                <w:sz w:val="20"/>
              </w:rPr>
              <w:t xml:space="preserve"> county.</w:t>
            </w:r>
            <w:r>
              <w:rPr>
                <w:rFonts w:ascii="Arial" w:hAnsi="Arial" w:cs="Arial"/>
                <w:bCs/>
                <w:color w:val="000000"/>
                <w:sz w:val="20"/>
              </w:rPr>
              <w:t>*  We chose to remove Hillsborough County from the sample because their application indicated that approximately half their funding would be used in a neighborhood also undergoing a HOPE VI revitalization.</w:t>
            </w: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bCs/>
                <w:color w:val="000000"/>
                <w:sz w:val="20"/>
              </w:rPr>
            </w:pPr>
            <w:r>
              <w:rPr>
                <w:rFonts w:ascii="Arial" w:hAnsi="Arial" w:cs="Arial"/>
                <w:bCs/>
                <w:color w:val="000000"/>
                <w:sz w:val="20"/>
              </w:rPr>
              <w:t>Escambia County, FL</w:t>
            </w:r>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smartTag w:uri="urn:schemas-microsoft-com:office:smarttags" w:element="place">
              <w:smartTag w:uri="urn:schemas-microsoft-com:office:smarttags" w:element="City">
                <w:r w:rsidRPr="000348DB">
                  <w:rPr>
                    <w:rFonts w:ascii="Arial" w:hAnsi="Arial" w:cs="Arial"/>
                    <w:bCs/>
                    <w:color w:val="000000"/>
                    <w:sz w:val="20"/>
                  </w:rPr>
                  <w:t>Los Angeles County</w:t>
                </w:r>
              </w:smartTag>
              <w:r w:rsidRPr="000348DB">
                <w:rPr>
                  <w:rFonts w:ascii="Arial" w:hAnsi="Arial" w:cs="Arial"/>
                  <w:bCs/>
                  <w:color w:val="000000"/>
                  <w:sz w:val="20"/>
                </w:rPr>
                <w:t xml:space="preserve">, </w:t>
              </w:r>
              <w:smartTag w:uri="urn:schemas-microsoft-com:office:smarttags" w:element="State">
                <w:r w:rsidRPr="000348DB">
                  <w:rPr>
                    <w:rFonts w:ascii="Arial" w:hAnsi="Arial" w:cs="Arial"/>
                    <w:bCs/>
                    <w:color w:val="000000"/>
                    <w:sz w:val="20"/>
                  </w:rPr>
                  <w:t>CA</w:t>
                </w:r>
              </w:smartTag>
            </w:smartTag>
          </w:p>
        </w:tc>
        <w:tc>
          <w:tcPr>
            <w:tcW w:w="5220" w:type="dxa"/>
            <w:shd w:val="clear" w:color="auto" w:fill="FFFFFF"/>
            <w:vAlign w:val="center"/>
          </w:tcPr>
          <w:p w:rsidR="00806084" w:rsidRPr="000348DB" w:rsidRDefault="00806084" w:rsidP="00D51E0E">
            <w:pPr>
              <w:rPr>
                <w:rFonts w:ascii="Arial" w:hAnsi="Arial" w:cs="Arial"/>
                <w:bCs/>
                <w:color w:val="000000"/>
                <w:sz w:val="20"/>
              </w:rPr>
            </w:pPr>
            <w:r>
              <w:rPr>
                <w:rFonts w:ascii="Arial" w:hAnsi="Arial" w:cs="Arial"/>
                <w:bCs/>
                <w:color w:val="000000"/>
                <w:sz w:val="20"/>
              </w:rPr>
              <w:t>LA County</w:t>
            </w:r>
            <w:r w:rsidRPr="000348DB">
              <w:rPr>
                <w:rFonts w:ascii="Arial" w:hAnsi="Arial" w:cs="Arial"/>
                <w:bCs/>
                <w:color w:val="000000"/>
                <w:sz w:val="20"/>
              </w:rPr>
              <w:t xml:space="preserve"> largest NSP2 investment of any county—over 2.5 times higher than next largest county in the category; Also provides a second county in same area as a</w:t>
            </w:r>
            <w:r>
              <w:rPr>
                <w:rFonts w:ascii="Arial" w:hAnsi="Arial" w:cs="Arial"/>
                <w:bCs/>
                <w:color w:val="000000"/>
                <w:sz w:val="20"/>
              </w:rPr>
              <w:t>nother sample county (</w:t>
            </w:r>
            <w:r w:rsidRPr="000348DB">
              <w:rPr>
                <w:rFonts w:ascii="Arial" w:hAnsi="Arial" w:cs="Arial"/>
                <w:bCs/>
                <w:color w:val="000000"/>
                <w:sz w:val="20"/>
              </w:rPr>
              <w:t>Riverside, CA</w:t>
            </w:r>
            <w:r>
              <w:rPr>
                <w:rFonts w:ascii="Arial" w:hAnsi="Arial" w:cs="Arial"/>
                <w:bCs/>
                <w:color w:val="000000"/>
                <w:sz w:val="20"/>
              </w:rPr>
              <w:t>), in addition to Miami-Dade and Palm Beach Counties</w:t>
            </w:r>
            <w:r w:rsidRPr="000348DB">
              <w:rPr>
                <w:rFonts w:ascii="Arial" w:hAnsi="Arial" w:cs="Arial"/>
                <w:bCs/>
                <w:color w:val="000000"/>
                <w:sz w:val="20"/>
              </w:rPr>
              <w:t>.</w:t>
            </w: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bCs/>
                <w:color w:val="000000"/>
                <w:sz w:val="16"/>
                <w:szCs w:val="16"/>
              </w:rPr>
            </w:pPr>
            <w:r w:rsidRPr="000348DB">
              <w:rPr>
                <w:rFonts w:ascii="Arial" w:hAnsi="Arial" w:cs="Arial"/>
                <w:bCs/>
                <w:color w:val="000000"/>
                <w:sz w:val="20"/>
              </w:rPr>
              <w:t>Added Site (Not replacement)</w:t>
            </w:r>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smartTag w:uri="urn:schemas-microsoft-com:office:smarttags" w:element="place">
              <w:smartTag w:uri="urn:schemas-microsoft-com:office:smarttags" w:element="City">
                <w:r w:rsidRPr="000348DB">
                  <w:rPr>
                    <w:rFonts w:ascii="Arial" w:hAnsi="Arial" w:cs="Arial"/>
                    <w:bCs/>
                    <w:color w:val="000000"/>
                    <w:sz w:val="20"/>
                  </w:rPr>
                  <w:t>Stanislaus County</w:t>
                </w:r>
              </w:smartTag>
              <w:r w:rsidRPr="000348DB">
                <w:rPr>
                  <w:rFonts w:ascii="Arial" w:hAnsi="Arial" w:cs="Arial"/>
                  <w:bCs/>
                  <w:color w:val="000000"/>
                  <w:sz w:val="20"/>
                </w:rPr>
                <w:t xml:space="preserve">, </w:t>
              </w:r>
              <w:smartTag w:uri="urn:schemas-microsoft-com:office:smarttags" w:element="State">
                <w:r w:rsidRPr="000348DB">
                  <w:rPr>
                    <w:rFonts w:ascii="Arial" w:hAnsi="Arial" w:cs="Arial"/>
                    <w:bCs/>
                    <w:color w:val="000000"/>
                    <w:sz w:val="20"/>
                  </w:rPr>
                  <w:t>CA</w:t>
                </w:r>
              </w:smartTag>
            </w:smartTag>
          </w:p>
        </w:tc>
        <w:tc>
          <w:tcPr>
            <w:tcW w:w="522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Good example of exurban area that NSP2 investing in.</w:t>
            </w:r>
          </w:p>
        </w:tc>
      </w:tr>
      <w:tr w:rsidR="00806084" w:rsidRPr="000348DB" w:rsidTr="00D51E0E">
        <w:tc>
          <w:tcPr>
            <w:tcW w:w="9360" w:type="dxa"/>
            <w:gridSpan w:val="3"/>
            <w:shd w:val="clear" w:color="auto" w:fill="808080"/>
            <w:vAlign w:val="center"/>
          </w:tcPr>
          <w:p w:rsidR="00806084" w:rsidRPr="00F131CB" w:rsidRDefault="00806084" w:rsidP="00D51E0E">
            <w:pPr>
              <w:rPr>
                <w:rFonts w:ascii="Arial" w:hAnsi="Arial" w:cs="Arial"/>
                <w:b/>
                <w:bCs/>
                <w:color w:val="FFFFFF"/>
                <w:sz w:val="20"/>
              </w:rPr>
            </w:pPr>
            <w:r w:rsidRPr="00F131CB">
              <w:rPr>
                <w:rFonts w:ascii="Arial" w:hAnsi="Arial" w:cs="Arial"/>
                <w:b/>
                <w:bCs/>
                <w:color w:val="FFFFFF"/>
                <w:sz w:val="20"/>
              </w:rPr>
              <w:t>Boom-Bust M</w:t>
            </w:r>
            <w:r>
              <w:rPr>
                <w:rFonts w:ascii="Arial" w:hAnsi="Arial" w:cs="Arial"/>
                <w:b/>
                <w:bCs/>
                <w:color w:val="FFFFFF"/>
                <w:sz w:val="20"/>
              </w:rPr>
              <w:t>arket Counties: East Coast (3</w:t>
            </w:r>
            <w:r w:rsidRPr="00F131CB">
              <w:rPr>
                <w:rFonts w:ascii="Arial" w:hAnsi="Arial" w:cs="Arial"/>
                <w:b/>
                <w:bCs/>
                <w:color w:val="FFFFFF"/>
                <w:sz w:val="20"/>
              </w:rPr>
              <w:t>)</w:t>
            </w: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sz w:val="20"/>
              </w:rPr>
            </w:pPr>
            <w:smartTag w:uri="urn:schemas-microsoft-com:office:smarttags" w:element="place">
              <w:smartTag w:uri="urn:schemas-microsoft-com:office:smarttags" w:element="City">
                <w:r w:rsidRPr="000348DB">
                  <w:rPr>
                    <w:rFonts w:ascii="Arial" w:hAnsi="Arial" w:cs="Arial"/>
                    <w:sz w:val="20"/>
                  </w:rPr>
                  <w:t>Baltimore City</w:t>
                </w:r>
              </w:smartTag>
              <w:r w:rsidRPr="000348DB">
                <w:rPr>
                  <w:rFonts w:ascii="Arial" w:hAnsi="Arial" w:cs="Arial"/>
                  <w:sz w:val="20"/>
                </w:rPr>
                <w:t xml:space="preserve">, </w:t>
              </w:r>
              <w:smartTag w:uri="urn:schemas-microsoft-com:office:smarttags" w:element="State">
                <w:r w:rsidRPr="000348DB">
                  <w:rPr>
                    <w:rFonts w:ascii="Arial" w:hAnsi="Arial" w:cs="Arial"/>
                    <w:sz w:val="20"/>
                  </w:rPr>
                  <w:t>MD</w:t>
                </w:r>
              </w:smartTag>
            </w:smartTag>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Same</w:t>
            </w:r>
          </w:p>
        </w:tc>
        <w:tc>
          <w:tcPr>
            <w:tcW w:w="5220" w:type="dxa"/>
            <w:shd w:val="clear" w:color="auto" w:fill="FFFFFF"/>
            <w:vAlign w:val="center"/>
          </w:tcPr>
          <w:p w:rsidR="00806084" w:rsidRPr="000348DB" w:rsidRDefault="00806084" w:rsidP="00D51E0E">
            <w:pPr>
              <w:jc w:val="center"/>
              <w:rPr>
                <w:rFonts w:ascii="Arial" w:hAnsi="Arial" w:cs="Arial"/>
                <w:bCs/>
                <w:color w:val="000000"/>
                <w:sz w:val="20"/>
              </w:rPr>
            </w:pP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sz w:val="20"/>
              </w:rPr>
            </w:pPr>
            <w:smartTag w:uri="urn:schemas-microsoft-com:office:smarttags" w:element="place">
              <w:smartTag w:uri="urn:schemas-microsoft-com:office:smarttags" w:element="City">
                <w:r w:rsidRPr="000348DB">
                  <w:rPr>
                    <w:rFonts w:ascii="Arial" w:hAnsi="Arial" w:cs="Arial"/>
                    <w:sz w:val="20"/>
                  </w:rPr>
                  <w:t>Camden County</w:t>
                </w:r>
              </w:smartTag>
              <w:r w:rsidRPr="000348DB">
                <w:rPr>
                  <w:rFonts w:ascii="Arial" w:hAnsi="Arial" w:cs="Arial"/>
                  <w:sz w:val="20"/>
                </w:rPr>
                <w:t xml:space="preserve">, </w:t>
              </w:r>
              <w:smartTag w:uri="urn:schemas-microsoft-com:office:smarttags" w:element="State">
                <w:r w:rsidRPr="000348DB">
                  <w:rPr>
                    <w:rFonts w:ascii="Arial" w:hAnsi="Arial" w:cs="Arial"/>
                    <w:sz w:val="20"/>
                  </w:rPr>
                  <w:t>NJ</w:t>
                </w:r>
              </w:smartTag>
            </w:smartTag>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smartTag w:uri="urn:schemas-microsoft-com:office:smarttags" w:element="place">
              <w:smartTag w:uri="urn:schemas-microsoft-com:office:smarttags" w:element="City">
                <w:r w:rsidRPr="000348DB">
                  <w:rPr>
                    <w:rFonts w:ascii="Arial" w:hAnsi="Arial" w:cs="Arial"/>
                    <w:bCs/>
                    <w:color w:val="000000"/>
                    <w:sz w:val="20"/>
                  </w:rPr>
                  <w:t>Kings County</w:t>
                </w:r>
              </w:smartTag>
              <w:r w:rsidRPr="000348DB">
                <w:rPr>
                  <w:rFonts w:ascii="Arial" w:hAnsi="Arial" w:cs="Arial"/>
                  <w:bCs/>
                  <w:color w:val="000000"/>
                  <w:sz w:val="20"/>
                </w:rPr>
                <w:t xml:space="preserve">, </w:t>
              </w:r>
              <w:smartTag w:uri="urn:schemas-microsoft-com:office:smarttags" w:element="State">
                <w:r w:rsidRPr="000348DB">
                  <w:rPr>
                    <w:rFonts w:ascii="Arial" w:hAnsi="Arial" w:cs="Arial"/>
                    <w:bCs/>
                    <w:color w:val="000000"/>
                    <w:sz w:val="20"/>
                  </w:rPr>
                  <w:t>NY</w:t>
                </w:r>
              </w:smartTag>
            </w:smartTag>
          </w:p>
        </w:tc>
        <w:tc>
          <w:tcPr>
            <w:tcW w:w="522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 xml:space="preserve">Highest level of expected NSP2 investment in category. Judged that it provides better balance with </w:t>
            </w:r>
            <w:smartTag w:uri="urn:schemas-microsoft-com:office:smarttags" w:element="City">
              <w:r w:rsidRPr="000348DB">
                <w:rPr>
                  <w:rFonts w:ascii="Arial" w:hAnsi="Arial" w:cs="Arial"/>
                  <w:bCs/>
                  <w:color w:val="000000"/>
                  <w:sz w:val="20"/>
                </w:rPr>
                <w:t>Baltimore</w:t>
              </w:r>
            </w:smartTag>
            <w:r w:rsidRPr="000348DB">
              <w:rPr>
                <w:rFonts w:ascii="Arial" w:hAnsi="Arial" w:cs="Arial"/>
                <w:bCs/>
                <w:color w:val="000000"/>
                <w:sz w:val="20"/>
              </w:rPr>
              <w:t xml:space="preserve"> than </w:t>
            </w:r>
            <w:smartTag w:uri="urn:schemas-microsoft-com:office:smarttags" w:element="place">
              <w:smartTag w:uri="urn:schemas-microsoft-com:office:smarttags" w:element="City">
                <w:r w:rsidRPr="000348DB">
                  <w:rPr>
                    <w:rFonts w:ascii="Arial" w:hAnsi="Arial" w:cs="Arial"/>
                    <w:bCs/>
                    <w:color w:val="000000"/>
                    <w:sz w:val="20"/>
                  </w:rPr>
                  <w:t>Camden</w:t>
                </w:r>
              </w:smartTag>
            </w:smartTag>
            <w:r w:rsidRPr="000348DB">
              <w:rPr>
                <w:rFonts w:ascii="Arial" w:hAnsi="Arial" w:cs="Arial"/>
                <w:bCs/>
                <w:color w:val="000000"/>
                <w:sz w:val="20"/>
              </w:rPr>
              <w:t>.</w:t>
            </w: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sz w:val="20"/>
              </w:rPr>
            </w:pPr>
            <w:r>
              <w:rPr>
                <w:rFonts w:ascii="Arial" w:hAnsi="Arial" w:cs="Arial"/>
                <w:sz w:val="20"/>
              </w:rPr>
              <w:t>District of Columbia</w:t>
            </w:r>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smartTag w:uri="urn:schemas-microsoft-com:office:smarttags" w:element="place">
              <w:smartTag w:uri="urn:schemas-microsoft-com:office:smarttags" w:element="City">
                <w:r w:rsidRPr="000348DB">
                  <w:rPr>
                    <w:rFonts w:ascii="Arial" w:hAnsi="Arial" w:cs="Arial"/>
                    <w:bCs/>
                    <w:color w:val="000000"/>
                    <w:sz w:val="20"/>
                  </w:rPr>
                  <w:t>Cook County</w:t>
                </w:r>
              </w:smartTag>
              <w:r w:rsidRPr="000348DB">
                <w:rPr>
                  <w:rFonts w:ascii="Arial" w:hAnsi="Arial" w:cs="Arial"/>
                  <w:bCs/>
                  <w:color w:val="000000"/>
                  <w:sz w:val="20"/>
                </w:rPr>
                <w:t xml:space="preserve">, </w:t>
              </w:r>
              <w:smartTag w:uri="urn:schemas-microsoft-com:office:smarttags" w:element="State">
                <w:r w:rsidRPr="000348DB">
                  <w:rPr>
                    <w:rFonts w:ascii="Arial" w:hAnsi="Arial" w:cs="Arial"/>
                    <w:bCs/>
                    <w:color w:val="000000"/>
                    <w:sz w:val="20"/>
                  </w:rPr>
                  <w:lastRenderedPageBreak/>
                  <w:t>IL</w:t>
                </w:r>
              </w:smartTag>
            </w:smartTag>
          </w:p>
        </w:tc>
        <w:tc>
          <w:tcPr>
            <w:tcW w:w="522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lastRenderedPageBreak/>
              <w:t xml:space="preserve">Cook </w:t>
            </w:r>
            <w:r>
              <w:rPr>
                <w:rFonts w:ascii="Arial" w:hAnsi="Arial" w:cs="Arial"/>
                <w:bCs/>
                <w:color w:val="000000"/>
                <w:sz w:val="20"/>
              </w:rPr>
              <w:t>C</w:t>
            </w:r>
            <w:r w:rsidRPr="000348DB">
              <w:rPr>
                <w:rFonts w:ascii="Arial" w:hAnsi="Arial" w:cs="Arial"/>
                <w:bCs/>
                <w:color w:val="000000"/>
                <w:sz w:val="20"/>
              </w:rPr>
              <w:t xml:space="preserve">ounty has the largest expected NSP2 investment </w:t>
            </w:r>
            <w:r w:rsidRPr="000348DB">
              <w:rPr>
                <w:rFonts w:ascii="Arial" w:hAnsi="Arial" w:cs="Arial"/>
                <w:bCs/>
                <w:color w:val="000000"/>
                <w:sz w:val="20"/>
              </w:rPr>
              <w:lastRenderedPageBreak/>
              <w:t>i</w:t>
            </w:r>
            <w:r>
              <w:rPr>
                <w:rFonts w:ascii="Arial" w:hAnsi="Arial" w:cs="Arial"/>
                <w:bCs/>
                <w:color w:val="000000"/>
                <w:sz w:val="20"/>
              </w:rPr>
              <w:t xml:space="preserve">n this category—more than </w:t>
            </w:r>
            <w:proofErr w:type="gramStart"/>
            <w:r>
              <w:rPr>
                <w:rFonts w:ascii="Arial" w:hAnsi="Arial" w:cs="Arial"/>
                <w:bCs/>
                <w:color w:val="000000"/>
                <w:sz w:val="20"/>
              </w:rPr>
              <w:t>triple</w:t>
            </w:r>
            <w:proofErr w:type="gramEnd"/>
            <w:r w:rsidRPr="000348DB">
              <w:rPr>
                <w:rFonts w:ascii="Arial" w:hAnsi="Arial" w:cs="Arial"/>
                <w:bCs/>
                <w:color w:val="000000"/>
                <w:sz w:val="20"/>
              </w:rPr>
              <w:t xml:space="preserve"> the next highest.</w:t>
            </w:r>
            <w:r>
              <w:rPr>
                <w:rFonts w:ascii="Arial" w:hAnsi="Arial" w:cs="Arial"/>
                <w:bCs/>
                <w:color w:val="000000"/>
                <w:sz w:val="20"/>
              </w:rPr>
              <w:t xml:space="preserve">   District dropped because NSP2 grant is for DC only, which has had a more stable housing market than the MSA on which the housing market typology was based.</w:t>
            </w:r>
          </w:p>
        </w:tc>
      </w:tr>
      <w:tr w:rsidR="00806084" w:rsidRPr="000348DB" w:rsidTr="00D51E0E">
        <w:tc>
          <w:tcPr>
            <w:tcW w:w="9360" w:type="dxa"/>
            <w:gridSpan w:val="3"/>
            <w:shd w:val="clear" w:color="auto" w:fill="808080"/>
            <w:vAlign w:val="center"/>
          </w:tcPr>
          <w:p w:rsidR="00806084" w:rsidRPr="00F131CB" w:rsidRDefault="00806084" w:rsidP="00D51E0E">
            <w:pPr>
              <w:rPr>
                <w:rFonts w:ascii="Arial" w:hAnsi="Arial" w:cs="Arial"/>
                <w:b/>
                <w:bCs/>
                <w:color w:val="FFFFFF"/>
                <w:sz w:val="20"/>
              </w:rPr>
            </w:pPr>
            <w:r>
              <w:rPr>
                <w:rFonts w:ascii="Arial" w:hAnsi="Arial" w:cs="Arial"/>
                <w:b/>
                <w:bCs/>
                <w:color w:val="FFFFFF"/>
                <w:sz w:val="20"/>
              </w:rPr>
              <w:lastRenderedPageBreak/>
              <w:t>Boom-Stable Counties (2</w:t>
            </w:r>
            <w:r w:rsidRPr="00F131CB">
              <w:rPr>
                <w:rFonts w:ascii="Arial" w:hAnsi="Arial" w:cs="Arial"/>
                <w:b/>
                <w:bCs/>
                <w:color w:val="FFFFFF"/>
                <w:sz w:val="20"/>
              </w:rPr>
              <w:t>)</w:t>
            </w:r>
          </w:p>
        </w:tc>
      </w:tr>
      <w:tr w:rsidR="00806084" w:rsidRPr="000348DB" w:rsidTr="00D51E0E">
        <w:trPr>
          <w:trHeight w:val="710"/>
        </w:trPr>
        <w:tc>
          <w:tcPr>
            <w:tcW w:w="2700" w:type="dxa"/>
            <w:shd w:val="clear" w:color="auto" w:fill="FFFFFF"/>
            <w:vAlign w:val="center"/>
          </w:tcPr>
          <w:p w:rsidR="00806084" w:rsidRPr="000348DB" w:rsidRDefault="00806084" w:rsidP="00D51E0E">
            <w:pPr>
              <w:rPr>
                <w:rFonts w:ascii="Arial" w:hAnsi="Arial" w:cs="Arial"/>
                <w:sz w:val="20"/>
              </w:rPr>
            </w:pPr>
            <w:r w:rsidRPr="000348DB">
              <w:rPr>
                <w:rFonts w:ascii="Arial" w:hAnsi="Arial" w:cs="Arial"/>
                <w:sz w:val="20"/>
              </w:rPr>
              <w:t>Ramsey County, MN</w:t>
            </w:r>
          </w:p>
        </w:tc>
        <w:tc>
          <w:tcPr>
            <w:tcW w:w="1440" w:type="dxa"/>
            <w:shd w:val="clear" w:color="auto" w:fill="FFFFFF"/>
            <w:vAlign w:val="center"/>
          </w:tcPr>
          <w:p w:rsidR="00806084" w:rsidRPr="000348DB" w:rsidRDefault="00806084" w:rsidP="00D51E0E">
            <w:pPr>
              <w:jc w:val="center"/>
              <w:rPr>
                <w:rFonts w:ascii="Arial" w:hAnsi="Arial" w:cs="Arial"/>
                <w:sz w:val="20"/>
              </w:rPr>
            </w:pPr>
            <w:r>
              <w:rPr>
                <w:rFonts w:ascii="Arial" w:hAnsi="Arial" w:cs="Arial"/>
                <w:sz w:val="20"/>
              </w:rPr>
              <w:t>Same</w:t>
            </w:r>
          </w:p>
        </w:tc>
        <w:tc>
          <w:tcPr>
            <w:tcW w:w="5220" w:type="dxa"/>
            <w:shd w:val="clear" w:color="auto" w:fill="FFFFFF"/>
            <w:vAlign w:val="center"/>
          </w:tcPr>
          <w:p w:rsidR="00806084" w:rsidRDefault="00806084" w:rsidP="00D51E0E">
            <w:pPr>
              <w:rPr>
                <w:rFonts w:ascii="Arial" w:hAnsi="Arial" w:cs="Arial"/>
                <w:bCs/>
                <w:color w:val="000000"/>
                <w:sz w:val="20"/>
              </w:rPr>
            </w:pPr>
          </w:p>
        </w:tc>
      </w:tr>
      <w:tr w:rsidR="00806084" w:rsidRPr="000348DB" w:rsidTr="00D51E0E">
        <w:trPr>
          <w:trHeight w:val="710"/>
        </w:trPr>
        <w:tc>
          <w:tcPr>
            <w:tcW w:w="2700" w:type="dxa"/>
            <w:shd w:val="clear" w:color="auto" w:fill="FFFFFF"/>
            <w:vAlign w:val="center"/>
          </w:tcPr>
          <w:p w:rsidR="00806084" w:rsidRPr="000348DB" w:rsidRDefault="00806084" w:rsidP="00D51E0E">
            <w:pPr>
              <w:rPr>
                <w:rFonts w:ascii="Arial" w:hAnsi="Arial" w:cs="Arial"/>
                <w:sz w:val="20"/>
              </w:rPr>
            </w:pPr>
            <w:r>
              <w:rPr>
                <w:rFonts w:ascii="Arial" w:hAnsi="Arial" w:cs="Arial"/>
                <w:sz w:val="20"/>
              </w:rPr>
              <w:t>Mobile County, AL</w:t>
            </w:r>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smartTag w:uri="urn:schemas-microsoft-com:office:smarttags" w:element="place">
              <w:smartTag w:uri="urn:schemas-microsoft-com:office:smarttags" w:element="City">
                <w:r w:rsidRPr="000348DB">
                  <w:rPr>
                    <w:rFonts w:ascii="Arial" w:hAnsi="Arial" w:cs="Arial"/>
                    <w:bCs/>
                    <w:color w:val="000000"/>
                    <w:sz w:val="20"/>
                  </w:rPr>
                  <w:t>Philadelphia County</w:t>
                </w:r>
              </w:smartTag>
              <w:r w:rsidRPr="000348DB">
                <w:rPr>
                  <w:rFonts w:ascii="Arial" w:hAnsi="Arial" w:cs="Arial"/>
                  <w:bCs/>
                  <w:color w:val="000000"/>
                  <w:sz w:val="20"/>
                </w:rPr>
                <w:t xml:space="preserve">, </w:t>
              </w:r>
              <w:smartTag w:uri="urn:schemas-microsoft-com:office:smarttags" w:element="State">
                <w:r w:rsidRPr="000348DB">
                  <w:rPr>
                    <w:rFonts w:ascii="Arial" w:hAnsi="Arial" w:cs="Arial"/>
                    <w:bCs/>
                    <w:color w:val="000000"/>
                    <w:sz w:val="20"/>
                  </w:rPr>
                  <w:t>PA</w:t>
                </w:r>
              </w:smartTag>
            </w:smartTag>
          </w:p>
        </w:tc>
        <w:tc>
          <w:tcPr>
            <w:tcW w:w="522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Philadelphia County</w:t>
            </w:r>
            <w:r>
              <w:rPr>
                <w:rFonts w:ascii="Arial" w:hAnsi="Arial" w:cs="Arial"/>
                <w:bCs/>
                <w:color w:val="000000"/>
                <w:sz w:val="20"/>
              </w:rPr>
              <w:t xml:space="preserve"> was added because has the</w:t>
            </w:r>
            <w:r w:rsidRPr="000348DB">
              <w:rPr>
                <w:rFonts w:ascii="Arial" w:hAnsi="Arial" w:cs="Arial"/>
                <w:bCs/>
                <w:color w:val="000000"/>
                <w:sz w:val="20"/>
              </w:rPr>
              <w:t xml:space="preserve"> largest expected NSP</w:t>
            </w:r>
            <w:r>
              <w:rPr>
                <w:rFonts w:ascii="Arial" w:hAnsi="Arial" w:cs="Arial"/>
                <w:bCs/>
                <w:color w:val="000000"/>
                <w:sz w:val="20"/>
              </w:rPr>
              <w:t>2 county investment in category.  Mobile County had largest unemployment rate increase during the period, which did not fit the overall boom-stable profile.</w:t>
            </w:r>
          </w:p>
        </w:tc>
      </w:tr>
      <w:tr w:rsidR="00806084" w:rsidRPr="000348DB" w:rsidTr="00D51E0E">
        <w:tc>
          <w:tcPr>
            <w:tcW w:w="2700" w:type="dxa"/>
            <w:shd w:val="clear" w:color="auto" w:fill="FFFFFF"/>
            <w:vAlign w:val="center"/>
          </w:tcPr>
          <w:p w:rsidR="00806084" w:rsidRPr="000348DB" w:rsidRDefault="00806084" w:rsidP="00D51E0E">
            <w:pPr>
              <w:rPr>
                <w:rFonts w:ascii="Arial" w:hAnsi="Arial" w:cs="Arial"/>
                <w:sz w:val="20"/>
              </w:rPr>
            </w:pPr>
            <w:r>
              <w:rPr>
                <w:rFonts w:ascii="Arial" w:hAnsi="Arial" w:cs="Arial"/>
                <w:sz w:val="20"/>
              </w:rPr>
              <w:t>Orleans Parish, LA</w:t>
            </w:r>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Replaced with extra slow growth county</w:t>
            </w:r>
          </w:p>
        </w:tc>
        <w:tc>
          <w:tcPr>
            <w:tcW w:w="5220" w:type="dxa"/>
            <w:shd w:val="clear" w:color="auto" w:fill="FFFFFF"/>
            <w:vAlign w:val="center"/>
          </w:tcPr>
          <w:p w:rsidR="00806084" w:rsidRPr="000348DB" w:rsidRDefault="00806084" w:rsidP="00D51E0E">
            <w:pPr>
              <w:rPr>
                <w:rFonts w:ascii="Arial" w:hAnsi="Arial" w:cs="Arial"/>
                <w:bCs/>
                <w:color w:val="000000"/>
                <w:sz w:val="20"/>
              </w:rPr>
            </w:pPr>
            <w:r>
              <w:rPr>
                <w:rFonts w:ascii="Arial" w:hAnsi="Arial" w:cs="Arial"/>
                <w:bCs/>
                <w:color w:val="000000"/>
                <w:sz w:val="20"/>
              </w:rPr>
              <w:t>Removed Orleans Parish because New Orleans is the site of many post-Katrina recovery efforts, which might complicate attempts to evaluate the effect of NSP2.    Replaced by allocated additional extra slow growth county to sample because of the desire to have a Texas site in the sample and the high levels of expected investment per tract in two of the slow-growth counties.</w:t>
            </w:r>
          </w:p>
        </w:tc>
      </w:tr>
      <w:tr w:rsidR="00806084" w:rsidRPr="00F131C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7"/>
        </w:trPr>
        <w:tc>
          <w:tcPr>
            <w:tcW w:w="2700" w:type="dxa"/>
            <w:tcBorders>
              <w:righ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Original Sample</w:t>
            </w:r>
          </w:p>
        </w:tc>
        <w:tc>
          <w:tcPr>
            <w:tcW w:w="1440" w:type="dxa"/>
            <w:tcBorders>
              <w:left w:val="single" w:sz="8" w:space="0" w:color="FFFFFF"/>
              <w:righ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Revised Sample</w:t>
            </w:r>
          </w:p>
        </w:tc>
        <w:tc>
          <w:tcPr>
            <w:tcW w:w="5220" w:type="dxa"/>
            <w:tcBorders>
              <w:lef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Reason Original Sample Replaced</w:t>
            </w: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9360" w:type="dxa"/>
            <w:gridSpan w:val="3"/>
            <w:shd w:val="clear" w:color="auto" w:fill="808080"/>
            <w:vAlign w:val="center"/>
          </w:tcPr>
          <w:p w:rsidR="00806084" w:rsidRPr="00F131CB" w:rsidRDefault="00806084" w:rsidP="00D51E0E">
            <w:pPr>
              <w:rPr>
                <w:rFonts w:ascii="Arial" w:hAnsi="Arial" w:cs="Arial"/>
                <w:b/>
                <w:bCs/>
                <w:color w:val="FFFFFF"/>
                <w:sz w:val="20"/>
              </w:rPr>
            </w:pPr>
            <w:r>
              <w:rPr>
                <w:rFonts w:ascii="Arial" w:hAnsi="Arial" w:cs="Arial"/>
                <w:b/>
                <w:bCs/>
                <w:color w:val="FFFFFF"/>
                <w:sz w:val="20"/>
              </w:rPr>
              <w:t>Slow Growth Counties (2</w:t>
            </w:r>
            <w:r w:rsidRPr="00F131CB">
              <w:rPr>
                <w:rFonts w:ascii="Arial" w:hAnsi="Arial" w:cs="Arial"/>
                <w:b/>
                <w:bCs/>
                <w:color w:val="FFFFFF"/>
                <w:sz w:val="20"/>
              </w:rPr>
              <w:t>)</w:t>
            </w: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700" w:type="dxa"/>
            <w:shd w:val="clear" w:color="auto" w:fill="FFFFFF"/>
            <w:vAlign w:val="center"/>
          </w:tcPr>
          <w:p w:rsidR="00806084" w:rsidRPr="000348DB" w:rsidRDefault="00806084" w:rsidP="00D51E0E">
            <w:pPr>
              <w:rPr>
                <w:rFonts w:ascii="Arial" w:hAnsi="Arial" w:cs="Arial"/>
                <w:sz w:val="20"/>
              </w:rPr>
            </w:pPr>
            <w:r w:rsidRPr="000348DB">
              <w:rPr>
                <w:rFonts w:ascii="Arial" w:hAnsi="Arial" w:cs="Arial"/>
                <w:sz w:val="20"/>
              </w:rPr>
              <w:t>Davidson County, TN</w:t>
            </w:r>
          </w:p>
        </w:tc>
        <w:tc>
          <w:tcPr>
            <w:tcW w:w="1440" w:type="dxa"/>
            <w:vMerge w:val="restart"/>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Same</w:t>
            </w:r>
          </w:p>
        </w:tc>
        <w:tc>
          <w:tcPr>
            <w:tcW w:w="5220" w:type="dxa"/>
            <w:vMerge w:val="restart"/>
            <w:shd w:val="clear" w:color="auto" w:fill="FFFFFF"/>
            <w:vAlign w:val="center"/>
          </w:tcPr>
          <w:p w:rsidR="00806084" w:rsidRPr="000348DB" w:rsidRDefault="00806084" w:rsidP="00D51E0E">
            <w:pPr>
              <w:rPr>
                <w:rFonts w:ascii="Arial" w:hAnsi="Arial" w:cs="Arial"/>
                <w:bCs/>
                <w:color w:val="000000"/>
                <w:sz w:val="20"/>
              </w:rPr>
            </w:pPr>
            <w:r>
              <w:rPr>
                <w:rFonts w:ascii="Arial" w:hAnsi="Arial" w:cs="Arial"/>
                <w:bCs/>
                <w:color w:val="000000"/>
                <w:sz w:val="20"/>
              </w:rPr>
              <w:t xml:space="preserve">Note that Dallas County replaces Orleans Parish from Boom-Stable County category as described above.  </w:t>
            </w: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
        </w:trPr>
        <w:tc>
          <w:tcPr>
            <w:tcW w:w="2700" w:type="dxa"/>
            <w:shd w:val="clear" w:color="auto" w:fill="FFFFFF"/>
            <w:vAlign w:val="center"/>
          </w:tcPr>
          <w:p w:rsidR="00806084" w:rsidRPr="000348DB" w:rsidRDefault="00806084" w:rsidP="00D51E0E">
            <w:pPr>
              <w:rPr>
                <w:rFonts w:ascii="Arial" w:hAnsi="Arial" w:cs="Arial"/>
                <w:sz w:val="20"/>
              </w:rPr>
            </w:pPr>
            <w:r w:rsidRPr="000348DB">
              <w:rPr>
                <w:rFonts w:ascii="Arial" w:hAnsi="Arial" w:cs="Arial"/>
                <w:sz w:val="20"/>
              </w:rPr>
              <w:t>Dallas County, TX</w:t>
            </w:r>
          </w:p>
        </w:tc>
        <w:tc>
          <w:tcPr>
            <w:tcW w:w="1440" w:type="dxa"/>
            <w:vMerge/>
            <w:shd w:val="clear" w:color="auto" w:fill="FFFFFF"/>
            <w:vAlign w:val="center"/>
          </w:tcPr>
          <w:p w:rsidR="00806084" w:rsidRPr="000348DB" w:rsidRDefault="00806084" w:rsidP="00D51E0E">
            <w:pPr>
              <w:jc w:val="center"/>
              <w:rPr>
                <w:rFonts w:ascii="Arial" w:hAnsi="Arial" w:cs="Arial"/>
                <w:bCs/>
                <w:color w:val="000000"/>
                <w:sz w:val="20"/>
              </w:rPr>
            </w:pPr>
          </w:p>
        </w:tc>
        <w:tc>
          <w:tcPr>
            <w:tcW w:w="5220" w:type="dxa"/>
            <w:vMerge/>
            <w:shd w:val="clear" w:color="auto" w:fill="FFFFFF"/>
            <w:vAlign w:val="center"/>
          </w:tcPr>
          <w:p w:rsidR="00806084" w:rsidRPr="000348DB" w:rsidRDefault="00806084" w:rsidP="00D51E0E">
            <w:pPr>
              <w:jc w:val="center"/>
              <w:rPr>
                <w:rFonts w:ascii="Arial" w:hAnsi="Arial" w:cs="Arial"/>
                <w:bCs/>
                <w:color w:val="000000"/>
                <w:sz w:val="20"/>
              </w:rPr>
            </w:pP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9360" w:type="dxa"/>
            <w:gridSpan w:val="3"/>
            <w:shd w:val="clear" w:color="auto" w:fill="808080" w:themeFill="background1" w:themeFillShade="80"/>
            <w:vAlign w:val="center"/>
          </w:tcPr>
          <w:p w:rsidR="00806084" w:rsidRPr="000348DB" w:rsidRDefault="00806084" w:rsidP="00D51E0E">
            <w:pPr>
              <w:rPr>
                <w:rFonts w:ascii="Arial" w:hAnsi="Arial" w:cs="Arial"/>
                <w:bCs/>
                <w:color w:val="000000"/>
                <w:sz w:val="20"/>
              </w:rPr>
            </w:pPr>
            <w:r w:rsidRPr="00F131CB">
              <w:rPr>
                <w:rFonts w:ascii="Arial" w:hAnsi="Arial" w:cs="Arial"/>
                <w:b/>
                <w:bCs/>
                <w:color w:val="FFFFFF"/>
                <w:sz w:val="20"/>
              </w:rPr>
              <w:t>Lagg</w:t>
            </w:r>
            <w:r>
              <w:rPr>
                <w:rFonts w:ascii="Arial" w:hAnsi="Arial" w:cs="Arial"/>
                <w:b/>
                <w:bCs/>
                <w:color w:val="FFFFFF"/>
                <w:sz w:val="20"/>
              </w:rPr>
              <w:t>ing/Declining Market Counties (6</w:t>
            </w:r>
            <w:r w:rsidRPr="00F131CB">
              <w:rPr>
                <w:rFonts w:ascii="Arial" w:hAnsi="Arial" w:cs="Arial"/>
                <w:b/>
                <w:bCs/>
                <w:color w:val="FFFFFF"/>
                <w:sz w:val="20"/>
              </w:rPr>
              <w:t>)</w:t>
            </w: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700" w:type="dxa"/>
            <w:shd w:val="clear" w:color="auto" w:fill="FFFFFF"/>
          </w:tcPr>
          <w:p w:rsidR="00806084" w:rsidRDefault="00806084" w:rsidP="00D51E0E">
            <w:r w:rsidRPr="00BC1A4B">
              <w:rPr>
                <w:rFonts w:ascii="Arial" w:hAnsi="Arial" w:cs="Arial"/>
                <w:sz w:val="20"/>
              </w:rPr>
              <w:t>Pulaski County, AR</w:t>
            </w:r>
          </w:p>
        </w:tc>
        <w:tc>
          <w:tcPr>
            <w:tcW w:w="1440" w:type="dxa"/>
            <w:vMerge w:val="restart"/>
            <w:shd w:val="clear" w:color="auto" w:fill="FFFFFF"/>
            <w:vAlign w:val="center"/>
          </w:tcPr>
          <w:p w:rsidR="00806084" w:rsidRDefault="00806084" w:rsidP="00D51E0E">
            <w:pPr>
              <w:jc w:val="center"/>
            </w:pPr>
            <w:r w:rsidRPr="000348DB">
              <w:rPr>
                <w:rFonts w:ascii="Arial" w:hAnsi="Arial" w:cs="Arial"/>
                <w:bCs/>
                <w:color w:val="000000"/>
                <w:sz w:val="20"/>
              </w:rPr>
              <w:t>Same</w:t>
            </w:r>
          </w:p>
        </w:tc>
        <w:tc>
          <w:tcPr>
            <w:tcW w:w="5220" w:type="dxa"/>
            <w:vMerge w:val="restart"/>
            <w:shd w:val="clear" w:color="auto" w:fill="FFFFFF"/>
          </w:tcPr>
          <w:p w:rsidR="00806084" w:rsidRDefault="00806084" w:rsidP="00D51E0E"/>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700" w:type="dxa"/>
            <w:shd w:val="clear" w:color="auto" w:fill="FFFFFF"/>
            <w:vAlign w:val="center"/>
          </w:tcPr>
          <w:p w:rsidR="00806084" w:rsidRPr="000348DB" w:rsidRDefault="00806084" w:rsidP="00D51E0E">
            <w:pPr>
              <w:rPr>
                <w:rFonts w:ascii="Arial" w:hAnsi="Arial" w:cs="Arial"/>
                <w:sz w:val="20"/>
              </w:rPr>
            </w:pPr>
            <w:r w:rsidRPr="000348DB">
              <w:rPr>
                <w:rFonts w:ascii="Arial" w:hAnsi="Arial" w:cs="Arial"/>
                <w:sz w:val="20"/>
              </w:rPr>
              <w:t xml:space="preserve">Ingham County, </w:t>
            </w:r>
            <w:smartTag w:uri="urn:schemas-microsoft-com:office:smarttags" w:element="State">
              <w:r w:rsidRPr="000348DB">
                <w:rPr>
                  <w:rFonts w:ascii="Arial" w:hAnsi="Arial" w:cs="Arial"/>
                  <w:sz w:val="20"/>
                </w:rPr>
                <w:t>MI</w:t>
              </w:r>
            </w:smartTag>
          </w:p>
        </w:tc>
        <w:tc>
          <w:tcPr>
            <w:tcW w:w="1440" w:type="dxa"/>
            <w:vMerge/>
            <w:shd w:val="clear" w:color="auto" w:fill="FFFFFF"/>
            <w:vAlign w:val="center"/>
          </w:tcPr>
          <w:p w:rsidR="00806084" w:rsidRPr="000348DB" w:rsidRDefault="00806084" w:rsidP="00D51E0E">
            <w:pPr>
              <w:jc w:val="center"/>
              <w:rPr>
                <w:rFonts w:ascii="Arial" w:hAnsi="Arial" w:cs="Arial"/>
                <w:bCs/>
                <w:color w:val="000000"/>
                <w:sz w:val="20"/>
              </w:rPr>
            </w:pPr>
          </w:p>
        </w:tc>
        <w:tc>
          <w:tcPr>
            <w:tcW w:w="5220" w:type="dxa"/>
            <w:vMerge/>
            <w:shd w:val="clear" w:color="auto" w:fill="FFFFFF"/>
            <w:vAlign w:val="center"/>
          </w:tcPr>
          <w:p w:rsidR="00806084" w:rsidRPr="000348DB" w:rsidRDefault="00806084" w:rsidP="00D51E0E">
            <w:pPr>
              <w:jc w:val="center"/>
              <w:rPr>
                <w:rFonts w:ascii="Arial" w:hAnsi="Arial" w:cs="Arial"/>
                <w:bCs/>
                <w:color w:val="000000"/>
                <w:sz w:val="20"/>
              </w:rPr>
            </w:pP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700" w:type="dxa"/>
            <w:shd w:val="clear" w:color="auto" w:fill="FFFFFF"/>
            <w:vAlign w:val="center"/>
          </w:tcPr>
          <w:p w:rsidR="00806084" w:rsidRPr="000348DB" w:rsidRDefault="00806084" w:rsidP="00D51E0E">
            <w:pPr>
              <w:rPr>
                <w:rFonts w:ascii="Arial" w:hAnsi="Arial" w:cs="Arial"/>
                <w:sz w:val="20"/>
              </w:rPr>
            </w:pPr>
            <w:r w:rsidRPr="000348DB">
              <w:rPr>
                <w:rFonts w:ascii="Arial" w:hAnsi="Arial" w:cs="Arial"/>
                <w:sz w:val="20"/>
              </w:rPr>
              <w:t xml:space="preserve">Wayne </w:t>
            </w:r>
            <w:smartTag w:uri="urn:schemas-microsoft-com:office:smarttags" w:element="PlaceName">
              <w:r w:rsidRPr="000348DB">
                <w:rPr>
                  <w:rFonts w:ascii="Arial" w:hAnsi="Arial" w:cs="Arial"/>
                  <w:sz w:val="20"/>
                </w:rPr>
                <w:t>County</w:t>
              </w:r>
            </w:smartTag>
            <w:r w:rsidRPr="000348DB">
              <w:rPr>
                <w:rFonts w:ascii="Arial" w:hAnsi="Arial" w:cs="Arial"/>
                <w:sz w:val="20"/>
              </w:rPr>
              <w:t>, MI</w:t>
            </w:r>
          </w:p>
        </w:tc>
        <w:tc>
          <w:tcPr>
            <w:tcW w:w="1440" w:type="dxa"/>
            <w:vMerge/>
            <w:shd w:val="clear" w:color="auto" w:fill="FFFFFF"/>
            <w:vAlign w:val="center"/>
          </w:tcPr>
          <w:p w:rsidR="00806084" w:rsidRPr="000348DB" w:rsidRDefault="00806084" w:rsidP="00D51E0E">
            <w:pPr>
              <w:jc w:val="center"/>
              <w:rPr>
                <w:rFonts w:ascii="Arial" w:hAnsi="Arial" w:cs="Arial"/>
                <w:bCs/>
                <w:color w:val="000000"/>
                <w:sz w:val="20"/>
              </w:rPr>
            </w:pPr>
          </w:p>
        </w:tc>
        <w:tc>
          <w:tcPr>
            <w:tcW w:w="5220" w:type="dxa"/>
            <w:vMerge/>
            <w:shd w:val="clear" w:color="auto" w:fill="FFFFFF"/>
            <w:vAlign w:val="center"/>
          </w:tcPr>
          <w:p w:rsidR="00806084" w:rsidRPr="000348DB" w:rsidRDefault="00806084" w:rsidP="00D51E0E">
            <w:pPr>
              <w:rPr>
                <w:rFonts w:ascii="Arial" w:hAnsi="Arial" w:cs="Arial"/>
                <w:bCs/>
                <w:color w:val="000000"/>
                <w:sz w:val="20"/>
              </w:rPr>
            </w:pP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700" w:type="dxa"/>
            <w:shd w:val="clear" w:color="auto" w:fill="FFFFFF"/>
            <w:vAlign w:val="center"/>
          </w:tcPr>
          <w:p w:rsidR="00806084" w:rsidRPr="000348DB" w:rsidRDefault="00806084" w:rsidP="00D51E0E">
            <w:pPr>
              <w:rPr>
                <w:rFonts w:ascii="Arial" w:hAnsi="Arial" w:cs="Arial"/>
                <w:sz w:val="20"/>
              </w:rPr>
            </w:pPr>
            <w:r w:rsidRPr="000348DB">
              <w:t xml:space="preserve">Genesee County, </w:t>
            </w:r>
            <w:smartTag w:uri="urn:schemas-microsoft-com:office:smarttags" w:element="State">
              <w:r w:rsidRPr="000348DB">
                <w:t>MI</w:t>
              </w:r>
            </w:smartTag>
          </w:p>
        </w:tc>
        <w:tc>
          <w:tcPr>
            <w:tcW w:w="1440" w:type="dxa"/>
            <w:vMerge/>
            <w:shd w:val="clear" w:color="auto" w:fill="FFFFFF"/>
            <w:vAlign w:val="center"/>
          </w:tcPr>
          <w:p w:rsidR="00806084" w:rsidRPr="000348DB" w:rsidRDefault="00806084" w:rsidP="00D51E0E">
            <w:pPr>
              <w:jc w:val="center"/>
              <w:rPr>
                <w:rFonts w:ascii="Arial" w:hAnsi="Arial" w:cs="Arial"/>
                <w:bCs/>
                <w:color w:val="000000"/>
                <w:sz w:val="20"/>
              </w:rPr>
            </w:pPr>
          </w:p>
        </w:tc>
        <w:tc>
          <w:tcPr>
            <w:tcW w:w="5220" w:type="dxa"/>
            <w:vMerge/>
            <w:shd w:val="clear" w:color="auto" w:fill="FFFFFF"/>
            <w:vAlign w:val="center"/>
          </w:tcPr>
          <w:p w:rsidR="00806084" w:rsidRPr="000348DB" w:rsidRDefault="00806084" w:rsidP="00D51E0E">
            <w:pPr>
              <w:rPr>
                <w:rFonts w:ascii="Arial" w:hAnsi="Arial" w:cs="Arial"/>
                <w:bCs/>
                <w:color w:val="000000"/>
                <w:sz w:val="20"/>
              </w:rPr>
            </w:pP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700" w:type="dxa"/>
            <w:shd w:val="clear" w:color="auto" w:fill="FFFFFF"/>
            <w:vAlign w:val="center"/>
          </w:tcPr>
          <w:p w:rsidR="00806084" w:rsidRPr="000348DB" w:rsidRDefault="00806084" w:rsidP="00D51E0E">
            <w:pPr>
              <w:rPr>
                <w:rFonts w:ascii="Arial" w:hAnsi="Arial" w:cs="Arial"/>
                <w:sz w:val="20"/>
              </w:rPr>
            </w:pPr>
            <w:r w:rsidRPr="000348DB">
              <w:rPr>
                <w:rFonts w:ascii="Arial" w:hAnsi="Arial" w:cs="Arial"/>
                <w:sz w:val="20"/>
              </w:rPr>
              <w:t>Calhoun County, MI</w:t>
            </w:r>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smartTag w:uri="urn:schemas-microsoft-com:office:smarttags" w:element="place">
              <w:smartTag w:uri="urn:schemas-microsoft-com:office:smarttags" w:element="City">
                <w:r w:rsidRPr="000348DB">
                  <w:rPr>
                    <w:rFonts w:ascii="Arial" w:hAnsi="Arial" w:cs="Arial"/>
                    <w:bCs/>
                    <w:color w:val="000000"/>
                    <w:sz w:val="20"/>
                  </w:rPr>
                  <w:t>Cuyahoga County</w:t>
                </w:r>
              </w:smartTag>
              <w:r w:rsidRPr="000348DB">
                <w:rPr>
                  <w:rFonts w:ascii="Arial" w:hAnsi="Arial" w:cs="Arial"/>
                  <w:bCs/>
                  <w:color w:val="000000"/>
                  <w:sz w:val="20"/>
                </w:rPr>
                <w:t xml:space="preserve">, </w:t>
              </w:r>
              <w:smartTag w:uri="urn:schemas-microsoft-com:office:smarttags" w:element="State">
                <w:r w:rsidRPr="000348DB">
                  <w:rPr>
                    <w:rFonts w:ascii="Arial" w:hAnsi="Arial" w:cs="Arial"/>
                    <w:bCs/>
                    <w:color w:val="000000"/>
                    <w:sz w:val="20"/>
                  </w:rPr>
                  <w:t>OH</w:t>
                </w:r>
              </w:smartTag>
            </w:smartTag>
          </w:p>
        </w:tc>
        <w:tc>
          <w:tcPr>
            <w:tcW w:w="522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 xml:space="preserve">Wanted non-Michigan sites in this category and </w:t>
            </w:r>
            <w:smartTag w:uri="urn:schemas-microsoft-com:office:smarttags" w:element="place">
              <w:smartTag w:uri="urn:schemas-microsoft-com:office:smarttags" w:element="PlaceName">
                <w:r w:rsidRPr="000348DB">
                  <w:rPr>
                    <w:rFonts w:ascii="Arial" w:hAnsi="Arial" w:cs="Arial"/>
                    <w:bCs/>
                    <w:color w:val="000000"/>
                    <w:sz w:val="20"/>
                  </w:rPr>
                  <w:t>Cuyahoga</w:t>
                </w:r>
              </w:smartTag>
              <w:r w:rsidRPr="000348DB">
                <w:rPr>
                  <w:rFonts w:ascii="Arial" w:hAnsi="Arial" w:cs="Arial"/>
                  <w:bCs/>
                  <w:color w:val="000000"/>
                  <w:sz w:val="20"/>
                </w:rPr>
                <w:t xml:space="preserve"> </w:t>
              </w:r>
              <w:smartTag w:uri="urn:schemas-microsoft-com:office:smarttags" w:element="PlaceType">
                <w:r w:rsidRPr="000348DB">
                  <w:rPr>
                    <w:rFonts w:ascii="Arial" w:hAnsi="Arial" w:cs="Arial"/>
                    <w:bCs/>
                    <w:color w:val="000000"/>
                    <w:sz w:val="20"/>
                  </w:rPr>
                  <w:t>County</w:t>
                </w:r>
              </w:smartTag>
            </w:smartTag>
            <w:r w:rsidRPr="000348DB">
              <w:rPr>
                <w:rFonts w:ascii="Arial" w:hAnsi="Arial" w:cs="Arial"/>
                <w:bCs/>
                <w:color w:val="000000"/>
                <w:sz w:val="20"/>
              </w:rPr>
              <w:t xml:space="preserve"> has second largest expected NSP2 funding in the category.</w:t>
            </w: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700" w:type="dxa"/>
            <w:shd w:val="clear" w:color="auto" w:fill="FFFFFF"/>
            <w:vAlign w:val="center"/>
          </w:tcPr>
          <w:p w:rsidR="00806084" w:rsidRPr="000348DB" w:rsidRDefault="00806084" w:rsidP="00D51E0E">
            <w:pPr>
              <w:rPr>
                <w:rFonts w:ascii="Arial" w:hAnsi="Arial" w:cs="Arial"/>
                <w:sz w:val="20"/>
              </w:rPr>
            </w:pPr>
            <w:smartTag w:uri="urn:schemas-microsoft-com:office:smarttags" w:element="place">
              <w:smartTag w:uri="urn:schemas-microsoft-com:office:smarttags" w:element="PlaceName">
                <w:r w:rsidRPr="000348DB">
                  <w:rPr>
                    <w:rFonts w:ascii="Arial" w:hAnsi="Arial" w:cs="Arial"/>
                    <w:sz w:val="20"/>
                  </w:rPr>
                  <w:t>Kent</w:t>
                </w:r>
              </w:smartTag>
              <w:r w:rsidRPr="000348DB">
                <w:rPr>
                  <w:rFonts w:ascii="Arial" w:hAnsi="Arial" w:cs="Arial"/>
                  <w:sz w:val="20"/>
                </w:rPr>
                <w:t xml:space="preserve"> </w:t>
              </w:r>
              <w:smartTag w:uri="urn:schemas-microsoft-com:office:smarttags" w:element="PlaceName">
                <w:r w:rsidRPr="000348DB">
                  <w:rPr>
                    <w:rFonts w:ascii="Arial" w:hAnsi="Arial" w:cs="Arial"/>
                    <w:sz w:val="20"/>
                  </w:rPr>
                  <w:t>County</w:t>
                </w:r>
              </w:smartTag>
            </w:smartTag>
            <w:r w:rsidRPr="000348DB">
              <w:rPr>
                <w:rFonts w:ascii="Arial" w:hAnsi="Arial" w:cs="Arial"/>
                <w:sz w:val="20"/>
              </w:rPr>
              <w:t>, MI</w:t>
            </w:r>
          </w:p>
        </w:tc>
        <w:tc>
          <w:tcPr>
            <w:tcW w:w="1440" w:type="dxa"/>
            <w:shd w:val="clear" w:color="auto" w:fill="FFFFFF"/>
            <w:vAlign w:val="center"/>
          </w:tcPr>
          <w:p w:rsidR="00806084" w:rsidRPr="000348DB" w:rsidRDefault="00806084" w:rsidP="00D51E0E">
            <w:pPr>
              <w:jc w:val="center"/>
              <w:rPr>
                <w:rFonts w:ascii="Arial" w:hAnsi="Arial" w:cs="Arial"/>
                <w:bCs/>
                <w:color w:val="000000"/>
                <w:sz w:val="20"/>
              </w:rPr>
            </w:pPr>
            <w:smartTag w:uri="urn:schemas-microsoft-com:office:smarttags" w:element="place">
              <w:smartTag w:uri="urn:schemas-microsoft-com:office:smarttags" w:element="City">
                <w:r w:rsidRPr="000348DB">
                  <w:rPr>
                    <w:rFonts w:ascii="Arial" w:hAnsi="Arial" w:cs="Arial"/>
                    <w:bCs/>
                    <w:color w:val="000000"/>
                    <w:sz w:val="20"/>
                  </w:rPr>
                  <w:t>Montgomery County</w:t>
                </w:r>
              </w:smartTag>
              <w:r w:rsidRPr="000348DB">
                <w:rPr>
                  <w:rFonts w:ascii="Arial" w:hAnsi="Arial" w:cs="Arial"/>
                  <w:bCs/>
                  <w:color w:val="000000"/>
                  <w:sz w:val="20"/>
                </w:rPr>
                <w:t xml:space="preserve">, </w:t>
              </w:r>
              <w:smartTag w:uri="urn:schemas-microsoft-com:office:smarttags" w:element="State">
                <w:r w:rsidRPr="000348DB">
                  <w:rPr>
                    <w:rFonts w:ascii="Arial" w:hAnsi="Arial" w:cs="Arial"/>
                    <w:bCs/>
                    <w:color w:val="000000"/>
                    <w:sz w:val="20"/>
                  </w:rPr>
                  <w:t>OH</w:t>
                </w:r>
              </w:smartTag>
            </w:smartTag>
          </w:p>
        </w:tc>
        <w:tc>
          <w:tcPr>
            <w:tcW w:w="522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 xml:space="preserve">Wanted another non-Michigan county and given the number of </w:t>
            </w:r>
            <w:smartTag w:uri="urn:schemas-microsoft-com:office:smarttags" w:element="State">
              <w:r w:rsidRPr="000348DB">
                <w:rPr>
                  <w:rFonts w:ascii="Arial" w:hAnsi="Arial" w:cs="Arial"/>
                  <w:bCs/>
                  <w:color w:val="000000"/>
                  <w:sz w:val="20"/>
                </w:rPr>
                <w:t>Ohio</w:t>
              </w:r>
            </w:smartTag>
            <w:r w:rsidRPr="000348DB">
              <w:rPr>
                <w:rFonts w:ascii="Arial" w:hAnsi="Arial" w:cs="Arial"/>
                <w:bCs/>
                <w:color w:val="000000"/>
                <w:sz w:val="20"/>
              </w:rPr>
              <w:t xml:space="preserve"> counties in NSP2, decided it should be from </w:t>
            </w:r>
            <w:smartTag w:uri="urn:schemas-microsoft-com:office:smarttags" w:element="place">
              <w:smartTag w:uri="urn:schemas-microsoft-com:office:smarttags" w:element="State">
                <w:r w:rsidRPr="000348DB">
                  <w:rPr>
                    <w:rFonts w:ascii="Arial" w:hAnsi="Arial" w:cs="Arial"/>
                    <w:bCs/>
                    <w:color w:val="000000"/>
                    <w:sz w:val="20"/>
                  </w:rPr>
                  <w:t>Ohio</w:t>
                </w:r>
              </w:smartTag>
            </w:smartTag>
            <w:r w:rsidRPr="000348DB">
              <w:rPr>
                <w:rFonts w:ascii="Arial" w:hAnsi="Arial" w:cs="Arial"/>
                <w:bCs/>
                <w:color w:val="000000"/>
                <w:sz w:val="20"/>
              </w:rPr>
              <w:t>.</w:t>
            </w:r>
            <w:r>
              <w:rPr>
                <w:rFonts w:ascii="Arial" w:hAnsi="Arial" w:cs="Arial"/>
                <w:bCs/>
                <w:color w:val="000000"/>
                <w:sz w:val="20"/>
              </w:rPr>
              <w:t xml:space="preserve">  Dropped </w:t>
            </w:r>
            <w:smartTag w:uri="urn:schemas-microsoft-com:office:smarttags" w:element="PlaceName">
              <w:r>
                <w:rPr>
                  <w:rFonts w:ascii="Arial" w:hAnsi="Arial" w:cs="Arial"/>
                  <w:bCs/>
                  <w:color w:val="000000"/>
                  <w:sz w:val="20"/>
                </w:rPr>
                <w:t>Kent</w:t>
              </w:r>
            </w:smartTag>
            <w:r>
              <w:rPr>
                <w:rFonts w:ascii="Arial" w:hAnsi="Arial" w:cs="Arial"/>
                <w:bCs/>
                <w:color w:val="000000"/>
                <w:sz w:val="20"/>
              </w:rPr>
              <w:t xml:space="preserve"> </w:t>
            </w:r>
            <w:smartTag w:uri="urn:schemas-microsoft-com:office:smarttags" w:element="PlaceName">
              <w:r>
                <w:rPr>
                  <w:rFonts w:ascii="Arial" w:hAnsi="Arial" w:cs="Arial"/>
                  <w:bCs/>
                  <w:color w:val="000000"/>
                  <w:sz w:val="20"/>
                </w:rPr>
                <w:t>County</w:t>
              </w:r>
            </w:smartTag>
            <w:r>
              <w:rPr>
                <w:rFonts w:ascii="Arial" w:hAnsi="Arial" w:cs="Arial"/>
                <w:bCs/>
                <w:color w:val="000000"/>
                <w:sz w:val="20"/>
              </w:rPr>
              <w:t xml:space="preserve"> rather than Genesee or Ingham because Ingham has larger expected county investment and the city of </w:t>
            </w:r>
            <w:smartTag w:uri="urn:schemas-microsoft-com:office:smarttags" w:element="City">
              <w:r>
                <w:rPr>
                  <w:rFonts w:ascii="Arial" w:hAnsi="Arial" w:cs="Arial"/>
                  <w:bCs/>
                  <w:color w:val="000000"/>
                  <w:sz w:val="20"/>
                </w:rPr>
                <w:t>Flint</w:t>
              </w:r>
            </w:smartTag>
            <w:r>
              <w:rPr>
                <w:rFonts w:ascii="Arial" w:hAnsi="Arial" w:cs="Arial"/>
                <w:bCs/>
                <w:color w:val="000000"/>
                <w:sz w:val="20"/>
              </w:rPr>
              <w:t xml:space="preserve"> in Genesee </w:t>
            </w:r>
            <w:smartTag w:uri="urn:schemas-microsoft-com:office:smarttags" w:element="PlaceType">
              <w:r>
                <w:rPr>
                  <w:rFonts w:ascii="Arial" w:hAnsi="Arial" w:cs="Arial"/>
                  <w:bCs/>
                  <w:color w:val="000000"/>
                  <w:sz w:val="20"/>
                </w:rPr>
                <w:t>County</w:t>
              </w:r>
            </w:smartTag>
            <w:r>
              <w:rPr>
                <w:rFonts w:ascii="Arial" w:hAnsi="Arial" w:cs="Arial"/>
                <w:bCs/>
                <w:color w:val="000000"/>
                <w:sz w:val="20"/>
              </w:rPr>
              <w:t xml:space="preserve"> epitomizes a long-term declining market.</w:t>
            </w: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700" w:type="dxa"/>
            <w:tcBorders>
              <w:bottom w:val="single" w:sz="8" w:space="0" w:color="000000"/>
            </w:tcBorders>
            <w:shd w:val="clear" w:color="auto" w:fill="DDD9C3"/>
            <w:vAlign w:val="center"/>
          </w:tcPr>
          <w:p w:rsidR="00806084" w:rsidRPr="000348DB" w:rsidRDefault="00806084" w:rsidP="00D51E0E">
            <w:pPr>
              <w:rPr>
                <w:rFonts w:ascii="Arial" w:hAnsi="Arial" w:cs="Arial"/>
                <w:b/>
                <w:bCs/>
                <w:color w:val="000000"/>
                <w:sz w:val="20"/>
              </w:rPr>
            </w:pPr>
            <w:r w:rsidRPr="000348DB">
              <w:rPr>
                <w:rFonts w:ascii="Arial" w:hAnsi="Arial" w:cs="Arial"/>
                <w:b/>
                <w:bCs/>
                <w:color w:val="000000"/>
                <w:sz w:val="20"/>
              </w:rPr>
              <w:t>2</w:t>
            </w:r>
            <w:r>
              <w:rPr>
                <w:rFonts w:ascii="Arial" w:hAnsi="Arial" w:cs="Arial"/>
                <w:b/>
                <w:bCs/>
                <w:color w:val="000000"/>
                <w:sz w:val="20"/>
              </w:rPr>
              <w:t>1</w:t>
            </w:r>
            <w:r w:rsidRPr="000348DB">
              <w:rPr>
                <w:rFonts w:ascii="Arial" w:hAnsi="Arial" w:cs="Arial"/>
                <w:b/>
                <w:bCs/>
                <w:color w:val="000000"/>
                <w:sz w:val="20"/>
              </w:rPr>
              <w:t xml:space="preserve"> Counties</w:t>
            </w:r>
          </w:p>
        </w:tc>
        <w:tc>
          <w:tcPr>
            <w:tcW w:w="1440" w:type="dxa"/>
            <w:tcBorders>
              <w:bottom w:val="single" w:sz="8" w:space="0" w:color="000000"/>
            </w:tcBorders>
            <w:shd w:val="clear" w:color="auto" w:fill="DDD9C3"/>
            <w:vAlign w:val="center"/>
          </w:tcPr>
          <w:p w:rsidR="00806084" w:rsidRPr="000348DB" w:rsidRDefault="00806084" w:rsidP="00D51E0E">
            <w:pPr>
              <w:jc w:val="center"/>
              <w:rPr>
                <w:rFonts w:ascii="Arial" w:hAnsi="Arial" w:cs="Arial"/>
                <w:b/>
                <w:bCs/>
                <w:color w:val="000000"/>
                <w:sz w:val="20"/>
              </w:rPr>
            </w:pPr>
            <w:r w:rsidRPr="000348DB">
              <w:rPr>
                <w:rFonts w:ascii="Arial" w:hAnsi="Arial" w:cs="Arial"/>
                <w:b/>
                <w:bCs/>
                <w:color w:val="000000"/>
                <w:sz w:val="20"/>
              </w:rPr>
              <w:t>21 Counties</w:t>
            </w:r>
          </w:p>
        </w:tc>
        <w:tc>
          <w:tcPr>
            <w:tcW w:w="5220" w:type="dxa"/>
            <w:tcBorders>
              <w:bottom w:val="single" w:sz="8" w:space="0" w:color="000000"/>
            </w:tcBorders>
            <w:shd w:val="clear" w:color="auto" w:fill="DDD9C3"/>
            <w:vAlign w:val="center"/>
          </w:tcPr>
          <w:p w:rsidR="00806084" w:rsidRPr="000348DB" w:rsidRDefault="00806084" w:rsidP="00D51E0E">
            <w:pPr>
              <w:jc w:val="center"/>
              <w:rPr>
                <w:rFonts w:ascii="Arial" w:hAnsi="Arial" w:cs="Arial"/>
                <w:b/>
                <w:bCs/>
                <w:color w:val="000000"/>
                <w:sz w:val="20"/>
              </w:rPr>
            </w:pPr>
            <w:r w:rsidRPr="000348DB">
              <w:rPr>
                <w:rFonts w:ascii="Arial" w:hAnsi="Arial" w:cs="Arial"/>
                <w:b/>
                <w:bCs/>
                <w:color w:val="000000"/>
                <w:sz w:val="20"/>
              </w:rPr>
              <w:t>8 of the original 2</w:t>
            </w:r>
            <w:r>
              <w:rPr>
                <w:rFonts w:ascii="Arial" w:hAnsi="Arial" w:cs="Arial"/>
                <w:b/>
                <w:bCs/>
                <w:color w:val="000000"/>
                <w:sz w:val="20"/>
              </w:rPr>
              <w:t>0</w:t>
            </w:r>
            <w:r w:rsidRPr="000348DB">
              <w:rPr>
                <w:rFonts w:ascii="Arial" w:hAnsi="Arial" w:cs="Arial"/>
                <w:b/>
                <w:bCs/>
                <w:color w:val="000000"/>
                <w:sz w:val="20"/>
              </w:rPr>
              <w:t xml:space="preserve"> counties were replaced, and we added one additional county to the sample.</w:t>
            </w:r>
          </w:p>
        </w:tc>
      </w:tr>
      <w:tr w:rsidR="00806084" w:rsidRPr="000348DB" w:rsidTr="00D51E0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2"/>
        </w:trPr>
        <w:tc>
          <w:tcPr>
            <w:tcW w:w="9360" w:type="dxa"/>
            <w:gridSpan w:val="3"/>
            <w:tcBorders>
              <w:left w:val="nil"/>
              <w:bottom w:val="nil"/>
              <w:right w:val="nil"/>
            </w:tcBorders>
            <w:shd w:val="clear" w:color="auto" w:fill="FFFFFF"/>
            <w:vAlign w:val="center"/>
          </w:tcPr>
          <w:p w:rsidR="00806084" w:rsidRPr="000348DB" w:rsidRDefault="00806084" w:rsidP="00D51E0E">
            <w:pPr>
              <w:ind w:left="360" w:hanging="360"/>
              <w:rPr>
                <w:b/>
                <w:sz w:val="18"/>
                <w:szCs w:val="18"/>
              </w:rPr>
            </w:pPr>
            <w:r>
              <w:rPr>
                <w:i/>
                <w:sz w:val="18"/>
                <w:szCs w:val="18"/>
              </w:rPr>
              <w:t>*</w:t>
            </w:r>
            <w:r>
              <w:rPr>
                <w:i/>
                <w:sz w:val="18"/>
                <w:szCs w:val="18"/>
              </w:rPr>
              <w:tab/>
            </w:r>
            <w:r w:rsidRPr="00754991">
              <w:rPr>
                <w:i/>
                <w:sz w:val="18"/>
                <w:szCs w:val="18"/>
              </w:rPr>
              <w:t>Source</w:t>
            </w:r>
            <w:r w:rsidRPr="000348DB">
              <w:rPr>
                <w:b/>
                <w:sz w:val="18"/>
                <w:szCs w:val="18"/>
              </w:rPr>
              <w:t xml:space="preserve">: </w:t>
            </w:r>
            <w:r w:rsidRPr="000348DB">
              <w:rPr>
                <w:sz w:val="18"/>
                <w:szCs w:val="18"/>
              </w:rPr>
              <w:t>HUD NSP2 data</w:t>
            </w:r>
          </w:p>
          <w:p w:rsidR="00806084" w:rsidRPr="000348DB" w:rsidRDefault="00806084" w:rsidP="00D51E0E">
            <w:pPr>
              <w:rPr>
                <w:rFonts w:ascii="Arial" w:hAnsi="Arial" w:cs="Arial"/>
                <w:b/>
                <w:bCs/>
                <w:color w:val="000000"/>
                <w:sz w:val="20"/>
              </w:rPr>
            </w:pPr>
            <w:r w:rsidRPr="00754991">
              <w:rPr>
                <w:i/>
                <w:sz w:val="18"/>
                <w:szCs w:val="18"/>
              </w:rPr>
              <w:t>Note</w:t>
            </w:r>
            <w:r w:rsidRPr="000348DB">
              <w:rPr>
                <w:b/>
                <w:sz w:val="18"/>
                <w:szCs w:val="18"/>
              </w:rPr>
              <w:t>:</w:t>
            </w:r>
            <w:r w:rsidRPr="000348DB">
              <w:rPr>
                <w:sz w:val="18"/>
                <w:szCs w:val="18"/>
              </w:rPr>
              <w:t xml:space="preserve">  Counties were categorized in housing markets based on the conditions in the MSA in which they are located.</w:t>
            </w:r>
          </w:p>
        </w:tc>
      </w:tr>
    </w:tbl>
    <w:p w:rsidR="00806084" w:rsidRPr="00567562" w:rsidRDefault="00806084" w:rsidP="00806084">
      <w:pPr>
        <w:rPr>
          <w:b/>
        </w:rPr>
      </w:pPr>
    </w:p>
    <w:p w:rsidR="00806084" w:rsidRPr="000348DB" w:rsidRDefault="00806084" w:rsidP="00806084"/>
    <w:p w:rsidR="00806084" w:rsidRDefault="00806084" w:rsidP="00806084">
      <w:pPr>
        <w:ind w:right="-90"/>
      </w:pPr>
      <w:r>
        <w:lastRenderedPageBreak/>
        <w:t>As previously discussed, t</w:t>
      </w:r>
      <w:r w:rsidRPr="000348DB">
        <w:t>he study sample is subject to further modification.  The s</w:t>
      </w:r>
      <w:r>
        <w:t>ample reported here may not be the final study</w:t>
      </w:r>
      <w:r w:rsidRPr="000348DB">
        <w:t xml:space="preserve"> sample.  </w:t>
      </w:r>
      <w:r>
        <w:t xml:space="preserve">First, HUD PD&amp;R staff will share the sample list with the Program Office to get their input.  Program staff may know of NSP2 implementation activities at sites that either makes one of the selected sites a poor candidate for the study or makes an unselected site a particularly good site for the study.   </w:t>
      </w:r>
      <w:r w:rsidRPr="000348DB">
        <w:t xml:space="preserve">Second, </w:t>
      </w:r>
      <w:r>
        <w:t>the study’s</w:t>
      </w:r>
      <w:r w:rsidRPr="000348DB">
        <w:t xml:space="preserve"> review of sources for property-sales records for the counties in the sample could lead to the need to replace sites.  A history of property sales in the study-sample counties i</w:t>
      </w:r>
      <w:r>
        <w:t>s necessary for the analysis.  A</w:t>
      </w:r>
      <w:r w:rsidRPr="000348DB">
        <w:t xml:space="preserve"> preliminary review of the availability of these data from vendors suggests that the necessary data are available for the current sample sites, but that we will need to use two different vendors to obtain data for all the sites.  Third, </w:t>
      </w:r>
      <w:r>
        <w:t xml:space="preserve">researchers </w:t>
      </w:r>
      <w:r w:rsidRPr="000348DB">
        <w:t xml:space="preserve"> need to determine in </w:t>
      </w:r>
      <w:r>
        <w:t xml:space="preserve">the reconnaissance calls, one of the methods for approval, </w:t>
      </w:r>
      <w:r w:rsidRPr="000348DB">
        <w:t>whether the grantees have the necessary property-level data available for our analysis−</w:t>
      </w:r>
      <w:r w:rsidRPr="000023CD">
        <w:t>such as the NSP2 acquisition date, NSP2 activity, and final disposition date—to be included in the s</w:t>
      </w:r>
      <w:r w:rsidRPr="000348DB">
        <w:t xml:space="preserve">tudy sample.  </w:t>
      </w:r>
    </w:p>
    <w:p w:rsidR="00806084" w:rsidRDefault="00806084" w:rsidP="00806084">
      <w:pPr>
        <w:ind w:right="-90"/>
      </w:pPr>
    </w:p>
    <w:p w:rsidR="00806084" w:rsidRDefault="00806084" w:rsidP="00806084">
      <w:pPr>
        <w:ind w:right="-90"/>
      </w:pPr>
      <w:r w:rsidRPr="000C43F6">
        <w:rPr>
          <w:i/>
        </w:rPr>
        <w:t>One or more substitutions may be needed for initially selected counties if a county, on closer examination, fails to meet necessary standards on one or more of the three criteria listed above.  Since participation by the grantee is voluntary, it is also possible that a specific selected grantee may decline to participate</w:t>
      </w:r>
      <w:r>
        <w:t>.  A</w:t>
      </w:r>
      <w:r w:rsidRPr="000348DB">
        <w:t>ny sample counties that need to be replaced will be selected from</w:t>
      </w:r>
      <w:r>
        <w:t xml:space="preserve"> counties within</w:t>
      </w:r>
      <w:r w:rsidRPr="000348DB">
        <w:t xml:space="preserve"> the same housing market </w:t>
      </w:r>
      <w:r>
        <w:t>types</w:t>
      </w:r>
      <w:r w:rsidRPr="000348DB">
        <w:t xml:space="preserve"> as the site being replaced.</w:t>
      </w:r>
    </w:p>
    <w:p w:rsidR="00806084" w:rsidRDefault="00806084" w:rsidP="00806084">
      <w:pPr>
        <w:pStyle w:val="BodyText"/>
        <w:spacing w:after="0"/>
      </w:pPr>
    </w:p>
    <w:p w:rsidR="00806084" w:rsidRPr="00A70E24" w:rsidRDefault="00806084" w:rsidP="00806084">
      <w:pPr>
        <w:pStyle w:val="BodyText"/>
        <w:spacing w:after="0"/>
      </w:pPr>
    </w:p>
    <w:p w:rsidR="00806084" w:rsidRDefault="00806084" w:rsidP="00806084">
      <w:pPr>
        <w:pStyle w:val="AbtHeadC"/>
        <w:spacing w:after="0"/>
      </w:pPr>
      <w:bookmarkStart w:id="15" w:name="_Toc287519684"/>
      <w:bookmarkStart w:id="16" w:name="_Toc306361487"/>
      <w:r>
        <w:t>B2.3</w:t>
      </w:r>
      <w:r>
        <w:tab/>
        <w:t>Justification of Level of Accuracy</w:t>
      </w:r>
      <w:bookmarkEnd w:id="15"/>
      <w:bookmarkEnd w:id="16"/>
    </w:p>
    <w:p w:rsidR="00806084" w:rsidRPr="000348DB" w:rsidRDefault="00806084" w:rsidP="00806084">
      <w:r w:rsidRPr="000348DB">
        <w:t>The study sample is not intended to be statistically representative of all the NSP2 counties or even all the counties in the sampling frame; however, the sample is intended to have representation of the diverse counties receiving NSP2 investments and to oversample the counties that are expected to be most informative about the outcomes and impacts of NSP2—counties with the largest or most c</w:t>
      </w:r>
      <w:r>
        <w:t xml:space="preserve">oncentrated NSP2 investments.  </w:t>
      </w:r>
      <w:r w:rsidRPr="000348DB">
        <w:t xml:space="preserve">Exhibit </w:t>
      </w:r>
      <w:r>
        <w:t>6</w:t>
      </w:r>
      <w:r w:rsidRPr="000348DB">
        <w:t xml:space="preserve"> shows the characteristics of the 21 counties in the study sample compared to the 55 counties in the sampling frame and all 133 NSP2 counties.</w:t>
      </w:r>
    </w:p>
    <w:p w:rsidR="00806084" w:rsidRDefault="00806084" w:rsidP="00806084">
      <w:pPr>
        <w:pStyle w:val="BodyText"/>
        <w:spacing w:after="0"/>
      </w:pPr>
    </w:p>
    <w:p w:rsidR="00806084" w:rsidRDefault="00806084" w:rsidP="00806084">
      <w:r w:rsidRPr="000348DB">
        <w:t xml:space="preserve">The primary differences between the sample counties and the other NSP2 counties are related to </w:t>
      </w:r>
      <w:r>
        <w:t>the</w:t>
      </w:r>
      <w:r w:rsidRPr="000348DB">
        <w:t xml:space="preserve"> oversampling of boom-bust counties and focus on counties with the largest and most c</w:t>
      </w:r>
      <w:r>
        <w:t xml:space="preserve">oncentrated NSP2 investments.  The housing market category distribution in the sample also reflects the substitution of a Slow Growth County for a Boom-Stable County.   </w:t>
      </w:r>
    </w:p>
    <w:p w:rsidR="00806084" w:rsidRDefault="00806084" w:rsidP="00806084"/>
    <w:p w:rsidR="00806084" w:rsidRPr="00480BC5" w:rsidRDefault="00806084" w:rsidP="00806084">
      <w:r w:rsidRPr="000348DB">
        <w:t>The sample counties had a higher price appreciation during the boom period (86.5 percent) than either the sampling-frame counties (78.4 percent) or the entire group of NSP2 counties (67.2 percent) and had a larger average de</w:t>
      </w:r>
      <w:r>
        <w:t xml:space="preserve">cline during the bust period.  </w:t>
      </w:r>
      <w:r w:rsidRPr="000348DB">
        <w:t>The sample counties also have higher expected investments per county and per census tract than the other groups and are more likely to have more than one grantee implementing NSP2.  The sample counties also tend to have larger central cities than the other groups.  For example, none of the sample counties have a city of less than 200,000 as their largest city whereas 9.1 percent of the sampling-frame counties and 33.1 per</w:t>
      </w:r>
      <w:r>
        <w:t xml:space="preserve">cent of all NSP2 counties do.  </w:t>
      </w:r>
      <w:r w:rsidRPr="000348DB">
        <w:t>Related to the large city sizes, the sample counties are more likely to have a large share of minorities than the other</w:t>
      </w:r>
      <w:r>
        <w:t xml:space="preserve"> NSP2 counties in the sampling frame</w:t>
      </w:r>
      <w:r w:rsidRPr="000348DB">
        <w:t xml:space="preserve">.  </w:t>
      </w:r>
      <w:r>
        <w:t xml:space="preserve">Aiming for a sample that more closely represented the sampling frame in the size of central cities and the share of minorities would require a tradeoff with the goal of selecting counties with the highest expected investments.  We followed the priorities listed in the Research Design and focused on choosing the counties that would include a large share of the NSP2 funding in the sample </w:t>
      </w:r>
      <w:r>
        <w:lastRenderedPageBreak/>
        <w:t>while still having some representation of all except the counties where the largest city is less than 200,000 people.</w:t>
      </w:r>
    </w:p>
    <w:p w:rsidR="00806084" w:rsidRPr="00480BC5" w:rsidRDefault="00806084" w:rsidP="00806084">
      <w:pPr>
        <w:pStyle w:val="BodyText"/>
        <w:spacing w:after="0"/>
      </w:pPr>
    </w:p>
    <w:p w:rsidR="00806084" w:rsidRPr="008465C8" w:rsidRDefault="00806084" w:rsidP="00806084">
      <w:pPr>
        <w:keepNext/>
        <w:keepLines/>
        <w:widowControl w:val="0"/>
        <w:tabs>
          <w:tab w:val="left" w:pos="1170"/>
        </w:tabs>
        <w:ind w:left="1170" w:hanging="1170"/>
        <w:rPr>
          <w:rFonts w:ascii="Arial" w:hAnsi="Arial"/>
          <w:b/>
          <w:bCs/>
          <w:sz w:val="20"/>
        </w:rPr>
      </w:pPr>
      <w:r w:rsidRPr="008465C8">
        <w:rPr>
          <w:rFonts w:ascii="Arial" w:hAnsi="Arial"/>
          <w:b/>
          <w:bCs/>
          <w:sz w:val="20"/>
        </w:rPr>
        <w:t xml:space="preserve">Exhibit </w:t>
      </w:r>
      <w:r>
        <w:rPr>
          <w:rFonts w:ascii="Arial" w:hAnsi="Arial"/>
          <w:b/>
          <w:bCs/>
          <w:sz w:val="20"/>
        </w:rPr>
        <w:t>6</w:t>
      </w:r>
      <w:r w:rsidRPr="008465C8">
        <w:rPr>
          <w:rFonts w:ascii="Arial" w:hAnsi="Arial"/>
          <w:b/>
          <w:bCs/>
          <w:sz w:val="20"/>
        </w:rPr>
        <w:t>:</w:t>
      </w:r>
      <w:r>
        <w:rPr>
          <w:rFonts w:ascii="Arial" w:hAnsi="Arial"/>
          <w:b/>
          <w:bCs/>
          <w:sz w:val="20"/>
        </w:rPr>
        <w:tab/>
      </w:r>
      <w:r w:rsidRPr="008465C8">
        <w:rPr>
          <w:rFonts w:ascii="Arial" w:hAnsi="Arial"/>
          <w:b/>
          <w:bCs/>
          <w:sz w:val="20"/>
        </w:rPr>
        <w:t>Characteristics of Sampled NSP2 Counties Compared to Sampling Frame and All NSP2 Counties</w:t>
      </w:r>
    </w:p>
    <w:tbl>
      <w:tblPr>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230"/>
        <w:gridCol w:w="1530"/>
        <w:gridCol w:w="1530"/>
        <w:gridCol w:w="2070"/>
      </w:tblGrid>
      <w:tr w:rsidR="00806084" w:rsidRPr="000348DB" w:rsidTr="00D51E0E">
        <w:trPr>
          <w:trHeight w:val="637"/>
          <w:tblHeader/>
        </w:trPr>
        <w:tc>
          <w:tcPr>
            <w:tcW w:w="4230" w:type="dxa"/>
            <w:tcBorders>
              <w:bottom w:val="single" w:sz="8" w:space="0" w:color="000000"/>
              <w:righ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Characteristic</w:t>
            </w:r>
          </w:p>
        </w:tc>
        <w:tc>
          <w:tcPr>
            <w:tcW w:w="1530" w:type="dxa"/>
            <w:tcBorders>
              <w:left w:val="single" w:sz="8" w:space="0" w:color="FFFFFF"/>
              <w:bottom w:val="single" w:sz="8" w:space="0" w:color="000000"/>
              <w:righ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Sampled Counties</w:t>
            </w:r>
            <w:r w:rsidRPr="00F131CB">
              <w:rPr>
                <w:rFonts w:ascii="Arial" w:hAnsi="Arial" w:cs="Arial"/>
                <w:b/>
                <w:color w:val="FFFFFF"/>
                <w:sz w:val="20"/>
              </w:rPr>
              <w:br/>
              <w:t>(n=21)</w:t>
            </w:r>
          </w:p>
        </w:tc>
        <w:tc>
          <w:tcPr>
            <w:tcW w:w="1530" w:type="dxa"/>
            <w:tcBorders>
              <w:left w:val="single" w:sz="8" w:space="0" w:color="FFFFFF"/>
              <w:bottom w:val="single" w:sz="8" w:space="0" w:color="000000"/>
              <w:righ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Counties in Sampling Frame (n=55)</w:t>
            </w:r>
          </w:p>
        </w:tc>
        <w:tc>
          <w:tcPr>
            <w:tcW w:w="2070" w:type="dxa"/>
            <w:tcBorders>
              <w:left w:val="single" w:sz="8" w:space="0" w:color="FFFFFF"/>
              <w:bottom w:val="single" w:sz="8" w:space="0" w:color="000000"/>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All NSP2 Counties</w:t>
            </w:r>
            <w:r w:rsidRPr="00F131CB">
              <w:rPr>
                <w:rFonts w:ascii="Arial" w:hAnsi="Arial" w:cs="Arial"/>
                <w:b/>
                <w:color w:val="FFFFFF"/>
                <w:sz w:val="20"/>
              </w:rPr>
              <w:br/>
              <w:t>(=133)</w:t>
            </w:r>
          </w:p>
        </w:tc>
      </w:tr>
      <w:tr w:rsidR="00806084" w:rsidRPr="000348DB" w:rsidTr="00D51E0E">
        <w:trPr>
          <w:trHeight w:val="88"/>
          <w:tblHeader/>
        </w:trPr>
        <w:tc>
          <w:tcPr>
            <w:tcW w:w="9360" w:type="dxa"/>
            <w:gridSpan w:val="4"/>
            <w:shd w:val="clear" w:color="auto" w:fill="808080"/>
            <w:vAlign w:val="center"/>
          </w:tcPr>
          <w:p w:rsidR="00806084" w:rsidRPr="00F131CB" w:rsidRDefault="00806084" w:rsidP="00D51E0E">
            <w:pPr>
              <w:rPr>
                <w:rFonts w:ascii="Arial" w:hAnsi="Arial" w:cs="Arial"/>
                <w:b/>
                <w:bCs/>
                <w:color w:val="FFFFFF"/>
                <w:sz w:val="20"/>
              </w:rPr>
            </w:pPr>
            <w:r w:rsidRPr="00F131CB">
              <w:rPr>
                <w:rFonts w:ascii="Arial" w:hAnsi="Arial" w:cs="Arial"/>
                <w:b/>
                <w:bCs/>
                <w:color w:val="FFFFFF"/>
                <w:sz w:val="20"/>
              </w:rPr>
              <w:t>Housing Market Characteristics of MSA in Which County is Located</w:t>
            </w:r>
          </w:p>
        </w:tc>
      </w:tr>
      <w:tr w:rsidR="00806084" w:rsidRPr="000348DB" w:rsidTr="00D51E0E">
        <w:tc>
          <w:tcPr>
            <w:tcW w:w="9360" w:type="dxa"/>
            <w:gridSpan w:val="4"/>
            <w:shd w:val="clear" w:color="auto" w:fill="DDD9C3" w:themeFill="background2" w:themeFillShade="E6"/>
            <w:vAlign w:val="center"/>
          </w:tcPr>
          <w:p w:rsidR="00806084" w:rsidRPr="000348DB" w:rsidRDefault="00806084" w:rsidP="00D51E0E">
            <w:pPr>
              <w:rPr>
                <w:rFonts w:ascii="Arial" w:hAnsi="Arial" w:cs="Arial"/>
                <w:bCs/>
                <w:color w:val="000000"/>
                <w:sz w:val="20"/>
              </w:rPr>
            </w:pPr>
            <w:r w:rsidRPr="000348DB">
              <w:rPr>
                <w:rFonts w:ascii="Arial" w:hAnsi="Arial" w:cs="Arial"/>
                <w:b/>
                <w:bCs/>
                <w:color w:val="000000"/>
                <w:sz w:val="20"/>
              </w:rPr>
              <w:t>Housing Market Category</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Boom-Bust Market: Sand States</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38,1%</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32.7%</w:t>
            </w:r>
          </w:p>
        </w:tc>
        <w:tc>
          <w:tcPr>
            <w:tcW w:w="2070" w:type="dxa"/>
            <w:shd w:val="clear" w:color="auto" w:fill="FFFFFF"/>
            <w:vAlign w:val="center"/>
          </w:tcPr>
          <w:p w:rsidR="00806084" w:rsidRPr="000348DB" w:rsidRDefault="00806084" w:rsidP="00D51E0E">
            <w:pPr>
              <w:jc w:val="center"/>
              <w:rPr>
                <w:rFonts w:ascii="Arial" w:hAnsi="Arial" w:cs="Arial"/>
                <w:sz w:val="20"/>
              </w:rPr>
            </w:pPr>
            <w:r>
              <w:rPr>
                <w:rFonts w:ascii="Arial" w:hAnsi="Arial" w:cs="Arial"/>
                <w:sz w:val="20"/>
              </w:rPr>
              <w:t>21.8%</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Boom-Bust Market: East Coast</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14.2%</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16.4%</w:t>
            </w:r>
          </w:p>
        </w:tc>
        <w:tc>
          <w:tcPr>
            <w:tcW w:w="2070" w:type="dxa"/>
            <w:shd w:val="clear" w:color="auto" w:fill="FFFFFF"/>
            <w:vAlign w:val="center"/>
          </w:tcPr>
          <w:p w:rsidR="00806084" w:rsidRPr="000348DB" w:rsidRDefault="00806084" w:rsidP="00D51E0E">
            <w:pPr>
              <w:jc w:val="center"/>
              <w:rPr>
                <w:rFonts w:ascii="Arial" w:hAnsi="Arial" w:cs="Arial"/>
                <w:sz w:val="20"/>
              </w:rPr>
            </w:pPr>
            <w:r>
              <w:rPr>
                <w:rFonts w:ascii="Arial" w:hAnsi="Arial" w:cs="Arial"/>
                <w:sz w:val="20"/>
              </w:rPr>
              <w:t>10.5%</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Pr>
                <w:rFonts w:ascii="Arial" w:hAnsi="Arial" w:cs="Arial"/>
                <w:bCs/>
                <w:color w:val="000000"/>
                <w:sz w:val="20"/>
              </w:rPr>
              <w:t>Boom-Stable Markets</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9.6%</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16.4%</w:t>
            </w:r>
          </w:p>
        </w:tc>
        <w:tc>
          <w:tcPr>
            <w:tcW w:w="2070" w:type="dxa"/>
            <w:shd w:val="clear" w:color="auto" w:fill="FFFFFF"/>
            <w:vAlign w:val="center"/>
          </w:tcPr>
          <w:p w:rsidR="00806084" w:rsidRPr="000348DB" w:rsidRDefault="00806084" w:rsidP="00D51E0E">
            <w:pPr>
              <w:jc w:val="center"/>
              <w:rPr>
                <w:rFonts w:ascii="Arial" w:hAnsi="Arial" w:cs="Arial"/>
                <w:sz w:val="20"/>
              </w:rPr>
            </w:pPr>
            <w:r>
              <w:rPr>
                <w:rFonts w:ascii="Arial" w:hAnsi="Arial" w:cs="Arial"/>
                <w:sz w:val="20"/>
              </w:rPr>
              <w:t>15.0%</w:t>
            </w:r>
          </w:p>
        </w:tc>
      </w:tr>
      <w:tr w:rsidR="00806084" w:rsidRPr="000348DB" w:rsidTr="00D51E0E">
        <w:tc>
          <w:tcPr>
            <w:tcW w:w="4230" w:type="dxa"/>
            <w:shd w:val="clear" w:color="auto" w:fill="FFFFFF"/>
            <w:vAlign w:val="center"/>
          </w:tcPr>
          <w:p w:rsidR="00806084" w:rsidRDefault="00806084" w:rsidP="00D51E0E">
            <w:pPr>
              <w:rPr>
                <w:rFonts w:ascii="Arial" w:hAnsi="Arial" w:cs="Arial"/>
                <w:bCs/>
                <w:color w:val="000000"/>
                <w:sz w:val="20"/>
              </w:rPr>
            </w:pPr>
            <w:r>
              <w:rPr>
                <w:rFonts w:ascii="Arial" w:hAnsi="Arial" w:cs="Arial"/>
                <w:bCs/>
                <w:color w:val="000000"/>
                <w:sz w:val="20"/>
              </w:rPr>
              <w:t>Slow Growth Markets</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9.6%</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5.5%</w:t>
            </w:r>
          </w:p>
        </w:tc>
        <w:tc>
          <w:tcPr>
            <w:tcW w:w="2070" w:type="dxa"/>
            <w:shd w:val="clear" w:color="auto" w:fill="FFFFFF"/>
            <w:vAlign w:val="center"/>
          </w:tcPr>
          <w:p w:rsidR="00806084" w:rsidRPr="000348DB" w:rsidRDefault="00806084" w:rsidP="00D51E0E">
            <w:pPr>
              <w:jc w:val="center"/>
              <w:rPr>
                <w:rFonts w:ascii="Arial" w:hAnsi="Arial" w:cs="Arial"/>
                <w:sz w:val="20"/>
              </w:rPr>
            </w:pPr>
            <w:r>
              <w:rPr>
                <w:rFonts w:ascii="Arial" w:hAnsi="Arial" w:cs="Arial"/>
                <w:sz w:val="20"/>
              </w:rPr>
              <w:t>6.0%</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Pr>
                <w:rFonts w:ascii="Arial" w:hAnsi="Arial" w:cs="Arial"/>
                <w:bCs/>
                <w:color w:val="000000"/>
                <w:sz w:val="20"/>
              </w:rPr>
              <w:t>Lagging/Declining Markets</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28..6%</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Pr>
                <w:rFonts w:ascii="Arial" w:hAnsi="Arial" w:cs="Arial"/>
                <w:bCs/>
                <w:color w:val="000000"/>
                <w:sz w:val="20"/>
              </w:rPr>
              <w:t>29.0%</w:t>
            </w:r>
          </w:p>
        </w:tc>
        <w:tc>
          <w:tcPr>
            <w:tcW w:w="2070" w:type="dxa"/>
            <w:shd w:val="clear" w:color="auto" w:fill="FFFFFF"/>
            <w:vAlign w:val="center"/>
          </w:tcPr>
          <w:p w:rsidR="00806084" w:rsidRPr="000348DB" w:rsidRDefault="00806084" w:rsidP="00D51E0E">
            <w:pPr>
              <w:jc w:val="center"/>
              <w:rPr>
                <w:rFonts w:ascii="Arial" w:hAnsi="Arial" w:cs="Arial"/>
                <w:sz w:val="20"/>
              </w:rPr>
            </w:pPr>
            <w:r>
              <w:rPr>
                <w:rFonts w:ascii="Arial" w:hAnsi="Arial" w:cs="Arial"/>
                <w:sz w:val="20"/>
              </w:rPr>
              <w:t>46.6%</w:t>
            </w:r>
          </w:p>
        </w:tc>
      </w:tr>
      <w:tr w:rsidR="00806084" w:rsidRPr="000348DB" w:rsidTr="00D51E0E">
        <w:tc>
          <w:tcPr>
            <w:tcW w:w="9360" w:type="dxa"/>
            <w:gridSpan w:val="4"/>
            <w:shd w:val="clear" w:color="auto" w:fill="DDD9C3" w:themeFill="background2" w:themeFillShade="E6"/>
            <w:vAlign w:val="center"/>
          </w:tcPr>
          <w:p w:rsidR="00806084" w:rsidRPr="000348DB" w:rsidRDefault="00806084" w:rsidP="00D51E0E">
            <w:pPr>
              <w:rPr>
                <w:rFonts w:ascii="Arial" w:hAnsi="Arial" w:cs="Arial"/>
                <w:bCs/>
                <w:sz w:val="20"/>
              </w:rPr>
            </w:pPr>
            <w:r w:rsidRPr="000348DB">
              <w:rPr>
                <w:rFonts w:ascii="Arial" w:hAnsi="Arial" w:cs="Arial"/>
                <w:b/>
                <w:bCs/>
                <w:sz w:val="20"/>
              </w:rPr>
              <w:t>Housing Market Indicators</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Average Price Appreciation Rate in MSA: Boom Period</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86.5%</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78.4%</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67.2%</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Average Price Appreciation Rate in MSA: Bust Period</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-21.5%</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-17.0%</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-11.6%</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Change in Unemployment Rate in County: Bust Period</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5.3 pp</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5.1 pp</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5.2 pp</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Average Population Growth Rate in County  2000 to 2006</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5.3%</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3.3%</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4.4%</w:t>
            </w:r>
          </w:p>
        </w:tc>
      </w:tr>
      <w:tr w:rsidR="00806084" w:rsidRPr="000348DB" w:rsidTr="00D51E0E">
        <w:tc>
          <w:tcPr>
            <w:tcW w:w="9360" w:type="dxa"/>
            <w:gridSpan w:val="4"/>
            <w:shd w:val="clear" w:color="auto" w:fill="808080"/>
            <w:vAlign w:val="center"/>
          </w:tcPr>
          <w:p w:rsidR="00806084" w:rsidRPr="000348DB" w:rsidRDefault="00806084" w:rsidP="00D51E0E">
            <w:pPr>
              <w:rPr>
                <w:rFonts w:ascii="Arial" w:hAnsi="Arial" w:cs="Arial"/>
                <w:b/>
                <w:bCs/>
                <w:color w:val="000000"/>
                <w:sz w:val="20"/>
              </w:rPr>
            </w:pPr>
            <w:r w:rsidRPr="00F131CB">
              <w:rPr>
                <w:rFonts w:ascii="Arial" w:hAnsi="Arial" w:cs="Arial"/>
                <w:b/>
                <w:bCs/>
                <w:color w:val="FFFFFF"/>
                <w:sz w:val="20"/>
              </w:rPr>
              <w:t>NSP2 Investment Level in Counties</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Average # of Grantees per County</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1.8</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1.5</w:t>
            </w:r>
          </w:p>
        </w:tc>
        <w:tc>
          <w:tcPr>
            <w:tcW w:w="2070" w:type="dxa"/>
            <w:shd w:val="clear" w:color="auto" w:fill="FFFFFF"/>
            <w:vAlign w:val="center"/>
          </w:tcPr>
          <w:p w:rsidR="00806084" w:rsidRPr="000348DB" w:rsidRDefault="00806084" w:rsidP="00D51E0E">
            <w:pPr>
              <w:jc w:val="center"/>
              <w:rPr>
                <w:rFonts w:ascii="Arial" w:hAnsi="Arial" w:cs="Arial"/>
                <w:b/>
                <w:bCs/>
                <w:color w:val="000000"/>
                <w:sz w:val="20"/>
              </w:rPr>
            </w:pPr>
            <w:r w:rsidRPr="000348DB">
              <w:rPr>
                <w:rFonts w:ascii="Arial" w:hAnsi="Arial" w:cs="Arial"/>
                <w:bCs/>
                <w:color w:val="000000"/>
                <w:sz w:val="20"/>
              </w:rPr>
              <w:t>1.2</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Counties Targeted by more than One Grantee</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47.6%</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34.5%</w:t>
            </w:r>
          </w:p>
        </w:tc>
        <w:tc>
          <w:tcPr>
            <w:tcW w:w="207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14.3%</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Median $NSP2 Per County</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$30,470,000</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$23,000,000</w:t>
            </w:r>
          </w:p>
        </w:tc>
        <w:tc>
          <w:tcPr>
            <w:tcW w:w="207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$3,331,529</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Median $NSP2 per Targeted Census Tract</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$1,787,274</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$917,614</w:t>
            </w:r>
          </w:p>
        </w:tc>
        <w:tc>
          <w:tcPr>
            <w:tcW w:w="207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$412,973</w:t>
            </w:r>
          </w:p>
        </w:tc>
      </w:tr>
      <w:tr w:rsidR="00806084" w:rsidRPr="000348DB" w:rsidTr="00D51E0E">
        <w:tc>
          <w:tcPr>
            <w:tcW w:w="9360" w:type="dxa"/>
            <w:gridSpan w:val="4"/>
            <w:shd w:val="clear" w:color="auto" w:fill="808080"/>
            <w:vAlign w:val="center"/>
          </w:tcPr>
          <w:p w:rsidR="00806084" w:rsidRPr="000348DB" w:rsidRDefault="00806084" w:rsidP="00D51E0E">
            <w:pPr>
              <w:rPr>
                <w:rFonts w:ascii="Arial" w:hAnsi="Arial" w:cs="Arial"/>
                <w:b/>
                <w:bCs/>
                <w:color w:val="000000"/>
                <w:sz w:val="20"/>
              </w:rPr>
            </w:pPr>
            <w:r w:rsidRPr="00F131CB">
              <w:rPr>
                <w:rFonts w:ascii="Arial" w:hAnsi="Arial" w:cs="Arial"/>
                <w:b/>
                <w:bCs/>
                <w:color w:val="FFFFFF"/>
                <w:sz w:val="20"/>
              </w:rPr>
              <w:t>Geographic and Demographic Characteristics of Counties</w:t>
            </w:r>
          </w:p>
        </w:tc>
      </w:tr>
      <w:tr w:rsidR="00806084" w:rsidRPr="000348DB" w:rsidTr="00D51E0E">
        <w:tc>
          <w:tcPr>
            <w:tcW w:w="9360" w:type="dxa"/>
            <w:gridSpan w:val="4"/>
            <w:shd w:val="clear" w:color="auto" w:fill="DDD9C3" w:themeFill="background2" w:themeFillShade="E6"/>
            <w:vAlign w:val="center"/>
          </w:tcPr>
          <w:p w:rsidR="00806084" w:rsidRPr="000348DB" w:rsidRDefault="00806084" w:rsidP="00D51E0E">
            <w:pPr>
              <w:rPr>
                <w:rFonts w:ascii="Arial" w:hAnsi="Arial" w:cs="Arial"/>
                <w:b/>
                <w:bCs/>
                <w:color w:val="000000"/>
                <w:sz w:val="20"/>
              </w:rPr>
            </w:pPr>
            <w:r w:rsidRPr="000348DB">
              <w:rPr>
                <w:rFonts w:ascii="Arial" w:hAnsi="Arial" w:cs="Arial"/>
                <w:b/>
                <w:bCs/>
                <w:color w:val="000000"/>
                <w:sz w:val="20"/>
              </w:rPr>
              <w:t>Census Region</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Northeast</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9.5%</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14.5%</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12.8%</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Midwest</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33.3%</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34.5%</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42.9%</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South</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33.3%</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29.1%</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20.3%</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West</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23.8%</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21.8%</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24.1%</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
                <w:bCs/>
                <w:color w:val="000000"/>
                <w:sz w:val="20"/>
              </w:rPr>
            </w:pPr>
            <w:r w:rsidRPr="000348DB">
              <w:rPr>
                <w:rFonts w:ascii="Arial" w:hAnsi="Arial" w:cs="Arial"/>
                <w:b/>
                <w:bCs/>
                <w:color w:val="000000"/>
                <w:sz w:val="20"/>
              </w:rPr>
              <w:t>Number of States Represented</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14</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23</w:t>
            </w:r>
          </w:p>
        </w:tc>
        <w:tc>
          <w:tcPr>
            <w:tcW w:w="207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28</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
                <w:bCs/>
                <w:color w:val="000000"/>
                <w:sz w:val="20"/>
              </w:rPr>
            </w:pPr>
            <w:r w:rsidRPr="000348DB">
              <w:rPr>
                <w:rFonts w:ascii="Arial" w:hAnsi="Arial" w:cs="Arial"/>
                <w:b/>
                <w:bCs/>
                <w:color w:val="000000"/>
                <w:sz w:val="20"/>
              </w:rPr>
              <w:t xml:space="preserve">In a Judicial </w:t>
            </w:r>
            <w:smartTag w:uri="urn:schemas-microsoft-com:office:smarttags" w:element="place">
              <w:smartTag w:uri="urn:schemas-microsoft-com:office:smarttags" w:element="PlaceName">
                <w:r w:rsidRPr="000348DB">
                  <w:rPr>
                    <w:rFonts w:ascii="Arial" w:hAnsi="Arial" w:cs="Arial"/>
                    <w:b/>
                    <w:bCs/>
                    <w:color w:val="000000"/>
                    <w:sz w:val="20"/>
                  </w:rPr>
                  <w:t>Foreclosure</w:t>
                </w:r>
              </w:smartTag>
              <w:r w:rsidRPr="000348DB">
                <w:rPr>
                  <w:rFonts w:ascii="Arial" w:hAnsi="Arial" w:cs="Arial"/>
                  <w:b/>
                  <w:bCs/>
                  <w:color w:val="000000"/>
                  <w:sz w:val="20"/>
                </w:rPr>
                <w:t xml:space="preserve"> </w:t>
              </w:r>
              <w:smartTag w:uri="urn:schemas-microsoft-com:office:smarttags" w:element="PlaceType">
                <w:r w:rsidRPr="000348DB">
                  <w:rPr>
                    <w:rFonts w:ascii="Arial" w:hAnsi="Arial" w:cs="Arial"/>
                    <w:b/>
                    <w:bCs/>
                    <w:color w:val="000000"/>
                    <w:sz w:val="20"/>
                  </w:rPr>
                  <w:t>State</w:t>
                </w:r>
              </w:smartTag>
            </w:smartTag>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38.1%</w:t>
            </w:r>
          </w:p>
        </w:tc>
        <w:tc>
          <w:tcPr>
            <w:tcW w:w="153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45.5%</w:t>
            </w:r>
          </w:p>
        </w:tc>
        <w:tc>
          <w:tcPr>
            <w:tcW w:w="2070" w:type="dxa"/>
            <w:shd w:val="clear" w:color="auto" w:fill="FFFFFF"/>
            <w:vAlign w:val="center"/>
          </w:tcPr>
          <w:p w:rsidR="00806084" w:rsidRPr="000348DB" w:rsidRDefault="00806084" w:rsidP="00D51E0E">
            <w:pPr>
              <w:jc w:val="center"/>
              <w:rPr>
                <w:rFonts w:ascii="Arial" w:hAnsi="Arial" w:cs="Arial"/>
                <w:bCs/>
                <w:color w:val="000000"/>
                <w:sz w:val="20"/>
              </w:rPr>
            </w:pPr>
            <w:r w:rsidRPr="000348DB">
              <w:rPr>
                <w:rFonts w:ascii="Arial" w:hAnsi="Arial" w:cs="Arial"/>
                <w:bCs/>
                <w:color w:val="000000"/>
                <w:sz w:val="20"/>
              </w:rPr>
              <w:t>53.4%</w:t>
            </w:r>
          </w:p>
        </w:tc>
      </w:tr>
      <w:tr w:rsidR="00806084" w:rsidRPr="000348DB" w:rsidTr="00D51E0E">
        <w:trPr>
          <w:trHeight w:val="242"/>
        </w:trPr>
        <w:tc>
          <w:tcPr>
            <w:tcW w:w="9360" w:type="dxa"/>
            <w:gridSpan w:val="4"/>
            <w:shd w:val="clear" w:color="auto" w:fill="DDD9C3" w:themeFill="background2" w:themeFillShade="E6"/>
            <w:vAlign w:val="center"/>
          </w:tcPr>
          <w:p w:rsidR="00806084" w:rsidRPr="000348DB" w:rsidRDefault="00806084" w:rsidP="00D51E0E">
            <w:pPr>
              <w:rPr>
                <w:rFonts w:ascii="Arial" w:hAnsi="Arial" w:cs="Arial"/>
                <w:bCs/>
                <w:color w:val="000000"/>
                <w:sz w:val="20"/>
              </w:rPr>
            </w:pPr>
            <w:r w:rsidRPr="000348DB">
              <w:rPr>
                <w:rFonts w:ascii="Arial" w:hAnsi="Arial" w:cs="Arial"/>
                <w:b/>
                <w:bCs/>
                <w:color w:val="000000"/>
                <w:sz w:val="20"/>
              </w:rPr>
              <w:t>Population of Largest City in County</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 xml:space="preserve"> &lt; 100,000</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0%</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0%</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26.3%</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100,000 to &lt; 200,000</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0%</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9.1%</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6.8%</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200,000 to &lt; 400,000</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14.3%</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10.9%</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10.5%</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400,000 or More</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85.7%</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80.0%</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56.4%</w:t>
            </w:r>
          </w:p>
        </w:tc>
      </w:tr>
      <w:tr w:rsidR="00806084" w:rsidRPr="000348DB" w:rsidTr="00D51E0E">
        <w:tc>
          <w:tcPr>
            <w:tcW w:w="9360" w:type="dxa"/>
            <w:gridSpan w:val="4"/>
            <w:shd w:val="clear" w:color="auto" w:fill="DDD9C3" w:themeFill="background2" w:themeFillShade="E6"/>
            <w:vAlign w:val="center"/>
          </w:tcPr>
          <w:p w:rsidR="00806084" w:rsidRPr="000348DB" w:rsidRDefault="00806084" w:rsidP="00D51E0E">
            <w:pPr>
              <w:rPr>
                <w:rFonts w:ascii="Arial" w:hAnsi="Arial" w:cs="Arial"/>
                <w:b/>
                <w:bCs/>
                <w:color w:val="000000"/>
                <w:sz w:val="20"/>
              </w:rPr>
            </w:pPr>
            <w:r w:rsidRPr="000348DB">
              <w:rPr>
                <w:rFonts w:ascii="Arial" w:hAnsi="Arial" w:cs="Arial"/>
                <w:b/>
                <w:bCs/>
                <w:color w:val="000000"/>
                <w:sz w:val="20"/>
              </w:rPr>
              <w:t>Minority Concentration of County</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&lt;25% minority</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9.5%</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23.6%</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46.6%</w:t>
            </w:r>
          </w:p>
        </w:tc>
      </w:tr>
      <w:tr w:rsidR="00806084" w:rsidRPr="000348DB" w:rsidTr="00D51E0E">
        <w:tc>
          <w:tcPr>
            <w:tcW w:w="4230" w:type="dxa"/>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25 to &lt;50% minority</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47.6%</w:t>
            </w:r>
          </w:p>
        </w:tc>
        <w:tc>
          <w:tcPr>
            <w:tcW w:w="153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43.6%</w:t>
            </w:r>
          </w:p>
        </w:tc>
        <w:tc>
          <w:tcPr>
            <w:tcW w:w="2070" w:type="dxa"/>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30.1%</w:t>
            </w:r>
          </w:p>
        </w:tc>
      </w:tr>
      <w:tr w:rsidR="00806084" w:rsidRPr="000348DB" w:rsidTr="00D51E0E">
        <w:tc>
          <w:tcPr>
            <w:tcW w:w="4230" w:type="dxa"/>
            <w:tcBorders>
              <w:bottom w:val="single" w:sz="8" w:space="0" w:color="000000"/>
            </w:tcBorders>
            <w:shd w:val="clear" w:color="auto" w:fill="FFFFFF"/>
            <w:vAlign w:val="center"/>
          </w:tcPr>
          <w:p w:rsidR="00806084" w:rsidRPr="000348DB" w:rsidRDefault="00806084" w:rsidP="00D51E0E">
            <w:pPr>
              <w:rPr>
                <w:rFonts w:ascii="Arial" w:hAnsi="Arial" w:cs="Arial"/>
                <w:bCs/>
                <w:color w:val="000000"/>
                <w:sz w:val="20"/>
              </w:rPr>
            </w:pPr>
            <w:r w:rsidRPr="000348DB">
              <w:rPr>
                <w:rFonts w:ascii="Arial" w:hAnsi="Arial" w:cs="Arial"/>
                <w:bCs/>
                <w:color w:val="000000"/>
                <w:sz w:val="20"/>
              </w:rPr>
              <w:t>50% or higher</w:t>
            </w:r>
          </w:p>
        </w:tc>
        <w:tc>
          <w:tcPr>
            <w:tcW w:w="1530" w:type="dxa"/>
            <w:tcBorders>
              <w:bottom w:val="single" w:sz="8" w:space="0" w:color="000000"/>
            </w:tcBorders>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42.9%</w:t>
            </w:r>
          </w:p>
        </w:tc>
        <w:tc>
          <w:tcPr>
            <w:tcW w:w="1530" w:type="dxa"/>
            <w:tcBorders>
              <w:bottom w:val="single" w:sz="8" w:space="0" w:color="000000"/>
            </w:tcBorders>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32.7%</w:t>
            </w:r>
          </w:p>
        </w:tc>
        <w:tc>
          <w:tcPr>
            <w:tcW w:w="2070" w:type="dxa"/>
            <w:tcBorders>
              <w:bottom w:val="single" w:sz="8" w:space="0" w:color="000000"/>
            </w:tcBorders>
            <w:shd w:val="clear" w:color="auto" w:fill="FFFFFF"/>
            <w:vAlign w:val="center"/>
          </w:tcPr>
          <w:p w:rsidR="00806084" w:rsidRPr="000348DB" w:rsidRDefault="00806084" w:rsidP="00D51E0E">
            <w:pPr>
              <w:jc w:val="center"/>
              <w:rPr>
                <w:rFonts w:ascii="Arial" w:hAnsi="Arial" w:cs="Arial"/>
                <w:sz w:val="20"/>
              </w:rPr>
            </w:pPr>
            <w:r w:rsidRPr="000348DB">
              <w:rPr>
                <w:rFonts w:ascii="Arial" w:hAnsi="Arial" w:cs="Arial"/>
                <w:sz w:val="20"/>
              </w:rPr>
              <w:t>23.3%</w:t>
            </w:r>
          </w:p>
        </w:tc>
      </w:tr>
      <w:tr w:rsidR="00806084" w:rsidRPr="000348DB" w:rsidTr="00D51E0E">
        <w:tc>
          <w:tcPr>
            <w:tcW w:w="9360" w:type="dxa"/>
            <w:gridSpan w:val="4"/>
            <w:tcBorders>
              <w:left w:val="nil"/>
              <w:bottom w:val="nil"/>
              <w:right w:val="nil"/>
            </w:tcBorders>
            <w:shd w:val="clear" w:color="auto" w:fill="FFFFFF"/>
            <w:vAlign w:val="center"/>
          </w:tcPr>
          <w:p w:rsidR="00806084" w:rsidRDefault="00806084" w:rsidP="00D51E0E">
            <w:pPr>
              <w:rPr>
                <w:rFonts w:ascii="Calibri" w:hAnsi="Calibri" w:cs="Calibri"/>
                <w:sz w:val="18"/>
                <w:szCs w:val="18"/>
              </w:rPr>
            </w:pPr>
            <w:r w:rsidRPr="00754991">
              <w:rPr>
                <w:i/>
                <w:sz w:val="18"/>
                <w:szCs w:val="18"/>
              </w:rPr>
              <w:t>Sources</w:t>
            </w:r>
            <w:r w:rsidRPr="000348DB">
              <w:rPr>
                <w:b/>
                <w:sz w:val="18"/>
                <w:szCs w:val="18"/>
              </w:rPr>
              <w:t xml:space="preserve">: </w:t>
            </w:r>
            <w:r w:rsidRPr="000348DB">
              <w:rPr>
                <w:rFonts w:ascii="Calibri" w:hAnsi="Calibri" w:cs="Calibri"/>
                <w:sz w:val="18"/>
                <w:szCs w:val="18"/>
              </w:rPr>
              <w:t xml:space="preserve">Source: Price appreciation scores generated from FHFA Downloadable Housing Price Index Data </w:t>
            </w:r>
            <w:hyperlink r:id="rId7" w:history="1">
              <w:r w:rsidRPr="000348DB">
                <w:rPr>
                  <w:rFonts w:ascii="Calibri" w:hAnsi="Calibri" w:cs="Calibri"/>
                  <w:color w:val="0000FF"/>
                  <w:sz w:val="18"/>
                  <w:szCs w:val="18"/>
                  <w:u w:val="single"/>
                </w:rPr>
                <w:t>http://www.fhfa.gov/Default.aspx?Page=87</w:t>
              </w:r>
            </w:hyperlink>
            <w:r w:rsidRPr="000348DB">
              <w:rPr>
                <w:rFonts w:ascii="Calibri" w:hAnsi="Calibri" w:cs="Calibri"/>
                <w:sz w:val="18"/>
                <w:szCs w:val="18"/>
              </w:rPr>
              <w:t xml:space="preserve">; Population figures downloaded from the Census Population Estimates Program at </w:t>
            </w:r>
            <w:hyperlink r:id="rId8" w:history="1">
              <w:r w:rsidRPr="000348DB">
                <w:rPr>
                  <w:rFonts w:ascii="Calibri" w:hAnsi="Calibri" w:cs="Calibri"/>
                  <w:color w:val="0000FF"/>
                  <w:sz w:val="18"/>
                  <w:szCs w:val="18"/>
                  <w:u w:val="single"/>
                </w:rPr>
                <w:t>http://www.census.gov/popest/archives/2000s/vintage_2006/</w:t>
              </w:r>
            </w:hyperlink>
            <w:r w:rsidRPr="000348DB">
              <w:rPr>
                <w:rFonts w:ascii="Calibri" w:hAnsi="Calibri" w:cs="Calibri"/>
                <w:sz w:val="18"/>
                <w:szCs w:val="18"/>
              </w:rPr>
              <w:t xml:space="preserve">; Unemployment rates calculated from the Bureau of Labor Statistics Local Area Unemployment Statistics Data at </w:t>
            </w:r>
            <w:hyperlink r:id="rId9" w:history="1">
              <w:r w:rsidRPr="000348DB">
                <w:rPr>
                  <w:rFonts w:ascii="Calibri" w:hAnsi="Calibri" w:cs="Calibri"/>
                  <w:color w:val="0000FF"/>
                  <w:sz w:val="18"/>
                  <w:szCs w:val="18"/>
                  <w:u w:val="single"/>
                </w:rPr>
                <w:t>http://www.bls.gov/lau/</w:t>
              </w:r>
            </w:hyperlink>
            <w:r w:rsidRPr="000348DB">
              <w:rPr>
                <w:rFonts w:ascii="Calibri" w:hAnsi="Calibri" w:cs="Calibri"/>
                <w:sz w:val="18"/>
                <w:szCs w:val="18"/>
              </w:rPr>
              <w:t xml:space="preserve">. State foreclosure laws are based on </w:t>
            </w:r>
            <w:proofErr w:type="spellStart"/>
            <w:r w:rsidRPr="000348DB">
              <w:rPr>
                <w:rFonts w:ascii="Calibri" w:hAnsi="Calibri" w:cs="Calibri"/>
                <w:sz w:val="18"/>
                <w:szCs w:val="18"/>
              </w:rPr>
              <w:t>Cutts</w:t>
            </w:r>
            <w:proofErr w:type="spellEnd"/>
            <w:r w:rsidRPr="000348DB">
              <w:rPr>
                <w:rFonts w:ascii="Calibri" w:hAnsi="Calibri" w:cs="Calibri"/>
                <w:sz w:val="18"/>
                <w:szCs w:val="18"/>
              </w:rPr>
              <w:t xml:space="preserve"> &amp; Merrill (2008).</w:t>
            </w:r>
            <w:r w:rsidRPr="000348DB">
              <w:rPr>
                <w:rFonts w:ascii="Calibri" w:hAnsi="Calibri" w:cs="Calibri"/>
                <w:sz w:val="18"/>
                <w:szCs w:val="18"/>
                <w:vertAlign w:val="superscript"/>
              </w:rPr>
              <w:footnoteReference w:id="6"/>
            </w:r>
            <w:r w:rsidRPr="000348DB">
              <w:rPr>
                <w:rFonts w:ascii="Calibri" w:hAnsi="Calibri" w:cs="Calibri"/>
                <w:sz w:val="18"/>
                <w:szCs w:val="18"/>
              </w:rPr>
              <w:t xml:space="preserve"> </w:t>
            </w:r>
          </w:p>
          <w:p w:rsidR="00806084" w:rsidRDefault="00806084" w:rsidP="00D51E0E">
            <w:pPr>
              <w:ind w:left="360" w:hanging="360"/>
              <w:rPr>
                <w:b/>
                <w:sz w:val="18"/>
                <w:szCs w:val="18"/>
              </w:rPr>
            </w:pPr>
          </w:p>
          <w:p w:rsidR="00806084" w:rsidRPr="008465C8" w:rsidRDefault="00806084" w:rsidP="00D51E0E">
            <w:pPr>
              <w:rPr>
                <w:sz w:val="18"/>
                <w:szCs w:val="18"/>
              </w:rPr>
            </w:pPr>
            <w:r w:rsidRPr="00754991">
              <w:rPr>
                <w:i/>
                <w:sz w:val="18"/>
                <w:szCs w:val="18"/>
              </w:rPr>
              <w:t>Notes</w:t>
            </w:r>
            <w:r w:rsidRPr="000348DB">
              <w:rPr>
                <w:b/>
                <w:sz w:val="18"/>
                <w:szCs w:val="18"/>
              </w:rPr>
              <w:t>:</w:t>
            </w:r>
            <w:r w:rsidRPr="000348DB">
              <w:rPr>
                <w:sz w:val="18"/>
                <w:szCs w:val="18"/>
              </w:rPr>
              <w:t xml:space="preserve">  Characteristics of the county are based on the MSA in which they are located.  The boom period is defined as first quarter of 2006 through the second quarter of 2007; the bust period is defined as the third quarter of 2007 through the fourth quarter of 2009.  Average amounts targeted per county and per census tract are calculated by dividing total grant amount of grantee by the number of counties targeted or census tracts targeted.  This assumes the grantee will spread their investments equally across targeted counties and census tracts.  For categorizing the 35 NSP2 counties outside MSAs in housing market categories and for calculating housing market price trends, we used the information on the nearest MSA.  These 35 counties are not in the sample or sampling frame.  The </w:t>
            </w:r>
            <w:smartTag w:uri="urn:schemas-microsoft-com:office:smarttags" w:element="place">
              <w:smartTag w:uri="urn:schemas-microsoft-com:office:smarttags" w:element="State">
                <w:r w:rsidRPr="000348DB">
                  <w:rPr>
                    <w:sz w:val="18"/>
                    <w:szCs w:val="18"/>
                  </w:rPr>
                  <w:t>District of Columbia</w:t>
                </w:r>
              </w:smartTag>
            </w:smartTag>
            <w:r w:rsidRPr="000348DB">
              <w:rPr>
                <w:sz w:val="18"/>
                <w:szCs w:val="18"/>
              </w:rPr>
              <w:t xml:space="preserve"> is counted as a state in the count of states with count</w:t>
            </w:r>
            <w:r>
              <w:rPr>
                <w:sz w:val="18"/>
                <w:szCs w:val="18"/>
              </w:rPr>
              <w:t>ies that have NSP2 investments.</w:t>
            </w:r>
          </w:p>
        </w:tc>
      </w:tr>
    </w:tbl>
    <w:p w:rsidR="00806084" w:rsidRDefault="00806084" w:rsidP="00806084"/>
    <w:p w:rsidR="00806084" w:rsidRPr="000348DB" w:rsidRDefault="00806084" w:rsidP="00806084"/>
    <w:p w:rsidR="00806084" w:rsidRPr="000348DB" w:rsidRDefault="00806084" w:rsidP="00806084">
      <w:r w:rsidRPr="000348DB">
        <w:t xml:space="preserve">Exhibit </w:t>
      </w:r>
      <w:r>
        <w:t>7</w:t>
      </w:r>
      <w:r w:rsidRPr="000348DB">
        <w:t xml:space="preserve"> compares the characteristics of the 2</w:t>
      </w:r>
      <w:r>
        <w:t>7</w:t>
      </w:r>
      <w:r w:rsidRPr="000348DB">
        <w:t xml:space="preserve"> grantees targeting counties in the study sample to all 56 gr</w:t>
      </w:r>
      <w:r>
        <w:t xml:space="preserve">antees receiving NSP2 grants.  </w:t>
      </w:r>
      <w:r w:rsidRPr="000348DB">
        <w:t>The grantees in the sample have grantee types and planned activi</w:t>
      </w:r>
      <w:r>
        <w:t xml:space="preserve">ties similar to all the NSP2 grantees. </w:t>
      </w:r>
      <w:r w:rsidRPr="000348DB">
        <w:t xml:space="preserve"> The </w:t>
      </w:r>
      <w:r>
        <w:t>only small differences are that the sample grantees are a little less likely than the full population of NSP2 grantees to be part of a consortium and are more likely to be led by a national grantee.  The average grant size is substantially different between the sample and the population, explaining</w:t>
      </w:r>
      <w:r w:rsidRPr="000348DB">
        <w:t xml:space="preserve"> why the 2</w:t>
      </w:r>
      <w:r>
        <w:t>7</w:t>
      </w:r>
      <w:r w:rsidRPr="000348DB">
        <w:t xml:space="preserve"> grantees comprise</w:t>
      </w:r>
      <w:r>
        <w:t xml:space="preserve"> less than half</w:t>
      </w:r>
      <w:r w:rsidRPr="000348DB">
        <w:t xml:space="preserve"> of all NSP2 grantees but have </w:t>
      </w:r>
      <w:r>
        <w:t xml:space="preserve">nearly three-fourths </w:t>
      </w:r>
      <w:r w:rsidRPr="000348DB">
        <w:t>of all NSP2 funding.</w:t>
      </w:r>
    </w:p>
    <w:p w:rsidR="00806084" w:rsidRPr="000348DB" w:rsidRDefault="00806084" w:rsidP="00806084"/>
    <w:p w:rsidR="00806084" w:rsidRPr="000348DB" w:rsidRDefault="00806084" w:rsidP="00806084">
      <w:pPr>
        <w:keepNext/>
        <w:keepLines/>
        <w:widowControl w:val="0"/>
        <w:tabs>
          <w:tab w:val="left" w:pos="1170"/>
        </w:tabs>
        <w:ind w:left="1170" w:hanging="1170"/>
        <w:rPr>
          <w:rFonts w:ascii="Arial" w:hAnsi="Arial"/>
          <w:b/>
          <w:bCs/>
          <w:sz w:val="20"/>
        </w:rPr>
      </w:pPr>
      <w:r w:rsidRPr="000023CD">
        <w:rPr>
          <w:rFonts w:ascii="Arial" w:hAnsi="Arial"/>
          <w:b/>
          <w:bCs/>
          <w:sz w:val="20"/>
        </w:rPr>
        <w:t xml:space="preserve">Exhibit </w:t>
      </w:r>
      <w:r>
        <w:rPr>
          <w:rFonts w:ascii="Arial" w:hAnsi="Arial"/>
          <w:b/>
          <w:bCs/>
          <w:sz w:val="20"/>
        </w:rPr>
        <w:t>7:</w:t>
      </w:r>
      <w:r>
        <w:rPr>
          <w:rFonts w:ascii="Arial" w:hAnsi="Arial"/>
          <w:b/>
          <w:bCs/>
          <w:sz w:val="20"/>
        </w:rPr>
        <w:tab/>
      </w:r>
      <w:r w:rsidRPr="000023CD">
        <w:rPr>
          <w:rFonts w:ascii="Arial" w:hAnsi="Arial"/>
          <w:b/>
          <w:bCs/>
          <w:sz w:val="20"/>
        </w:rPr>
        <w:t>Characteristics</w:t>
      </w:r>
      <w:r w:rsidRPr="000348DB">
        <w:rPr>
          <w:rFonts w:ascii="Arial" w:hAnsi="Arial"/>
          <w:b/>
          <w:bCs/>
          <w:sz w:val="20"/>
        </w:rPr>
        <w:t xml:space="preserve"> of Grantees in Sampled NSP2 Counties </w:t>
      </w:r>
      <w:r>
        <w:rPr>
          <w:rFonts w:ascii="Arial" w:hAnsi="Arial"/>
          <w:b/>
          <w:bCs/>
          <w:sz w:val="20"/>
        </w:rPr>
        <w:t>Compared to All NSP2 Grantees</w:t>
      </w:r>
    </w:p>
    <w:tbl>
      <w:tblPr>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688"/>
        <w:gridCol w:w="2476"/>
        <w:gridCol w:w="3196"/>
      </w:tblGrid>
      <w:tr w:rsidR="00806084" w:rsidRPr="000348DB" w:rsidTr="00D51E0E">
        <w:trPr>
          <w:trHeight w:val="637"/>
          <w:tblHeader/>
        </w:trPr>
        <w:tc>
          <w:tcPr>
            <w:tcW w:w="3688" w:type="dxa"/>
            <w:tcBorders>
              <w:bottom w:val="single" w:sz="8" w:space="0" w:color="000000"/>
              <w:righ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Characteristic</w:t>
            </w:r>
          </w:p>
        </w:tc>
        <w:tc>
          <w:tcPr>
            <w:tcW w:w="2476" w:type="dxa"/>
            <w:tcBorders>
              <w:left w:val="single" w:sz="8" w:space="0" w:color="FFFFFF"/>
              <w:bottom w:val="single" w:sz="8" w:space="0" w:color="000000"/>
              <w:right w:val="single" w:sz="8" w:space="0" w:color="FFFFFF"/>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Grantees in Sampled Counties (n=27)</w:t>
            </w:r>
          </w:p>
        </w:tc>
        <w:tc>
          <w:tcPr>
            <w:tcW w:w="3196" w:type="dxa"/>
            <w:tcBorders>
              <w:left w:val="single" w:sz="8" w:space="0" w:color="FFFFFF"/>
              <w:bottom w:val="single" w:sz="8" w:space="0" w:color="000000"/>
            </w:tcBorders>
            <w:shd w:val="clear" w:color="auto" w:fill="DA291C"/>
            <w:vAlign w:val="bottom"/>
          </w:tcPr>
          <w:p w:rsidR="00806084" w:rsidRPr="00F131CB" w:rsidRDefault="00806084" w:rsidP="00D51E0E">
            <w:pPr>
              <w:jc w:val="center"/>
              <w:rPr>
                <w:rFonts w:ascii="Arial" w:hAnsi="Arial" w:cs="Arial"/>
                <w:b/>
                <w:color w:val="FFFFFF"/>
                <w:sz w:val="20"/>
              </w:rPr>
            </w:pPr>
            <w:r w:rsidRPr="00F131CB">
              <w:rPr>
                <w:rFonts w:ascii="Arial" w:hAnsi="Arial" w:cs="Arial"/>
                <w:b/>
                <w:color w:val="FFFFFF"/>
                <w:sz w:val="20"/>
              </w:rPr>
              <w:t>All NSP2 Grantees (n=56)</w:t>
            </w:r>
          </w:p>
        </w:tc>
      </w:tr>
      <w:tr w:rsidR="00806084" w:rsidRPr="00853076" w:rsidTr="00D51E0E">
        <w:tc>
          <w:tcPr>
            <w:tcW w:w="9360" w:type="dxa"/>
            <w:gridSpan w:val="3"/>
            <w:shd w:val="clear" w:color="auto" w:fill="808080"/>
            <w:vAlign w:val="center"/>
          </w:tcPr>
          <w:p w:rsidR="00806084" w:rsidRPr="00853076" w:rsidRDefault="00806084" w:rsidP="00D51E0E">
            <w:pPr>
              <w:rPr>
                <w:rFonts w:ascii="Arial Bold" w:hAnsi="Arial Bold" w:cs="Arial"/>
                <w:b/>
                <w:bCs/>
                <w:color w:val="FFFFFF"/>
                <w:sz w:val="20"/>
              </w:rPr>
            </w:pPr>
            <w:r w:rsidRPr="00853076">
              <w:rPr>
                <w:rFonts w:ascii="Arial Bold" w:hAnsi="Arial Bold" w:cs="Arial"/>
                <w:b/>
                <w:bCs/>
                <w:color w:val="FFFFFF"/>
                <w:sz w:val="20"/>
              </w:rPr>
              <w:t>Grantee Type (lead grantee)</w:t>
            </w:r>
          </w:p>
        </w:tc>
      </w:tr>
      <w:tr w:rsidR="00806084" w:rsidRPr="000348DB" w:rsidTr="00D51E0E">
        <w:tc>
          <w:tcPr>
            <w:tcW w:w="3688" w:type="dxa"/>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Government</w:t>
            </w:r>
          </w:p>
        </w:tc>
        <w:tc>
          <w:tcPr>
            <w:tcW w:w="2476" w:type="dxa"/>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66.7%</w:t>
            </w:r>
          </w:p>
        </w:tc>
        <w:tc>
          <w:tcPr>
            <w:tcW w:w="3196" w:type="dxa"/>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67.9%</w:t>
            </w:r>
          </w:p>
        </w:tc>
      </w:tr>
      <w:tr w:rsidR="00806084" w:rsidRPr="000348DB" w:rsidTr="00D51E0E">
        <w:tc>
          <w:tcPr>
            <w:tcW w:w="3688" w:type="dxa"/>
            <w:shd w:val="clear" w:color="auto" w:fill="FFFFFF"/>
            <w:vAlign w:val="center"/>
          </w:tcPr>
          <w:p w:rsidR="00806084" w:rsidRPr="000348DB" w:rsidRDefault="00806084" w:rsidP="00D51E0E">
            <w:pPr>
              <w:rPr>
                <w:rFonts w:ascii="Arial" w:hAnsi="Arial" w:cs="Arial"/>
                <w:bCs/>
                <w:sz w:val="20"/>
              </w:rPr>
            </w:pPr>
            <w:r>
              <w:rPr>
                <w:rFonts w:ascii="Arial" w:hAnsi="Arial" w:cs="Arial"/>
                <w:bCs/>
                <w:sz w:val="20"/>
              </w:rPr>
              <w:t>Nonprofit</w:t>
            </w:r>
          </w:p>
        </w:tc>
        <w:tc>
          <w:tcPr>
            <w:tcW w:w="2476" w:type="dxa"/>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33.3%</w:t>
            </w:r>
          </w:p>
        </w:tc>
        <w:tc>
          <w:tcPr>
            <w:tcW w:w="3196" w:type="dxa"/>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30.4%</w:t>
            </w:r>
          </w:p>
        </w:tc>
      </w:tr>
      <w:tr w:rsidR="00806084" w:rsidRPr="000348DB" w:rsidTr="00D51E0E">
        <w:tc>
          <w:tcPr>
            <w:tcW w:w="3688" w:type="dxa"/>
            <w:tcBorders>
              <w:bottom w:val="single" w:sz="8" w:space="0" w:color="000000"/>
            </w:tcBorders>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For-Profit</w:t>
            </w:r>
          </w:p>
        </w:tc>
        <w:tc>
          <w:tcPr>
            <w:tcW w:w="2476" w:type="dxa"/>
            <w:tcBorders>
              <w:bottom w:val="single" w:sz="8" w:space="0" w:color="000000"/>
            </w:tcBorders>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0%</w:t>
            </w:r>
          </w:p>
        </w:tc>
        <w:tc>
          <w:tcPr>
            <w:tcW w:w="3196" w:type="dxa"/>
            <w:tcBorders>
              <w:bottom w:val="single" w:sz="8" w:space="0" w:color="000000"/>
            </w:tcBorders>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1.8%</w:t>
            </w:r>
          </w:p>
        </w:tc>
      </w:tr>
      <w:tr w:rsidR="00806084" w:rsidRPr="00853076" w:rsidTr="00D51E0E">
        <w:tc>
          <w:tcPr>
            <w:tcW w:w="9360" w:type="dxa"/>
            <w:gridSpan w:val="3"/>
            <w:shd w:val="clear" w:color="auto" w:fill="808080"/>
            <w:vAlign w:val="center"/>
          </w:tcPr>
          <w:p w:rsidR="00806084" w:rsidRPr="00853076" w:rsidRDefault="00806084" w:rsidP="00D51E0E">
            <w:pPr>
              <w:rPr>
                <w:rFonts w:ascii="Arial Bold" w:hAnsi="Arial Bold" w:cs="Arial"/>
                <w:b/>
                <w:color w:val="FFFFFF"/>
                <w:sz w:val="20"/>
              </w:rPr>
            </w:pPr>
            <w:r w:rsidRPr="00853076">
              <w:rPr>
                <w:rFonts w:ascii="Arial Bold" w:hAnsi="Arial Bold" w:cs="Arial"/>
                <w:b/>
                <w:bCs/>
                <w:color w:val="FFFFFF"/>
                <w:sz w:val="20"/>
              </w:rPr>
              <w:t>National Grantee (lead grantee operates in multiple states)</w:t>
            </w:r>
          </w:p>
        </w:tc>
      </w:tr>
      <w:tr w:rsidR="00806084" w:rsidRPr="000348DB" w:rsidTr="00D51E0E">
        <w:tc>
          <w:tcPr>
            <w:tcW w:w="3688" w:type="dxa"/>
            <w:tcBorders>
              <w:bottom w:val="single" w:sz="8" w:space="0" w:color="000000"/>
            </w:tcBorders>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National Grantees</w:t>
            </w:r>
          </w:p>
        </w:tc>
        <w:tc>
          <w:tcPr>
            <w:tcW w:w="2476" w:type="dxa"/>
            <w:tcBorders>
              <w:bottom w:val="single" w:sz="8" w:space="0" w:color="000000"/>
            </w:tcBorders>
            <w:shd w:val="clear" w:color="auto" w:fill="FFFFFF"/>
            <w:vAlign w:val="center"/>
          </w:tcPr>
          <w:p w:rsidR="00806084" w:rsidRPr="000348DB" w:rsidRDefault="00806084" w:rsidP="00D51E0E">
            <w:pPr>
              <w:jc w:val="right"/>
              <w:rPr>
                <w:rFonts w:ascii="Arial" w:hAnsi="Arial" w:cs="Arial"/>
                <w:sz w:val="20"/>
              </w:rPr>
            </w:pPr>
            <w:r>
              <w:rPr>
                <w:rFonts w:ascii="Arial" w:hAnsi="Arial" w:cs="Arial"/>
                <w:sz w:val="20"/>
              </w:rPr>
              <w:t>18.5</w:t>
            </w:r>
            <w:r w:rsidRPr="000348DB">
              <w:rPr>
                <w:rFonts w:ascii="Arial" w:hAnsi="Arial" w:cs="Arial"/>
                <w:sz w:val="20"/>
              </w:rPr>
              <w:t>%</w:t>
            </w:r>
          </w:p>
        </w:tc>
        <w:tc>
          <w:tcPr>
            <w:tcW w:w="3196" w:type="dxa"/>
            <w:tcBorders>
              <w:bottom w:val="single" w:sz="8" w:space="0" w:color="000000"/>
            </w:tcBorders>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14.3%</w:t>
            </w:r>
          </w:p>
        </w:tc>
      </w:tr>
      <w:tr w:rsidR="00806084" w:rsidRPr="00853076" w:rsidTr="00D51E0E">
        <w:tc>
          <w:tcPr>
            <w:tcW w:w="9360" w:type="dxa"/>
            <w:gridSpan w:val="3"/>
            <w:shd w:val="clear" w:color="auto" w:fill="808080"/>
            <w:vAlign w:val="center"/>
          </w:tcPr>
          <w:p w:rsidR="00806084" w:rsidRPr="00853076" w:rsidRDefault="00806084" w:rsidP="00D51E0E">
            <w:pPr>
              <w:rPr>
                <w:rFonts w:ascii="Arial Bold" w:hAnsi="Arial Bold" w:cs="Arial"/>
                <w:b/>
                <w:color w:val="FFFFFF"/>
                <w:sz w:val="20"/>
              </w:rPr>
            </w:pPr>
            <w:r w:rsidRPr="00853076">
              <w:rPr>
                <w:rFonts w:ascii="Arial Bold" w:hAnsi="Arial Bold" w:cs="Arial"/>
                <w:b/>
                <w:color w:val="FFFFFF"/>
                <w:sz w:val="20"/>
              </w:rPr>
              <w:t>Consortium Status</w:t>
            </w:r>
          </w:p>
        </w:tc>
      </w:tr>
      <w:tr w:rsidR="00806084" w:rsidRPr="000348DB" w:rsidTr="00D51E0E">
        <w:tc>
          <w:tcPr>
            <w:tcW w:w="3688" w:type="dxa"/>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In a Local Consortium</w:t>
            </w:r>
          </w:p>
        </w:tc>
        <w:tc>
          <w:tcPr>
            <w:tcW w:w="2476" w:type="dxa"/>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55.6%</w:t>
            </w:r>
          </w:p>
        </w:tc>
        <w:tc>
          <w:tcPr>
            <w:tcW w:w="3196" w:type="dxa"/>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62.5%</w:t>
            </w:r>
          </w:p>
        </w:tc>
      </w:tr>
      <w:tr w:rsidR="00806084" w:rsidRPr="000348DB" w:rsidTr="00D51E0E">
        <w:tc>
          <w:tcPr>
            <w:tcW w:w="3688" w:type="dxa"/>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In a National Consortium</w:t>
            </w:r>
          </w:p>
        </w:tc>
        <w:tc>
          <w:tcPr>
            <w:tcW w:w="2476" w:type="dxa"/>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7.4%</w:t>
            </w:r>
          </w:p>
        </w:tc>
        <w:tc>
          <w:tcPr>
            <w:tcW w:w="3196" w:type="dxa"/>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7.1%</w:t>
            </w:r>
          </w:p>
        </w:tc>
      </w:tr>
      <w:tr w:rsidR="00806084" w:rsidRPr="000348DB" w:rsidTr="00D51E0E">
        <w:tc>
          <w:tcPr>
            <w:tcW w:w="3688" w:type="dxa"/>
            <w:tcBorders>
              <w:bottom w:val="single" w:sz="8" w:space="0" w:color="000000"/>
            </w:tcBorders>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 xml:space="preserve">Non-Consortium </w:t>
            </w:r>
            <w:r w:rsidRPr="000348DB">
              <w:rPr>
                <w:rFonts w:ascii="Arial" w:hAnsi="Arial" w:cs="Arial"/>
                <w:bCs/>
                <w:sz w:val="18"/>
                <w:szCs w:val="18"/>
              </w:rPr>
              <w:t>(Single grantee or partners, but no legal agreement)</w:t>
            </w:r>
          </w:p>
        </w:tc>
        <w:tc>
          <w:tcPr>
            <w:tcW w:w="2476" w:type="dxa"/>
            <w:tcBorders>
              <w:bottom w:val="single" w:sz="8" w:space="0" w:color="000000"/>
            </w:tcBorders>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37.0%</w:t>
            </w:r>
          </w:p>
        </w:tc>
        <w:tc>
          <w:tcPr>
            <w:tcW w:w="3196" w:type="dxa"/>
            <w:tcBorders>
              <w:bottom w:val="single" w:sz="8" w:space="0" w:color="000000"/>
            </w:tcBorders>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30.4%</w:t>
            </w:r>
          </w:p>
        </w:tc>
      </w:tr>
      <w:tr w:rsidR="00806084" w:rsidRPr="00853076" w:rsidTr="00D51E0E">
        <w:tc>
          <w:tcPr>
            <w:tcW w:w="9360" w:type="dxa"/>
            <w:gridSpan w:val="3"/>
            <w:shd w:val="clear" w:color="auto" w:fill="808080"/>
            <w:vAlign w:val="center"/>
          </w:tcPr>
          <w:p w:rsidR="00806084" w:rsidRPr="00853076" w:rsidRDefault="00806084" w:rsidP="00D51E0E">
            <w:pPr>
              <w:rPr>
                <w:rFonts w:ascii="Arial Bold" w:hAnsi="Arial Bold" w:cs="Arial"/>
                <w:b/>
                <w:bCs/>
                <w:color w:val="FFFFFF"/>
                <w:sz w:val="20"/>
              </w:rPr>
            </w:pPr>
            <w:r w:rsidRPr="00853076">
              <w:rPr>
                <w:rFonts w:ascii="Arial Bold" w:hAnsi="Arial Bold" w:cs="Arial"/>
                <w:b/>
                <w:bCs/>
                <w:color w:val="FFFFFF"/>
                <w:sz w:val="20"/>
              </w:rPr>
              <w:t>NSP2 Activity Type (multiple activities allowed)</w:t>
            </w:r>
          </w:p>
        </w:tc>
      </w:tr>
      <w:tr w:rsidR="00806084" w:rsidRPr="000348DB" w:rsidTr="00D51E0E">
        <w:tc>
          <w:tcPr>
            <w:tcW w:w="3688" w:type="dxa"/>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Rehabilitation</w:t>
            </w:r>
          </w:p>
        </w:tc>
        <w:tc>
          <w:tcPr>
            <w:tcW w:w="2476" w:type="dxa"/>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88.9%</w:t>
            </w:r>
          </w:p>
        </w:tc>
        <w:tc>
          <w:tcPr>
            <w:tcW w:w="3196" w:type="dxa"/>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91.1%</w:t>
            </w:r>
          </w:p>
        </w:tc>
      </w:tr>
      <w:tr w:rsidR="00806084" w:rsidRPr="000348DB" w:rsidTr="00D51E0E">
        <w:tc>
          <w:tcPr>
            <w:tcW w:w="3688" w:type="dxa"/>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Financing</w:t>
            </w:r>
          </w:p>
        </w:tc>
        <w:tc>
          <w:tcPr>
            <w:tcW w:w="2476" w:type="dxa"/>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66.7%</w:t>
            </w:r>
          </w:p>
        </w:tc>
        <w:tc>
          <w:tcPr>
            <w:tcW w:w="3196" w:type="dxa"/>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66.1%</w:t>
            </w:r>
          </w:p>
        </w:tc>
      </w:tr>
      <w:tr w:rsidR="00806084" w:rsidRPr="000348DB" w:rsidTr="00D51E0E">
        <w:tc>
          <w:tcPr>
            <w:tcW w:w="3688" w:type="dxa"/>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lastRenderedPageBreak/>
              <w:t>Redevelopment</w:t>
            </w:r>
          </w:p>
        </w:tc>
        <w:tc>
          <w:tcPr>
            <w:tcW w:w="2476" w:type="dxa"/>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55.6%</w:t>
            </w:r>
          </w:p>
        </w:tc>
        <w:tc>
          <w:tcPr>
            <w:tcW w:w="3196" w:type="dxa"/>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58.9%</w:t>
            </w:r>
          </w:p>
        </w:tc>
      </w:tr>
      <w:tr w:rsidR="00806084" w:rsidRPr="000348DB" w:rsidTr="00D51E0E">
        <w:tc>
          <w:tcPr>
            <w:tcW w:w="3688" w:type="dxa"/>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Demolition</w:t>
            </w:r>
          </w:p>
        </w:tc>
        <w:tc>
          <w:tcPr>
            <w:tcW w:w="2476" w:type="dxa"/>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44.4%</w:t>
            </w:r>
          </w:p>
        </w:tc>
        <w:tc>
          <w:tcPr>
            <w:tcW w:w="3196" w:type="dxa"/>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46.4%</w:t>
            </w:r>
          </w:p>
        </w:tc>
      </w:tr>
      <w:tr w:rsidR="00806084" w:rsidRPr="000348DB" w:rsidTr="00D51E0E">
        <w:tc>
          <w:tcPr>
            <w:tcW w:w="3688" w:type="dxa"/>
            <w:tcBorders>
              <w:bottom w:val="single" w:sz="8" w:space="0" w:color="000000"/>
            </w:tcBorders>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Land Banking</w:t>
            </w:r>
          </w:p>
        </w:tc>
        <w:tc>
          <w:tcPr>
            <w:tcW w:w="2476" w:type="dxa"/>
            <w:tcBorders>
              <w:bottom w:val="single" w:sz="8" w:space="0" w:color="000000"/>
            </w:tcBorders>
            <w:shd w:val="clear" w:color="auto" w:fill="FFFFFF"/>
            <w:vAlign w:val="center"/>
          </w:tcPr>
          <w:p w:rsidR="00806084" w:rsidRPr="00301163" w:rsidRDefault="00806084" w:rsidP="00D51E0E">
            <w:pPr>
              <w:jc w:val="right"/>
              <w:rPr>
                <w:rFonts w:ascii="Arial" w:hAnsi="Arial" w:cs="Arial"/>
                <w:sz w:val="20"/>
              </w:rPr>
            </w:pPr>
            <w:r w:rsidRPr="00301163">
              <w:rPr>
                <w:rFonts w:ascii="Arial" w:hAnsi="Arial" w:cs="Arial"/>
                <w:sz w:val="20"/>
              </w:rPr>
              <w:t>22.2%</w:t>
            </w:r>
          </w:p>
        </w:tc>
        <w:tc>
          <w:tcPr>
            <w:tcW w:w="3196" w:type="dxa"/>
            <w:tcBorders>
              <w:bottom w:val="single" w:sz="8" w:space="0" w:color="000000"/>
            </w:tcBorders>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23.2%</w:t>
            </w:r>
          </w:p>
        </w:tc>
      </w:tr>
      <w:tr w:rsidR="00806084" w:rsidRPr="00853076" w:rsidTr="00D51E0E">
        <w:tc>
          <w:tcPr>
            <w:tcW w:w="9360" w:type="dxa"/>
            <w:gridSpan w:val="3"/>
            <w:shd w:val="clear" w:color="auto" w:fill="808080"/>
            <w:vAlign w:val="center"/>
          </w:tcPr>
          <w:p w:rsidR="00806084" w:rsidRPr="00853076" w:rsidRDefault="00806084" w:rsidP="00D51E0E">
            <w:pPr>
              <w:rPr>
                <w:rFonts w:ascii="Arial Bold" w:hAnsi="Arial Bold" w:cs="Arial"/>
                <w:b/>
                <w:bCs/>
                <w:color w:val="FFFFFF"/>
                <w:sz w:val="20"/>
              </w:rPr>
            </w:pPr>
            <w:r w:rsidRPr="00853076">
              <w:rPr>
                <w:rFonts w:ascii="Arial Bold" w:hAnsi="Arial Bold" w:cs="Arial"/>
                <w:b/>
                <w:bCs/>
                <w:color w:val="FFFFFF"/>
                <w:sz w:val="20"/>
              </w:rPr>
              <w:t>NSP2 Funding at Grantee Level</w:t>
            </w:r>
          </w:p>
        </w:tc>
      </w:tr>
      <w:tr w:rsidR="00806084" w:rsidRPr="000348DB" w:rsidTr="00D51E0E">
        <w:tc>
          <w:tcPr>
            <w:tcW w:w="3688" w:type="dxa"/>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Median Grant Amount</w:t>
            </w:r>
          </w:p>
        </w:tc>
        <w:tc>
          <w:tcPr>
            <w:tcW w:w="2476" w:type="dxa"/>
            <w:shd w:val="clear" w:color="auto" w:fill="FFFFFF"/>
            <w:vAlign w:val="center"/>
          </w:tcPr>
          <w:p w:rsidR="00806084" w:rsidRPr="00754991" w:rsidRDefault="00806084" w:rsidP="00D51E0E">
            <w:pPr>
              <w:jc w:val="right"/>
              <w:rPr>
                <w:rFonts w:ascii="Arial" w:hAnsi="Arial" w:cs="Arial"/>
                <w:sz w:val="20"/>
              </w:rPr>
            </w:pPr>
            <w:r w:rsidRPr="00754991">
              <w:rPr>
                <w:rFonts w:ascii="Arial" w:hAnsi="Arial" w:cs="Arial"/>
                <w:sz w:val="20"/>
              </w:rPr>
              <w:t>$29,363,660</w:t>
            </w:r>
          </w:p>
        </w:tc>
        <w:tc>
          <w:tcPr>
            <w:tcW w:w="3196" w:type="dxa"/>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$21,993,970</w:t>
            </w:r>
          </w:p>
        </w:tc>
      </w:tr>
      <w:tr w:rsidR="00806084" w:rsidRPr="000348DB" w:rsidTr="00D51E0E">
        <w:tc>
          <w:tcPr>
            <w:tcW w:w="3688" w:type="dxa"/>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Total NSP2 Funding</w:t>
            </w:r>
          </w:p>
        </w:tc>
        <w:tc>
          <w:tcPr>
            <w:tcW w:w="2476" w:type="dxa"/>
            <w:shd w:val="clear" w:color="auto" w:fill="FFFFFF"/>
            <w:vAlign w:val="center"/>
          </w:tcPr>
          <w:p w:rsidR="00806084" w:rsidRPr="00754991" w:rsidRDefault="00806084" w:rsidP="00D51E0E">
            <w:pPr>
              <w:jc w:val="right"/>
              <w:rPr>
                <w:rFonts w:ascii="Arial" w:hAnsi="Arial" w:cs="Arial"/>
                <w:sz w:val="20"/>
              </w:rPr>
            </w:pPr>
            <w:r w:rsidRPr="00754991">
              <w:rPr>
                <w:rFonts w:ascii="Arial" w:hAnsi="Arial" w:cs="Arial"/>
                <w:sz w:val="20"/>
              </w:rPr>
              <w:t>$1,411,157,925</w:t>
            </w:r>
          </w:p>
        </w:tc>
        <w:tc>
          <w:tcPr>
            <w:tcW w:w="3196" w:type="dxa"/>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$1,930,000,000</w:t>
            </w:r>
          </w:p>
        </w:tc>
      </w:tr>
      <w:tr w:rsidR="00806084" w:rsidRPr="000348DB" w:rsidTr="00D51E0E">
        <w:tc>
          <w:tcPr>
            <w:tcW w:w="3688" w:type="dxa"/>
            <w:tcBorders>
              <w:bottom w:val="single" w:sz="8" w:space="0" w:color="000000"/>
            </w:tcBorders>
            <w:shd w:val="clear" w:color="auto" w:fill="FFFFFF"/>
            <w:vAlign w:val="center"/>
          </w:tcPr>
          <w:p w:rsidR="00806084" w:rsidRPr="000348DB" w:rsidRDefault="00806084" w:rsidP="00D51E0E">
            <w:pPr>
              <w:rPr>
                <w:rFonts w:ascii="Arial" w:hAnsi="Arial" w:cs="Arial"/>
                <w:bCs/>
                <w:sz w:val="20"/>
              </w:rPr>
            </w:pPr>
            <w:r w:rsidRPr="000348DB">
              <w:rPr>
                <w:rFonts w:ascii="Arial" w:hAnsi="Arial" w:cs="Arial"/>
                <w:bCs/>
                <w:sz w:val="20"/>
              </w:rPr>
              <w:t>Share of all NSP2 Funding</w:t>
            </w:r>
          </w:p>
        </w:tc>
        <w:tc>
          <w:tcPr>
            <w:tcW w:w="2476" w:type="dxa"/>
            <w:tcBorders>
              <w:bottom w:val="single" w:sz="8" w:space="0" w:color="000000"/>
            </w:tcBorders>
            <w:shd w:val="clear" w:color="auto" w:fill="FFFFFF"/>
            <w:vAlign w:val="center"/>
          </w:tcPr>
          <w:p w:rsidR="00806084" w:rsidRPr="00754991" w:rsidRDefault="00806084" w:rsidP="00D51E0E">
            <w:pPr>
              <w:jc w:val="right"/>
              <w:rPr>
                <w:rFonts w:ascii="Arial" w:hAnsi="Arial" w:cs="Arial"/>
                <w:sz w:val="20"/>
              </w:rPr>
            </w:pPr>
            <w:r w:rsidRPr="00754991">
              <w:rPr>
                <w:rFonts w:ascii="Arial" w:hAnsi="Arial" w:cs="Arial"/>
                <w:sz w:val="20"/>
              </w:rPr>
              <w:t>73.1%</w:t>
            </w:r>
          </w:p>
        </w:tc>
        <w:tc>
          <w:tcPr>
            <w:tcW w:w="3196" w:type="dxa"/>
            <w:tcBorders>
              <w:bottom w:val="single" w:sz="8" w:space="0" w:color="000000"/>
            </w:tcBorders>
            <w:shd w:val="clear" w:color="auto" w:fill="FFFFFF"/>
            <w:vAlign w:val="center"/>
          </w:tcPr>
          <w:p w:rsidR="00806084" w:rsidRPr="000348DB" w:rsidRDefault="00806084" w:rsidP="00D51E0E">
            <w:pPr>
              <w:jc w:val="right"/>
              <w:rPr>
                <w:rFonts w:ascii="Arial" w:hAnsi="Arial" w:cs="Arial"/>
                <w:sz w:val="20"/>
              </w:rPr>
            </w:pPr>
            <w:r w:rsidRPr="000348DB">
              <w:rPr>
                <w:rFonts w:ascii="Arial" w:hAnsi="Arial" w:cs="Arial"/>
                <w:sz w:val="20"/>
              </w:rPr>
              <w:t>100%</w:t>
            </w:r>
          </w:p>
        </w:tc>
      </w:tr>
      <w:tr w:rsidR="00806084" w:rsidRPr="000348DB" w:rsidTr="00D51E0E">
        <w:trPr>
          <w:trHeight w:val="333"/>
        </w:trPr>
        <w:tc>
          <w:tcPr>
            <w:tcW w:w="9360" w:type="dxa"/>
            <w:gridSpan w:val="3"/>
            <w:tcBorders>
              <w:left w:val="nil"/>
              <w:bottom w:val="nil"/>
              <w:right w:val="nil"/>
            </w:tcBorders>
            <w:shd w:val="clear" w:color="auto" w:fill="FFFFFF"/>
            <w:vAlign w:val="center"/>
          </w:tcPr>
          <w:p w:rsidR="00806084" w:rsidRPr="000348DB" w:rsidRDefault="00806084" w:rsidP="00D51E0E">
            <w:pPr>
              <w:ind w:left="360" w:hanging="360"/>
              <w:rPr>
                <w:rFonts w:ascii="Arial" w:hAnsi="Arial" w:cs="Arial"/>
                <w:sz w:val="20"/>
              </w:rPr>
            </w:pPr>
            <w:r w:rsidRPr="008465C8">
              <w:rPr>
                <w:i/>
                <w:sz w:val="18"/>
                <w:szCs w:val="18"/>
              </w:rPr>
              <w:t>Source</w:t>
            </w:r>
            <w:r w:rsidRPr="000348DB">
              <w:rPr>
                <w:b/>
                <w:sz w:val="18"/>
                <w:szCs w:val="18"/>
              </w:rPr>
              <w:t xml:space="preserve">: </w:t>
            </w:r>
            <w:r w:rsidRPr="000348DB">
              <w:rPr>
                <w:sz w:val="18"/>
                <w:szCs w:val="18"/>
              </w:rPr>
              <w:t>HUD NSP2 data</w:t>
            </w:r>
          </w:p>
        </w:tc>
      </w:tr>
    </w:tbl>
    <w:p w:rsidR="00806084" w:rsidRDefault="00806084" w:rsidP="00806084"/>
    <w:p w:rsidR="00806084" w:rsidRDefault="00806084" w:rsidP="00806084">
      <w:pPr>
        <w:pStyle w:val="BodyText"/>
        <w:spacing w:after="0"/>
      </w:pPr>
      <w:r w:rsidRPr="00F343E6">
        <w:t xml:space="preserve">The planned analysis includes a number of comparisons between </w:t>
      </w:r>
      <w:r>
        <w:t>NSP2 grantees</w:t>
      </w:r>
      <w:r w:rsidRPr="00F343E6">
        <w:t xml:space="preserve"> across the </w:t>
      </w:r>
      <w:r>
        <w:t xml:space="preserve">housing market categories and several grantee-level characteristics. </w:t>
      </w:r>
    </w:p>
    <w:p w:rsidR="00806084" w:rsidRPr="00327B56" w:rsidRDefault="00806084" w:rsidP="00806084">
      <w:pPr>
        <w:pStyle w:val="BodyText"/>
        <w:spacing w:after="0"/>
      </w:pPr>
    </w:p>
    <w:p w:rsidR="00806084" w:rsidRDefault="00806084" w:rsidP="00806084">
      <w:pPr>
        <w:pStyle w:val="AbtHeadB"/>
        <w:spacing w:after="0"/>
      </w:pPr>
      <w:bookmarkStart w:id="17" w:name="_Toc190490673"/>
      <w:bookmarkStart w:id="18" w:name="_Toc248818776"/>
      <w:bookmarkStart w:id="19" w:name="_Toc306361488"/>
      <w:r w:rsidRPr="00F343E6">
        <w:t>B3</w:t>
      </w:r>
      <w:r w:rsidRPr="00F343E6">
        <w:tab/>
        <w:t>Maximizing Response Rates</w:t>
      </w:r>
      <w:bookmarkEnd w:id="17"/>
      <w:bookmarkEnd w:id="18"/>
      <w:bookmarkEnd w:id="19"/>
    </w:p>
    <w:p w:rsidR="00806084" w:rsidRPr="00426680" w:rsidRDefault="00806084" w:rsidP="00806084">
      <w:pPr>
        <w:rPr>
          <w:b/>
        </w:rPr>
      </w:pPr>
      <w:r w:rsidRPr="00815BDA">
        <w:rPr>
          <w:b/>
        </w:rPr>
        <w:t>NSP2 Grante</w:t>
      </w:r>
      <w:r>
        <w:rPr>
          <w:b/>
        </w:rPr>
        <w:t xml:space="preserve">e Site Visit Sample </w:t>
      </w:r>
    </w:p>
    <w:p w:rsidR="00806084" w:rsidRDefault="00806084" w:rsidP="00806084">
      <w:pPr>
        <w:pStyle w:val="BodyText"/>
        <w:spacing w:after="0"/>
      </w:pPr>
      <w:r>
        <w:t xml:space="preserve">The grantee site visit recruitment process will emphasize the evaluators’ </w:t>
      </w:r>
      <w:r w:rsidRPr="00AC50CB">
        <w:t>respect for any burdens placed on the grantee and the importance of the study in determining future community stabilization policies</w:t>
      </w:r>
      <w:r>
        <w:t xml:space="preserve"> in order to maximize the participation rate of the selected sites. </w:t>
      </w:r>
      <w:r w:rsidRPr="00AC50CB">
        <w:t xml:space="preserve">The first step in recruiting sites is for HUD to </w:t>
      </w:r>
      <w:r>
        <w:t xml:space="preserve">send an advanced letter to </w:t>
      </w:r>
      <w:r w:rsidRPr="00AC50CB">
        <w:t xml:space="preserve">the sample grantees to </w:t>
      </w:r>
      <w:r>
        <w:t>inform them</w:t>
      </w:r>
      <w:r w:rsidRPr="00AC50CB">
        <w:t xml:space="preserve"> of the importance of the study to both the NSP program and future community stabilization efforts, strongly encourage them to participate, and specify what participation entails.  The letter should also mitigate any potential fears that the study is an audit or contract monitoring activity and that the participation burden is minimal so that a grantee will not be reluctant to participate.  </w:t>
      </w:r>
      <w:r>
        <w:t xml:space="preserve">An additional key point that will be emphasized during the </w:t>
      </w:r>
      <w:r w:rsidRPr="00AC50CB">
        <w:t xml:space="preserve">recruitment effort is that </w:t>
      </w:r>
      <w:r>
        <w:t>the evaluators will be</w:t>
      </w:r>
      <w:r w:rsidRPr="00AC50CB">
        <w:t xml:space="preserve"> gathering all the information </w:t>
      </w:r>
      <w:r>
        <w:t>they</w:t>
      </w:r>
      <w:r w:rsidRPr="00AC50CB">
        <w:t xml:space="preserve"> can from pre-existing sources to keep </w:t>
      </w:r>
      <w:r>
        <w:t>grantees’ participation burden low.  Once the sample is finalized, the response rate to the baseline interviews is expected to be 100 percent.</w:t>
      </w:r>
    </w:p>
    <w:p w:rsidR="00806084" w:rsidRDefault="00806084" w:rsidP="00806084"/>
    <w:p w:rsidR="00806084" w:rsidRDefault="00806084" w:rsidP="00806084">
      <w:pPr>
        <w:rPr>
          <w:b/>
        </w:rPr>
      </w:pPr>
      <w:r>
        <w:rPr>
          <w:b/>
        </w:rPr>
        <w:t xml:space="preserve">Review of </w:t>
      </w:r>
      <w:r w:rsidRPr="007B6169">
        <w:rPr>
          <w:b/>
        </w:rPr>
        <w:t xml:space="preserve">Local </w:t>
      </w:r>
      <w:r>
        <w:rPr>
          <w:b/>
        </w:rPr>
        <w:t xml:space="preserve">Administrative </w:t>
      </w:r>
      <w:r w:rsidRPr="007B6169">
        <w:rPr>
          <w:b/>
        </w:rPr>
        <w:t xml:space="preserve">Data </w:t>
      </w:r>
    </w:p>
    <w:p w:rsidR="00806084" w:rsidRPr="00F9307D" w:rsidRDefault="00806084" w:rsidP="00806084">
      <w:pPr>
        <w:spacing w:line="276" w:lineRule="auto"/>
        <w:rPr>
          <w:i/>
        </w:rPr>
      </w:pPr>
      <w:r w:rsidRPr="00F9307D">
        <w:rPr>
          <w:i/>
        </w:rPr>
        <w:t xml:space="preserve">The burden hours outlined on page </w:t>
      </w:r>
      <w:r>
        <w:rPr>
          <w:i/>
        </w:rPr>
        <w:t xml:space="preserve">12 </w:t>
      </w:r>
      <w:r w:rsidRPr="00F9307D">
        <w:rPr>
          <w:i/>
        </w:rPr>
        <w:t>provide for time to be spent during the site visits ascertaining the existence of any easily available local data to supplement the analytical resources of the study.  Specifically, the data needs to be in electronic format.  Given the wide variation in locally generated data, the expectations in two topic areas, education and public transit, are low, but there is some reason to believe that for the analytically most critical topic, crime, some communities will have more advanced data systems.</w:t>
      </w:r>
      <w:r w:rsidRPr="00DD2C21">
        <w:rPr>
          <w:i/>
        </w:rPr>
        <w:t xml:space="preserve"> </w:t>
      </w:r>
      <w:r w:rsidRPr="00F9307D">
        <w:rPr>
          <w:i/>
        </w:rPr>
        <w:t xml:space="preserve">There will be no requests for reports to be generated beyond what is already generally available. </w:t>
      </w:r>
      <w:r>
        <w:rPr>
          <w:i/>
        </w:rPr>
        <w:t>Any burden associated with collection of local administrative data is therefore limited to the local agencies’ review and fulfillment of the study team’s data request.</w:t>
      </w:r>
    </w:p>
    <w:p w:rsidR="00806084" w:rsidRPr="007B6169" w:rsidRDefault="00806084" w:rsidP="00806084">
      <w:pPr>
        <w:rPr>
          <w:b/>
        </w:rPr>
      </w:pPr>
    </w:p>
    <w:p w:rsidR="00806084" w:rsidRPr="001210FE" w:rsidRDefault="00806084" w:rsidP="00806084">
      <w:pPr>
        <w:spacing w:line="276" w:lineRule="auto"/>
        <w:rPr>
          <w:szCs w:val="22"/>
        </w:rPr>
      </w:pPr>
      <w:r>
        <w:t xml:space="preserve">Researchers will initially pursue crime data from the full sample of 21 counties.  However, it is unlikely that we will be able to collect crime data from all counties, because of limitations in the availability and quality of data from local agencies.  The data collection process </w:t>
      </w:r>
      <w:r w:rsidRPr="001210FE">
        <w:rPr>
          <w:szCs w:val="22"/>
        </w:rPr>
        <w:t xml:space="preserve">may involve collecting information from multiple agencies in a single county.  If NSP2 activities are concentrated within a particular city in our target county, </w:t>
      </w:r>
      <w:r>
        <w:rPr>
          <w:szCs w:val="22"/>
        </w:rPr>
        <w:t>researchers</w:t>
      </w:r>
      <w:r w:rsidRPr="001210FE">
        <w:rPr>
          <w:szCs w:val="22"/>
        </w:rPr>
        <w:t xml:space="preserve"> may be able to contact only the local police department and request the data. Many departments have specific divisions devoted to maintaining and analyzing crime data.  Such departments will be </w:t>
      </w:r>
      <w:r>
        <w:rPr>
          <w:szCs w:val="22"/>
        </w:rPr>
        <w:t>researcher’s f</w:t>
      </w:r>
      <w:r w:rsidRPr="001210FE">
        <w:rPr>
          <w:szCs w:val="22"/>
        </w:rPr>
        <w:t xml:space="preserve">irst point of contact in counties where they exist.  The second step in </w:t>
      </w:r>
      <w:r w:rsidRPr="001210FE">
        <w:rPr>
          <w:szCs w:val="22"/>
        </w:rPr>
        <w:lastRenderedPageBreak/>
        <w:t xml:space="preserve">each county is to identify the full set of local data sources required to comprehensively collect crime records for the county.  Compiling this list will occur through consultation with </w:t>
      </w:r>
      <w:r>
        <w:rPr>
          <w:szCs w:val="22"/>
        </w:rPr>
        <w:t xml:space="preserve">HUD, </w:t>
      </w:r>
      <w:r w:rsidRPr="001210FE">
        <w:rPr>
          <w:szCs w:val="22"/>
        </w:rPr>
        <w:t>the first agency contact</w:t>
      </w:r>
      <w:r>
        <w:rPr>
          <w:szCs w:val="22"/>
        </w:rPr>
        <w:t>, and researchers familiar with local data sources</w:t>
      </w:r>
      <w:r w:rsidRPr="001210FE">
        <w:rPr>
          <w:szCs w:val="22"/>
        </w:rPr>
        <w:t>.</w:t>
      </w:r>
    </w:p>
    <w:p w:rsidR="00806084" w:rsidRPr="001210FE" w:rsidRDefault="00806084" w:rsidP="00806084">
      <w:pPr>
        <w:spacing w:line="276" w:lineRule="auto"/>
        <w:rPr>
          <w:szCs w:val="22"/>
        </w:rPr>
      </w:pPr>
    </w:p>
    <w:p w:rsidR="00806084" w:rsidRDefault="00806084" w:rsidP="00806084">
      <w:pPr>
        <w:spacing w:line="276" w:lineRule="auto"/>
      </w:pPr>
      <w:r>
        <w:t>As a first step, researchers will notify the agency of the study and the data requested with an initial email and a follow-up telephone call.  For some counties, this initial contact may be sufficient to acquire the requested data.  If local agencies are unresponsive to our letter and initial calls, the second step is to request that HUD send an official communication with the data request and contact information for either the project director or the HUD GTR. A key element of this process is identifying the staff member responsible for granting access to the data.  The contractors will review the agency website and consult with the local researcher to identify a first point of contact.  Each of the agency communications will also request that the agency staff refer us to the appropriate point of contact.</w:t>
      </w:r>
    </w:p>
    <w:p w:rsidR="00806084" w:rsidRDefault="00806084" w:rsidP="00806084">
      <w:pPr>
        <w:spacing w:line="276" w:lineRule="auto"/>
      </w:pPr>
    </w:p>
    <w:p w:rsidR="00806084" w:rsidRDefault="00806084" w:rsidP="00806084">
      <w:pPr>
        <w:spacing w:line="276" w:lineRule="auto"/>
      </w:pPr>
      <w:r>
        <w:t xml:space="preserve">Although crime records are public information, it is possible that the contractors will run into obstacles that make it difficult to obtain the records.  Individual agencies may not be willing to release their records to researchers that do not have an established relationship with the agency.  Gatekeepers to the data may also be unresponsive or resistant to releasing the records.  If research </w:t>
      </w:r>
      <w:proofErr w:type="gramStart"/>
      <w:r>
        <w:t>staff continue</w:t>
      </w:r>
      <w:proofErr w:type="gramEnd"/>
      <w:r>
        <w:t xml:space="preserve"> to encounter resistance following the official HUD communication, they will stop the data collection activities for that agency.</w:t>
      </w:r>
    </w:p>
    <w:p w:rsidR="00806084" w:rsidRDefault="00806084" w:rsidP="00806084"/>
    <w:p w:rsidR="00806084" w:rsidRPr="00907987" w:rsidRDefault="00806084" w:rsidP="00806084">
      <w:pPr>
        <w:pStyle w:val="BodyText"/>
        <w:spacing w:after="0"/>
      </w:pPr>
    </w:p>
    <w:p w:rsidR="00806084" w:rsidRPr="00F343E6" w:rsidRDefault="00806084" w:rsidP="00806084">
      <w:pPr>
        <w:pStyle w:val="AbtHeadB"/>
        <w:spacing w:after="0"/>
      </w:pPr>
      <w:bookmarkStart w:id="20" w:name="_Toc190490674"/>
      <w:bookmarkStart w:id="21" w:name="_Toc248818777"/>
      <w:bookmarkStart w:id="22" w:name="_Toc306361489"/>
      <w:r w:rsidRPr="00F343E6">
        <w:t>B4</w:t>
      </w:r>
      <w:r w:rsidRPr="00F343E6">
        <w:tab/>
        <w:t>Tests of Procedures or Methods</w:t>
      </w:r>
      <w:bookmarkEnd w:id="20"/>
      <w:bookmarkEnd w:id="21"/>
      <w:bookmarkEnd w:id="22"/>
    </w:p>
    <w:p w:rsidR="00806084" w:rsidRDefault="00806084" w:rsidP="00806084">
      <w:r w:rsidRPr="00F343E6">
        <w:t xml:space="preserve">Early drafts of the instrument have been reviewed by HUD personnel, </w:t>
      </w:r>
      <w:proofErr w:type="spellStart"/>
      <w:r w:rsidRPr="00F343E6">
        <w:t>Abt</w:t>
      </w:r>
      <w:proofErr w:type="spellEnd"/>
      <w:r w:rsidRPr="00F343E6">
        <w:t xml:space="preserve"> Associates staff, and </w:t>
      </w:r>
      <w:r>
        <w:t>University of Southern California</w:t>
      </w:r>
      <w:r w:rsidRPr="00F343E6">
        <w:t xml:space="preserve"> staff in order to ensure that the instrument is clear, flows well, and is as concise as possible.  </w:t>
      </w:r>
    </w:p>
    <w:p w:rsidR="00806084" w:rsidRDefault="00806084" w:rsidP="00806084">
      <w:bookmarkStart w:id="23" w:name="_Toc190490675"/>
      <w:bookmarkStart w:id="24" w:name="_Toc248818778"/>
    </w:p>
    <w:p w:rsidR="00806084" w:rsidRDefault="00806084" w:rsidP="00806084">
      <w:pPr>
        <w:pStyle w:val="AbtHeadB"/>
        <w:spacing w:after="0"/>
      </w:pPr>
      <w:bookmarkStart w:id="25" w:name="_Toc306361490"/>
      <w:r w:rsidRPr="00F343E6">
        <w:t>B5</w:t>
      </w:r>
      <w:r w:rsidRPr="00F343E6">
        <w:tab/>
        <w:t>Statistical Consultation and Information Collection Agents</w:t>
      </w:r>
      <w:bookmarkEnd w:id="23"/>
      <w:bookmarkEnd w:id="24"/>
      <w:bookmarkEnd w:id="25"/>
    </w:p>
    <w:p w:rsidR="00806084" w:rsidRDefault="00806084" w:rsidP="00806084">
      <w:r w:rsidRPr="00F343E6">
        <w:t>HUD has contr</w:t>
      </w:r>
      <w:r>
        <w:t xml:space="preserve">acted with </w:t>
      </w:r>
      <w:proofErr w:type="spellStart"/>
      <w:r>
        <w:t>Abt</w:t>
      </w:r>
      <w:proofErr w:type="spellEnd"/>
      <w:r>
        <w:t xml:space="preserve"> Associates, the University of Southern California, and the </w:t>
      </w:r>
      <w:proofErr w:type="spellStart"/>
      <w:r>
        <w:t>Concentrance</w:t>
      </w:r>
      <w:proofErr w:type="spellEnd"/>
      <w:r>
        <w:t xml:space="preserve"> Consulting Group </w:t>
      </w:r>
      <w:r w:rsidRPr="00F343E6">
        <w:t xml:space="preserve">to </w:t>
      </w:r>
      <w:r>
        <w:t xml:space="preserve">design the study, </w:t>
      </w:r>
      <w:r w:rsidRPr="00F343E6">
        <w:t>conduct the data collection</w:t>
      </w:r>
      <w:r>
        <w:t>, and perform the analysis activities</w:t>
      </w:r>
      <w:proofErr w:type="gramStart"/>
      <w:r>
        <w:t>.</w:t>
      </w:r>
      <w:r w:rsidRPr="00F343E6">
        <w:t>.</w:t>
      </w:r>
      <w:proofErr w:type="gramEnd"/>
      <w:r w:rsidRPr="00F343E6">
        <w:t xml:space="preserve">  The HUD Government Technical Representative (GTR) reviewed all the proposed procedures and had them reviewed by other </w:t>
      </w:r>
      <w:r>
        <w:t xml:space="preserve">subject matter experts at HUD. </w:t>
      </w:r>
      <w:r w:rsidRPr="00F343E6">
        <w:t xml:space="preserve"> If there are any questions about this</w:t>
      </w:r>
      <w:r>
        <w:t xml:space="preserve"> submission, please call the</w:t>
      </w:r>
      <w:r w:rsidRPr="00F343E6">
        <w:t xml:space="preserve"> HUD GTR, </w:t>
      </w:r>
      <w:r>
        <w:t>Judson James (202-402-5707), or</w:t>
      </w:r>
      <w:r w:rsidRPr="00F343E6">
        <w:t xml:space="preserve"> the </w:t>
      </w:r>
      <w:proofErr w:type="spellStart"/>
      <w:r w:rsidRPr="00F343E6">
        <w:t>Abt</w:t>
      </w:r>
      <w:proofErr w:type="spellEnd"/>
      <w:r w:rsidRPr="00F343E6">
        <w:t xml:space="preserve"> Associates </w:t>
      </w:r>
      <w:r>
        <w:t>Project Director</w:t>
      </w:r>
      <w:r w:rsidRPr="00F343E6">
        <w:t xml:space="preserve">, </w:t>
      </w:r>
      <w:r>
        <w:t>Dr. Alvaro Cortes (301-634-1857).</w:t>
      </w:r>
    </w:p>
    <w:p w:rsidR="00B63054" w:rsidRDefault="00806084"/>
    <w:sectPr w:rsidR="00B63054" w:rsidSect="00120EE2">
      <w:foot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084" w:rsidRDefault="00806084" w:rsidP="00806084">
      <w:pPr>
        <w:spacing w:line="240" w:lineRule="auto"/>
      </w:pPr>
      <w:r>
        <w:separator/>
      </w:r>
    </w:p>
  </w:endnote>
  <w:endnote w:type="continuationSeparator" w:id="0">
    <w:p w:rsidR="00806084" w:rsidRDefault="00806084" w:rsidP="008060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84" w:rsidRDefault="00806084" w:rsidP="006E1732">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084" w:rsidRDefault="00806084" w:rsidP="00806084">
      <w:pPr>
        <w:spacing w:line="240" w:lineRule="auto"/>
      </w:pPr>
      <w:r>
        <w:separator/>
      </w:r>
    </w:p>
  </w:footnote>
  <w:footnote w:type="continuationSeparator" w:id="0">
    <w:p w:rsidR="00806084" w:rsidRDefault="00806084" w:rsidP="00806084">
      <w:pPr>
        <w:spacing w:line="240" w:lineRule="auto"/>
      </w:pPr>
      <w:r>
        <w:continuationSeparator/>
      </w:r>
    </w:p>
  </w:footnote>
  <w:footnote w:id="1">
    <w:p w:rsidR="00806084" w:rsidRPr="001934F9" w:rsidRDefault="00806084" w:rsidP="00806084">
      <w:pPr>
        <w:pStyle w:val="FootnoteText"/>
        <w:tabs>
          <w:tab w:val="left" w:pos="360"/>
        </w:tabs>
        <w:rPr>
          <w:rStyle w:val="FootnoteReference"/>
          <w:spacing w:val="-6"/>
        </w:rPr>
      </w:pPr>
      <w:r w:rsidRPr="001934F9">
        <w:rPr>
          <w:rStyle w:val="FootnoteReference"/>
          <w:spacing w:val="-6"/>
        </w:rPr>
        <w:footnoteRef/>
      </w:r>
      <w:r w:rsidRPr="001934F9">
        <w:rPr>
          <w:spacing w:val="-6"/>
        </w:rPr>
        <w:t xml:space="preserve"> </w:t>
      </w:r>
      <w:r>
        <w:rPr>
          <w:spacing w:val="-6"/>
        </w:rPr>
        <w:t xml:space="preserve"> See: </w:t>
      </w:r>
      <w:r w:rsidRPr="001934F9">
        <w:rPr>
          <w:spacing w:val="-6"/>
        </w:rPr>
        <w:t>www.hud.gov/offices/cpd/communitydevelopment/programs/neighborhoodspg/pdf/nsp2awardtotalAllocation.pdf</w:t>
      </w:r>
    </w:p>
  </w:footnote>
  <w:footnote w:id="2">
    <w:p w:rsidR="00806084" w:rsidRDefault="00806084" w:rsidP="00806084">
      <w:pPr>
        <w:pStyle w:val="FootnoteText"/>
      </w:pPr>
      <w:r>
        <w:rPr>
          <w:rStyle w:val="FootnoteReference"/>
        </w:rPr>
        <w:footnoteRef/>
      </w:r>
      <w:r>
        <w:t xml:space="preserve"> </w:t>
      </w:r>
      <w:r>
        <w:tab/>
        <w:t>All 56 Grantees have at least one county in the sampling frame.  There are only 55 counties, because some counties have multiple grantees.</w:t>
      </w:r>
    </w:p>
  </w:footnote>
  <w:footnote w:id="3">
    <w:p w:rsidR="00806084" w:rsidRDefault="00806084" w:rsidP="00806084">
      <w:pPr>
        <w:pStyle w:val="FootnoteText"/>
      </w:pPr>
      <w:r>
        <w:rPr>
          <w:rStyle w:val="FootnoteReference"/>
        </w:rPr>
        <w:footnoteRef/>
      </w:r>
      <w:r>
        <w:t xml:space="preserve"> </w:t>
      </w:r>
      <w:r>
        <w:tab/>
        <w:t>The National Bureau of Economic Research (NBER) defined the economic recession as starting in December 2007 and ending in June 2009.  However, the housing market peak occurred before the start of the recession</w:t>
      </w:r>
      <w:r w:rsidRPr="00BC2F0D">
        <w:t xml:space="preserve">. The Federal Home Finance Agency (FHFA) House Price Index </w:t>
      </w:r>
      <w:r>
        <w:t xml:space="preserve">that </w:t>
      </w:r>
      <w:r w:rsidRPr="00BC2F0D">
        <w:t xml:space="preserve">indicates </w:t>
      </w:r>
      <w:r>
        <w:t xml:space="preserve">the </w:t>
      </w:r>
      <w:r w:rsidRPr="00BC2F0D">
        <w:t>peak  price appreciation</w:t>
      </w:r>
      <w:r>
        <w:t xml:space="preserve"> rate</w:t>
      </w:r>
      <w:r w:rsidRPr="00BC2F0D">
        <w:t xml:space="preserve"> for the nation occurred in the third quarter of  2005 and that negative price appreciation started two years later (the third quarter of 2007), though it started earlier in many areas.</w:t>
      </w:r>
    </w:p>
  </w:footnote>
  <w:footnote w:id="4">
    <w:p w:rsidR="00806084" w:rsidRDefault="00806084" w:rsidP="00806084">
      <w:pPr>
        <w:pStyle w:val="FootnoteText"/>
      </w:pPr>
      <w:r>
        <w:rPr>
          <w:rStyle w:val="FootnoteReference"/>
        </w:rPr>
        <w:footnoteRef/>
      </w:r>
      <w:r>
        <w:t xml:space="preserve"> </w:t>
      </w:r>
      <w:r>
        <w:tab/>
        <w:t xml:space="preserve">To be in the Boom-Bust Category, a county had to be in an MSA with housing price appreciation of 49.6 percent or higher during the boom,  a housing appreciation of -3.3 percent or lower during the bust, and an unemployment rate increase of 4 percentage points or higher in the bust period. </w:t>
      </w:r>
    </w:p>
  </w:footnote>
  <w:footnote w:id="5">
    <w:p w:rsidR="00806084" w:rsidRDefault="00806084" w:rsidP="00806084">
      <w:pPr>
        <w:pStyle w:val="FootnoteText"/>
      </w:pPr>
      <w:r>
        <w:rPr>
          <w:rStyle w:val="FootnoteReference"/>
        </w:rPr>
        <w:footnoteRef/>
      </w:r>
      <w:r>
        <w:t xml:space="preserve"> </w:t>
      </w:r>
      <w:r>
        <w:tab/>
        <w:t xml:space="preserve">To be in the Lagging/Declining Market Category, a county had to be in an MSA with housing price appreciation during the boom of 49.5 percent or lower and an unemployment rate of 4.7 percent or higher in 2007. </w:t>
      </w:r>
    </w:p>
  </w:footnote>
  <w:footnote w:id="6">
    <w:p w:rsidR="00806084" w:rsidRDefault="00806084" w:rsidP="00806084">
      <w:pPr>
        <w:pStyle w:val="FootnoteText"/>
      </w:pPr>
      <w:r>
        <w:rPr>
          <w:rStyle w:val="FootnoteReference"/>
        </w:rPr>
        <w:footnoteRef/>
      </w:r>
      <w:r>
        <w:t xml:space="preserve"> </w:t>
      </w:r>
      <w:r>
        <w:tab/>
      </w:r>
      <w:proofErr w:type="spellStart"/>
      <w:proofErr w:type="gramStart"/>
      <w:r>
        <w:t>Cutts</w:t>
      </w:r>
      <w:proofErr w:type="spellEnd"/>
      <w:r>
        <w:t>, Amy Crews &amp; Merrill, William A. 2008.</w:t>
      </w:r>
      <w:proofErr w:type="gramEnd"/>
      <w:r>
        <w:t xml:space="preserve"> “Interventions in Mortgage Default: Policies and Practices to Prevent Home Loss and Lower Costs.” Freddie Mac Working Paper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C0A77"/>
    <w:multiLevelType w:val="hybridMultilevel"/>
    <w:tmpl w:val="6C08D2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6084"/>
    <w:rsid w:val="00120EE2"/>
    <w:rsid w:val="00251094"/>
    <w:rsid w:val="00806084"/>
    <w:rsid w:val="00AF2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8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06084"/>
    <w:pPr>
      <w:spacing w:after="120"/>
    </w:pPr>
  </w:style>
  <w:style w:type="character" w:customStyle="1" w:styleId="BodyTextChar">
    <w:name w:val="Body Text Char"/>
    <w:basedOn w:val="DefaultParagraphFont"/>
    <w:link w:val="BodyText"/>
    <w:uiPriority w:val="99"/>
    <w:rsid w:val="00806084"/>
    <w:rPr>
      <w:rFonts w:ascii="Times New Roman" w:eastAsia="Times New Roman" w:hAnsi="Times New Roman" w:cs="Times New Roman"/>
      <w:szCs w:val="20"/>
    </w:rPr>
  </w:style>
  <w:style w:type="paragraph" w:styleId="Footer">
    <w:name w:val="footer"/>
    <w:basedOn w:val="Normal"/>
    <w:link w:val="FooterChar"/>
    <w:unhideWhenUsed/>
    <w:rsid w:val="00806084"/>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rsid w:val="00806084"/>
    <w:rPr>
      <w:rFonts w:ascii="Times New Roman" w:eastAsia="Times New Roman" w:hAnsi="Times New Roman" w:cs="Times New Roman"/>
      <w:szCs w:val="20"/>
    </w:rPr>
  </w:style>
  <w:style w:type="paragraph" w:customStyle="1" w:styleId="AbtHeadA">
    <w:name w:val="AbtHead A"/>
    <w:basedOn w:val="Normal"/>
    <w:next w:val="BodyText"/>
    <w:rsid w:val="00806084"/>
    <w:pPr>
      <w:keepNext/>
      <w:keepLines/>
      <w:tabs>
        <w:tab w:val="clear" w:pos="720"/>
        <w:tab w:val="clear" w:pos="1080"/>
        <w:tab w:val="clear" w:pos="1800"/>
      </w:tabs>
      <w:spacing w:after="360"/>
      <w:outlineLvl w:val="0"/>
    </w:pPr>
    <w:rPr>
      <w:rFonts w:ascii="Arial" w:hAnsi="Arial" w:cs="Arial"/>
      <w:b/>
      <w:sz w:val="36"/>
    </w:rPr>
  </w:style>
  <w:style w:type="paragraph" w:customStyle="1" w:styleId="AbtHeadB">
    <w:name w:val="AbtHead B"/>
    <w:basedOn w:val="Normal"/>
    <w:next w:val="BodyText"/>
    <w:link w:val="AbtHeadBChar"/>
    <w:rsid w:val="00806084"/>
    <w:pPr>
      <w:keepNext/>
      <w:keepLines/>
      <w:spacing w:after="280"/>
      <w:ind w:left="720" w:hanging="720"/>
      <w:outlineLvl w:val="1"/>
    </w:pPr>
    <w:rPr>
      <w:rFonts w:ascii="Arial" w:hAnsi="Arial" w:cs="Arial"/>
      <w:b/>
      <w:sz w:val="28"/>
    </w:rPr>
  </w:style>
  <w:style w:type="character" w:customStyle="1" w:styleId="AbtHeadBChar">
    <w:name w:val="AbtHead B Char"/>
    <w:basedOn w:val="DefaultParagraphFont"/>
    <w:link w:val="AbtHeadB"/>
    <w:rsid w:val="00806084"/>
    <w:rPr>
      <w:rFonts w:ascii="Arial" w:eastAsia="Times New Roman" w:hAnsi="Arial" w:cs="Arial"/>
      <w:b/>
      <w:sz w:val="28"/>
      <w:szCs w:val="20"/>
    </w:rPr>
  </w:style>
  <w:style w:type="paragraph" w:customStyle="1" w:styleId="AbtHeadC">
    <w:name w:val="AbtHead C"/>
    <w:basedOn w:val="Normal"/>
    <w:next w:val="BodyText"/>
    <w:link w:val="AbtHeadCChar"/>
    <w:rsid w:val="00806084"/>
    <w:pPr>
      <w:keepNext/>
      <w:keepLines/>
      <w:spacing w:after="240"/>
      <w:ind w:left="720" w:hanging="720"/>
      <w:outlineLvl w:val="2"/>
    </w:pPr>
    <w:rPr>
      <w:rFonts w:ascii="Arial" w:hAnsi="Arial" w:cs="Arial"/>
      <w:b/>
    </w:rPr>
  </w:style>
  <w:style w:type="character" w:customStyle="1" w:styleId="AbtHeadCChar">
    <w:name w:val="AbtHead C Char"/>
    <w:basedOn w:val="DefaultParagraphFont"/>
    <w:link w:val="AbtHeadC"/>
    <w:rsid w:val="00806084"/>
    <w:rPr>
      <w:rFonts w:ascii="Arial" w:eastAsia="Times New Roman" w:hAnsi="Arial" w:cs="Arial"/>
      <w:b/>
      <w:szCs w:val="20"/>
    </w:rPr>
  </w:style>
  <w:style w:type="paragraph" w:styleId="FootnoteText">
    <w:name w:val="footnote text"/>
    <w:basedOn w:val="Normal"/>
    <w:link w:val="FootnoteTextChar"/>
    <w:rsid w:val="00806084"/>
    <w:pPr>
      <w:spacing w:after="120"/>
      <w:ind w:left="360" w:hanging="360"/>
    </w:pPr>
    <w:rPr>
      <w:sz w:val="20"/>
    </w:rPr>
  </w:style>
  <w:style w:type="character" w:customStyle="1" w:styleId="FootnoteTextChar">
    <w:name w:val="Footnote Text Char"/>
    <w:basedOn w:val="DefaultParagraphFont"/>
    <w:link w:val="FootnoteText"/>
    <w:rsid w:val="00806084"/>
    <w:rPr>
      <w:rFonts w:ascii="Times New Roman" w:eastAsia="Times New Roman" w:hAnsi="Times New Roman" w:cs="Times New Roman"/>
      <w:sz w:val="20"/>
      <w:szCs w:val="20"/>
    </w:rPr>
  </w:style>
  <w:style w:type="character" w:styleId="FootnoteReference">
    <w:name w:val="footnote reference"/>
    <w:rsid w:val="00806084"/>
    <w:rPr>
      <w:rFonts w:cs="Times New Roman"/>
      <w:vertAlign w:val="superscript"/>
    </w:rPr>
  </w:style>
  <w:style w:type="paragraph" w:styleId="ListParagraph">
    <w:name w:val="List Paragraph"/>
    <w:basedOn w:val="Normal"/>
    <w:uiPriority w:val="34"/>
    <w:qFormat/>
    <w:rsid w:val="00806084"/>
    <w:pPr>
      <w:ind w:left="720"/>
      <w:contextualSpacing/>
    </w:pPr>
  </w:style>
  <w:style w:type="paragraph" w:customStyle="1" w:styleId="Bullets">
    <w:name w:val="Bullets"/>
    <w:basedOn w:val="BodyText"/>
    <w:rsid w:val="00806084"/>
    <w:pPr>
      <w:numPr>
        <w:numId w:val="1"/>
      </w:num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popest/archives/2000s/vintage_2006/" TargetMode="External"/><Relationship Id="rId3" Type="http://schemas.openxmlformats.org/officeDocument/2006/relationships/settings" Target="settings.xml"/><Relationship Id="rId7" Type="http://schemas.openxmlformats.org/officeDocument/2006/relationships/hyperlink" Target="http://www.fhfa.gov/Default.aspx?Page=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s.gov/l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4146</Words>
  <Characters>23635</Characters>
  <Application>Microsoft Office Word</Application>
  <DocSecurity>0</DocSecurity>
  <Lines>196</Lines>
  <Paragraphs>55</Paragraphs>
  <ScaleCrop>false</ScaleCrop>
  <Company>Housing and Urban Development</Company>
  <LinksUpToDate>false</LinksUpToDate>
  <CharactersWithSpaces>27726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Judson L. James</dc:creator>
  <cp:keywords/>
  <dc:description/>
  <cp:lastModifiedBy>Judson L. James</cp:lastModifiedBy>
  <cp:revision>1</cp:revision>
  <dcterms:created xsi:type="dcterms:W3CDTF">2012-02-16T15:45:00Z</dcterms:created>
  <dcterms:modified xsi:type="dcterms:W3CDTF">2012-02-16T15:46:00Z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1699595428</vt:i4>
  </property>
  <property fmtid="{D5CDD505-2E9C-101B-9397-08002B2CF9AE}" pid="3" name="_NewReviewCycle">
    <vt:lpwstr/>
  </property>
  <property fmtid="{D5CDD505-2E9C-101B-9397-08002B2CF9AE}" pid="4" name="_EmailSubject">
    <vt:lpwstr>Download of revised OMB package for NSP2</vt:lpwstr>
  </property>
  <property fmtid="{D5CDD505-2E9C-101B-9397-08002B2CF9AE}" pid="5" name="_AuthorEmail">
    <vt:lpwstr>Judson.L.James@hud.gov</vt:lpwstr>
  </property>
  <property fmtid="{D5CDD505-2E9C-101B-9397-08002B2CF9AE}" pid="6" name="_AuthorEmailDisplayName">
    <vt:lpwstr>James, Judson L</vt:lpwstr>
  </property>
</Properties>
</file>