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525" w:rsidRDefault="00C53525">
      <w:pPr>
        <w:jc w:val="center"/>
      </w:pPr>
      <w:r>
        <w:rPr>
          <w:rFonts w:ascii="Helvetica" w:hAnsi="Helvetica"/>
          <w:b/>
          <w:sz w:val="28"/>
        </w:rPr>
        <w:t>Paperwork Reduction Act Submission</w:t>
      </w:r>
    </w:p>
    <w:p w:rsidR="00C53525" w:rsidRDefault="00C53525">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Street">
        <w:r>
          <w:rPr>
            <w:sz w:val="18"/>
          </w:rPr>
          <w:t>725 Seventeenth St.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tblPr>
      <w:tblGrid>
        <w:gridCol w:w="5508"/>
        <w:gridCol w:w="1920"/>
        <w:gridCol w:w="1800"/>
        <w:gridCol w:w="1788"/>
      </w:tblGrid>
      <w:tr w:rsidR="00C53525">
        <w:tc>
          <w:tcPr>
            <w:tcW w:w="7428" w:type="dxa"/>
            <w:gridSpan w:val="2"/>
            <w:tcBorders>
              <w:top w:val="single" w:sz="6" w:space="0" w:color="auto"/>
            </w:tcBorders>
          </w:tcPr>
          <w:p w:rsidR="00C53525" w:rsidRDefault="00C53525">
            <w:pPr>
              <w:ind w:left="-120"/>
              <w:rPr>
                <w:rFonts w:ascii="Helvetica" w:hAnsi="Helvetica"/>
                <w:sz w:val="14"/>
              </w:rPr>
            </w:pPr>
            <w:r>
              <w:rPr>
                <w:rFonts w:ascii="Helvetica" w:hAnsi="Helvetica"/>
                <w:sz w:val="14"/>
              </w:rPr>
              <w:t>1. Agency/</w:t>
            </w:r>
            <w:proofErr w:type="spellStart"/>
            <w:r>
              <w:rPr>
                <w:rFonts w:ascii="Helvetica" w:hAnsi="Helvetica"/>
                <w:sz w:val="14"/>
              </w:rPr>
              <w:t>Subagency</w:t>
            </w:r>
            <w:proofErr w:type="spellEnd"/>
            <w:r>
              <w:rPr>
                <w:rFonts w:ascii="Helvetica" w:hAnsi="Helvetica"/>
                <w:sz w:val="14"/>
              </w:rPr>
              <w:t xml:space="preserve"> Originating Request:</w:t>
            </w:r>
          </w:p>
          <w:p w:rsidR="00C53525" w:rsidRDefault="00C53525">
            <w:pPr>
              <w:ind w:left="120"/>
              <w:rPr>
                <w:rFonts w:ascii="Helvetica" w:hAnsi="Helvetica"/>
                <w:bCs/>
                <w:sz w:val="18"/>
              </w:rPr>
            </w:pPr>
            <w:smartTag w:uri="urn:schemas-microsoft-com:office:smarttags" w:element="country-region">
              <w:smartTag w:uri="urn:schemas-microsoft-com:office:smarttags" w:element="place">
                <w:r>
                  <w:rPr>
                    <w:rFonts w:ascii="Helvetica" w:hAnsi="Helvetica"/>
                    <w:bCs/>
                    <w:sz w:val="18"/>
                  </w:rPr>
                  <w:t>U.S.</w:t>
                </w:r>
              </w:smartTag>
            </w:smartTag>
            <w:r>
              <w:rPr>
                <w:rFonts w:ascii="Helvetica" w:hAnsi="Helvetica"/>
                <w:bCs/>
                <w:sz w:val="18"/>
              </w:rPr>
              <w:t xml:space="preserve"> Department of Housing and Urban Development</w:t>
            </w:r>
          </w:p>
          <w:p w:rsidR="00C53525" w:rsidRDefault="00C53525" w:rsidP="00641869">
            <w:pPr>
              <w:spacing w:before="40" w:after="40"/>
              <w:ind w:left="120"/>
              <w:rPr>
                <w:rFonts w:ascii="Helvetica" w:hAnsi="Helvetica"/>
                <w:sz w:val="16"/>
              </w:rPr>
            </w:pPr>
            <w:r>
              <w:rPr>
                <w:rFonts w:ascii="Helvetica" w:hAnsi="Helvetica"/>
                <w:sz w:val="18"/>
              </w:rPr>
              <w:t>Office of Public and Indian Housing</w:t>
            </w:r>
            <w:r w:rsidR="00641869">
              <w:rPr>
                <w:rFonts w:ascii="Helvetica" w:hAnsi="Helvetica"/>
                <w:sz w:val="18"/>
              </w:rPr>
              <w:t xml:space="preserve"> Real Estate Assessment Center</w:t>
            </w:r>
          </w:p>
        </w:tc>
        <w:tc>
          <w:tcPr>
            <w:tcW w:w="1800" w:type="dxa"/>
            <w:tcBorders>
              <w:top w:val="single" w:sz="6" w:space="0" w:color="auto"/>
              <w:left w:val="single" w:sz="6" w:space="0" w:color="auto"/>
            </w:tcBorders>
          </w:tcPr>
          <w:p w:rsidR="00C53525" w:rsidRDefault="00C53525">
            <w:pPr>
              <w:rPr>
                <w:rFonts w:ascii="Helvetica" w:hAnsi="Helvetica"/>
                <w:sz w:val="16"/>
              </w:rPr>
            </w:pPr>
            <w:r>
              <w:rPr>
                <w:rFonts w:ascii="Helvetica" w:hAnsi="Helvetica"/>
                <w:sz w:val="16"/>
              </w:rPr>
              <w:t xml:space="preserve">2. </w:t>
            </w:r>
            <w:r>
              <w:rPr>
                <w:rFonts w:ascii="Helvetica" w:hAnsi="Helvetica"/>
                <w:sz w:val="14"/>
              </w:rPr>
              <w:t>OMB Control Number:</w:t>
            </w:r>
          </w:p>
          <w:p w:rsidR="00C53525" w:rsidRDefault="00020DC4">
            <w:pPr>
              <w:spacing w:before="40" w:after="40"/>
              <w:ind w:left="132"/>
              <w:rPr>
                <w:rFonts w:ascii="Helvetica" w:hAnsi="Helvetica"/>
                <w:sz w:val="16"/>
              </w:rPr>
            </w:pPr>
            <w:r>
              <w:rPr>
                <w:rFonts w:ascii="Helvetica" w:hAnsi="Helvetica"/>
                <w:sz w:val="16"/>
              </w:rPr>
              <w:t xml:space="preserve">a.  </w:t>
            </w:r>
            <w:r w:rsidR="00641869">
              <w:rPr>
                <w:rFonts w:ascii="Helvetica" w:hAnsi="Helvetica"/>
                <w:sz w:val="16"/>
              </w:rPr>
              <w:t>2577-0243</w:t>
            </w:r>
          </w:p>
          <w:p w:rsidR="00C53525" w:rsidRDefault="00C53525">
            <w:pPr>
              <w:spacing w:before="40" w:after="40"/>
              <w:ind w:left="132"/>
              <w:rPr>
                <w:rFonts w:ascii="Helvetica" w:hAnsi="Helvetica"/>
                <w:sz w:val="16"/>
              </w:rPr>
            </w:pPr>
            <w:r>
              <w:rPr>
                <w:rFonts w:ascii="Helvetica" w:hAnsi="Helvetica"/>
                <w:sz w:val="16"/>
              </w:rPr>
              <w:t xml:space="preserve">b.  </w:t>
            </w:r>
            <w:r w:rsidR="008C17E9">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8C17E9">
              <w:rPr>
                <w:rFonts w:ascii="Helvetica" w:hAnsi="Helvetica"/>
                <w:b/>
              </w:rPr>
            </w:r>
            <w:r w:rsidR="008C17E9">
              <w:rPr>
                <w:rFonts w:ascii="Helvetica" w:hAnsi="Helvetica"/>
                <w:b/>
              </w:rPr>
              <w:fldChar w:fldCharType="end"/>
            </w:r>
            <w:r>
              <w:rPr>
                <w:rFonts w:ascii="Helvetica" w:hAnsi="Helvetica"/>
                <w:b/>
              </w:rPr>
              <w:t xml:space="preserve"> </w:t>
            </w:r>
            <w:r>
              <w:rPr>
                <w:rFonts w:ascii="Helvetica" w:hAnsi="Helvetica"/>
                <w:bCs/>
              </w:rPr>
              <w:t>None</w:t>
            </w:r>
          </w:p>
          <w:p w:rsidR="00C53525" w:rsidRDefault="00C53525">
            <w:pPr>
              <w:ind w:left="-120"/>
              <w:rPr>
                <w:rFonts w:ascii="Helvetica" w:hAnsi="Helvetica"/>
                <w:sz w:val="16"/>
              </w:rPr>
            </w:pPr>
          </w:p>
        </w:tc>
        <w:tc>
          <w:tcPr>
            <w:tcW w:w="1788" w:type="dxa"/>
            <w:tcBorders>
              <w:top w:val="single" w:sz="6" w:space="0" w:color="auto"/>
            </w:tcBorders>
          </w:tcPr>
          <w:p w:rsidR="00C53525" w:rsidRDefault="00C53525">
            <w:pPr>
              <w:spacing w:before="40" w:after="40"/>
              <w:rPr>
                <w:rFonts w:ascii="Helvetica" w:hAnsi="Helvetica"/>
                <w:sz w:val="16"/>
              </w:rPr>
            </w:pPr>
          </w:p>
        </w:tc>
      </w:tr>
      <w:tr w:rsidR="00C53525">
        <w:tc>
          <w:tcPr>
            <w:tcW w:w="5508" w:type="dxa"/>
            <w:tcBorders>
              <w:top w:val="single" w:sz="6" w:space="0" w:color="auto"/>
            </w:tcBorders>
          </w:tcPr>
          <w:p w:rsidR="00C53525" w:rsidRDefault="00C53525">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C53525" w:rsidRDefault="008C17E9">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3"/>
                  <w:enabled/>
                  <w:calcOnExit w:val="0"/>
                  <w:checkBox>
                    <w:sizeAuto/>
                    <w:default w:val="0"/>
                  </w:checkBox>
                </w:ffData>
              </w:fldChar>
            </w:r>
            <w:r w:rsidR="00C53525">
              <w:rPr>
                <w:rFonts w:ascii="Helvetica" w:hAnsi="Helvetica"/>
                <w:b/>
              </w:rPr>
              <w:instrText xml:space="preserve"> FORMCHECKBOX </w:instrText>
            </w:r>
            <w:r>
              <w:rPr>
                <w:rFonts w:ascii="Helvetica" w:hAnsi="Helvetica"/>
                <w:b/>
              </w:rPr>
            </w:r>
            <w:r>
              <w:rPr>
                <w:rFonts w:ascii="Helvetica" w:hAnsi="Helvetica"/>
                <w:b/>
              </w:rPr>
              <w:fldChar w:fldCharType="end"/>
            </w:r>
            <w:r w:rsidR="00C53525">
              <w:rPr>
                <w:rFonts w:ascii="Helvetica" w:hAnsi="Helvetica"/>
                <w:sz w:val="16"/>
              </w:rPr>
              <w:t xml:space="preserve"> New Collection </w:t>
            </w:r>
          </w:p>
          <w:p w:rsidR="00C53525" w:rsidRDefault="00585225">
            <w:pPr>
              <w:numPr>
                <w:ilvl w:val="0"/>
                <w:numId w:val="1"/>
              </w:numPr>
              <w:tabs>
                <w:tab w:val="left" w:pos="480"/>
                <w:tab w:val="left" w:pos="720"/>
              </w:tabs>
              <w:rPr>
                <w:rFonts w:ascii="Helvetica" w:hAnsi="Helvetica"/>
                <w:sz w:val="16"/>
              </w:rPr>
            </w:pPr>
            <w:r>
              <w:rPr>
                <w:rFonts w:ascii="Helvetica" w:hAnsi="Helvetica"/>
                <w:b/>
              </w:rPr>
              <w:t xml:space="preserve"> </w:t>
            </w:r>
            <w:r w:rsidR="000224A5">
              <w:rPr>
                <w:rFonts w:ascii="Helvetica" w:hAnsi="Helvetica"/>
                <w:b/>
              </w:rPr>
              <w:t xml:space="preserve">   </w:t>
            </w:r>
            <w:r w:rsidR="00C53525">
              <w:rPr>
                <w:rFonts w:ascii="Helvetica" w:hAnsi="Helvetica"/>
                <w:sz w:val="16"/>
              </w:rPr>
              <w:t xml:space="preserve">Revision of </w:t>
            </w:r>
            <w:r w:rsidR="000224A5">
              <w:rPr>
                <w:rFonts w:ascii="Helvetica" w:hAnsi="Helvetica"/>
                <w:sz w:val="16"/>
              </w:rPr>
              <w:t xml:space="preserve"> </w:t>
            </w:r>
            <w:r w:rsidR="00C53525">
              <w:rPr>
                <w:rFonts w:ascii="Helvetica" w:hAnsi="Helvetica"/>
                <w:sz w:val="16"/>
              </w:rPr>
              <w:t>a currently approved collection</w:t>
            </w:r>
          </w:p>
          <w:p w:rsidR="00C53525" w:rsidRDefault="00C53525">
            <w:pPr>
              <w:numPr>
                <w:ilvl w:val="0"/>
                <w:numId w:val="1"/>
              </w:numPr>
              <w:tabs>
                <w:tab w:val="left" w:pos="480"/>
                <w:tab w:val="left" w:pos="720"/>
              </w:tabs>
              <w:rPr>
                <w:rFonts w:ascii="Helvetica" w:hAnsi="Helvetica"/>
                <w:sz w:val="16"/>
              </w:rPr>
            </w:pPr>
            <w:r>
              <w:rPr>
                <w:rFonts w:ascii="Helvetica" w:hAnsi="Helvetica"/>
                <w:b/>
              </w:rPr>
              <w:t xml:space="preserve"> </w:t>
            </w:r>
            <w:r w:rsidR="00641869">
              <w:rPr>
                <w:rFonts w:ascii="Helvetica" w:hAnsi="Helvetica"/>
                <w:b/>
              </w:rPr>
              <w:t xml:space="preserve">X  </w:t>
            </w:r>
            <w:r>
              <w:rPr>
                <w:rFonts w:ascii="Helvetica" w:hAnsi="Helvetica"/>
                <w:sz w:val="16"/>
              </w:rPr>
              <w:t>Extension of a currently approved collection</w:t>
            </w:r>
          </w:p>
          <w:p w:rsidR="00C53525" w:rsidRDefault="00C53525">
            <w:pPr>
              <w:numPr>
                <w:ilvl w:val="0"/>
                <w:numId w:val="1"/>
              </w:numPr>
              <w:tabs>
                <w:tab w:val="left" w:pos="480"/>
                <w:tab w:val="left" w:pos="720"/>
              </w:tabs>
              <w:rPr>
                <w:rFonts w:ascii="Helvetica" w:hAnsi="Helvetica"/>
                <w:sz w:val="16"/>
              </w:rPr>
            </w:pPr>
            <w:r>
              <w:rPr>
                <w:rFonts w:ascii="Helvetica" w:hAnsi="Helvetica"/>
                <w:sz w:val="16"/>
              </w:rPr>
              <w:t xml:space="preserve"> Reinstatement, </w:t>
            </w:r>
            <w:r>
              <w:rPr>
                <w:rFonts w:ascii="Helvetica" w:hAnsi="Helvetica"/>
                <w:b/>
                <w:sz w:val="16"/>
              </w:rPr>
              <w:t>without change</w:t>
            </w:r>
            <w:r>
              <w:rPr>
                <w:rFonts w:ascii="Helvetica" w:hAnsi="Helvetica"/>
                <w:sz w:val="16"/>
              </w:rPr>
              <w:t xml:space="preserve">, of previously approved </w:t>
            </w:r>
          </w:p>
          <w:p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C53525" w:rsidRDefault="008C17E9">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C53525">
              <w:rPr>
                <w:rFonts w:ascii="Helvetica" w:hAnsi="Helvetica"/>
                <w:b/>
              </w:rPr>
              <w:instrText xml:space="preserve"> FORMCHECKBOX </w:instrText>
            </w:r>
            <w:r>
              <w:rPr>
                <w:rFonts w:ascii="Helvetica" w:hAnsi="Helvetica"/>
                <w:b/>
              </w:rPr>
            </w:r>
            <w:r>
              <w:rPr>
                <w:rFonts w:ascii="Helvetica" w:hAnsi="Helvetica"/>
                <w:b/>
              </w:rPr>
              <w:fldChar w:fldCharType="end"/>
            </w:r>
            <w:r w:rsidR="00C53525">
              <w:rPr>
                <w:rFonts w:ascii="Helvetica" w:hAnsi="Helvetica"/>
                <w:sz w:val="16"/>
              </w:rPr>
              <w:t xml:space="preserve"> Reinstatement, </w:t>
            </w:r>
            <w:r w:rsidR="00C53525">
              <w:rPr>
                <w:rFonts w:ascii="Helvetica" w:hAnsi="Helvetica"/>
                <w:b/>
                <w:sz w:val="16"/>
              </w:rPr>
              <w:t>with change</w:t>
            </w:r>
            <w:r w:rsidR="00C53525">
              <w:rPr>
                <w:rFonts w:ascii="Helvetica" w:hAnsi="Helvetica"/>
                <w:sz w:val="16"/>
              </w:rPr>
              <w:t xml:space="preserve">, of previously approved collection </w:t>
            </w:r>
          </w:p>
          <w:p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C53525" w:rsidRDefault="008C17E9">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0" w:name="Check7"/>
            <w:r w:rsidR="00C53525">
              <w:rPr>
                <w:rFonts w:ascii="Helvetica" w:hAnsi="Helvetica"/>
                <w:b/>
              </w:rPr>
              <w:instrText xml:space="preserve"> FORMCHECKBOX </w:instrText>
            </w:r>
            <w:r>
              <w:rPr>
                <w:rFonts w:ascii="Helvetica" w:hAnsi="Helvetica"/>
                <w:b/>
              </w:rPr>
            </w:r>
            <w:r>
              <w:rPr>
                <w:rFonts w:ascii="Helvetica" w:hAnsi="Helvetica"/>
                <w:b/>
              </w:rPr>
              <w:fldChar w:fldCharType="end"/>
            </w:r>
            <w:bookmarkEnd w:id="0"/>
            <w:r w:rsidR="00C53525">
              <w:rPr>
                <w:rFonts w:ascii="Helvetica" w:hAnsi="Helvetica"/>
                <w:sz w:val="16"/>
              </w:rPr>
              <w:t xml:space="preserve"> Existing collection in use without an OMB control number</w:t>
            </w:r>
          </w:p>
          <w:p w:rsidR="00C53525" w:rsidRDefault="00C5352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C53525" w:rsidRDefault="00C53525">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C53525" w:rsidRDefault="008C17E9">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C53525">
              <w:rPr>
                <w:rFonts w:ascii="Helvetica" w:hAnsi="Helvetica"/>
                <w:b/>
              </w:rPr>
              <w:instrText xml:space="preserve"> FORMCHECKBOX </w:instrText>
            </w:r>
            <w:r>
              <w:rPr>
                <w:rFonts w:ascii="Helvetica" w:hAnsi="Helvetica"/>
                <w:b/>
              </w:rPr>
            </w:r>
            <w:r>
              <w:rPr>
                <w:rFonts w:ascii="Helvetica" w:hAnsi="Helvetica"/>
                <w:b/>
              </w:rPr>
              <w:fldChar w:fldCharType="end"/>
            </w:r>
            <w:r w:rsidR="00C53525">
              <w:rPr>
                <w:rFonts w:ascii="Helvetica" w:hAnsi="Helvetica"/>
                <w:sz w:val="16"/>
              </w:rPr>
              <w:t xml:space="preserve"> Regular</w:t>
            </w:r>
          </w:p>
          <w:p w:rsidR="00C53525" w:rsidRDefault="008C17E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1" w:name="Check9"/>
            <w:r w:rsidR="00C535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
            <w:r w:rsidR="00C53525">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2" w:name="Text4"/>
            <w:r w:rsidR="00C53525">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Pr>
                <w:rFonts w:ascii="Helvetica" w:hAnsi="Helvetica"/>
                <w:sz w:val="18"/>
              </w:rPr>
              <w:fldChar w:fldCharType="end"/>
            </w:r>
            <w:bookmarkEnd w:id="2"/>
          </w:p>
          <w:p w:rsidR="00C53525" w:rsidRDefault="008C17E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3" w:name="Check10"/>
            <w:r w:rsidR="00C535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3"/>
            <w:r w:rsidR="00C53525">
              <w:rPr>
                <w:rFonts w:ascii="Helvetica" w:hAnsi="Helvetica"/>
                <w:sz w:val="18"/>
              </w:rPr>
              <w:t xml:space="preserve"> </w:t>
            </w:r>
            <w:r w:rsidR="00C53525">
              <w:rPr>
                <w:rFonts w:ascii="Helvetica" w:hAnsi="Helvetica"/>
                <w:sz w:val="16"/>
              </w:rPr>
              <w:t>Delegated</w:t>
            </w:r>
          </w:p>
          <w:p w:rsidR="00C53525" w:rsidRDefault="00C5352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C53525" w:rsidRDefault="00675F61">
            <w:pPr>
              <w:tabs>
                <w:tab w:val="left" w:pos="240"/>
              </w:tabs>
              <w:ind w:left="252"/>
              <w:rPr>
                <w:rFonts w:ascii="Helvetica" w:hAnsi="Helvetica"/>
                <w:sz w:val="18"/>
              </w:rPr>
            </w:pPr>
            <w:r>
              <w:rPr>
                <w:rFonts w:ascii="Helvetica" w:hAnsi="Helvetica"/>
                <w:sz w:val="18"/>
              </w:rPr>
              <w:t xml:space="preserve">   Yes  </w:t>
            </w:r>
            <w:r w:rsidR="00C53525">
              <w:rPr>
                <w:rFonts w:ascii="Helvetica" w:hAnsi="Helvetica"/>
                <w:sz w:val="18"/>
              </w:rPr>
              <w:t xml:space="preserve">  </w:t>
            </w:r>
            <w:r w:rsidR="002F2DCA">
              <w:rPr>
                <w:rFonts w:ascii="Helvetica" w:hAnsi="Helvetica"/>
                <w:sz w:val="18"/>
              </w:rPr>
              <w:t xml:space="preserve">  </w:t>
            </w:r>
            <w:r w:rsidR="00C53525">
              <w:rPr>
                <w:rFonts w:ascii="Helvetica" w:hAnsi="Helvetica"/>
                <w:sz w:val="18"/>
              </w:rPr>
              <w:t>No</w:t>
            </w:r>
            <w:r>
              <w:rPr>
                <w:rFonts w:ascii="Helvetica" w:hAnsi="Helvetica"/>
                <w:sz w:val="18"/>
              </w:rPr>
              <w:t xml:space="preserve"> </w:t>
            </w:r>
            <w:r w:rsidR="008D7CF6">
              <w:rPr>
                <w:rFonts w:ascii="Helvetica" w:hAnsi="Helvetica"/>
                <w:sz w:val="18"/>
              </w:rPr>
              <w:t xml:space="preserve">  </w:t>
            </w:r>
            <w:r w:rsidRPr="002F2DCA">
              <w:rPr>
                <w:rFonts w:ascii="Helvetica" w:hAnsi="Helvetica"/>
                <w:b/>
                <w:sz w:val="18"/>
                <w:highlight w:val="lightGray"/>
              </w:rPr>
              <w:t>X</w:t>
            </w:r>
          </w:p>
          <w:p w:rsidR="00C53525" w:rsidRDefault="00C5352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C53525" w:rsidRDefault="00C53525">
            <w:pPr>
              <w:tabs>
                <w:tab w:val="left" w:pos="240"/>
                <w:tab w:val="left" w:pos="3132"/>
              </w:tabs>
              <w:ind w:left="252"/>
              <w:rPr>
                <w:rFonts w:ascii="Helvetica" w:hAnsi="Helvetica"/>
                <w:sz w:val="16"/>
              </w:rPr>
            </w:pPr>
            <w:r>
              <w:rPr>
                <w:rFonts w:ascii="Helvetica" w:hAnsi="Helvetica"/>
                <w:sz w:val="16"/>
              </w:rPr>
              <w:t xml:space="preserve">a. </w:t>
            </w:r>
            <w:r w:rsidR="008C17E9">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8C17E9">
              <w:rPr>
                <w:rFonts w:ascii="Helvetica" w:hAnsi="Helvetica"/>
                <w:b/>
              </w:rPr>
            </w:r>
            <w:r w:rsidR="008C17E9">
              <w:rPr>
                <w:rFonts w:ascii="Helvetica" w:hAnsi="Helvetica"/>
                <w:b/>
              </w:rPr>
              <w:fldChar w:fldCharType="end"/>
            </w:r>
            <w:r>
              <w:rPr>
                <w:rFonts w:ascii="Helvetica" w:hAnsi="Helvetica"/>
                <w:sz w:val="16"/>
              </w:rPr>
              <w:t xml:space="preserve"> Three years form approval date  </w:t>
            </w:r>
            <w:r>
              <w:rPr>
                <w:rFonts w:ascii="Helvetica" w:hAnsi="Helvetica"/>
                <w:sz w:val="16"/>
              </w:rPr>
              <w:tab/>
              <w:t xml:space="preserve">b. </w:t>
            </w:r>
            <w:r w:rsidR="008C17E9">
              <w:rPr>
                <w:rFonts w:ascii="Helvetica" w:hAnsi="Helvetica"/>
                <w:b/>
                <w:sz w:val="18"/>
              </w:rPr>
              <w:fldChar w:fldCharType="begin">
                <w:ffData>
                  <w:name w:val="Check15"/>
                  <w:enabled/>
                  <w:calcOnExit w:val="0"/>
                  <w:checkBox>
                    <w:sizeAuto/>
                    <w:default w:val="0"/>
                  </w:checkBox>
                </w:ffData>
              </w:fldChar>
            </w:r>
            <w:bookmarkStart w:id="4" w:name="Check15"/>
            <w:r>
              <w:rPr>
                <w:rFonts w:ascii="Helvetica" w:hAnsi="Helvetica"/>
                <w:b/>
                <w:sz w:val="18"/>
              </w:rPr>
              <w:instrText xml:space="preserve"> FORMCHECKBOX </w:instrText>
            </w:r>
            <w:r w:rsidR="008C17E9">
              <w:rPr>
                <w:rFonts w:ascii="Helvetica" w:hAnsi="Helvetica"/>
                <w:b/>
                <w:sz w:val="18"/>
              </w:rPr>
            </w:r>
            <w:r w:rsidR="008C17E9">
              <w:rPr>
                <w:rFonts w:ascii="Helvetica" w:hAnsi="Helvetica"/>
                <w:b/>
                <w:sz w:val="18"/>
              </w:rPr>
              <w:fldChar w:fldCharType="end"/>
            </w:r>
            <w:bookmarkEnd w:id="4"/>
            <w:r>
              <w:rPr>
                <w:rFonts w:ascii="Helvetica" w:hAnsi="Helvetica"/>
                <w:sz w:val="16"/>
              </w:rPr>
              <w:t xml:space="preserve"> Other (specify)</w:t>
            </w:r>
          </w:p>
          <w:p w:rsidR="00C53525" w:rsidRDefault="00C53525">
            <w:pPr>
              <w:tabs>
                <w:tab w:val="left" w:pos="3252"/>
              </w:tabs>
              <w:spacing w:after="60"/>
              <w:rPr>
                <w:rFonts w:ascii="Helvetica" w:hAnsi="Helvetica"/>
                <w:sz w:val="16"/>
              </w:rPr>
            </w:pPr>
            <w:r>
              <w:rPr>
                <w:rFonts w:ascii="Helvetica" w:hAnsi="Helvetica"/>
                <w:sz w:val="18"/>
              </w:rPr>
              <w:tab/>
              <w:t xml:space="preserve"> </w:t>
            </w:r>
            <w:r w:rsidR="008C17E9">
              <w:rPr>
                <w:rFonts w:ascii="Helvetica" w:hAnsi="Helvetica"/>
                <w:sz w:val="18"/>
              </w:rPr>
              <w:fldChar w:fldCharType="begin">
                <w:ffData>
                  <w:name w:val="Text5"/>
                  <w:enabled/>
                  <w:calcOnExit w:val="0"/>
                  <w:textInput/>
                </w:ffData>
              </w:fldChar>
            </w:r>
            <w:bookmarkStart w:id="5" w:name="Text5"/>
            <w:r>
              <w:rPr>
                <w:rFonts w:ascii="Helvetica" w:hAnsi="Helvetica"/>
                <w:sz w:val="18"/>
              </w:rPr>
              <w:instrText xml:space="preserve"> FORMTEXT </w:instrText>
            </w:r>
            <w:r w:rsidR="008C17E9">
              <w:rPr>
                <w:rFonts w:ascii="Helvetica" w:hAnsi="Helvetica"/>
                <w:sz w:val="18"/>
              </w:rPr>
            </w:r>
            <w:r w:rsidR="008C17E9">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8C17E9">
              <w:rPr>
                <w:rFonts w:ascii="Helvetica" w:hAnsi="Helvetica"/>
                <w:sz w:val="18"/>
              </w:rPr>
              <w:fldChar w:fldCharType="end"/>
            </w:r>
            <w:bookmarkEnd w:id="5"/>
          </w:p>
        </w:tc>
      </w:tr>
    </w:tbl>
    <w:p w:rsidR="00C53525" w:rsidRDefault="00C53525">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 xml:space="preserve">Title:   </w:t>
      </w:r>
    </w:p>
    <w:p w:rsidR="00F60FE2" w:rsidRDefault="00F60FE2" w:rsidP="00F60FE2">
      <w:pPr>
        <w:tabs>
          <w:tab w:val="left" w:pos="240"/>
        </w:tabs>
        <w:spacing w:after="40"/>
        <w:ind w:left="120" w:right="-120"/>
        <w:rPr>
          <w:rFonts w:ascii="Helvetica" w:hAnsi="Helvetica"/>
          <w:color w:val="000080"/>
          <w:sz w:val="18"/>
        </w:rPr>
      </w:pPr>
      <w:r>
        <w:rPr>
          <w:rFonts w:ascii="Helvetica" w:hAnsi="Helvetica"/>
          <w:b/>
          <w:color w:val="000080"/>
          <w:sz w:val="18"/>
        </w:rPr>
        <w:t>Inspector Candidate Assessment Questionnaire</w:t>
      </w:r>
    </w:p>
    <w:p w:rsidR="00C53525" w:rsidRDefault="00C53525">
      <w:pPr>
        <w:tabs>
          <w:tab w:val="left" w:pos="240"/>
        </w:tabs>
        <w:spacing w:after="40"/>
        <w:ind w:left="120" w:right="-120"/>
        <w:rPr>
          <w:rFonts w:ascii="Helvetica" w:hAnsi="Helvetica"/>
          <w:sz w:val="18"/>
        </w:rPr>
      </w:pPr>
    </w:p>
    <w:p w:rsidR="00F60FE2" w:rsidRPr="002F2DCA" w:rsidRDefault="00C53525" w:rsidP="00F60FE2">
      <w:pPr>
        <w:pBdr>
          <w:top w:val="single" w:sz="6" w:space="0" w:color="auto"/>
        </w:pBdr>
        <w:tabs>
          <w:tab w:val="left" w:pos="240"/>
        </w:tabs>
        <w:spacing w:line="180" w:lineRule="exact"/>
        <w:ind w:left="-120" w:right="-120"/>
        <w:rPr>
          <w:rFonts w:ascii="Helvetica" w:hAnsi="Helvetica"/>
          <w:color w:val="002060"/>
          <w:sz w:val="14"/>
        </w:rPr>
      </w:pPr>
      <w:r>
        <w:rPr>
          <w:rFonts w:ascii="Helvetica" w:hAnsi="Helvetica"/>
          <w:sz w:val="16"/>
        </w:rPr>
        <w:t xml:space="preserve">8. </w:t>
      </w:r>
      <w:r>
        <w:rPr>
          <w:rFonts w:ascii="Helvetica" w:hAnsi="Helvetica"/>
          <w:sz w:val="14"/>
        </w:rPr>
        <w:t xml:space="preserve">Agency form number(s):  </w:t>
      </w:r>
      <w:r w:rsidR="0012761A" w:rsidRPr="002F2DCA">
        <w:rPr>
          <w:rFonts w:ascii="Helvetica" w:hAnsi="Helvetica"/>
          <w:color w:val="002060"/>
          <w:sz w:val="18"/>
          <w:szCs w:val="18"/>
        </w:rPr>
        <w:t>for HUD 50002</w:t>
      </w:r>
    </w:p>
    <w:p w:rsidR="00F60FE2" w:rsidRDefault="00845941" w:rsidP="00F60FE2">
      <w:pPr>
        <w:pBdr>
          <w:top w:val="single" w:sz="6" w:space="0" w:color="auto"/>
        </w:pBdr>
        <w:tabs>
          <w:tab w:val="left" w:pos="240"/>
        </w:tabs>
        <w:spacing w:line="180" w:lineRule="exact"/>
        <w:ind w:left="-120" w:right="-120"/>
        <w:rPr>
          <w:rFonts w:ascii="Helvetica" w:hAnsi="Helvetica"/>
          <w:sz w:val="14"/>
        </w:rPr>
      </w:pPr>
      <w:r>
        <w:rPr>
          <w:rFonts w:ascii="Helvetica" w:hAnsi="Helvetica"/>
          <w:sz w:val="14"/>
        </w:rPr>
        <w:t>_____________________________________________________________________________________________________________________________________________</w:t>
      </w:r>
    </w:p>
    <w:p w:rsidR="00F60FE2" w:rsidRPr="00F60FE2" w:rsidRDefault="00C53525" w:rsidP="00F60FE2">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9. </w:t>
      </w:r>
      <w:r>
        <w:rPr>
          <w:rFonts w:ascii="Helvetica" w:hAnsi="Helvetica"/>
          <w:sz w:val="14"/>
        </w:rPr>
        <w:t>Keywords:</w:t>
      </w:r>
      <w:r w:rsidR="00675F61">
        <w:rPr>
          <w:rFonts w:ascii="Helvetica" w:hAnsi="Helvetica"/>
          <w:sz w:val="14"/>
        </w:rPr>
        <w:t xml:space="preserve"> </w:t>
      </w:r>
      <w:r w:rsidR="00675F61" w:rsidRPr="00675F61">
        <w:rPr>
          <w:rFonts w:ascii="Helvetica" w:hAnsi="Helvetica"/>
          <w:sz w:val="14"/>
        </w:rPr>
        <w:t>Housing,</w:t>
      </w:r>
      <w:r w:rsidR="00F60FE2">
        <w:rPr>
          <w:rFonts w:ascii="Helvetica" w:hAnsi="Helvetica"/>
          <w:sz w:val="14"/>
        </w:rPr>
        <w:t xml:space="preserve"> </w:t>
      </w:r>
      <w:r w:rsidR="00F60FE2">
        <w:rPr>
          <w:rFonts w:ascii="Helvetica" w:hAnsi="Helvetica"/>
          <w:color w:val="000080"/>
          <w:sz w:val="18"/>
        </w:rPr>
        <w:t>Multi Housing, Public Housing, Physical Inspection, Inspector Training, Inspector Certification</w:t>
      </w:r>
    </w:p>
    <w:p w:rsidR="00C53525" w:rsidRDefault="00845941">
      <w:pPr>
        <w:pBdr>
          <w:top w:val="single" w:sz="6" w:space="0" w:color="auto"/>
        </w:pBdr>
        <w:tabs>
          <w:tab w:val="left" w:pos="240"/>
        </w:tabs>
        <w:ind w:left="-120" w:right="-120"/>
        <w:rPr>
          <w:rFonts w:ascii="Helvetica" w:hAnsi="Helvetica"/>
          <w:sz w:val="14"/>
        </w:rPr>
      </w:pPr>
      <w:r>
        <w:rPr>
          <w:rFonts w:ascii="Helvetica" w:hAnsi="Helvetica"/>
          <w:sz w:val="14"/>
        </w:rPr>
        <w:t>_____________________________________________________________________________________________________________________________________________</w:t>
      </w:r>
    </w:p>
    <w:p w:rsidR="00C53525" w:rsidRDefault="00C53525">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 xml:space="preserve">Abstract:  </w:t>
      </w:r>
      <w:r w:rsidR="00F60FE2">
        <w:rPr>
          <w:rFonts w:ascii="Helvetica" w:hAnsi="Helvetica"/>
          <w:color w:val="000080"/>
          <w:sz w:val="18"/>
        </w:rPr>
        <w:t>Individuals interested in conducting Uniform Physical Condition Standards inspections on behalf of PIH-REAC are requested to complete this form.  The form is a questionnaire that provides PIH-REAC with basic background information about the individual’s inspection skills and abilities</w:t>
      </w:r>
    </w:p>
    <w:tbl>
      <w:tblPr>
        <w:tblW w:w="0" w:type="auto"/>
        <w:tblLayout w:type="fixed"/>
        <w:tblLook w:val="0000"/>
      </w:tblPr>
      <w:tblGrid>
        <w:gridCol w:w="4908"/>
        <w:gridCol w:w="720"/>
        <w:gridCol w:w="5388"/>
      </w:tblGrid>
      <w:tr w:rsidR="00C53525">
        <w:trPr>
          <w:trHeight w:val="1129"/>
        </w:trPr>
        <w:tc>
          <w:tcPr>
            <w:tcW w:w="5628" w:type="dxa"/>
            <w:gridSpan w:val="2"/>
            <w:tcBorders>
              <w:top w:val="single" w:sz="6" w:space="0" w:color="auto"/>
              <w:right w:val="single" w:sz="6" w:space="0" w:color="auto"/>
            </w:tcBorders>
          </w:tcPr>
          <w:p w:rsidR="00C53525" w:rsidRDefault="00C53525">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a</w:t>
            </w:r>
            <w:r w:rsidRPr="002821F2">
              <w:rPr>
                <w:rFonts w:ascii="Helvetica" w:hAnsi="Helvetica"/>
                <w:b/>
                <w:sz w:val="18"/>
                <w:szCs w:val="18"/>
              </w:rPr>
              <w:t xml:space="preserve">. </w:t>
            </w:r>
            <w:r w:rsidR="00F60FE2" w:rsidRPr="005F7145">
              <w:rPr>
                <w:rFonts w:ascii="Helvetica" w:hAnsi="Helvetica"/>
                <w:b/>
                <w:sz w:val="18"/>
                <w:szCs w:val="18"/>
                <w:highlight w:val="lightGray"/>
              </w:rPr>
              <w:t>P</w:t>
            </w:r>
            <w:r w:rsidRPr="002821F2">
              <w:rPr>
                <w:rFonts w:ascii="Helvetica" w:hAnsi="Helvetica"/>
                <w:b/>
                <w:sz w:val="18"/>
                <w:szCs w:val="18"/>
              </w:rPr>
              <w:tab/>
            </w:r>
            <w:r>
              <w:rPr>
                <w:rFonts w:ascii="Helvetica" w:hAnsi="Helvetica"/>
                <w:sz w:val="16"/>
              </w:rPr>
              <w:t>Individuals or households</w:t>
            </w:r>
            <w:r>
              <w:rPr>
                <w:rFonts w:ascii="Helvetica" w:hAnsi="Helvetica"/>
                <w:sz w:val="16"/>
              </w:rPr>
              <w:tab/>
              <w:t xml:space="preserve">e. </w:t>
            </w:r>
            <w:r w:rsidR="008C17E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C17E9">
              <w:rPr>
                <w:rFonts w:ascii="Helvetica" w:hAnsi="Helvetica"/>
                <w:b/>
                <w:sz w:val="18"/>
              </w:rPr>
            </w:r>
            <w:r w:rsidR="008C17E9">
              <w:rPr>
                <w:rFonts w:ascii="Helvetica" w:hAnsi="Helvetica"/>
                <w:b/>
                <w:sz w:val="18"/>
              </w:rPr>
              <w:fldChar w:fldCharType="separate"/>
            </w:r>
            <w:r>
              <w:rPr>
                <w:rFonts w:ascii="Helvetica" w:hAnsi="Helvetica"/>
                <w:b/>
                <w:noProof/>
                <w:sz w:val="18"/>
              </w:rPr>
              <w:t> </w:t>
            </w:r>
            <w:r w:rsidR="008C17E9">
              <w:rPr>
                <w:rFonts w:ascii="Helvetica" w:hAnsi="Helvetica"/>
                <w:b/>
                <w:sz w:val="18"/>
              </w:rPr>
              <w:fldChar w:fldCharType="end"/>
            </w:r>
            <w:r>
              <w:rPr>
                <w:rFonts w:ascii="Helvetica" w:hAnsi="Helvetica"/>
                <w:b/>
                <w:sz w:val="18"/>
              </w:rPr>
              <w:tab/>
            </w:r>
            <w:r>
              <w:rPr>
                <w:rFonts w:ascii="Helvetica" w:hAnsi="Helvetica"/>
                <w:sz w:val="16"/>
              </w:rPr>
              <w:t>Farms</w:t>
            </w:r>
          </w:p>
          <w:p w:rsidR="00C53525" w:rsidRDefault="00C53525">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8C17E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C17E9">
              <w:rPr>
                <w:rFonts w:ascii="Helvetica" w:hAnsi="Helvetica"/>
                <w:b/>
                <w:sz w:val="18"/>
              </w:rPr>
            </w:r>
            <w:r w:rsidR="008C17E9">
              <w:rPr>
                <w:rFonts w:ascii="Helvetica" w:hAnsi="Helvetica"/>
                <w:b/>
                <w:sz w:val="18"/>
              </w:rPr>
              <w:fldChar w:fldCharType="separate"/>
            </w:r>
            <w:r>
              <w:rPr>
                <w:rFonts w:ascii="Helvetica" w:hAnsi="Helvetica"/>
                <w:b/>
                <w:noProof/>
                <w:sz w:val="18"/>
              </w:rPr>
              <w:t> </w:t>
            </w:r>
            <w:r w:rsidR="008C17E9">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8C17E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C17E9">
              <w:rPr>
                <w:rFonts w:ascii="Helvetica" w:hAnsi="Helvetica"/>
                <w:b/>
                <w:sz w:val="18"/>
              </w:rPr>
            </w:r>
            <w:r w:rsidR="008C17E9">
              <w:rPr>
                <w:rFonts w:ascii="Helvetica" w:hAnsi="Helvetica"/>
                <w:b/>
                <w:sz w:val="18"/>
              </w:rPr>
              <w:fldChar w:fldCharType="separate"/>
            </w:r>
            <w:r>
              <w:rPr>
                <w:rFonts w:ascii="Helvetica" w:hAnsi="Helvetica"/>
                <w:b/>
                <w:noProof/>
                <w:sz w:val="18"/>
              </w:rPr>
              <w:t> </w:t>
            </w:r>
            <w:r w:rsidR="008C17E9">
              <w:rPr>
                <w:rFonts w:ascii="Helvetica" w:hAnsi="Helvetica"/>
                <w:b/>
                <w:sz w:val="18"/>
              </w:rPr>
              <w:fldChar w:fldCharType="end"/>
            </w:r>
            <w:r>
              <w:rPr>
                <w:rFonts w:ascii="Helvetica" w:hAnsi="Helvetica"/>
                <w:b/>
                <w:sz w:val="18"/>
              </w:rPr>
              <w:tab/>
            </w:r>
            <w:r>
              <w:rPr>
                <w:rFonts w:ascii="Helvetica" w:hAnsi="Helvetica"/>
                <w:sz w:val="16"/>
              </w:rPr>
              <w:t>Federal Government</w:t>
            </w:r>
          </w:p>
          <w:p w:rsidR="00C53525" w:rsidRDefault="00C53525" w:rsidP="002821F2">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8C17E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C17E9">
              <w:rPr>
                <w:rFonts w:ascii="Helvetica" w:hAnsi="Helvetica"/>
                <w:b/>
                <w:sz w:val="18"/>
              </w:rPr>
            </w:r>
            <w:r w:rsidR="008C17E9">
              <w:rPr>
                <w:rFonts w:ascii="Helvetica" w:hAnsi="Helvetica"/>
                <w:b/>
                <w:sz w:val="18"/>
              </w:rPr>
              <w:fldChar w:fldCharType="separate"/>
            </w:r>
            <w:r>
              <w:rPr>
                <w:rFonts w:ascii="Helvetica" w:hAnsi="Helvetica"/>
                <w:b/>
                <w:noProof/>
                <w:sz w:val="18"/>
              </w:rPr>
              <w:t> </w:t>
            </w:r>
            <w:r w:rsidR="008C17E9">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C53525" w:rsidRDefault="00C53525">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C53525" w:rsidRDefault="00C5352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B84937">
              <w:rPr>
                <w:rFonts w:ascii="Helvetica" w:hAnsi="Helvetica"/>
                <w:sz w:val="14"/>
              </w:rPr>
              <w:t xml:space="preserve">     </w:t>
            </w:r>
            <w:r>
              <w:rPr>
                <w:rFonts w:ascii="Helvetica" w:hAnsi="Helvetica"/>
                <w:sz w:val="16"/>
              </w:rPr>
              <w:t>Voluntary</w:t>
            </w:r>
          </w:p>
          <w:p w:rsidR="00C53525" w:rsidRDefault="00C53525">
            <w:pPr>
              <w:tabs>
                <w:tab w:val="left" w:pos="492"/>
                <w:tab w:val="left" w:pos="2520"/>
              </w:tabs>
              <w:ind w:left="120"/>
              <w:rPr>
                <w:rFonts w:ascii="Helvetica" w:hAnsi="Helvetica"/>
                <w:sz w:val="16"/>
              </w:rPr>
            </w:pPr>
            <w:r>
              <w:rPr>
                <w:rFonts w:ascii="Helvetica" w:hAnsi="Helvetica"/>
                <w:sz w:val="16"/>
              </w:rPr>
              <w:t>b.</w:t>
            </w:r>
            <w:r>
              <w:rPr>
                <w:rFonts w:ascii="Helvetica" w:hAnsi="Helvetica"/>
                <w:sz w:val="14"/>
              </w:rPr>
              <w:t xml:space="preserve"> </w:t>
            </w:r>
            <w:r w:rsidR="008C17E9">
              <w:rPr>
                <w:rFonts w:ascii="Helvetica" w:hAnsi="Helvetica"/>
                <w:b/>
                <w:sz w:val="18"/>
              </w:rPr>
              <w:fldChar w:fldCharType="begin">
                <w:ffData>
                  <w:name w:val="Text27"/>
                  <w:enabled/>
                  <w:calcOnExit w:val="0"/>
                  <w:textInput>
                    <w:default w:val="P"/>
                    <w:maxLength w:val="1"/>
                  </w:textInput>
                </w:ffData>
              </w:fldChar>
            </w:r>
            <w:r>
              <w:rPr>
                <w:rFonts w:ascii="Helvetica" w:hAnsi="Helvetica"/>
                <w:b/>
                <w:sz w:val="18"/>
              </w:rPr>
              <w:instrText xml:space="preserve"> FORMTEXT </w:instrText>
            </w:r>
            <w:r w:rsidR="008C17E9">
              <w:rPr>
                <w:rFonts w:ascii="Helvetica" w:hAnsi="Helvetica"/>
                <w:b/>
                <w:sz w:val="18"/>
              </w:rPr>
            </w:r>
            <w:r w:rsidR="008C17E9">
              <w:rPr>
                <w:rFonts w:ascii="Helvetica" w:hAnsi="Helvetica"/>
                <w:b/>
                <w:sz w:val="18"/>
              </w:rPr>
              <w:fldChar w:fldCharType="separate"/>
            </w:r>
            <w:r>
              <w:rPr>
                <w:rFonts w:ascii="Helvetica" w:hAnsi="Helvetica"/>
                <w:b/>
                <w:noProof/>
                <w:sz w:val="18"/>
              </w:rPr>
              <w:t>P</w:t>
            </w:r>
            <w:r w:rsidR="008C17E9">
              <w:rPr>
                <w:rFonts w:ascii="Helvetica" w:hAnsi="Helvetica"/>
                <w:b/>
                <w:sz w:val="18"/>
              </w:rPr>
              <w:fldChar w:fldCharType="end"/>
            </w:r>
            <w:r>
              <w:rPr>
                <w:rFonts w:ascii="Helvetica" w:hAnsi="Helvetica"/>
                <w:sz w:val="16"/>
              </w:rPr>
              <w:tab/>
              <w:t>Required to obtain or retain benefits</w:t>
            </w:r>
          </w:p>
          <w:p w:rsidR="00C53525" w:rsidRDefault="00C53525" w:rsidP="002821F2">
            <w:pPr>
              <w:tabs>
                <w:tab w:val="left" w:pos="492"/>
              </w:tabs>
              <w:spacing w:after="60"/>
              <w:ind w:left="120"/>
              <w:rPr>
                <w:rFonts w:ascii="Helvetica" w:hAnsi="Helvetica"/>
                <w:sz w:val="16"/>
              </w:rPr>
            </w:pPr>
            <w:r>
              <w:rPr>
                <w:rFonts w:ascii="Helvetica" w:hAnsi="Helvetica"/>
                <w:sz w:val="16"/>
              </w:rPr>
              <w:t xml:space="preserve">c. </w:t>
            </w:r>
            <w:r>
              <w:rPr>
                <w:rFonts w:ascii="Helvetica" w:hAnsi="Helvetica"/>
                <w:sz w:val="16"/>
              </w:rPr>
              <w:tab/>
              <w:t>Mandatory</w:t>
            </w:r>
          </w:p>
        </w:tc>
      </w:tr>
      <w:tr w:rsidR="00C53525">
        <w:trPr>
          <w:trHeight w:val="2146"/>
        </w:trPr>
        <w:tc>
          <w:tcPr>
            <w:tcW w:w="5628" w:type="dxa"/>
            <w:gridSpan w:val="2"/>
            <w:tcBorders>
              <w:top w:val="single" w:sz="6" w:space="0" w:color="auto"/>
              <w:right w:val="single" w:sz="6" w:space="0" w:color="auto"/>
            </w:tcBorders>
          </w:tcPr>
          <w:p w:rsidR="00C53525" w:rsidRDefault="00C53525">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2821F2">
              <w:rPr>
                <w:rFonts w:ascii="Helvetica" w:hAnsi="Helvetica"/>
                <w:sz w:val="16"/>
              </w:rPr>
              <w:t>800</w:t>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2821F2">
              <w:rPr>
                <w:rFonts w:ascii="Helvetica" w:hAnsi="Helvetica"/>
                <w:sz w:val="16"/>
              </w:rPr>
              <w:t>800</w:t>
            </w:r>
          </w:p>
          <w:p w:rsidR="00C53525" w:rsidRDefault="002821F2"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 xml:space="preserve">   </w:t>
            </w:r>
            <w:r w:rsidR="004F4A85">
              <w:rPr>
                <w:rFonts w:ascii="Helvetica" w:hAnsi="Helvetica"/>
                <w:sz w:val="16"/>
              </w:rPr>
              <w:t xml:space="preserve">   </w:t>
            </w:r>
            <w:r>
              <w:rPr>
                <w:rFonts w:ascii="Helvetica" w:hAnsi="Helvetica"/>
                <w:sz w:val="16"/>
              </w:rPr>
              <w:t xml:space="preserve"> </w:t>
            </w:r>
            <w:r w:rsidR="00C53525">
              <w:rPr>
                <w:rFonts w:ascii="Helvetica" w:hAnsi="Helvetica"/>
                <w:sz w:val="16"/>
              </w:rPr>
              <w:t xml:space="preserve">Percentage of these responses collected electronically </w:t>
            </w:r>
            <w:r w:rsidR="00C53525">
              <w:rPr>
                <w:rFonts w:ascii="Helvetica" w:hAnsi="Helvetica"/>
                <w:sz w:val="16"/>
              </w:rPr>
              <w:tab/>
            </w:r>
            <w:r>
              <w:rPr>
                <w:rFonts w:ascii="Helvetica" w:hAnsi="Helvetica"/>
                <w:sz w:val="16"/>
              </w:rPr>
              <w:t>100</w:t>
            </w:r>
            <w:r w:rsidR="005B0018">
              <w:rPr>
                <w:rFonts w:ascii="Helvetica" w:hAnsi="Helvetica"/>
                <w:sz w:val="16"/>
              </w:rPr>
              <w:t>%</w:t>
            </w:r>
          </w:p>
          <w:p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 xml:space="preserve">c. </w:t>
            </w:r>
            <w:r w:rsidR="005B0018">
              <w:rPr>
                <w:rFonts w:ascii="Helvetica" w:hAnsi="Helvetica"/>
                <w:sz w:val="16"/>
              </w:rPr>
              <w:t xml:space="preserve">  </w:t>
            </w:r>
            <w:r w:rsidR="002821F2">
              <w:rPr>
                <w:rFonts w:ascii="Helvetica" w:hAnsi="Helvetica"/>
                <w:sz w:val="16"/>
              </w:rPr>
              <w:t xml:space="preserve">  </w:t>
            </w:r>
            <w:r w:rsidR="004F4A85">
              <w:rPr>
                <w:rFonts w:ascii="Helvetica" w:hAnsi="Helvetica"/>
                <w:sz w:val="16"/>
              </w:rPr>
              <w:t>c.</w:t>
            </w:r>
            <w:r w:rsidR="002821F2">
              <w:rPr>
                <w:rFonts w:ascii="Helvetica" w:hAnsi="Helvetica"/>
                <w:sz w:val="16"/>
              </w:rPr>
              <w:t xml:space="preserve"> </w:t>
            </w:r>
            <w:r>
              <w:rPr>
                <w:rFonts w:ascii="Helvetica" w:hAnsi="Helvetica"/>
                <w:sz w:val="16"/>
              </w:rPr>
              <w:t>Total annual hours requested</w:t>
            </w:r>
            <w:r>
              <w:rPr>
                <w:rFonts w:ascii="Helvetica" w:hAnsi="Helvetica"/>
                <w:sz w:val="16"/>
              </w:rPr>
              <w:tab/>
            </w:r>
            <w:r w:rsidR="002821F2">
              <w:rPr>
                <w:rFonts w:ascii="Helvetica" w:hAnsi="Helvetica"/>
                <w:sz w:val="16"/>
              </w:rPr>
              <w:t>800</w:t>
            </w:r>
          </w:p>
          <w:p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 xml:space="preserve">d. </w:t>
            </w:r>
            <w:r w:rsidR="005B0018">
              <w:rPr>
                <w:rFonts w:ascii="Helvetica" w:hAnsi="Helvetica"/>
                <w:sz w:val="16"/>
              </w:rPr>
              <w:t xml:space="preserve">    </w:t>
            </w:r>
            <w:r w:rsidR="004F4A85">
              <w:rPr>
                <w:rFonts w:ascii="Helvetica" w:hAnsi="Helvetica"/>
                <w:sz w:val="16"/>
              </w:rPr>
              <w:t xml:space="preserve">d. </w:t>
            </w:r>
            <w:r>
              <w:rPr>
                <w:rFonts w:ascii="Helvetica" w:hAnsi="Helvetica"/>
                <w:sz w:val="16"/>
              </w:rPr>
              <w:t>Current OMB inventory</w:t>
            </w:r>
            <w:r>
              <w:rPr>
                <w:rFonts w:ascii="Helvetica" w:hAnsi="Helvetica"/>
                <w:sz w:val="16"/>
              </w:rPr>
              <w:tab/>
            </w:r>
            <w:r w:rsidR="005B0018">
              <w:rPr>
                <w:rFonts w:ascii="Helvetica" w:hAnsi="Helvetica"/>
                <w:sz w:val="16"/>
              </w:rPr>
              <w:t>800</w:t>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5B0018">
              <w:rPr>
                <w:rFonts w:ascii="Helvetica" w:hAnsi="Helvetica"/>
                <w:sz w:val="16"/>
              </w:rPr>
              <w:t>-0-</w:t>
            </w:r>
          </w:p>
          <w:p w:rsidR="00C53525" w:rsidRDefault="00C53525" w:rsidP="00E73E85">
            <w:pPr>
              <w:numPr>
                <w:ilvl w:val="12"/>
                <w:numId w:val="0"/>
              </w:numPr>
              <w:shd w:val="clear" w:color="auto" w:fill="FFFFFF"/>
              <w:tabs>
                <w:tab w:val="left" w:pos="240"/>
                <w:tab w:val="right" w:pos="4800"/>
              </w:tabs>
              <w:ind w:left="120" w:hanging="360"/>
              <w:rPr>
                <w:rFonts w:ascii="Helvetica" w:hAnsi="Helvetica"/>
                <w:sz w:val="16"/>
              </w:rPr>
            </w:pPr>
            <w:proofErr w:type="gramStart"/>
            <w:r>
              <w:rPr>
                <w:rFonts w:ascii="Helvetica" w:hAnsi="Helvetica"/>
                <w:sz w:val="16"/>
              </w:rPr>
              <w:t>f</w:t>
            </w:r>
            <w:proofErr w:type="gramEnd"/>
            <w:r>
              <w:rPr>
                <w:rFonts w:ascii="Helvetica" w:hAnsi="Helvetica"/>
                <w:sz w:val="16"/>
              </w:rPr>
              <w:t xml:space="preserve">. </w:t>
            </w:r>
            <w:r w:rsidR="00B41FFB">
              <w:rPr>
                <w:rFonts w:ascii="Helvetica" w:hAnsi="Helvetica"/>
                <w:sz w:val="16"/>
              </w:rPr>
              <w:t xml:space="preserve">     </w:t>
            </w:r>
            <w:r w:rsidR="004F4A85">
              <w:rPr>
                <w:rFonts w:ascii="Helvetica" w:hAnsi="Helvetica"/>
                <w:sz w:val="16"/>
              </w:rPr>
              <w:t>f.</w:t>
            </w:r>
            <w:r w:rsidR="00B41FFB">
              <w:rPr>
                <w:rFonts w:ascii="Helvetica" w:hAnsi="Helvetica"/>
                <w:sz w:val="16"/>
              </w:rPr>
              <w:t xml:space="preserve">  </w:t>
            </w:r>
            <w:r>
              <w:rPr>
                <w:rFonts w:ascii="Helvetica" w:hAnsi="Helvetica"/>
                <w:sz w:val="16"/>
              </w:rPr>
              <w:t>Explanation of difference:</w:t>
            </w:r>
          </w:p>
          <w:p w:rsidR="00C53525" w:rsidRDefault="00B41FFB"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 xml:space="preserve">   </w:t>
            </w:r>
            <w:r w:rsidR="00C53525">
              <w:rPr>
                <w:rFonts w:ascii="Helvetica" w:hAnsi="Helvetica"/>
                <w:sz w:val="16"/>
              </w:rPr>
              <w:t>1. Program change:</w:t>
            </w:r>
            <w:r w:rsidR="00C53525">
              <w:rPr>
                <w:rFonts w:ascii="Helvetica" w:hAnsi="Helvetica"/>
                <w:sz w:val="16"/>
              </w:rPr>
              <w:tab/>
            </w:r>
            <w:r>
              <w:rPr>
                <w:rFonts w:ascii="Helvetica" w:hAnsi="Helvetica"/>
                <w:sz w:val="16"/>
              </w:rPr>
              <w:t xml:space="preserve"> </w:t>
            </w:r>
          </w:p>
          <w:p w:rsidR="00C53525" w:rsidRDefault="00B41FFB" w:rsidP="00E73E85">
            <w:pPr>
              <w:numPr>
                <w:ilvl w:val="12"/>
                <w:numId w:val="0"/>
              </w:numPr>
              <w:shd w:val="clear" w:color="auto" w:fill="FFFFFF"/>
              <w:tabs>
                <w:tab w:val="left" w:pos="240"/>
                <w:tab w:val="right" w:pos="5040"/>
              </w:tabs>
              <w:spacing w:after="60"/>
              <w:ind w:left="360" w:hanging="360"/>
              <w:rPr>
                <w:rFonts w:ascii="Helvetica" w:hAnsi="Helvetica"/>
                <w:sz w:val="16"/>
              </w:rPr>
            </w:pPr>
            <w:r>
              <w:rPr>
                <w:rFonts w:ascii="Helvetica" w:hAnsi="Helvetica"/>
                <w:sz w:val="16"/>
              </w:rPr>
              <w:t xml:space="preserve">    </w:t>
            </w:r>
            <w:r w:rsidR="00C53525">
              <w:rPr>
                <w:rFonts w:ascii="Helvetica" w:hAnsi="Helvetica"/>
                <w:sz w:val="16"/>
              </w:rPr>
              <w:t>2. Adjustment:</w:t>
            </w:r>
            <w:r w:rsidR="001F365B">
              <w:rPr>
                <w:rFonts w:ascii="Helvetica" w:hAnsi="Helvetica"/>
                <w:sz w:val="16"/>
              </w:rPr>
              <w:t xml:space="preserve">                                                                               </w:t>
            </w:r>
          </w:p>
        </w:tc>
        <w:tc>
          <w:tcPr>
            <w:tcW w:w="5388" w:type="dxa"/>
            <w:tcBorders>
              <w:top w:val="single" w:sz="6" w:space="0" w:color="auto"/>
              <w:left w:val="nil"/>
            </w:tcBorders>
          </w:tcPr>
          <w:p w:rsidR="00C53525" w:rsidRDefault="00C53525">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C53525" w:rsidRDefault="00C53525">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C53525" w:rsidRDefault="00C53525">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C53525" w:rsidRDefault="00C53525">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C53525" w:rsidRDefault="00C53525">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rsidR="00C53525" w:rsidRDefault="00C53525">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rsidR="00C53525" w:rsidRDefault="00C53525">
            <w:pPr>
              <w:tabs>
                <w:tab w:val="left" w:pos="240"/>
                <w:tab w:val="right" w:pos="4800"/>
              </w:tabs>
              <w:ind w:left="132"/>
              <w:rPr>
                <w:rFonts w:ascii="Helvetica" w:hAnsi="Helvetica"/>
                <w:sz w:val="16"/>
              </w:rPr>
            </w:pPr>
            <w:r>
              <w:rPr>
                <w:rFonts w:ascii="Helvetica" w:hAnsi="Helvetica"/>
                <w:sz w:val="16"/>
              </w:rPr>
              <w:t>f. Explanation of difference:</w:t>
            </w:r>
          </w:p>
          <w:p w:rsidR="00C53525" w:rsidRDefault="004F4A85">
            <w:pPr>
              <w:numPr>
                <w:ilvl w:val="12"/>
                <w:numId w:val="0"/>
              </w:numPr>
              <w:tabs>
                <w:tab w:val="left" w:pos="240"/>
                <w:tab w:val="right" w:pos="4800"/>
              </w:tabs>
              <w:ind w:left="360" w:hanging="360"/>
              <w:rPr>
                <w:rFonts w:ascii="Helvetica" w:hAnsi="Helvetica"/>
                <w:sz w:val="16"/>
              </w:rPr>
            </w:pPr>
            <w:r>
              <w:rPr>
                <w:rFonts w:ascii="Helvetica" w:hAnsi="Helvetica"/>
                <w:sz w:val="16"/>
              </w:rPr>
              <w:t xml:space="preserve">    </w:t>
            </w:r>
            <w:r w:rsidR="00C53525">
              <w:rPr>
                <w:rFonts w:ascii="Helvetica" w:hAnsi="Helvetica"/>
                <w:sz w:val="16"/>
              </w:rPr>
              <w:t>1. Program change:</w:t>
            </w:r>
            <w:r w:rsidR="00C53525">
              <w:rPr>
                <w:rFonts w:ascii="Helvetica" w:hAnsi="Helvetica"/>
                <w:sz w:val="16"/>
              </w:rPr>
              <w:tab/>
            </w:r>
            <w:r w:rsidR="008C17E9">
              <w:rPr>
                <w:rFonts w:ascii="Helvetica" w:hAnsi="Helvetica"/>
                <w:sz w:val="18"/>
              </w:rPr>
              <w:fldChar w:fldCharType="begin">
                <w:ffData>
                  <w:name w:val=""/>
                  <w:enabled/>
                  <w:calcOnExit w:val="0"/>
                  <w:textInput/>
                </w:ffData>
              </w:fldChar>
            </w:r>
            <w:r w:rsidR="00C53525">
              <w:rPr>
                <w:rFonts w:ascii="Helvetica" w:hAnsi="Helvetica"/>
                <w:sz w:val="18"/>
              </w:rPr>
              <w:instrText xml:space="preserve"> FORMTEXT </w:instrText>
            </w:r>
            <w:r w:rsidR="008C17E9">
              <w:rPr>
                <w:rFonts w:ascii="Helvetica" w:hAnsi="Helvetica"/>
                <w:sz w:val="18"/>
              </w:rPr>
            </w:r>
            <w:r w:rsidR="008C17E9">
              <w:rPr>
                <w:rFonts w:ascii="Helvetica" w:hAnsi="Helvetica"/>
                <w:sz w:val="18"/>
              </w:rPr>
              <w:fldChar w:fldCharType="separate"/>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8C17E9">
              <w:rPr>
                <w:rFonts w:ascii="Helvetica" w:hAnsi="Helvetica"/>
                <w:sz w:val="18"/>
              </w:rPr>
              <w:fldChar w:fldCharType="end"/>
            </w:r>
          </w:p>
          <w:p w:rsidR="00C53525" w:rsidRDefault="004F4A85">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 xml:space="preserve">    </w:t>
            </w:r>
            <w:r w:rsidR="00C53525">
              <w:rPr>
                <w:rFonts w:ascii="Helvetica" w:hAnsi="Helvetica"/>
                <w:sz w:val="16"/>
              </w:rPr>
              <w:t>2. Adjustment:</w:t>
            </w:r>
            <w:r w:rsidR="00C53525">
              <w:rPr>
                <w:rFonts w:ascii="Helvetica" w:hAnsi="Helvetica"/>
                <w:sz w:val="16"/>
              </w:rPr>
              <w:tab/>
            </w:r>
            <w:r w:rsidR="008C17E9">
              <w:rPr>
                <w:rFonts w:ascii="Helvetica" w:hAnsi="Helvetica"/>
                <w:sz w:val="18"/>
              </w:rPr>
              <w:fldChar w:fldCharType="begin">
                <w:ffData>
                  <w:name w:val="Text16"/>
                  <w:enabled/>
                  <w:calcOnExit w:val="0"/>
                  <w:textInput/>
                </w:ffData>
              </w:fldChar>
            </w:r>
            <w:r w:rsidR="00C53525">
              <w:rPr>
                <w:rFonts w:ascii="Helvetica" w:hAnsi="Helvetica"/>
                <w:sz w:val="18"/>
              </w:rPr>
              <w:instrText xml:space="preserve"> FORMTEXT </w:instrText>
            </w:r>
            <w:r w:rsidR="008C17E9">
              <w:rPr>
                <w:rFonts w:ascii="Helvetica" w:hAnsi="Helvetica"/>
                <w:sz w:val="18"/>
              </w:rPr>
            </w:r>
            <w:r w:rsidR="008C17E9">
              <w:rPr>
                <w:rFonts w:ascii="Helvetica" w:hAnsi="Helvetica"/>
                <w:sz w:val="18"/>
              </w:rPr>
              <w:fldChar w:fldCharType="separate"/>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8C17E9">
              <w:rPr>
                <w:rFonts w:ascii="Helvetica" w:hAnsi="Helvetica"/>
                <w:sz w:val="18"/>
              </w:rPr>
              <w:fldChar w:fldCharType="end"/>
            </w:r>
          </w:p>
        </w:tc>
      </w:tr>
      <w:tr w:rsidR="00C53525">
        <w:trPr>
          <w:trHeight w:val="1474"/>
        </w:trPr>
        <w:tc>
          <w:tcPr>
            <w:tcW w:w="5628" w:type="dxa"/>
            <w:gridSpan w:val="2"/>
            <w:tcBorders>
              <w:top w:val="single" w:sz="6" w:space="0" w:color="auto"/>
              <w:right w:val="single" w:sz="6" w:space="0" w:color="auto"/>
            </w:tcBorders>
          </w:tcPr>
          <w:p w:rsidR="00C53525" w:rsidRDefault="00C53525">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C53525" w:rsidRDefault="00C53525">
            <w:pPr>
              <w:tabs>
                <w:tab w:val="left" w:pos="480"/>
                <w:tab w:val="left" w:pos="2520"/>
                <w:tab w:val="left" w:pos="2880"/>
              </w:tabs>
              <w:ind w:left="120"/>
              <w:rPr>
                <w:rFonts w:ascii="Helvetica" w:hAnsi="Helvetica"/>
                <w:sz w:val="16"/>
              </w:rPr>
            </w:pPr>
            <w:r>
              <w:rPr>
                <w:rFonts w:ascii="Helvetica" w:hAnsi="Helvetica"/>
                <w:sz w:val="16"/>
              </w:rPr>
              <w:t>a</w:t>
            </w:r>
            <w:r w:rsidRPr="00B41FFB">
              <w:rPr>
                <w:rFonts w:ascii="Helvetica" w:hAnsi="Helvetica"/>
                <w:b/>
                <w:sz w:val="18"/>
                <w:szCs w:val="18"/>
              </w:rPr>
              <w:t>.</w:t>
            </w:r>
            <w:r w:rsidR="005B0018" w:rsidRPr="00B41FFB">
              <w:rPr>
                <w:rFonts w:ascii="Helvetica" w:hAnsi="Helvetica"/>
                <w:b/>
                <w:sz w:val="18"/>
                <w:szCs w:val="18"/>
              </w:rPr>
              <w:t xml:space="preserve">  </w:t>
            </w:r>
            <w:r w:rsidR="005B0018" w:rsidRPr="005F7145">
              <w:rPr>
                <w:rFonts w:ascii="Helvetica" w:hAnsi="Helvetica"/>
                <w:b/>
                <w:sz w:val="18"/>
                <w:szCs w:val="18"/>
                <w:highlight w:val="lightGray"/>
              </w:rPr>
              <w:t>X</w:t>
            </w:r>
            <w:r w:rsidR="005B0018">
              <w:rPr>
                <w:rFonts w:ascii="Helvetica" w:hAnsi="Helvetica"/>
                <w:sz w:val="16"/>
              </w:rPr>
              <w:t xml:space="preserve"> </w:t>
            </w:r>
            <w:r>
              <w:rPr>
                <w:rFonts w:ascii="Helvetica" w:hAnsi="Helvetica"/>
                <w:sz w:val="16"/>
              </w:rPr>
              <w:t>Application for benefits</w:t>
            </w:r>
            <w:r>
              <w:rPr>
                <w:rFonts w:ascii="Helvetica" w:hAnsi="Helvetica"/>
                <w:sz w:val="16"/>
              </w:rPr>
              <w:tab/>
              <w:t>e.</w:t>
            </w:r>
            <w:r w:rsidR="00346D13">
              <w:rPr>
                <w:rFonts w:ascii="Helvetica" w:hAnsi="Helvetica"/>
                <w:sz w:val="16"/>
              </w:rPr>
              <w:t xml:space="preserve"> </w:t>
            </w:r>
            <w:r w:rsidR="008C17E9">
              <w:rPr>
                <w:rFonts w:ascii="Helvetica" w:hAnsi="Helvetica"/>
                <w:b/>
                <w:sz w:val="18"/>
              </w:rPr>
              <w:fldChar w:fldCharType="begin">
                <w:ffData>
                  <w:name w:val="Text17"/>
                  <w:enabled/>
                  <w:calcOnExit w:val="0"/>
                  <w:textInput>
                    <w:maxLength w:val="1"/>
                  </w:textInput>
                </w:ffData>
              </w:fldChar>
            </w:r>
            <w:r w:rsidR="00346D13">
              <w:rPr>
                <w:rFonts w:ascii="Helvetica" w:hAnsi="Helvetica"/>
                <w:b/>
                <w:sz w:val="18"/>
              </w:rPr>
              <w:instrText xml:space="preserve"> FORMTEXT </w:instrText>
            </w:r>
            <w:r w:rsidR="008C17E9">
              <w:rPr>
                <w:rFonts w:ascii="Helvetica" w:hAnsi="Helvetica"/>
                <w:b/>
                <w:sz w:val="18"/>
              </w:rPr>
            </w:r>
            <w:r w:rsidR="008C17E9">
              <w:rPr>
                <w:rFonts w:ascii="Helvetica" w:hAnsi="Helvetica"/>
                <w:b/>
                <w:sz w:val="18"/>
              </w:rPr>
              <w:fldChar w:fldCharType="separate"/>
            </w:r>
            <w:r w:rsidR="00346D13">
              <w:rPr>
                <w:rFonts w:ascii="Helvetica" w:hAnsi="Helvetica"/>
                <w:b/>
                <w:noProof/>
                <w:sz w:val="18"/>
              </w:rPr>
              <w:t> </w:t>
            </w:r>
            <w:r w:rsidR="008C17E9">
              <w:rPr>
                <w:rFonts w:ascii="Helvetica" w:hAnsi="Helvetica"/>
                <w:b/>
                <w:sz w:val="18"/>
              </w:rPr>
              <w:fldChar w:fldCharType="end"/>
            </w:r>
            <w:r>
              <w:rPr>
                <w:rFonts w:ascii="Helvetica" w:hAnsi="Helvetica"/>
                <w:sz w:val="16"/>
              </w:rPr>
              <w:t>Program planning or management</w:t>
            </w:r>
          </w:p>
          <w:p w:rsidR="00C53525" w:rsidRDefault="00C53525">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8C17E9">
              <w:rPr>
                <w:rFonts w:ascii="Helvetica" w:hAnsi="Helvetica"/>
                <w:b/>
                <w:sz w:val="18"/>
              </w:rPr>
              <w:fldChar w:fldCharType="begin">
                <w:ffData>
                  <w:name w:val="Text17"/>
                  <w:enabled/>
                  <w:calcOnExit w:val="0"/>
                  <w:textInput>
                    <w:maxLength w:val="1"/>
                  </w:textInput>
                </w:ffData>
              </w:fldChar>
            </w:r>
            <w:r w:rsidR="00346D13">
              <w:rPr>
                <w:rFonts w:ascii="Helvetica" w:hAnsi="Helvetica"/>
                <w:b/>
                <w:sz w:val="18"/>
              </w:rPr>
              <w:instrText xml:space="preserve"> FORMTEXT </w:instrText>
            </w:r>
            <w:r w:rsidR="008C17E9">
              <w:rPr>
                <w:rFonts w:ascii="Helvetica" w:hAnsi="Helvetica"/>
                <w:b/>
                <w:sz w:val="18"/>
              </w:rPr>
            </w:r>
            <w:r w:rsidR="008C17E9">
              <w:rPr>
                <w:rFonts w:ascii="Helvetica" w:hAnsi="Helvetica"/>
                <w:b/>
                <w:sz w:val="18"/>
              </w:rPr>
              <w:fldChar w:fldCharType="separate"/>
            </w:r>
            <w:r w:rsidR="00346D13">
              <w:rPr>
                <w:rFonts w:ascii="Helvetica" w:hAnsi="Helvetica"/>
                <w:b/>
                <w:noProof/>
                <w:sz w:val="18"/>
              </w:rPr>
              <w:t> </w:t>
            </w:r>
            <w:r w:rsidR="008C17E9">
              <w:rPr>
                <w:rFonts w:ascii="Helvetica" w:hAnsi="Helvetica"/>
                <w:b/>
                <w:sz w:val="18"/>
              </w:rPr>
              <w:fldChar w:fldCharType="end"/>
            </w:r>
            <w:r>
              <w:rPr>
                <w:rFonts w:ascii="Helvetica" w:hAnsi="Helvetica"/>
                <w:sz w:val="16"/>
              </w:rPr>
              <w:t>Program evaluation</w:t>
            </w:r>
            <w:r>
              <w:rPr>
                <w:rFonts w:ascii="Helvetica" w:hAnsi="Helvetica"/>
                <w:sz w:val="16"/>
              </w:rPr>
              <w:tab/>
              <w:t xml:space="preserve">f.  </w:t>
            </w:r>
            <w:r w:rsidR="008C17E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C17E9">
              <w:rPr>
                <w:rFonts w:ascii="Helvetica" w:hAnsi="Helvetica"/>
                <w:b/>
                <w:sz w:val="18"/>
              </w:rPr>
            </w:r>
            <w:r w:rsidR="008C17E9">
              <w:rPr>
                <w:rFonts w:ascii="Helvetica" w:hAnsi="Helvetica"/>
                <w:b/>
                <w:sz w:val="18"/>
              </w:rPr>
              <w:fldChar w:fldCharType="separate"/>
            </w:r>
            <w:r>
              <w:rPr>
                <w:rFonts w:ascii="Helvetica" w:hAnsi="Helvetica"/>
                <w:b/>
                <w:noProof/>
                <w:sz w:val="18"/>
              </w:rPr>
              <w:t> </w:t>
            </w:r>
            <w:r w:rsidR="008C17E9">
              <w:rPr>
                <w:rFonts w:ascii="Helvetica" w:hAnsi="Helvetica"/>
                <w:b/>
                <w:sz w:val="18"/>
              </w:rPr>
              <w:fldChar w:fldCharType="end"/>
            </w:r>
            <w:r>
              <w:rPr>
                <w:rFonts w:ascii="Helvetica" w:hAnsi="Helvetica"/>
                <w:sz w:val="16"/>
              </w:rPr>
              <w:t>Research</w:t>
            </w:r>
          </w:p>
          <w:p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c. </w:t>
            </w:r>
            <w:r w:rsidR="008C17E9">
              <w:rPr>
                <w:rFonts w:ascii="Helvetica" w:hAnsi="Helvetica"/>
                <w:b/>
                <w:sz w:val="18"/>
              </w:rPr>
              <w:fldChar w:fldCharType="begin">
                <w:ffData>
                  <w:name w:val=""/>
                  <w:enabled/>
                  <w:calcOnExit w:val="0"/>
                  <w:textInput>
                    <w:maxLength w:val="1"/>
                  </w:textInput>
                </w:ffData>
              </w:fldChar>
            </w:r>
            <w:r>
              <w:rPr>
                <w:rFonts w:ascii="Helvetica" w:hAnsi="Helvetica"/>
                <w:b/>
                <w:sz w:val="18"/>
              </w:rPr>
              <w:instrText xml:space="preserve"> FORMTEXT </w:instrText>
            </w:r>
            <w:r w:rsidR="008C17E9">
              <w:rPr>
                <w:rFonts w:ascii="Helvetica" w:hAnsi="Helvetica"/>
                <w:b/>
                <w:sz w:val="18"/>
              </w:rPr>
            </w:r>
            <w:r w:rsidR="008C17E9">
              <w:rPr>
                <w:rFonts w:ascii="Helvetica" w:hAnsi="Helvetica"/>
                <w:b/>
                <w:sz w:val="18"/>
              </w:rPr>
              <w:fldChar w:fldCharType="separate"/>
            </w:r>
            <w:r>
              <w:rPr>
                <w:rFonts w:ascii="Helvetica" w:hAnsi="Helvetica"/>
                <w:b/>
                <w:noProof/>
                <w:sz w:val="18"/>
              </w:rPr>
              <w:t> </w:t>
            </w:r>
            <w:r w:rsidR="008C17E9">
              <w:rPr>
                <w:rFonts w:ascii="Helvetica" w:hAnsi="Helvetica"/>
                <w:b/>
                <w:sz w:val="18"/>
              </w:rPr>
              <w:fldChar w:fldCharType="end"/>
            </w:r>
            <w:r>
              <w:rPr>
                <w:rFonts w:ascii="Helvetica" w:hAnsi="Helvetica"/>
                <w:sz w:val="16"/>
              </w:rPr>
              <w:t>General purpose statistics</w:t>
            </w:r>
            <w:r>
              <w:rPr>
                <w:rFonts w:ascii="Helvetica" w:hAnsi="Helvetica"/>
                <w:sz w:val="16"/>
              </w:rPr>
              <w:tab/>
              <w:t>g.</w:t>
            </w:r>
            <w:r w:rsidR="00346D13">
              <w:rPr>
                <w:rFonts w:ascii="Helvetica" w:hAnsi="Helvetica"/>
                <w:sz w:val="16"/>
              </w:rPr>
              <w:t xml:space="preserve"> </w:t>
            </w:r>
            <w:r w:rsidR="008C17E9">
              <w:rPr>
                <w:rFonts w:ascii="Helvetica" w:hAnsi="Helvetica"/>
                <w:b/>
                <w:sz w:val="18"/>
              </w:rPr>
              <w:fldChar w:fldCharType="begin">
                <w:ffData>
                  <w:name w:val="Text17"/>
                  <w:enabled/>
                  <w:calcOnExit w:val="0"/>
                  <w:textInput>
                    <w:maxLength w:val="1"/>
                  </w:textInput>
                </w:ffData>
              </w:fldChar>
            </w:r>
            <w:r w:rsidR="00346D13">
              <w:rPr>
                <w:rFonts w:ascii="Helvetica" w:hAnsi="Helvetica"/>
                <w:b/>
                <w:sz w:val="18"/>
              </w:rPr>
              <w:instrText xml:space="preserve"> FORMTEXT </w:instrText>
            </w:r>
            <w:r w:rsidR="008C17E9">
              <w:rPr>
                <w:rFonts w:ascii="Helvetica" w:hAnsi="Helvetica"/>
                <w:b/>
                <w:sz w:val="18"/>
              </w:rPr>
            </w:r>
            <w:r w:rsidR="008C17E9">
              <w:rPr>
                <w:rFonts w:ascii="Helvetica" w:hAnsi="Helvetica"/>
                <w:b/>
                <w:sz w:val="18"/>
              </w:rPr>
              <w:fldChar w:fldCharType="separate"/>
            </w:r>
            <w:r w:rsidR="00346D13">
              <w:rPr>
                <w:rFonts w:ascii="Helvetica" w:hAnsi="Helvetica"/>
                <w:b/>
                <w:noProof/>
                <w:sz w:val="18"/>
              </w:rPr>
              <w:t> </w:t>
            </w:r>
            <w:r w:rsidR="008C17E9">
              <w:rPr>
                <w:rFonts w:ascii="Helvetica" w:hAnsi="Helvetica"/>
                <w:b/>
                <w:sz w:val="18"/>
              </w:rPr>
              <w:fldChar w:fldCharType="end"/>
            </w:r>
            <w:r>
              <w:rPr>
                <w:rFonts w:ascii="Helvetica" w:hAnsi="Helvetica"/>
                <w:sz w:val="16"/>
              </w:rPr>
              <w:t>Regulatory or compliance</w:t>
            </w:r>
          </w:p>
          <w:p w:rsidR="00C53525" w:rsidRDefault="00C53525" w:rsidP="00346D13">
            <w:pPr>
              <w:tabs>
                <w:tab w:val="left" w:pos="480"/>
                <w:tab w:val="left" w:pos="2880"/>
              </w:tabs>
              <w:spacing w:after="60"/>
              <w:ind w:left="120"/>
              <w:rPr>
                <w:rFonts w:ascii="Helvetica" w:hAnsi="Helvetica"/>
                <w:sz w:val="16"/>
              </w:rPr>
            </w:pPr>
            <w:r>
              <w:rPr>
                <w:rFonts w:ascii="Helvetica" w:hAnsi="Helvetica"/>
                <w:sz w:val="16"/>
              </w:rPr>
              <w:t xml:space="preserve">d. </w:t>
            </w:r>
            <w:r w:rsidR="008C17E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C17E9">
              <w:rPr>
                <w:rFonts w:ascii="Helvetica" w:hAnsi="Helvetica"/>
                <w:b/>
                <w:sz w:val="18"/>
              </w:rPr>
            </w:r>
            <w:r w:rsidR="008C17E9">
              <w:rPr>
                <w:rFonts w:ascii="Helvetica" w:hAnsi="Helvetica"/>
                <w:b/>
                <w:sz w:val="18"/>
              </w:rPr>
              <w:fldChar w:fldCharType="separate"/>
            </w:r>
            <w:r>
              <w:rPr>
                <w:rFonts w:ascii="Helvetica" w:hAnsi="Helvetica"/>
                <w:b/>
                <w:noProof/>
                <w:sz w:val="18"/>
              </w:rPr>
              <w:t> </w:t>
            </w:r>
            <w:r w:rsidR="008C17E9">
              <w:rPr>
                <w:rFonts w:ascii="Helvetica" w:hAnsi="Helvetica"/>
                <w:b/>
                <w:sz w:val="18"/>
              </w:rPr>
              <w:fldChar w:fldCharType="end"/>
            </w:r>
            <w:r>
              <w:rPr>
                <w:rFonts w:ascii="Helvetica" w:hAnsi="Helvetica"/>
                <w:sz w:val="16"/>
              </w:rPr>
              <w:t>Audit</w:t>
            </w:r>
          </w:p>
        </w:tc>
        <w:tc>
          <w:tcPr>
            <w:tcW w:w="5388" w:type="dxa"/>
            <w:tcBorders>
              <w:top w:val="single" w:sz="6" w:space="0" w:color="auto"/>
              <w:left w:val="nil"/>
            </w:tcBorders>
          </w:tcPr>
          <w:p w:rsidR="00C53525" w:rsidRDefault="00C53525">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C53525" w:rsidRDefault="00C53525">
            <w:pPr>
              <w:tabs>
                <w:tab w:val="left" w:pos="240"/>
                <w:tab w:val="left" w:pos="1932"/>
              </w:tabs>
              <w:ind w:left="120"/>
              <w:rPr>
                <w:rFonts w:ascii="Helvetica" w:hAnsi="Helvetica"/>
                <w:sz w:val="16"/>
              </w:rPr>
            </w:pPr>
            <w:r>
              <w:rPr>
                <w:rFonts w:ascii="Helvetica" w:hAnsi="Helvetica"/>
                <w:sz w:val="16"/>
              </w:rPr>
              <w:t xml:space="preserve">a. </w:t>
            </w:r>
            <w:r w:rsidR="008C17E9">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8C17E9">
              <w:rPr>
                <w:rFonts w:ascii="Helvetica" w:hAnsi="Helvetica"/>
                <w:b/>
                <w:sz w:val="18"/>
              </w:rPr>
            </w:r>
            <w:r w:rsidR="008C17E9">
              <w:rPr>
                <w:rFonts w:ascii="Helvetica" w:hAnsi="Helvetica"/>
                <w:b/>
                <w:sz w:val="18"/>
              </w:rPr>
              <w:fldChar w:fldCharType="end"/>
            </w:r>
            <w:r>
              <w:rPr>
                <w:rFonts w:ascii="Helvetica" w:hAnsi="Helvetica"/>
                <w:sz w:val="16"/>
              </w:rPr>
              <w:t xml:space="preserve"> Recordkeeping</w:t>
            </w:r>
            <w:r>
              <w:rPr>
                <w:rFonts w:ascii="Helvetica" w:hAnsi="Helvetica"/>
                <w:sz w:val="16"/>
              </w:rPr>
              <w:tab/>
              <w:t xml:space="preserve">b. Third party disclosure </w:t>
            </w:r>
          </w:p>
          <w:p w:rsidR="00C53525" w:rsidRDefault="00C5352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8C17E9">
              <w:rPr>
                <w:rFonts w:ascii="Helvetica" w:hAnsi="Helvetica"/>
                <w:b/>
                <w:sz w:val="18"/>
              </w:rPr>
              <w:fldChar w:fldCharType="begin">
                <w:ffData>
                  <w:name w:val="Check21"/>
                  <w:enabled/>
                  <w:calcOnExit w:val="0"/>
                  <w:checkBox>
                    <w:sizeAuto/>
                    <w:default w:val="1"/>
                  </w:checkBox>
                </w:ffData>
              </w:fldChar>
            </w:r>
            <w:bookmarkStart w:id="6" w:name="Check21"/>
            <w:r>
              <w:rPr>
                <w:rFonts w:ascii="Helvetica" w:hAnsi="Helvetica"/>
                <w:b/>
                <w:sz w:val="18"/>
              </w:rPr>
              <w:instrText xml:space="preserve"> FORMCHECKBOX </w:instrText>
            </w:r>
            <w:r w:rsidR="008C17E9">
              <w:rPr>
                <w:rFonts w:ascii="Helvetica" w:hAnsi="Helvetica"/>
                <w:b/>
                <w:sz w:val="18"/>
              </w:rPr>
            </w:r>
            <w:r w:rsidR="008C17E9">
              <w:rPr>
                <w:rFonts w:ascii="Helvetica" w:hAnsi="Helvetica"/>
                <w:b/>
                <w:sz w:val="18"/>
              </w:rPr>
              <w:fldChar w:fldCharType="end"/>
            </w:r>
            <w:bookmarkEnd w:id="6"/>
            <w:r>
              <w:rPr>
                <w:rFonts w:ascii="Helvetica" w:hAnsi="Helvetica"/>
                <w:b/>
                <w:sz w:val="18"/>
              </w:rPr>
              <w:t xml:space="preserve"> </w:t>
            </w:r>
            <w:r>
              <w:rPr>
                <w:rFonts w:ascii="Helvetica" w:hAnsi="Helvetica"/>
                <w:sz w:val="16"/>
              </w:rPr>
              <w:t>Reporting:</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1. </w:t>
            </w:r>
            <w:r w:rsidR="00B41FFB" w:rsidRPr="00B41FFB">
              <w:rPr>
                <w:rFonts w:ascii="Helvetica" w:hAnsi="Helvetica"/>
                <w:b/>
                <w:sz w:val="18"/>
                <w:szCs w:val="18"/>
              </w:rPr>
              <w:t>X</w:t>
            </w:r>
            <w:r w:rsidR="00B41FFB">
              <w:rPr>
                <w:rFonts w:ascii="Helvetica" w:hAnsi="Helvetica"/>
                <w:sz w:val="16"/>
              </w:rPr>
              <w:t xml:space="preserve"> </w:t>
            </w:r>
            <w:r>
              <w:rPr>
                <w:rFonts w:ascii="Helvetica" w:hAnsi="Helvetica"/>
                <w:sz w:val="16"/>
              </w:rPr>
              <w:t>On occasion</w:t>
            </w:r>
            <w:r>
              <w:rPr>
                <w:rFonts w:ascii="Helvetica" w:hAnsi="Helvetica"/>
                <w:sz w:val="16"/>
              </w:rPr>
              <w:tab/>
              <w:t xml:space="preserve">2. </w:t>
            </w:r>
            <w:r w:rsidR="008C17E9">
              <w:rPr>
                <w:rFonts w:ascii="Helvetica" w:hAnsi="Helvetica"/>
                <w:sz w:val="16"/>
              </w:rPr>
              <w:fldChar w:fldCharType="begin">
                <w:ffData>
                  <w:name w:val="Check23"/>
                  <w:enabled/>
                  <w:calcOnExit w:val="0"/>
                  <w:checkBox>
                    <w:sizeAuto/>
                    <w:default w:val="0"/>
                  </w:checkBox>
                </w:ffData>
              </w:fldChar>
            </w:r>
            <w:bookmarkStart w:id="7" w:name="Check23"/>
            <w:r>
              <w:rPr>
                <w:rFonts w:ascii="Helvetica" w:hAnsi="Helvetica"/>
                <w:sz w:val="16"/>
              </w:rPr>
              <w:instrText xml:space="preserve"> FORMCHECKBOX </w:instrText>
            </w:r>
            <w:r w:rsidR="008C17E9">
              <w:rPr>
                <w:rFonts w:ascii="Helvetica" w:hAnsi="Helvetica"/>
                <w:sz w:val="16"/>
              </w:rPr>
            </w:r>
            <w:r w:rsidR="008C17E9">
              <w:rPr>
                <w:rFonts w:ascii="Helvetica" w:hAnsi="Helvetica"/>
                <w:sz w:val="16"/>
              </w:rPr>
              <w:fldChar w:fldCharType="end"/>
            </w:r>
            <w:bookmarkEnd w:id="7"/>
            <w:r>
              <w:rPr>
                <w:rFonts w:ascii="Helvetica" w:hAnsi="Helvetica"/>
                <w:sz w:val="16"/>
              </w:rPr>
              <w:t xml:space="preserve"> Weekly</w:t>
            </w:r>
            <w:r>
              <w:rPr>
                <w:rFonts w:ascii="Helvetica" w:hAnsi="Helvetica"/>
                <w:sz w:val="16"/>
              </w:rPr>
              <w:tab/>
              <w:t xml:space="preserve">3. </w:t>
            </w:r>
            <w:r w:rsidR="008C17E9">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8C17E9">
              <w:rPr>
                <w:rFonts w:ascii="Helvetica" w:hAnsi="Helvetica"/>
                <w:b/>
                <w:sz w:val="18"/>
              </w:rPr>
            </w:r>
            <w:r w:rsidR="008C17E9">
              <w:rPr>
                <w:rFonts w:ascii="Helvetica" w:hAnsi="Helvetica"/>
                <w:b/>
                <w:sz w:val="18"/>
              </w:rPr>
              <w:fldChar w:fldCharType="end"/>
            </w:r>
            <w:r>
              <w:rPr>
                <w:rFonts w:ascii="Helvetica" w:hAnsi="Helvetica"/>
                <w:sz w:val="16"/>
              </w:rPr>
              <w:t xml:space="preserve"> Monthly</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4. </w:t>
            </w:r>
            <w:r w:rsidR="008C17E9">
              <w:rPr>
                <w:rFonts w:ascii="Helvetica" w:hAnsi="Helvetica"/>
                <w:sz w:val="16"/>
              </w:rPr>
              <w:fldChar w:fldCharType="begin">
                <w:ffData>
                  <w:name w:val="Check22"/>
                  <w:enabled/>
                  <w:calcOnExit w:val="0"/>
                  <w:checkBox>
                    <w:sizeAuto/>
                    <w:default w:val="0"/>
                  </w:checkBox>
                </w:ffData>
              </w:fldChar>
            </w:r>
            <w:r w:rsidR="008D7CF6">
              <w:rPr>
                <w:rFonts w:ascii="Helvetica" w:hAnsi="Helvetica"/>
                <w:sz w:val="16"/>
              </w:rPr>
              <w:instrText xml:space="preserve"> FORMCHECKBOX </w:instrText>
            </w:r>
            <w:r w:rsidR="008C17E9">
              <w:rPr>
                <w:rFonts w:ascii="Helvetica" w:hAnsi="Helvetica"/>
                <w:sz w:val="16"/>
              </w:rPr>
            </w:r>
            <w:r w:rsidR="008C17E9">
              <w:rPr>
                <w:rFonts w:ascii="Helvetica" w:hAnsi="Helvetica"/>
                <w:sz w:val="16"/>
              </w:rPr>
              <w:fldChar w:fldCharType="end"/>
            </w:r>
            <w:r w:rsidR="008D7CF6">
              <w:rPr>
                <w:rFonts w:ascii="Helvetica" w:hAnsi="Helvetica"/>
                <w:sz w:val="16"/>
              </w:rPr>
              <w:t xml:space="preserve"> </w:t>
            </w:r>
            <w:r>
              <w:rPr>
                <w:rFonts w:ascii="Helvetica" w:hAnsi="Helvetica"/>
                <w:sz w:val="16"/>
              </w:rPr>
              <w:t>Quarterly</w:t>
            </w:r>
            <w:r>
              <w:rPr>
                <w:rFonts w:ascii="Helvetica" w:hAnsi="Helvetica"/>
                <w:sz w:val="16"/>
              </w:rPr>
              <w:tab/>
              <w:t xml:space="preserve">5. </w:t>
            </w:r>
            <w:r w:rsidR="008C17E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8C17E9">
              <w:rPr>
                <w:rFonts w:ascii="Helvetica" w:hAnsi="Helvetica"/>
                <w:sz w:val="16"/>
              </w:rPr>
            </w:r>
            <w:r w:rsidR="008C17E9">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8C17E9" w:rsidRPr="001E693D">
              <w:rPr>
                <w:rFonts w:ascii="Helvetica" w:hAnsi="Helvetica"/>
                <w:sz w:val="18"/>
                <w:szCs w:val="18"/>
              </w:rPr>
              <w:fldChar w:fldCharType="begin">
                <w:ffData>
                  <w:name w:val="Check22"/>
                  <w:enabled/>
                  <w:calcOnExit w:val="0"/>
                  <w:checkBox>
                    <w:sizeAuto/>
                    <w:default w:val="0"/>
                  </w:checkBox>
                </w:ffData>
              </w:fldChar>
            </w:r>
            <w:r w:rsidR="008D7CF6" w:rsidRPr="001E693D">
              <w:rPr>
                <w:rFonts w:ascii="Helvetica" w:hAnsi="Helvetica"/>
                <w:sz w:val="18"/>
                <w:szCs w:val="18"/>
              </w:rPr>
              <w:instrText xml:space="preserve"> FORMCHECKBOX </w:instrText>
            </w:r>
            <w:r w:rsidR="008C17E9" w:rsidRPr="001E693D">
              <w:rPr>
                <w:rFonts w:ascii="Helvetica" w:hAnsi="Helvetica"/>
                <w:sz w:val="18"/>
                <w:szCs w:val="18"/>
              </w:rPr>
            </w:r>
            <w:r w:rsidR="008C17E9" w:rsidRPr="001E693D">
              <w:rPr>
                <w:rFonts w:ascii="Helvetica" w:hAnsi="Helvetica"/>
                <w:sz w:val="18"/>
                <w:szCs w:val="18"/>
              </w:rPr>
              <w:fldChar w:fldCharType="end"/>
            </w:r>
            <w:r w:rsidR="008D7CF6" w:rsidRPr="001E693D">
              <w:rPr>
                <w:rFonts w:ascii="Helvetica" w:hAnsi="Helvetica"/>
                <w:sz w:val="18"/>
                <w:szCs w:val="18"/>
              </w:rPr>
              <w:t xml:space="preserve"> </w:t>
            </w:r>
            <w:r>
              <w:rPr>
                <w:rFonts w:ascii="Helvetica" w:hAnsi="Helvetica"/>
                <w:sz w:val="16"/>
              </w:rPr>
              <w:t>Annually</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7. </w:t>
            </w:r>
            <w:r w:rsidR="008C17E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8C17E9">
              <w:rPr>
                <w:rFonts w:ascii="Helvetica" w:hAnsi="Helvetica"/>
                <w:sz w:val="16"/>
              </w:rPr>
            </w:r>
            <w:r w:rsidR="008C17E9">
              <w:rPr>
                <w:rFonts w:ascii="Helvetica" w:hAnsi="Helvetica"/>
                <w:sz w:val="16"/>
              </w:rPr>
              <w:fldChar w:fldCharType="end"/>
            </w:r>
            <w:r w:rsidR="00A55E0F">
              <w:rPr>
                <w:rFonts w:ascii="Helvetica" w:hAnsi="Helvetica"/>
                <w:sz w:val="16"/>
              </w:rPr>
              <w:t xml:space="preserve"> Bia</w:t>
            </w:r>
            <w:r>
              <w:rPr>
                <w:rFonts w:ascii="Helvetica" w:hAnsi="Helvetica"/>
                <w:sz w:val="16"/>
              </w:rPr>
              <w:t>nnually</w:t>
            </w:r>
            <w:r>
              <w:rPr>
                <w:rFonts w:ascii="Helvetica" w:hAnsi="Helvetica"/>
                <w:sz w:val="16"/>
              </w:rPr>
              <w:tab/>
              <w:t xml:space="preserve">8. </w:t>
            </w:r>
            <w:r w:rsidR="008C17E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8C17E9">
              <w:rPr>
                <w:rFonts w:ascii="Helvetica" w:hAnsi="Helvetica"/>
                <w:sz w:val="16"/>
              </w:rPr>
            </w:r>
            <w:r w:rsidR="008C17E9">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8C17E9">
              <w:rPr>
                <w:rFonts w:ascii="Helvetica" w:hAnsi="Helvetica"/>
                <w:sz w:val="16"/>
              </w:rPr>
              <w:fldChar w:fldCharType="begin">
                <w:ffData>
                  <w:name w:val="Text18"/>
                  <w:enabled/>
                  <w:calcOnExit w:val="0"/>
                  <w:textInput/>
                </w:ffData>
              </w:fldChar>
            </w:r>
            <w:bookmarkStart w:id="8" w:name="Text18"/>
            <w:r>
              <w:rPr>
                <w:rFonts w:ascii="Helvetica" w:hAnsi="Helvetica"/>
                <w:sz w:val="16"/>
              </w:rPr>
              <w:instrText xml:space="preserve"> FORMTEXT </w:instrText>
            </w:r>
            <w:r w:rsidR="008C17E9">
              <w:rPr>
                <w:rFonts w:ascii="Helvetica" w:hAnsi="Helvetica"/>
                <w:sz w:val="16"/>
              </w:rPr>
            </w:r>
            <w:r w:rsidR="008C17E9">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8C17E9">
              <w:rPr>
                <w:rFonts w:ascii="Helvetica" w:hAnsi="Helvetica"/>
                <w:sz w:val="16"/>
              </w:rPr>
              <w:fldChar w:fldCharType="end"/>
            </w:r>
            <w:bookmarkEnd w:id="8"/>
          </w:p>
          <w:p w:rsidR="00C53525" w:rsidRDefault="00C53525">
            <w:pPr>
              <w:tabs>
                <w:tab w:val="left" w:pos="240"/>
              </w:tabs>
              <w:rPr>
                <w:rFonts w:ascii="Helvetica" w:hAnsi="Helvetica"/>
                <w:sz w:val="16"/>
              </w:rPr>
            </w:pPr>
          </w:p>
        </w:tc>
      </w:tr>
      <w:tr w:rsidR="00C53525">
        <w:tc>
          <w:tcPr>
            <w:tcW w:w="4908" w:type="dxa"/>
            <w:tcBorders>
              <w:top w:val="single" w:sz="6" w:space="0" w:color="auto"/>
              <w:bottom w:val="single" w:sz="6" w:space="0" w:color="auto"/>
            </w:tcBorders>
          </w:tcPr>
          <w:p w:rsidR="00C53525" w:rsidRDefault="00C53525">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C53525" w:rsidRDefault="00C53525">
            <w:pPr>
              <w:ind w:left="240"/>
              <w:rPr>
                <w:rFonts w:ascii="Helvetica" w:hAnsi="Helvetica"/>
                <w:sz w:val="16"/>
              </w:rPr>
            </w:pPr>
            <w:r>
              <w:rPr>
                <w:rFonts w:ascii="Helvetica" w:hAnsi="Helvetica"/>
                <w:sz w:val="16"/>
              </w:rPr>
              <w:t>Does this information collection employ statistical methods?</w:t>
            </w:r>
          </w:p>
          <w:p w:rsidR="00C53525" w:rsidRDefault="008C17E9">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C535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C53525">
              <w:rPr>
                <w:rFonts w:ascii="Helvetica" w:hAnsi="Helvetica"/>
                <w:sz w:val="18"/>
              </w:rPr>
              <w:t xml:space="preserve"> Yes    </w:t>
            </w:r>
            <w:r>
              <w:rPr>
                <w:rFonts w:ascii="Helvetica" w:hAnsi="Helvetica"/>
                <w:b/>
                <w:sz w:val="18"/>
              </w:rPr>
              <w:fldChar w:fldCharType="begin">
                <w:ffData>
                  <w:name w:val=""/>
                  <w:enabled/>
                  <w:calcOnExit w:val="0"/>
                  <w:checkBox>
                    <w:sizeAuto/>
                    <w:default w:val="1"/>
                  </w:checkBox>
                </w:ffData>
              </w:fldChar>
            </w:r>
            <w:r w:rsidR="00C535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C53525">
              <w:rPr>
                <w:rFonts w:ascii="Helvetica" w:hAnsi="Helvetica"/>
                <w:sz w:val="18"/>
              </w:rPr>
              <w:t xml:space="preserve"> No</w:t>
            </w:r>
          </w:p>
          <w:p w:rsidR="00C53525" w:rsidRDefault="00C53525">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C53525" w:rsidRDefault="00C53525">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C53525" w:rsidRDefault="00C53525">
            <w:pPr>
              <w:tabs>
                <w:tab w:val="left" w:pos="240"/>
              </w:tabs>
              <w:ind w:left="132"/>
              <w:rPr>
                <w:rFonts w:ascii="Helvetica" w:hAnsi="Helvetica"/>
                <w:sz w:val="16"/>
              </w:rPr>
            </w:pPr>
            <w:r>
              <w:rPr>
                <w:rFonts w:ascii="Helvetica" w:hAnsi="Helvetica"/>
                <w:sz w:val="16"/>
              </w:rPr>
              <w:t xml:space="preserve">Name:  </w:t>
            </w:r>
            <w:r w:rsidR="00B41FFB">
              <w:rPr>
                <w:rFonts w:ascii="Helvetica" w:hAnsi="Helvetica"/>
                <w:sz w:val="16"/>
              </w:rPr>
              <w:t>Claudia J. Yarus</w:t>
            </w:r>
          </w:p>
          <w:p w:rsidR="00C53525" w:rsidRDefault="00C53525">
            <w:pPr>
              <w:tabs>
                <w:tab w:val="left" w:pos="240"/>
              </w:tabs>
              <w:ind w:left="132"/>
              <w:rPr>
                <w:rFonts w:ascii="Helvetica" w:hAnsi="Helvetica"/>
                <w:sz w:val="16"/>
              </w:rPr>
            </w:pPr>
            <w:r>
              <w:rPr>
                <w:rFonts w:ascii="Helvetica" w:hAnsi="Helvetica"/>
                <w:sz w:val="16"/>
              </w:rPr>
              <w:t>Phone: (</w:t>
            </w:r>
            <w:r w:rsidR="005F6E8B">
              <w:rPr>
                <w:rFonts w:ascii="Helvetica" w:hAnsi="Helvetica"/>
                <w:sz w:val="16"/>
              </w:rPr>
              <w:t>202) 4</w:t>
            </w:r>
            <w:r w:rsidR="009A0A22">
              <w:rPr>
                <w:rFonts w:ascii="Helvetica" w:hAnsi="Helvetica"/>
                <w:sz w:val="16"/>
              </w:rPr>
              <w:t>75-8830</w:t>
            </w:r>
          </w:p>
          <w:p w:rsidR="00C53525" w:rsidRDefault="00C53525">
            <w:pPr>
              <w:tabs>
                <w:tab w:val="left" w:pos="240"/>
              </w:tabs>
              <w:rPr>
                <w:rFonts w:ascii="Helvetica" w:hAnsi="Helvetica"/>
                <w:sz w:val="16"/>
              </w:rPr>
            </w:pPr>
          </w:p>
        </w:tc>
      </w:tr>
    </w:tbl>
    <w:p w:rsidR="00C53525" w:rsidRDefault="00C53525">
      <w:pPr>
        <w:tabs>
          <w:tab w:val="left" w:pos="240"/>
        </w:tabs>
        <w:rPr>
          <w:rFonts w:ascii="Helvetica" w:hAnsi="Helvetica"/>
          <w:sz w:val="16"/>
        </w:rPr>
      </w:pPr>
    </w:p>
    <w:p w:rsidR="00C53525" w:rsidRDefault="00C53525">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C53525" w:rsidRDefault="00C53525">
      <w:pPr>
        <w:tabs>
          <w:tab w:val="left" w:pos="240"/>
        </w:tabs>
        <w:spacing w:line="280" w:lineRule="exact"/>
        <w:rPr>
          <w:sz w:val="22"/>
        </w:rPr>
      </w:pPr>
      <w:r>
        <w:rPr>
          <w:sz w:val="22"/>
        </w:rPr>
        <w:t>On behalf of this Federal Agency, I certify that the collection of information encompassed by this request complies with 5 CFR 1320.9.</w:t>
      </w:r>
    </w:p>
    <w:p w:rsidR="00C53525" w:rsidRDefault="00C53525">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 at the end of the instructions.  The certification is to be made with reference to those regulatory provisions as set forth in the instructions.</w:t>
      </w:r>
    </w:p>
    <w:p w:rsidR="00C53525" w:rsidRDefault="00C53525">
      <w:pPr>
        <w:tabs>
          <w:tab w:val="left" w:pos="240"/>
        </w:tabs>
        <w:spacing w:line="280" w:lineRule="exact"/>
        <w:rPr>
          <w:sz w:val="22"/>
        </w:rPr>
      </w:pPr>
    </w:p>
    <w:p w:rsidR="00C53525" w:rsidRDefault="00C53525">
      <w:pPr>
        <w:tabs>
          <w:tab w:val="left" w:pos="240"/>
        </w:tabs>
        <w:spacing w:line="280" w:lineRule="exact"/>
        <w:rPr>
          <w:sz w:val="22"/>
        </w:rPr>
      </w:pPr>
      <w:r>
        <w:rPr>
          <w:sz w:val="22"/>
        </w:rPr>
        <w:t>The following is a summary of the topics, regarding the propo</w:t>
      </w:r>
      <w:r w:rsidR="00561440">
        <w:rPr>
          <w:sz w:val="22"/>
        </w:rPr>
        <w:t xml:space="preserve">sed collections of information </w:t>
      </w:r>
      <w:r>
        <w:rPr>
          <w:sz w:val="22"/>
        </w:rPr>
        <w:t>that the certification covers:</w:t>
      </w:r>
    </w:p>
    <w:p w:rsidR="00C53525" w:rsidRDefault="00C53525">
      <w:pPr>
        <w:numPr>
          <w:ilvl w:val="0"/>
          <w:numId w:val="3"/>
        </w:numPr>
        <w:tabs>
          <w:tab w:val="left" w:pos="720"/>
        </w:tabs>
        <w:spacing w:line="280" w:lineRule="exact"/>
        <w:rPr>
          <w:sz w:val="22"/>
        </w:rPr>
      </w:pPr>
      <w:r>
        <w:rPr>
          <w:sz w:val="22"/>
        </w:rPr>
        <w:t>It is necessary for the proper performance of agency functions;</w:t>
      </w:r>
    </w:p>
    <w:p w:rsidR="00C53525" w:rsidRDefault="00C53525">
      <w:pPr>
        <w:numPr>
          <w:ilvl w:val="0"/>
          <w:numId w:val="3"/>
        </w:numPr>
        <w:tabs>
          <w:tab w:val="left" w:pos="720"/>
        </w:tabs>
        <w:spacing w:line="280" w:lineRule="exact"/>
        <w:rPr>
          <w:sz w:val="22"/>
        </w:rPr>
      </w:pPr>
      <w:r>
        <w:rPr>
          <w:sz w:val="22"/>
        </w:rPr>
        <w:t>It avoids unnecessary duplication;</w:t>
      </w:r>
    </w:p>
    <w:p w:rsidR="00C53525" w:rsidRDefault="00C53525">
      <w:pPr>
        <w:numPr>
          <w:ilvl w:val="0"/>
          <w:numId w:val="3"/>
        </w:numPr>
        <w:tabs>
          <w:tab w:val="left" w:pos="720"/>
        </w:tabs>
        <w:spacing w:line="280" w:lineRule="exact"/>
        <w:rPr>
          <w:sz w:val="22"/>
        </w:rPr>
      </w:pPr>
      <w:r>
        <w:rPr>
          <w:sz w:val="22"/>
        </w:rPr>
        <w:t>It reduces burden on small entities;</w:t>
      </w:r>
    </w:p>
    <w:p w:rsidR="00C53525" w:rsidRDefault="00C53525">
      <w:pPr>
        <w:numPr>
          <w:ilvl w:val="0"/>
          <w:numId w:val="3"/>
        </w:numPr>
        <w:tabs>
          <w:tab w:val="left" w:pos="720"/>
        </w:tabs>
        <w:spacing w:line="280" w:lineRule="exact"/>
        <w:rPr>
          <w:sz w:val="22"/>
        </w:rPr>
      </w:pPr>
      <w:r>
        <w:rPr>
          <w:sz w:val="22"/>
        </w:rPr>
        <w:t>It uses plain, coherent, and unambiguous terminology that is understandable to respondents;</w:t>
      </w:r>
    </w:p>
    <w:p w:rsidR="00C53525" w:rsidRDefault="00C5352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C53525" w:rsidRDefault="00C53525">
      <w:pPr>
        <w:numPr>
          <w:ilvl w:val="0"/>
          <w:numId w:val="3"/>
        </w:numPr>
        <w:tabs>
          <w:tab w:val="left" w:pos="720"/>
        </w:tabs>
        <w:spacing w:line="280" w:lineRule="exact"/>
        <w:rPr>
          <w:sz w:val="22"/>
        </w:rPr>
      </w:pPr>
      <w:r>
        <w:rPr>
          <w:sz w:val="22"/>
        </w:rPr>
        <w:t>It indicates the retention periods for recordkeeping requirements;</w:t>
      </w:r>
    </w:p>
    <w:p w:rsidR="00C53525" w:rsidRDefault="00C53525">
      <w:pPr>
        <w:numPr>
          <w:ilvl w:val="0"/>
          <w:numId w:val="3"/>
        </w:numPr>
        <w:tabs>
          <w:tab w:val="left" w:pos="720"/>
        </w:tabs>
        <w:spacing w:line="280" w:lineRule="exact"/>
        <w:rPr>
          <w:sz w:val="22"/>
        </w:rPr>
      </w:pPr>
      <w:r>
        <w:rPr>
          <w:sz w:val="22"/>
        </w:rPr>
        <w:t>It informs respondents of the information called for under 5 CFR 1320.8(b)(3):</w:t>
      </w:r>
    </w:p>
    <w:p w:rsidR="00C53525" w:rsidRDefault="00C53525">
      <w:pPr>
        <w:numPr>
          <w:ilvl w:val="0"/>
          <w:numId w:val="4"/>
        </w:numPr>
        <w:tabs>
          <w:tab w:val="left" w:pos="720"/>
        </w:tabs>
        <w:spacing w:line="280" w:lineRule="exact"/>
        <w:rPr>
          <w:sz w:val="22"/>
        </w:rPr>
      </w:pPr>
      <w:r>
        <w:rPr>
          <w:sz w:val="22"/>
        </w:rPr>
        <w:t>Why the information is being collected;</w:t>
      </w:r>
    </w:p>
    <w:p w:rsidR="00C53525" w:rsidRDefault="00C53525">
      <w:pPr>
        <w:numPr>
          <w:ilvl w:val="0"/>
          <w:numId w:val="4"/>
        </w:numPr>
        <w:tabs>
          <w:tab w:val="left" w:pos="720"/>
        </w:tabs>
        <w:spacing w:line="280" w:lineRule="exact"/>
        <w:rPr>
          <w:sz w:val="22"/>
        </w:rPr>
      </w:pPr>
      <w:r>
        <w:rPr>
          <w:sz w:val="22"/>
        </w:rPr>
        <w:t>Use of the information;</w:t>
      </w:r>
    </w:p>
    <w:p w:rsidR="00C53525" w:rsidRDefault="00C53525">
      <w:pPr>
        <w:numPr>
          <w:ilvl w:val="0"/>
          <w:numId w:val="4"/>
        </w:numPr>
        <w:tabs>
          <w:tab w:val="left" w:pos="720"/>
        </w:tabs>
        <w:spacing w:line="280" w:lineRule="exact"/>
        <w:rPr>
          <w:sz w:val="22"/>
        </w:rPr>
      </w:pPr>
      <w:r>
        <w:rPr>
          <w:sz w:val="22"/>
        </w:rPr>
        <w:t>burden estimate;</w:t>
      </w:r>
    </w:p>
    <w:p w:rsidR="00C53525" w:rsidRDefault="00C53525">
      <w:pPr>
        <w:numPr>
          <w:ilvl w:val="0"/>
          <w:numId w:val="4"/>
        </w:numPr>
        <w:tabs>
          <w:tab w:val="left" w:pos="720"/>
        </w:tabs>
        <w:spacing w:line="280" w:lineRule="exact"/>
        <w:rPr>
          <w:sz w:val="22"/>
        </w:rPr>
      </w:pPr>
      <w:r>
        <w:rPr>
          <w:sz w:val="22"/>
        </w:rPr>
        <w:t>Nature of response (voluntary, required for a benefit, or mandatory);</w:t>
      </w:r>
    </w:p>
    <w:p w:rsidR="00C53525" w:rsidRDefault="00C53525">
      <w:pPr>
        <w:numPr>
          <w:ilvl w:val="0"/>
          <w:numId w:val="4"/>
        </w:numPr>
        <w:tabs>
          <w:tab w:val="left" w:pos="720"/>
        </w:tabs>
        <w:spacing w:line="280" w:lineRule="exact"/>
        <w:rPr>
          <w:sz w:val="22"/>
        </w:rPr>
      </w:pPr>
      <w:r>
        <w:rPr>
          <w:sz w:val="22"/>
        </w:rPr>
        <w:t>Nature and extent of confidentiality; and</w:t>
      </w:r>
    </w:p>
    <w:p w:rsidR="00C53525" w:rsidRDefault="00C53525">
      <w:pPr>
        <w:numPr>
          <w:ilvl w:val="0"/>
          <w:numId w:val="4"/>
        </w:numPr>
        <w:tabs>
          <w:tab w:val="left" w:pos="720"/>
        </w:tabs>
        <w:spacing w:line="280" w:lineRule="exact"/>
        <w:rPr>
          <w:sz w:val="22"/>
        </w:rPr>
      </w:pPr>
      <w:r>
        <w:rPr>
          <w:sz w:val="22"/>
        </w:rPr>
        <w:t>Need to display currently valid OMB control number;</w:t>
      </w:r>
    </w:p>
    <w:p w:rsidR="00C53525" w:rsidRDefault="00C5352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C53525" w:rsidRDefault="00C53525">
      <w:pPr>
        <w:numPr>
          <w:ilvl w:val="0"/>
          <w:numId w:val="6"/>
        </w:numPr>
        <w:tabs>
          <w:tab w:val="left" w:pos="720"/>
        </w:tabs>
        <w:spacing w:line="280" w:lineRule="exact"/>
        <w:rPr>
          <w:sz w:val="22"/>
        </w:rPr>
      </w:pPr>
      <w:r>
        <w:rPr>
          <w:sz w:val="22"/>
        </w:rPr>
        <w:t>It uses effective and efficient statistical survey methodology; and</w:t>
      </w:r>
    </w:p>
    <w:p w:rsidR="00C53525" w:rsidRDefault="00C53525">
      <w:pPr>
        <w:numPr>
          <w:ilvl w:val="0"/>
          <w:numId w:val="6"/>
        </w:numPr>
        <w:tabs>
          <w:tab w:val="left" w:pos="720"/>
        </w:tabs>
        <w:spacing w:line="280" w:lineRule="exact"/>
        <w:rPr>
          <w:sz w:val="22"/>
        </w:rPr>
      </w:pPr>
      <w:r>
        <w:rPr>
          <w:sz w:val="22"/>
        </w:rPr>
        <w:t>It makes appropriate use of information technology.</w:t>
      </w:r>
    </w:p>
    <w:p w:rsidR="00C53525" w:rsidRDefault="00C53525">
      <w:pPr>
        <w:tabs>
          <w:tab w:val="left" w:pos="600"/>
        </w:tabs>
        <w:spacing w:line="280" w:lineRule="exact"/>
        <w:rPr>
          <w:sz w:val="22"/>
        </w:rPr>
      </w:pPr>
    </w:p>
    <w:p w:rsidR="00C53525" w:rsidRDefault="00C5352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C53525" w:rsidRDefault="008C17E9">
      <w:pPr>
        <w:tabs>
          <w:tab w:val="left" w:pos="240"/>
        </w:tabs>
        <w:ind w:left="240"/>
      </w:pPr>
      <w:r>
        <w:fldChar w:fldCharType="begin">
          <w:ffData>
            <w:name w:val="Text20"/>
            <w:enabled/>
            <w:calcOnExit w:val="0"/>
            <w:textInput/>
          </w:ffData>
        </w:fldChar>
      </w:r>
      <w:bookmarkStart w:id="9" w:name="Text20"/>
      <w:r w:rsidR="00C53525">
        <w:instrText xml:space="preserve"> FORMTEXT </w:instrText>
      </w:r>
      <w:r>
        <w:fldChar w:fldCharType="separate"/>
      </w:r>
      <w:r w:rsidR="00C53525">
        <w:rPr>
          <w:noProof/>
        </w:rPr>
        <w:t> </w:t>
      </w:r>
      <w:r w:rsidR="00C53525">
        <w:rPr>
          <w:noProof/>
        </w:rPr>
        <w:t> </w:t>
      </w:r>
      <w:r w:rsidR="00C53525">
        <w:rPr>
          <w:noProof/>
        </w:rPr>
        <w:t> </w:t>
      </w:r>
      <w:r w:rsidR="00C53525">
        <w:rPr>
          <w:noProof/>
        </w:rPr>
        <w:t> </w:t>
      </w:r>
      <w:r w:rsidR="00C53525">
        <w:rPr>
          <w:noProof/>
        </w:rPr>
        <w:t> </w:t>
      </w:r>
      <w:r>
        <w:fldChar w:fldCharType="end"/>
      </w:r>
      <w:bookmarkEnd w:id="9"/>
    </w:p>
    <w:p w:rsidR="00C53525" w:rsidRDefault="00C53525">
      <w:pPr>
        <w:tabs>
          <w:tab w:val="left" w:pos="240"/>
        </w:tabs>
      </w:pPr>
    </w:p>
    <w:tbl>
      <w:tblPr>
        <w:tblW w:w="0" w:type="auto"/>
        <w:tblLayout w:type="fixed"/>
        <w:tblLook w:val="0000"/>
      </w:tblPr>
      <w:tblGrid>
        <w:gridCol w:w="8388"/>
        <w:gridCol w:w="2628"/>
      </w:tblGrid>
      <w:tr w:rsidR="00C53525">
        <w:tc>
          <w:tcPr>
            <w:tcW w:w="8388" w:type="dxa"/>
            <w:tcBorders>
              <w:top w:val="single" w:sz="6" w:space="0" w:color="auto"/>
            </w:tcBorders>
          </w:tcPr>
          <w:p w:rsidR="00C53525" w:rsidRDefault="00C53525">
            <w:pPr>
              <w:tabs>
                <w:tab w:val="left" w:pos="240"/>
              </w:tabs>
              <w:ind w:left="-120"/>
              <w:rPr>
                <w:rFonts w:ascii="Helvetica" w:hAnsi="Helvetica"/>
                <w:sz w:val="16"/>
              </w:rPr>
            </w:pPr>
            <w:r>
              <w:rPr>
                <w:rFonts w:ascii="Helvetica" w:hAnsi="Helvetica"/>
                <w:sz w:val="16"/>
              </w:rPr>
              <w:t>Signature of Program Official:</w:t>
            </w: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r>
              <w:rPr>
                <w:rFonts w:ascii="Helvetica" w:hAnsi="Helvetica"/>
                <w:sz w:val="16"/>
              </w:rPr>
              <w:t>X</w:t>
            </w:r>
          </w:p>
          <w:p w:rsidR="00C53525" w:rsidRDefault="00C53525" w:rsidP="00020DC4">
            <w:pPr>
              <w:tabs>
                <w:tab w:val="left" w:pos="240"/>
              </w:tabs>
              <w:rPr>
                <w:rFonts w:ascii="Helvetica" w:hAnsi="Helvetica"/>
                <w:sz w:val="16"/>
              </w:rPr>
            </w:pPr>
          </w:p>
        </w:tc>
        <w:tc>
          <w:tcPr>
            <w:tcW w:w="2628" w:type="dxa"/>
            <w:tcBorders>
              <w:top w:val="single" w:sz="6" w:space="0" w:color="auto"/>
              <w:left w:val="single" w:sz="6" w:space="0" w:color="auto"/>
              <w:bottom w:val="single" w:sz="6" w:space="0" w:color="auto"/>
            </w:tcBorders>
          </w:tcPr>
          <w:p w:rsidR="00C53525" w:rsidRDefault="00C53525">
            <w:pPr>
              <w:tabs>
                <w:tab w:val="left" w:pos="240"/>
              </w:tabs>
              <w:rPr>
                <w:rFonts w:ascii="Helvetica" w:hAnsi="Helvetica"/>
                <w:sz w:val="16"/>
              </w:rPr>
            </w:pPr>
            <w:r>
              <w:rPr>
                <w:rFonts w:ascii="Helvetica" w:hAnsi="Helvetica"/>
                <w:sz w:val="16"/>
              </w:rPr>
              <w:t>Date:</w:t>
            </w:r>
          </w:p>
        </w:tc>
      </w:tr>
      <w:tr w:rsidR="00C53525">
        <w:tc>
          <w:tcPr>
            <w:tcW w:w="8388" w:type="dxa"/>
            <w:tcBorders>
              <w:top w:val="single" w:sz="6" w:space="0" w:color="auto"/>
              <w:bottom w:val="single" w:sz="6" w:space="0" w:color="auto"/>
            </w:tcBorders>
          </w:tcPr>
          <w:p w:rsidR="00C53525" w:rsidRDefault="00C53525">
            <w:pPr>
              <w:tabs>
                <w:tab w:val="left" w:pos="240"/>
              </w:tabs>
              <w:ind w:left="-120"/>
              <w:rPr>
                <w:rFonts w:ascii="Helvetica" w:hAnsi="Helvetica"/>
                <w:sz w:val="16"/>
              </w:rPr>
            </w:pPr>
            <w:r>
              <w:rPr>
                <w:rFonts w:ascii="Helvetica" w:hAnsi="Helvetica"/>
                <w:sz w:val="16"/>
              </w:rPr>
              <w:t>Signature of Senior Officer or Designee:</w:t>
            </w: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r>
              <w:rPr>
                <w:rFonts w:ascii="Helvetica" w:hAnsi="Helvetica"/>
                <w:sz w:val="16"/>
              </w:rPr>
              <w:t>X</w:t>
            </w:r>
          </w:p>
          <w:p w:rsidR="00C53525" w:rsidRDefault="00441F7F">
            <w:pPr>
              <w:tabs>
                <w:tab w:val="left" w:pos="240"/>
              </w:tabs>
              <w:rPr>
                <w:rFonts w:ascii="Helvetica" w:hAnsi="Helvetica"/>
                <w:sz w:val="16"/>
              </w:rPr>
            </w:pPr>
            <w:r>
              <w:rPr>
                <w:rFonts w:ascii="Helvetica" w:hAnsi="Helvetica"/>
                <w:sz w:val="16"/>
              </w:rPr>
              <w:t>Colette Pollard, Departmental Reports Management Officer</w:t>
            </w:r>
          </w:p>
          <w:p w:rsidR="00441F7F" w:rsidRDefault="00441F7F">
            <w:pPr>
              <w:tabs>
                <w:tab w:val="left" w:pos="240"/>
              </w:tabs>
              <w:rPr>
                <w:rFonts w:ascii="Helvetica" w:hAnsi="Helvetica"/>
                <w:sz w:val="16"/>
              </w:rPr>
            </w:pPr>
            <w:r>
              <w:rPr>
                <w:rFonts w:ascii="Helvetica" w:hAnsi="Helvetica"/>
                <w:sz w:val="16"/>
              </w:rPr>
              <w:t>Office of Chief Information Officer</w:t>
            </w:r>
          </w:p>
        </w:tc>
        <w:tc>
          <w:tcPr>
            <w:tcW w:w="2628" w:type="dxa"/>
            <w:tcBorders>
              <w:left w:val="single" w:sz="6" w:space="0" w:color="auto"/>
              <w:bottom w:val="single" w:sz="6" w:space="0" w:color="auto"/>
            </w:tcBorders>
          </w:tcPr>
          <w:p w:rsidR="00C53525" w:rsidRDefault="00C53525">
            <w:pPr>
              <w:tabs>
                <w:tab w:val="left" w:pos="240"/>
              </w:tabs>
              <w:rPr>
                <w:rFonts w:ascii="Helvetica" w:hAnsi="Helvetica"/>
                <w:sz w:val="16"/>
              </w:rPr>
            </w:pPr>
            <w:r>
              <w:rPr>
                <w:rFonts w:ascii="Helvetica" w:hAnsi="Helvetica"/>
                <w:sz w:val="16"/>
              </w:rPr>
              <w:t>Date:</w:t>
            </w:r>
          </w:p>
        </w:tc>
      </w:tr>
    </w:tbl>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C53525" w:rsidRDefault="00C53525">
      <w:pPr>
        <w:tabs>
          <w:tab w:val="left" w:pos="360"/>
        </w:tabs>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6E8B" w:rsidRDefault="005F6E8B" w:rsidP="005F6E8B">
      <w:pPr>
        <w:rPr>
          <w:color w:val="000000"/>
          <w:sz w:val="24"/>
          <w:szCs w:val="24"/>
        </w:rPr>
      </w:pPr>
      <w:r w:rsidRPr="00F42B53">
        <w:rPr>
          <w:color w:val="000000"/>
          <w:sz w:val="24"/>
          <w:szCs w:val="24"/>
        </w:rPr>
        <w:tab/>
      </w:r>
    </w:p>
    <w:p w:rsidR="00537D1A" w:rsidRPr="00537D1A" w:rsidRDefault="00537D1A" w:rsidP="00537D1A">
      <w:pPr>
        <w:keepLines/>
        <w:spacing w:after="100" w:afterAutospacing="1"/>
        <w:ind w:left="360"/>
        <w:rPr>
          <w:sz w:val="22"/>
          <w:szCs w:val="22"/>
        </w:rPr>
      </w:pPr>
      <w:r w:rsidRPr="00537D1A">
        <w:rPr>
          <w:sz w:val="22"/>
          <w:szCs w:val="22"/>
        </w:rPr>
        <w:t xml:space="preserve">Housing that is insured and/or assisted under certain HUD programs is required to be inspected using the Uniform Physical Condition Standards (UPCS) in accordance with 24 CFR Part 5, Subpart H. (See attached </w:t>
      </w:r>
      <w:r w:rsidRPr="00537D1A">
        <w:rPr>
          <w:b/>
          <w:sz w:val="22"/>
          <w:szCs w:val="22"/>
        </w:rPr>
        <w:t>Exhibit A.</w:t>
      </w:r>
      <w:r w:rsidRPr="00537D1A">
        <w:rPr>
          <w:bCs/>
          <w:sz w:val="22"/>
          <w:szCs w:val="22"/>
        </w:rPr>
        <w:t>)</w:t>
      </w:r>
      <w:r w:rsidRPr="00537D1A">
        <w:rPr>
          <w:sz w:val="22"/>
          <w:szCs w:val="22"/>
        </w:rPr>
        <w:t xml:space="preserve">  These standards are intended to ensure that such housing is decent, safe, sanitary and in good repair.  HUD’s Section 8 housing, public housing, HUD-insured multifamily housing, and other assisted housing are subject to uniform physical standards.  To the extent feasible, the physical inspection procedures by which the standards will be assessed should be uniform in the covered programs.</w:t>
      </w:r>
    </w:p>
    <w:p w:rsidR="00537D1A" w:rsidRPr="00537D1A" w:rsidRDefault="00537D1A" w:rsidP="00537D1A">
      <w:pPr>
        <w:pStyle w:val="BodyTextIndent2"/>
        <w:spacing w:after="100" w:afterAutospacing="1" w:line="240" w:lineRule="auto"/>
        <w:rPr>
          <w:sz w:val="22"/>
          <w:szCs w:val="22"/>
        </w:rPr>
      </w:pPr>
      <w:r w:rsidRPr="00537D1A">
        <w:rPr>
          <w:sz w:val="22"/>
          <w:szCs w:val="22"/>
        </w:rPr>
        <w:t>The UPCS and inspection process is designed to achieve the following three objectives:  (1) consistency in physical condition standards for HUD housing; (2) standardization of the inspection to be undertaken to determine compliance with the standards; and (3) implementation of an electronically-based inspection system to evaluate, rate, and rank the physical condition of HUD housing objectively.</w:t>
      </w:r>
    </w:p>
    <w:p w:rsidR="00537D1A" w:rsidRPr="00537D1A" w:rsidRDefault="00537D1A" w:rsidP="00537D1A">
      <w:pPr>
        <w:pStyle w:val="BodyTextIndent2"/>
        <w:spacing w:after="100" w:afterAutospacing="1" w:line="240" w:lineRule="auto"/>
        <w:rPr>
          <w:sz w:val="22"/>
          <w:szCs w:val="22"/>
        </w:rPr>
      </w:pPr>
      <w:r w:rsidRPr="00537D1A">
        <w:rPr>
          <w:sz w:val="22"/>
          <w:szCs w:val="22"/>
        </w:rPr>
        <w:t>Depending on the results of its physical condition inspection, a multifamily property will be assigned one of three designations with the accompanying inspection time lines:  (1) standard 1 performing is a property that scores 90 points or higher and will undergo a physical inspection once every three years; (2) standard 2 performing is a property that receives a score of 80 points or higher but less than 90 points and will undergo a physical inspection once every two years; and (3) standard 3 performing is a property that receives a score of less than 80 points and will undergo an annual physical inspection.</w:t>
      </w:r>
    </w:p>
    <w:p w:rsidR="00537D1A" w:rsidRPr="00537D1A" w:rsidRDefault="00537D1A" w:rsidP="00537D1A">
      <w:pPr>
        <w:pStyle w:val="BodyTextIndent2"/>
        <w:spacing w:after="100" w:afterAutospacing="1" w:line="240" w:lineRule="auto"/>
        <w:rPr>
          <w:sz w:val="22"/>
          <w:szCs w:val="22"/>
        </w:rPr>
      </w:pPr>
      <w:proofErr w:type="gramStart"/>
      <w:r w:rsidRPr="00537D1A">
        <w:rPr>
          <w:sz w:val="22"/>
          <w:szCs w:val="22"/>
        </w:rPr>
        <w:t>Section 502 of the National Affordable Housing Act of 1990, as amended by the Quality Housing and Work Responsibility Act of 1998, implements section 6(j) of the United States Housing Act of 1937.</w:t>
      </w:r>
      <w:proofErr w:type="gramEnd"/>
      <w:r w:rsidRPr="00537D1A">
        <w:rPr>
          <w:sz w:val="22"/>
          <w:szCs w:val="22"/>
        </w:rPr>
        <w:t xml:space="preserve">  Section 6(j) establishes specific assessment indicators and directs the Secretary to develop additional indicators to assess the management performance of public housing agencies (PHAs) in all major areas of management operations.  One of the assessment areas is the Physical Condition Indicator.</w:t>
      </w:r>
    </w:p>
    <w:p w:rsidR="00537D1A" w:rsidRPr="00537D1A" w:rsidRDefault="00537D1A" w:rsidP="00537D1A">
      <w:pPr>
        <w:keepLines/>
        <w:spacing w:after="100" w:afterAutospacing="1"/>
        <w:ind w:left="360"/>
        <w:rPr>
          <w:strike/>
          <w:color w:val="FF0000"/>
          <w:sz w:val="22"/>
          <w:szCs w:val="22"/>
        </w:rPr>
      </w:pPr>
      <w:r w:rsidRPr="00537D1A">
        <w:rPr>
          <w:sz w:val="22"/>
          <w:szCs w:val="22"/>
        </w:rPr>
        <w:t xml:space="preserve">All PHA properties are required to be assessed under the Physical Condition Indicator by HUD in accordance with the Public Housing Assessment System (PHAS) regulation, 24 CFR </w:t>
      </w:r>
      <w:proofErr w:type="gramStart"/>
      <w:r w:rsidRPr="00537D1A">
        <w:rPr>
          <w:sz w:val="22"/>
          <w:szCs w:val="22"/>
        </w:rPr>
        <w:t>part</w:t>
      </w:r>
      <w:proofErr w:type="gramEnd"/>
      <w:r w:rsidRPr="00537D1A">
        <w:rPr>
          <w:sz w:val="22"/>
          <w:szCs w:val="22"/>
        </w:rPr>
        <w:t xml:space="preserve"> 902, Subpart B.  (See attached </w:t>
      </w:r>
      <w:r w:rsidRPr="00537D1A">
        <w:rPr>
          <w:b/>
          <w:sz w:val="22"/>
          <w:szCs w:val="22"/>
        </w:rPr>
        <w:t>Exhibit B.</w:t>
      </w:r>
      <w:r w:rsidRPr="00537D1A">
        <w:rPr>
          <w:sz w:val="22"/>
          <w:szCs w:val="22"/>
        </w:rPr>
        <w:t>)  For PHAs with 249 or fewer units, their properties will be inspected every two or three years based on the PHAs overall PHAS score.  For PHAs with 249 or fewer units that are designated troubled, their properties will be inspected annually. For all PHAs with 250 or more units, each property will be assessed based on that property’s score. A property with a score of 90 or higher will be assessed every three years; a property with a score of 80 but less than 90 will be assessed every two years; and a property with score of less than 80 will be assessed annually. Finally, PHAs with 250 or more units that are designated troubled will have all of their properties inspected annually.</w:t>
      </w:r>
    </w:p>
    <w:p w:rsidR="00537D1A" w:rsidRPr="00537D1A" w:rsidRDefault="00537D1A" w:rsidP="00537D1A">
      <w:pPr>
        <w:spacing w:after="100" w:afterAutospacing="1"/>
        <w:ind w:left="360"/>
        <w:rPr>
          <w:sz w:val="22"/>
          <w:szCs w:val="22"/>
        </w:rPr>
      </w:pPr>
      <w:r w:rsidRPr="00537D1A">
        <w:rPr>
          <w:sz w:val="22"/>
          <w:szCs w:val="22"/>
        </w:rPr>
        <w:t>In order to conduct physical condition inspections of approximately 14,000 multifamily and PHA projects annually, HUD utilizes contract inspectors that are trained in the UPCS protocol and certified by PIH-REAC</w:t>
      </w:r>
    </w:p>
    <w:p w:rsidR="00537D1A" w:rsidRPr="00537D1A" w:rsidRDefault="00537D1A" w:rsidP="00537D1A">
      <w:pPr>
        <w:tabs>
          <w:tab w:val="left" w:pos="360"/>
        </w:tabs>
        <w:spacing w:after="100" w:afterAutospacing="1"/>
        <w:ind w:left="360"/>
        <w:rPr>
          <w:sz w:val="22"/>
          <w:szCs w:val="22"/>
        </w:rPr>
      </w:pPr>
      <w:r w:rsidRPr="00537D1A">
        <w:rPr>
          <w:sz w:val="22"/>
          <w:szCs w:val="22"/>
        </w:rPr>
        <w:t xml:space="preserve">There are no substantive changes to the questionnaire.  The changes that have been made provide more descriptive language in the inspection experience paragraph and add specific examples to two of the answers under the Technical Knowledge in Commercial and Residential Building Trades question.  In addition, in response to HUD’s Office of General Counsel, an additional certification was included under “Related Information.” </w:t>
      </w:r>
    </w:p>
    <w:p w:rsidR="00C53525" w:rsidRDefault="00C53525">
      <w:pPr>
        <w:tabs>
          <w:tab w:val="left" w:pos="360"/>
        </w:tabs>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C00EC2" w:rsidRDefault="00C00EC2" w:rsidP="00C00EC2">
      <w:pPr>
        <w:keepLines/>
        <w:spacing w:after="80"/>
        <w:ind w:left="360"/>
        <w:rPr>
          <w:sz w:val="24"/>
        </w:rPr>
      </w:pPr>
    </w:p>
    <w:p w:rsidR="00C00EC2" w:rsidRPr="00C00EC2" w:rsidRDefault="00C00EC2" w:rsidP="00C00EC2">
      <w:pPr>
        <w:keepLines/>
        <w:spacing w:after="80"/>
        <w:ind w:left="360"/>
        <w:rPr>
          <w:sz w:val="22"/>
          <w:szCs w:val="22"/>
        </w:rPr>
      </w:pPr>
      <w:r w:rsidRPr="00C00EC2">
        <w:rPr>
          <w:sz w:val="22"/>
          <w:szCs w:val="22"/>
        </w:rPr>
        <w:t>The respondents will be individuals who seek to become HUD certified physical condition inspectors.  They provide information to HUD regarding past experience via email using the Inspector Candidate Assessment Questionnaire.  This questionnaire provides PIH-REAC with basic knowledge of an individual’s inspection skills and abilities.  For example, the ability to use the Internet is desirable in order to upload inspection reports to PIH-REAC.</w:t>
      </w:r>
    </w:p>
    <w:p w:rsidR="00C53525" w:rsidRDefault="00C53525">
      <w:pPr>
        <w:rPr>
          <w:rFonts w:ascii="Arial" w:hAnsi="Arial"/>
          <w:sz w:val="24"/>
        </w:rPr>
      </w:pPr>
    </w:p>
    <w:p w:rsidR="00C53525" w:rsidRDefault="00C53525">
      <w:pPr>
        <w:tabs>
          <w:tab w:val="left" w:pos="360"/>
        </w:tabs>
        <w:rPr>
          <w:sz w:val="18"/>
        </w:rPr>
      </w:pPr>
    </w:p>
    <w:p w:rsidR="00C53525" w:rsidRDefault="00C53525">
      <w:pPr>
        <w:tabs>
          <w:tab w:val="left" w:pos="360"/>
        </w:tabs>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53525" w:rsidRDefault="00C53525">
      <w:pPr>
        <w:tabs>
          <w:tab w:val="left" w:pos="360"/>
          <w:tab w:val="left" w:pos="720"/>
        </w:tabs>
        <w:ind w:left="360"/>
        <w:rPr>
          <w:sz w:val="18"/>
        </w:rPr>
      </w:pPr>
    </w:p>
    <w:p w:rsidR="00246385" w:rsidRPr="00CB580A" w:rsidRDefault="00246385" w:rsidP="00246385">
      <w:pPr>
        <w:keepLines/>
        <w:tabs>
          <w:tab w:val="left" w:pos="360"/>
        </w:tabs>
        <w:spacing w:after="80"/>
        <w:ind w:left="360" w:hanging="360"/>
        <w:rPr>
          <w:color w:val="000000"/>
          <w:sz w:val="22"/>
          <w:szCs w:val="22"/>
        </w:rPr>
      </w:pPr>
      <w:r>
        <w:rPr>
          <w:color w:val="000000"/>
          <w:sz w:val="24"/>
        </w:rPr>
        <w:tab/>
      </w:r>
      <w:r w:rsidRPr="00CB580A">
        <w:rPr>
          <w:color w:val="000000"/>
          <w:sz w:val="22"/>
          <w:szCs w:val="22"/>
        </w:rPr>
        <w:t xml:space="preserve">This form is automated and submitted via the Internet.  </w:t>
      </w:r>
      <w:r w:rsidRPr="00CB580A">
        <w:rPr>
          <w:sz w:val="22"/>
          <w:szCs w:val="22"/>
        </w:rPr>
        <w:t>The electronic submission of this data results in significant benefits, such as cost savings from reduced need for paper submission; and faster HUD review and analysis.  In addition, electronic submission reduces the administrative burden that manual submission presents to HUD program participants and HUD staff alike.</w:t>
      </w:r>
      <w:r w:rsidR="00063B8C">
        <w:rPr>
          <w:sz w:val="22"/>
          <w:szCs w:val="22"/>
        </w:rPr>
        <w:t xml:space="preserve">   </w:t>
      </w:r>
      <w:r w:rsidR="00063B8C" w:rsidRPr="00063B8C">
        <w:rPr>
          <w:b/>
          <w:sz w:val="22"/>
          <w:szCs w:val="22"/>
        </w:rPr>
        <w:t>Exhibit C</w:t>
      </w:r>
      <w:r w:rsidR="00063B8C">
        <w:rPr>
          <w:sz w:val="22"/>
          <w:szCs w:val="22"/>
        </w:rPr>
        <w:t xml:space="preserve"> attached is the template.</w:t>
      </w:r>
    </w:p>
    <w:p w:rsidR="00C53525" w:rsidRPr="00CB580A" w:rsidRDefault="00C53525">
      <w:pPr>
        <w:tabs>
          <w:tab w:val="left" w:pos="360"/>
        </w:tabs>
        <w:ind w:left="360" w:hanging="360"/>
        <w:rPr>
          <w:sz w:val="22"/>
          <w:szCs w:val="22"/>
        </w:rPr>
      </w:pPr>
    </w:p>
    <w:p w:rsidR="00C53525" w:rsidRDefault="00C53525">
      <w:pPr>
        <w:tabs>
          <w:tab w:val="left" w:pos="360"/>
        </w:tabs>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C53525" w:rsidRDefault="00C53525">
      <w:pPr>
        <w:rPr>
          <w:rFonts w:ascii="Arial" w:hAnsi="Arial"/>
          <w:sz w:val="24"/>
        </w:rPr>
      </w:pPr>
    </w:p>
    <w:p w:rsidR="00CB580A" w:rsidRPr="00CB580A" w:rsidRDefault="00CB580A" w:rsidP="00CB580A">
      <w:pPr>
        <w:keepLines/>
        <w:tabs>
          <w:tab w:val="left" w:pos="360"/>
        </w:tabs>
        <w:spacing w:after="80"/>
        <w:ind w:left="360" w:hanging="360"/>
        <w:rPr>
          <w:color w:val="000000"/>
          <w:sz w:val="22"/>
          <w:szCs w:val="22"/>
        </w:rPr>
      </w:pPr>
      <w:r>
        <w:rPr>
          <w:sz w:val="24"/>
        </w:rPr>
        <w:tab/>
      </w:r>
      <w:r w:rsidRPr="00CB580A">
        <w:rPr>
          <w:sz w:val="22"/>
          <w:szCs w:val="22"/>
        </w:rPr>
        <w:t>There will be no duplication of information.  There is no similar information already available that may be used or modified for the purpose described in the response to question 2, above.</w:t>
      </w:r>
    </w:p>
    <w:p w:rsidR="00CB580A" w:rsidRDefault="00CB580A">
      <w:pPr>
        <w:tabs>
          <w:tab w:val="left" w:pos="360"/>
        </w:tabs>
        <w:ind w:left="360" w:hanging="360"/>
        <w:rPr>
          <w:sz w:val="18"/>
        </w:rPr>
      </w:pPr>
    </w:p>
    <w:p w:rsidR="00C53525" w:rsidRDefault="00C53525">
      <w:pPr>
        <w:tabs>
          <w:tab w:val="left" w:pos="360"/>
        </w:tabs>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CB580A" w:rsidRDefault="00CB580A">
      <w:pPr>
        <w:rPr>
          <w:color w:val="000000"/>
          <w:sz w:val="24"/>
        </w:rPr>
      </w:pPr>
    </w:p>
    <w:p w:rsidR="00C53525" w:rsidRPr="00CB580A" w:rsidRDefault="00CB580A" w:rsidP="00CB580A">
      <w:pPr>
        <w:ind w:left="360"/>
        <w:rPr>
          <w:rFonts w:ascii="Arial" w:hAnsi="Arial"/>
          <w:sz w:val="22"/>
          <w:szCs w:val="22"/>
        </w:rPr>
      </w:pPr>
      <w:r w:rsidRPr="00CB580A">
        <w:rPr>
          <w:color w:val="000000"/>
          <w:sz w:val="22"/>
          <w:szCs w:val="22"/>
        </w:rPr>
        <w:t xml:space="preserve">This collection of information does not impact small businesses or other small entities.  </w:t>
      </w:r>
      <w:r w:rsidRPr="00CB580A">
        <w:rPr>
          <w:sz w:val="22"/>
          <w:szCs w:val="22"/>
        </w:rPr>
        <w:t>HUD believes that these costs are minimal since the sub</w:t>
      </w:r>
      <w:r>
        <w:rPr>
          <w:sz w:val="22"/>
          <w:szCs w:val="22"/>
        </w:rPr>
        <w:t>m</w:t>
      </w:r>
      <w:r w:rsidRPr="00CB580A">
        <w:rPr>
          <w:sz w:val="22"/>
          <w:szCs w:val="22"/>
        </w:rPr>
        <w:t>ission of the questionnaire is via the Internet</w:t>
      </w: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C53525" w:rsidRDefault="00C53525">
      <w:pPr>
        <w:tabs>
          <w:tab w:val="left" w:pos="360"/>
          <w:tab w:val="left" w:pos="720"/>
        </w:tabs>
        <w:ind w:left="360"/>
        <w:rPr>
          <w:rFonts w:ascii="Arial" w:hAnsi="Arial"/>
          <w:sz w:val="24"/>
        </w:rPr>
      </w:pPr>
    </w:p>
    <w:p w:rsidR="00CB580A" w:rsidRPr="00CB580A" w:rsidRDefault="00CB580A" w:rsidP="00CB580A">
      <w:pPr>
        <w:keepLines/>
        <w:tabs>
          <w:tab w:val="left" w:pos="360"/>
        </w:tabs>
        <w:spacing w:after="80"/>
        <w:ind w:left="360" w:hanging="360"/>
        <w:rPr>
          <w:color w:val="000000"/>
          <w:sz w:val="22"/>
          <w:szCs w:val="22"/>
        </w:rPr>
      </w:pPr>
      <w:r>
        <w:rPr>
          <w:sz w:val="24"/>
        </w:rPr>
        <w:tab/>
      </w:r>
      <w:r w:rsidRPr="00CB580A">
        <w:rPr>
          <w:sz w:val="22"/>
          <w:szCs w:val="22"/>
        </w:rPr>
        <w:t>The requirement for the physical inspection of multifamily and public housing properties is statutory and regulatory.  Due to the volume of physical inspections conducted annually by HUD, is it most cost effective to use contract inspectors.  Without the physical inspections, HUD’s interest (as well as the interest of taxpayers) will be unprotected and HUD will not be able to identify the risks due to neglected maintenance or insolvency of a multifamily or public housing property.  Furthermore, evaluation of submitted data may impact funds used to achieve HUD program obligations, or to detect fraud, waste and abuse.</w:t>
      </w:r>
    </w:p>
    <w:p w:rsidR="00C53525" w:rsidRDefault="00C53525">
      <w:pPr>
        <w:tabs>
          <w:tab w:val="left" w:pos="360"/>
        </w:tabs>
        <w:ind w:left="360" w:hanging="360"/>
        <w:rPr>
          <w:sz w:val="18"/>
        </w:rPr>
      </w:pPr>
    </w:p>
    <w:p w:rsidR="00C53525" w:rsidRDefault="00C53525">
      <w:pPr>
        <w:numPr>
          <w:ilvl w:val="0"/>
          <w:numId w:val="7"/>
        </w:numPr>
        <w:tabs>
          <w:tab w:val="left" w:pos="360"/>
        </w:tabs>
        <w:rPr>
          <w:sz w:val="18"/>
        </w:rPr>
      </w:pPr>
      <w:r>
        <w:rPr>
          <w:sz w:val="18"/>
        </w:rPr>
        <w:t xml:space="preserve">Explain any special circumstances that would cause an information collection to be conducted in a manner: </w:t>
      </w:r>
    </w:p>
    <w:p w:rsidR="00C53525" w:rsidRDefault="00C53525">
      <w:pPr>
        <w:numPr>
          <w:ilvl w:val="0"/>
          <w:numId w:val="8"/>
        </w:numPr>
        <w:tabs>
          <w:tab w:val="left" w:pos="600"/>
        </w:tabs>
        <w:rPr>
          <w:sz w:val="18"/>
        </w:rPr>
      </w:pPr>
      <w:r>
        <w:rPr>
          <w:sz w:val="18"/>
        </w:rPr>
        <w:t xml:space="preserve">requiring respondents to report information to the agency more than quarterly; </w:t>
      </w:r>
    </w:p>
    <w:p w:rsidR="00C53525" w:rsidRDefault="00C53525">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C53525" w:rsidRDefault="00C53525">
      <w:pPr>
        <w:numPr>
          <w:ilvl w:val="0"/>
          <w:numId w:val="8"/>
        </w:numPr>
        <w:tabs>
          <w:tab w:val="left" w:pos="600"/>
        </w:tabs>
        <w:rPr>
          <w:sz w:val="18"/>
        </w:rPr>
      </w:pPr>
      <w:r>
        <w:rPr>
          <w:sz w:val="18"/>
        </w:rPr>
        <w:t xml:space="preserve">requiring respondents to submit more than an original and two copies of any document; </w:t>
      </w:r>
    </w:p>
    <w:p w:rsidR="00C53525" w:rsidRDefault="00C53525">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C53525" w:rsidRDefault="00C53525">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C53525" w:rsidRDefault="00C53525">
      <w:pPr>
        <w:numPr>
          <w:ilvl w:val="0"/>
          <w:numId w:val="8"/>
        </w:numPr>
        <w:tabs>
          <w:tab w:val="left" w:pos="600"/>
        </w:tabs>
        <w:rPr>
          <w:sz w:val="18"/>
        </w:rPr>
      </w:pPr>
      <w:r>
        <w:rPr>
          <w:sz w:val="18"/>
        </w:rPr>
        <w:t xml:space="preserve">requiring the use of a statistical data classification that has not been reviewed and approved by OMB; </w:t>
      </w:r>
    </w:p>
    <w:p w:rsidR="00C53525" w:rsidRDefault="00C53525">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C53525" w:rsidRDefault="00C53525">
      <w:pPr>
        <w:numPr>
          <w:ilvl w:val="0"/>
          <w:numId w:val="8"/>
        </w:numPr>
        <w:tabs>
          <w:tab w:val="left" w:pos="600"/>
        </w:tabs>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C53525" w:rsidRDefault="00C53525">
      <w:pPr>
        <w:tabs>
          <w:tab w:val="left" w:pos="360"/>
          <w:tab w:val="left" w:pos="720"/>
        </w:tabs>
        <w:ind w:left="360"/>
        <w:rPr>
          <w:rFonts w:ascii="Arial" w:hAnsi="Arial"/>
          <w:sz w:val="24"/>
        </w:rPr>
      </w:pPr>
    </w:p>
    <w:p w:rsidR="00C53525" w:rsidRDefault="00371149" w:rsidP="00371149">
      <w:pPr>
        <w:ind w:firstLine="360"/>
        <w:rPr>
          <w:sz w:val="18"/>
        </w:rPr>
      </w:pPr>
      <w:r>
        <w:rPr>
          <w:color w:val="000000"/>
          <w:sz w:val="24"/>
        </w:rPr>
        <w:t>There are no special circumstances applicable to this questionnaire</w:t>
      </w: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53525" w:rsidRDefault="00C53525">
      <w:pPr>
        <w:tabs>
          <w:tab w:val="left" w:pos="360"/>
        </w:tabs>
        <w:rPr>
          <w:sz w:val="18"/>
        </w:rPr>
      </w:pPr>
    </w:p>
    <w:p w:rsidR="0049100E" w:rsidRDefault="009C1460" w:rsidP="00371149">
      <w:pPr>
        <w:keepLines/>
        <w:tabs>
          <w:tab w:val="left" w:pos="360"/>
        </w:tabs>
        <w:spacing w:after="80"/>
        <w:ind w:left="360"/>
        <w:rPr>
          <w:sz w:val="22"/>
          <w:szCs w:val="22"/>
        </w:rPr>
      </w:pPr>
      <w:r>
        <w:rPr>
          <w:sz w:val="22"/>
          <w:szCs w:val="22"/>
        </w:rPr>
        <w:t xml:space="preserve">This information collection was announced in the </w:t>
      </w:r>
      <w:r w:rsidRPr="009C1460">
        <w:rPr>
          <w:i/>
          <w:sz w:val="22"/>
          <w:szCs w:val="22"/>
        </w:rPr>
        <w:t>Federal Register</w:t>
      </w:r>
      <w:r>
        <w:rPr>
          <w:sz w:val="22"/>
          <w:szCs w:val="22"/>
        </w:rPr>
        <w:t>, Volume 76, page 65742, on October 24</w:t>
      </w:r>
      <w:r w:rsidR="00371149" w:rsidRPr="00371149">
        <w:rPr>
          <w:sz w:val="22"/>
          <w:szCs w:val="22"/>
        </w:rPr>
        <w:t>, 2011</w:t>
      </w:r>
      <w:r>
        <w:rPr>
          <w:sz w:val="22"/>
          <w:szCs w:val="22"/>
        </w:rPr>
        <w:t>.</w:t>
      </w:r>
      <w:r w:rsidR="00371149" w:rsidRPr="00371149">
        <w:rPr>
          <w:sz w:val="22"/>
          <w:szCs w:val="22"/>
        </w:rPr>
        <w:t xml:space="preserve">  The pu</w:t>
      </w:r>
      <w:r>
        <w:rPr>
          <w:sz w:val="22"/>
          <w:szCs w:val="22"/>
        </w:rPr>
        <w:t>blic was given until December 23</w:t>
      </w:r>
      <w:r w:rsidR="00371149" w:rsidRPr="00371149">
        <w:rPr>
          <w:sz w:val="22"/>
          <w:szCs w:val="22"/>
        </w:rPr>
        <w:t xml:space="preserve">, 2011, to submit comments on the proposal.  HUD received no comments on this proposed collection.  </w:t>
      </w:r>
    </w:p>
    <w:p w:rsidR="009C1460" w:rsidRDefault="009C1460" w:rsidP="00371149">
      <w:pPr>
        <w:keepLines/>
        <w:tabs>
          <w:tab w:val="left" w:pos="360"/>
        </w:tabs>
        <w:spacing w:after="80"/>
        <w:ind w:left="360"/>
        <w:rPr>
          <w:sz w:val="22"/>
          <w:szCs w:val="22"/>
        </w:rPr>
      </w:pPr>
    </w:p>
    <w:p w:rsidR="009C1460" w:rsidRDefault="009C1460" w:rsidP="00371149">
      <w:pPr>
        <w:keepLines/>
        <w:tabs>
          <w:tab w:val="left" w:pos="360"/>
        </w:tabs>
        <w:spacing w:after="80"/>
        <w:ind w:left="360"/>
        <w:rPr>
          <w:sz w:val="22"/>
          <w:szCs w:val="22"/>
        </w:rPr>
      </w:pPr>
    </w:p>
    <w:p w:rsidR="0049100E" w:rsidRPr="00371149" w:rsidRDefault="0049100E" w:rsidP="00371149">
      <w:pPr>
        <w:keepLines/>
        <w:tabs>
          <w:tab w:val="left" w:pos="360"/>
        </w:tabs>
        <w:spacing w:after="80"/>
        <w:ind w:left="360"/>
        <w:rPr>
          <w:color w:val="000000"/>
          <w:sz w:val="22"/>
          <w:szCs w:val="22"/>
        </w:rPr>
      </w:pPr>
    </w:p>
    <w:p w:rsidR="00D746F6" w:rsidRDefault="00D746F6" w:rsidP="00020DC4">
      <w:pPr>
        <w:rPr>
          <w:sz w:val="24"/>
          <w:szCs w:val="24"/>
        </w:rPr>
      </w:pPr>
    </w:p>
    <w:p w:rsidR="00C53525" w:rsidRDefault="00C53525">
      <w:pPr>
        <w:tabs>
          <w:tab w:val="left" w:pos="360"/>
        </w:tabs>
        <w:ind w:left="360" w:hanging="360"/>
        <w:rPr>
          <w:sz w:val="18"/>
        </w:rPr>
      </w:pPr>
      <w:r>
        <w:rPr>
          <w:sz w:val="18"/>
        </w:rPr>
        <w:t>9.</w:t>
      </w:r>
      <w:r>
        <w:rPr>
          <w:sz w:val="18"/>
        </w:rPr>
        <w:tab/>
        <w:t>Explain any decision to provide any payment or gift t</w:t>
      </w:r>
      <w:r w:rsidR="0048334E">
        <w:rPr>
          <w:sz w:val="18"/>
        </w:rPr>
        <w:t>o respondents, other than remun</w:t>
      </w:r>
      <w:r>
        <w:rPr>
          <w:sz w:val="18"/>
        </w:rPr>
        <w:t>eration of contractors or grantees.</w:t>
      </w:r>
    </w:p>
    <w:p w:rsidR="0049100E" w:rsidRDefault="0049100E">
      <w:pPr>
        <w:tabs>
          <w:tab w:val="left" w:pos="360"/>
          <w:tab w:val="left" w:pos="720"/>
        </w:tabs>
        <w:ind w:left="360"/>
        <w:rPr>
          <w:sz w:val="24"/>
        </w:rPr>
      </w:pPr>
    </w:p>
    <w:p w:rsidR="00C53525" w:rsidRDefault="0049100E">
      <w:pPr>
        <w:tabs>
          <w:tab w:val="left" w:pos="360"/>
          <w:tab w:val="left" w:pos="720"/>
        </w:tabs>
        <w:ind w:left="360"/>
        <w:rPr>
          <w:rFonts w:ascii="Arial" w:hAnsi="Arial"/>
          <w:sz w:val="24"/>
        </w:rPr>
      </w:pPr>
      <w:r w:rsidRPr="0049100E">
        <w:rPr>
          <w:sz w:val="22"/>
          <w:szCs w:val="22"/>
        </w:rPr>
        <w:t>No payment or gifts are provided to respondents</w:t>
      </w:r>
      <w:r w:rsidRPr="00617A50">
        <w:rPr>
          <w:sz w:val="24"/>
        </w:rPr>
        <w:t>.</w:t>
      </w: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10.</w:t>
      </w:r>
      <w:r>
        <w:rPr>
          <w:sz w:val="18"/>
        </w:rPr>
        <w:tab/>
        <w:t>Describe any assurance of confidentiality provided to respondents and the basis for assurance in statute, regulation or agency policy.</w:t>
      </w:r>
    </w:p>
    <w:p w:rsidR="00C53525" w:rsidRDefault="00C53525">
      <w:pPr>
        <w:tabs>
          <w:tab w:val="left" w:pos="360"/>
        </w:tabs>
        <w:ind w:left="360" w:hanging="360"/>
        <w:rPr>
          <w:sz w:val="18"/>
        </w:rPr>
      </w:pPr>
    </w:p>
    <w:p w:rsidR="0049100E" w:rsidRPr="0049100E" w:rsidRDefault="00DB11BA" w:rsidP="002D10DC">
      <w:pPr>
        <w:ind w:left="360"/>
        <w:rPr>
          <w:color w:val="000000"/>
          <w:sz w:val="22"/>
          <w:szCs w:val="22"/>
        </w:rPr>
      </w:pPr>
      <w:r w:rsidRPr="002D10DC">
        <w:rPr>
          <w:sz w:val="22"/>
          <w:szCs w:val="22"/>
        </w:rPr>
        <w:t>The information on th</w:t>
      </w:r>
      <w:r w:rsidR="004F4DC9">
        <w:rPr>
          <w:sz w:val="22"/>
          <w:szCs w:val="22"/>
        </w:rPr>
        <w:t xml:space="preserve">is questionnaire does </w:t>
      </w:r>
      <w:r w:rsidR="002D10DC" w:rsidRPr="002D10DC">
        <w:rPr>
          <w:sz w:val="22"/>
          <w:szCs w:val="22"/>
        </w:rPr>
        <w:t xml:space="preserve">include </w:t>
      </w:r>
      <w:r w:rsidR="001F4828">
        <w:rPr>
          <w:sz w:val="22"/>
          <w:szCs w:val="22"/>
        </w:rPr>
        <w:t xml:space="preserve">limited </w:t>
      </w:r>
      <w:r w:rsidR="002D10DC" w:rsidRPr="002D10DC">
        <w:rPr>
          <w:sz w:val="22"/>
          <w:szCs w:val="22"/>
        </w:rPr>
        <w:t>sensitive information</w:t>
      </w:r>
      <w:r w:rsidR="001F4828">
        <w:rPr>
          <w:sz w:val="22"/>
          <w:szCs w:val="22"/>
        </w:rPr>
        <w:t xml:space="preserve"> to identify the individual submitting the questionnaire</w:t>
      </w:r>
      <w:r w:rsidR="004F4DC9">
        <w:rPr>
          <w:sz w:val="22"/>
          <w:szCs w:val="22"/>
        </w:rPr>
        <w:t xml:space="preserve">.  </w:t>
      </w:r>
      <w:r w:rsidR="008463CA">
        <w:rPr>
          <w:sz w:val="22"/>
          <w:szCs w:val="22"/>
        </w:rPr>
        <w:t xml:space="preserve">It is maintained in the system. </w:t>
      </w:r>
      <w:r w:rsidRPr="002D10DC">
        <w:rPr>
          <w:color w:val="000000"/>
          <w:sz w:val="22"/>
          <w:szCs w:val="22"/>
        </w:rPr>
        <w:tab/>
      </w:r>
    </w:p>
    <w:p w:rsidR="0049100E" w:rsidRDefault="0049100E">
      <w:pPr>
        <w:tabs>
          <w:tab w:val="left" w:pos="360"/>
        </w:tabs>
        <w:ind w:left="360" w:hanging="360"/>
        <w:rPr>
          <w:sz w:val="18"/>
        </w:rPr>
      </w:pPr>
    </w:p>
    <w:p w:rsidR="0049100E" w:rsidRDefault="00C53525" w:rsidP="0049100E">
      <w:pPr>
        <w:tabs>
          <w:tab w:val="left" w:pos="360"/>
        </w:tabs>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9100E" w:rsidRDefault="0049100E" w:rsidP="0049100E">
      <w:pPr>
        <w:tabs>
          <w:tab w:val="left" w:pos="360"/>
        </w:tabs>
        <w:ind w:left="360" w:hanging="360"/>
        <w:rPr>
          <w:sz w:val="18"/>
        </w:rPr>
      </w:pPr>
    </w:p>
    <w:p w:rsidR="00441F7F" w:rsidRPr="0049100E" w:rsidRDefault="0049100E" w:rsidP="0049100E">
      <w:pPr>
        <w:tabs>
          <w:tab w:val="left" w:pos="360"/>
        </w:tabs>
        <w:ind w:left="360" w:hanging="360"/>
        <w:rPr>
          <w:rFonts w:eastAsia="Calibri"/>
          <w:color w:val="000000"/>
          <w:sz w:val="22"/>
          <w:szCs w:val="22"/>
        </w:rPr>
      </w:pPr>
      <w:r>
        <w:rPr>
          <w:sz w:val="18"/>
        </w:rPr>
        <w:tab/>
      </w:r>
      <w:r w:rsidR="007A2E95">
        <w:rPr>
          <w:color w:val="000000"/>
          <w:sz w:val="22"/>
          <w:szCs w:val="22"/>
        </w:rPr>
        <w:t xml:space="preserve">The “sensitive nature” questions are </w:t>
      </w:r>
      <w:r w:rsidR="008F242B">
        <w:rPr>
          <w:color w:val="000000"/>
          <w:sz w:val="22"/>
          <w:szCs w:val="22"/>
        </w:rPr>
        <w:t xml:space="preserve">necessary to identify </w:t>
      </w:r>
      <w:r w:rsidR="00252430">
        <w:rPr>
          <w:color w:val="000000"/>
          <w:sz w:val="22"/>
          <w:szCs w:val="22"/>
        </w:rPr>
        <w:t>each</w:t>
      </w:r>
      <w:r w:rsidR="008F242B">
        <w:rPr>
          <w:color w:val="000000"/>
          <w:sz w:val="22"/>
          <w:szCs w:val="22"/>
        </w:rPr>
        <w:t xml:space="preserve"> </w:t>
      </w:r>
      <w:r w:rsidR="00FC1C0D">
        <w:rPr>
          <w:color w:val="000000"/>
          <w:sz w:val="22"/>
          <w:szCs w:val="22"/>
        </w:rPr>
        <w:t xml:space="preserve">individual who </w:t>
      </w:r>
      <w:r w:rsidR="00252430">
        <w:rPr>
          <w:color w:val="000000"/>
          <w:sz w:val="22"/>
          <w:szCs w:val="22"/>
        </w:rPr>
        <w:t xml:space="preserve">completes and </w:t>
      </w:r>
      <w:r w:rsidR="00FC1C0D">
        <w:rPr>
          <w:color w:val="000000"/>
          <w:sz w:val="22"/>
          <w:szCs w:val="22"/>
        </w:rPr>
        <w:t>submit</w:t>
      </w:r>
      <w:r w:rsidR="004F4DC9">
        <w:rPr>
          <w:color w:val="000000"/>
          <w:sz w:val="22"/>
          <w:szCs w:val="22"/>
        </w:rPr>
        <w:t>s</w:t>
      </w:r>
      <w:r w:rsidR="00FC1C0D">
        <w:rPr>
          <w:color w:val="000000"/>
          <w:sz w:val="22"/>
          <w:szCs w:val="22"/>
        </w:rPr>
        <w:t xml:space="preserve"> </w:t>
      </w:r>
      <w:r w:rsidR="00252430">
        <w:rPr>
          <w:color w:val="000000"/>
          <w:sz w:val="22"/>
          <w:szCs w:val="22"/>
        </w:rPr>
        <w:t>an</w:t>
      </w:r>
      <w:r w:rsidR="00FC1C0D">
        <w:rPr>
          <w:color w:val="000000"/>
          <w:sz w:val="22"/>
          <w:szCs w:val="22"/>
        </w:rPr>
        <w:t xml:space="preserve"> </w:t>
      </w:r>
      <w:r w:rsidR="004F4DC9">
        <w:rPr>
          <w:color w:val="000000"/>
          <w:sz w:val="22"/>
          <w:szCs w:val="22"/>
        </w:rPr>
        <w:t>Inspector Candidate Assessment Q</w:t>
      </w:r>
      <w:r w:rsidR="00FC1C0D">
        <w:rPr>
          <w:color w:val="000000"/>
          <w:sz w:val="22"/>
          <w:szCs w:val="22"/>
        </w:rPr>
        <w:t xml:space="preserve">uestionnaire as a prospective </w:t>
      </w:r>
      <w:r w:rsidR="008F242B">
        <w:rPr>
          <w:color w:val="000000"/>
          <w:sz w:val="22"/>
          <w:szCs w:val="22"/>
        </w:rPr>
        <w:t>inspector candidate</w:t>
      </w:r>
      <w:r w:rsidR="00767107">
        <w:rPr>
          <w:color w:val="000000"/>
          <w:sz w:val="22"/>
          <w:szCs w:val="22"/>
        </w:rPr>
        <w:t xml:space="preserve">.  HUD must know </w:t>
      </w:r>
      <w:r w:rsidR="00FC1C0D">
        <w:rPr>
          <w:color w:val="000000"/>
          <w:sz w:val="22"/>
          <w:szCs w:val="22"/>
        </w:rPr>
        <w:t xml:space="preserve">who </w:t>
      </w:r>
      <w:r w:rsidR="001400DF">
        <w:rPr>
          <w:color w:val="000000"/>
          <w:sz w:val="22"/>
          <w:szCs w:val="22"/>
        </w:rPr>
        <w:t xml:space="preserve">the person </w:t>
      </w:r>
      <w:r w:rsidR="00FC1C0D">
        <w:rPr>
          <w:color w:val="000000"/>
          <w:sz w:val="22"/>
          <w:szCs w:val="22"/>
        </w:rPr>
        <w:t xml:space="preserve">is </w:t>
      </w:r>
      <w:r w:rsidR="001400DF">
        <w:rPr>
          <w:color w:val="000000"/>
          <w:sz w:val="22"/>
          <w:szCs w:val="22"/>
        </w:rPr>
        <w:t xml:space="preserve">that  </w:t>
      </w:r>
      <w:r w:rsidR="00887D64">
        <w:rPr>
          <w:color w:val="000000"/>
          <w:sz w:val="22"/>
          <w:szCs w:val="22"/>
        </w:rPr>
        <w:t>submitt</w:t>
      </w:r>
      <w:r w:rsidR="00FB4BB4">
        <w:rPr>
          <w:color w:val="000000"/>
          <w:sz w:val="22"/>
          <w:szCs w:val="22"/>
        </w:rPr>
        <w:t>ed</w:t>
      </w:r>
      <w:r w:rsidR="00887D64">
        <w:rPr>
          <w:color w:val="000000"/>
          <w:sz w:val="22"/>
          <w:szCs w:val="22"/>
        </w:rPr>
        <w:t xml:space="preserve"> the Questionnaire</w:t>
      </w:r>
      <w:r w:rsidR="005B2F50">
        <w:rPr>
          <w:color w:val="000000"/>
          <w:sz w:val="22"/>
          <w:szCs w:val="22"/>
        </w:rPr>
        <w:t xml:space="preserve"> and wishes to be </w:t>
      </w:r>
      <w:r w:rsidR="00576F4D">
        <w:rPr>
          <w:color w:val="000000"/>
          <w:sz w:val="22"/>
          <w:szCs w:val="22"/>
        </w:rPr>
        <w:t xml:space="preserve">obtain benefits </w:t>
      </w:r>
      <w:r w:rsidR="0073380A">
        <w:rPr>
          <w:color w:val="000000"/>
          <w:sz w:val="22"/>
          <w:szCs w:val="22"/>
        </w:rPr>
        <w:t xml:space="preserve">by having his/her prior knowledge and inspection skills and abilities </w:t>
      </w:r>
      <w:r w:rsidR="005B2F50">
        <w:rPr>
          <w:color w:val="000000"/>
          <w:sz w:val="22"/>
          <w:szCs w:val="22"/>
        </w:rPr>
        <w:t xml:space="preserve">assessed </w:t>
      </w:r>
      <w:r w:rsidR="0073380A">
        <w:rPr>
          <w:color w:val="000000"/>
          <w:sz w:val="22"/>
          <w:szCs w:val="22"/>
        </w:rPr>
        <w:t>to</w:t>
      </w:r>
      <w:r w:rsidR="005B2F50">
        <w:rPr>
          <w:color w:val="000000"/>
          <w:sz w:val="22"/>
          <w:szCs w:val="22"/>
        </w:rPr>
        <w:t xml:space="preserve"> </w:t>
      </w:r>
      <w:r w:rsidR="00767107">
        <w:rPr>
          <w:color w:val="000000"/>
          <w:sz w:val="22"/>
          <w:szCs w:val="22"/>
        </w:rPr>
        <w:t xml:space="preserve">determine </w:t>
      </w:r>
      <w:r w:rsidR="0073380A">
        <w:rPr>
          <w:color w:val="000000"/>
          <w:sz w:val="22"/>
          <w:szCs w:val="22"/>
        </w:rPr>
        <w:t xml:space="preserve">if they </w:t>
      </w:r>
      <w:r w:rsidR="00767107">
        <w:rPr>
          <w:color w:val="000000"/>
          <w:sz w:val="22"/>
          <w:szCs w:val="22"/>
        </w:rPr>
        <w:t xml:space="preserve">meet the requirements to attend the </w:t>
      </w:r>
      <w:r w:rsidR="00576F4D">
        <w:rPr>
          <w:color w:val="000000"/>
          <w:sz w:val="22"/>
          <w:szCs w:val="22"/>
        </w:rPr>
        <w:t xml:space="preserve">UPCS </w:t>
      </w:r>
      <w:r w:rsidR="00767107">
        <w:rPr>
          <w:color w:val="000000"/>
          <w:sz w:val="22"/>
          <w:szCs w:val="22"/>
        </w:rPr>
        <w:t>training</w:t>
      </w:r>
      <w:r w:rsidR="00FF28FA">
        <w:rPr>
          <w:color w:val="000000"/>
          <w:sz w:val="22"/>
          <w:szCs w:val="22"/>
        </w:rPr>
        <w:t>.  HUD</w:t>
      </w:r>
      <w:r w:rsidR="008C1737">
        <w:rPr>
          <w:color w:val="000000"/>
          <w:sz w:val="22"/>
          <w:szCs w:val="22"/>
        </w:rPr>
        <w:t xml:space="preserve"> also </w:t>
      </w:r>
      <w:r w:rsidR="00FF28FA">
        <w:rPr>
          <w:color w:val="000000"/>
          <w:sz w:val="22"/>
          <w:szCs w:val="22"/>
        </w:rPr>
        <w:t xml:space="preserve">must </w:t>
      </w:r>
      <w:r w:rsidR="00310222">
        <w:rPr>
          <w:color w:val="000000"/>
          <w:sz w:val="22"/>
          <w:szCs w:val="22"/>
        </w:rPr>
        <w:t xml:space="preserve">know </w:t>
      </w:r>
      <w:r w:rsidR="0025239C">
        <w:rPr>
          <w:color w:val="000000"/>
          <w:sz w:val="22"/>
          <w:szCs w:val="22"/>
        </w:rPr>
        <w:t>which qualified individual</w:t>
      </w:r>
      <w:r w:rsidR="005D2D28">
        <w:rPr>
          <w:color w:val="000000"/>
          <w:sz w:val="22"/>
          <w:szCs w:val="22"/>
        </w:rPr>
        <w:t>s</w:t>
      </w:r>
      <w:r w:rsidR="0025239C">
        <w:rPr>
          <w:color w:val="000000"/>
          <w:sz w:val="22"/>
          <w:szCs w:val="22"/>
        </w:rPr>
        <w:t xml:space="preserve"> to invite to </w:t>
      </w:r>
      <w:r w:rsidR="00576F4D">
        <w:rPr>
          <w:color w:val="000000"/>
          <w:sz w:val="22"/>
          <w:szCs w:val="22"/>
        </w:rPr>
        <w:t>scheduled</w:t>
      </w:r>
      <w:r w:rsidR="00310222">
        <w:rPr>
          <w:color w:val="000000"/>
          <w:sz w:val="22"/>
          <w:szCs w:val="22"/>
        </w:rPr>
        <w:t xml:space="preserve"> UPCS training if </w:t>
      </w:r>
      <w:r w:rsidR="00576F4D">
        <w:rPr>
          <w:color w:val="000000"/>
          <w:sz w:val="22"/>
          <w:szCs w:val="22"/>
        </w:rPr>
        <w:t>an</w:t>
      </w:r>
      <w:r w:rsidR="00FF28FA">
        <w:rPr>
          <w:color w:val="000000"/>
          <w:sz w:val="22"/>
          <w:szCs w:val="22"/>
        </w:rPr>
        <w:t xml:space="preserve"> individual</w:t>
      </w:r>
      <w:r w:rsidR="00310222">
        <w:rPr>
          <w:color w:val="000000"/>
          <w:sz w:val="22"/>
          <w:szCs w:val="22"/>
        </w:rPr>
        <w:t xml:space="preserve"> meet</w:t>
      </w:r>
      <w:r w:rsidR="00FF28FA">
        <w:rPr>
          <w:color w:val="000000"/>
          <w:sz w:val="22"/>
          <w:szCs w:val="22"/>
        </w:rPr>
        <w:t>s</w:t>
      </w:r>
      <w:r w:rsidR="00310222">
        <w:rPr>
          <w:color w:val="000000"/>
          <w:sz w:val="22"/>
          <w:szCs w:val="22"/>
        </w:rPr>
        <w:t xml:space="preserve"> the requirements</w:t>
      </w:r>
      <w:r w:rsidR="00FB4BB4">
        <w:rPr>
          <w:color w:val="000000"/>
          <w:sz w:val="22"/>
          <w:szCs w:val="22"/>
        </w:rPr>
        <w:t>,</w:t>
      </w:r>
      <w:r w:rsidR="00310222">
        <w:rPr>
          <w:color w:val="000000"/>
          <w:sz w:val="22"/>
          <w:szCs w:val="22"/>
        </w:rPr>
        <w:t xml:space="preserve"> </w:t>
      </w:r>
      <w:r w:rsidR="00EB7F1C">
        <w:rPr>
          <w:color w:val="000000"/>
          <w:sz w:val="22"/>
          <w:szCs w:val="22"/>
        </w:rPr>
        <w:t xml:space="preserve">and </w:t>
      </w:r>
      <w:r w:rsidR="0025239C">
        <w:rPr>
          <w:color w:val="000000"/>
          <w:sz w:val="22"/>
          <w:szCs w:val="22"/>
        </w:rPr>
        <w:t>after successful completion of the entire training program</w:t>
      </w:r>
      <w:r w:rsidR="005D2D28">
        <w:rPr>
          <w:color w:val="000000"/>
          <w:sz w:val="22"/>
          <w:szCs w:val="22"/>
        </w:rPr>
        <w:t>, which individuals will be</w:t>
      </w:r>
      <w:r w:rsidR="0025239C">
        <w:rPr>
          <w:color w:val="000000"/>
          <w:sz w:val="22"/>
          <w:szCs w:val="22"/>
        </w:rPr>
        <w:t xml:space="preserve"> </w:t>
      </w:r>
      <w:r w:rsidR="00C120F5">
        <w:rPr>
          <w:color w:val="000000"/>
          <w:sz w:val="22"/>
          <w:szCs w:val="22"/>
        </w:rPr>
        <w:t>certified as a HUD UPCS inspector authorized to conduct UPCS inspection of HUD insured and assisted properties pursuant to contracts with HUD</w:t>
      </w:r>
      <w:r w:rsidR="002B5B35">
        <w:rPr>
          <w:color w:val="000000"/>
          <w:sz w:val="22"/>
          <w:szCs w:val="22"/>
        </w:rPr>
        <w:t xml:space="preserve"> and  issued a unique personal ID.</w:t>
      </w:r>
      <w:r w:rsidR="00C120F5">
        <w:rPr>
          <w:color w:val="000000"/>
          <w:sz w:val="22"/>
          <w:szCs w:val="22"/>
        </w:rPr>
        <w:t xml:space="preserve">  The </w:t>
      </w:r>
      <w:r w:rsidR="00B84937">
        <w:rPr>
          <w:color w:val="000000"/>
          <w:sz w:val="22"/>
          <w:szCs w:val="22"/>
        </w:rPr>
        <w:t xml:space="preserve">collection is voluntary but is it required for </w:t>
      </w:r>
      <w:r w:rsidR="00C120F5">
        <w:rPr>
          <w:color w:val="000000"/>
          <w:sz w:val="22"/>
          <w:szCs w:val="22"/>
        </w:rPr>
        <w:t xml:space="preserve">individuals </w:t>
      </w:r>
      <w:r w:rsidR="00B84937">
        <w:rPr>
          <w:color w:val="000000"/>
          <w:sz w:val="22"/>
          <w:szCs w:val="22"/>
        </w:rPr>
        <w:t xml:space="preserve">who elect to be </w:t>
      </w:r>
      <w:r w:rsidR="00721636">
        <w:rPr>
          <w:color w:val="000000"/>
          <w:sz w:val="22"/>
          <w:szCs w:val="22"/>
        </w:rPr>
        <w:t xml:space="preserve">considered </w:t>
      </w:r>
      <w:r w:rsidR="005D2D28">
        <w:rPr>
          <w:color w:val="000000"/>
          <w:sz w:val="22"/>
          <w:szCs w:val="22"/>
        </w:rPr>
        <w:t>to be trained as</w:t>
      </w:r>
      <w:r w:rsidR="007050AD">
        <w:rPr>
          <w:color w:val="000000"/>
          <w:sz w:val="22"/>
          <w:szCs w:val="22"/>
        </w:rPr>
        <w:t xml:space="preserve"> a</w:t>
      </w:r>
      <w:r w:rsidR="00B84937">
        <w:rPr>
          <w:color w:val="000000"/>
          <w:sz w:val="22"/>
          <w:szCs w:val="22"/>
        </w:rPr>
        <w:t xml:space="preserve"> HUD UPCS</w:t>
      </w:r>
      <w:r w:rsidR="00721636">
        <w:rPr>
          <w:color w:val="000000"/>
          <w:sz w:val="22"/>
          <w:szCs w:val="22"/>
        </w:rPr>
        <w:t xml:space="preserve"> inspector candidate</w:t>
      </w:r>
      <w:r w:rsidR="00FF28FA">
        <w:rPr>
          <w:color w:val="000000"/>
          <w:sz w:val="22"/>
          <w:szCs w:val="22"/>
        </w:rPr>
        <w:t xml:space="preserve">. </w:t>
      </w:r>
      <w:r w:rsidR="008F242B">
        <w:rPr>
          <w:color w:val="000000"/>
          <w:sz w:val="22"/>
          <w:szCs w:val="22"/>
        </w:rPr>
        <w:t xml:space="preserve">  </w:t>
      </w:r>
    </w:p>
    <w:p w:rsidR="00C53525" w:rsidRDefault="00C53525" w:rsidP="00D746F6">
      <w:pPr>
        <w:rPr>
          <w:sz w:val="24"/>
          <w:szCs w:val="24"/>
        </w:rPr>
      </w:pPr>
    </w:p>
    <w:p w:rsidR="00C53525" w:rsidRDefault="00C53525">
      <w:pPr>
        <w:tabs>
          <w:tab w:val="left" w:pos="360"/>
        </w:tabs>
        <w:ind w:left="360" w:hanging="360"/>
        <w:rPr>
          <w:sz w:val="18"/>
        </w:rPr>
      </w:pPr>
      <w:r>
        <w:rPr>
          <w:sz w:val="18"/>
        </w:rPr>
        <w:t>12.</w:t>
      </w:r>
      <w:r>
        <w:rPr>
          <w:sz w:val="18"/>
        </w:rPr>
        <w:tab/>
        <w:t>Provide estimates</w:t>
      </w:r>
      <w:r w:rsidR="00DD4873">
        <w:rPr>
          <w:sz w:val="18"/>
        </w:rPr>
        <w:t xml:space="preserve"> </w:t>
      </w:r>
      <w:r>
        <w:rPr>
          <w:sz w:val="18"/>
        </w:rPr>
        <w:t xml:space="preserve">of the hour burden of the collection of information.  The statement should: </w:t>
      </w:r>
    </w:p>
    <w:p w:rsidR="00C53525" w:rsidRDefault="00C53525">
      <w:pPr>
        <w:numPr>
          <w:ilvl w:val="0"/>
          <w:numId w:val="8"/>
        </w:numPr>
        <w:tabs>
          <w:tab w:val="left" w:pos="480"/>
        </w:tabs>
        <w:ind w:left="480"/>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C53525" w:rsidRDefault="00C53525">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C53525" w:rsidRDefault="00C53525">
      <w:pPr>
        <w:numPr>
          <w:ilvl w:val="0"/>
          <w:numId w:val="8"/>
        </w:numPr>
        <w:tabs>
          <w:tab w:val="left" w:pos="480"/>
        </w:tabs>
        <w:ind w:left="480"/>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53525" w:rsidRDefault="00C53525">
      <w:pPr>
        <w:tabs>
          <w:tab w:val="left" w:pos="360"/>
          <w:tab w:val="left" w:pos="720"/>
        </w:tabs>
        <w:ind w:left="360"/>
        <w:rPr>
          <w:rFonts w:ascii="Arial" w:hAnsi="Arial"/>
          <w:sz w:val="24"/>
        </w:rPr>
      </w:pPr>
    </w:p>
    <w:p w:rsidR="0049100E" w:rsidRPr="0049100E" w:rsidRDefault="0049100E" w:rsidP="0049100E">
      <w:pPr>
        <w:pStyle w:val="BodyTextIndent"/>
        <w:keepLines/>
        <w:tabs>
          <w:tab w:val="clear" w:pos="360"/>
          <w:tab w:val="clear" w:pos="720"/>
        </w:tabs>
        <w:spacing w:after="80"/>
        <w:rPr>
          <w:rFonts w:ascii="Times New Roman" w:hAnsi="Times New Roman" w:cs="Times New Roman"/>
          <w:sz w:val="22"/>
          <w:szCs w:val="22"/>
        </w:rPr>
      </w:pPr>
      <w:r w:rsidRPr="0049100E">
        <w:rPr>
          <w:rFonts w:ascii="Times New Roman" w:hAnsi="Times New Roman" w:cs="Times New Roman"/>
          <w:sz w:val="22"/>
          <w:szCs w:val="22"/>
        </w:rPr>
        <w:t>The estimated public burden hours is based on the actual annual number of application received over the past 2 ¾ years.  In order to conduct physical condition inspections of approximately 14,000 multifamily and PHA projects annually, HUD utilizes contract inspectors that are trained in the UPCS protocol and certified by PIH-REAC.  This questionnaire provides PIH-REAC with basic knowledge of an inspection candidate’s inspection skills and abilities, and a determination is then made as to whether an inspection candidate has the required basic skills and abilities.</w:t>
      </w:r>
    </w:p>
    <w:p w:rsidR="0049100E" w:rsidRPr="0049100E" w:rsidRDefault="0049100E" w:rsidP="0049100E">
      <w:pPr>
        <w:keepLines/>
        <w:tabs>
          <w:tab w:val="left" w:pos="360"/>
          <w:tab w:val="left" w:pos="720"/>
        </w:tabs>
        <w:ind w:left="360"/>
        <w:rPr>
          <w:color w:val="000000"/>
          <w:sz w:val="22"/>
          <w:szCs w:val="22"/>
        </w:rPr>
      </w:pPr>
    </w:p>
    <w:tbl>
      <w:tblPr>
        <w:tblW w:w="9180" w:type="dxa"/>
        <w:tblInd w:w="815" w:type="dxa"/>
        <w:tblLayout w:type="fixed"/>
        <w:tblCellMar>
          <w:left w:w="0" w:type="dxa"/>
          <w:right w:w="0" w:type="dxa"/>
        </w:tblCellMar>
        <w:tblLook w:val="0000"/>
      </w:tblPr>
      <w:tblGrid>
        <w:gridCol w:w="1980"/>
        <w:gridCol w:w="1260"/>
        <w:gridCol w:w="1350"/>
        <w:gridCol w:w="450"/>
        <w:gridCol w:w="1620"/>
        <w:gridCol w:w="450"/>
        <w:gridCol w:w="2070"/>
      </w:tblGrid>
      <w:tr w:rsidR="0049100E" w:rsidTr="0049100E">
        <w:trPr>
          <w:cantSplit/>
          <w:trHeight w:val="432"/>
        </w:trPr>
        <w:tc>
          <w:tcPr>
            <w:tcW w:w="9180" w:type="dxa"/>
            <w:gridSpan w:val="7"/>
            <w:tcBorders>
              <w:top w:val="single" w:sz="4" w:space="0" w:color="auto"/>
              <w:left w:val="single" w:sz="4" w:space="0" w:color="auto"/>
              <w:bottom w:val="single" w:sz="4" w:space="0" w:color="auto"/>
              <w:right w:val="single" w:sz="4" w:space="0" w:color="auto"/>
            </w:tcBorders>
            <w:vAlign w:val="center"/>
          </w:tcPr>
          <w:p w:rsidR="0049100E" w:rsidRDefault="0049100E" w:rsidP="0049100E">
            <w:pPr>
              <w:pStyle w:val="Heading6"/>
              <w:overflowPunct w:val="0"/>
              <w:autoSpaceDE w:val="0"/>
              <w:autoSpaceDN w:val="0"/>
              <w:adjustRightInd w:val="0"/>
              <w:textAlignment w:val="baseline"/>
              <w:rPr>
                <w:u w:val="single"/>
              </w:rPr>
            </w:pPr>
            <w:r>
              <w:t>Total Burden Hour Estimates</w:t>
            </w:r>
          </w:p>
        </w:tc>
      </w:tr>
      <w:tr w:rsidR="0049100E" w:rsidTr="0049100E">
        <w:trPr>
          <w:trHeight w:val="510"/>
        </w:trPr>
        <w:tc>
          <w:tcPr>
            <w:tcW w:w="1980" w:type="dxa"/>
            <w:tcBorders>
              <w:top w:val="single" w:sz="4" w:space="0" w:color="auto"/>
              <w:left w:val="single" w:sz="4" w:space="0" w:color="auto"/>
              <w:bottom w:val="single" w:sz="4" w:space="0" w:color="auto"/>
              <w:right w:val="single" w:sz="4" w:space="0" w:color="auto"/>
            </w:tcBorders>
          </w:tcPr>
          <w:p w:rsidR="0049100E" w:rsidRDefault="0049100E" w:rsidP="0049100E">
            <w:pPr>
              <w:keepNext/>
              <w:jc w:val="center"/>
              <w:rPr>
                <w:b/>
                <w:bCs/>
                <w:sz w:val="22"/>
              </w:rPr>
            </w:pPr>
          </w:p>
          <w:p w:rsidR="0049100E" w:rsidRDefault="0049100E" w:rsidP="0049100E">
            <w:pPr>
              <w:keepNext/>
              <w:jc w:val="center"/>
              <w:rPr>
                <w:b/>
                <w:bCs/>
                <w:sz w:val="22"/>
              </w:rPr>
            </w:pPr>
          </w:p>
          <w:p w:rsidR="0049100E" w:rsidRDefault="0049100E" w:rsidP="0049100E">
            <w:pPr>
              <w:keepNext/>
              <w:jc w:val="center"/>
              <w:rPr>
                <w:b/>
                <w:bCs/>
                <w:sz w:val="22"/>
              </w:rPr>
            </w:pPr>
            <w:r>
              <w:rPr>
                <w:b/>
                <w:bCs/>
                <w:sz w:val="22"/>
              </w:rPr>
              <w:t>Type of Burden</w:t>
            </w:r>
          </w:p>
        </w:tc>
        <w:tc>
          <w:tcPr>
            <w:tcW w:w="126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b/>
                <w:bCs/>
                <w:sz w:val="22"/>
              </w:rPr>
            </w:pPr>
            <w:r>
              <w:rPr>
                <w:b/>
                <w:bCs/>
                <w:sz w:val="22"/>
              </w:rPr>
              <w:t>Number of Respondents</w:t>
            </w:r>
          </w:p>
        </w:tc>
        <w:tc>
          <w:tcPr>
            <w:tcW w:w="135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b/>
                <w:bCs/>
                <w:sz w:val="22"/>
              </w:rPr>
            </w:pPr>
            <w:r>
              <w:rPr>
                <w:b/>
                <w:bCs/>
                <w:sz w:val="22"/>
              </w:rPr>
              <w:t>Annual Frequency of Requirement</w:t>
            </w:r>
          </w:p>
        </w:tc>
        <w:tc>
          <w:tcPr>
            <w:tcW w:w="45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b/>
                <w:bCs/>
                <w:sz w:val="22"/>
              </w:rPr>
            </w:pPr>
            <w:r>
              <w:rPr>
                <w:b/>
                <w:bCs/>
                <w:sz w:val="22"/>
              </w:rPr>
              <w:t>X</w:t>
            </w:r>
          </w:p>
        </w:tc>
        <w:tc>
          <w:tcPr>
            <w:tcW w:w="1620" w:type="dxa"/>
            <w:tcBorders>
              <w:top w:val="single" w:sz="4" w:space="0" w:color="auto"/>
              <w:left w:val="single" w:sz="4" w:space="0" w:color="auto"/>
              <w:bottom w:val="single" w:sz="4" w:space="0" w:color="auto"/>
              <w:right w:val="single" w:sz="4" w:space="0" w:color="auto"/>
            </w:tcBorders>
            <w:vAlign w:val="bottom"/>
          </w:tcPr>
          <w:p w:rsidR="0049100E" w:rsidRDefault="0049100E" w:rsidP="0049100E">
            <w:pPr>
              <w:keepNext/>
              <w:jc w:val="center"/>
              <w:rPr>
                <w:b/>
                <w:bCs/>
                <w:sz w:val="22"/>
              </w:rPr>
            </w:pPr>
            <w:r>
              <w:rPr>
                <w:b/>
                <w:bCs/>
                <w:sz w:val="22"/>
              </w:rPr>
              <w:t xml:space="preserve">Est. Avg. Time for Requirement (Hours) </w:t>
            </w:r>
          </w:p>
        </w:tc>
        <w:tc>
          <w:tcPr>
            <w:tcW w:w="45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b/>
                <w:bCs/>
                <w:sz w:val="22"/>
              </w:rPr>
            </w:pPr>
            <w:r>
              <w:rPr>
                <w:b/>
                <w:bCs/>
                <w:sz w:val="22"/>
              </w:rPr>
              <w:t>=</w:t>
            </w:r>
          </w:p>
        </w:tc>
        <w:tc>
          <w:tcPr>
            <w:tcW w:w="207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b/>
                <w:bCs/>
                <w:sz w:val="22"/>
              </w:rPr>
            </w:pPr>
            <w:r>
              <w:rPr>
                <w:b/>
                <w:bCs/>
                <w:sz w:val="22"/>
              </w:rPr>
              <w:t>Est. Annual Burden (Hours)</w:t>
            </w:r>
          </w:p>
        </w:tc>
      </w:tr>
      <w:tr w:rsidR="0049100E" w:rsidTr="0049100E">
        <w:trPr>
          <w:trHeight w:val="387"/>
        </w:trPr>
        <w:tc>
          <w:tcPr>
            <w:tcW w:w="198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rPr>
                <w:sz w:val="22"/>
              </w:rPr>
            </w:pPr>
            <w:r>
              <w:rPr>
                <w:sz w:val="22"/>
              </w:rPr>
              <w:t>On-Line Application</w:t>
            </w:r>
          </w:p>
        </w:tc>
        <w:tc>
          <w:tcPr>
            <w:tcW w:w="126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sz w:val="22"/>
              </w:rPr>
            </w:pPr>
            <w:r>
              <w:rPr>
                <w:sz w:val="22"/>
              </w:rPr>
              <w:t>800</w:t>
            </w:r>
          </w:p>
        </w:tc>
        <w:tc>
          <w:tcPr>
            <w:tcW w:w="135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sz w:val="22"/>
              </w:rPr>
            </w:pPr>
            <w:r>
              <w:rPr>
                <w:sz w:val="22"/>
              </w:rPr>
              <w:t>1</w:t>
            </w:r>
          </w:p>
        </w:tc>
        <w:tc>
          <w:tcPr>
            <w:tcW w:w="45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sz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sz w:val="22"/>
              </w:rPr>
            </w:pPr>
            <w:r>
              <w:rPr>
                <w:sz w:val="22"/>
              </w:rPr>
              <w:t>.25</w:t>
            </w:r>
          </w:p>
        </w:tc>
        <w:tc>
          <w:tcPr>
            <w:tcW w:w="45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sz w:val="22"/>
              </w:rPr>
            </w:pPr>
          </w:p>
        </w:tc>
        <w:tc>
          <w:tcPr>
            <w:tcW w:w="207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sz w:val="22"/>
              </w:rPr>
            </w:pPr>
            <w:r>
              <w:rPr>
                <w:sz w:val="22"/>
              </w:rPr>
              <w:t>200</w:t>
            </w:r>
          </w:p>
        </w:tc>
      </w:tr>
      <w:tr w:rsidR="0049100E" w:rsidTr="0049100E">
        <w:trPr>
          <w:trHeight w:val="387"/>
        </w:trPr>
        <w:tc>
          <w:tcPr>
            <w:tcW w:w="198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rPr>
                <w:sz w:val="22"/>
              </w:rPr>
            </w:pPr>
            <w:r>
              <w:rPr>
                <w:sz w:val="22"/>
              </w:rPr>
              <w:t>Documentation Copying</w:t>
            </w:r>
          </w:p>
        </w:tc>
        <w:tc>
          <w:tcPr>
            <w:tcW w:w="126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sz w:val="22"/>
              </w:rPr>
            </w:pPr>
            <w:r>
              <w:rPr>
                <w:sz w:val="22"/>
              </w:rPr>
              <w:t>800</w:t>
            </w:r>
          </w:p>
        </w:tc>
        <w:tc>
          <w:tcPr>
            <w:tcW w:w="135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sz w:val="22"/>
              </w:rPr>
            </w:pPr>
            <w:r>
              <w:rPr>
                <w:sz w:val="22"/>
              </w:rPr>
              <w:t>1</w:t>
            </w:r>
          </w:p>
        </w:tc>
        <w:tc>
          <w:tcPr>
            <w:tcW w:w="45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sz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sz w:val="22"/>
              </w:rPr>
            </w:pPr>
            <w:r>
              <w:rPr>
                <w:sz w:val="22"/>
              </w:rPr>
              <w:t>.75</w:t>
            </w:r>
          </w:p>
        </w:tc>
        <w:tc>
          <w:tcPr>
            <w:tcW w:w="45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sz w:val="22"/>
              </w:rPr>
            </w:pPr>
          </w:p>
        </w:tc>
        <w:tc>
          <w:tcPr>
            <w:tcW w:w="207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sz w:val="22"/>
              </w:rPr>
            </w:pPr>
            <w:r>
              <w:rPr>
                <w:sz w:val="22"/>
              </w:rPr>
              <w:t>600</w:t>
            </w:r>
          </w:p>
        </w:tc>
      </w:tr>
      <w:tr w:rsidR="0049100E" w:rsidTr="0049100E">
        <w:trPr>
          <w:trHeight w:val="387"/>
        </w:trPr>
        <w:tc>
          <w:tcPr>
            <w:tcW w:w="198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pStyle w:val="Heading2"/>
            </w:pPr>
            <w:r>
              <w:t>Total</w:t>
            </w:r>
          </w:p>
        </w:tc>
        <w:tc>
          <w:tcPr>
            <w:tcW w:w="126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sz w:val="22"/>
              </w:rPr>
            </w:pPr>
          </w:p>
        </w:tc>
        <w:tc>
          <w:tcPr>
            <w:tcW w:w="45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sz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sz w:val="22"/>
              </w:rPr>
            </w:pPr>
          </w:p>
        </w:tc>
        <w:tc>
          <w:tcPr>
            <w:tcW w:w="45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sz w:val="22"/>
              </w:rPr>
            </w:pPr>
          </w:p>
        </w:tc>
        <w:tc>
          <w:tcPr>
            <w:tcW w:w="2070" w:type="dxa"/>
            <w:tcBorders>
              <w:top w:val="single" w:sz="4" w:space="0" w:color="auto"/>
              <w:left w:val="single" w:sz="4" w:space="0" w:color="auto"/>
              <w:bottom w:val="single" w:sz="4" w:space="0" w:color="auto"/>
              <w:right w:val="single" w:sz="4" w:space="0" w:color="auto"/>
            </w:tcBorders>
            <w:vAlign w:val="center"/>
          </w:tcPr>
          <w:p w:rsidR="0049100E" w:rsidRDefault="0049100E" w:rsidP="0049100E">
            <w:pPr>
              <w:keepNext/>
              <w:jc w:val="center"/>
              <w:rPr>
                <w:b/>
                <w:bCs/>
                <w:sz w:val="22"/>
              </w:rPr>
            </w:pPr>
            <w:r>
              <w:rPr>
                <w:b/>
                <w:bCs/>
                <w:sz w:val="22"/>
              </w:rPr>
              <w:t>800</w:t>
            </w:r>
          </w:p>
        </w:tc>
      </w:tr>
    </w:tbl>
    <w:p w:rsidR="0049100E" w:rsidRDefault="0049100E">
      <w:pPr>
        <w:tabs>
          <w:tab w:val="left" w:pos="360"/>
          <w:tab w:val="left" w:pos="720"/>
        </w:tabs>
        <w:ind w:left="360"/>
        <w:rPr>
          <w:rFonts w:ascii="Arial" w:hAnsi="Arial"/>
          <w:sz w:val="24"/>
        </w:rPr>
      </w:pPr>
    </w:p>
    <w:p w:rsidR="00441F7F" w:rsidRDefault="00441F7F">
      <w:pPr>
        <w:tabs>
          <w:tab w:val="left" w:pos="360"/>
        </w:tabs>
        <w:ind w:left="360" w:hanging="360"/>
        <w:rPr>
          <w:sz w:val="18"/>
        </w:rPr>
      </w:pPr>
    </w:p>
    <w:p w:rsidR="00C53525" w:rsidRDefault="00C53525">
      <w:pPr>
        <w:tabs>
          <w:tab w:val="left" w:pos="360"/>
        </w:tabs>
        <w:ind w:left="360" w:hanging="360"/>
        <w:rPr>
          <w:sz w:val="18"/>
        </w:rPr>
      </w:pPr>
      <w:r>
        <w:rPr>
          <w:sz w:val="18"/>
        </w:rPr>
        <w:t>13.</w:t>
      </w:r>
      <w:r>
        <w:rPr>
          <w:sz w:val="18"/>
        </w:rPr>
        <w:tab/>
        <w:t>Provide an estimate of the total annual cost burden to respondents or record</w:t>
      </w:r>
      <w:r w:rsidR="00A1013A">
        <w:rPr>
          <w:sz w:val="18"/>
        </w:rPr>
        <w:t xml:space="preserve"> </w:t>
      </w:r>
      <w:r>
        <w:rPr>
          <w:sz w:val="18"/>
        </w:rPr>
        <w:t xml:space="preserve">keepers resulting from the collection of information (do not include the cost of any hour burden shown in Items 12 and 14). </w:t>
      </w:r>
    </w:p>
    <w:p w:rsidR="00C53525" w:rsidRDefault="00C53525">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w:t>
      </w:r>
      <w:r>
        <w:rPr>
          <w:sz w:val="18"/>
        </w:rPr>
        <w:lastRenderedPageBreak/>
        <w:t xml:space="preserve">costs will be incurred.  Capital and start-up costs include, among other items, preparations for collecting information such as purchasing computers and software; monitoring, sampling, drilling and testing equipment; and record storage facilities; </w:t>
      </w:r>
    </w:p>
    <w:p w:rsidR="00C53525" w:rsidRDefault="00C53525">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C53525" w:rsidRDefault="00C53525">
      <w:pPr>
        <w:numPr>
          <w:ilvl w:val="0"/>
          <w:numId w:val="8"/>
        </w:numPr>
        <w:tabs>
          <w:tab w:val="left" w:pos="360"/>
        </w:tabs>
        <w:ind w:left="480"/>
        <w:rPr>
          <w:sz w:val="18"/>
        </w:rPr>
      </w:pPr>
      <w:proofErr w:type="gramStart"/>
      <w:r>
        <w:rPr>
          <w:sz w:val="18"/>
        </w:rPr>
        <w:t>generally</w:t>
      </w:r>
      <w:proofErr w:type="gramEnd"/>
      <w:r>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53525" w:rsidRDefault="00C53525">
      <w:pPr>
        <w:tabs>
          <w:tab w:val="left" w:pos="360"/>
        </w:tabs>
        <w:ind w:left="336"/>
        <w:rPr>
          <w:sz w:val="18"/>
        </w:rPr>
      </w:pPr>
    </w:p>
    <w:p w:rsidR="00EE6AEB" w:rsidRPr="00EE6AEB" w:rsidRDefault="00EE6AEB" w:rsidP="00EE6AEB">
      <w:pPr>
        <w:keepLines/>
        <w:tabs>
          <w:tab w:val="left" w:pos="360"/>
          <w:tab w:val="left" w:pos="720"/>
        </w:tabs>
        <w:ind w:left="360"/>
        <w:rPr>
          <w:color w:val="000000"/>
          <w:sz w:val="22"/>
          <w:szCs w:val="22"/>
        </w:rPr>
      </w:pPr>
      <w:r w:rsidRPr="00EE6AEB">
        <w:rPr>
          <w:color w:val="000000"/>
          <w:sz w:val="22"/>
          <w:szCs w:val="22"/>
        </w:rPr>
        <w:t>The estimate for the total annual cost burden to respondents is shown, below.</w:t>
      </w:r>
    </w:p>
    <w:p w:rsidR="00EE6AEB" w:rsidRDefault="00EE6AEB" w:rsidP="00EE6AEB">
      <w:pPr>
        <w:pStyle w:val="Heading6"/>
      </w:pPr>
    </w:p>
    <w:tbl>
      <w:tblPr>
        <w:tblW w:w="9175"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90"/>
        <w:gridCol w:w="1465"/>
        <w:gridCol w:w="1530"/>
        <w:gridCol w:w="450"/>
        <w:gridCol w:w="1635"/>
        <w:gridCol w:w="435"/>
        <w:gridCol w:w="2070"/>
      </w:tblGrid>
      <w:tr w:rsidR="00EE6AEB" w:rsidTr="00B71C23">
        <w:trPr>
          <w:cantSplit/>
          <w:trHeight w:val="432"/>
        </w:trPr>
        <w:tc>
          <w:tcPr>
            <w:tcW w:w="9175" w:type="dxa"/>
            <w:gridSpan w:val="7"/>
            <w:vAlign w:val="center"/>
          </w:tcPr>
          <w:p w:rsidR="00EE6AEB" w:rsidRPr="00EE6AEB" w:rsidRDefault="00EE6AEB" w:rsidP="00B71C23">
            <w:pPr>
              <w:pStyle w:val="Heading3"/>
              <w:jc w:val="center"/>
              <w:rPr>
                <w:color w:val="auto"/>
                <w:sz w:val="24"/>
              </w:rPr>
            </w:pPr>
            <w:r w:rsidRPr="00EE6AEB">
              <w:rPr>
                <w:color w:val="auto"/>
                <w:sz w:val="24"/>
              </w:rPr>
              <w:t>Total Estimated Annual Costs to Respondents</w:t>
            </w:r>
          </w:p>
        </w:tc>
      </w:tr>
      <w:tr w:rsidR="00EE6AEB" w:rsidTr="00B71C23">
        <w:trPr>
          <w:trHeight w:val="510"/>
        </w:trPr>
        <w:tc>
          <w:tcPr>
            <w:tcW w:w="1590" w:type="dxa"/>
            <w:vAlign w:val="bottom"/>
          </w:tcPr>
          <w:p w:rsidR="00EE6AEB" w:rsidRDefault="00EE6AEB" w:rsidP="00B71C23">
            <w:pPr>
              <w:rPr>
                <w:sz w:val="22"/>
                <w:u w:val="single"/>
              </w:rPr>
            </w:pPr>
          </w:p>
        </w:tc>
        <w:tc>
          <w:tcPr>
            <w:tcW w:w="1465" w:type="dxa"/>
            <w:vAlign w:val="bottom"/>
          </w:tcPr>
          <w:p w:rsidR="00EE6AEB" w:rsidRDefault="00EE6AEB" w:rsidP="00B71C23">
            <w:pPr>
              <w:jc w:val="center"/>
              <w:rPr>
                <w:b/>
                <w:bCs/>
                <w:sz w:val="22"/>
              </w:rPr>
            </w:pPr>
            <w:r>
              <w:rPr>
                <w:b/>
                <w:bCs/>
                <w:sz w:val="22"/>
              </w:rPr>
              <w:t>Number of Respondents</w:t>
            </w:r>
          </w:p>
        </w:tc>
        <w:tc>
          <w:tcPr>
            <w:tcW w:w="1530" w:type="dxa"/>
            <w:vAlign w:val="bottom"/>
          </w:tcPr>
          <w:p w:rsidR="00EE6AEB" w:rsidRDefault="00EE6AEB" w:rsidP="00B71C23">
            <w:pPr>
              <w:jc w:val="center"/>
              <w:rPr>
                <w:b/>
                <w:bCs/>
                <w:sz w:val="22"/>
              </w:rPr>
            </w:pPr>
            <w:r>
              <w:rPr>
                <w:b/>
                <w:bCs/>
                <w:sz w:val="22"/>
              </w:rPr>
              <w:t>Total Burden Hours</w:t>
            </w:r>
          </w:p>
        </w:tc>
        <w:tc>
          <w:tcPr>
            <w:tcW w:w="450" w:type="dxa"/>
            <w:vAlign w:val="bottom"/>
          </w:tcPr>
          <w:p w:rsidR="00EE6AEB" w:rsidRPr="00EE6AEB" w:rsidRDefault="00EE6AEB" w:rsidP="00B71C23">
            <w:pPr>
              <w:jc w:val="center"/>
              <w:rPr>
                <w:b/>
                <w:bCs/>
                <w:sz w:val="22"/>
              </w:rPr>
            </w:pPr>
            <w:r w:rsidRPr="00EE6AEB">
              <w:rPr>
                <w:b/>
                <w:bCs/>
                <w:sz w:val="22"/>
              </w:rPr>
              <w:t>X</w:t>
            </w:r>
          </w:p>
        </w:tc>
        <w:tc>
          <w:tcPr>
            <w:tcW w:w="1635" w:type="dxa"/>
            <w:vAlign w:val="bottom"/>
          </w:tcPr>
          <w:p w:rsidR="00EE6AEB" w:rsidRPr="00EE6AEB" w:rsidRDefault="00EE6AEB" w:rsidP="00B71C23">
            <w:pPr>
              <w:pStyle w:val="Heading2"/>
            </w:pPr>
            <w:r w:rsidRPr="00EE6AEB">
              <w:t>Hourly Rate</w:t>
            </w:r>
          </w:p>
        </w:tc>
        <w:tc>
          <w:tcPr>
            <w:tcW w:w="435" w:type="dxa"/>
            <w:vAlign w:val="bottom"/>
          </w:tcPr>
          <w:p w:rsidR="00EE6AEB" w:rsidRDefault="00EE6AEB" w:rsidP="00B71C23">
            <w:pPr>
              <w:jc w:val="center"/>
              <w:rPr>
                <w:b/>
                <w:bCs/>
                <w:sz w:val="22"/>
              </w:rPr>
            </w:pPr>
            <w:r>
              <w:rPr>
                <w:b/>
                <w:bCs/>
                <w:sz w:val="22"/>
              </w:rPr>
              <w:t>=</w:t>
            </w:r>
          </w:p>
        </w:tc>
        <w:tc>
          <w:tcPr>
            <w:tcW w:w="2070" w:type="dxa"/>
            <w:vAlign w:val="bottom"/>
          </w:tcPr>
          <w:p w:rsidR="00EE6AEB" w:rsidRDefault="00EE6AEB" w:rsidP="00B71C23">
            <w:pPr>
              <w:pStyle w:val="Heading2"/>
            </w:pPr>
            <w:r>
              <w:t>Annualized Cost</w:t>
            </w:r>
          </w:p>
        </w:tc>
      </w:tr>
      <w:tr w:rsidR="00EE6AEB" w:rsidTr="00B71C23">
        <w:trPr>
          <w:trHeight w:val="255"/>
        </w:trPr>
        <w:tc>
          <w:tcPr>
            <w:tcW w:w="1590" w:type="dxa"/>
            <w:vAlign w:val="bottom"/>
          </w:tcPr>
          <w:p w:rsidR="00EE6AEB" w:rsidRDefault="00EE6AEB" w:rsidP="00B71C23">
            <w:pPr>
              <w:rPr>
                <w:sz w:val="22"/>
              </w:rPr>
            </w:pPr>
            <w:r>
              <w:rPr>
                <w:sz w:val="22"/>
              </w:rPr>
              <w:t>Inspector Assessment Questionnaire</w:t>
            </w:r>
          </w:p>
        </w:tc>
        <w:tc>
          <w:tcPr>
            <w:tcW w:w="1465" w:type="dxa"/>
            <w:vAlign w:val="center"/>
          </w:tcPr>
          <w:p w:rsidR="00EE6AEB" w:rsidRDefault="00EE6AEB" w:rsidP="00B71C23">
            <w:pPr>
              <w:jc w:val="center"/>
              <w:rPr>
                <w:sz w:val="22"/>
              </w:rPr>
            </w:pPr>
            <w:r>
              <w:rPr>
                <w:sz w:val="22"/>
              </w:rPr>
              <w:t>800</w:t>
            </w:r>
          </w:p>
        </w:tc>
        <w:tc>
          <w:tcPr>
            <w:tcW w:w="1530" w:type="dxa"/>
            <w:vAlign w:val="center"/>
          </w:tcPr>
          <w:p w:rsidR="00EE6AEB" w:rsidRDefault="00EE6AEB" w:rsidP="00B71C23">
            <w:pPr>
              <w:jc w:val="center"/>
              <w:rPr>
                <w:sz w:val="22"/>
              </w:rPr>
            </w:pPr>
            <w:r>
              <w:rPr>
                <w:sz w:val="22"/>
              </w:rPr>
              <w:t>800</w:t>
            </w:r>
          </w:p>
        </w:tc>
        <w:tc>
          <w:tcPr>
            <w:tcW w:w="450" w:type="dxa"/>
            <w:vAlign w:val="center"/>
          </w:tcPr>
          <w:p w:rsidR="00EE6AEB" w:rsidRDefault="00EE6AEB" w:rsidP="00B71C23">
            <w:pPr>
              <w:jc w:val="center"/>
              <w:rPr>
                <w:sz w:val="22"/>
              </w:rPr>
            </w:pPr>
          </w:p>
        </w:tc>
        <w:tc>
          <w:tcPr>
            <w:tcW w:w="1635" w:type="dxa"/>
            <w:vAlign w:val="center"/>
          </w:tcPr>
          <w:p w:rsidR="00EE6AEB" w:rsidRDefault="00EE6AEB" w:rsidP="00B71C23">
            <w:pPr>
              <w:jc w:val="center"/>
              <w:rPr>
                <w:sz w:val="22"/>
              </w:rPr>
            </w:pPr>
            <w:r>
              <w:rPr>
                <w:sz w:val="22"/>
              </w:rPr>
              <w:t>$24.10*</w:t>
            </w:r>
          </w:p>
        </w:tc>
        <w:tc>
          <w:tcPr>
            <w:tcW w:w="435" w:type="dxa"/>
            <w:vAlign w:val="center"/>
          </w:tcPr>
          <w:p w:rsidR="00EE6AEB" w:rsidRDefault="00EE6AEB" w:rsidP="00B71C23">
            <w:pPr>
              <w:jc w:val="center"/>
              <w:rPr>
                <w:sz w:val="22"/>
              </w:rPr>
            </w:pPr>
          </w:p>
        </w:tc>
        <w:tc>
          <w:tcPr>
            <w:tcW w:w="2070" w:type="dxa"/>
            <w:vAlign w:val="center"/>
          </w:tcPr>
          <w:p w:rsidR="00EE6AEB" w:rsidRDefault="00EE6AEB" w:rsidP="00B71C23">
            <w:pPr>
              <w:jc w:val="center"/>
              <w:rPr>
                <w:sz w:val="22"/>
              </w:rPr>
            </w:pPr>
            <w:r>
              <w:rPr>
                <w:sz w:val="22"/>
              </w:rPr>
              <w:t>$19,280.00</w:t>
            </w:r>
          </w:p>
        </w:tc>
      </w:tr>
      <w:tr w:rsidR="00EE6AEB" w:rsidTr="00B71C23">
        <w:trPr>
          <w:trHeight w:val="255"/>
        </w:trPr>
        <w:tc>
          <w:tcPr>
            <w:tcW w:w="9175" w:type="dxa"/>
            <w:gridSpan w:val="7"/>
            <w:vAlign w:val="bottom"/>
          </w:tcPr>
          <w:p w:rsidR="00EE6AEB" w:rsidRDefault="00EE6AEB" w:rsidP="00B71C23">
            <w:r>
              <w:t>* Hourly cost for response assuming an Analyst annual salary, GS-11, step 1, annual rate of $50,287; hourly rate is $24.10 (Salary Table 2011-GS).</w:t>
            </w:r>
          </w:p>
          <w:p w:rsidR="00EE6AEB" w:rsidRDefault="00EE6AEB" w:rsidP="00B71C23"/>
        </w:tc>
      </w:tr>
    </w:tbl>
    <w:p w:rsidR="00EE6AEB" w:rsidRDefault="00EE6AEB" w:rsidP="00EE6AEB">
      <w:pPr>
        <w:keepLines/>
        <w:tabs>
          <w:tab w:val="left" w:pos="360"/>
          <w:tab w:val="left" w:pos="720"/>
        </w:tabs>
        <w:ind w:left="360" w:hanging="360"/>
        <w:rPr>
          <w:sz w:val="24"/>
        </w:rPr>
      </w:pPr>
      <w:r>
        <w:rPr>
          <w:color w:val="000000"/>
          <w:sz w:val="24"/>
        </w:rPr>
        <w:tab/>
      </w:r>
      <w:r>
        <w:rPr>
          <w:color w:val="000000"/>
          <w:sz w:val="24"/>
        </w:rPr>
        <w:tab/>
      </w: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53525" w:rsidRDefault="00C53525">
      <w:pPr>
        <w:tabs>
          <w:tab w:val="left" w:pos="360"/>
          <w:tab w:val="left" w:pos="720"/>
        </w:tabs>
        <w:ind w:left="360"/>
        <w:rPr>
          <w:sz w:val="18"/>
        </w:rPr>
      </w:pPr>
    </w:p>
    <w:p w:rsidR="004D1604" w:rsidRPr="004D1604" w:rsidRDefault="004D1604" w:rsidP="004D1604">
      <w:pPr>
        <w:ind w:left="360"/>
        <w:rPr>
          <w:sz w:val="22"/>
          <w:szCs w:val="22"/>
        </w:rPr>
      </w:pPr>
      <w:r w:rsidRPr="004D1604">
        <w:rPr>
          <w:sz w:val="22"/>
          <w:szCs w:val="22"/>
        </w:rPr>
        <w:t>The estimated annualized costs to the federal government, based on a GS-12, step 1, rate is provided in the table, below.  A GS-12, step 1, rate is the average salary for an Inspector Administration Analyst.</w:t>
      </w:r>
    </w:p>
    <w:p w:rsidR="004D1604" w:rsidRPr="004D1604" w:rsidRDefault="004D1604" w:rsidP="004D1604">
      <w:pPr>
        <w:pStyle w:val="Heading6"/>
        <w:rPr>
          <w:sz w:val="22"/>
          <w:szCs w:val="22"/>
        </w:rPr>
      </w:pPr>
    </w:p>
    <w:tbl>
      <w:tblPr>
        <w:tblW w:w="91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90"/>
        <w:gridCol w:w="1465"/>
        <w:gridCol w:w="1530"/>
        <w:gridCol w:w="450"/>
        <w:gridCol w:w="1635"/>
        <w:gridCol w:w="435"/>
        <w:gridCol w:w="2075"/>
      </w:tblGrid>
      <w:tr w:rsidR="004D1604" w:rsidTr="00B71C23">
        <w:trPr>
          <w:cantSplit/>
          <w:trHeight w:val="432"/>
        </w:trPr>
        <w:tc>
          <w:tcPr>
            <w:tcW w:w="9180" w:type="dxa"/>
            <w:gridSpan w:val="7"/>
            <w:vAlign w:val="center"/>
          </w:tcPr>
          <w:p w:rsidR="004D1604" w:rsidRPr="004D1604" w:rsidRDefault="004D1604" w:rsidP="00B71C23">
            <w:pPr>
              <w:pStyle w:val="Heading3"/>
              <w:jc w:val="center"/>
              <w:rPr>
                <w:color w:val="auto"/>
                <w:sz w:val="24"/>
              </w:rPr>
            </w:pPr>
            <w:r w:rsidRPr="004D1604">
              <w:rPr>
                <w:color w:val="auto"/>
                <w:sz w:val="24"/>
              </w:rPr>
              <w:t>Total Estimated Annual Costs to the Federal Government</w:t>
            </w:r>
          </w:p>
        </w:tc>
      </w:tr>
      <w:tr w:rsidR="004D1604" w:rsidTr="00B71C23">
        <w:trPr>
          <w:trHeight w:val="510"/>
        </w:trPr>
        <w:tc>
          <w:tcPr>
            <w:tcW w:w="1590" w:type="dxa"/>
            <w:vAlign w:val="bottom"/>
          </w:tcPr>
          <w:p w:rsidR="004D1604" w:rsidRDefault="004D1604" w:rsidP="00B71C23">
            <w:pPr>
              <w:rPr>
                <w:sz w:val="22"/>
                <w:u w:val="single"/>
              </w:rPr>
            </w:pPr>
          </w:p>
        </w:tc>
        <w:tc>
          <w:tcPr>
            <w:tcW w:w="1465" w:type="dxa"/>
            <w:vAlign w:val="center"/>
          </w:tcPr>
          <w:p w:rsidR="004D1604" w:rsidRDefault="004D1604" w:rsidP="00B71C23">
            <w:pPr>
              <w:jc w:val="center"/>
              <w:rPr>
                <w:b/>
                <w:bCs/>
                <w:sz w:val="22"/>
              </w:rPr>
            </w:pPr>
            <w:r>
              <w:rPr>
                <w:b/>
                <w:bCs/>
                <w:sz w:val="22"/>
              </w:rPr>
              <w:t>Number of Respondents</w:t>
            </w:r>
          </w:p>
        </w:tc>
        <w:tc>
          <w:tcPr>
            <w:tcW w:w="1530" w:type="dxa"/>
            <w:vAlign w:val="center"/>
          </w:tcPr>
          <w:p w:rsidR="004D1604" w:rsidRPr="004D1604" w:rsidRDefault="004D1604" w:rsidP="00B71C23">
            <w:pPr>
              <w:jc w:val="center"/>
              <w:rPr>
                <w:b/>
                <w:bCs/>
                <w:sz w:val="22"/>
              </w:rPr>
            </w:pPr>
            <w:r w:rsidRPr="004D1604">
              <w:rPr>
                <w:b/>
                <w:bCs/>
                <w:sz w:val="22"/>
              </w:rPr>
              <w:t>Total Burden Hours</w:t>
            </w:r>
          </w:p>
        </w:tc>
        <w:tc>
          <w:tcPr>
            <w:tcW w:w="450" w:type="dxa"/>
            <w:vAlign w:val="center"/>
          </w:tcPr>
          <w:p w:rsidR="004D1604" w:rsidRPr="004D1604" w:rsidRDefault="004D1604" w:rsidP="00B71C23">
            <w:pPr>
              <w:jc w:val="center"/>
              <w:rPr>
                <w:b/>
                <w:bCs/>
                <w:sz w:val="22"/>
              </w:rPr>
            </w:pPr>
            <w:r w:rsidRPr="004D1604">
              <w:rPr>
                <w:b/>
                <w:bCs/>
                <w:sz w:val="22"/>
              </w:rPr>
              <w:t>X</w:t>
            </w:r>
          </w:p>
        </w:tc>
        <w:tc>
          <w:tcPr>
            <w:tcW w:w="1635" w:type="dxa"/>
            <w:vAlign w:val="center"/>
          </w:tcPr>
          <w:p w:rsidR="004D1604" w:rsidRPr="004D1604" w:rsidRDefault="004D1604" w:rsidP="00B71C23">
            <w:pPr>
              <w:jc w:val="center"/>
              <w:rPr>
                <w:b/>
                <w:bCs/>
                <w:sz w:val="22"/>
              </w:rPr>
            </w:pPr>
            <w:r w:rsidRPr="004D1604">
              <w:rPr>
                <w:b/>
                <w:bCs/>
                <w:sz w:val="22"/>
              </w:rPr>
              <w:t>Hourly Rate</w:t>
            </w:r>
          </w:p>
        </w:tc>
        <w:tc>
          <w:tcPr>
            <w:tcW w:w="435" w:type="dxa"/>
            <w:vAlign w:val="center"/>
          </w:tcPr>
          <w:p w:rsidR="004D1604" w:rsidRPr="004D1604" w:rsidRDefault="004D1604" w:rsidP="00B71C23">
            <w:pPr>
              <w:jc w:val="center"/>
              <w:rPr>
                <w:b/>
                <w:bCs/>
                <w:sz w:val="22"/>
              </w:rPr>
            </w:pPr>
            <w:r w:rsidRPr="004D1604">
              <w:rPr>
                <w:b/>
                <w:bCs/>
                <w:sz w:val="22"/>
              </w:rPr>
              <w:t>=</w:t>
            </w:r>
          </w:p>
        </w:tc>
        <w:tc>
          <w:tcPr>
            <w:tcW w:w="2075" w:type="dxa"/>
            <w:vAlign w:val="center"/>
          </w:tcPr>
          <w:p w:rsidR="004D1604" w:rsidRPr="004D1604" w:rsidRDefault="004D1604" w:rsidP="00B71C23">
            <w:pPr>
              <w:jc w:val="center"/>
              <w:rPr>
                <w:b/>
                <w:bCs/>
                <w:sz w:val="22"/>
              </w:rPr>
            </w:pPr>
            <w:r w:rsidRPr="004D1604">
              <w:rPr>
                <w:b/>
                <w:bCs/>
                <w:sz w:val="22"/>
              </w:rPr>
              <w:t>Annualized Cost</w:t>
            </w:r>
          </w:p>
        </w:tc>
      </w:tr>
      <w:tr w:rsidR="004D1604" w:rsidTr="00B71C23">
        <w:trPr>
          <w:trHeight w:val="255"/>
        </w:trPr>
        <w:tc>
          <w:tcPr>
            <w:tcW w:w="1590" w:type="dxa"/>
            <w:vAlign w:val="bottom"/>
          </w:tcPr>
          <w:p w:rsidR="004D1604" w:rsidRDefault="004D1604" w:rsidP="00B71C23">
            <w:pPr>
              <w:rPr>
                <w:b/>
                <w:bCs/>
                <w:sz w:val="22"/>
              </w:rPr>
            </w:pPr>
            <w:r>
              <w:rPr>
                <w:b/>
                <w:bCs/>
                <w:sz w:val="22"/>
              </w:rPr>
              <w:t xml:space="preserve"> Inspector Assessment Questionnaire</w:t>
            </w:r>
          </w:p>
        </w:tc>
        <w:tc>
          <w:tcPr>
            <w:tcW w:w="1465" w:type="dxa"/>
            <w:vAlign w:val="center"/>
          </w:tcPr>
          <w:p w:rsidR="004D1604" w:rsidRDefault="004D1604" w:rsidP="00B71C23">
            <w:pPr>
              <w:jc w:val="center"/>
              <w:rPr>
                <w:sz w:val="22"/>
              </w:rPr>
            </w:pPr>
            <w:r>
              <w:rPr>
                <w:sz w:val="22"/>
              </w:rPr>
              <w:t>800</w:t>
            </w:r>
          </w:p>
        </w:tc>
        <w:tc>
          <w:tcPr>
            <w:tcW w:w="1530" w:type="dxa"/>
            <w:vAlign w:val="center"/>
          </w:tcPr>
          <w:p w:rsidR="004D1604" w:rsidRDefault="004D1604" w:rsidP="00B71C23">
            <w:pPr>
              <w:jc w:val="center"/>
              <w:rPr>
                <w:sz w:val="22"/>
              </w:rPr>
            </w:pPr>
            <w:r>
              <w:rPr>
                <w:sz w:val="22"/>
              </w:rPr>
              <w:t>800</w:t>
            </w:r>
          </w:p>
        </w:tc>
        <w:tc>
          <w:tcPr>
            <w:tcW w:w="450" w:type="dxa"/>
            <w:vAlign w:val="center"/>
          </w:tcPr>
          <w:p w:rsidR="004D1604" w:rsidRDefault="004D1604" w:rsidP="00B71C23">
            <w:pPr>
              <w:jc w:val="center"/>
              <w:rPr>
                <w:sz w:val="22"/>
              </w:rPr>
            </w:pPr>
          </w:p>
        </w:tc>
        <w:tc>
          <w:tcPr>
            <w:tcW w:w="1635" w:type="dxa"/>
            <w:vAlign w:val="center"/>
          </w:tcPr>
          <w:p w:rsidR="004D1604" w:rsidRDefault="004D1604" w:rsidP="00B71C23">
            <w:pPr>
              <w:jc w:val="center"/>
              <w:rPr>
                <w:sz w:val="22"/>
              </w:rPr>
            </w:pPr>
            <w:r>
              <w:rPr>
                <w:sz w:val="22"/>
              </w:rPr>
              <w:t>$28.88*</w:t>
            </w:r>
          </w:p>
        </w:tc>
        <w:tc>
          <w:tcPr>
            <w:tcW w:w="435" w:type="dxa"/>
            <w:vAlign w:val="center"/>
          </w:tcPr>
          <w:p w:rsidR="004D1604" w:rsidRDefault="004D1604" w:rsidP="00B71C23">
            <w:pPr>
              <w:jc w:val="center"/>
              <w:rPr>
                <w:sz w:val="22"/>
              </w:rPr>
            </w:pPr>
          </w:p>
        </w:tc>
        <w:tc>
          <w:tcPr>
            <w:tcW w:w="2075" w:type="dxa"/>
            <w:vAlign w:val="center"/>
          </w:tcPr>
          <w:p w:rsidR="004D1604" w:rsidRDefault="004D1604" w:rsidP="00B71C23">
            <w:pPr>
              <w:jc w:val="center"/>
              <w:rPr>
                <w:sz w:val="22"/>
              </w:rPr>
            </w:pPr>
            <w:r>
              <w:rPr>
                <w:sz w:val="22"/>
              </w:rPr>
              <w:t>$23,104.00</w:t>
            </w:r>
          </w:p>
        </w:tc>
      </w:tr>
      <w:tr w:rsidR="004D1604" w:rsidTr="00B71C23">
        <w:trPr>
          <w:trHeight w:val="255"/>
        </w:trPr>
        <w:tc>
          <w:tcPr>
            <w:tcW w:w="9180" w:type="dxa"/>
            <w:gridSpan w:val="7"/>
            <w:vAlign w:val="bottom"/>
          </w:tcPr>
          <w:p w:rsidR="004D1604" w:rsidRDefault="004D1604" w:rsidP="00B71C23">
            <w:r>
              <w:t xml:space="preserve">* Hourly cost for response assuming an Analyst annual salary, GS-12, step 1, annual rate </w:t>
            </w:r>
            <w:proofErr w:type="gramStart"/>
            <w:r>
              <w:t>of  $</w:t>
            </w:r>
            <w:proofErr w:type="gramEnd"/>
            <w:r>
              <w:t>60,274; hourly rate is $28.88 (Salary Table 2011-GS).</w:t>
            </w:r>
          </w:p>
          <w:p w:rsidR="004D1604" w:rsidRDefault="004D1604" w:rsidP="00B71C23"/>
        </w:tc>
      </w:tr>
    </w:tbl>
    <w:p w:rsidR="004D1604" w:rsidRDefault="004D1604" w:rsidP="004D1604">
      <w:pPr>
        <w:rPr>
          <w:sz w:val="24"/>
        </w:rPr>
      </w:pPr>
    </w:p>
    <w:p w:rsidR="00D746F6" w:rsidRDefault="00D746F6">
      <w:pPr>
        <w:tabs>
          <w:tab w:val="left" w:pos="360"/>
        </w:tabs>
        <w:ind w:left="360" w:hanging="360"/>
        <w:rPr>
          <w:sz w:val="18"/>
        </w:rPr>
      </w:pPr>
    </w:p>
    <w:p w:rsidR="00C53525" w:rsidRDefault="00C53525">
      <w:pPr>
        <w:tabs>
          <w:tab w:val="left" w:pos="360"/>
        </w:tabs>
        <w:ind w:left="360" w:hanging="360"/>
        <w:rPr>
          <w:sz w:val="18"/>
        </w:rPr>
      </w:pPr>
      <w:r>
        <w:rPr>
          <w:sz w:val="18"/>
        </w:rPr>
        <w:t>15.</w:t>
      </w:r>
      <w:r>
        <w:rPr>
          <w:sz w:val="18"/>
        </w:rPr>
        <w:tab/>
        <w:t>Explain the reasons for any program changes or adjustments reported in Items 13 and 14 of the OMB Form 83-I.</w:t>
      </w:r>
    </w:p>
    <w:p w:rsidR="00C53525" w:rsidRDefault="00C53525">
      <w:pPr>
        <w:tabs>
          <w:tab w:val="left" w:pos="360"/>
        </w:tabs>
        <w:ind w:left="360" w:hanging="360"/>
        <w:rPr>
          <w:sz w:val="18"/>
        </w:rPr>
      </w:pPr>
    </w:p>
    <w:p w:rsidR="004D1604" w:rsidRPr="004D1604" w:rsidRDefault="004D1604">
      <w:pPr>
        <w:tabs>
          <w:tab w:val="left" w:pos="360"/>
        </w:tabs>
        <w:ind w:left="360" w:hanging="360"/>
        <w:rPr>
          <w:sz w:val="22"/>
          <w:szCs w:val="22"/>
        </w:rPr>
      </w:pPr>
      <w:r>
        <w:rPr>
          <w:sz w:val="18"/>
        </w:rPr>
        <w:tab/>
      </w:r>
      <w:r w:rsidRPr="004D1604">
        <w:rPr>
          <w:sz w:val="22"/>
          <w:szCs w:val="22"/>
        </w:rPr>
        <w:t>No changes.</w:t>
      </w: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53525" w:rsidRDefault="00C53525">
      <w:pPr>
        <w:tabs>
          <w:tab w:val="left" w:pos="360"/>
        </w:tabs>
        <w:ind w:left="360" w:hanging="360"/>
        <w:rPr>
          <w:sz w:val="18"/>
        </w:rPr>
      </w:pPr>
    </w:p>
    <w:p w:rsidR="00B71C23" w:rsidRDefault="005E022F" w:rsidP="00B71C23">
      <w:pPr>
        <w:keepLines/>
        <w:tabs>
          <w:tab w:val="left" w:pos="360"/>
          <w:tab w:val="left" w:pos="720"/>
        </w:tabs>
        <w:rPr>
          <w:color w:val="000000"/>
          <w:sz w:val="24"/>
        </w:rPr>
      </w:pPr>
      <w:r>
        <w:rPr>
          <w:color w:val="000000"/>
          <w:sz w:val="24"/>
        </w:rPr>
        <w:tab/>
      </w:r>
      <w:r w:rsidR="00B71C23" w:rsidRPr="005E022F">
        <w:rPr>
          <w:color w:val="000000"/>
          <w:sz w:val="22"/>
          <w:szCs w:val="22"/>
        </w:rPr>
        <w:t>The information collected will not be published</w:t>
      </w:r>
      <w:r w:rsidR="00B71C23">
        <w:rPr>
          <w:color w:val="000000"/>
          <w:sz w:val="24"/>
        </w:rPr>
        <w:t xml:space="preserve">.  </w:t>
      </w:r>
    </w:p>
    <w:p w:rsidR="00B71C23" w:rsidRDefault="00B71C23" w:rsidP="00B71C23">
      <w:pPr>
        <w:tabs>
          <w:tab w:val="left" w:pos="360"/>
        </w:tabs>
        <w:ind w:left="360" w:hanging="360"/>
        <w:rPr>
          <w:color w:val="000000"/>
          <w:sz w:val="24"/>
        </w:rPr>
      </w:pPr>
    </w:p>
    <w:p w:rsidR="00C53525" w:rsidRDefault="00C53525">
      <w:pPr>
        <w:tabs>
          <w:tab w:val="left" w:pos="360"/>
        </w:tabs>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C53525" w:rsidRDefault="00C53525">
      <w:pPr>
        <w:tabs>
          <w:tab w:val="left" w:pos="360"/>
          <w:tab w:val="left" w:pos="720"/>
        </w:tabs>
        <w:ind w:left="360"/>
      </w:pPr>
    </w:p>
    <w:p w:rsidR="005E022F" w:rsidRPr="005E022F" w:rsidRDefault="005E022F" w:rsidP="005E022F">
      <w:pPr>
        <w:ind w:left="360"/>
        <w:rPr>
          <w:color w:val="000000"/>
          <w:sz w:val="22"/>
          <w:szCs w:val="22"/>
        </w:rPr>
      </w:pPr>
      <w:r w:rsidRPr="005E022F">
        <w:rPr>
          <w:sz w:val="22"/>
          <w:szCs w:val="22"/>
        </w:rPr>
        <w:t xml:space="preserve">HUD is not seeking approval to not display the expiration date of the OMB approval.  The OMB approval number and expiration date will be displayed on the questionnaire.  </w:t>
      </w:r>
      <w:r w:rsidRPr="005E022F">
        <w:rPr>
          <w:b/>
          <w:bCs/>
          <w:color w:val="000000"/>
          <w:sz w:val="22"/>
          <w:szCs w:val="22"/>
        </w:rPr>
        <w:t xml:space="preserve">Exhibit </w:t>
      </w:r>
      <w:r w:rsidR="00063B8C">
        <w:rPr>
          <w:b/>
          <w:bCs/>
          <w:color w:val="000000"/>
          <w:sz w:val="22"/>
          <w:szCs w:val="22"/>
        </w:rPr>
        <w:t>E</w:t>
      </w:r>
      <w:r w:rsidRPr="005E022F">
        <w:rPr>
          <w:color w:val="000000"/>
          <w:sz w:val="22"/>
          <w:szCs w:val="22"/>
        </w:rPr>
        <w:t xml:space="preserve"> is the OMB Disclosure Statement.</w:t>
      </w:r>
    </w:p>
    <w:p w:rsidR="00C53525" w:rsidRDefault="00C53525">
      <w:pPr>
        <w:tabs>
          <w:tab w:val="left" w:pos="360"/>
          <w:tab w:val="left" w:pos="720"/>
        </w:tabs>
        <w:rPr>
          <w:sz w:val="18"/>
        </w:rPr>
      </w:pPr>
    </w:p>
    <w:p w:rsidR="00C53525" w:rsidRDefault="00C53525">
      <w:pPr>
        <w:numPr>
          <w:ilvl w:val="0"/>
          <w:numId w:val="9"/>
        </w:numPr>
        <w:tabs>
          <w:tab w:val="left" w:pos="360"/>
        </w:tabs>
        <w:rPr>
          <w:sz w:val="18"/>
        </w:rPr>
      </w:pPr>
      <w:r>
        <w:rPr>
          <w:sz w:val="18"/>
        </w:rPr>
        <w:t>Explain each exception to the certification statement identified in item 19.</w:t>
      </w:r>
    </w:p>
    <w:p w:rsidR="00C53525" w:rsidRDefault="00C53525">
      <w:pPr>
        <w:tabs>
          <w:tab w:val="left" w:pos="360"/>
        </w:tabs>
        <w:rPr>
          <w:sz w:val="18"/>
        </w:rPr>
      </w:pPr>
    </w:p>
    <w:p w:rsidR="00020DC4" w:rsidRPr="005E022F" w:rsidRDefault="005E022F">
      <w:pPr>
        <w:tabs>
          <w:tab w:val="left" w:pos="360"/>
          <w:tab w:val="left" w:pos="720"/>
        </w:tabs>
        <w:rPr>
          <w:sz w:val="22"/>
          <w:szCs w:val="22"/>
        </w:rPr>
      </w:pPr>
      <w:r>
        <w:rPr>
          <w:sz w:val="22"/>
          <w:szCs w:val="22"/>
        </w:rPr>
        <w:lastRenderedPageBreak/>
        <w:tab/>
      </w:r>
      <w:r w:rsidRPr="005E022F">
        <w:rPr>
          <w:sz w:val="22"/>
          <w:szCs w:val="22"/>
        </w:rPr>
        <w:t>There are no exceptions to the certification statement identified in Item 19 of the form OMB 83-i</w:t>
      </w:r>
    </w:p>
    <w:p w:rsidR="005E022F" w:rsidRDefault="005E022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6B464E" w:rsidRDefault="006B464E" w:rsidP="006B464E">
      <w:pPr>
        <w:keepLines/>
        <w:tabs>
          <w:tab w:val="left" w:pos="360"/>
          <w:tab w:val="left" w:pos="720"/>
        </w:tabs>
        <w:ind w:left="360"/>
        <w:rPr>
          <w:color w:val="000000"/>
          <w:sz w:val="24"/>
        </w:rPr>
      </w:pPr>
      <w:r>
        <w:rPr>
          <w:sz w:val="24"/>
        </w:rPr>
        <w:t>Not applicable.</w:t>
      </w:r>
    </w:p>
    <w:p w:rsidR="006B464E" w:rsidRDefault="006B46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sectPr w:rsidR="006B464E" w:rsidSect="000E72F1">
      <w:footerReference w:type="default" r:id="rId8"/>
      <w:pgSz w:w="12240" w:h="15840"/>
      <w:pgMar w:top="480" w:right="720" w:bottom="480" w:left="600" w:header="480" w:footer="480" w:gutter="0"/>
      <w:cols w:space="480" w:equalWidth="0">
        <w:col w:w="108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D28" w:rsidRDefault="005D2D28">
      <w:r>
        <w:separator/>
      </w:r>
    </w:p>
  </w:endnote>
  <w:endnote w:type="continuationSeparator" w:id="0">
    <w:p w:rsidR="005D2D28" w:rsidRDefault="005D2D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D28" w:rsidRDefault="005D2D28">
    <w:pPr>
      <w:pStyle w:val="Footer"/>
      <w:tabs>
        <w:tab w:val="clear" w:pos="4320"/>
        <w:tab w:val="clear" w:pos="8640"/>
        <w:tab w:val="right" w:pos="10920"/>
      </w:tabs>
      <w:spacing w:line="120" w:lineRule="exact"/>
      <w:ind w:left="-120" w:right="-120"/>
      <w:rPr>
        <w:rFonts w:ascii="Helvetica" w:hAnsi="Helvetica"/>
        <w:b/>
        <w:sz w:val="18"/>
      </w:rPr>
    </w:pPr>
  </w:p>
  <w:p w:rsidR="005D2D28" w:rsidRDefault="005D2D28">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D28" w:rsidRDefault="005D2D28">
      <w:r>
        <w:separator/>
      </w:r>
    </w:p>
  </w:footnote>
  <w:footnote w:type="continuationSeparator" w:id="0">
    <w:p w:rsidR="005D2D28" w:rsidRDefault="005D2D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8CB8A0"/>
    <w:lvl w:ilvl="0">
      <w:numFmt w:val="decimal"/>
      <w:lvlText w:val="*"/>
      <w:lvlJc w:val="left"/>
    </w:lvl>
  </w:abstractNum>
  <w:abstractNum w:abstractNumId="1">
    <w:nsid w:val="13526E0E"/>
    <w:multiLevelType w:val="hybridMultilevel"/>
    <w:tmpl w:val="A9CA15E4"/>
    <w:lvl w:ilvl="0" w:tplc="5262E232">
      <w:start w:val="17"/>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4">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nsid w:val="3AF043C7"/>
    <w:multiLevelType w:val="hybridMultilevel"/>
    <w:tmpl w:val="C33C6004"/>
    <w:lvl w:ilvl="0" w:tplc="6568D6F0">
      <w:start w:val="12"/>
      <w:numFmt w:val="decimal"/>
      <w:lvlText w:val="%1."/>
      <w:lvlJc w:val="left"/>
      <w:pPr>
        <w:tabs>
          <w:tab w:val="num" w:pos="432"/>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440069AB"/>
    <w:multiLevelType w:val="hybridMultilevel"/>
    <w:tmpl w:val="05AA93C2"/>
    <w:lvl w:ilvl="0" w:tplc="63C029A8">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56071019"/>
    <w:multiLevelType w:val="hybridMultilevel"/>
    <w:tmpl w:val="A33E26EE"/>
    <w:lvl w:ilvl="0" w:tplc="0694C20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1">
    <w:nsid w:val="71744713"/>
    <w:multiLevelType w:val="hybridMultilevel"/>
    <w:tmpl w:val="D5E66686"/>
    <w:lvl w:ilvl="0" w:tplc="602A9586">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12"/>
  </w:num>
  <w:num w:numId="3">
    <w:abstractNumId w:val="2"/>
  </w:num>
  <w:num w:numId="4">
    <w:abstractNumId w:val="4"/>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0"/>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3"/>
  </w:num>
  <w:num w:numId="10">
    <w:abstractNumId w:val="9"/>
  </w:num>
  <w:num w:numId="11">
    <w:abstractNumId w:val="7"/>
  </w:num>
  <w:num w:numId="12">
    <w:abstractNumId w:val="5"/>
  </w:num>
  <w:num w:numId="13">
    <w:abstractNumId w:val="1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D84F73"/>
    <w:rsid w:val="00001DB8"/>
    <w:rsid w:val="00007881"/>
    <w:rsid w:val="00020DC4"/>
    <w:rsid w:val="00020F12"/>
    <w:rsid w:val="000224A5"/>
    <w:rsid w:val="00036BC0"/>
    <w:rsid w:val="00063B8C"/>
    <w:rsid w:val="00065991"/>
    <w:rsid w:val="000B15B3"/>
    <w:rsid w:val="000E3880"/>
    <w:rsid w:val="000E72F1"/>
    <w:rsid w:val="00100C45"/>
    <w:rsid w:val="0010626F"/>
    <w:rsid w:val="0011311C"/>
    <w:rsid w:val="0012761A"/>
    <w:rsid w:val="001400DF"/>
    <w:rsid w:val="0014640C"/>
    <w:rsid w:val="0014773E"/>
    <w:rsid w:val="00151D19"/>
    <w:rsid w:val="00176421"/>
    <w:rsid w:val="001E45D4"/>
    <w:rsid w:val="001E693D"/>
    <w:rsid w:val="001F365B"/>
    <w:rsid w:val="001F4828"/>
    <w:rsid w:val="00202971"/>
    <w:rsid w:val="00233E23"/>
    <w:rsid w:val="00246385"/>
    <w:rsid w:val="0025239C"/>
    <w:rsid w:val="00252430"/>
    <w:rsid w:val="002713E8"/>
    <w:rsid w:val="002821F2"/>
    <w:rsid w:val="00297166"/>
    <w:rsid w:val="002A255F"/>
    <w:rsid w:val="002B5B35"/>
    <w:rsid w:val="002D10DC"/>
    <w:rsid w:val="002D2733"/>
    <w:rsid w:val="002E69A3"/>
    <w:rsid w:val="002F2DCA"/>
    <w:rsid w:val="002F6812"/>
    <w:rsid w:val="00310222"/>
    <w:rsid w:val="0031489D"/>
    <w:rsid w:val="00327230"/>
    <w:rsid w:val="00346D13"/>
    <w:rsid w:val="00352400"/>
    <w:rsid w:val="00360BB7"/>
    <w:rsid w:val="00365B87"/>
    <w:rsid w:val="00371149"/>
    <w:rsid w:val="00393447"/>
    <w:rsid w:val="003A4CAF"/>
    <w:rsid w:val="003D1318"/>
    <w:rsid w:val="004202C0"/>
    <w:rsid w:val="00422141"/>
    <w:rsid w:val="0043335A"/>
    <w:rsid w:val="00436B7B"/>
    <w:rsid w:val="00441F7F"/>
    <w:rsid w:val="00442817"/>
    <w:rsid w:val="00454B77"/>
    <w:rsid w:val="00476BB5"/>
    <w:rsid w:val="0048334E"/>
    <w:rsid w:val="0049100E"/>
    <w:rsid w:val="00491DB6"/>
    <w:rsid w:val="004C4604"/>
    <w:rsid w:val="004D1604"/>
    <w:rsid w:val="004E18ED"/>
    <w:rsid w:val="004F2585"/>
    <w:rsid w:val="004F2EF2"/>
    <w:rsid w:val="004F4A85"/>
    <w:rsid w:val="004F4DC9"/>
    <w:rsid w:val="00537D1A"/>
    <w:rsid w:val="00561440"/>
    <w:rsid w:val="00576F4D"/>
    <w:rsid w:val="00585225"/>
    <w:rsid w:val="005B0018"/>
    <w:rsid w:val="005B2F50"/>
    <w:rsid w:val="005B312E"/>
    <w:rsid w:val="005D2D28"/>
    <w:rsid w:val="005D6E42"/>
    <w:rsid w:val="005E022F"/>
    <w:rsid w:val="005E4523"/>
    <w:rsid w:val="005F6E8B"/>
    <w:rsid w:val="005F7145"/>
    <w:rsid w:val="006179E1"/>
    <w:rsid w:val="00617CF3"/>
    <w:rsid w:val="00641869"/>
    <w:rsid w:val="00652C65"/>
    <w:rsid w:val="00663A5A"/>
    <w:rsid w:val="00675E59"/>
    <w:rsid w:val="00675F61"/>
    <w:rsid w:val="006A71C9"/>
    <w:rsid w:val="006B464E"/>
    <w:rsid w:val="006D278A"/>
    <w:rsid w:val="006E5454"/>
    <w:rsid w:val="007050AD"/>
    <w:rsid w:val="007168C1"/>
    <w:rsid w:val="00721636"/>
    <w:rsid w:val="0073380A"/>
    <w:rsid w:val="00767107"/>
    <w:rsid w:val="00770BBC"/>
    <w:rsid w:val="0078022F"/>
    <w:rsid w:val="0078053C"/>
    <w:rsid w:val="00786892"/>
    <w:rsid w:val="007974EF"/>
    <w:rsid w:val="007A1939"/>
    <w:rsid w:val="007A2E95"/>
    <w:rsid w:val="007E07DD"/>
    <w:rsid w:val="007F3808"/>
    <w:rsid w:val="00845941"/>
    <w:rsid w:val="008463CA"/>
    <w:rsid w:val="008500E8"/>
    <w:rsid w:val="00887D64"/>
    <w:rsid w:val="008A4E9E"/>
    <w:rsid w:val="008A6836"/>
    <w:rsid w:val="008C1737"/>
    <w:rsid w:val="008C17E9"/>
    <w:rsid w:val="008D7CF6"/>
    <w:rsid w:val="008F242B"/>
    <w:rsid w:val="00907830"/>
    <w:rsid w:val="009600DA"/>
    <w:rsid w:val="00971349"/>
    <w:rsid w:val="009941EE"/>
    <w:rsid w:val="009A0A22"/>
    <w:rsid w:val="009C1460"/>
    <w:rsid w:val="009D2CE1"/>
    <w:rsid w:val="009E23E3"/>
    <w:rsid w:val="00A1013A"/>
    <w:rsid w:val="00A32209"/>
    <w:rsid w:val="00A55E0F"/>
    <w:rsid w:val="00A7088D"/>
    <w:rsid w:val="00AA7F23"/>
    <w:rsid w:val="00AB4D73"/>
    <w:rsid w:val="00AF01CE"/>
    <w:rsid w:val="00B334D0"/>
    <w:rsid w:val="00B41FFB"/>
    <w:rsid w:val="00B47679"/>
    <w:rsid w:val="00B71C23"/>
    <w:rsid w:val="00B84937"/>
    <w:rsid w:val="00BA6F67"/>
    <w:rsid w:val="00BC2063"/>
    <w:rsid w:val="00BC5FB8"/>
    <w:rsid w:val="00C00EC2"/>
    <w:rsid w:val="00C120F5"/>
    <w:rsid w:val="00C123A9"/>
    <w:rsid w:val="00C267CA"/>
    <w:rsid w:val="00C53525"/>
    <w:rsid w:val="00C672AD"/>
    <w:rsid w:val="00C74430"/>
    <w:rsid w:val="00C94185"/>
    <w:rsid w:val="00CB2C47"/>
    <w:rsid w:val="00CB580A"/>
    <w:rsid w:val="00CF688E"/>
    <w:rsid w:val="00D12EC4"/>
    <w:rsid w:val="00D4606C"/>
    <w:rsid w:val="00D67061"/>
    <w:rsid w:val="00D746F6"/>
    <w:rsid w:val="00D84F73"/>
    <w:rsid w:val="00DB11BA"/>
    <w:rsid w:val="00DD02AB"/>
    <w:rsid w:val="00DD4873"/>
    <w:rsid w:val="00DD56D0"/>
    <w:rsid w:val="00DE28EB"/>
    <w:rsid w:val="00DF0E51"/>
    <w:rsid w:val="00E12C04"/>
    <w:rsid w:val="00E24322"/>
    <w:rsid w:val="00E30C75"/>
    <w:rsid w:val="00E42AB4"/>
    <w:rsid w:val="00E73E85"/>
    <w:rsid w:val="00E93C6E"/>
    <w:rsid w:val="00EB7F1C"/>
    <w:rsid w:val="00EC5C62"/>
    <w:rsid w:val="00EE6AEB"/>
    <w:rsid w:val="00F3063C"/>
    <w:rsid w:val="00F31559"/>
    <w:rsid w:val="00F453DC"/>
    <w:rsid w:val="00F60DF5"/>
    <w:rsid w:val="00F60FE2"/>
    <w:rsid w:val="00F81D81"/>
    <w:rsid w:val="00F94179"/>
    <w:rsid w:val="00FA6644"/>
    <w:rsid w:val="00FB4BB4"/>
    <w:rsid w:val="00FC1C0D"/>
    <w:rsid w:val="00FE3BE4"/>
    <w:rsid w:val="00FE46AC"/>
    <w:rsid w:val="00FF1FD5"/>
    <w:rsid w:val="00FF28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paragraph" w:styleId="Heading2">
    <w:name w:val="heading 2"/>
    <w:basedOn w:val="Normal"/>
    <w:next w:val="Normal"/>
    <w:link w:val="Heading2Char"/>
    <w:qFormat/>
    <w:rsid w:val="0049100E"/>
    <w:pPr>
      <w:keepNext/>
      <w:jc w:val="center"/>
      <w:outlineLvl w:val="1"/>
    </w:pPr>
    <w:rPr>
      <w:b/>
      <w:bCs/>
      <w:sz w:val="22"/>
    </w:rPr>
  </w:style>
  <w:style w:type="paragraph" w:styleId="Heading3">
    <w:name w:val="heading 3"/>
    <w:basedOn w:val="Normal"/>
    <w:next w:val="Normal"/>
    <w:link w:val="Heading3Char"/>
    <w:semiHidden/>
    <w:unhideWhenUsed/>
    <w:qFormat/>
    <w:rsid w:val="00EE6AE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9100E"/>
    <w:pPr>
      <w:keepNext/>
      <w:overflowPunct/>
      <w:autoSpaceDE/>
      <w:autoSpaceDN/>
      <w:adjustRightInd/>
      <w:jc w:val="center"/>
      <w:textAlignment w:val="auto"/>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rsid w:val="00537D1A"/>
    <w:pPr>
      <w:spacing w:after="120" w:line="480" w:lineRule="auto"/>
      <w:ind w:left="360"/>
    </w:pPr>
  </w:style>
  <w:style w:type="character" w:customStyle="1" w:styleId="BodyTextIndent2Char">
    <w:name w:val="Body Text Indent 2 Char"/>
    <w:basedOn w:val="DefaultParagraphFont"/>
    <w:link w:val="BodyTextIndent2"/>
    <w:rsid w:val="00537D1A"/>
  </w:style>
  <w:style w:type="character" w:customStyle="1" w:styleId="Heading2Char">
    <w:name w:val="Heading 2 Char"/>
    <w:basedOn w:val="DefaultParagraphFont"/>
    <w:link w:val="Heading2"/>
    <w:rsid w:val="0049100E"/>
    <w:rPr>
      <w:b/>
      <w:bCs/>
      <w:sz w:val="22"/>
    </w:rPr>
  </w:style>
  <w:style w:type="character" w:customStyle="1" w:styleId="Heading6Char">
    <w:name w:val="Heading 6 Char"/>
    <w:basedOn w:val="DefaultParagraphFont"/>
    <w:link w:val="Heading6"/>
    <w:rsid w:val="0049100E"/>
    <w:rPr>
      <w:b/>
      <w:bCs/>
      <w:sz w:val="24"/>
    </w:rPr>
  </w:style>
  <w:style w:type="character" w:customStyle="1" w:styleId="Heading3Char">
    <w:name w:val="Heading 3 Char"/>
    <w:basedOn w:val="DefaultParagraphFont"/>
    <w:link w:val="Heading3"/>
    <w:semiHidden/>
    <w:rsid w:val="00EE6AE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83-i-omb%20MOA-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A74BE-C4DC-4E96-AA3B-94749C6B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83-i-omb MOA-IP.dot</Template>
  <TotalTime>231</TotalTime>
  <Pages>7</Pages>
  <Words>3614</Words>
  <Characters>21025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Gary L. Murphy</dc:creator>
  <cp:keywords/>
  <dc:description/>
  <cp:lastModifiedBy>Arlette Annette Mussington</cp:lastModifiedBy>
  <cp:revision>10</cp:revision>
  <cp:lastPrinted>2011-10-11T16:14:00Z</cp:lastPrinted>
  <dcterms:created xsi:type="dcterms:W3CDTF">2011-10-19T14:41:00Z</dcterms:created>
  <dcterms:modified xsi:type="dcterms:W3CDTF">2011-11-14T14:13:00Z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1020119072</vt:i4>
  </property>
  <property fmtid="{D5CDD505-2E9C-101B-9397-08002B2CF9AE}" pid="3" name="_NewReviewCycle">
    <vt:lpwstr/>
  </property>
  <property fmtid="{D5CDD505-2E9C-101B-9397-08002B2CF9AE}" pid="4" name="_EmailSubject">
    <vt:lpwstr>Changes to PRA documents and IPA for 2577-0257</vt:lpwstr>
  </property>
  <property fmtid="{D5CDD505-2E9C-101B-9397-08002B2CF9AE}" pid="5" name="_AuthorEmail">
    <vt:lpwstr>Claudia.J.Yarus@hud.gov</vt:lpwstr>
  </property>
  <property fmtid="{D5CDD505-2E9C-101B-9397-08002B2CF9AE}" pid="6" name="_AuthorEmailDisplayName">
    <vt:lpwstr>Yarus, Claudia J</vt:lpwstr>
  </property>
  <property fmtid="{D5CDD505-2E9C-101B-9397-08002B2CF9AE}" pid="7" name="_PreviousAdHocReviewCycleID">
    <vt:i4>-1610097204</vt:i4>
  </property>
</Properties>
</file>