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F5" w:rsidRPr="001E3C2D" w:rsidRDefault="00683CF5" w:rsidP="00683CF5">
      <w:pPr>
        <w:pStyle w:val="CM3"/>
        <w:jc w:val="center"/>
        <w:rPr>
          <w:rFonts w:asciiTheme="minorHAnsi" w:hAnsiTheme="minorHAnsi"/>
          <w:sz w:val="22"/>
          <w:szCs w:val="22"/>
        </w:rPr>
      </w:pPr>
      <w:bookmarkStart w:id="0" w:name="_GoBack"/>
      <w:bookmarkEnd w:id="0"/>
      <w:r w:rsidRPr="001E3C2D">
        <w:rPr>
          <w:rFonts w:asciiTheme="minorHAnsi" w:hAnsiTheme="minorHAnsi"/>
          <w:b/>
          <w:bCs/>
          <w:sz w:val="22"/>
          <w:szCs w:val="22"/>
        </w:rPr>
        <w:t>INSTRUCTIONS FOR PREPARING AND</w:t>
      </w:r>
      <w:r w:rsidR="00F94BF5" w:rsidRPr="001E3C2D">
        <w:rPr>
          <w:rFonts w:asciiTheme="minorHAnsi" w:hAnsiTheme="minorHAnsi"/>
          <w:b/>
          <w:bCs/>
          <w:sz w:val="22"/>
          <w:szCs w:val="22"/>
        </w:rPr>
        <w:t xml:space="preserve"> FILING REPORTS ON CFTC FORM 401</w:t>
      </w:r>
      <w:r w:rsidRPr="001E3C2D">
        <w:rPr>
          <w:rFonts w:asciiTheme="minorHAnsi" w:hAnsiTheme="minorHAnsi"/>
          <w:b/>
          <w:bCs/>
          <w:sz w:val="22"/>
          <w:szCs w:val="22"/>
        </w:rPr>
        <w:t xml:space="preserve"> </w:t>
      </w:r>
    </w:p>
    <w:p w:rsidR="00585718" w:rsidRPr="000A761B" w:rsidRDefault="00585718" w:rsidP="00683CF5">
      <w:pPr>
        <w:rPr>
          <w:rFonts w:asciiTheme="minorHAnsi" w:hAnsiTheme="minorHAnsi"/>
        </w:rPr>
      </w:pPr>
    </w:p>
    <w:p w:rsidR="00683CF5" w:rsidRPr="001E3C2D" w:rsidRDefault="00683CF5" w:rsidP="00683CF5">
      <w:pPr>
        <w:pStyle w:val="CM3"/>
        <w:spacing w:line="231" w:lineRule="atLeast"/>
        <w:jc w:val="center"/>
        <w:rPr>
          <w:rFonts w:asciiTheme="minorHAnsi" w:hAnsiTheme="minorHAnsi"/>
          <w:sz w:val="20"/>
          <w:szCs w:val="20"/>
        </w:rPr>
      </w:pPr>
      <w:r w:rsidRPr="001E3C2D">
        <w:rPr>
          <w:rFonts w:asciiTheme="minorHAnsi" w:hAnsiTheme="minorHAnsi"/>
          <w:b/>
          <w:bCs/>
          <w:sz w:val="20"/>
          <w:szCs w:val="20"/>
        </w:rPr>
        <w:t xml:space="preserve">(See Regulations </w:t>
      </w:r>
      <w:proofErr w:type="gramStart"/>
      <w:r w:rsidRPr="001E3C2D">
        <w:rPr>
          <w:rFonts w:asciiTheme="minorHAnsi" w:hAnsiTheme="minorHAnsi"/>
          <w:b/>
          <w:bCs/>
          <w:sz w:val="20"/>
          <w:szCs w:val="20"/>
        </w:rPr>
        <w:t>Under</w:t>
      </w:r>
      <w:proofErr w:type="gramEnd"/>
      <w:r w:rsidRPr="001E3C2D">
        <w:rPr>
          <w:rFonts w:asciiTheme="minorHAnsi" w:hAnsiTheme="minorHAnsi"/>
          <w:b/>
          <w:bCs/>
          <w:sz w:val="20"/>
          <w:szCs w:val="20"/>
        </w:rPr>
        <w:t xml:space="preserve"> the Commodity Exchange Act) </w:t>
      </w:r>
    </w:p>
    <w:p w:rsidR="00683CF5" w:rsidRPr="000A761B" w:rsidRDefault="00683CF5" w:rsidP="00683CF5">
      <w:pPr>
        <w:rPr>
          <w:rFonts w:asciiTheme="minorHAnsi" w:hAnsiTheme="minorHAnsi"/>
          <w:sz w:val="20"/>
          <w:szCs w:val="20"/>
        </w:rPr>
      </w:pPr>
    </w:p>
    <w:p w:rsidR="005454C1" w:rsidRDefault="00683CF5" w:rsidP="001C70DD">
      <w:pPr>
        <w:rPr>
          <w:rFonts w:asciiTheme="minorHAnsi" w:hAnsiTheme="minorHAnsi"/>
          <w:b/>
          <w:bCs/>
          <w:sz w:val="20"/>
          <w:szCs w:val="20"/>
        </w:rPr>
      </w:pPr>
      <w:r w:rsidRPr="001E3C2D">
        <w:rPr>
          <w:rFonts w:asciiTheme="minorHAnsi" w:hAnsiTheme="minorHAnsi"/>
          <w:b/>
          <w:bCs/>
          <w:sz w:val="20"/>
          <w:szCs w:val="20"/>
        </w:rPr>
        <w:t>WHO SHOULD REPORT:</w:t>
      </w:r>
      <w:r w:rsidRPr="001E3C2D">
        <w:rPr>
          <w:rFonts w:asciiTheme="minorHAnsi" w:hAnsiTheme="minorHAnsi"/>
          <w:sz w:val="20"/>
          <w:szCs w:val="20"/>
        </w:rPr>
        <w:t xml:space="preserve">  All persons (individuals, partnerships, associations, corporations, or trusts) </w:t>
      </w:r>
      <w:r w:rsidR="003F2444">
        <w:rPr>
          <w:rFonts w:asciiTheme="minorHAnsi" w:hAnsiTheme="minorHAnsi"/>
          <w:sz w:val="20"/>
          <w:szCs w:val="20"/>
        </w:rPr>
        <w:t xml:space="preserve">who </w:t>
      </w:r>
      <w:r w:rsidRPr="001E3C2D">
        <w:rPr>
          <w:rFonts w:asciiTheme="minorHAnsi" w:hAnsiTheme="minorHAnsi"/>
          <w:sz w:val="20"/>
          <w:szCs w:val="20"/>
        </w:rPr>
        <w:t>hold or control</w:t>
      </w:r>
      <w:r w:rsidR="003F2444">
        <w:rPr>
          <w:rFonts w:asciiTheme="minorHAnsi" w:hAnsiTheme="minorHAnsi"/>
          <w:sz w:val="20"/>
          <w:szCs w:val="20"/>
        </w:rPr>
        <w:t xml:space="preserve"> a position in Referenced Contracts</w:t>
      </w:r>
      <w:r w:rsidR="00F9353C">
        <w:rPr>
          <w:rFonts w:asciiTheme="minorHAnsi" w:hAnsiTheme="minorHAnsi"/>
          <w:sz w:val="20"/>
          <w:szCs w:val="20"/>
        </w:rPr>
        <w:t>,</w:t>
      </w:r>
      <w:r w:rsidR="001C4368">
        <w:rPr>
          <w:rStyle w:val="FootnoteReference"/>
          <w:rFonts w:asciiTheme="minorHAnsi" w:hAnsiTheme="minorHAnsi"/>
          <w:sz w:val="20"/>
          <w:szCs w:val="20"/>
        </w:rPr>
        <w:footnoteReference w:id="1"/>
      </w:r>
      <w:r w:rsidR="00F9353C">
        <w:rPr>
          <w:rFonts w:asciiTheme="minorHAnsi" w:hAnsiTheme="minorHAnsi"/>
          <w:sz w:val="20"/>
          <w:szCs w:val="20"/>
        </w:rPr>
        <w:t xml:space="preserve"> separately or in combination,</w:t>
      </w:r>
      <w:r w:rsidRPr="001E3C2D">
        <w:rPr>
          <w:rFonts w:asciiTheme="minorHAnsi" w:hAnsiTheme="minorHAnsi"/>
          <w:sz w:val="20"/>
          <w:szCs w:val="20"/>
        </w:rPr>
        <w:t xml:space="preserve"> </w:t>
      </w:r>
      <w:r w:rsidR="003F2444">
        <w:rPr>
          <w:rFonts w:asciiTheme="minorHAnsi" w:hAnsiTheme="minorHAnsi"/>
          <w:sz w:val="20"/>
          <w:szCs w:val="20"/>
        </w:rPr>
        <w:t>net long or net short</w:t>
      </w:r>
      <w:r w:rsidR="001C4368">
        <w:rPr>
          <w:rFonts w:asciiTheme="minorHAnsi" w:hAnsiTheme="minorHAnsi"/>
          <w:sz w:val="20"/>
          <w:szCs w:val="20"/>
        </w:rPr>
        <w:t xml:space="preserve">, </w:t>
      </w:r>
      <w:r w:rsidR="005454C1">
        <w:rPr>
          <w:rFonts w:asciiTheme="minorHAnsi" w:hAnsiTheme="minorHAnsi"/>
          <w:sz w:val="20"/>
          <w:szCs w:val="20"/>
        </w:rPr>
        <w:t xml:space="preserve">that </w:t>
      </w:r>
      <w:r w:rsidR="00CE09BD">
        <w:rPr>
          <w:rFonts w:asciiTheme="minorHAnsi" w:hAnsiTheme="minorHAnsi"/>
          <w:sz w:val="20"/>
          <w:szCs w:val="20"/>
        </w:rPr>
        <w:t xml:space="preserve">equal or exceed </w:t>
      </w:r>
      <w:r w:rsidR="005454C1">
        <w:rPr>
          <w:rFonts w:asciiTheme="minorHAnsi" w:hAnsiTheme="minorHAnsi"/>
          <w:sz w:val="20"/>
          <w:szCs w:val="20"/>
        </w:rPr>
        <w:t xml:space="preserve">the Position Visibility levels pursuant to regulation </w:t>
      </w:r>
      <w:r w:rsidR="00E61EFB">
        <w:rPr>
          <w:rFonts w:asciiTheme="minorHAnsi" w:hAnsiTheme="minorHAnsi"/>
          <w:sz w:val="20"/>
          <w:szCs w:val="20"/>
        </w:rPr>
        <w:t xml:space="preserve">§ </w:t>
      </w:r>
      <w:r w:rsidR="005454C1">
        <w:rPr>
          <w:rFonts w:asciiTheme="minorHAnsi" w:hAnsiTheme="minorHAnsi"/>
          <w:sz w:val="20"/>
          <w:szCs w:val="20"/>
        </w:rPr>
        <w:t xml:space="preserve">151.6(a).  </w:t>
      </w:r>
    </w:p>
    <w:p w:rsidR="005454C1" w:rsidRDefault="005454C1" w:rsidP="001C70DD">
      <w:pPr>
        <w:rPr>
          <w:rFonts w:asciiTheme="minorHAnsi" w:hAnsiTheme="minorHAnsi"/>
          <w:b/>
          <w:bCs/>
          <w:sz w:val="20"/>
          <w:szCs w:val="20"/>
        </w:rPr>
      </w:pPr>
    </w:p>
    <w:p w:rsidR="00E932B3" w:rsidRDefault="00683CF5" w:rsidP="001C70DD">
      <w:pPr>
        <w:rPr>
          <w:rFonts w:asciiTheme="minorHAnsi" w:hAnsiTheme="minorHAnsi"/>
          <w:sz w:val="20"/>
          <w:szCs w:val="20"/>
        </w:rPr>
      </w:pPr>
      <w:r w:rsidRPr="001E3C2D">
        <w:rPr>
          <w:rFonts w:asciiTheme="minorHAnsi" w:hAnsiTheme="minorHAnsi"/>
          <w:b/>
          <w:bCs/>
          <w:sz w:val="20"/>
          <w:szCs w:val="20"/>
        </w:rPr>
        <w:t>WHAT TO REPORT:</w:t>
      </w:r>
      <w:r w:rsidRPr="001E3C2D">
        <w:rPr>
          <w:rFonts w:asciiTheme="minorHAnsi" w:hAnsiTheme="minorHAnsi"/>
          <w:sz w:val="20"/>
          <w:szCs w:val="20"/>
        </w:rPr>
        <w:t xml:space="preserve">  </w:t>
      </w:r>
      <w:r w:rsidR="007E0042">
        <w:rPr>
          <w:rFonts w:asciiTheme="minorHAnsi" w:hAnsiTheme="minorHAnsi"/>
          <w:sz w:val="20"/>
          <w:szCs w:val="20"/>
        </w:rPr>
        <w:t xml:space="preserve">In general, derivatives positions (futures, options, and swaps) </w:t>
      </w:r>
      <w:r w:rsidR="00D25A9C">
        <w:rPr>
          <w:rFonts w:asciiTheme="minorHAnsi" w:hAnsiTheme="minorHAnsi"/>
          <w:sz w:val="20"/>
          <w:szCs w:val="20"/>
        </w:rPr>
        <w:t xml:space="preserve">in Referenced Contracts across all-months combined should be </w:t>
      </w:r>
      <w:r w:rsidR="00D25A9C" w:rsidRPr="007E0042">
        <w:rPr>
          <w:rFonts w:asciiTheme="minorHAnsi" w:hAnsiTheme="minorHAnsi"/>
          <w:sz w:val="20"/>
          <w:szCs w:val="20"/>
        </w:rPr>
        <w:t xml:space="preserve">measured </w:t>
      </w:r>
      <w:r w:rsidR="00D25A9C">
        <w:rPr>
          <w:rFonts w:asciiTheme="minorHAnsi" w:hAnsiTheme="minorHAnsi"/>
          <w:sz w:val="20"/>
          <w:szCs w:val="20"/>
        </w:rPr>
        <w:t>as</w:t>
      </w:r>
      <w:r w:rsidR="00D25A9C" w:rsidRPr="007E0042">
        <w:rPr>
          <w:rFonts w:asciiTheme="minorHAnsi" w:hAnsiTheme="minorHAnsi"/>
          <w:sz w:val="20"/>
          <w:szCs w:val="20"/>
        </w:rPr>
        <w:t xml:space="preserve"> futures-equivalent</w:t>
      </w:r>
      <w:r w:rsidR="00D25A9C">
        <w:rPr>
          <w:rFonts w:asciiTheme="minorHAnsi" w:hAnsiTheme="minorHAnsi"/>
          <w:sz w:val="20"/>
          <w:szCs w:val="20"/>
        </w:rPr>
        <w:t>s</w:t>
      </w:r>
      <w:r w:rsidR="00D25A9C" w:rsidRPr="007E0042">
        <w:rPr>
          <w:rFonts w:asciiTheme="minorHAnsi" w:hAnsiTheme="minorHAnsi"/>
          <w:sz w:val="20"/>
          <w:szCs w:val="20"/>
        </w:rPr>
        <w:t xml:space="preserve"> </w:t>
      </w:r>
      <w:r w:rsidR="00D25A9C">
        <w:rPr>
          <w:rFonts w:asciiTheme="minorHAnsi" w:hAnsiTheme="minorHAnsi"/>
          <w:sz w:val="20"/>
          <w:szCs w:val="20"/>
        </w:rPr>
        <w:t xml:space="preserve">in the applicable </w:t>
      </w:r>
      <w:r w:rsidR="00F9353C">
        <w:rPr>
          <w:rFonts w:asciiTheme="minorHAnsi" w:hAnsiTheme="minorHAnsi"/>
          <w:sz w:val="20"/>
          <w:szCs w:val="20"/>
        </w:rPr>
        <w:t>Core Referenced Futures Contract (</w:t>
      </w:r>
      <w:r w:rsidR="007E0042" w:rsidRPr="007E0042">
        <w:rPr>
          <w:rFonts w:asciiTheme="minorHAnsi" w:hAnsiTheme="minorHAnsi"/>
          <w:sz w:val="20"/>
          <w:szCs w:val="20"/>
        </w:rPr>
        <w:t>CRFC</w:t>
      </w:r>
      <w:r w:rsidR="00F9353C">
        <w:rPr>
          <w:rFonts w:asciiTheme="minorHAnsi" w:hAnsiTheme="minorHAnsi"/>
          <w:sz w:val="20"/>
          <w:szCs w:val="20"/>
        </w:rPr>
        <w:t>)</w:t>
      </w:r>
      <w:r w:rsidR="00732E5B">
        <w:rPr>
          <w:rFonts w:asciiTheme="minorHAnsi" w:hAnsiTheme="minorHAnsi"/>
          <w:sz w:val="20"/>
          <w:szCs w:val="20"/>
        </w:rPr>
        <w:t>.</w:t>
      </w:r>
      <w:r w:rsidR="00860664">
        <w:rPr>
          <w:rStyle w:val="FootnoteReference"/>
          <w:rFonts w:asciiTheme="minorHAnsi" w:hAnsiTheme="minorHAnsi"/>
          <w:sz w:val="20"/>
          <w:szCs w:val="20"/>
        </w:rPr>
        <w:footnoteReference w:id="2"/>
      </w:r>
      <w:r w:rsidR="00653A69" w:rsidRPr="001E3C2D" w:rsidDel="0005659B">
        <w:rPr>
          <w:rFonts w:asciiTheme="minorHAnsi" w:hAnsiTheme="minorHAnsi"/>
          <w:sz w:val="20"/>
          <w:szCs w:val="20"/>
        </w:rPr>
        <w:t xml:space="preserve"> </w:t>
      </w:r>
      <w:r w:rsidR="007E0042" w:rsidRPr="001E3C2D" w:rsidDel="0005659B">
        <w:rPr>
          <w:rFonts w:asciiTheme="minorHAnsi" w:hAnsiTheme="minorHAnsi"/>
          <w:sz w:val="20"/>
          <w:szCs w:val="20"/>
        </w:rPr>
        <w:t xml:space="preserve"> </w:t>
      </w:r>
      <w:r w:rsidR="00732E5B">
        <w:rPr>
          <w:rFonts w:asciiTheme="minorHAnsi" w:hAnsiTheme="minorHAnsi"/>
          <w:sz w:val="20"/>
          <w:szCs w:val="20"/>
        </w:rPr>
        <w:t xml:space="preserve"> Conversions to CRFC equivalents should use economically reasonable and analytically supported deltas.</w:t>
      </w:r>
      <w:r w:rsidR="009E34C7">
        <w:rPr>
          <w:rFonts w:asciiTheme="minorHAnsi" w:hAnsiTheme="minorHAnsi"/>
          <w:sz w:val="20"/>
          <w:szCs w:val="20"/>
        </w:rPr>
        <w:t xml:space="preserve">  </w:t>
      </w:r>
      <w:r w:rsidR="003C3B65">
        <w:rPr>
          <w:rFonts w:asciiTheme="minorHAnsi" w:hAnsiTheme="minorHAnsi"/>
          <w:sz w:val="20"/>
          <w:szCs w:val="20"/>
        </w:rPr>
        <w:t>S</w:t>
      </w:r>
      <w:r w:rsidR="003C3B65" w:rsidRPr="007E0042">
        <w:rPr>
          <w:rFonts w:asciiTheme="minorHAnsi" w:hAnsiTheme="minorHAnsi"/>
          <w:sz w:val="20"/>
          <w:szCs w:val="20"/>
        </w:rPr>
        <w:t xml:space="preserve">how </w:t>
      </w:r>
      <w:r w:rsidR="00326EDC">
        <w:rPr>
          <w:rFonts w:asciiTheme="minorHAnsi" w:hAnsiTheme="minorHAnsi"/>
          <w:sz w:val="20"/>
          <w:szCs w:val="20"/>
        </w:rPr>
        <w:t>positions</w:t>
      </w:r>
      <w:r w:rsidR="003C3B65" w:rsidRPr="000A761B">
        <w:rPr>
          <w:rFonts w:asciiTheme="minorHAnsi" w:hAnsiTheme="minorHAnsi"/>
          <w:sz w:val="20"/>
          <w:szCs w:val="20"/>
        </w:rPr>
        <w:t xml:space="preserve"> </w:t>
      </w:r>
      <w:r w:rsidR="003C3B65" w:rsidRPr="00077068">
        <w:rPr>
          <w:rFonts w:asciiTheme="minorHAnsi" w:hAnsiTheme="minorHAnsi"/>
          <w:sz w:val="20"/>
          <w:szCs w:val="20"/>
        </w:rPr>
        <w:t xml:space="preserve">(1) </w:t>
      </w:r>
      <w:r w:rsidR="003C3B65" w:rsidRPr="000A761B">
        <w:rPr>
          <w:rFonts w:asciiTheme="minorHAnsi" w:hAnsiTheme="minorHAnsi" w:cs="Times New Roman"/>
          <w:sz w:val="20"/>
          <w:szCs w:val="20"/>
        </w:rPr>
        <w:t xml:space="preserve">as of the first business Tuesday following the applicable calendar quarter and </w:t>
      </w:r>
      <w:r w:rsidR="003C3B65">
        <w:rPr>
          <w:rFonts w:asciiTheme="minorHAnsi" w:hAnsiTheme="minorHAnsi" w:cs="Times New Roman"/>
          <w:sz w:val="20"/>
          <w:szCs w:val="20"/>
        </w:rPr>
        <w:t xml:space="preserve">(2) </w:t>
      </w:r>
      <w:r w:rsidR="003C3B65" w:rsidRPr="000A761B">
        <w:rPr>
          <w:rFonts w:asciiTheme="minorHAnsi" w:hAnsiTheme="minorHAnsi" w:cs="Times New Roman"/>
          <w:sz w:val="20"/>
          <w:szCs w:val="20"/>
        </w:rPr>
        <w:t>as of the day, within the applicable calendar quarter, in which the person held the largest net position in all months</w:t>
      </w:r>
      <w:r w:rsidR="003C3B65">
        <w:rPr>
          <w:rFonts w:asciiTheme="minorHAnsi" w:hAnsiTheme="minorHAnsi" w:cs="Times New Roman"/>
          <w:sz w:val="20"/>
          <w:szCs w:val="20"/>
        </w:rPr>
        <w:t xml:space="preserve">.  </w:t>
      </w:r>
      <w:r w:rsidR="009E34C7">
        <w:rPr>
          <w:rFonts w:asciiTheme="minorHAnsi" w:hAnsiTheme="minorHAnsi" w:cs="Times New Roman"/>
          <w:sz w:val="20"/>
          <w:szCs w:val="20"/>
        </w:rPr>
        <w:t>All positions for a date are those as</w:t>
      </w:r>
      <w:r w:rsidR="009E34C7" w:rsidRPr="00EE285F">
        <w:rPr>
          <w:rFonts w:asciiTheme="minorHAnsi" w:hAnsiTheme="minorHAnsi" w:cs="Times New Roman"/>
          <w:sz w:val="20"/>
          <w:szCs w:val="20"/>
        </w:rPr>
        <w:t xml:space="preserve"> of the firm’s customary end</w:t>
      </w:r>
      <w:r w:rsidR="009E34C7">
        <w:rPr>
          <w:rFonts w:asciiTheme="minorHAnsi" w:hAnsiTheme="minorHAnsi" w:cs="Times New Roman"/>
          <w:sz w:val="20"/>
          <w:szCs w:val="20"/>
        </w:rPr>
        <w:t>-</w:t>
      </w:r>
      <w:r w:rsidR="009E34C7" w:rsidRPr="00EE285F">
        <w:rPr>
          <w:rFonts w:asciiTheme="minorHAnsi" w:hAnsiTheme="minorHAnsi" w:cs="Times New Roman"/>
          <w:sz w:val="20"/>
          <w:szCs w:val="20"/>
        </w:rPr>
        <w:t>of</w:t>
      </w:r>
      <w:r w:rsidR="009E34C7">
        <w:rPr>
          <w:rFonts w:asciiTheme="minorHAnsi" w:hAnsiTheme="minorHAnsi" w:cs="Times New Roman"/>
          <w:sz w:val="20"/>
          <w:szCs w:val="20"/>
        </w:rPr>
        <w:t>-</w:t>
      </w:r>
      <w:r w:rsidR="009E34C7" w:rsidRPr="00EE285F">
        <w:rPr>
          <w:rFonts w:asciiTheme="minorHAnsi" w:hAnsiTheme="minorHAnsi" w:cs="Times New Roman"/>
          <w:sz w:val="20"/>
          <w:szCs w:val="20"/>
        </w:rPr>
        <w:t>business day</w:t>
      </w:r>
      <w:r w:rsidR="009E34C7">
        <w:rPr>
          <w:rFonts w:asciiTheme="minorHAnsi" w:hAnsiTheme="minorHAnsi" w:cs="Times New Roman"/>
          <w:sz w:val="20"/>
          <w:szCs w:val="20"/>
        </w:rPr>
        <w:t>.</w:t>
      </w:r>
      <w:r w:rsidR="0055404F">
        <w:rPr>
          <w:rFonts w:asciiTheme="minorHAnsi" w:hAnsiTheme="minorHAnsi" w:cs="Times New Roman"/>
          <w:sz w:val="20"/>
          <w:szCs w:val="20"/>
        </w:rPr>
        <w:t xml:space="preserve"> </w:t>
      </w:r>
      <w:r w:rsidR="009E34C7" w:rsidRPr="001E3C2D" w:rsidDel="0005659B">
        <w:rPr>
          <w:rFonts w:asciiTheme="minorHAnsi" w:hAnsiTheme="minorHAnsi"/>
          <w:sz w:val="20"/>
          <w:szCs w:val="20"/>
        </w:rPr>
        <w:t xml:space="preserve"> </w:t>
      </w:r>
      <w:r w:rsidR="00FB3160" w:rsidRPr="00FB3160">
        <w:rPr>
          <w:rFonts w:asciiTheme="minorHAnsi" w:hAnsiTheme="minorHAnsi"/>
          <w:sz w:val="20"/>
          <w:szCs w:val="20"/>
        </w:rPr>
        <w:t>If you have a zero position in a data element, indicate by a zero.</w:t>
      </w:r>
      <w:r w:rsidR="00FB3160">
        <w:rPr>
          <w:rFonts w:asciiTheme="minorHAnsi" w:hAnsiTheme="minorHAnsi"/>
          <w:sz w:val="20"/>
          <w:szCs w:val="20"/>
        </w:rPr>
        <w:t xml:space="preserve">  </w:t>
      </w:r>
    </w:p>
    <w:p w:rsidR="00E932B3" w:rsidRDefault="00E932B3" w:rsidP="001C70DD">
      <w:pPr>
        <w:rPr>
          <w:rFonts w:asciiTheme="minorHAnsi" w:hAnsiTheme="minorHAnsi"/>
          <w:sz w:val="20"/>
          <w:szCs w:val="20"/>
        </w:rPr>
      </w:pPr>
    </w:p>
    <w:p w:rsidR="001E3C2D" w:rsidRPr="001E3C2D" w:rsidRDefault="0005659B" w:rsidP="001C70DD">
      <w:pPr>
        <w:rPr>
          <w:rFonts w:asciiTheme="minorHAnsi" w:hAnsiTheme="minorHAnsi"/>
          <w:sz w:val="20"/>
          <w:szCs w:val="20"/>
        </w:rPr>
      </w:pPr>
      <w:r>
        <w:rPr>
          <w:rFonts w:asciiTheme="minorHAnsi" w:hAnsiTheme="minorHAnsi"/>
          <w:sz w:val="20"/>
          <w:szCs w:val="20"/>
        </w:rPr>
        <w:t>Complete each of the</w:t>
      </w:r>
      <w:r w:rsidR="001E3C2D" w:rsidRPr="001E3C2D">
        <w:rPr>
          <w:rFonts w:asciiTheme="minorHAnsi" w:hAnsiTheme="minorHAnsi"/>
          <w:sz w:val="20"/>
          <w:szCs w:val="20"/>
        </w:rPr>
        <w:t xml:space="preserve"> three sections</w:t>
      </w:r>
      <w:r w:rsidR="00F76041">
        <w:rPr>
          <w:rFonts w:asciiTheme="minorHAnsi" w:hAnsiTheme="minorHAnsi"/>
          <w:sz w:val="20"/>
          <w:szCs w:val="20"/>
        </w:rPr>
        <w:t xml:space="preserve"> where applicable</w:t>
      </w:r>
      <w:r w:rsidR="001E3C2D" w:rsidRPr="001E3C2D">
        <w:rPr>
          <w:rFonts w:asciiTheme="minorHAnsi" w:hAnsiTheme="minorHAnsi"/>
          <w:sz w:val="20"/>
          <w:szCs w:val="20"/>
        </w:rPr>
        <w:t>:</w:t>
      </w:r>
      <w:r w:rsidR="007E0042" w:rsidRPr="007E0042">
        <w:rPr>
          <w:rFonts w:asciiTheme="minorHAnsi" w:hAnsiTheme="minorHAnsi"/>
          <w:sz w:val="20"/>
          <w:szCs w:val="20"/>
        </w:rPr>
        <w:t xml:space="preserve"> </w:t>
      </w:r>
    </w:p>
    <w:p w:rsidR="001E3C2D" w:rsidRPr="001E3C2D" w:rsidRDefault="001E3C2D" w:rsidP="00683CF5">
      <w:pPr>
        <w:pStyle w:val="CM3"/>
        <w:spacing w:line="231" w:lineRule="atLeast"/>
        <w:rPr>
          <w:rFonts w:asciiTheme="minorHAnsi" w:hAnsiTheme="minorHAnsi"/>
          <w:sz w:val="20"/>
          <w:szCs w:val="20"/>
        </w:rPr>
      </w:pPr>
    </w:p>
    <w:p w:rsidR="001E3C2D" w:rsidRPr="001E3C2D" w:rsidRDefault="00732E5B" w:rsidP="0005659B">
      <w:pPr>
        <w:pStyle w:val="CM3"/>
        <w:numPr>
          <w:ilvl w:val="0"/>
          <w:numId w:val="3"/>
        </w:numPr>
        <w:spacing w:line="231" w:lineRule="atLeast"/>
        <w:rPr>
          <w:rFonts w:asciiTheme="minorHAnsi" w:hAnsiTheme="minorHAnsi"/>
          <w:sz w:val="20"/>
          <w:szCs w:val="20"/>
        </w:rPr>
      </w:pPr>
      <w:r w:rsidRPr="00FB3160">
        <w:rPr>
          <w:rFonts w:asciiTheme="minorHAnsi" w:hAnsiTheme="minorHAnsi"/>
          <w:sz w:val="20"/>
          <w:szCs w:val="20"/>
          <w:u w:val="single"/>
        </w:rPr>
        <w:t xml:space="preserve">Dates in the Quarter when </w:t>
      </w:r>
      <w:r w:rsidR="00313838" w:rsidRPr="00FB3160">
        <w:rPr>
          <w:rFonts w:asciiTheme="minorHAnsi" w:hAnsiTheme="minorHAnsi"/>
          <w:sz w:val="20"/>
          <w:szCs w:val="20"/>
          <w:u w:val="single"/>
        </w:rPr>
        <w:t>over the Position Visibility levels</w:t>
      </w:r>
      <w:r w:rsidR="00313838" w:rsidRPr="001C70DD">
        <w:rPr>
          <w:rFonts w:asciiTheme="minorHAnsi" w:hAnsiTheme="minorHAnsi"/>
          <w:sz w:val="20"/>
          <w:szCs w:val="20"/>
        </w:rPr>
        <w:t>.</w:t>
      </w:r>
      <w:r w:rsidR="00313838">
        <w:rPr>
          <w:rFonts w:asciiTheme="minorHAnsi" w:hAnsiTheme="minorHAnsi"/>
          <w:sz w:val="20"/>
          <w:szCs w:val="20"/>
        </w:rPr>
        <w:t xml:space="preserve">  </w:t>
      </w:r>
      <w:r w:rsidR="00E932B3">
        <w:rPr>
          <w:rFonts w:asciiTheme="minorHAnsi" w:hAnsiTheme="minorHAnsi"/>
          <w:sz w:val="20"/>
          <w:szCs w:val="20"/>
        </w:rPr>
        <w:t xml:space="preserve">For each </w:t>
      </w:r>
      <w:r w:rsidR="0005659B" w:rsidRPr="0005659B">
        <w:rPr>
          <w:rFonts w:asciiTheme="minorHAnsi" w:hAnsiTheme="minorHAnsi"/>
          <w:sz w:val="20"/>
          <w:szCs w:val="20"/>
        </w:rPr>
        <w:t xml:space="preserve">CRFC </w:t>
      </w:r>
      <w:r w:rsidR="00E932B3">
        <w:rPr>
          <w:rFonts w:asciiTheme="minorHAnsi" w:hAnsiTheme="minorHAnsi"/>
          <w:sz w:val="20"/>
          <w:szCs w:val="20"/>
        </w:rPr>
        <w:t xml:space="preserve">provide </w:t>
      </w:r>
      <w:r w:rsidR="0005659B">
        <w:rPr>
          <w:rFonts w:asciiTheme="minorHAnsi" w:hAnsiTheme="minorHAnsi"/>
          <w:sz w:val="20"/>
          <w:szCs w:val="20"/>
        </w:rPr>
        <w:t xml:space="preserve">a </w:t>
      </w:r>
      <w:r w:rsidR="006A0BD2">
        <w:rPr>
          <w:rFonts w:asciiTheme="minorHAnsi" w:hAnsiTheme="minorHAnsi"/>
          <w:sz w:val="20"/>
          <w:szCs w:val="20"/>
        </w:rPr>
        <w:t xml:space="preserve">list of </w:t>
      </w:r>
      <w:r w:rsidR="0005659B">
        <w:rPr>
          <w:rFonts w:asciiTheme="minorHAnsi" w:hAnsiTheme="minorHAnsi"/>
          <w:sz w:val="20"/>
          <w:szCs w:val="20"/>
        </w:rPr>
        <w:t xml:space="preserve">the </w:t>
      </w:r>
      <w:r w:rsidR="006A0BD2">
        <w:rPr>
          <w:rFonts w:asciiTheme="minorHAnsi" w:hAnsiTheme="minorHAnsi"/>
          <w:sz w:val="20"/>
          <w:szCs w:val="20"/>
        </w:rPr>
        <w:t>dates</w:t>
      </w:r>
      <w:r w:rsidR="006A0BD2" w:rsidRPr="006A0BD2">
        <w:rPr>
          <w:rFonts w:asciiTheme="minorHAnsi" w:hAnsiTheme="minorHAnsi"/>
          <w:sz w:val="20"/>
          <w:szCs w:val="20"/>
        </w:rPr>
        <w:t>, within the applicable calendar quarter,</w:t>
      </w:r>
      <w:r w:rsidR="006A0BD2">
        <w:rPr>
          <w:rFonts w:asciiTheme="minorHAnsi" w:hAnsiTheme="minorHAnsi"/>
          <w:sz w:val="20"/>
          <w:szCs w:val="20"/>
        </w:rPr>
        <w:t xml:space="preserve"> on</w:t>
      </w:r>
      <w:r w:rsidR="001E3C2D" w:rsidRPr="001E3C2D">
        <w:rPr>
          <w:rFonts w:asciiTheme="minorHAnsi" w:hAnsiTheme="minorHAnsi"/>
          <w:sz w:val="20"/>
          <w:szCs w:val="20"/>
        </w:rPr>
        <w:t xml:space="preserve"> which the person </w:t>
      </w:r>
      <w:r w:rsidR="006A0BD2" w:rsidRPr="006A0BD2">
        <w:rPr>
          <w:rFonts w:asciiTheme="minorHAnsi" w:hAnsiTheme="minorHAnsi"/>
          <w:sz w:val="20"/>
          <w:szCs w:val="20"/>
        </w:rPr>
        <w:t>held or controlled a position</w:t>
      </w:r>
      <w:r w:rsidR="00E932B3">
        <w:rPr>
          <w:rFonts w:asciiTheme="minorHAnsi" w:hAnsiTheme="minorHAnsi"/>
          <w:sz w:val="20"/>
          <w:szCs w:val="20"/>
        </w:rPr>
        <w:t xml:space="preserve"> </w:t>
      </w:r>
      <w:r w:rsidR="006A0BD2" w:rsidRPr="006A0BD2">
        <w:rPr>
          <w:rFonts w:asciiTheme="minorHAnsi" w:hAnsiTheme="minorHAnsi"/>
          <w:sz w:val="20"/>
          <w:szCs w:val="20"/>
        </w:rPr>
        <w:t xml:space="preserve">that equaled or exceeded </w:t>
      </w:r>
      <w:r w:rsidR="00FB3160">
        <w:rPr>
          <w:rFonts w:asciiTheme="minorHAnsi" w:hAnsiTheme="minorHAnsi"/>
          <w:sz w:val="20"/>
          <w:szCs w:val="20"/>
        </w:rPr>
        <w:t>a</w:t>
      </w:r>
      <w:r w:rsidR="006A0BD2" w:rsidRPr="006A0BD2">
        <w:rPr>
          <w:rFonts w:asciiTheme="minorHAnsi" w:hAnsiTheme="minorHAnsi"/>
          <w:sz w:val="20"/>
          <w:szCs w:val="20"/>
        </w:rPr>
        <w:t xml:space="preserve"> </w:t>
      </w:r>
      <w:r w:rsidR="006A0BD2">
        <w:rPr>
          <w:rFonts w:asciiTheme="minorHAnsi" w:hAnsiTheme="minorHAnsi"/>
          <w:sz w:val="20"/>
          <w:szCs w:val="20"/>
        </w:rPr>
        <w:t>Position V</w:t>
      </w:r>
      <w:r w:rsidR="006A0BD2" w:rsidRPr="006A0BD2">
        <w:rPr>
          <w:rFonts w:asciiTheme="minorHAnsi" w:hAnsiTheme="minorHAnsi"/>
          <w:sz w:val="20"/>
          <w:szCs w:val="20"/>
        </w:rPr>
        <w:t>isibility level</w:t>
      </w:r>
      <w:r w:rsidR="00653A69">
        <w:rPr>
          <w:rFonts w:asciiTheme="minorHAnsi" w:hAnsiTheme="minorHAnsi"/>
          <w:sz w:val="20"/>
          <w:szCs w:val="20"/>
        </w:rPr>
        <w:t>.</w:t>
      </w:r>
    </w:p>
    <w:p w:rsidR="001E3C2D" w:rsidRPr="000A761B" w:rsidRDefault="001E3C2D" w:rsidP="000A761B">
      <w:pPr>
        <w:rPr>
          <w:rFonts w:asciiTheme="minorHAnsi" w:hAnsiTheme="minorHAnsi"/>
          <w:sz w:val="20"/>
          <w:szCs w:val="20"/>
        </w:rPr>
      </w:pPr>
    </w:p>
    <w:p w:rsidR="00644150" w:rsidRPr="000A761B" w:rsidRDefault="00313838" w:rsidP="00FB3160">
      <w:pPr>
        <w:pStyle w:val="CM3"/>
        <w:numPr>
          <w:ilvl w:val="0"/>
          <w:numId w:val="3"/>
        </w:numPr>
        <w:spacing w:line="231" w:lineRule="atLeast"/>
        <w:rPr>
          <w:rFonts w:asciiTheme="minorHAnsi" w:hAnsiTheme="minorHAnsi"/>
          <w:sz w:val="20"/>
          <w:szCs w:val="20"/>
        </w:rPr>
      </w:pPr>
      <w:r w:rsidRPr="00FB3160">
        <w:rPr>
          <w:rFonts w:asciiTheme="minorHAnsi" w:hAnsiTheme="minorHAnsi"/>
          <w:sz w:val="20"/>
          <w:szCs w:val="20"/>
          <w:u w:val="single"/>
        </w:rPr>
        <w:t xml:space="preserve">Positions in </w:t>
      </w:r>
      <w:r>
        <w:rPr>
          <w:rFonts w:asciiTheme="minorHAnsi" w:hAnsiTheme="minorHAnsi"/>
          <w:sz w:val="20"/>
          <w:szCs w:val="20"/>
          <w:u w:val="single"/>
        </w:rPr>
        <w:t>f</w:t>
      </w:r>
      <w:r w:rsidRPr="00FB3160">
        <w:rPr>
          <w:rFonts w:asciiTheme="minorHAnsi" w:hAnsiTheme="minorHAnsi"/>
          <w:sz w:val="20"/>
          <w:szCs w:val="20"/>
          <w:u w:val="single"/>
        </w:rPr>
        <w:t xml:space="preserve">utures, </w:t>
      </w:r>
      <w:r>
        <w:rPr>
          <w:rFonts w:asciiTheme="minorHAnsi" w:hAnsiTheme="minorHAnsi"/>
          <w:sz w:val="20"/>
          <w:szCs w:val="20"/>
          <w:u w:val="single"/>
        </w:rPr>
        <w:t>o</w:t>
      </w:r>
      <w:r w:rsidRPr="00FB3160">
        <w:rPr>
          <w:rFonts w:asciiTheme="minorHAnsi" w:hAnsiTheme="minorHAnsi"/>
          <w:sz w:val="20"/>
          <w:szCs w:val="20"/>
          <w:u w:val="single"/>
        </w:rPr>
        <w:t xml:space="preserve">ptions, and </w:t>
      </w:r>
      <w:r>
        <w:rPr>
          <w:rFonts w:asciiTheme="minorHAnsi" w:hAnsiTheme="minorHAnsi"/>
          <w:sz w:val="20"/>
          <w:szCs w:val="20"/>
          <w:u w:val="single"/>
        </w:rPr>
        <w:t>s</w:t>
      </w:r>
      <w:r w:rsidRPr="00FB3160">
        <w:rPr>
          <w:rFonts w:asciiTheme="minorHAnsi" w:hAnsiTheme="minorHAnsi"/>
          <w:sz w:val="20"/>
          <w:szCs w:val="20"/>
          <w:u w:val="single"/>
        </w:rPr>
        <w:t>waps</w:t>
      </w:r>
      <w:r w:rsidRPr="00313838">
        <w:rPr>
          <w:rFonts w:asciiTheme="minorHAnsi" w:hAnsiTheme="minorHAnsi"/>
          <w:sz w:val="20"/>
          <w:szCs w:val="20"/>
          <w:u w:val="single"/>
        </w:rPr>
        <w:t xml:space="preserve"> </w:t>
      </w:r>
      <w:r>
        <w:rPr>
          <w:rFonts w:asciiTheme="minorHAnsi" w:hAnsiTheme="minorHAnsi"/>
          <w:sz w:val="20"/>
          <w:szCs w:val="20"/>
          <w:u w:val="single"/>
        </w:rPr>
        <w:t>(</w:t>
      </w:r>
      <w:r w:rsidR="00653A69">
        <w:rPr>
          <w:rFonts w:asciiTheme="minorHAnsi" w:hAnsiTheme="minorHAnsi"/>
          <w:sz w:val="20"/>
          <w:szCs w:val="20"/>
          <w:u w:val="single"/>
        </w:rPr>
        <w:t xml:space="preserve">both </w:t>
      </w:r>
      <w:r>
        <w:rPr>
          <w:rFonts w:asciiTheme="minorHAnsi" w:hAnsiTheme="minorHAnsi"/>
          <w:sz w:val="20"/>
          <w:szCs w:val="20"/>
          <w:u w:val="single"/>
        </w:rPr>
        <w:t>c</w:t>
      </w:r>
      <w:r w:rsidRPr="00307630">
        <w:rPr>
          <w:rFonts w:asciiTheme="minorHAnsi" w:hAnsiTheme="minorHAnsi"/>
          <w:sz w:val="20"/>
          <w:szCs w:val="20"/>
          <w:u w:val="single"/>
        </w:rPr>
        <w:t>leared</w:t>
      </w:r>
      <w:r>
        <w:rPr>
          <w:rFonts w:asciiTheme="minorHAnsi" w:hAnsiTheme="minorHAnsi"/>
          <w:sz w:val="20"/>
          <w:szCs w:val="20"/>
          <w:u w:val="single"/>
        </w:rPr>
        <w:t xml:space="preserve"> and uncleared)</w:t>
      </w:r>
      <w:r w:rsidRPr="001C70DD">
        <w:rPr>
          <w:rFonts w:asciiTheme="minorHAnsi" w:hAnsiTheme="minorHAnsi"/>
          <w:sz w:val="20"/>
          <w:szCs w:val="20"/>
        </w:rPr>
        <w:t>.</w:t>
      </w:r>
      <w:r w:rsidR="003E3718" w:rsidRPr="001C70DD">
        <w:rPr>
          <w:rFonts w:asciiTheme="minorHAnsi" w:hAnsiTheme="minorHAnsi"/>
          <w:sz w:val="20"/>
          <w:szCs w:val="20"/>
        </w:rPr>
        <w:t xml:space="preserve">  </w:t>
      </w:r>
      <w:r w:rsidR="00732E5B" w:rsidRPr="007E0042">
        <w:rPr>
          <w:rFonts w:asciiTheme="minorHAnsi" w:hAnsiTheme="minorHAnsi"/>
          <w:sz w:val="20"/>
          <w:szCs w:val="20"/>
        </w:rPr>
        <w:t xml:space="preserve">Separately for each CRFC, </w:t>
      </w:r>
      <w:r>
        <w:rPr>
          <w:rFonts w:asciiTheme="minorHAnsi" w:hAnsiTheme="minorHAnsi"/>
          <w:sz w:val="20"/>
          <w:szCs w:val="20"/>
        </w:rPr>
        <w:t xml:space="preserve">report </w:t>
      </w:r>
      <w:r w:rsidR="00732E5B" w:rsidRPr="007E0042">
        <w:rPr>
          <w:rFonts w:asciiTheme="minorHAnsi" w:hAnsiTheme="minorHAnsi"/>
          <w:sz w:val="20"/>
          <w:szCs w:val="20"/>
        </w:rPr>
        <w:t xml:space="preserve">the gross long and short positions in Referenced Contracts, </w:t>
      </w:r>
      <w:r>
        <w:rPr>
          <w:rFonts w:asciiTheme="minorHAnsi" w:hAnsiTheme="minorHAnsi"/>
          <w:sz w:val="20"/>
          <w:szCs w:val="20"/>
        </w:rPr>
        <w:t>separately for</w:t>
      </w:r>
      <w:r w:rsidR="00732E5B" w:rsidRPr="007E0042">
        <w:rPr>
          <w:rFonts w:asciiTheme="minorHAnsi" w:hAnsiTheme="minorHAnsi"/>
          <w:sz w:val="20"/>
          <w:szCs w:val="20"/>
        </w:rPr>
        <w:t xml:space="preserve"> futures, options, and swaps.  </w:t>
      </w:r>
    </w:p>
    <w:p w:rsidR="00644150" w:rsidRPr="000A761B" w:rsidRDefault="00644150" w:rsidP="000A761B">
      <w:pPr>
        <w:rPr>
          <w:rFonts w:asciiTheme="minorHAnsi" w:hAnsiTheme="minorHAnsi"/>
          <w:sz w:val="20"/>
          <w:szCs w:val="20"/>
        </w:rPr>
      </w:pPr>
    </w:p>
    <w:p w:rsidR="00644150" w:rsidRPr="003E3718" w:rsidRDefault="00644150" w:rsidP="000A761B">
      <w:pPr>
        <w:pStyle w:val="CM3"/>
        <w:numPr>
          <w:ilvl w:val="0"/>
          <w:numId w:val="3"/>
        </w:numPr>
        <w:spacing w:line="231" w:lineRule="atLeast"/>
        <w:rPr>
          <w:rFonts w:asciiTheme="minorHAnsi" w:hAnsiTheme="minorHAnsi"/>
          <w:sz w:val="20"/>
          <w:szCs w:val="20"/>
        </w:rPr>
      </w:pPr>
      <w:r w:rsidRPr="003E3718">
        <w:rPr>
          <w:rFonts w:asciiTheme="minorHAnsi" w:hAnsiTheme="minorHAnsi"/>
          <w:sz w:val="20"/>
          <w:szCs w:val="20"/>
          <w:u w:val="single"/>
        </w:rPr>
        <w:t>Positions in uncleared swaps</w:t>
      </w:r>
      <w:r w:rsidR="00313838" w:rsidRPr="003E3718">
        <w:rPr>
          <w:rFonts w:asciiTheme="minorHAnsi" w:eastAsiaTheme="minorHAnsi" w:hAnsiTheme="minorHAnsi" w:cstheme="minorBidi"/>
          <w:sz w:val="20"/>
          <w:szCs w:val="20"/>
        </w:rPr>
        <w:t>.</w:t>
      </w:r>
      <w:r w:rsidR="00CC191F" w:rsidRPr="003E3718">
        <w:rPr>
          <w:rFonts w:asciiTheme="minorHAnsi" w:eastAsiaTheme="minorHAnsi" w:hAnsiTheme="minorHAnsi" w:cstheme="minorBidi"/>
          <w:sz w:val="20"/>
          <w:szCs w:val="20"/>
        </w:rPr>
        <w:t xml:space="preserve"> </w:t>
      </w:r>
      <w:r w:rsidR="003E3718">
        <w:rPr>
          <w:rFonts w:asciiTheme="minorHAnsi" w:eastAsiaTheme="minorHAnsi" w:hAnsiTheme="minorHAnsi" w:cstheme="minorBidi"/>
          <w:sz w:val="20"/>
          <w:szCs w:val="20"/>
        </w:rPr>
        <w:t xml:space="preserve"> </w:t>
      </w:r>
      <w:r w:rsidR="00313838" w:rsidRPr="003E3718">
        <w:rPr>
          <w:rFonts w:asciiTheme="minorHAnsi" w:hAnsiTheme="minorHAnsi"/>
          <w:sz w:val="20"/>
          <w:szCs w:val="20"/>
        </w:rPr>
        <w:t xml:space="preserve">Separately for </w:t>
      </w:r>
      <w:r w:rsidRPr="003E3718">
        <w:rPr>
          <w:rFonts w:asciiTheme="minorHAnsi" w:hAnsiTheme="minorHAnsi"/>
          <w:sz w:val="20"/>
          <w:szCs w:val="20"/>
        </w:rPr>
        <w:t xml:space="preserve">each </w:t>
      </w:r>
      <w:r w:rsidR="00313838" w:rsidRPr="003E3718">
        <w:rPr>
          <w:rFonts w:asciiTheme="minorHAnsi" w:hAnsiTheme="minorHAnsi"/>
          <w:sz w:val="20"/>
          <w:szCs w:val="20"/>
        </w:rPr>
        <w:t>CRFC</w:t>
      </w:r>
      <w:r w:rsidRPr="003E3718">
        <w:rPr>
          <w:rFonts w:asciiTheme="minorHAnsi" w:hAnsiTheme="minorHAnsi"/>
          <w:sz w:val="20"/>
          <w:szCs w:val="20"/>
        </w:rPr>
        <w:t xml:space="preserve">, report </w:t>
      </w:r>
      <w:r w:rsidR="00477E7B" w:rsidRPr="003E3718">
        <w:rPr>
          <w:rFonts w:asciiTheme="minorHAnsi" w:hAnsiTheme="minorHAnsi"/>
          <w:sz w:val="20"/>
          <w:szCs w:val="20"/>
        </w:rPr>
        <w:t>for each Commodity Reference Price</w:t>
      </w:r>
      <w:r w:rsidR="00653A69">
        <w:rPr>
          <w:rFonts w:asciiTheme="minorHAnsi" w:hAnsiTheme="minorHAnsi"/>
          <w:sz w:val="20"/>
          <w:szCs w:val="20"/>
        </w:rPr>
        <w:t>,</w:t>
      </w:r>
      <w:r w:rsidR="00477E7B">
        <w:rPr>
          <w:rStyle w:val="FootnoteReference"/>
          <w:rFonts w:asciiTheme="minorHAnsi" w:hAnsiTheme="minorHAnsi"/>
          <w:sz w:val="20"/>
          <w:szCs w:val="20"/>
        </w:rPr>
        <w:footnoteReference w:id="3"/>
      </w:r>
      <w:r w:rsidR="00477E7B" w:rsidRPr="003E3718">
        <w:rPr>
          <w:rFonts w:asciiTheme="minorHAnsi" w:hAnsiTheme="minorHAnsi"/>
          <w:sz w:val="20"/>
          <w:szCs w:val="20"/>
        </w:rPr>
        <w:t xml:space="preserve"> </w:t>
      </w:r>
      <w:r w:rsidRPr="003E3718">
        <w:rPr>
          <w:rFonts w:asciiTheme="minorHAnsi" w:hAnsiTheme="minorHAnsi"/>
          <w:sz w:val="20"/>
          <w:szCs w:val="20"/>
        </w:rPr>
        <w:t xml:space="preserve">the </w:t>
      </w:r>
      <w:r w:rsidR="00313838" w:rsidRPr="003E3718">
        <w:rPr>
          <w:rFonts w:asciiTheme="minorHAnsi" w:hAnsiTheme="minorHAnsi"/>
          <w:sz w:val="20"/>
          <w:szCs w:val="20"/>
        </w:rPr>
        <w:t xml:space="preserve">gross long and gross short </w:t>
      </w:r>
      <w:proofErr w:type="spellStart"/>
      <w:r w:rsidR="00313838" w:rsidRPr="003E3718">
        <w:rPr>
          <w:rFonts w:asciiTheme="minorHAnsi" w:hAnsiTheme="minorHAnsi"/>
          <w:sz w:val="20"/>
          <w:szCs w:val="20"/>
        </w:rPr>
        <w:t>uncleared</w:t>
      </w:r>
      <w:proofErr w:type="spellEnd"/>
      <w:r w:rsidR="00313838" w:rsidRPr="003E3718">
        <w:rPr>
          <w:rFonts w:asciiTheme="minorHAnsi" w:hAnsiTheme="minorHAnsi"/>
          <w:sz w:val="20"/>
          <w:szCs w:val="20"/>
        </w:rPr>
        <w:t xml:space="preserve"> swap positions </w:t>
      </w:r>
      <w:r w:rsidR="009E01AE">
        <w:rPr>
          <w:rFonts w:asciiTheme="minorHAnsi" w:hAnsiTheme="minorHAnsi"/>
          <w:sz w:val="20"/>
          <w:szCs w:val="20"/>
        </w:rPr>
        <w:t xml:space="preserve">in Referenced Contracts </w:t>
      </w:r>
      <w:r w:rsidR="00A044F4">
        <w:rPr>
          <w:rFonts w:asciiTheme="minorHAnsi" w:hAnsiTheme="minorHAnsi"/>
          <w:sz w:val="20"/>
          <w:szCs w:val="20"/>
        </w:rPr>
        <w:t xml:space="preserve">(included in the total swaps reported in Part B) </w:t>
      </w:r>
      <w:r w:rsidR="00313838" w:rsidRPr="003E3718">
        <w:rPr>
          <w:rFonts w:asciiTheme="minorHAnsi" w:hAnsiTheme="minorHAnsi"/>
          <w:sz w:val="20"/>
          <w:szCs w:val="20"/>
        </w:rPr>
        <w:t xml:space="preserve">on an all-months-combined basis. </w:t>
      </w:r>
    </w:p>
    <w:p w:rsidR="0043705C" w:rsidRPr="00644150" w:rsidRDefault="0043705C">
      <w:pPr>
        <w:rPr>
          <w:rFonts w:asciiTheme="minorHAnsi" w:hAnsiTheme="minorHAnsi" w:cs="Times New Roman"/>
          <w:sz w:val="20"/>
          <w:szCs w:val="20"/>
        </w:rPr>
      </w:pPr>
    </w:p>
    <w:p w:rsidR="0043705C" w:rsidRDefault="0043705C" w:rsidP="0043705C">
      <w:pPr>
        <w:pStyle w:val="CM3"/>
        <w:spacing w:line="231" w:lineRule="atLeast"/>
        <w:rPr>
          <w:rFonts w:asciiTheme="minorHAnsi" w:hAnsiTheme="minorHAnsi"/>
          <w:sz w:val="20"/>
          <w:szCs w:val="20"/>
        </w:rPr>
      </w:pPr>
      <w:r w:rsidRPr="001E3C2D">
        <w:rPr>
          <w:rFonts w:asciiTheme="minorHAnsi" w:hAnsiTheme="minorHAnsi"/>
          <w:b/>
          <w:bCs/>
          <w:sz w:val="20"/>
          <w:szCs w:val="20"/>
        </w:rPr>
        <w:t>WHEN TO REPORT:</w:t>
      </w:r>
      <w:r w:rsidRPr="001E3C2D">
        <w:rPr>
          <w:rFonts w:asciiTheme="minorHAnsi" w:hAnsiTheme="minorHAnsi"/>
          <w:sz w:val="20"/>
          <w:szCs w:val="20"/>
        </w:rPr>
        <w:t xml:space="preserve">  Reports must be submitted to the Commission</w:t>
      </w:r>
      <w:r w:rsidR="00874EDE">
        <w:rPr>
          <w:rFonts w:asciiTheme="minorHAnsi" w:hAnsiTheme="minorHAnsi"/>
          <w:sz w:val="20"/>
          <w:szCs w:val="20"/>
        </w:rPr>
        <w:t xml:space="preserve"> </w:t>
      </w:r>
      <w:r w:rsidR="00642D42">
        <w:rPr>
          <w:rFonts w:asciiTheme="minorHAnsi" w:hAnsiTheme="minorHAnsi"/>
          <w:sz w:val="20"/>
          <w:szCs w:val="20"/>
        </w:rPr>
        <w:t>within</w:t>
      </w:r>
      <w:r w:rsidRPr="001E3C2D">
        <w:rPr>
          <w:rFonts w:asciiTheme="minorHAnsi" w:hAnsiTheme="minorHAnsi"/>
          <w:sz w:val="20"/>
          <w:szCs w:val="20"/>
        </w:rPr>
        <w:t xml:space="preserve"> ten business days </w:t>
      </w:r>
      <w:r w:rsidR="00642D42">
        <w:rPr>
          <w:rFonts w:asciiTheme="minorHAnsi" w:hAnsiTheme="minorHAnsi"/>
          <w:sz w:val="20"/>
          <w:szCs w:val="20"/>
        </w:rPr>
        <w:t xml:space="preserve">following the quarter </w:t>
      </w:r>
      <w:r w:rsidR="009E34C7">
        <w:rPr>
          <w:rFonts w:asciiTheme="minorHAnsi" w:hAnsiTheme="minorHAnsi"/>
          <w:sz w:val="20"/>
          <w:szCs w:val="20"/>
        </w:rPr>
        <w:t>in which the person held</w:t>
      </w:r>
      <w:r w:rsidR="009E34C7" w:rsidRPr="009E34C7">
        <w:rPr>
          <w:rFonts w:asciiTheme="minorHAnsi" w:hAnsiTheme="minorHAnsi"/>
          <w:sz w:val="20"/>
          <w:szCs w:val="20"/>
        </w:rPr>
        <w:t xml:space="preserve"> </w:t>
      </w:r>
      <w:r w:rsidR="009E34C7">
        <w:rPr>
          <w:rFonts w:asciiTheme="minorHAnsi" w:hAnsiTheme="minorHAnsi"/>
          <w:sz w:val="20"/>
          <w:szCs w:val="20"/>
        </w:rPr>
        <w:t xml:space="preserve">a position </w:t>
      </w:r>
      <w:r w:rsidR="00CE09BD">
        <w:rPr>
          <w:rFonts w:asciiTheme="minorHAnsi" w:hAnsiTheme="minorHAnsi"/>
          <w:sz w:val="20"/>
          <w:szCs w:val="20"/>
        </w:rPr>
        <w:t xml:space="preserve">that equaled or exceeded </w:t>
      </w:r>
      <w:r w:rsidR="009E34C7" w:rsidRPr="001E3C2D">
        <w:rPr>
          <w:rFonts w:asciiTheme="minorHAnsi" w:hAnsiTheme="minorHAnsi"/>
          <w:sz w:val="20"/>
          <w:szCs w:val="20"/>
        </w:rPr>
        <w:t xml:space="preserve">the </w:t>
      </w:r>
      <w:r w:rsidR="009E34C7">
        <w:rPr>
          <w:rFonts w:asciiTheme="minorHAnsi" w:hAnsiTheme="minorHAnsi"/>
          <w:sz w:val="20"/>
          <w:szCs w:val="20"/>
        </w:rPr>
        <w:t>Position Visibility levels</w:t>
      </w:r>
      <w:r w:rsidRPr="001E3C2D">
        <w:rPr>
          <w:rFonts w:asciiTheme="minorHAnsi" w:hAnsiTheme="minorHAnsi"/>
          <w:sz w:val="20"/>
          <w:szCs w:val="20"/>
        </w:rPr>
        <w:t xml:space="preserve">.  </w:t>
      </w:r>
      <w:r w:rsidR="00454927" w:rsidRPr="00F3659A">
        <w:rPr>
          <w:rFonts w:asciiTheme="minorHAnsi" w:hAnsiTheme="minorHAnsi"/>
          <w:sz w:val="20"/>
          <w:szCs w:val="20"/>
        </w:rPr>
        <w:t>Reports must be received not later than 9:00 a.m. Eastern Time of the applicable due date.</w:t>
      </w:r>
    </w:p>
    <w:p w:rsidR="00FB3160" w:rsidRPr="00FB3160" w:rsidRDefault="00FB3160" w:rsidP="00FB3160"/>
    <w:p w:rsidR="0043705C" w:rsidRPr="001E3C2D" w:rsidRDefault="0043705C" w:rsidP="0043705C">
      <w:pPr>
        <w:pStyle w:val="CM3"/>
        <w:spacing w:line="231" w:lineRule="atLeast"/>
        <w:rPr>
          <w:rFonts w:asciiTheme="minorHAnsi" w:hAnsiTheme="minorHAnsi"/>
          <w:sz w:val="20"/>
          <w:szCs w:val="20"/>
        </w:rPr>
      </w:pPr>
      <w:r w:rsidRPr="001E3C2D">
        <w:rPr>
          <w:rFonts w:asciiTheme="minorHAnsi" w:hAnsiTheme="minorHAnsi"/>
          <w:b/>
          <w:bCs/>
          <w:sz w:val="20"/>
          <w:szCs w:val="20"/>
        </w:rPr>
        <w:t>WHERE TO REPORT:</w:t>
      </w:r>
      <w:r w:rsidRPr="001E3C2D">
        <w:rPr>
          <w:rFonts w:asciiTheme="minorHAnsi" w:hAnsiTheme="minorHAnsi"/>
          <w:sz w:val="20"/>
          <w:szCs w:val="20"/>
        </w:rPr>
        <w:t xml:space="preserve">  Generally, a CFTC Form 401 should be submitted via the CFTC’s web based Form 401 submission process at [</w:t>
      </w:r>
      <w:r w:rsidRPr="001E3C2D">
        <w:rPr>
          <w:rFonts w:asciiTheme="minorHAnsi" w:hAnsiTheme="minorHAnsi"/>
          <w:sz w:val="20"/>
          <w:szCs w:val="20"/>
          <w:highlight w:val="yellow"/>
        </w:rPr>
        <w:t>web address</w:t>
      </w:r>
      <w:r w:rsidRPr="001E3C2D">
        <w:rPr>
          <w:rFonts w:asciiTheme="minorHAnsi" w:hAnsiTheme="minorHAnsi"/>
          <w:sz w:val="20"/>
          <w:szCs w:val="20"/>
        </w:rPr>
        <w:t xml:space="preserve">].  </w:t>
      </w:r>
      <w:proofErr w:type="gramStart"/>
      <w:r w:rsidRPr="001E3C2D">
        <w:rPr>
          <w:rFonts w:asciiTheme="minorHAnsi" w:hAnsiTheme="minorHAnsi"/>
          <w:sz w:val="20"/>
          <w:szCs w:val="20"/>
        </w:rPr>
        <w:t xml:space="preserve">If </w:t>
      </w:r>
      <w:r w:rsidR="00C4633C">
        <w:rPr>
          <w:rFonts w:asciiTheme="minorHAnsi" w:hAnsiTheme="minorHAnsi"/>
          <w:sz w:val="20"/>
          <w:szCs w:val="20"/>
        </w:rPr>
        <w:t xml:space="preserve">submission </w:t>
      </w:r>
      <w:r w:rsidRPr="001E3C2D">
        <w:rPr>
          <w:rFonts w:asciiTheme="minorHAnsi" w:hAnsiTheme="minorHAnsi"/>
          <w:sz w:val="20"/>
          <w:szCs w:val="20"/>
        </w:rPr>
        <w:t>through the web-based process</w:t>
      </w:r>
      <w:r w:rsidR="00C4633C">
        <w:rPr>
          <w:rFonts w:asciiTheme="minorHAnsi" w:hAnsiTheme="minorHAnsi"/>
          <w:sz w:val="20"/>
          <w:szCs w:val="20"/>
        </w:rPr>
        <w:t xml:space="preserve"> is impractical</w:t>
      </w:r>
      <w:r w:rsidRPr="001E3C2D">
        <w:rPr>
          <w:rFonts w:asciiTheme="minorHAnsi" w:hAnsiTheme="minorHAnsi"/>
          <w:sz w:val="20"/>
          <w:szCs w:val="20"/>
        </w:rPr>
        <w:t xml:space="preserve">, the reporting trader shall contact the </w:t>
      </w:r>
      <w:r w:rsidR="00C4633C">
        <w:rPr>
          <w:rFonts w:asciiTheme="minorHAnsi" w:hAnsiTheme="minorHAnsi"/>
          <w:sz w:val="20"/>
          <w:szCs w:val="20"/>
        </w:rPr>
        <w:t>Commission</w:t>
      </w:r>
      <w:r w:rsidRPr="001E3C2D">
        <w:rPr>
          <w:rFonts w:asciiTheme="minorHAnsi" w:hAnsiTheme="minorHAnsi"/>
          <w:sz w:val="20"/>
          <w:szCs w:val="20"/>
        </w:rPr>
        <w:t xml:space="preserve"> at [</w:t>
      </w:r>
      <w:r w:rsidRPr="001E3C2D">
        <w:rPr>
          <w:rFonts w:asciiTheme="minorHAnsi" w:hAnsiTheme="minorHAnsi"/>
          <w:sz w:val="20"/>
          <w:szCs w:val="20"/>
          <w:highlight w:val="yellow"/>
        </w:rPr>
        <w:t>email address</w:t>
      </w:r>
      <w:r w:rsidRPr="001E3C2D">
        <w:rPr>
          <w:rFonts w:asciiTheme="minorHAnsi" w:hAnsiTheme="minorHAnsi"/>
          <w:sz w:val="20"/>
          <w:szCs w:val="20"/>
        </w:rPr>
        <w:t>] or [</w:t>
      </w:r>
      <w:r w:rsidRPr="001E3C2D">
        <w:rPr>
          <w:rFonts w:asciiTheme="minorHAnsi" w:hAnsiTheme="minorHAnsi"/>
          <w:sz w:val="20"/>
          <w:szCs w:val="20"/>
          <w:highlight w:val="yellow"/>
        </w:rPr>
        <w:t>phone number</w:t>
      </w:r>
      <w:r w:rsidRPr="001E3C2D">
        <w:rPr>
          <w:rFonts w:asciiTheme="minorHAnsi" w:hAnsiTheme="minorHAnsi"/>
          <w:sz w:val="20"/>
          <w:szCs w:val="20"/>
        </w:rPr>
        <w:t>] for further instruction.</w:t>
      </w:r>
      <w:proofErr w:type="gramEnd"/>
      <w:r w:rsidRPr="001E3C2D">
        <w:rPr>
          <w:rFonts w:asciiTheme="minorHAnsi" w:hAnsiTheme="minorHAnsi"/>
          <w:sz w:val="20"/>
          <w:szCs w:val="20"/>
        </w:rPr>
        <w:t xml:space="preserve"> </w:t>
      </w:r>
    </w:p>
    <w:p w:rsidR="00302C77" w:rsidRDefault="00302C77" w:rsidP="00AF7742">
      <w:pPr>
        <w:rPr>
          <w:rFonts w:asciiTheme="minorHAnsi" w:hAnsiTheme="minorHAnsi" w:cs="Times New Roman"/>
          <w:sz w:val="20"/>
          <w:szCs w:val="20"/>
        </w:rPr>
      </w:pPr>
    </w:p>
    <w:p w:rsidR="00C4633C" w:rsidRDefault="00C4633C" w:rsidP="00AF7742">
      <w:pPr>
        <w:rPr>
          <w:rFonts w:asciiTheme="minorHAnsi" w:hAnsiTheme="minorHAnsi"/>
          <w:color w:val="FF0000"/>
          <w:sz w:val="20"/>
          <w:szCs w:val="20"/>
        </w:rPr>
      </w:pPr>
    </w:p>
    <w:p w:rsidR="00302C77" w:rsidRPr="001E3C2D" w:rsidRDefault="00302C77" w:rsidP="00AF7742">
      <w:pPr>
        <w:rPr>
          <w:rFonts w:asciiTheme="minorHAnsi" w:hAnsiTheme="minorHAnsi"/>
          <w:color w:val="FF0000"/>
          <w:sz w:val="20"/>
          <w:szCs w:val="20"/>
        </w:rPr>
      </w:pPr>
    </w:p>
    <w:p w:rsidR="00F73990" w:rsidRPr="001E3C2D" w:rsidRDefault="00F73990" w:rsidP="00AF7742">
      <w:pPr>
        <w:rPr>
          <w:rFonts w:asciiTheme="minorHAnsi" w:hAnsiTheme="minorHAnsi"/>
          <w:color w:val="FF0000"/>
          <w:sz w:val="20"/>
          <w:szCs w:val="20"/>
        </w:rPr>
      </w:pPr>
    </w:p>
    <w:tbl>
      <w:tblPr>
        <w:tblW w:w="12623" w:type="dxa"/>
        <w:tblInd w:w="85" w:type="dxa"/>
        <w:tblLayout w:type="fixed"/>
        <w:tblLook w:val="04A0" w:firstRow="1" w:lastRow="0" w:firstColumn="1" w:lastColumn="0" w:noHBand="0" w:noVBand="1"/>
      </w:tblPr>
      <w:tblGrid>
        <w:gridCol w:w="1013"/>
        <w:gridCol w:w="90"/>
        <w:gridCol w:w="540"/>
        <w:gridCol w:w="109"/>
        <w:gridCol w:w="1331"/>
        <w:gridCol w:w="810"/>
        <w:gridCol w:w="90"/>
        <w:gridCol w:w="360"/>
        <w:gridCol w:w="540"/>
        <w:gridCol w:w="900"/>
        <w:gridCol w:w="810"/>
        <w:gridCol w:w="450"/>
        <w:gridCol w:w="630"/>
        <w:gridCol w:w="810"/>
        <w:gridCol w:w="1350"/>
        <w:gridCol w:w="1440"/>
        <w:gridCol w:w="1350"/>
      </w:tblGrid>
      <w:tr w:rsidR="00292A86" w:rsidRPr="001E3C2D" w:rsidTr="001C70DD">
        <w:trPr>
          <w:trHeight w:val="208"/>
        </w:trPr>
        <w:tc>
          <w:tcPr>
            <w:tcW w:w="4883" w:type="dxa"/>
            <w:gridSpan w:val="9"/>
            <w:vMerge w:val="restart"/>
            <w:tcBorders>
              <w:top w:val="double" w:sz="6" w:space="0" w:color="auto"/>
              <w:left w:val="double" w:sz="6" w:space="0" w:color="auto"/>
              <w:right w:val="double" w:sz="6" w:space="0" w:color="auto"/>
            </w:tcBorders>
            <w:vAlign w:val="center"/>
          </w:tcPr>
          <w:p w:rsidR="00F73990" w:rsidRPr="001C70DD" w:rsidRDefault="00565D05" w:rsidP="00BB5893">
            <w:pPr>
              <w:jc w:val="center"/>
              <w:rPr>
                <w:rFonts w:asciiTheme="minorHAnsi" w:eastAsia="Times New Roman" w:hAnsiTheme="minorHAnsi" w:cs="Times New Roman"/>
                <w:b/>
                <w:color w:val="000000"/>
              </w:rPr>
            </w:pPr>
            <w:r w:rsidRPr="001C70DD">
              <w:rPr>
                <w:rFonts w:asciiTheme="minorHAnsi" w:eastAsia="Times New Roman" w:hAnsiTheme="minorHAnsi" w:cs="Times New Roman"/>
                <w:b/>
                <w:color w:val="000000"/>
                <w:sz w:val="22"/>
              </w:rPr>
              <w:lastRenderedPageBreak/>
              <w:t xml:space="preserve">COMMODITY FUTURES TRADING COMMISSION </w:t>
            </w:r>
          </w:p>
          <w:p w:rsidR="00565D05" w:rsidRPr="001C70DD" w:rsidRDefault="00F73990" w:rsidP="00F73990">
            <w:pPr>
              <w:jc w:val="center"/>
              <w:rPr>
                <w:rFonts w:asciiTheme="minorHAnsi" w:eastAsia="Times New Roman" w:hAnsiTheme="minorHAnsi" w:cs="Times New Roman"/>
                <w:color w:val="000000"/>
              </w:rPr>
            </w:pPr>
            <w:r w:rsidRPr="00E932B3">
              <w:rPr>
                <w:rFonts w:asciiTheme="minorHAnsi" w:eastAsia="Times New Roman" w:hAnsiTheme="minorHAnsi" w:cs="Times New Roman"/>
                <w:b/>
                <w:color w:val="000000"/>
                <w:sz w:val="22"/>
              </w:rPr>
              <w:t>FORM 401: POSITION VISIBILITY REPORTING</w:t>
            </w:r>
          </w:p>
        </w:tc>
        <w:tc>
          <w:tcPr>
            <w:tcW w:w="2790" w:type="dxa"/>
            <w:gridSpan w:val="4"/>
            <w:tcBorders>
              <w:top w:val="double" w:sz="6" w:space="0" w:color="auto"/>
              <w:left w:val="nil"/>
              <w:bottom w:val="double" w:sz="6" w:space="0" w:color="auto"/>
              <w:right w:val="double" w:sz="6" w:space="0" w:color="auto"/>
            </w:tcBorders>
            <w:shd w:val="clear" w:color="auto" w:fill="auto"/>
            <w:noWrap/>
            <w:vAlign w:val="center"/>
            <w:hideMark/>
          </w:tcPr>
          <w:p w:rsidR="00565D05" w:rsidRPr="000A761B" w:rsidRDefault="00565D05" w:rsidP="005E3BCF">
            <w:pPr>
              <w:rPr>
                <w:rFonts w:asciiTheme="minorHAnsi" w:eastAsia="Times New Roman" w:hAnsiTheme="minorHAnsi" w:cs="Times New Roman"/>
                <w:color w:val="000000"/>
              </w:rPr>
            </w:pPr>
            <w:r w:rsidRPr="000A761B">
              <w:rPr>
                <w:rFonts w:asciiTheme="minorHAnsi" w:eastAsia="Times New Roman" w:hAnsiTheme="minorHAnsi" w:cs="Times New Roman"/>
                <w:color w:val="000000"/>
                <w:sz w:val="22"/>
              </w:rPr>
              <w:t>CFTC CODE NO.</w:t>
            </w:r>
            <w:r w:rsidRPr="000A761B">
              <w:rPr>
                <w:rFonts w:asciiTheme="minorHAnsi" w:eastAsia="Times New Roman" w:hAnsiTheme="minorHAnsi" w:cs="Times New Roman"/>
                <w:color w:val="000000"/>
                <w:sz w:val="22"/>
                <w:highlight w:val="yellow"/>
              </w:rPr>
              <w:t xml:space="preserve"> [INSERT]</w:t>
            </w:r>
          </w:p>
        </w:tc>
        <w:tc>
          <w:tcPr>
            <w:tcW w:w="4950" w:type="dxa"/>
            <w:gridSpan w:val="4"/>
            <w:tcBorders>
              <w:top w:val="double" w:sz="6" w:space="0" w:color="auto"/>
              <w:left w:val="nil"/>
              <w:bottom w:val="double" w:sz="6" w:space="0" w:color="auto"/>
              <w:right w:val="double" w:sz="6" w:space="0" w:color="auto"/>
            </w:tcBorders>
          </w:tcPr>
          <w:p w:rsidR="00565D05" w:rsidRPr="000A761B" w:rsidRDefault="00565D05" w:rsidP="005E3BCF">
            <w:pPr>
              <w:jc w:val="center"/>
              <w:rPr>
                <w:rFonts w:asciiTheme="minorHAnsi" w:eastAsia="Times New Roman" w:hAnsiTheme="minorHAnsi" w:cs="Times New Roman"/>
                <w:color w:val="000000"/>
              </w:rPr>
            </w:pPr>
            <w:r w:rsidRPr="000A761B">
              <w:rPr>
                <w:rFonts w:asciiTheme="minorHAnsi" w:eastAsia="Times New Roman" w:hAnsiTheme="minorHAnsi" w:cs="Times New Roman"/>
                <w:color w:val="000000"/>
                <w:sz w:val="22"/>
              </w:rPr>
              <w:t xml:space="preserve">OMB No. </w:t>
            </w:r>
            <w:r w:rsidRPr="000A761B">
              <w:rPr>
                <w:rFonts w:asciiTheme="minorHAnsi" w:eastAsia="Times New Roman" w:hAnsiTheme="minorHAnsi" w:cs="Times New Roman"/>
                <w:color w:val="000000"/>
                <w:sz w:val="22"/>
                <w:highlight w:val="yellow"/>
              </w:rPr>
              <w:t xml:space="preserve"> [INSERT]</w:t>
            </w:r>
          </w:p>
        </w:tc>
      </w:tr>
      <w:tr w:rsidR="00292A86" w:rsidRPr="001E3C2D" w:rsidTr="001C70DD">
        <w:trPr>
          <w:trHeight w:val="755"/>
        </w:trPr>
        <w:tc>
          <w:tcPr>
            <w:tcW w:w="4883" w:type="dxa"/>
            <w:gridSpan w:val="9"/>
            <w:vMerge/>
            <w:tcBorders>
              <w:left w:val="double" w:sz="6" w:space="0" w:color="auto"/>
              <w:bottom w:val="double" w:sz="6" w:space="0" w:color="auto"/>
              <w:right w:val="double" w:sz="6" w:space="0" w:color="auto"/>
            </w:tcBorders>
          </w:tcPr>
          <w:p w:rsidR="00565D05" w:rsidRPr="000A761B" w:rsidRDefault="00565D05" w:rsidP="005E3BCF">
            <w:pPr>
              <w:rPr>
                <w:rFonts w:asciiTheme="minorHAnsi" w:eastAsia="Times New Roman" w:hAnsiTheme="minorHAnsi" w:cs="Times New Roman"/>
                <w:color w:val="000000"/>
              </w:rPr>
            </w:pPr>
          </w:p>
        </w:tc>
        <w:tc>
          <w:tcPr>
            <w:tcW w:w="7740" w:type="dxa"/>
            <w:gridSpan w:val="8"/>
            <w:tcBorders>
              <w:left w:val="nil"/>
              <w:bottom w:val="double" w:sz="6" w:space="0" w:color="auto"/>
              <w:right w:val="double" w:sz="6" w:space="0" w:color="auto"/>
            </w:tcBorders>
            <w:vAlign w:val="center"/>
          </w:tcPr>
          <w:p w:rsidR="00565D05" w:rsidRPr="000A761B" w:rsidRDefault="00F73990" w:rsidP="00454927">
            <w:pPr>
              <w:rPr>
                <w:rFonts w:asciiTheme="minorHAnsi" w:eastAsia="Times New Roman" w:hAnsiTheme="minorHAnsi" w:cs="Times New Roman"/>
                <w:color w:val="000000"/>
              </w:rPr>
            </w:pPr>
            <w:r w:rsidRPr="001E3C2D">
              <w:rPr>
                <w:rFonts w:asciiTheme="minorHAnsi" w:hAnsiTheme="minorHAnsi"/>
                <w:sz w:val="20"/>
                <w:szCs w:val="20"/>
              </w:rPr>
              <w:t xml:space="preserve"> Name of Person: _____________________________________________________________</w:t>
            </w:r>
          </w:p>
        </w:tc>
      </w:tr>
      <w:tr w:rsidR="00292A86" w:rsidRPr="001E3C2D" w:rsidTr="00EE285F">
        <w:trPr>
          <w:trHeight w:val="907"/>
        </w:trPr>
        <w:tc>
          <w:tcPr>
            <w:tcW w:w="12623" w:type="dxa"/>
            <w:gridSpan w:val="17"/>
            <w:tcBorders>
              <w:top w:val="double" w:sz="6" w:space="0" w:color="auto"/>
              <w:left w:val="double" w:sz="6" w:space="0" w:color="auto"/>
              <w:bottom w:val="double" w:sz="6" w:space="0" w:color="auto"/>
              <w:right w:val="double" w:sz="6" w:space="0" w:color="auto"/>
            </w:tcBorders>
          </w:tcPr>
          <w:p w:rsidR="007551A1" w:rsidRPr="000A761B" w:rsidRDefault="007551A1" w:rsidP="005E3BCF">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p>
        </w:tc>
      </w:tr>
      <w:tr w:rsidR="00292A86" w:rsidRPr="001E3C2D" w:rsidTr="00EE285F">
        <w:trPr>
          <w:trHeight w:val="297"/>
        </w:trPr>
        <w:tc>
          <w:tcPr>
            <w:tcW w:w="12623" w:type="dxa"/>
            <w:gridSpan w:val="17"/>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5079E4" w:rsidRPr="00EE285F" w:rsidRDefault="005079E4" w:rsidP="003E3718">
            <w:pPr>
              <w:pStyle w:val="ListParagraph"/>
              <w:numPr>
                <w:ilvl w:val="0"/>
                <w:numId w:val="2"/>
              </w:numPr>
              <w:ind w:left="365"/>
              <w:jc w:val="both"/>
              <w:rPr>
                <w:rFonts w:asciiTheme="minorHAnsi" w:eastAsia="Times New Roman" w:hAnsiTheme="minorHAnsi" w:cs="Times New Roman"/>
                <w:color w:val="000000"/>
                <w:sz w:val="20"/>
                <w:szCs w:val="20"/>
              </w:rPr>
            </w:pPr>
            <w:r w:rsidRPr="00EE285F">
              <w:rPr>
                <w:rFonts w:asciiTheme="minorHAnsi" w:hAnsiTheme="minorHAnsi" w:cs="Times New Roman"/>
                <w:sz w:val="20"/>
                <w:szCs w:val="20"/>
              </w:rPr>
              <w:t xml:space="preserve">Report the </w:t>
            </w:r>
            <w:r w:rsidR="009E34C7">
              <w:rPr>
                <w:rFonts w:asciiTheme="minorHAnsi" w:hAnsiTheme="minorHAnsi" w:cs="Times New Roman"/>
                <w:sz w:val="20"/>
                <w:szCs w:val="20"/>
              </w:rPr>
              <w:t>list of dates</w:t>
            </w:r>
            <w:r w:rsidR="009E34C7" w:rsidRPr="00EE285F">
              <w:rPr>
                <w:rFonts w:asciiTheme="minorHAnsi" w:hAnsiTheme="minorHAnsi" w:cs="Times New Roman"/>
                <w:sz w:val="20"/>
                <w:szCs w:val="20"/>
              </w:rPr>
              <w:t xml:space="preserve"> </w:t>
            </w:r>
            <w:r w:rsidRPr="00EE285F">
              <w:rPr>
                <w:rFonts w:asciiTheme="minorHAnsi" w:hAnsiTheme="minorHAnsi" w:cs="Times New Roman"/>
                <w:sz w:val="20"/>
                <w:szCs w:val="20"/>
              </w:rPr>
              <w:t xml:space="preserve">within the applicable calendar quarter </w:t>
            </w:r>
            <w:r w:rsidR="003E3718">
              <w:rPr>
                <w:rFonts w:asciiTheme="minorHAnsi" w:hAnsiTheme="minorHAnsi" w:cs="Times New Roman"/>
                <w:sz w:val="20"/>
                <w:szCs w:val="20"/>
              </w:rPr>
              <w:t>in which</w:t>
            </w:r>
            <w:r w:rsidRPr="00EE285F">
              <w:rPr>
                <w:rFonts w:asciiTheme="minorHAnsi" w:hAnsiTheme="minorHAnsi" w:cs="Times New Roman"/>
                <w:sz w:val="20"/>
                <w:szCs w:val="20"/>
              </w:rPr>
              <w:t xml:space="preserve"> a position equaled or exceeded </w:t>
            </w:r>
            <w:r w:rsidR="00FB3160">
              <w:rPr>
                <w:rFonts w:asciiTheme="minorHAnsi" w:hAnsiTheme="minorHAnsi" w:cs="Times New Roman"/>
                <w:sz w:val="20"/>
                <w:szCs w:val="20"/>
              </w:rPr>
              <w:t>a Positions</w:t>
            </w:r>
            <w:r w:rsidRPr="00EE285F">
              <w:rPr>
                <w:rFonts w:asciiTheme="minorHAnsi" w:hAnsiTheme="minorHAnsi" w:cs="Times New Roman"/>
                <w:sz w:val="20"/>
                <w:szCs w:val="20"/>
              </w:rPr>
              <w:t xml:space="preserve"> </w:t>
            </w:r>
            <w:r w:rsidR="00FB3160">
              <w:rPr>
                <w:rFonts w:asciiTheme="minorHAnsi" w:hAnsiTheme="minorHAnsi" w:cs="Times New Roman"/>
                <w:sz w:val="20"/>
                <w:szCs w:val="20"/>
              </w:rPr>
              <w:t>V</w:t>
            </w:r>
            <w:r w:rsidRPr="00EE285F">
              <w:rPr>
                <w:rFonts w:asciiTheme="minorHAnsi" w:hAnsiTheme="minorHAnsi" w:cs="Times New Roman"/>
                <w:sz w:val="20"/>
                <w:szCs w:val="20"/>
              </w:rPr>
              <w:t xml:space="preserve">isibility level. </w:t>
            </w:r>
          </w:p>
        </w:tc>
      </w:tr>
      <w:tr w:rsidR="00292A86" w:rsidRPr="001E3C2D" w:rsidTr="003E3718">
        <w:trPr>
          <w:trHeight w:val="441"/>
        </w:trPr>
        <w:tc>
          <w:tcPr>
            <w:tcW w:w="3893" w:type="dxa"/>
            <w:gridSpan w:val="6"/>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sidR="0005659B">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8730" w:type="dxa"/>
            <w:gridSpan w:val="11"/>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Date</w:t>
            </w:r>
            <w:r w:rsidR="009B23DB">
              <w:rPr>
                <w:rFonts w:asciiTheme="minorHAnsi" w:eastAsia="Times New Roman" w:hAnsiTheme="minorHAnsi" w:cs="Times New Roman"/>
                <w:color w:val="000000"/>
                <w:sz w:val="16"/>
                <w:szCs w:val="16"/>
              </w:rPr>
              <w:t>s</w:t>
            </w:r>
          </w:p>
        </w:tc>
      </w:tr>
      <w:tr w:rsidR="00292A86" w:rsidRPr="001E3C2D" w:rsidTr="003E3718">
        <w:trPr>
          <w:trHeight w:val="297"/>
        </w:trPr>
        <w:tc>
          <w:tcPr>
            <w:tcW w:w="3893" w:type="dxa"/>
            <w:gridSpan w:val="6"/>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p>
        </w:tc>
        <w:tc>
          <w:tcPr>
            <w:tcW w:w="8730" w:type="dxa"/>
            <w:gridSpan w:val="11"/>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p>
        </w:tc>
      </w:tr>
      <w:tr w:rsidR="00292A86" w:rsidRPr="001E3C2D" w:rsidTr="00EE285F">
        <w:trPr>
          <w:trHeight w:val="297"/>
        </w:trPr>
        <w:tc>
          <w:tcPr>
            <w:tcW w:w="12623" w:type="dxa"/>
            <w:gridSpan w:val="17"/>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F01A6" w:rsidRPr="00EE285F" w:rsidRDefault="00EF01A6" w:rsidP="003E3718">
            <w:pPr>
              <w:pStyle w:val="ListParagraph"/>
              <w:numPr>
                <w:ilvl w:val="0"/>
                <w:numId w:val="2"/>
              </w:numPr>
              <w:ind w:left="365"/>
              <w:rPr>
                <w:rFonts w:asciiTheme="minorHAnsi" w:hAnsiTheme="minorHAnsi"/>
                <w:sz w:val="20"/>
                <w:szCs w:val="20"/>
              </w:rPr>
            </w:pPr>
            <w:r w:rsidRPr="00EE285F">
              <w:rPr>
                <w:rFonts w:asciiTheme="minorHAnsi" w:eastAsia="Times New Roman" w:hAnsiTheme="minorHAnsi" w:cs="Times New Roman"/>
                <w:color w:val="000000"/>
                <w:sz w:val="20"/>
                <w:szCs w:val="20"/>
              </w:rPr>
              <w:t>Gross</w:t>
            </w:r>
            <w:r w:rsidR="003E3718">
              <w:rPr>
                <w:rFonts w:asciiTheme="minorHAnsi" w:eastAsia="Times New Roman" w:hAnsiTheme="minorHAnsi" w:cs="Times New Roman"/>
                <w:color w:val="000000"/>
                <w:sz w:val="20"/>
                <w:szCs w:val="20"/>
              </w:rPr>
              <w:t xml:space="preserve"> L</w:t>
            </w:r>
            <w:r w:rsidRPr="00EE285F">
              <w:rPr>
                <w:rFonts w:asciiTheme="minorHAnsi" w:eastAsia="Times New Roman" w:hAnsiTheme="minorHAnsi" w:cs="Times New Roman"/>
                <w:color w:val="000000"/>
                <w:sz w:val="20"/>
                <w:szCs w:val="20"/>
              </w:rPr>
              <w:t>ong and Short Positions in Referenced Contracts</w:t>
            </w:r>
          </w:p>
        </w:tc>
      </w:tr>
      <w:tr w:rsidR="00292A86" w:rsidRPr="001E3C2D" w:rsidTr="00642D42">
        <w:trPr>
          <w:trHeight w:val="486"/>
        </w:trPr>
        <w:tc>
          <w:tcPr>
            <w:tcW w:w="1103" w:type="dxa"/>
            <w:gridSpan w:val="2"/>
            <w:vMerge w:val="restart"/>
            <w:tcBorders>
              <w:top w:val="nil"/>
              <w:left w:val="double" w:sz="6" w:space="0" w:color="auto"/>
              <w:right w:val="double" w:sz="6" w:space="0" w:color="auto"/>
            </w:tcBorders>
            <w:vAlign w:val="center"/>
          </w:tcPr>
          <w:p w:rsidR="007062FC" w:rsidRPr="000A761B" w:rsidRDefault="007062FC">
            <w:pPr>
              <w:jc w:val="center"/>
              <w:rPr>
                <w:rFonts w:asciiTheme="minorHAnsi" w:eastAsia="Times New Roman" w:hAnsiTheme="minorHAnsi" w:cs="Times New Roman"/>
                <w:color w:val="000000"/>
                <w:sz w:val="16"/>
                <w:szCs w:val="16"/>
              </w:rPr>
            </w:pPr>
          </w:p>
          <w:p w:rsidR="007062FC" w:rsidRPr="000A761B" w:rsidRDefault="00642D42"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649" w:type="dxa"/>
            <w:gridSpan w:val="2"/>
            <w:vMerge w:val="restart"/>
            <w:tcBorders>
              <w:top w:val="nil"/>
              <w:left w:val="double" w:sz="6" w:space="0" w:color="auto"/>
              <w:right w:val="double" w:sz="6" w:space="0" w:color="auto"/>
            </w:tcBorders>
            <w:vAlign w:val="center"/>
          </w:tcPr>
          <w:p w:rsidR="007062FC" w:rsidRPr="000A761B" w:rsidRDefault="007062FC">
            <w:pPr>
              <w:jc w:val="center"/>
              <w:rPr>
                <w:rFonts w:asciiTheme="minorHAnsi" w:eastAsia="Times New Roman" w:hAnsiTheme="minorHAnsi" w:cs="Times New Roman"/>
                <w:sz w:val="16"/>
                <w:szCs w:val="16"/>
              </w:rPr>
            </w:pPr>
          </w:p>
          <w:p w:rsidR="007062FC" w:rsidRPr="000A761B" w:rsidRDefault="00642D42"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Date</w:t>
            </w:r>
          </w:p>
        </w:tc>
        <w:tc>
          <w:tcPr>
            <w:tcW w:w="2591" w:type="dxa"/>
            <w:gridSpan w:val="4"/>
            <w:tcBorders>
              <w:top w:val="double" w:sz="6" w:space="0" w:color="auto"/>
              <w:left w:val="nil"/>
              <w:bottom w:val="double" w:sz="6" w:space="0" w:color="auto"/>
              <w:right w:val="double" w:sz="6" w:space="0" w:color="auto"/>
            </w:tcBorders>
            <w:shd w:val="clear" w:color="auto" w:fill="auto"/>
            <w:vAlign w:val="center"/>
            <w:hideMark/>
          </w:tcPr>
          <w:p w:rsidR="007062FC" w:rsidRPr="000A761B" w:rsidRDefault="007062FC">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Check Applicable Box</w:t>
            </w:r>
          </w:p>
        </w:tc>
        <w:tc>
          <w:tcPr>
            <w:tcW w:w="2700" w:type="dxa"/>
            <w:gridSpan w:val="4"/>
            <w:tcBorders>
              <w:top w:val="nil"/>
              <w:left w:val="nil"/>
              <w:bottom w:val="double" w:sz="6" w:space="0" w:color="auto"/>
              <w:right w:val="double" w:sz="6" w:space="0" w:color="auto"/>
            </w:tcBorders>
            <w:shd w:val="clear" w:color="auto" w:fill="auto"/>
            <w:vAlign w:val="center"/>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Futures</w:t>
            </w:r>
          </w:p>
        </w:tc>
        <w:tc>
          <w:tcPr>
            <w:tcW w:w="2790" w:type="dxa"/>
            <w:gridSpan w:val="3"/>
            <w:tcBorders>
              <w:top w:val="nil"/>
              <w:left w:val="nil"/>
              <w:bottom w:val="double" w:sz="6" w:space="0" w:color="auto"/>
              <w:right w:val="double" w:sz="6" w:space="0" w:color="auto"/>
            </w:tcBorders>
            <w:shd w:val="clear" w:color="auto" w:fill="auto"/>
            <w:vAlign w:val="center"/>
            <w:hideMark/>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Options on Futures</w:t>
            </w:r>
          </w:p>
        </w:tc>
        <w:tc>
          <w:tcPr>
            <w:tcW w:w="2790" w:type="dxa"/>
            <w:gridSpan w:val="2"/>
            <w:tcBorders>
              <w:top w:val="nil"/>
              <w:left w:val="nil"/>
              <w:bottom w:val="double" w:sz="6" w:space="0" w:color="auto"/>
              <w:right w:val="double" w:sz="6" w:space="0" w:color="auto"/>
            </w:tcBorders>
            <w:shd w:val="clear" w:color="auto" w:fill="auto"/>
            <w:vAlign w:val="center"/>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Swaps</w:t>
            </w:r>
          </w:p>
        </w:tc>
      </w:tr>
      <w:tr w:rsidR="009B23DB" w:rsidRPr="001E3C2D" w:rsidTr="00D676FD">
        <w:trPr>
          <w:trHeight w:val="621"/>
        </w:trPr>
        <w:tc>
          <w:tcPr>
            <w:tcW w:w="1103" w:type="dxa"/>
            <w:gridSpan w:val="2"/>
            <w:vMerge/>
            <w:tcBorders>
              <w:left w:val="double" w:sz="6" w:space="0" w:color="auto"/>
              <w:bottom w:val="double" w:sz="6" w:space="0" w:color="auto"/>
              <w:right w:val="double" w:sz="6" w:space="0" w:color="auto"/>
            </w:tcBorders>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649" w:type="dxa"/>
            <w:gridSpan w:val="2"/>
            <w:vMerge/>
            <w:tcBorders>
              <w:left w:val="double" w:sz="6" w:space="0" w:color="auto"/>
              <w:bottom w:val="double" w:sz="6" w:space="0" w:color="auto"/>
              <w:right w:val="double" w:sz="6" w:space="0" w:color="auto"/>
            </w:tcBorders>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331" w:type="dxa"/>
            <w:vMerge w:val="restart"/>
            <w:tcBorders>
              <w:left w:val="nil"/>
              <w:right w:val="double" w:sz="6" w:space="0" w:color="auto"/>
            </w:tcBorders>
            <w:shd w:val="clear" w:color="auto" w:fill="auto"/>
            <w:noWrap/>
            <w:vAlign w:val="center"/>
            <w:hideMark/>
          </w:tcPr>
          <w:p w:rsidR="00A044F4" w:rsidRDefault="00A044F4" w:rsidP="00A044F4">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 xml:space="preserve">Following the </w:t>
            </w:r>
            <w:r w:rsidRPr="000A761B">
              <w:rPr>
                <w:rFonts w:asciiTheme="minorHAnsi" w:eastAsia="Times New Roman" w:hAnsiTheme="minorHAnsi" w:cs="Times New Roman"/>
                <w:color w:val="000000"/>
                <w:sz w:val="16"/>
                <w:szCs w:val="16"/>
              </w:rPr>
              <w:t>Calendar Quarter</w:t>
            </w:r>
          </w:p>
          <w:p w:rsidR="009B23DB" w:rsidRDefault="009B23DB" w:rsidP="009B23DB">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3360" behindDoc="0" locked="0" layoutInCell="1" allowOverlap="1" wp14:anchorId="6B5EB0FB" wp14:editId="2AB88080">
                      <wp:simplePos x="0" y="0"/>
                      <wp:positionH relativeFrom="column">
                        <wp:posOffset>299720</wp:posOffset>
                      </wp:positionH>
                      <wp:positionV relativeFrom="paragraph">
                        <wp:posOffset>50165</wp:posOffset>
                      </wp:positionV>
                      <wp:extent cx="148590" cy="9525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6pt;margin-top:3.95pt;width:11.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" filled="f" strokecolor="#243f60 [1604]" strokeweight="2pt"/>
                  </w:pict>
                </mc:Fallback>
              </mc:AlternateContent>
            </w:r>
          </w:p>
          <w:p w:rsidR="009B23DB" w:rsidRPr="000A761B" w:rsidRDefault="009B23DB" w:rsidP="009B23DB">
            <w:pPr>
              <w:jc w:val="center"/>
              <w:rPr>
                <w:rFonts w:asciiTheme="minorHAnsi" w:eastAsia="Times New Roman" w:hAnsiTheme="minorHAnsi" w:cs="Times New Roman"/>
                <w:color w:val="000000"/>
                <w:sz w:val="16"/>
                <w:szCs w:val="16"/>
              </w:rPr>
            </w:pPr>
          </w:p>
        </w:tc>
        <w:tc>
          <w:tcPr>
            <w:tcW w:w="1260" w:type="dxa"/>
            <w:gridSpan w:val="3"/>
            <w:vMerge w:val="restart"/>
            <w:tcBorders>
              <w:top w:val="double" w:sz="6" w:space="0" w:color="auto"/>
              <w:left w:val="nil"/>
              <w:right w:val="double" w:sz="6" w:space="0" w:color="auto"/>
            </w:tcBorders>
            <w:shd w:val="clear" w:color="auto" w:fill="auto"/>
            <w:vAlign w:val="center"/>
          </w:tcPr>
          <w:p w:rsidR="00A044F4" w:rsidRDefault="00A044F4" w:rsidP="00A044F4">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0A761B">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0A761B">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0A761B">
              <w:rPr>
                <w:rFonts w:asciiTheme="minorHAnsi" w:eastAsia="Times New Roman" w:hAnsiTheme="minorHAnsi" w:cs="Times New Roman"/>
                <w:sz w:val="16"/>
                <w:szCs w:val="16"/>
              </w:rPr>
              <w:t>xcess of Position Visi</w:t>
            </w:r>
            <w:r>
              <w:rPr>
                <w:rFonts w:asciiTheme="minorHAnsi" w:eastAsia="Times New Roman" w:hAnsiTheme="minorHAnsi" w:cs="Times New Roman"/>
                <w:sz w:val="16"/>
                <w:szCs w:val="16"/>
              </w:rPr>
              <w:t>bility Level in Calendar Quarter</w:t>
            </w:r>
          </w:p>
          <w:p w:rsidR="009B23DB" w:rsidRDefault="009B23DB" w:rsidP="009B23DB">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5408" behindDoc="0" locked="0" layoutInCell="1" allowOverlap="1" wp14:anchorId="032676F6" wp14:editId="75AE6147">
                      <wp:simplePos x="0" y="0"/>
                      <wp:positionH relativeFrom="column">
                        <wp:posOffset>241935</wp:posOffset>
                      </wp:positionH>
                      <wp:positionV relativeFrom="paragraph">
                        <wp:posOffset>57785</wp:posOffset>
                      </wp:positionV>
                      <wp:extent cx="148590" cy="9525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05pt;margin-top:4.55pt;width:11.7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" filled="f" strokecolor="#243f60 [1604]" strokeweight="2pt"/>
                  </w:pict>
                </mc:Fallback>
              </mc:AlternateContent>
            </w:r>
          </w:p>
          <w:p w:rsidR="009B23DB" w:rsidRPr="000A761B" w:rsidRDefault="009B23DB" w:rsidP="009B23DB">
            <w:pPr>
              <w:jc w:val="center"/>
              <w:rPr>
                <w:rFonts w:asciiTheme="minorHAnsi" w:eastAsia="Times New Roman" w:hAnsiTheme="minorHAnsi" w:cs="Times New Roman"/>
                <w:color w:val="000000"/>
                <w:sz w:val="16"/>
                <w:szCs w:val="16"/>
              </w:rPr>
            </w:pPr>
          </w:p>
        </w:tc>
        <w:tc>
          <w:tcPr>
            <w:tcW w:w="144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126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gridSpan w:val="2"/>
            <w:tcBorders>
              <w:top w:val="nil"/>
              <w:left w:val="nil"/>
              <w:bottom w:val="double" w:sz="6" w:space="0" w:color="auto"/>
              <w:right w:val="double" w:sz="6" w:space="0" w:color="auto"/>
            </w:tcBorders>
            <w:shd w:val="clear" w:color="auto" w:fill="auto"/>
            <w:noWrap/>
            <w:vAlign w:val="center"/>
            <w:hideMark/>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Long</w:t>
            </w: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Short</w:t>
            </w:r>
          </w:p>
        </w:tc>
      </w:tr>
      <w:tr w:rsidR="009B23DB" w:rsidRPr="001E3C2D" w:rsidTr="00450759">
        <w:trPr>
          <w:trHeight w:val="342"/>
        </w:trPr>
        <w:tc>
          <w:tcPr>
            <w:tcW w:w="1103" w:type="dxa"/>
            <w:gridSpan w:val="2"/>
            <w:tcBorders>
              <w:top w:val="nil"/>
              <w:left w:val="double" w:sz="6" w:space="0" w:color="auto"/>
              <w:bottom w:val="double" w:sz="6" w:space="0" w:color="auto"/>
              <w:right w:val="double" w:sz="6" w:space="0" w:color="auto"/>
            </w:tcBorders>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649" w:type="dxa"/>
            <w:gridSpan w:val="2"/>
            <w:tcBorders>
              <w:top w:val="nil"/>
              <w:left w:val="double" w:sz="6" w:space="0" w:color="auto"/>
              <w:bottom w:val="double" w:sz="6" w:space="0" w:color="auto"/>
              <w:right w:val="double" w:sz="6" w:space="0" w:color="auto"/>
            </w:tcBorders>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1331" w:type="dxa"/>
            <w:vMerge/>
            <w:tcBorders>
              <w:left w:val="nil"/>
              <w:bottom w:val="double" w:sz="6" w:space="0" w:color="auto"/>
              <w:right w:val="double" w:sz="6" w:space="0" w:color="auto"/>
            </w:tcBorders>
            <w:shd w:val="clear" w:color="auto" w:fill="auto"/>
            <w:noWrap/>
            <w:vAlign w:val="center"/>
            <w:hideMark/>
          </w:tcPr>
          <w:p w:rsidR="009B23DB" w:rsidRPr="000A761B" w:rsidRDefault="009B23DB">
            <w:pPr>
              <w:jc w:val="center"/>
              <w:rPr>
                <w:rFonts w:asciiTheme="minorHAnsi" w:eastAsia="Times New Roman" w:hAnsiTheme="minorHAnsi" w:cs="Times New Roman"/>
                <w:color w:val="000000"/>
                <w:sz w:val="16"/>
                <w:szCs w:val="16"/>
              </w:rPr>
            </w:pPr>
          </w:p>
        </w:tc>
        <w:tc>
          <w:tcPr>
            <w:tcW w:w="1260" w:type="dxa"/>
            <w:gridSpan w:val="3"/>
            <w:vMerge/>
            <w:tcBorders>
              <w:left w:val="nil"/>
              <w:bottom w:val="double" w:sz="6" w:space="0" w:color="auto"/>
              <w:right w:val="double" w:sz="6" w:space="0" w:color="auto"/>
            </w:tcBorders>
            <w:shd w:val="clear" w:color="auto" w:fill="auto"/>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144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A044F4">
            <w:pPr>
              <w:jc w:val="center"/>
              <w:rPr>
                <w:rFonts w:asciiTheme="minorHAnsi" w:eastAsia="Times New Roman" w:hAnsiTheme="minorHAnsi" w:cs="Times New Roman"/>
                <w:color w:val="000000"/>
                <w:sz w:val="16"/>
                <w:szCs w:val="16"/>
              </w:rPr>
            </w:pPr>
          </w:p>
        </w:tc>
        <w:tc>
          <w:tcPr>
            <w:tcW w:w="126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440" w:type="dxa"/>
            <w:gridSpan w:val="2"/>
            <w:tcBorders>
              <w:top w:val="nil"/>
              <w:left w:val="nil"/>
              <w:bottom w:val="double" w:sz="6" w:space="0" w:color="auto"/>
              <w:right w:val="double" w:sz="6" w:space="0" w:color="auto"/>
            </w:tcBorders>
            <w:shd w:val="clear" w:color="auto" w:fill="auto"/>
            <w:noWrap/>
            <w:vAlign w:val="center"/>
            <w:hideMark/>
          </w:tcPr>
          <w:p w:rsidR="009B23DB" w:rsidRPr="000A761B" w:rsidRDefault="009B23DB" w:rsidP="000A761B">
            <w:pPr>
              <w:jc w:val="center"/>
              <w:rPr>
                <w:rFonts w:asciiTheme="minorHAnsi" w:eastAsia="Times New Roman" w:hAnsiTheme="minorHAnsi" w:cs="Times New Roman"/>
                <w:color w:val="000000"/>
                <w:sz w:val="16"/>
                <w:szCs w:val="16"/>
              </w:rPr>
            </w:pP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440" w:type="dxa"/>
            <w:tcBorders>
              <w:top w:val="nil"/>
              <w:left w:val="nil"/>
              <w:bottom w:val="double" w:sz="6" w:space="0" w:color="auto"/>
              <w:right w:val="double" w:sz="6" w:space="0" w:color="auto"/>
            </w:tcBorders>
            <w:shd w:val="clear" w:color="auto" w:fill="auto"/>
            <w:vAlign w:val="center"/>
          </w:tcPr>
          <w:p w:rsidR="009B23DB" w:rsidRPr="000A761B" w:rsidRDefault="009B23DB" w:rsidP="000A761B">
            <w:pPr>
              <w:jc w:val="center"/>
              <w:rPr>
                <w:rFonts w:asciiTheme="minorHAnsi" w:eastAsia="Times New Roman" w:hAnsiTheme="minorHAnsi" w:cs="Times New Roman"/>
                <w:sz w:val="16"/>
                <w:szCs w:val="16"/>
              </w:rPr>
            </w:pP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p>
        </w:tc>
      </w:tr>
      <w:tr w:rsidR="00292A86" w:rsidRPr="001E3C2D" w:rsidTr="00EE285F">
        <w:trPr>
          <w:trHeight w:val="342"/>
        </w:trPr>
        <w:tc>
          <w:tcPr>
            <w:tcW w:w="12623" w:type="dxa"/>
            <w:gridSpan w:val="17"/>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F01A6" w:rsidRPr="00EE285F" w:rsidRDefault="003E3718" w:rsidP="000A761B">
            <w:pPr>
              <w:pStyle w:val="ListParagraph"/>
              <w:numPr>
                <w:ilvl w:val="0"/>
                <w:numId w:val="2"/>
              </w:numPr>
              <w:ind w:left="365"/>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Unc</w:t>
            </w:r>
            <w:r w:rsidR="004914EE" w:rsidRPr="00EE285F">
              <w:rPr>
                <w:rFonts w:asciiTheme="minorHAnsi" w:eastAsia="Times New Roman" w:hAnsiTheme="minorHAnsi" w:cs="Times New Roman"/>
                <w:color w:val="000000"/>
                <w:sz w:val="20"/>
                <w:szCs w:val="20"/>
              </w:rPr>
              <w:t>leared Swaps</w:t>
            </w:r>
          </w:p>
        </w:tc>
      </w:tr>
      <w:tr w:rsidR="003E3718" w:rsidRPr="001E3C2D" w:rsidTr="00EA5EA2">
        <w:trPr>
          <w:trHeight w:val="360"/>
        </w:trPr>
        <w:tc>
          <w:tcPr>
            <w:tcW w:w="1013" w:type="dxa"/>
            <w:vMerge w:val="restart"/>
            <w:tcBorders>
              <w:top w:val="double" w:sz="6" w:space="0" w:color="auto"/>
              <w:left w:val="double" w:sz="6" w:space="0" w:color="auto"/>
              <w:right w:val="double" w:sz="6" w:space="0" w:color="auto"/>
            </w:tcBorders>
            <w:vAlign w:val="center"/>
          </w:tcPr>
          <w:p w:rsidR="003E3718" w:rsidRPr="000A761B" w:rsidRDefault="00642D42"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Core Referenced Futures Contract</w:t>
            </w:r>
          </w:p>
        </w:tc>
        <w:tc>
          <w:tcPr>
            <w:tcW w:w="630" w:type="dxa"/>
            <w:gridSpan w:val="2"/>
            <w:vMerge w:val="restart"/>
            <w:tcBorders>
              <w:top w:val="double" w:sz="6" w:space="0" w:color="auto"/>
              <w:left w:val="double" w:sz="6" w:space="0" w:color="auto"/>
              <w:right w:val="double" w:sz="6" w:space="0" w:color="auto"/>
            </w:tcBorders>
            <w:vAlign w:val="center"/>
          </w:tcPr>
          <w:p w:rsidR="003E3718" w:rsidRPr="001E3C2D" w:rsidRDefault="00642D42" w:rsidP="0039387C">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Date</w:t>
            </w:r>
          </w:p>
        </w:tc>
        <w:tc>
          <w:tcPr>
            <w:tcW w:w="4950" w:type="dxa"/>
            <w:gridSpan w:val="8"/>
            <w:tcBorders>
              <w:top w:val="double" w:sz="6" w:space="0" w:color="auto"/>
              <w:left w:val="double" w:sz="6" w:space="0" w:color="auto"/>
              <w:bottom w:val="double" w:sz="6" w:space="0" w:color="auto"/>
              <w:right w:val="double" w:sz="6" w:space="0" w:color="auto"/>
            </w:tcBorders>
            <w:vAlign w:val="center"/>
          </w:tcPr>
          <w:p w:rsidR="003E3718" w:rsidRPr="001E3C2D" w:rsidRDefault="003E3718">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Check Applicable Box</w:t>
            </w:r>
          </w:p>
        </w:tc>
        <w:tc>
          <w:tcPr>
            <w:tcW w:w="3240" w:type="dxa"/>
            <w:gridSpan w:val="4"/>
            <w:vMerge w:val="restart"/>
            <w:tcBorders>
              <w:top w:val="double" w:sz="6" w:space="0" w:color="auto"/>
              <w:left w:val="double" w:sz="6" w:space="0" w:color="auto"/>
              <w:right w:val="double" w:sz="6" w:space="0" w:color="auto"/>
            </w:tcBorders>
            <w:vAlign w:val="center"/>
          </w:tcPr>
          <w:p w:rsidR="003E3718" w:rsidRPr="000A761B" w:rsidRDefault="003E3718" w:rsidP="00EF01A6">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Commodity Reference Price</w:t>
            </w:r>
          </w:p>
        </w:tc>
        <w:tc>
          <w:tcPr>
            <w:tcW w:w="2790" w:type="dxa"/>
            <w:gridSpan w:val="2"/>
            <w:tcBorders>
              <w:top w:val="double" w:sz="6" w:space="0" w:color="auto"/>
              <w:left w:val="nil"/>
              <w:bottom w:val="double" w:sz="6" w:space="0" w:color="auto"/>
              <w:right w:val="double" w:sz="6" w:space="0" w:color="auto"/>
            </w:tcBorders>
            <w:shd w:val="clear" w:color="auto" w:fill="auto"/>
            <w:noWrap/>
            <w:vAlign w:val="center"/>
            <w:hideMark/>
          </w:tcPr>
          <w:p w:rsidR="003E3718" w:rsidRPr="000A761B" w:rsidRDefault="003E3718" w:rsidP="00860664">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sz w:val="16"/>
                <w:szCs w:val="16"/>
              </w:rPr>
              <w:t xml:space="preserve">Gross </w:t>
            </w:r>
            <w:r w:rsidR="00860664">
              <w:rPr>
                <w:rFonts w:asciiTheme="minorHAnsi" w:eastAsia="Times New Roman" w:hAnsiTheme="minorHAnsi" w:cs="Times New Roman"/>
                <w:sz w:val="16"/>
                <w:szCs w:val="16"/>
              </w:rPr>
              <w:t>Position</w:t>
            </w:r>
            <w:r w:rsidRPr="000A761B">
              <w:rPr>
                <w:rFonts w:asciiTheme="minorHAnsi" w:eastAsia="Times New Roman" w:hAnsiTheme="minorHAnsi" w:cs="Times New Roman"/>
                <w:sz w:val="16"/>
                <w:szCs w:val="16"/>
              </w:rPr>
              <w:t xml:space="preserve"> </w:t>
            </w:r>
          </w:p>
        </w:tc>
      </w:tr>
      <w:tr w:rsidR="00346477" w:rsidRPr="001E3C2D" w:rsidTr="00EA5EA2">
        <w:trPr>
          <w:trHeight w:val="342"/>
        </w:trPr>
        <w:tc>
          <w:tcPr>
            <w:tcW w:w="1013" w:type="dxa"/>
            <w:vMerge/>
            <w:tcBorders>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630" w:type="dxa"/>
            <w:gridSpan w:val="2"/>
            <w:vMerge/>
            <w:tcBorders>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2340" w:type="dxa"/>
            <w:gridSpan w:val="4"/>
            <w:vMerge w:val="restart"/>
            <w:tcBorders>
              <w:top w:val="double" w:sz="6" w:space="0" w:color="auto"/>
              <w:left w:val="double" w:sz="6" w:space="0" w:color="auto"/>
              <w:right w:val="double" w:sz="6" w:space="0" w:color="auto"/>
            </w:tcBorders>
          </w:tcPr>
          <w:p w:rsidR="00346477" w:rsidRDefault="00A044F4" w:rsidP="00346477">
            <w:pPr>
              <w:jc w:val="center"/>
              <w:rPr>
                <w:rFonts w:asciiTheme="minorHAnsi" w:eastAsia="Times New Roman" w:hAnsiTheme="minorHAnsi" w:cs="Times New Roman"/>
                <w:sz w:val="16"/>
                <w:szCs w:val="16"/>
              </w:rPr>
            </w:pPr>
            <w:r w:rsidRPr="006E52CC">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Following the</w:t>
            </w:r>
            <w:r w:rsidRPr="006E52CC">
              <w:rPr>
                <w:rFonts w:asciiTheme="minorHAnsi" w:eastAsia="Times New Roman" w:hAnsiTheme="minorHAnsi" w:cs="Times New Roman"/>
                <w:color w:val="000000"/>
                <w:sz w:val="16"/>
                <w:szCs w:val="16"/>
              </w:rPr>
              <w:t xml:space="preserve"> Calendar Quarter</w:t>
            </w:r>
          </w:p>
          <w:p w:rsidR="00346477" w:rsidRPr="001E3C2D" w:rsidRDefault="00346477" w:rsidP="00346477">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59264" behindDoc="0" locked="0" layoutInCell="1" allowOverlap="1" wp14:anchorId="3AA0280D" wp14:editId="2D2D54CA">
                      <wp:simplePos x="0" y="0"/>
                      <wp:positionH relativeFrom="column">
                        <wp:posOffset>581660</wp:posOffset>
                      </wp:positionH>
                      <wp:positionV relativeFrom="paragraph">
                        <wp:posOffset>25400</wp:posOffset>
                      </wp:positionV>
                      <wp:extent cx="148590" cy="9525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5.8pt;margin-top:2pt;width:11.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" filled="f" strokecolor="#243f60 [1604]" strokeweight="2pt"/>
                  </w:pict>
                </mc:Fallback>
              </mc:AlternateContent>
            </w:r>
          </w:p>
        </w:tc>
        <w:tc>
          <w:tcPr>
            <w:tcW w:w="2610" w:type="dxa"/>
            <w:gridSpan w:val="4"/>
            <w:vMerge w:val="restart"/>
            <w:tcBorders>
              <w:top w:val="double" w:sz="6" w:space="0" w:color="auto"/>
              <w:left w:val="double" w:sz="6" w:space="0" w:color="auto"/>
              <w:right w:val="double" w:sz="6" w:space="0" w:color="auto"/>
            </w:tcBorders>
          </w:tcPr>
          <w:p w:rsidR="00346477" w:rsidRPr="001E3C2D" w:rsidRDefault="00A044F4" w:rsidP="00346477">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6E52CC">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6E52CC">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6E52CC">
              <w:rPr>
                <w:rFonts w:asciiTheme="minorHAnsi" w:eastAsia="Times New Roman" w:hAnsiTheme="minorHAnsi" w:cs="Times New Roman"/>
                <w:sz w:val="16"/>
                <w:szCs w:val="16"/>
              </w:rPr>
              <w:t xml:space="preserve">xcess of Position Visibility Level in Calendar </w:t>
            </w:r>
            <w:r w:rsidR="00346477"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1312" behindDoc="0" locked="0" layoutInCell="1" allowOverlap="1" wp14:anchorId="186020FB" wp14:editId="3ADDF621">
                      <wp:simplePos x="0" y="0"/>
                      <wp:positionH relativeFrom="column">
                        <wp:posOffset>608965</wp:posOffset>
                      </wp:positionH>
                      <wp:positionV relativeFrom="paragraph">
                        <wp:posOffset>401305</wp:posOffset>
                      </wp:positionV>
                      <wp:extent cx="148590" cy="9525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7.95pt;margin-top:31.6pt;width:11.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" filled="f" strokecolor="#243f60 [1604]" strokeweight="2pt"/>
                  </w:pict>
                </mc:Fallback>
              </mc:AlternateContent>
            </w:r>
            <w:r>
              <w:rPr>
                <w:rFonts w:asciiTheme="minorHAnsi" w:eastAsia="Times New Roman" w:hAnsiTheme="minorHAnsi" w:cs="Times New Roman"/>
                <w:sz w:val="16"/>
                <w:szCs w:val="16"/>
              </w:rPr>
              <w:t>Quarter</w:t>
            </w:r>
          </w:p>
        </w:tc>
        <w:tc>
          <w:tcPr>
            <w:tcW w:w="3240" w:type="dxa"/>
            <w:gridSpan w:val="4"/>
            <w:vMerge/>
            <w:tcBorders>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1440" w:type="dxa"/>
            <w:tcBorders>
              <w:top w:val="double" w:sz="6" w:space="0" w:color="auto"/>
              <w:left w:val="nil"/>
              <w:bottom w:val="double" w:sz="6" w:space="0" w:color="auto"/>
              <w:right w:val="double" w:sz="6" w:space="0" w:color="auto"/>
            </w:tcBorders>
            <w:shd w:val="clear" w:color="auto" w:fill="auto"/>
            <w:noWrap/>
            <w:vAlign w:val="center"/>
          </w:tcPr>
          <w:p w:rsidR="00346477" w:rsidRPr="001E3C2D" w:rsidRDefault="00346477"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Long</w:t>
            </w:r>
          </w:p>
        </w:tc>
        <w:tc>
          <w:tcPr>
            <w:tcW w:w="1350" w:type="dxa"/>
            <w:tcBorders>
              <w:top w:val="double" w:sz="6" w:space="0" w:color="auto"/>
              <w:left w:val="nil"/>
              <w:bottom w:val="double" w:sz="6" w:space="0" w:color="auto"/>
              <w:right w:val="double" w:sz="6" w:space="0" w:color="auto"/>
            </w:tcBorders>
            <w:shd w:val="clear" w:color="auto" w:fill="auto"/>
            <w:vAlign w:val="center"/>
          </w:tcPr>
          <w:p w:rsidR="00346477" w:rsidRPr="001E3C2D" w:rsidRDefault="00346477"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Short</w:t>
            </w:r>
          </w:p>
        </w:tc>
      </w:tr>
      <w:tr w:rsidR="00346477" w:rsidRPr="001E3C2D" w:rsidTr="00450759">
        <w:trPr>
          <w:trHeight w:val="675"/>
        </w:trPr>
        <w:tc>
          <w:tcPr>
            <w:tcW w:w="1013" w:type="dxa"/>
            <w:tcBorders>
              <w:top w:val="double" w:sz="6" w:space="0" w:color="auto"/>
              <w:left w:val="double" w:sz="6" w:space="0" w:color="auto"/>
              <w:bottom w:val="double" w:sz="6" w:space="0" w:color="auto"/>
              <w:right w:val="double" w:sz="6" w:space="0" w:color="auto"/>
            </w:tcBorders>
            <w:vAlign w:val="center"/>
          </w:tcPr>
          <w:p w:rsidR="00346477" w:rsidRPr="000A761B" w:rsidRDefault="00346477" w:rsidP="00EF01A6">
            <w:pPr>
              <w:jc w:val="center"/>
              <w:rPr>
                <w:rFonts w:asciiTheme="minorHAnsi" w:eastAsia="Times New Roman" w:hAnsiTheme="minorHAnsi" w:cs="Times New Roman"/>
                <w:color w:val="000000"/>
                <w:sz w:val="16"/>
                <w:szCs w:val="16"/>
              </w:rPr>
            </w:pPr>
          </w:p>
        </w:tc>
        <w:tc>
          <w:tcPr>
            <w:tcW w:w="630" w:type="dxa"/>
            <w:gridSpan w:val="2"/>
            <w:tcBorders>
              <w:top w:val="double" w:sz="6" w:space="0" w:color="auto"/>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2340" w:type="dxa"/>
            <w:gridSpan w:val="4"/>
            <w:vMerge/>
            <w:tcBorders>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2610" w:type="dxa"/>
            <w:gridSpan w:val="4"/>
            <w:vMerge/>
            <w:tcBorders>
              <w:left w:val="double" w:sz="6" w:space="0" w:color="auto"/>
              <w:bottom w:val="double" w:sz="6" w:space="0" w:color="auto"/>
              <w:right w:val="double" w:sz="6" w:space="0" w:color="auto"/>
            </w:tcBorders>
            <w:vAlign w:val="center"/>
          </w:tcPr>
          <w:p w:rsidR="00346477" w:rsidRPr="001E3C2D" w:rsidRDefault="00346477" w:rsidP="00EF01A6">
            <w:pPr>
              <w:jc w:val="center"/>
              <w:rPr>
                <w:rFonts w:asciiTheme="minorHAnsi" w:eastAsia="Times New Roman" w:hAnsiTheme="minorHAnsi" w:cs="Times New Roman"/>
                <w:color w:val="000000"/>
                <w:sz w:val="16"/>
                <w:szCs w:val="16"/>
              </w:rPr>
            </w:pPr>
          </w:p>
        </w:tc>
        <w:tc>
          <w:tcPr>
            <w:tcW w:w="3240" w:type="dxa"/>
            <w:gridSpan w:val="4"/>
            <w:tcBorders>
              <w:top w:val="double" w:sz="6" w:space="0" w:color="auto"/>
              <w:left w:val="double" w:sz="6" w:space="0" w:color="auto"/>
              <w:bottom w:val="double" w:sz="6" w:space="0" w:color="auto"/>
              <w:right w:val="double" w:sz="6" w:space="0" w:color="auto"/>
            </w:tcBorders>
            <w:vAlign w:val="center"/>
          </w:tcPr>
          <w:p w:rsidR="00346477" w:rsidRPr="000A761B" w:rsidRDefault="00346477" w:rsidP="00EF01A6">
            <w:pPr>
              <w:jc w:val="center"/>
              <w:rPr>
                <w:rFonts w:asciiTheme="minorHAnsi" w:eastAsia="Times New Roman" w:hAnsiTheme="minorHAnsi" w:cs="Times New Roman"/>
                <w:color w:val="000000"/>
                <w:sz w:val="16"/>
                <w:szCs w:val="16"/>
              </w:rPr>
            </w:pPr>
          </w:p>
        </w:tc>
        <w:tc>
          <w:tcPr>
            <w:tcW w:w="1440" w:type="dxa"/>
            <w:tcBorders>
              <w:top w:val="double" w:sz="6" w:space="0" w:color="auto"/>
              <w:left w:val="nil"/>
              <w:bottom w:val="double" w:sz="6" w:space="0" w:color="auto"/>
              <w:right w:val="double" w:sz="6" w:space="0" w:color="auto"/>
            </w:tcBorders>
            <w:shd w:val="clear" w:color="auto" w:fill="auto"/>
            <w:noWrap/>
            <w:vAlign w:val="center"/>
            <w:hideMark/>
          </w:tcPr>
          <w:p w:rsidR="00346477" w:rsidRPr="000A761B" w:rsidRDefault="00346477" w:rsidP="00EF01A6">
            <w:pPr>
              <w:jc w:val="center"/>
              <w:rPr>
                <w:rFonts w:asciiTheme="minorHAnsi" w:eastAsia="Times New Roman" w:hAnsiTheme="minorHAnsi" w:cs="Times New Roman"/>
                <w:color w:val="000000"/>
                <w:sz w:val="16"/>
                <w:szCs w:val="16"/>
              </w:rPr>
            </w:pPr>
          </w:p>
        </w:tc>
        <w:tc>
          <w:tcPr>
            <w:tcW w:w="1350" w:type="dxa"/>
            <w:tcBorders>
              <w:top w:val="double" w:sz="6" w:space="0" w:color="auto"/>
              <w:left w:val="nil"/>
              <w:bottom w:val="double" w:sz="6" w:space="0" w:color="auto"/>
              <w:right w:val="double" w:sz="6" w:space="0" w:color="auto"/>
            </w:tcBorders>
            <w:shd w:val="clear" w:color="auto" w:fill="auto"/>
            <w:vAlign w:val="center"/>
          </w:tcPr>
          <w:p w:rsidR="00346477" w:rsidRPr="000A761B" w:rsidRDefault="00346477" w:rsidP="00EF01A6">
            <w:pPr>
              <w:jc w:val="center"/>
              <w:rPr>
                <w:rFonts w:asciiTheme="minorHAnsi" w:eastAsia="Times New Roman" w:hAnsiTheme="minorHAnsi" w:cs="Times New Roman"/>
                <w:color w:val="000000"/>
                <w:sz w:val="16"/>
                <w:szCs w:val="16"/>
              </w:rPr>
            </w:pPr>
          </w:p>
        </w:tc>
      </w:tr>
    </w:tbl>
    <w:p w:rsidR="00FB556C" w:rsidRPr="000A761B" w:rsidRDefault="00FB556C" w:rsidP="00AB09DD">
      <w:pPr>
        <w:rPr>
          <w:rFonts w:asciiTheme="minorHAnsi" w:hAnsiTheme="minorHAnsi"/>
        </w:rPr>
      </w:pPr>
    </w:p>
    <w:sectPr w:rsidR="00FB556C" w:rsidRPr="000A761B" w:rsidSect="00AE67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59" w:rsidRDefault="00450759" w:rsidP="006A0BD2">
      <w:r>
        <w:separator/>
      </w:r>
    </w:p>
  </w:endnote>
  <w:endnote w:type="continuationSeparator" w:id="0">
    <w:p w:rsidR="00450759" w:rsidRDefault="00450759" w:rsidP="006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59" w:rsidRDefault="00450759" w:rsidP="006A0BD2">
      <w:r>
        <w:separator/>
      </w:r>
    </w:p>
  </w:footnote>
  <w:footnote w:type="continuationSeparator" w:id="0">
    <w:p w:rsidR="00450759" w:rsidRDefault="00450759" w:rsidP="006A0BD2">
      <w:r>
        <w:continuationSeparator/>
      </w:r>
    </w:p>
  </w:footnote>
  <w:footnote w:id="1">
    <w:p w:rsidR="00450759" w:rsidRPr="00874EDE" w:rsidRDefault="00450759" w:rsidP="001C4368">
      <w:pPr>
        <w:pStyle w:val="FootnoteText"/>
        <w:rPr>
          <w:rFonts w:asciiTheme="minorHAnsi" w:hAnsiTheme="minorHAnsi"/>
          <w:sz w:val="16"/>
          <w:szCs w:val="16"/>
        </w:rPr>
      </w:pPr>
      <w:r w:rsidRPr="00860664">
        <w:rPr>
          <w:rStyle w:val="FootnoteReference"/>
          <w:rFonts w:asciiTheme="minorHAnsi" w:hAnsiTheme="minorHAnsi"/>
          <w:sz w:val="16"/>
          <w:szCs w:val="16"/>
        </w:rPr>
        <w:footnoteRef/>
      </w:r>
      <w:r w:rsidRPr="00860664">
        <w:rPr>
          <w:rFonts w:asciiTheme="minorHAnsi" w:hAnsiTheme="minorHAnsi"/>
          <w:sz w:val="16"/>
          <w:szCs w:val="16"/>
        </w:rPr>
        <w:t xml:space="preserve"> A Referenced Contract is defined in </w:t>
      </w:r>
      <w:r>
        <w:rPr>
          <w:rFonts w:asciiTheme="minorHAnsi" w:hAnsiTheme="minorHAnsi"/>
          <w:sz w:val="16"/>
          <w:szCs w:val="16"/>
        </w:rPr>
        <w:t xml:space="preserve">§ </w:t>
      </w:r>
      <w:r w:rsidRPr="00860664">
        <w:rPr>
          <w:rFonts w:asciiTheme="minorHAnsi" w:hAnsiTheme="minorHAnsi"/>
          <w:sz w:val="16"/>
          <w:szCs w:val="16"/>
        </w:rPr>
        <w:t>151.1 Definitions.</w:t>
      </w:r>
    </w:p>
  </w:footnote>
  <w:footnote w:id="2">
    <w:p w:rsidR="00450759" w:rsidRPr="00874EDE" w:rsidRDefault="00450759">
      <w:pPr>
        <w:pStyle w:val="FootnoteText"/>
        <w:rPr>
          <w:rFonts w:asciiTheme="minorHAnsi" w:hAnsiTheme="minorHAnsi"/>
          <w:sz w:val="16"/>
          <w:szCs w:val="16"/>
        </w:rPr>
      </w:pPr>
      <w:r w:rsidRPr="00874EDE">
        <w:rPr>
          <w:rStyle w:val="FootnoteReference"/>
          <w:rFonts w:asciiTheme="minorHAnsi" w:hAnsiTheme="minorHAnsi"/>
          <w:sz w:val="16"/>
          <w:szCs w:val="16"/>
        </w:rPr>
        <w:footnoteRef/>
      </w:r>
      <w:r w:rsidRPr="00874EDE">
        <w:rPr>
          <w:rFonts w:asciiTheme="minorHAnsi" w:hAnsiTheme="minorHAnsi"/>
          <w:sz w:val="16"/>
          <w:szCs w:val="16"/>
        </w:rPr>
        <w:t xml:space="preserve"> </w:t>
      </w:r>
      <w:r w:rsidRPr="004A0D38">
        <w:rPr>
          <w:rFonts w:asciiTheme="minorHAnsi" w:hAnsiTheme="minorHAnsi"/>
          <w:sz w:val="16"/>
          <w:szCs w:val="16"/>
        </w:rPr>
        <w:t xml:space="preserve">A Core Referenced Futures Contract </w:t>
      </w:r>
      <w:r>
        <w:rPr>
          <w:rFonts w:asciiTheme="minorHAnsi" w:hAnsiTheme="minorHAnsi"/>
          <w:sz w:val="16"/>
          <w:szCs w:val="16"/>
        </w:rPr>
        <w:t>is one of 28</w:t>
      </w:r>
      <w:r w:rsidRPr="004A0D38">
        <w:rPr>
          <w:rFonts w:asciiTheme="minorHAnsi" w:hAnsiTheme="minorHAnsi"/>
          <w:sz w:val="16"/>
          <w:szCs w:val="16"/>
        </w:rPr>
        <w:t xml:space="preserve"> futures contract listed in </w:t>
      </w:r>
      <w:r>
        <w:rPr>
          <w:rFonts w:asciiTheme="minorHAnsi" w:hAnsiTheme="minorHAnsi"/>
          <w:sz w:val="16"/>
          <w:szCs w:val="16"/>
        </w:rPr>
        <w:t xml:space="preserve">§ </w:t>
      </w:r>
      <w:r w:rsidRPr="004A0D38">
        <w:rPr>
          <w:rFonts w:asciiTheme="minorHAnsi" w:hAnsiTheme="minorHAnsi"/>
          <w:sz w:val="16"/>
          <w:szCs w:val="16"/>
        </w:rPr>
        <w:t>151.2.</w:t>
      </w:r>
    </w:p>
  </w:footnote>
  <w:footnote w:id="3">
    <w:p w:rsidR="00450759" w:rsidRDefault="00450759" w:rsidP="00477E7B">
      <w:pPr>
        <w:pStyle w:val="FootnoteText"/>
      </w:pPr>
      <w:r w:rsidRPr="00874EDE">
        <w:rPr>
          <w:rFonts w:asciiTheme="minorHAnsi" w:hAnsiTheme="minorHAnsi"/>
          <w:sz w:val="16"/>
          <w:szCs w:val="16"/>
          <w:vertAlign w:val="superscript"/>
        </w:rPr>
        <w:t xml:space="preserve">3 </w:t>
      </w:r>
      <w:r w:rsidRPr="00874EDE">
        <w:rPr>
          <w:rStyle w:val="FootnoteReference"/>
          <w:rFonts w:asciiTheme="minorHAnsi" w:hAnsiTheme="minorHAnsi"/>
          <w:sz w:val="16"/>
          <w:szCs w:val="16"/>
        </w:rPr>
        <w:t xml:space="preserve"> </w:t>
      </w:r>
      <w:r w:rsidRPr="00874EDE">
        <w:rPr>
          <w:rFonts w:asciiTheme="minorHAnsi" w:hAnsiTheme="minorHAnsi"/>
          <w:iCs/>
          <w:sz w:val="16"/>
          <w:szCs w:val="16"/>
        </w:rPr>
        <w:t>Commodity Reference Price</w:t>
      </w:r>
      <w:r w:rsidRPr="00874EDE">
        <w:rPr>
          <w:rFonts w:asciiTheme="minorHAnsi" w:hAnsiTheme="minorHAnsi"/>
          <w:i/>
          <w:iCs/>
          <w:sz w:val="16"/>
          <w:szCs w:val="16"/>
        </w:rPr>
        <w:t xml:space="preserve"> </w:t>
      </w:r>
      <w:r w:rsidRPr="00874EDE">
        <w:rPr>
          <w:rFonts w:asciiTheme="minorHAnsi" w:hAnsiTheme="minorHAnsi"/>
          <w:sz w:val="16"/>
          <w:szCs w:val="16"/>
        </w:rPr>
        <w:t>means the price series (including derivatives contract and cash market prices or price indices) used by the parties to a swap or swaption to determine payments made, exchanged, or accrued under the terms of the contracts (</w:t>
      </w:r>
      <w:r>
        <w:rPr>
          <w:rFonts w:asciiTheme="minorHAnsi" w:hAnsiTheme="minorHAnsi"/>
          <w:sz w:val="16"/>
          <w:szCs w:val="16"/>
        </w:rPr>
        <w:t xml:space="preserve">§ </w:t>
      </w:r>
      <w:r w:rsidRPr="00874EDE">
        <w:rPr>
          <w:rFonts w:asciiTheme="minorHAnsi" w:hAnsiTheme="minorHAnsi"/>
          <w:sz w:val="16"/>
          <w:szCs w:val="16"/>
        </w:rPr>
        <w:t>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5CD"/>
    <w:multiLevelType w:val="hybridMultilevel"/>
    <w:tmpl w:val="610EB260"/>
    <w:lvl w:ilvl="0" w:tplc="9438C78C">
      <w:start w:val="1"/>
      <w:numFmt w:val="upperLetter"/>
      <w:lvlText w:val="%1."/>
      <w:lvlJc w:val="left"/>
      <w:pPr>
        <w:ind w:left="720" w:hanging="360"/>
      </w:pPr>
      <w:rPr>
        <w:rFonts w:asciiTheme="minorHAnsi" w:eastAsiaTheme="minorHAnsi" w:hAnsiTheme="minorHAnsi"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A6666"/>
    <w:multiLevelType w:val="hybridMultilevel"/>
    <w:tmpl w:val="A4945888"/>
    <w:lvl w:ilvl="0" w:tplc="6E3A1DEE">
      <w:start w:val="1"/>
      <w:numFmt w:val="lowerRoman"/>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AE5D97"/>
    <w:multiLevelType w:val="hybridMultilevel"/>
    <w:tmpl w:val="FF66B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F5"/>
    <w:rsid w:val="0003133C"/>
    <w:rsid w:val="00032857"/>
    <w:rsid w:val="000376D3"/>
    <w:rsid w:val="000462F4"/>
    <w:rsid w:val="0005659B"/>
    <w:rsid w:val="000576BF"/>
    <w:rsid w:val="000662B3"/>
    <w:rsid w:val="00072761"/>
    <w:rsid w:val="000803D6"/>
    <w:rsid w:val="00085F35"/>
    <w:rsid w:val="00097471"/>
    <w:rsid w:val="000A761B"/>
    <w:rsid w:val="000B6E7C"/>
    <w:rsid w:val="000C27E5"/>
    <w:rsid w:val="000C7B5F"/>
    <w:rsid w:val="000D77BE"/>
    <w:rsid w:val="000E4D35"/>
    <w:rsid w:val="00157088"/>
    <w:rsid w:val="00157A2E"/>
    <w:rsid w:val="00160DE8"/>
    <w:rsid w:val="001964C2"/>
    <w:rsid w:val="001C0FA1"/>
    <w:rsid w:val="001C4368"/>
    <w:rsid w:val="001C70DD"/>
    <w:rsid w:val="001D1B65"/>
    <w:rsid w:val="001E3C2D"/>
    <w:rsid w:val="001E4CF9"/>
    <w:rsid w:val="001E6056"/>
    <w:rsid w:val="001E631F"/>
    <w:rsid w:val="00204EC1"/>
    <w:rsid w:val="00222279"/>
    <w:rsid w:val="00226E88"/>
    <w:rsid w:val="0024664C"/>
    <w:rsid w:val="00284372"/>
    <w:rsid w:val="00286AF3"/>
    <w:rsid w:val="00292A86"/>
    <w:rsid w:val="002B0A32"/>
    <w:rsid w:val="002D0F25"/>
    <w:rsid w:val="002D6F4A"/>
    <w:rsid w:val="00300B84"/>
    <w:rsid w:val="00302C77"/>
    <w:rsid w:val="00307E70"/>
    <w:rsid w:val="00313838"/>
    <w:rsid w:val="00320E87"/>
    <w:rsid w:val="00326EDC"/>
    <w:rsid w:val="00345DE9"/>
    <w:rsid w:val="00346477"/>
    <w:rsid w:val="00374126"/>
    <w:rsid w:val="0039387C"/>
    <w:rsid w:val="003C3B65"/>
    <w:rsid w:val="003E3718"/>
    <w:rsid w:val="003F2444"/>
    <w:rsid w:val="0040426F"/>
    <w:rsid w:val="00414660"/>
    <w:rsid w:val="0043705C"/>
    <w:rsid w:val="00444711"/>
    <w:rsid w:val="00450759"/>
    <w:rsid w:val="00454927"/>
    <w:rsid w:val="00460D76"/>
    <w:rsid w:val="00467653"/>
    <w:rsid w:val="00477E7B"/>
    <w:rsid w:val="00482FCB"/>
    <w:rsid w:val="004914EE"/>
    <w:rsid w:val="005079E4"/>
    <w:rsid w:val="005248BD"/>
    <w:rsid w:val="00530EEF"/>
    <w:rsid w:val="0053125E"/>
    <w:rsid w:val="005454C1"/>
    <w:rsid w:val="005513B3"/>
    <w:rsid w:val="0055404F"/>
    <w:rsid w:val="00565D05"/>
    <w:rsid w:val="00585718"/>
    <w:rsid w:val="0059237E"/>
    <w:rsid w:val="005E3BCF"/>
    <w:rsid w:val="00605C08"/>
    <w:rsid w:val="00607D38"/>
    <w:rsid w:val="006243BC"/>
    <w:rsid w:val="006273EE"/>
    <w:rsid w:val="0063489C"/>
    <w:rsid w:val="0063622E"/>
    <w:rsid w:val="00642D42"/>
    <w:rsid w:val="00644150"/>
    <w:rsid w:val="00651D21"/>
    <w:rsid w:val="00652F78"/>
    <w:rsid w:val="006531BB"/>
    <w:rsid w:val="00653A69"/>
    <w:rsid w:val="006555E2"/>
    <w:rsid w:val="00656577"/>
    <w:rsid w:val="0066686F"/>
    <w:rsid w:val="00667CD6"/>
    <w:rsid w:val="00670C7F"/>
    <w:rsid w:val="00683CF5"/>
    <w:rsid w:val="00685E0B"/>
    <w:rsid w:val="006A0BD2"/>
    <w:rsid w:val="006D1079"/>
    <w:rsid w:val="006F534C"/>
    <w:rsid w:val="007029A9"/>
    <w:rsid w:val="007062FC"/>
    <w:rsid w:val="007122BB"/>
    <w:rsid w:val="00732E5B"/>
    <w:rsid w:val="00741B18"/>
    <w:rsid w:val="00746779"/>
    <w:rsid w:val="007551A1"/>
    <w:rsid w:val="00777622"/>
    <w:rsid w:val="007A007B"/>
    <w:rsid w:val="007B4834"/>
    <w:rsid w:val="007C1CC5"/>
    <w:rsid w:val="007D51F4"/>
    <w:rsid w:val="007E0042"/>
    <w:rsid w:val="007E52E6"/>
    <w:rsid w:val="007E5AC5"/>
    <w:rsid w:val="00821B89"/>
    <w:rsid w:val="00860664"/>
    <w:rsid w:val="00862069"/>
    <w:rsid w:val="00874EDE"/>
    <w:rsid w:val="00887B00"/>
    <w:rsid w:val="00893107"/>
    <w:rsid w:val="008C2BC7"/>
    <w:rsid w:val="00900ED6"/>
    <w:rsid w:val="00906D0B"/>
    <w:rsid w:val="00911CD1"/>
    <w:rsid w:val="00921E8F"/>
    <w:rsid w:val="009309EC"/>
    <w:rsid w:val="009611BA"/>
    <w:rsid w:val="009800F9"/>
    <w:rsid w:val="009816B8"/>
    <w:rsid w:val="009973A3"/>
    <w:rsid w:val="009A0212"/>
    <w:rsid w:val="009B23DB"/>
    <w:rsid w:val="009B7B1B"/>
    <w:rsid w:val="009C4447"/>
    <w:rsid w:val="009C473D"/>
    <w:rsid w:val="009E01AE"/>
    <w:rsid w:val="009E34C7"/>
    <w:rsid w:val="009E48E9"/>
    <w:rsid w:val="00A044F4"/>
    <w:rsid w:val="00A255DE"/>
    <w:rsid w:val="00A304F5"/>
    <w:rsid w:val="00A317D5"/>
    <w:rsid w:val="00A61D47"/>
    <w:rsid w:val="00A6440A"/>
    <w:rsid w:val="00A805BD"/>
    <w:rsid w:val="00AA4A7C"/>
    <w:rsid w:val="00AB09DD"/>
    <w:rsid w:val="00AD5AD1"/>
    <w:rsid w:val="00AD717D"/>
    <w:rsid w:val="00AE014C"/>
    <w:rsid w:val="00AE676F"/>
    <w:rsid w:val="00AF7742"/>
    <w:rsid w:val="00B14A97"/>
    <w:rsid w:val="00B406E4"/>
    <w:rsid w:val="00B4375D"/>
    <w:rsid w:val="00B46C45"/>
    <w:rsid w:val="00B63849"/>
    <w:rsid w:val="00B670A7"/>
    <w:rsid w:val="00B70D68"/>
    <w:rsid w:val="00B91704"/>
    <w:rsid w:val="00B93212"/>
    <w:rsid w:val="00B945A0"/>
    <w:rsid w:val="00BB4A43"/>
    <w:rsid w:val="00BB5893"/>
    <w:rsid w:val="00BB6308"/>
    <w:rsid w:val="00BE6AC8"/>
    <w:rsid w:val="00C23A3C"/>
    <w:rsid w:val="00C33ED3"/>
    <w:rsid w:val="00C42397"/>
    <w:rsid w:val="00C4633C"/>
    <w:rsid w:val="00C942E0"/>
    <w:rsid w:val="00CC191F"/>
    <w:rsid w:val="00CE09BD"/>
    <w:rsid w:val="00CE2B02"/>
    <w:rsid w:val="00D03BB1"/>
    <w:rsid w:val="00D25A9C"/>
    <w:rsid w:val="00D278F4"/>
    <w:rsid w:val="00D27AE8"/>
    <w:rsid w:val="00D303D2"/>
    <w:rsid w:val="00D31E79"/>
    <w:rsid w:val="00D44125"/>
    <w:rsid w:val="00D441FE"/>
    <w:rsid w:val="00D550A5"/>
    <w:rsid w:val="00D676FD"/>
    <w:rsid w:val="00D74D4F"/>
    <w:rsid w:val="00D77553"/>
    <w:rsid w:val="00DB1AD1"/>
    <w:rsid w:val="00DB7297"/>
    <w:rsid w:val="00DD0D0A"/>
    <w:rsid w:val="00DD6D59"/>
    <w:rsid w:val="00DF4469"/>
    <w:rsid w:val="00DF5639"/>
    <w:rsid w:val="00E05861"/>
    <w:rsid w:val="00E306CD"/>
    <w:rsid w:val="00E428AB"/>
    <w:rsid w:val="00E4443B"/>
    <w:rsid w:val="00E5376A"/>
    <w:rsid w:val="00E61EFB"/>
    <w:rsid w:val="00E75725"/>
    <w:rsid w:val="00E80E37"/>
    <w:rsid w:val="00E87F90"/>
    <w:rsid w:val="00E932B3"/>
    <w:rsid w:val="00EA339A"/>
    <w:rsid w:val="00EA5EA2"/>
    <w:rsid w:val="00ED0BA7"/>
    <w:rsid w:val="00EE285F"/>
    <w:rsid w:val="00EF01A6"/>
    <w:rsid w:val="00F168D7"/>
    <w:rsid w:val="00F378A6"/>
    <w:rsid w:val="00F73990"/>
    <w:rsid w:val="00F76041"/>
    <w:rsid w:val="00F76BD9"/>
    <w:rsid w:val="00F9353C"/>
    <w:rsid w:val="00F94BF5"/>
    <w:rsid w:val="00FB3160"/>
    <w:rsid w:val="00FB556C"/>
    <w:rsid w:val="00FB6A30"/>
    <w:rsid w:val="00FE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paragraph" w:styleId="ListParagraph">
    <w:name w:val="List Paragraph"/>
    <w:basedOn w:val="Normal"/>
    <w:uiPriority w:val="34"/>
    <w:qFormat/>
    <w:rsid w:val="00AF7742"/>
    <w:pPr>
      <w:ind w:left="720"/>
      <w:contextualSpacing/>
    </w:pPr>
  </w:style>
  <w:style w:type="paragraph" w:styleId="FootnoteText">
    <w:name w:val="footnote text"/>
    <w:basedOn w:val="Normal"/>
    <w:link w:val="FootnoteTextChar"/>
    <w:uiPriority w:val="99"/>
    <w:semiHidden/>
    <w:unhideWhenUsed/>
    <w:rsid w:val="006A0BD2"/>
    <w:rPr>
      <w:sz w:val="20"/>
      <w:szCs w:val="20"/>
    </w:rPr>
  </w:style>
  <w:style w:type="character" w:customStyle="1" w:styleId="FootnoteTextChar">
    <w:name w:val="Footnote Text Char"/>
    <w:basedOn w:val="DefaultParagraphFont"/>
    <w:link w:val="FootnoteText"/>
    <w:uiPriority w:val="99"/>
    <w:semiHidden/>
    <w:rsid w:val="006A0BD2"/>
    <w:rPr>
      <w:rFonts w:ascii="Times New Roman" w:hAnsi="Times New Roman"/>
      <w:sz w:val="20"/>
      <w:szCs w:val="20"/>
    </w:rPr>
  </w:style>
  <w:style w:type="character" w:styleId="FootnoteReference">
    <w:name w:val="footnote reference"/>
    <w:basedOn w:val="DefaultParagraphFont"/>
    <w:uiPriority w:val="99"/>
    <w:semiHidden/>
    <w:unhideWhenUsed/>
    <w:rsid w:val="006A0BD2"/>
    <w:rPr>
      <w:vertAlign w:val="superscript"/>
    </w:rPr>
  </w:style>
  <w:style w:type="character" w:styleId="CommentReference">
    <w:name w:val="annotation reference"/>
    <w:basedOn w:val="DefaultParagraphFont"/>
    <w:uiPriority w:val="99"/>
    <w:semiHidden/>
    <w:unhideWhenUsed/>
    <w:rsid w:val="00E932B3"/>
    <w:rPr>
      <w:sz w:val="16"/>
      <w:szCs w:val="16"/>
    </w:rPr>
  </w:style>
  <w:style w:type="paragraph" w:styleId="CommentText">
    <w:name w:val="annotation text"/>
    <w:basedOn w:val="Normal"/>
    <w:link w:val="CommentTextChar"/>
    <w:uiPriority w:val="99"/>
    <w:semiHidden/>
    <w:unhideWhenUsed/>
    <w:rsid w:val="00E932B3"/>
    <w:rPr>
      <w:sz w:val="20"/>
      <w:szCs w:val="20"/>
    </w:rPr>
  </w:style>
  <w:style w:type="character" w:customStyle="1" w:styleId="CommentTextChar">
    <w:name w:val="Comment Text Char"/>
    <w:basedOn w:val="DefaultParagraphFont"/>
    <w:link w:val="CommentText"/>
    <w:uiPriority w:val="99"/>
    <w:semiHidden/>
    <w:rsid w:val="00E932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2B3"/>
    <w:rPr>
      <w:b/>
      <w:bCs/>
    </w:rPr>
  </w:style>
  <w:style w:type="character" w:customStyle="1" w:styleId="CommentSubjectChar">
    <w:name w:val="Comment Subject Char"/>
    <w:basedOn w:val="CommentTextChar"/>
    <w:link w:val="CommentSubject"/>
    <w:uiPriority w:val="99"/>
    <w:semiHidden/>
    <w:rsid w:val="00E932B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paragraph" w:styleId="ListParagraph">
    <w:name w:val="List Paragraph"/>
    <w:basedOn w:val="Normal"/>
    <w:uiPriority w:val="34"/>
    <w:qFormat/>
    <w:rsid w:val="00AF7742"/>
    <w:pPr>
      <w:ind w:left="720"/>
      <w:contextualSpacing/>
    </w:pPr>
  </w:style>
  <w:style w:type="paragraph" w:styleId="FootnoteText">
    <w:name w:val="footnote text"/>
    <w:basedOn w:val="Normal"/>
    <w:link w:val="FootnoteTextChar"/>
    <w:uiPriority w:val="99"/>
    <w:semiHidden/>
    <w:unhideWhenUsed/>
    <w:rsid w:val="006A0BD2"/>
    <w:rPr>
      <w:sz w:val="20"/>
      <w:szCs w:val="20"/>
    </w:rPr>
  </w:style>
  <w:style w:type="character" w:customStyle="1" w:styleId="FootnoteTextChar">
    <w:name w:val="Footnote Text Char"/>
    <w:basedOn w:val="DefaultParagraphFont"/>
    <w:link w:val="FootnoteText"/>
    <w:uiPriority w:val="99"/>
    <w:semiHidden/>
    <w:rsid w:val="006A0BD2"/>
    <w:rPr>
      <w:rFonts w:ascii="Times New Roman" w:hAnsi="Times New Roman"/>
      <w:sz w:val="20"/>
      <w:szCs w:val="20"/>
    </w:rPr>
  </w:style>
  <w:style w:type="character" w:styleId="FootnoteReference">
    <w:name w:val="footnote reference"/>
    <w:basedOn w:val="DefaultParagraphFont"/>
    <w:uiPriority w:val="99"/>
    <w:semiHidden/>
    <w:unhideWhenUsed/>
    <w:rsid w:val="006A0BD2"/>
    <w:rPr>
      <w:vertAlign w:val="superscript"/>
    </w:rPr>
  </w:style>
  <w:style w:type="character" w:styleId="CommentReference">
    <w:name w:val="annotation reference"/>
    <w:basedOn w:val="DefaultParagraphFont"/>
    <w:uiPriority w:val="99"/>
    <w:semiHidden/>
    <w:unhideWhenUsed/>
    <w:rsid w:val="00E932B3"/>
    <w:rPr>
      <w:sz w:val="16"/>
      <w:szCs w:val="16"/>
    </w:rPr>
  </w:style>
  <w:style w:type="paragraph" w:styleId="CommentText">
    <w:name w:val="annotation text"/>
    <w:basedOn w:val="Normal"/>
    <w:link w:val="CommentTextChar"/>
    <w:uiPriority w:val="99"/>
    <w:semiHidden/>
    <w:unhideWhenUsed/>
    <w:rsid w:val="00E932B3"/>
    <w:rPr>
      <w:sz w:val="20"/>
      <w:szCs w:val="20"/>
    </w:rPr>
  </w:style>
  <w:style w:type="character" w:customStyle="1" w:styleId="CommentTextChar">
    <w:name w:val="Comment Text Char"/>
    <w:basedOn w:val="DefaultParagraphFont"/>
    <w:link w:val="CommentText"/>
    <w:uiPriority w:val="99"/>
    <w:semiHidden/>
    <w:rsid w:val="00E932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2B3"/>
    <w:rPr>
      <w:b/>
      <w:bCs/>
    </w:rPr>
  </w:style>
  <w:style w:type="character" w:customStyle="1" w:styleId="CommentSubjectChar">
    <w:name w:val="Comment Subject Char"/>
    <w:basedOn w:val="CommentTextChar"/>
    <w:link w:val="CommentSubject"/>
    <w:uiPriority w:val="99"/>
    <w:semiHidden/>
    <w:rsid w:val="00E932B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0693">
      <w:bodyDiv w:val="1"/>
      <w:marLeft w:val="0"/>
      <w:marRight w:val="0"/>
      <w:marTop w:val="0"/>
      <w:marBottom w:val="0"/>
      <w:divBdr>
        <w:top w:val="none" w:sz="0" w:space="0" w:color="auto"/>
        <w:left w:val="none" w:sz="0" w:space="0" w:color="auto"/>
        <w:bottom w:val="none" w:sz="0" w:space="0" w:color="auto"/>
        <w:right w:val="none" w:sz="0" w:space="0" w:color="auto"/>
      </w:divBdr>
    </w:div>
    <w:div w:id="919875936">
      <w:bodyDiv w:val="1"/>
      <w:marLeft w:val="0"/>
      <w:marRight w:val="0"/>
      <w:marTop w:val="0"/>
      <w:marBottom w:val="0"/>
      <w:divBdr>
        <w:top w:val="none" w:sz="0" w:space="0" w:color="auto"/>
        <w:left w:val="none" w:sz="0" w:space="0" w:color="auto"/>
        <w:bottom w:val="none" w:sz="0" w:space="0" w:color="auto"/>
        <w:right w:val="none" w:sz="0" w:space="0" w:color="auto"/>
      </w:divBdr>
    </w:div>
    <w:div w:id="21439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2145-414D-4EA1-B884-62CA3617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TLITTELFIELD</dc:creator>
  <cp:lastModifiedBy>WMcobb</cp:lastModifiedBy>
  <cp:revision>2</cp:revision>
  <cp:lastPrinted>2011-10-19T15:39:00Z</cp:lastPrinted>
  <dcterms:created xsi:type="dcterms:W3CDTF">2011-11-18T19:15:00Z</dcterms:created>
  <dcterms:modified xsi:type="dcterms:W3CDTF">2011-11-18T19:15:00Z</dcterms:modified>
</cp:coreProperties>
</file>