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BBA" w:rsidRPr="007642C7" w:rsidRDefault="008F4BBA" w:rsidP="00915A42">
      <w:pPr>
        <w:widowControl/>
        <w:tabs>
          <w:tab w:val="left" w:pos="-1440"/>
        </w:tabs>
        <w:jc w:val="center"/>
        <w:rPr>
          <w:rFonts w:ascii="Times New Roman" w:hAnsi="Times New Roman"/>
          <w:b/>
          <w:szCs w:val="24"/>
        </w:rPr>
      </w:pPr>
      <w:r w:rsidRPr="007642C7">
        <w:rPr>
          <w:rFonts w:ascii="Times New Roman" w:hAnsi="Times New Roman"/>
          <w:b/>
          <w:szCs w:val="24"/>
        </w:rPr>
        <w:t>Supporting Statement for the</w:t>
      </w:r>
    </w:p>
    <w:p w:rsidR="008F4BBA" w:rsidRPr="0017727B" w:rsidRDefault="00A312F2" w:rsidP="00915A42">
      <w:pPr>
        <w:widowControl/>
        <w:tabs>
          <w:tab w:val="left" w:pos="-1440"/>
        </w:tabs>
        <w:jc w:val="center"/>
        <w:rPr>
          <w:rFonts w:ascii="Times New Roman" w:hAnsi="Times New Roman"/>
          <w:b/>
          <w:szCs w:val="24"/>
        </w:rPr>
      </w:pPr>
      <w:r w:rsidRPr="0017727B">
        <w:rPr>
          <w:rFonts w:ascii="Times New Roman" w:hAnsi="Times New Roman"/>
          <w:b/>
          <w:szCs w:val="24"/>
        </w:rPr>
        <w:t xml:space="preserve">Reporting, </w:t>
      </w:r>
      <w:r w:rsidR="008F4BBA" w:rsidRPr="0017727B">
        <w:rPr>
          <w:rFonts w:ascii="Times New Roman" w:hAnsi="Times New Roman"/>
          <w:b/>
          <w:szCs w:val="24"/>
        </w:rPr>
        <w:t>Recordkeeping</w:t>
      </w:r>
      <w:r w:rsidR="00C36455" w:rsidRPr="0017727B">
        <w:rPr>
          <w:rFonts w:ascii="Times New Roman" w:hAnsi="Times New Roman"/>
          <w:b/>
          <w:szCs w:val="24"/>
        </w:rPr>
        <w:t>,</w:t>
      </w:r>
      <w:r w:rsidR="008F4BBA" w:rsidRPr="0017727B">
        <w:rPr>
          <w:rFonts w:ascii="Times New Roman" w:hAnsi="Times New Roman"/>
          <w:b/>
          <w:szCs w:val="24"/>
        </w:rPr>
        <w:t xml:space="preserve"> and Disclosure Requirements associated with</w:t>
      </w:r>
    </w:p>
    <w:p w:rsidR="008F4BBA" w:rsidRPr="0017727B" w:rsidRDefault="008F4BBA" w:rsidP="00915A42">
      <w:pPr>
        <w:widowControl/>
        <w:tabs>
          <w:tab w:val="left" w:pos="-1440"/>
        </w:tabs>
        <w:jc w:val="center"/>
        <w:rPr>
          <w:rFonts w:ascii="Times New Roman" w:hAnsi="Times New Roman"/>
          <w:b/>
          <w:szCs w:val="24"/>
        </w:rPr>
      </w:pPr>
      <w:r w:rsidRPr="0017727B">
        <w:rPr>
          <w:rFonts w:ascii="Times New Roman" w:hAnsi="Times New Roman"/>
          <w:b/>
          <w:szCs w:val="24"/>
        </w:rPr>
        <w:t>Regulation Z (Truth in Lending) and</w:t>
      </w:r>
    </w:p>
    <w:p w:rsidR="008F4BBA" w:rsidRPr="0017727B" w:rsidRDefault="008F4BBA" w:rsidP="00915A42">
      <w:pPr>
        <w:widowControl/>
        <w:tabs>
          <w:tab w:val="left" w:pos="-1440"/>
        </w:tabs>
        <w:jc w:val="center"/>
        <w:rPr>
          <w:rFonts w:ascii="Times New Roman" w:hAnsi="Times New Roman"/>
          <w:b/>
          <w:bCs/>
          <w:szCs w:val="24"/>
        </w:rPr>
      </w:pPr>
      <w:r w:rsidRPr="0017727B">
        <w:rPr>
          <w:rFonts w:ascii="Times New Roman" w:hAnsi="Times New Roman"/>
          <w:b/>
          <w:szCs w:val="24"/>
        </w:rPr>
        <w:t>Regulation AA (</w:t>
      </w:r>
      <w:r w:rsidRPr="0017727B">
        <w:rPr>
          <w:rFonts w:ascii="Times New Roman" w:hAnsi="Times New Roman"/>
          <w:b/>
          <w:bCs/>
          <w:szCs w:val="24"/>
        </w:rPr>
        <w:t>Unfair or Deceptive Acts or Practices)</w:t>
      </w:r>
    </w:p>
    <w:p w:rsidR="008F4BBA" w:rsidRPr="00F26EC9" w:rsidRDefault="008F4BBA" w:rsidP="00915A42">
      <w:pPr>
        <w:widowControl/>
        <w:tabs>
          <w:tab w:val="left" w:pos="-1440"/>
        </w:tabs>
        <w:jc w:val="center"/>
        <w:rPr>
          <w:rFonts w:ascii="Times New Roman" w:hAnsi="Times New Roman"/>
          <w:b/>
          <w:bCs/>
          <w:szCs w:val="24"/>
        </w:rPr>
      </w:pPr>
      <w:r w:rsidRPr="00F26EC9">
        <w:rPr>
          <w:rFonts w:ascii="Times New Roman" w:hAnsi="Times New Roman"/>
          <w:b/>
          <w:szCs w:val="24"/>
        </w:rPr>
        <w:t>(OMB No. 7100-0199)</w:t>
      </w:r>
    </w:p>
    <w:p w:rsidR="0017727B" w:rsidRPr="00F26EC9" w:rsidRDefault="00794084" w:rsidP="0017727B">
      <w:pPr>
        <w:jc w:val="center"/>
        <w:rPr>
          <w:rFonts w:ascii="Times New Roman" w:hAnsi="Times New Roman"/>
          <w:b/>
          <w:i/>
          <w:szCs w:val="24"/>
        </w:rPr>
      </w:pPr>
      <w:r w:rsidRPr="00F26EC9">
        <w:rPr>
          <w:rFonts w:ascii="Times New Roman" w:hAnsi="Times New Roman"/>
          <w:b/>
          <w:i/>
          <w:szCs w:val="24"/>
        </w:rPr>
        <w:t>Valuation</w:t>
      </w:r>
      <w:r w:rsidR="0017727B" w:rsidRPr="00F26EC9">
        <w:rPr>
          <w:rFonts w:ascii="Times New Roman" w:hAnsi="Times New Roman"/>
          <w:b/>
          <w:i/>
          <w:szCs w:val="24"/>
        </w:rPr>
        <w:t xml:space="preserve"> Independence</w:t>
      </w:r>
    </w:p>
    <w:p w:rsidR="00B14E08" w:rsidRPr="00F26EC9" w:rsidRDefault="0017727B" w:rsidP="0017727B">
      <w:pPr>
        <w:widowControl/>
        <w:autoSpaceDE w:val="0"/>
        <w:autoSpaceDN w:val="0"/>
        <w:adjustRightInd w:val="0"/>
        <w:jc w:val="center"/>
        <w:rPr>
          <w:rFonts w:ascii="Times New Roman" w:hAnsi="Times New Roman"/>
          <w:b/>
          <w:bCs/>
          <w:i/>
          <w:szCs w:val="24"/>
        </w:rPr>
      </w:pPr>
      <w:r w:rsidRPr="00F26EC9">
        <w:rPr>
          <w:rFonts w:ascii="Times New Roman" w:hAnsi="Times New Roman"/>
          <w:b/>
          <w:bCs/>
          <w:i/>
          <w:szCs w:val="24"/>
        </w:rPr>
        <w:t xml:space="preserve"> </w:t>
      </w:r>
      <w:r w:rsidR="00B14E08" w:rsidRPr="00F26EC9">
        <w:rPr>
          <w:rFonts w:ascii="Times New Roman" w:hAnsi="Times New Roman"/>
          <w:b/>
          <w:bCs/>
          <w:i/>
          <w:szCs w:val="24"/>
        </w:rPr>
        <w:t>(Docket No. R-</w:t>
      </w:r>
      <w:r w:rsidRPr="00F26EC9">
        <w:rPr>
          <w:rFonts w:ascii="Times New Roman" w:hAnsi="Times New Roman"/>
          <w:b/>
          <w:bCs/>
          <w:i/>
          <w:szCs w:val="24"/>
        </w:rPr>
        <w:t>1394</w:t>
      </w:r>
      <w:r w:rsidR="00B14E08" w:rsidRPr="00F26EC9">
        <w:rPr>
          <w:rFonts w:ascii="Times New Roman" w:hAnsi="Times New Roman"/>
          <w:b/>
          <w:bCs/>
          <w:i/>
          <w:szCs w:val="24"/>
        </w:rPr>
        <w:t>) (RIN 7100-AD</w:t>
      </w:r>
      <w:r w:rsidRPr="00F26EC9">
        <w:rPr>
          <w:rFonts w:ascii="Times New Roman" w:hAnsi="Times New Roman"/>
          <w:b/>
          <w:bCs/>
          <w:i/>
          <w:szCs w:val="24"/>
        </w:rPr>
        <w:t>56</w:t>
      </w:r>
      <w:r w:rsidR="00B14E08" w:rsidRPr="00F26EC9">
        <w:rPr>
          <w:rFonts w:ascii="Times New Roman" w:hAnsi="Times New Roman"/>
          <w:b/>
          <w:bCs/>
          <w:i/>
          <w:szCs w:val="24"/>
        </w:rPr>
        <w:t>)</w:t>
      </w:r>
    </w:p>
    <w:p w:rsidR="008F4BBA" w:rsidRPr="0017727B" w:rsidRDefault="008F4BBA" w:rsidP="008F4BBA">
      <w:pPr>
        <w:pStyle w:val="Heading1"/>
        <w:rPr>
          <w:rFonts w:ascii="Times New Roman" w:hAnsi="Times New Roman"/>
          <w:szCs w:val="24"/>
        </w:rPr>
      </w:pPr>
      <w:r w:rsidRPr="0017727B">
        <w:rPr>
          <w:rFonts w:ascii="Times New Roman" w:hAnsi="Times New Roman"/>
          <w:szCs w:val="24"/>
        </w:rPr>
        <w:t>Summary</w:t>
      </w:r>
    </w:p>
    <w:p w:rsidR="008F4BBA" w:rsidRPr="0017727B" w:rsidRDefault="008F4BBA" w:rsidP="008F4BBA">
      <w:pPr>
        <w:widowControl/>
        <w:ind w:firstLine="720"/>
        <w:rPr>
          <w:rFonts w:ascii="Times New Roman" w:hAnsi="Times New Roman"/>
          <w:szCs w:val="24"/>
        </w:rPr>
      </w:pPr>
    </w:p>
    <w:p w:rsidR="00490053" w:rsidRPr="00566B2F" w:rsidRDefault="00490053" w:rsidP="00490053">
      <w:pPr>
        <w:widowControl/>
        <w:tabs>
          <w:tab w:val="left" w:pos="-1440"/>
        </w:tabs>
        <w:rPr>
          <w:rFonts w:ascii="Times New Roman" w:hAnsi="Times New Roman"/>
          <w:szCs w:val="24"/>
        </w:rPr>
      </w:pPr>
      <w:r w:rsidRPr="0017727B">
        <w:rPr>
          <w:rFonts w:ascii="Times New Roman" w:hAnsi="Times New Roman"/>
          <w:szCs w:val="24"/>
        </w:rPr>
        <w:tab/>
        <w:t xml:space="preserve">The Board of Governors of the Federal Reserve System, under delegated authority from the Office of Management and Budget (OMB), proposes to </w:t>
      </w:r>
      <w:r w:rsidR="00442B93" w:rsidRPr="0017727B">
        <w:rPr>
          <w:rFonts w:ascii="Times New Roman" w:hAnsi="Times New Roman"/>
          <w:szCs w:val="24"/>
        </w:rPr>
        <w:t xml:space="preserve">revise </w:t>
      </w:r>
      <w:r w:rsidRPr="0017727B">
        <w:rPr>
          <w:rFonts w:ascii="Times New Roman" w:hAnsi="Times New Roman"/>
          <w:szCs w:val="24"/>
        </w:rPr>
        <w:t>the recordkeeping</w:t>
      </w:r>
      <w:r w:rsidR="002C2E3B">
        <w:rPr>
          <w:rFonts w:ascii="Times New Roman" w:hAnsi="Times New Roman"/>
          <w:szCs w:val="24"/>
        </w:rPr>
        <w:t>, reporting,</w:t>
      </w:r>
      <w:r w:rsidRPr="0017727B">
        <w:rPr>
          <w:rFonts w:ascii="Times New Roman" w:hAnsi="Times New Roman"/>
          <w:szCs w:val="24"/>
        </w:rPr>
        <w:t xml:space="preserve"> and</w:t>
      </w:r>
      <w:r w:rsidRPr="007642C7">
        <w:rPr>
          <w:rFonts w:ascii="Times New Roman" w:hAnsi="Times New Roman"/>
        </w:rPr>
        <w:t xml:space="preserve"> disclosure requirements of Regulation Z (Truth in Lending Act)</w:t>
      </w:r>
      <w:r w:rsidRPr="007642C7">
        <w:rPr>
          <w:rStyle w:val="FootnoteReference"/>
          <w:vertAlign w:val="superscript"/>
        </w:rPr>
        <w:footnoteReference w:id="1"/>
      </w:r>
      <w:r w:rsidRPr="007642C7">
        <w:rPr>
          <w:rFonts w:ascii="Times New Roman" w:hAnsi="Times New Roman"/>
        </w:rPr>
        <w:t xml:space="preserve"> </w:t>
      </w:r>
      <w:r w:rsidRPr="007642C7">
        <w:rPr>
          <w:rFonts w:ascii="Times New Roman" w:hAnsi="Times New Roman"/>
          <w:snapToGrid/>
          <w:szCs w:val="24"/>
        </w:rPr>
        <w:t xml:space="preserve">and </w:t>
      </w:r>
      <w:r w:rsidRPr="007642C7">
        <w:rPr>
          <w:rFonts w:ascii="Times New Roman" w:hAnsi="Times New Roman"/>
          <w:szCs w:val="24"/>
        </w:rPr>
        <w:t>Regulation AA (</w:t>
      </w:r>
      <w:r w:rsidRPr="007642C7">
        <w:rPr>
          <w:rFonts w:ascii="Times New Roman" w:hAnsi="Times New Roman"/>
          <w:bCs/>
          <w:szCs w:val="24"/>
        </w:rPr>
        <w:t>Unfair or Deceptive Acts or Practices)</w:t>
      </w:r>
      <w:r w:rsidRPr="007642C7">
        <w:rPr>
          <w:rFonts w:ascii="Times New Roman" w:hAnsi="Times New Roman"/>
        </w:rPr>
        <w:t xml:space="preserve">.  </w:t>
      </w:r>
      <w:r w:rsidRPr="007642C7">
        <w:rPr>
          <w:rFonts w:ascii="Times New Roman" w:hAnsi="Times New Roman"/>
          <w:szCs w:val="24"/>
        </w:rPr>
        <w:t xml:space="preserve">The Paperwork Reduction Act (PRA) classifies these requirements </w:t>
      </w:r>
      <w:r w:rsidRPr="00566B2F">
        <w:rPr>
          <w:rFonts w:ascii="Times New Roman" w:hAnsi="Times New Roman"/>
          <w:szCs w:val="24"/>
        </w:rPr>
        <w:t>as an information collection</w:t>
      </w:r>
      <w:r w:rsidR="00442B93" w:rsidRPr="00566B2F">
        <w:rPr>
          <w:rFonts w:ascii="Times New Roman" w:hAnsi="Times New Roman"/>
          <w:szCs w:val="24"/>
        </w:rPr>
        <w:t>.</w:t>
      </w:r>
      <w:r w:rsidRPr="00566B2F">
        <w:rPr>
          <w:rFonts w:ascii="Times New Roman" w:hAnsi="Times New Roman"/>
          <w:szCs w:val="24"/>
        </w:rPr>
        <w:t xml:space="preserve">  </w:t>
      </w:r>
    </w:p>
    <w:p w:rsidR="00490053" w:rsidRPr="00566B2F" w:rsidRDefault="00490053" w:rsidP="006E2991">
      <w:pPr>
        <w:widowControl/>
        <w:ind w:firstLine="720"/>
        <w:rPr>
          <w:rFonts w:ascii="Times New Roman" w:hAnsi="Times New Roman"/>
          <w:szCs w:val="24"/>
        </w:rPr>
      </w:pPr>
    </w:p>
    <w:p w:rsidR="006C1647" w:rsidRPr="004C4943" w:rsidRDefault="00B14E08" w:rsidP="008213C4">
      <w:pPr>
        <w:widowControl/>
        <w:autoSpaceDE w:val="0"/>
        <w:autoSpaceDN w:val="0"/>
        <w:adjustRightInd w:val="0"/>
        <w:ind w:firstLine="720"/>
        <w:rPr>
          <w:rFonts w:ascii="Times New Roman" w:hAnsi="Times New Roman"/>
          <w:szCs w:val="24"/>
        </w:rPr>
      </w:pPr>
      <w:r w:rsidRPr="00566B2F">
        <w:rPr>
          <w:rFonts w:ascii="Times New Roman" w:hAnsi="Times New Roman"/>
          <w:szCs w:val="24"/>
        </w:rPr>
        <w:t xml:space="preserve">On </w:t>
      </w:r>
      <w:r w:rsidR="00566B2F" w:rsidRPr="00566B2F">
        <w:rPr>
          <w:rFonts w:ascii="Times New Roman" w:hAnsi="Times New Roman"/>
          <w:szCs w:val="24"/>
        </w:rPr>
        <w:t>October 28</w:t>
      </w:r>
      <w:r w:rsidRPr="00566B2F">
        <w:rPr>
          <w:rFonts w:ascii="Times New Roman" w:hAnsi="Times New Roman"/>
          <w:szCs w:val="24"/>
        </w:rPr>
        <w:t>, 20</w:t>
      </w:r>
      <w:r w:rsidR="0075196B" w:rsidRPr="00566B2F">
        <w:rPr>
          <w:rFonts w:ascii="Times New Roman" w:hAnsi="Times New Roman"/>
          <w:szCs w:val="24"/>
        </w:rPr>
        <w:t>10</w:t>
      </w:r>
      <w:r w:rsidRPr="00566B2F">
        <w:rPr>
          <w:rFonts w:ascii="Times New Roman" w:hAnsi="Times New Roman"/>
          <w:szCs w:val="24"/>
        </w:rPr>
        <w:t xml:space="preserve">, an interim final rulemaking (IFRM) was published in the </w:t>
      </w:r>
      <w:r w:rsidRPr="00566B2F">
        <w:rPr>
          <w:rFonts w:ascii="Times New Roman" w:hAnsi="Times New Roman"/>
          <w:i/>
          <w:szCs w:val="24"/>
        </w:rPr>
        <w:t>Federal Register</w:t>
      </w:r>
      <w:r w:rsidRPr="00566B2F">
        <w:rPr>
          <w:rFonts w:ascii="Times New Roman" w:hAnsi="Times New Roman"/>
          <w:szCs w:val="24"/>
        </w:rPr>
        <w:t xml:space="preserve"> </w:t>
      </w:r>
      <w:r w:rsidR="0027640D" w:rsidRPr="00566B2F">
        <w:rPr>
          <w:rFonts w:ascii="Times New Roman" w:hAnsi="Times New Roman"/>
          <w:szCs w:val="24"/>
        </w:rPr>
        <w:t xml:space="preserve">(75 FR </w:t>
      </w:r>
      <w:r w:rsidR="00566B2F" w:rsidRPr="00566B2F">
        <w:rPr>
          <w:rFonts w:ascii="Times New Roman" w:hAnsi="Times New Roman"/>
          <w:szCs w:val="24"/>
        </w:rPr>
        <w:t>66554</w:t>
      </w:r>
      <w:r w:rsidR="0027640D" w:rsidRPr="00566B2F">
        <w:rPr>
          <w:rFonts w:ascii="Times New Roman" w:hAnsi="Times New Roman"/>
          <w:szCs w:val="24"/>
        </w:rPr>
        <w:t xml:space="preserve">) </w:t>
      </w:r>
      <w:r w:rsidRPr="00566B2F">
        <w:rPr>
          <w:rFonts w:ascii="Times New Roman" w:hAnsi="Times New Roman"/>
          <w:szCs w:val="24"/>
        </w:rPr>
        <w:t xml:space="preserve">for public comment </w:t>
      </w:r>
      <w:r w:rsidRPr="00566B2F">
        <w:rPr>
          <w:rFonts w:ascii="Times New Roman" w:eastAsia="Calibri" w:hAnsi="Times New Roman"/>
          <w:snapToGrid/>
          <w:szCs w:val="24"/>
        </w:rPr>
        <w:t>to amend Reg</w:t>
      </w:r>
      <w:r w:rsidR="00BF1829">
        <w:rPr>
          <w:rFonts w:ascii="Times New Roman" w:eastAsia="Calibri" w:hAnsi="Times New Roman"/>
          <w:snapToGrid/>
          <w:szCs w:val="24"/>
        </w:rPr>
        <w:t xml:space="preserve">ulation Z, which implements </w:t>
      </w:r>
      <w:r w:rsidRPr="00566B2F">
        <w:rPr>
          <w:rFonts w:ascii="Times New Roman" w:eastAsia="Calibri" w:hAnsi="Times New Roman"/>
          <w:snapToGrid/>
          <w:szCs w:val="24"/>
        </w:rPr>
        <w:t>TILA</w:t>
      </w:r>
      <w:r w:rsidR="0075196B" w:rsidRPr="00566B2F">
        <w:rPr>
          <w:rFonts w:ascii="Times New Roman" w:eastAsia="Calibri" w:hAnsi="Times New Roman"/>
          <w:snapToGrid/>
          <w:szCs w:val="24"/>
        </w:rPr>
        <w:t xml:space="preserve">.  </w:t>
      </w:r>
      <w:r w:rsidR="00566B2F">
        <w:rPr>
          <w:rFonts w:ascii="Times New Roman" w:eastAsia="Calibri" w:hAnsi="Times New Roman"/>
          <w:snapToGrid/>
          <w:szCs w:val="24"/>
        </w:rPr>
        <w:t xml:space="preserve">This IFRM implements </w:t>
      </w:r>
      <w:r w:rsidR="00566B2F" w:rsidRPr="00566B2F">
        <w:rPr>
          <w:rFonts w:ascii="Times New Roman" w:eastAsia="Calibri" w:hAnsi="Times New Roman"/>
          <w:snapToGrid/>
          <w:szCs w:val="24"/>
        </w:rPr>
        <w:t xml:space="preserve">Section 129E </w:t>
      </w:r>
      <w:r w:rsidR="00692C40">
        <w:rPr>
          <w:rFonts w:ascii="Times New Roman" w:eastAsia="Calibri" w:hAnsi="Times New Roman"/>
          <w:snapToGrid/>
          <w:szCs w:val="24"/>
        </w:rPr>
        <w:t xml:space="preserve">of </w:t>
      </w:r>
      <w:r w:rsidR="00566B2F" w:rsidRPr="00566B2F">
        <w:rPr>
          <w:rFonts w:ascii="Times New Roman" w:eastAsia="Calibri" w:hAnsi="Times New Roman"/>
          <w:snapToGrid/>
          <w:szCs w:val="24"/>
        </w:rPr>
        <w:t>TILA, which was enacted on July</w:t>
      </w:r>
      <w:r w:rsidR="00566B2F">
        <w:rPr>
          <w:rFonts w:ascii="Times New Roman" w:eastAsia="Calibri" w:hAnsi="Times New Roman"/>
          <w:snapToGrid/>
          <w:szCs w:val="24"/>
        </w:rPr>
        <w:t xml:space="preserve"> </w:t>
      </w:r>
      <w:r w:rsidR="00566B2F" w:rsidRPr="004C4943">
        <w:rPr>
          <w:rFonts w:ascii="Times New Roman" w:eastAsia="Calibri" w:hAnsi="Times New Roman"/>
          <w:snapToGrid/>
          <w:szCs w:val="24"/>
        </w:rPr>
        <w:t xml:space="preserve">21, 2010, </w:t>
      </w:r>
      <w:r w:rsidR="00F470B1">
        <w:rPr>
          <w:rFonts w:ascii="Times New Roman" w:eastAsia="Calibri" w:hAnsi="Times New Roman"/>
          <w:snapToGrid/>
          <w:szCs w:val="24"/>
        </w:rPr>
        <w:t>by</w:t>
      </w:r>
      <w:r w:rsidR="00566B2F" w:rsidRPr="004C4943">
        <w:rPr>
          <w:rFonts w:ascii="Times New Roman" w:eastAsia="Calibri" w:hAnsi="Times New Roman"/>
          <w:snapToGrid/>
          <w:szCs w:val="24"/>
        </w:rPr>
        <w:t xml:space="preserve"> Section 1472 of the Dodd-Frank Wall Street Reform and Consumer Protection Act. TILA Section 129E establishes new requirements for appraisal independence for consumer</w:t>
      </w:r>
      <w:r w:rsidR="008213C4">
        <w:rPr>
          <w:rFonts w:ascii="Times New Roman" w:eastAsia="Calibri" w:hAnsi="Times New Roman"/>
          <w:snapToGrid/>
          <w:szCs w:val="24"/>
        </w:rPr>
        <w:t xml:space="preserve"> </w:t>
      </w:r>
      <w:r w:rsidR="00566B2F" w:rsidRPr="004C4943">
        <w:rPr>
          <w:rFonts w:ascii="Times New Roman" w:eastAsia="Calibri" w:hAnsi="Times New Roman"/>
          <w:snapToGrid/>
          <w:szCs w:val="24"/>
        </w:rPr>
        <w:t>credit transactions secured by the consumer’s principal dwelling.  The amendments are designed to ensure that real estate appraisals used to support creditors’ underwriting decisions are based on the appraiser’s independent professional judgment, free of any influence or pressure that may be exerted by parties that have an interest in the transaction. The amendments also seek to ensure that creditors and their agents pay customary and reasonable fees to appraisers.</w:t>
      </w:r>
      <w:r w:rsidR="004C4943">
        <w:rPr>
          <w:rFonts w:ascii="Times New Roman" w:eastAsia="Calibri" w:hAnsi="Times New Roman"/>
          <w:snapToGrid/>
          <w:szCs w:val="24"/>
        </w:rPr>
        <w:t xml:space="preserve">  </w:t>
      </w:r>
      <w:r w:rsidR="00F85EB3" w:rsidRPr="004C4943">
        <w:rPr>
          <w:rFonts w:ascii="Times New Roman" w:hAnsi="Times New Roman"/>
          <w:szCs w:val="24"/>
        </w:rPr>
        <w:t xml:space="preserve">The comment period expired </w:t>
      </w:r>
      <w:r w:rsidR="00566B2F" w:rsidRPr="004C4943">
        <w:rPr>
          <w:rFonts w:ascii="Times New Roman" w:hAnsi="Times New Roman"/>
          <w:szCs w:val="24"/>
        </w:rPr>
        <w:t>December 27</w:t>
      </w:r>
      <w:r w:rsidR="00F85EB3" w:rsidRPr="004C4943">
        <w:rPr>
          <w:rFonts w:ascii="Times New Roman" w:hAnsi="Times New Roman"/>
          <w:szCs w:val="24"/>
        </w:rPr>
        <w:t xml:space="preserve">, 2010.  The Board received </w:t>
      </w:r>
      <w:r w:rsidR="004C4943" w:rsidRPr="004C4943">
        <w:rPr>
          <w:rFonts w:ascii="Times New Roman" w:hAnsi="Times New Roman"/>
          <w:szCs w:val="24"/>
        </w:rPr>
        <w:t>approximately 958</w:t>
      </w:r>
      <w:r w:rsidR="00F85EB3" w:rsidRPr="004C4943">
        <w:rPr>
          <w:rFonts w:ascii="Times New Roman" w:hAnsi="Times New Roman"/>
          <w:szCs w:val="24"/>
        </w:rPr>
        <w:t xml:space="preserve"> comments; however, no comments specifically addressed the paperwork burden estimates.</w:t>
      </w:r>
      <w:r w:rsidR="003017BC" w:rsidRPr="004C4943">
        <w:rPr>
          <w:rFonts w:ascii="Times New Roman" w:hAnsi="Times New Roman"/>
          <w:szCs w:val="24"/>
        </w:rPr>
        <w:t xml:space="preserve">  </w:t>
      </w:r>
      <w:r w:rsidR="00BF1829">
        <w:rPr>
          <w:rFonts w:ascii="Times New Roman" w:hAnsi="Times New Roman"/>
          <w:szCs w:val="24"/>
        </w:rPr>
        <w:t>C</w:t>
      </w:r>
      <w:r w:rsidR="004C4943" w:rsidRPr="004C4943">
        <w:rPr>
          <w:rFonts w:ascii="Times New Roman" w:eastAsia="Calibri" w:hAnsi="Times New Roman"/>
          <w:snapToGrid/>
          <w:szCs w:val="24"/>
        </w:rPr>
        <w:t>ompliance with this interim final rule</w:t>
      </w:r>
      <w:r w:rsidR="004C4943">
        <w:rPr>
          <w:rFonts w:ascii="Times New Roman" w:eastAsia="Calibri" w:hAnsi="Times New Roman"/>
          <w:snapToGrid/>
          <w:szCs w:val="24"/>
        </w:rPr>
        <w:t xml:space="preserve"> </w:t>
      </w:r>
      <w:r w:rsidR="00E345CB">
        <w:rPr>
          <w:rFonts w:ascii="Times New Roman" w:eastAsia="Calibri" w:hAnsi="Times New Roman"/>
          <w:snapToGrid/>
          <w:szCs w:val="24"/>
        </w:rPr>
        <w:t>wa</w:t>
      </w:r>
      <w:r w:rsidR="008213C4">
        <w:rPr>
          <w:rFonts w:ascii="Times New Roman" w:eastAsia="Calibri" w:hAnsi="Times New Roman"/>
          <w:snapToGrid/>
          <w:szCs w:val="24"/>
        </w:rPr>
        <w:t>s</w:t>
      </w:r>
      <w:r w:rsidR="004C4943" w:rsidRPr="004C4943">
        <w:rPr>
          <w:rFonts w:ascii="Times New Roman" w:eastAsia="Calibri" w:hAnsi="Times New Roman"/>
          <w:snapToGrid/>
          <w:szCs w:val="24"/>
        </w:rPr>
        <w:t xml:space="preserve"> optional until April 1, 2011.</w:t>
      </w:r>
    </w:p>
    <w:p w:rsidR="006C1647" w:rsidRPr="004C4943" w:rsidRDefault="006C1647" w:rsidP="00F20A20">
      <w:pPr>
        <w:widowControl/>
        <w:autoSpaceDE w:val="0"/>
        <w:autoSpaceDN w:val="0"/>
        <w:adjustRightInd w:val="0"/>
        <w:rPr>
          <w:rFonts w:ascii="Times New Roman" w:hAnsi="Times New Roman"/>
          <w:szCs w:val="24"/>
        </w:rPr>
      </w:pPr>
    </w:p>
    <w:p w:rsidR="008F4BBA" w:rsidRPr="007642C7" w:rsidRDefault="008F4BBA" w:rsidP="005E571D">
      <w:pPr>
        <w:widowControl/>
        <w:autoSpaceDE w:val="0"/>
        <w:autoSpaceDN w:val="0"/>
        <w:adjustRightInd w:val="0"/>
        <w:ind w:firstLine="720"/>
        <w:rPr>
          <w:rFonts w:ascii="Times New Roman" w:hAnsi="Times New Roman"/>
        </w:rPr>
      </w:pPr>
      <w:r w:rsidRPr="007642C7">
        <w:rPr>
          <w:rFonts w:ascii="Times New Roman" w:hAnsi="Times New Roman"/>
          <w:szCs w:val="24"/>
        </w:rPr>
        <w:t>TILA and Regulation Z ensure adequate disclosure of the costs and terms of credit to consumers.  For open-end credit, creditors are required to disclose information about the initial costs and terms and to provide periodic state</w:t>
      </w:r>
      <w:r w:rsidRPr="007642C7">
        <w:rPr>
          <w:rFonts w:ascii="Times New Roman" w:hAnsi="Times New Roman"/>
          <w:szCs w:val="24"/>
        </w:rPr>
        <w:softHyphen/>
        <w:t>ments of account activity, notices of changes-in-terms, and statements of rights concerning billing error procedures.  The regulation also requires specific types of disclosures for credit and charge card accounts, and home-equity plans.  For closed-end loans, such</w:t>
      </w:r>
      <w:r w:rsidRPr="007642C7">
        <w:rPr>
          <w:rFonts w:ascii="Times New Roman" w:hAnsi="Times New Roman"/>
        </w:rPr>
        <w:t xml:space="preserve"> as mortgage and installment loans, cost disclosures are required to be provided prior to consummation.  Special disclosures are required of certain products, such as reverse mortgages, certain variable-rate loans, and certain mortgages with rates and fees above specified thresholds.  TILA and Regulation Z also contain rules concerning credit advertising.  </w:t>
      </w:r>
    </w:p>
    <w:p w:rsidR="00E621A5" w:rsidRPr="007642C7" w:rsidRDefault="00E621A5" w:rsidP="008F4BBA">
      <w:pPr>
        <w:pStyle w:val="BodyTextIndent"/>
        <w:widowControl/>
        <w:spacing w:after="0"/>
      </w:pPr>
    </w:p>
    <w:p w:rsidR="008F4BBA" w:rsidRPr="007642C7" w:rsidRDefault="008F4BBA" w:rsidP="008F4BBA">
      <w:pPr>
        <w:pStyle w:val="BodyTextIndent"/>
        <w:widowControl/>
        <w:spacing w:after="0"/>
      </w:pPr>
      <w:r w:rsidRPr="007642C7">
        <w:t xml:space="preserve">The information collection pursuant to Regulation Z is triggered by specific events.  </w:t>
      </w:r>
      <w:r w:rsidR="00E345CB">
        <w:t xml:space="preserve">As Regulation Z contains no </w:t>
      </w:r>
      <w:r w:rsidR="00A71DD3">
        <w:t xml:space="preserve">data </w:t>
      </w:r>
      <w:r w:rsidR="00E345CB">
        <w:t>reporting requirements, t</w:t>
      </w:r>
      <w:r w:rsidRPr="007642C7">
        <w:t xml:space="preserve">here are no reporting forms associated with </w:t>
      </w:r>
      <w:r w:rsidR="00E345CB">
        <w:t>the r</w:t>
      </w:r>
      <w:r w:rsidRPr="007642C7">
        <w:t xml:space="preserve">egulation.  To ease the burden and cost of complying with Regulation Z (particularly for small entities), the Federal Reserve provides model forms, which are appended to the </w:t>
      </w:r>
      <w:r w:rsidRPr="007642C7">
        <w:lastRenderedPageBreak/>
        <w:t>regulation.  Creditors are required to “retain eviden</w:t>
      </w:r>
      <w:r w:rsidRPr="007642C7">
        <w:softHyphen/>
        <w:t xml:space="preserve">ce of compliance” for </w:t>
      </w:r>
      <w:r w:rsidR="00A71DD3">
        <w:t>24</w:t>
      </w:r>
      <w:r w:rsidRPr="007642C7">
        <w:t xml:space="preserve"> months (subpart D, section 226.25), but the regulation does not specify the types of records that must be retained. </w:t>
      </w:r>
    </w:p>
    <w:p w:rsidR="008F4BBA" w:rsidRPr="007642C7" w:rsidRDefault="008F4BBA" w:rsidP="008F4BBA">
      <w:pPr>
        <w:widowControl/>
        <w:rPr>
          <w:rFonts w:ascii="Times New Roman" w:hAnsi="Times New Roman"/>
        </w:rPr>
      </w:pPr>
    </w:p>
    <w:p w:rsidR="008F4BBA" w:rsidRPr="007642C7" w:rsidRDefault="008F4BBA" w:rsidP="008F4BBA">
      <w:pPr>
        <w:pStyle w:val="BodyTextIndent"/>
        <w:widowControl/>
        <w:spacing w:after="0"/>
        <w:ind w:firstLine="0"/>
        <w:rPr>
          <w:szCs w:val="24"/>
        </w:rPr>
      </w:pPr>
      <w:r w:rsidRPr="007642C7">
        <w:tab/>
        <w:t xml:space="preserve">Under the PRA, the Federal Reserve accounts for the paperwork burden associated with </w:t>
      </w:r>
      <w:r w:rsidRPr="007642C7">
        <w:rPr>
          <w:szCs w:val="24"/>
        </w:rPr>
        <w:t>Regulation Z for the state member banks (SMBs) and other creditors supervised by the Federal Reserve that engage in lending covered by Regulation Z and, therefore, are “respondents” under the PRA.</w:t>
      </w:r>
      <w:r w:rsidR="006F0ABD" w:rsidRPr="006F0ABD">
        <w:rPr>
          <w:rStyle w:val="FootnoteReference"/>
          <w:szCs w:val="24"/>
          <w:vertAlign w:val="superscript"/>
        </w:rPr>
        <w:footnoteReference w:id="2"/>
      </w:r>
      <w:r w:rsidRPr="007642C7">
        <w:rPr>
          <w:szCs w:val="24"/>
        </w:rPr>
        <w:t xml:space="preserve">  Other federal agencies account for the paperwork burden on other creditors.  The current annual burden for 1,</w:t>
      </w:r>
      <w:r w:rsidR="00D406AC">
        <w:rPr>
          <w:szCs w:val="24"/>
        </w:rPr>
        <w:t>077</w:t>
      </w:r>
      <w:r w:rsidRPr="007642C7">
        <w:rPr>
          <w:szCs w:val="24"/>
        </w:rPr>
        <w:t xml:space="preserve"> respondents</w:t>
      </w:r>
      <w:r w:rsidRPr="007642C7">
        <w:rPr>
          <w:rStyle w:val="FootnoteReference"/>
          <w:szCs w:val="24"/>
          <w:vertAlign w:val="superscript"/>
        </w:rPr>
        <w:footnoteReference w:id="3"/>
      </w:r>
      <w:r w:rsidRPr="007642C7">
        <w:rPr>
          <w:szCs w:val="24"/>
        </w:rPr>
        <w:t xml:space="preserve"> is estimated to </w:t>
      </w:r>
      <w:r w:rsidR="00D406AC" w:rsidRPr="007642C7">
        <w:rPr>
          <w:szCs w:val="24"/>
        </w:rPr>
        <w:t xml:space="preserve">be </w:t>
      </w:r>
      <w:r w:rsidR="008213C4">
        <w:rPr>
          <w:szCs w:val="24"/>
        </w:rPr>
        <w:t>1,494</w:t>
      </w:r>
      <w:r w:rsidR="00D406AC" w:rsidRPr="007642C7">
        <w:rPr>
          <w:rFonts w:eastAsia="Calibri"/>
          <w:snapToGrid/>
          <w:szCs w:val="24"/>
        </w:rPr>
        <w:t>,</w:t>
      </w:r>
      <w:r w:rsidR="008213C4">
        <w:rPr>
          <w:rFonts w:eastAsia="Calibri"/>
          <w:snapToGrid/>
          <w:szCs w:val="24"/>
        </w:rPr>
        <w:t>763</w:t>
      </w:r>
      <w:r w:rsidR="00802AF6" w:rsidRPr="007642C7">
        <w:rPr>
          <w:rFonts w:eastAsia="Calibri"/>
          <w:snapToGrid/>
          <w:szCs w:val="24"/>
        </w:rPr>
        <w:t xml:space="preserve"> hours</w:t>
      </w:r>
      <w:r w:rsidRPr="007642C7">
        <w:rPr>
          <w:szCs w:val="24"/>
        </w:rPr>
        <w:t>.</w:t>
      </w:r>
    </w:p>
    <w:p w:rsidR="008F4BBA" w:rsidRPr="007642C7" w:rsidRDefault="008F4BBA" w:rsidP="008F4BBA">
      <w:pPr>
        <w:pStyle w:val="BodyTextIndent"/>
        <w:widowControl/>
        <w:spacing w:after="0"/>
        <w:rPr>
          <w:szCs w:val="24"/>
        </w:rPr>
      </w:pPr>
    </w:p>
    <w:p w:rsidR="00BD79AF" w:rsidRPr="00D06592" w:rsidRDefault="00BD79AF" w:rsidP="00BD79AF">
      <w:pPr>
        <w:pStyle w:val="BodyTextIndent"/>
        <w:widowControl/>
        <w:spacing w:after="0"/>
        <w:rPr>
          <w:szCs w:val="24"/>
        </w:rPr>
      </w:pPr>
      <w:r w:rsidRPr="00D06592">
        <w:rPr>
          <w:szCs w:val="24"/>
        </w:rPr>
        <w:t xml:space="preserve">The Federal Reserve estimates </w:t>
      </w:r>
      <w:r w:rsidR="00C853D6" w:rsidRPr="00D06592">
        <w:rPr>
          <w:szCs w:val="24"/>
        </w:rPr>
        <w:t xml:space="preserve">that </w:t>
      </w:r>
      <w:r w:rsidRPr="00D06592">
        <w:rPr>
          <w:szCs w:val="24"/>
        </w:rPr>
        <w:t xml:space="preserve">the </w:t>
      </w:r>
      <w:r w:rsidR="00D406AC" w:rsidRPr="00D06592">
        <w:rPr>
          <w:szCs w:val="24"/>
        </w:rPr>
        <w:t xml:space="preserve">IFRM </w:t>
      </w:r>
      <w:r w:rsidRPr="00D06592">
        <w:rPr>
          <w:szCs w:val="24"/>
        </w:rPr>
        <w:t>will impose</w:t>
      </w:r>
      <w:r w:rsidRPr="00D06592">
        <w:rPr>
          <w:rFonts w:eastAsia="Calibri"/>
          <w:snapToGrid/>
          <w:szCs w:val="24"/>
        </w:rPr>
        <w:t xml:space="preserve"> a one-time increase in the annual burden under Regulation Z for all respondents regulated by the Federal Reserve by </w:t>
      </w:r>
      <w:r w:rsidR="008213C4" w:rsidRPr="00D06592">
        <w:rPr>
          <w:rFonts w:eastAsia="Calibri"/>
          <w:snapToGrid/>
          <w:szCs w:val="24"/>
        </w:rPr>
        <w:t>22</w:t>
      </w:r>
      <w:r w:rsidRPr="00D06592">
        <w:rPr>
          <w:rFonts w:eastAsia="Calibri"/>
          <w:snapToGrid/>
          <w:szCs w:val="24"/>
        </w:rPr>
        <w:t>,</w:t>
      </w:r>
      <w:r w:rsidR="008213C4" w:rsidRPr="00D06592">
        <w:rPr>
          <w:rFonts w:eastAsia="Calibri"/>
          <w:snapToGrid/>
          <w:szCs w:val="24"/>
        </w:rPr>
        <w:t>680</w:t>
      </w:r>
      <w:r w:rsidRPr="00D06592">
        <w:rPr>
          <w:rFonts w:eastAsia="Calibri"/>
          <w:snapToGrid/>
          <w:szCs w:val="24"/>
        </w:rPr>
        <w:t xml:space="preserve"> hours.  The total annual burden for the Regulation Z information collection is estimated to increase from </w:t>
      </w:r>
      <w:r w:rsidR="008213C4" w:rsidRPr="00D06592">
        <w:rPr>
          <w:szCs w:val="24"/>
        </w:rPr>
        <w:t>1,494</w:t>
      </w:r>
      <w:r w:rsidR="008213C4" w:rsidRPr="00D06592">
        <w:rPr>
          <w:rFonts w:eastAsia="Calibri"/>
          <w:snapToGrid/>
          <w:szCs w:val="24"/>
        </w:rPr>
        <w:t xml:space="preserve">,763 hours </w:t>
      </w:r>
      <w:r w:rsidRPr="00D06592">
        <w:rPr>
          <w:rFonts w:eastAsia="Calibri"/>
          <w:snapToGrid/>
          <w:szCs w:val="24"/>
        </w:rPr>
        <w:t xml:space="preserve">to </w:t>
      </w:r>
      <w:r w:rsidR="00D406AC" w:rsidRPr="00D06592">
        <w:rPr>
          <w:rFonts w:eastAsia="Calibri"/>
          <w:snapToGrid/>
          <w:szCs w:val="24"/>
        </w:rPr>
        <w:t>1</w:t>
      </w:r>
      <w:r w:rsidRPr="00D06592">
        <w:rPr>
          <w:rFonts w:eastAsia="Calibri"/>
          <w:snapToGrid/>
          <w:szCs w:val="24"/>
        </w:rPr>
        <w:t>,</w:t>
      </w:r>
      <w:r w:rsidR="008213C4" w:rsidRPr="00D06592">
        <w:rPr>
          <w:rFonts w:eastAsia="Calibri"/>
          <w:snapToGrid/>
          <w:szCs w:val="24"/>
        </w:rPr>
        <w:t>517</w:t>
      </w:r>
      <w:r w:rsidR="0027640D" w:rsidRPr="00D06592">
        <w:rPr>
          <w:rFonts w:eastAsia="Calibri"/>
          <w:snapToGrid/>
          <w:szCs w:val="24"/>
        </w:rPr>
        <w:t>,</w:t>
      </w:r>
      <w:r w:rsidR="008213C4" w:rsidRPr="00D06592">
        <w:rPr>
          <w:rFonts w:eastAsia="Calibri"/>
          <w:snapToGrid/>
          <w:szCs w:val="24"/>
        </w:rPr>
        <w:t>443</w:t>
      </w:r>
      <w:r w:rsidRPr="00D06592">
        <w:rPr>
          <w:rFonts w:eastAsia="Calibri"/>
          <w:snapToGrid/>
          <w:szCs w:val="24"/>
        </w:rPr>
        <w:t xml:space="preserve"> hours.</w:t>
      </w:r>
    </w:p>
    <w:p w:rsidR="00546011" w:rsidRPr="00D06592" w:rsidRDefault="00546011" w:rsidP="008F4BBA">
      <w:pPr>
        <w:widowControl/>
        <w:rPr>
          <w:rFonts w:ascii="Times New Roman" w:hAnsi="Times New Roman"/>
          <w:szCs w:val="24"/>
        </w:rPr>
      </w:pPr>
    </w:p>
    <w:p w:rsidR="008F4BBA" w:rsidRPr="00D06592" w:rsidRDefault="008F4BBA" w:rsidP="008F4BBA">
      <w:pPr>
        <w:widowControl/>
        <w:rPr>
          <w:rFonts w:ascii="Times New Roman" w:hAnsi="Times New Roman"/>
          <w:szCs w:val="24"/>
        </w:rPr>
      </w:pPr>
      <w:r w:rsidRPr="00D06592">
        <w:rPr>
          <w:rFonts w:ascii="Times New Roman" w:hAnsi="Times New Roman"/>
          <w:b/>
          <w:szCs w:val="24"/>
        </w:rPr>
        <w:t>Background and Justification</w:t>
      </w:r>
    </w:p>
    <w:p w:rsidR="008F4BBA" w:rsidRPr="007642C7" w:rsidRDefault="008F4BBA" w:rsidP="008F4BBA">
      <w:pPr>
        <w:widowControl/>
        <w:rPr>
          <w:rFonts w:ascii="Times New Roman" w:hAnsi="Times New Roman"/>
          <w:szCs w:val="24"/>
        </w:rPr>
      </w:pPr>
    </w:p>
    <w:p w:rsidR="008F4BBA" w:rsidRPr="007642C7" w:rsidRDefault="008F4BBA" w:rsidP="008F4BBA">
      <w:pPr>
        <w:widowControl/>
        <w:ind w:firstLine="720"/>
        <w:rPr>
          <w:rFonts w:ascii="Times New Roman" w:hAnsi="Times New Roman"/>
          <w:szCs w:val="24"/>
        </w:rPr>
      </w:pPr>
      <w:r w:rsidRPr="007642C7">
        <w:rPr>
          <w:rFonts w:ascii="Times New Roman" w:hAnsi="Times New Roman"/>
          <w:szCs w:val="24"/>
        </w:rPr>
        <w:t>TILA and Regulation Z require creditors to disclose certain credit costs and terms to consu</w:t>
      </w:r>
      <w:r w:rsidRPr="007642C7">
        <w:rPr>
          <w:rFonts w:ascii="Times New Roman" w:hAnsi="Times New Roman"/>
          <w:szCs w:val="24"/>
        </w:rPr>
        <w:softHyphen/>
        <w:t>mers, using a specified format and terminology, at or before the time consumers enter into a consumer credit transaction and when the availability of consumer credit on particular terms is advertised.  The purpose of the disclosures is to promote the informed use of consumer credit.</w:t>
      </w:r>
    </w:p>
    <w:p w:rsidR="008F4BBA" w:rsidRPr="007642C7" w:rsidRDefault="008F4BBA" w:rsidP="008F4BBA">
      <w:pPr>
        <w:widowControl/>
        <w:rPr>
          <w:rFonts w:ascii="Times New Roman" w:hAnsi="Times New Roman"/>
          <w:szCs w:val="24"/>
        </w:rPr>
      </w:pPr>
    </w:p>
    <w:p w:rsidR="008F4BBA" w:rsidRPr="007642C7" w:rsidRDefault="008F4BBA" w:rsidP="008F4BBA">
      <w:pPr>
        <w:widowControl/>
        <w:ind w:firstLine="720"/>
        <w:rPr>
          <w:rFonts w:ascii="Times New Roman" w:hAnsi="Times New Roman"/>
        </w:rPr>
      </w:pPr>
      <w:r w:rsidRPr="007642C7">
        <w:rPr>
          <w:rFonts w:ascii="Times New Roman" w:hAnsi="Times New Roman"/>
        </w:rPr>
        <w:t>Although TILA does not specifically authorize exemptions for small business, Regulation Z contains several provisions designed to minimize burdens on these entities.  The definition of creditor, for example, is limited to persons who, in the preceding calendar year, extended credit more than twenty-five times or extended credit secured by a dwelling more than five times.</w:t>
      </w:r>
    </w:p>
    <w:p w:rsidR="008F4BBA" w:rsidRPr="007642C7" w:rsidRDefault="008F4BBA" w:rsidP="008F4BBA">
      <w:pPr>
        <w:widowControl/>
        <w:ind w:firstLine="720"/>
        <w:rPr>
          <w:rFonts w:ascii="Times New Roman" w:hAnsi="Times New Roman"/>
        </w:rPr>
      </w:pPr>
    </w:p>
    <w:p w:rsidR="008F4BBA" w:rsidRPr="007642C7" w:rsidRDefault="008F4BBA" w:rsidP="008F4BBA">
      <w:pPr>
        <w:widowControl/>
        <w:rPr>
          <w:rFonts w:ascii="Times New Roman" w:hAnsi="Times New Roman"/>
        </w:rPr>
      </w:pPr>
      <w:r w:rsidRPr="007642C7">
        <w:rPr>
          <w:rFonts w:ascii="Times New Roman" w:hAnsi="Times New Roman"/>
        </w:rPr>
        <w:tab/>
        <w:t>In 1994, Congress enacted HOEPA as an amendment to TILA, to address abusive practices involving certain home-secured loans with high rates or high fees.</w:t>
      </w:r>
      <w:r w:rsidRPr="007642C7">
        <w:rPr>
          <w:rStyle w:val="FootnoteReference"/>
          <w:vertAlign w:val="superscript"/>
        </w:rPr>
        <w:footnoteReference w:id="4"/>
      </w:r>
      <w:r w:rsidRPr="007642C7">
        <w:rPr>
          <w:rFonts w:ascii="Times New Roman" w:hAnsi="Times New Roman"/>
        </w:rPr>
        <w:t xml:space="preserve">  The Board also added to a disclosure required three days before the closing of a HOEPA loan a statement of the total amount of the borrower’s obligation and whether optional credit insurance or debt-cancellation coverage is included in that amount.  Regulation Z Model Form H-16 illustrates this revised disclosure, which became mandatory on October 1, 2002.</w:t>
      </w:r>
    </w:p>
    <w:p w:rsidR="008F4BBA" w:rsidRPr="007642C7" w:rsidRDefault="008F4BBA" w:rsidP="008F4BBA">
      <w:pPr>
        <w:widowControl/>
        <w:rPr>
          <w:rFonts w:ascii="Times New Roman" w:hAnsi="Times New Roman"/>
        </w:rPr>
      </w:pPr>
    </w:p>
    <w:p w:rsidR="008F4BBA" w:rsidRPr="007642C7" w:rsidRDefault="008F4BBA" w:rsidP="008F4BBA">
      <w:pPr>
        <w:widowControl/>
        <w:rPr>
          <w:rFonts w:ascii="Times New Roman" w:hAnsi="Times New Roman"/>
        </w:rPr>
      </w:pPr>
      <w:r w:rsidRPr="007642C7">
        <w:rPr>
          <w:rFonts w:ascii="Times New Roman" w:hAnsi="Times New Roman"/>
          <w:szCs w:val="24"/>
        </w:rPr>
        <w:tab/>
        <w:t xml:space="preserve">In November 2007, the Board published a final rulemaking (72 FR 63462) that amended Regulation Z to address </w:t>
      </w:r>
      <w:r w:rsidRPr="007642C7">
        <w:rPr>
          <w:rFonts w:ascii="Times New Roman" w:hAnsi="Times New Roman"/>
          <w:snapToGrid/>
          <w:szCs w:val="24"/>
        </w:rPr>
        <w:t xml:space="preserve">the timing and delivery of electronic disclosures, consistent with the requirements of the Electronic Signatures in Global and National Commerce Act (E-Sign Act).  This rule provides that that certain disclosures may be provided to a consumer in electronic form without regard to the consumer consent and other provisions of the E-Sign Act; and that, when </w:t>
      </w:r>
      <w:proofErr w:type="gramStart"/>
      <w:r w:rsidRPr="007642C7">
        <w:rPr>
          <w:rFonts w:ascii="Times New Roman" w:hAnsi="Times New Roman"/>
          <w:snapToGrid/>
          <w:szCs w:val="24"/>
        </w:rPr>
        <w:lastRenderedPageBreak/>
        <w:t>an</w:t>
      </w:r>
      <w:proofErr w:type="gramEnd"/>
      <w:r w:rsidRPr="007642C7">
        <w:rPr>
          <w:rFonts w:ascii="Times New Roman" w:hAnsi="Times New Roman"/>
          <w:snapToGrid/>
          <w:szCs w:val="24"/>
        </w:rPr>
        <w:t xml:space="preserve"> advertisement is accessed by the consumer in electronic form, the disclosures must be provided in electronic form on or with the advertisement.</w:t>
      </w:r>
    </w:p>
    <w:p w:rsidR="008F4BBA" w:rsidRPr="007642C7" w:rsidRDefault="008F4BBA" w:rsidP="008F4BBA">
      <w:pPr>
        <w:widowControl/>
        <w:rPr>
          <w:rFonts w:ascii="Times New Roman" w:hAnsi="Times New Roman"/>
          <w:b/>
        </w:rPr>
      </w:pPr>
    </w:p>
    <w:p w:rsidR="00490053" w:rsidRDefault="008F4BBA" w:rsidP="008F4BBA">
      <w:pPr>
        <w:widowControl/>
        <w:autoSpaceDE w:val="0"/>
        <w:autoSpaceDN w:val="0"/>
        <w:adjustRightInd w:val="0"/>
        <w:rPr>
          <w:rFonts w:ascii="Times New Roman" w:hAnsi="Times New Roman"/>
          <w:snapToGrid/>
          <w:szCs w:val="24"/>
        </w:rPr>
      </w:pPr>
      <w:r w:rsidRPr="007642C7">
        <w:rPr>
          <w:rFonts w:ascii="Times New Roman" w:hAnsi="Times New Roman"/>
          <w:szCs w:val="24"/>
        </w:rPr>
        <w:tab/>
        <w:t xml:space="preserve">In July 2008, the Board published a final rulemaking (72 FR 44522) that amended Regulation Z.  </w:t>
      </w:r>
      <w:r w:rsidRPr="007642C7">
        <w:rPr>
          <w:rFonts w:ascii="Times New Roman" w:hAnsi="Times New Roman"/>
          <w:snapToGrid/>
          <w:szCs w:val="24"/>
        </w:rPr>
        <w:t>The goals of the amendments are to protect consumers in the mortgage market from unfair, abusive, or deceptive lending and servicing practices while preserving responsible lending and sustainable homeownership; ensure that advertisements for mortgage loans provide accurate and balanced information and do not contain misleading or deceptive representations; and provide consumers transaction specific disclosures early enough to use while shopping for a mortgage.  Th</w:t>
      </w:r>
      <w:r w:rsidR="00E52360">
        <w:rPr>
          <w:rFonts w:ascii="Times New Roman" w:hAnsi="Times New Roman"/>
          <w:snapToGrid/>
          <w:szCs w:val="24"/>
        </w:rPr>
        <w:t>is</w:t>
      </w:r>
      <w:r w:rsidRPr="007642C7">
        <w:rPr>
          <w:rFonts w:ascii="Times New Roman" w:hAnsi="Times New Roman"/>
          <w:snapToGrid/>
          <w:szCs w:val="24"/>
        </w:rPr>
        <w:t xml:space="preserve"> </w:t>
      </w:r>
      <w:r w:rsidRPr="007642C7">
        <w:rPr>
          <w:rFonts w:ascii="Times New Roman" w:hAnsi="Times New Roman"/>
          <w:szCs w:val="24"/>
        </w:rPr>
        <w:t>final rulemaking</w:t>
      </w:r>
      <w:r w:rsidRPr="007642C7">
        <w:rPr>
          <w:rFonts w:ascii="Times New Roman" w:hAnsi="Times New Roman"/>
          <w:snapToGrid/>
          <w:szCs w:val="24"/>
        </w:rPr>
        <w:t xml:space="preserve"> </w:t>
      </w:r>
      <w:r w:rsidR="00E52360" w:rsidRPr="007642C7">
        <w:rPr>
          <w:rFonts w:ascii="Times New Roman" w:hAnsi="Times New Roman"/>
          <w:snapToGrid/>
          <w:szCs w:val="24"/>
        </w:rPr>
        <w:t>was effective on</w:t>
      </w:r>
      <w:r w:rsidR="00E52360" w:rsidRPr="007642C7">
        <w:rPr>
          <w:rFonts w:ascii="Times New Roman" w:hAnsi="Times New Roman"/>
          <w:szCs w:val="24"/>
        </w:rPr>
        <w:t xml:space="preserve"> </w:t>
      </w:r>
      <w:r w:rsidR="00E52360">
        <w:rPr>
          <w:rFonts w:ascii="Times New Roman" w:hAnsi="Times New Roman"/>
          <w:snapToGrid/>
          <w:szCs w:val="24"/>
        </w:rPr>
        <w:t xml:space="preserve">October 1, 2009.  </w:t>
      </w:r>
    </w:p>
    <w:p w:rsidR="00E52360" w:rsidRPr="007642C7" w:rsidRDefault="00E52360" w:rsidP="008F4BBA">
      <w:pPr>
        <w:widowControl/>
        <w:autoSpaceDE w:val="0"/>
        <w:autoSpaceDN w:val="0"/>
        <w:adjustRightInd w:val="0"/>
        <w:rPr>
          <w:rFonts w:ascii="Times New Roman" w:hAnsi="Times New Roman"/>
          <w:szCs w:val="24"/>
        </w:rPr>
      </w:pPr>
    </w:p>
    <w:p w:rsidR="00AD73F9" w:rsidRPr="007642C7" w:rsidRDefault="00490053" w:rsidP="00E25438">
      <w:pPr>
        <w:widowControl/>
        <w:autoSpaceDE w:val="0"/>
        <w:autoSpaceDN w:val="0"/>
        <w:adjustRightInd w:val="0"/>
        <w:ind w:firstLine="720"/>
        <w:rPr>
          <w:rFonts w:ascii="Times New Roman" w:eastAsia="Calibri" w:hAnsi="Times New Roman"/>
          <w:snapToGrid/>
          <w:szCs w:val="24"/>
        </w:rPr>
      </w:pPr>
      <w:r w:rsidRPr="007642C7">
        <w:rPr>
          <w:rFonts w:ascii="Times New Roman" w:hAnsi="Times New Roman"/>
          <w:szCs w:val="24"/>
        </w:rPr>
        <w:t xml:space="preserve">On May 19, 2009, </w:t>
      </w:r>
      <w:r w:rsidR="00AD73F9" w:rsidRPr="007642C7">
        <w:rPr>
          <w:rFonts w:ascii="Times New Roman" w:hAnsi="Times New Roman"/>
          <w:szCs w:val="24"/>
        </w:rPr>
        <w:t xml:space="preserve">the Board published a final rulemaking (74 FR 23289) that amended Regulation Z </w:t>
      </w:r>
      <w:r w:rsidR="00E25438" w:rsidRPr="007642C7">
        <w:rPr>
          <w:rFonts w:ascii="Times New Roman" w:hAnsi="Times New Roman"/>
          <w:szCs w:val="24"/>
        </w:rPr>
        <w:t xml:space="preserve">to </w:t>
      </w:r>
      <w:r w:rsidR="00AD73F9" w:rsidRPr="007642C7">
        <w:rPr>
          <w:rFonts w:ascii="Times New Roman" w:hAnsi="Times New Roman"/>
          <w:szCs w:val="24"/>
        </w:rPr>
        <w:t xml:space="preserve">implement provisions of the </w:t>
      </w:r>
      <w:r w:rsidR="00AD73F9" w:rsidRPr="007642C7">
        <w:rPr>
          <w:rFonts w:ascii="Times New Roman" w:eastAsia="Calibri" w:hAnsi="Times New Roman"/>
          <w:snapToGrid/>
          <w:szCs w:val="24"/>
        </w:rPr>
        <w:t>Mortgage Disclosure Improvement Act of 2008</w:t>
      </w:r>
      <w:r w:rsidR="00E25438" w:rsidRPr="007642C7">
        <w:rPr>
          <w:rFonts w:ascii="Times New Roman" w:eastAsia="Calibri" w:hAnsi="Times New Roman"/>
          <w:snapToGrid/>
          <w:szCs w:val="24"/>
        </w:rPr>
        <w:t xml:space="preserve"> (MDIA)</w:t>
      </w:r>
      <w:r w:rsidR="00AD73F9" w:rsidRPr="007642C7">
        <w:rPr>
          <w:rFonts w:ascii="Times New Roman" w:eastAsia="Calibri" w:hAnsi="Times New Roman"/>
          <w:snapToGrid/>
          <w:szCs w:val="24"/>
        </w:rPr>
        <w:t xml:space="preserve">.  </w:t>
      </w:r>
      <w:r w:rsidR="00AD73F9" w:rsidRPr="007642C7">
        <w:rPr>
          <w:rFonts w:ascii="Times New Roman" w:hAnsi="Times New Roman"/>
          <w:szCs w:val="24"/>
        </w:rPr>
        <w:t xml:space="preserve"> </w:t>
      </w:r>
      <w:r w:rsidR="00E25438" w:rsidRPr="007642C7">
        <w:rPr>
          <w:rFonts w:ascii="Times New Roman" w:eastAsia="Calibri" w:hAnsi="Times New Roman"/>
          <w:snapToGrid/>
          <w:szCs w:val="24"/>
        </w:rPr>
        <w:t>MDIA require</w:t>
      </w:r>
      <w:r w:rsidR="00E52360">
        <w:rPr>
          <w:rFonts w:ascii="Times New Roman" w:eastAsia="Calibri" w:hAnsi="Times New Roman"/>
          <w:snapToGrid/>
          <w:szCs w:val="24"/>
        </w:rPr>
        <w:t>d</w:t>
      </w:r>
      <w:r w:rsidR="00E25438" w:rsidRPr="007642C7">
        <w:rPr>
          <w:rFonts w:ascii="Times New Roman" w:eastAsia="Calibri" w:hAnsi="Times New Roman"/>
          <w:snapToGrid/>
          <w:szCs w:val="24"/>
        </w:rPr>
        <w:t xml:space="preserve"> early, transaction specific disclosures for mortgage loans secured by dwellings other than the consumer’s principal dwelling and requires waiting periods between the time when disclosures are given and consummation of the mortgage transaction.</w:t>
      </w:r>
      <w:r w:rsidR="00E52360">
        <w:rPr>
          <w:rFonts w:ascii="Times New Roman" w:eastAsia="Calibri" w:hAnsi="Times New Roman"/>
          <w:snapToGrid/>
          <w:szCs w:val="24"/>
        </w:rPr>
        <w:t xml:space="preserve">  </w:t>
      </w:r>
      <w:r w:rsidR="00E25438" w:rsidRPr="007642C7">
        <w:rPr>
          <w:rFonts w:ascii="Times New Roman" w:hAnsi="Times New Roman"/>
          <w:snapToGrid/>
          <w:szCs w:val="24"/>
        </w:rPr>
        <w:t>Th</w:t>
      </w:r>
      <w:r w:rsidR="00E52360">
        <w:rPr>
          <w:rFonts w:ascii="Times New Roman" w:hAnsi="Times New Roman"/>
          <w:snapToGrid/>
          <w:szCs w:val="24"/>
        </w:rPr>
        <w:t>is</w:t>
      </w:r>
      <w:r w:rsidR="00E25438" w:rsidRPr="007642C7">
        <w:rPr>
          <w:rFonts w:ascii="Times New Roman" w:hAnsi="Times New Roman"/>
          <w:snapToGrid/>
          <w:szCs w:val="24"/>
        </w:rPr>
        <w:t xml:space="preserve"> </w:t>
      </w:r>
      <w:r w:rsidR="00E25438" w:rsidRPr="007642C7">
        <w:rPr>
          <w:rFonts w:ascii="Times New Roman" w:hAnsi="Times New Roman"/>
          <w:szCs w:val="24"/>
        </w:rPr>
        <w:t>final rulemaking</w:t>
      </w:r>
      <w:r w:rsidR="00E25438" w:rsidRPr="007642C7">
        <w:rPr>
          <w:rFonts w:ascii="Times New Roman" w:hAnsi="Times New Roman"/>
          <w:snapToGrid/>
          <w:szCs w:val="24"/>
        </w:rPr>
        <w:t xml:space="preserve"> </w:t>
      </w:r>
      <w:r w:rsidR="00A400A0" w:rsidRPr="007642C7">
        <w:rPr>
          <w:rFonts w:ascii="Times New Roman" w:hAnsi="Times New Roman"/>
          <w:snapToGrid/>
          <w:szCs w:val="24"/>
        </w:rPr>
        <w:t xml:space="preserve">was </w:t>
      </w:r>
      <w:r w:rsidR="00E25438" w:rsidRPr="007642C7">
        <w:rPr>
          <w:rFonts w:ascii="Times New Roman" w:hAnsi="Times New Roman"/>
          <w:snapToGrid/>
          <w:szCs w:val="24"/>
        </w:rPr>
        <w:t>effect</w:t>
      </w:r>
      <w:r w:rsidR="00A400A0" w:rsidRPr="007642C7">
        <w:rPr>
          <w:rFonts w:ascii="Times New Roman" w:hAnsi="Times New Roman"/>
          <w:snapToGrid/>
          <w:szCs w:val="24"/>
        </w:rPr>
        <w:t>ive</w:t>
      </w:r>
      <w:r w:rsidR="00E25438" w:rsidRPr="007642C7">
        <w:rPr>
          <w:rFonts w:ascii="Times New Roman" w:hAnsi="Times New Roman"/>
          <w:snapToGrid/>
          <w:szCs w:val="24"/>
        </w:rPr>
        <w:t xml:space="preserve"> on</w:t>
      </w:r>
      <w:r w:rsidR="00AD73F9" w:rsidRPr="007642C7">
        <w:rPr>
          <w:rFonts w:ascii="Times New Roman" w:hAnsi="Times New Roman"/>
          <w:szCs w:val="24"/>
        </w:rPr>
        <w:t xml:space="preserve"> July </w:t>
      </w:r>
      <w:r w:rsidR="00E25438" w:rsidRPr="007642C7">
        <w:rPr>
          <w:rFonts w:ascii="Times New Roman" w:hAnsi="Times New Roman"/>
          <w:szCs w:val="24"/>
        </w:rPr>
        <w:t>30</w:t>
      </w:r>
      <w:r w:rsidR="00AD73F9" w:rsidRPr="007642C7">
        <w:rPr>
          <w:rFonts w:ascii="Times New Roman" w:hAnsi="Times New Roman"/>
          <w:szCs w:val="24"/>
        </w:rPr>
        <w:t>, 20</w:t>
      </w:r>
      <w:r w:rsidR="00E25438" w:rsidRPr="007642C7">
        <w:rPr>
          <w:rFonts w:ascii="Times New Roman" w:hAnsi="Times New Roman"/>
          <w:szCs w:val="24"/>
        </w:rPr>
        <w:t>09</w:t>
      </w:r>
      <w:r w:rsidR="00AD73F9" w:rsidRPr="007642C7">
        <w:rPr>
          <w:rFonts w:ascii="Times New Roman" w:hAnsi="Times New Roman"/>
          <w:szCs w:val="24"/>
        </w:rPr>
        <w:t>.</w:t>
      </w:r>
    </w:p>
    <w:p w:rsidR="00490053" w:rsidRPr="007642C7" w:rsidRDefault="00490053" w:rsidP="008F4BBA">
      <w:pPr>
        <w:widowControl/>
        <w:autoSpaceDE w:val="0"/>
        <w:autoSpaceDN w:val="0"/>
        <w:adjustRightInd w:val="0"/>
        <w:rPr>
          <w:rFonts w:ascii="Times New Roman" w:hAnsi="Times New Roman"/>
          <w:b/>
        </w:rPr>
      </w:pPr>
    </w:p>
    <w:p w:rsidR="00F752AE" w:rsidRPr="007642C7" w:rsidRDefault="00F752AE" w:rsidP="00F752AE">
      <w:pPr>
        <w:widowControl/>
        <w:autoSpaceDE w:val="0"/>
        <w:autoSpaceDN w:val="0"/>
        <w:adjustRightInd w:val="0"/>
        <w:ind w:firstLine="720"/>
        <w:rPr>
          <w:rFonts w:ascii="Times New Roman" w:hAnsi="Times New Roman"/>
          <w:szCs w:val="24"/>
        </w:rPr>
      </w:pPr>
      <w:r w:rsidRPr="007642C7">
        <w:rPr>
          <w:rFonts w:ascii="Times New Roman" w:hAnsi="Times New Roman"/>
          <w:szCs w:val="24"/>
        </w:rPr>
        <w:t>On August 14, 2009, the Board published a final rulemaking (74 FR 41194) that amended Regulation Z to implement provisions of</w:t>
      </w:r>
      <w:r w:rsidR="0050055F" w:rsidRPr="007642C7">
        <w:rPr>
          <w:rFonts w:ascii="Times New Roman" w:hAnsi="Times New Roman"/>
          <w:szCs w:val="24"/>
        </w:rPr>
        <w:t xml:space="preserve"> </w:t>
      </w:r>
      <w:r w:rsidR="0050055F" w:rsidRPr="007642C7">
        <w:rPr>
          <w:rFonts w:ascii="Times New Roman" w:hAnsi="Times New Roman"/>
        </w:rPr>
        <w:t>Higher Education Opportunity Act (HEOA)</w:t>
      </w:r>
      <w:r w:rsidRPr="007642C7">
        <w:rPr>
          <w:rFonts w:ascii="Times New Roman" w:hAnsi="Times New Roman"/>
        </w:rPr>
        <w:t>.</w:t>
      </w:r>
      <w:r w:rsidRPr="007642C7">
        <w:rPr>
          <w:rStyle w:val="FootnoteReference"/>
          <w:vertAlign w:val="superscript"/>
        </w:rPr>
        <w:footnoteReference w:id="5"/>
      </w:r>
      <w:r w:rsidR="00C23339" w:rsidRPr="007642C7">
        <w:rPr>
          <w:rFonts w:ascii="Times New Roman" w:hAnsi="Times New Roman"/>
        </w:rPr>
        <w:t xml:space="preserve">  </w:t>
      </w:r>
      <w:r w:rsidRPr="007642C7">
        <w:rPr>
          <w:rFonts w:ascii="Times New Roman" w:hAnsi="Times New Roman"/>
        </w:rPr>
        <w:t xml:space="preserve"> Title X of the HEOA amends the TILA by adding disclosure and timing requirements that apply to private educational lenders making private education loans, which are defined as loans made expressly for postsecondary educational expenses.  The HEOA’s definition of private education loan excludes open-end credit, real estate-secured loans, and loans made, insured, or guaranteed by the federal government under title IV of the Higher Education Act of 1965 (20 </w:t>
      </w:r>
      <w:smartTag w:uri="urn:schemas-microsoft-com:office:smarttags" w:element="date">
        <w:r w:rsidRPr="007642C7">
          <w:rPr>
            <w:rFonts w:ascii="Times New Roman" w:hAnsi="Times New Roman"/>
          </w:rPr>
          <w:t>USC</w:t>
        </w:r>
      </w:smartTag>
      <w:r w:rsidRPr="007642C7">
        <w:rPr>
          <w:rFonts w:ascii="Times New Roman" w:hAnsi="Times New Roman"/>
        </w:rPr>
        <w:t xml:space="preserve"> 1070 </w:t>
      </w:r>
      <w:r w:rsidRPr="007642C7">
        <w:rPr>
          <w:rFonts w:ascii="Times New Roman" w:hAnsi="Times New Roman"/>
          <w:u w:val="single"/>
        </w:rPr>
        <w:t>et</w:t>
      </w:r>
      <w:r w:rsidRPr="007642C7">
        <w:rPr>
          <w:rFonts w:ascii="Times New Roman" w:hAnsi="Times New Roman"/>
        </w:rPr>
        <w:t xml:space="preserve"> </w:t>
      </w:r>
      <w:r w:rsidRPr="007642C7">
        <w:rPr>
          <w:rFonts w:ascii="Times New Roman" w:hAnsi="Times New Roman"/>
          <w:u w:val="single"/>
        </w:rPr>
        <w:t>seq.</w:t>
      </w:r>
      <w:r w:rsidRPr="007642C7">
        <w:rPr>
          <w:rFonts w:ascii="Times New Roman" w:hAnsi="Times New Roman"/>
        </w:rPr>
        <w:t xml:space="preserve">).  The HEOA also amends TILA by adding limitations on certain practices by private educational lenders and limitations on co-branding in the marketing of private student loans.  </w:t>
      </w:r>
      <w:r w:rsidRPr="007642C7">
        <w:rPr>
          <w:rFonts w:ascii="Times New Roman" w:hAnsi="Times New Roman"/>
          <w:szCs w:val="24"/>
        </w:rPr>
        <w:t>Mandatory compliance with th</w:t>
      </w:r>
      <w:r w:rsidR="00E52360">
        <w:rPr>
          <w:rFonts w:ascii="Times New Roman" w:hAnsi="Times New Roman"/>
          <w:szCs w:val="24"/>
        </w:rPr>
        <w:t>is</w:t>
      </w:r>
      <w:r w:rsidRPr="007642C7">
        <w:rPr>
          <w:rFonts w:ascii="Times New Roman" w:hAnsi="Times New Roman"/>
          <w:szCs w:val="24"/>
        </w:rPr>
        <w:t xml:space="preserve"> final rulemaking </w:t>
      </w:r>
      <w:r w:rsidR="00E52360">
        <w:rPr>
          <w:rFonts w:ascii="Times New Roman" w:hAnsi="Times New Roman"/>
          <w:szCs w:val="24"/>
        </w:rPr>
        <w:t>was</w:t>
      </w:r>
      <w:r w:rsidRPr="007642C7">
        <w:rPr>
          <w:rFonts w:ascii="Times New Roman" w:hAnsi="Times New Roman"/>
          <w:szCs w:val="24"/>
        </w:rPr>
        <w:t xml:space="preserve"> effective </w:t>
      </w:r>
      <w:r w:rsidR="00E52360">
        <w:rPr>
          <w:rFonts w:ascii="Times New Roman" w:hAnsi="Times New Roman"/>
          <w:szCs w:val="24"/>
        </w:rPr>
        <w:t xml:space="preserve">on </w:t>
      </w:r>
      <w:r w:rsidRPr="007642C7">
        <w:rPr>
          <w:rFonts w:ascii="Times New Roman" w:eastAsia="Calibri" w:hAnsi="Times New Roman"/>
          <w:snapToGrid/>
          <w:szCs w:val="24"/>
        </w:rPr>
        <w:t>February 14, 2010</w:t>
      </w:r>
      <w:r w:rsidRPr="007642C7">
        <w:rPr>
          <w:rFonts w:ascii="Times New Roman" w:hAnsi="Times New Roman"/>
          <w:szCs w:val="24"/>
        </w:rPr>
        <w:t>.</w:t>
      </w:r>
    </w:p>
    <w:p w:rsidR="00F752AE" w:rsidRPr="007642C7" w:rsidRDefault="00F752AE" w:rsidP="008F4BBA">
      <w:pPr>
        <w:widowControl/>
        <w:autoSpaceDE w:val="0"/>
        <w:autoSpaceDN w:val="0"/>
        <w:adjustRightInd w:val="0"/>
        <w:rPr>
          <w:rFonts w:ascii="Times New Roman" w:hAnsi="Times New Roman"/>
          <w:b/>
        </w:rPr>
      </w:pPr>
    </w:p>
    <w:p w:rsidR="00C1065A" w:rsidRPr="007642C7" w:rsidRDefault="00222CC4" w:rsidP="00C1065A">
      <w:pPr>
        <w:widowControl/>
        <w:autoSpaceDE w:val="0"/>
        <w:autoSpaceDN w:val="0"/>
        <w:adjustRightInd w:val="0"/>
        <w:ind w:firstLine="720"/>
        <w:rPr>
          <w:rFonts w:ascii="Times New Roman" w:hAnsi="Times New Roman"/>
          <w:szCs w:val="24"/>
        </w:rPr>
      </w:pPr>
      <w:r w:rsidRPr="007642C7">
        <w:rPr>
          <w:rFonts w:ascii="Times New Roman" w:hAnsi="Times New Roman"/>
          <w:szCs w:val="24"/>
        </w:rPr>
        <w:t>O</w:t>
      </w:r>
      <w:r w:rsidR="00C1065A" w:rsidRPr="007642C7">
        <w:rPr>
          <w:rFonts w:ascii="Times New Roman" w:hAnsi="Times New Roman"/>
          <w:szCs w:val="24"/>
        </w:rPr>
        <w:t>n February 22, 2010</w:t>
      </w:r>
      <w:r w:rsidR="00C1065A" w:rsidRPr="007642C7">
        <w:rPr>
          <w:rFonts w:ascii="Times New Roman" w:hAnsi="Times New Roman"/>
        </w:rPr>
        <w:t xml:space="preserve">, </w:t>
      </w:r>
      <w:r w:rsidR="00C1065A" w:rsidRPr="007642C7">
        <w:rPr>
          <w:rFonts w:ascii="Times New Roman" w:hAnsi="Times New Roman"/>
          <w:szCs w:val="24"/>
        </w:rPr>
        <w:t xml:space="preserve">the Board published a final rulemaking (75 FR 7658) </w:t>
      </w:r>
      <w:r w:rsidR="00AF565A" w:rsidRPr="007642C7">
        <w:rPr>
          <w:rFonts w:ascii="Times New Roman" w:hAnsi="Times New Roman"/>
          <w:bCs/>
          <w:szCs w:val="24"/>
        </w:rPr>
        <w:t xml:space="preserve">(Docket No. </w:t>
      </w:r>
      <w:proofErr w:type="gramStart"/>
      <w:r w:rsidR="00AF565A" w:rsidRPr="007642C7">
        <w:rPr>
          <w:rFonts w:ascii="Times New Roman" w:hAnsi="Times New Roman"/>
          <w:bCs/>
          <w:szCs w:val="24"/>
        </w:rPr>
        <w:t xml:space="preserve">R-1370) </w:t>
      </w:r>
      <w:r w:rsidR="00C1065A" w:rsidRPr="007642C7">
        <w:rPr>
          <w:rFonts w:ascii="Times New Roman" w:hAnsi="Times New Roman"/>
          <w:szCs w:val="24"/>
        </w:rPr>
        <w:t xml:space="preserve">that amended Regulation Z to implement </w:t>
      </w:r>
      <w:r w:rsidR="00C1065A" w:rsidRPr="007642C7">
        <w:rPr>
          <w:rFonts w:ascii="Times New Roman" w:eastAsia="Calibri" w:hAnsi="Times New Roman"/>
          <w:snapToGrid/>
          <w:szCs w:val="24"/>
        </w:rPr>
        <w:t>provisions of the Credit Card Accountability Responsibility and Disclosure Act of 2009 (Credit Card Act).</w:t>
      </w:r>
      <w:proofErr w:type="gramEnd"/>
      <w:r w:rsidR="00C1065A" w:rsidRPr="007642C7">
        <w:rPr>
          <w:rFonts w:ascii="Times New Roman" w:eastAsia="Calibri" w:hAnsi="Times New Roman"/>
          <w:snapToGrid/>
          <w:szCs w:val="24"/>
        </w:rPr>
        <w:t xml:space="preserve">  In general, the amendments: (1) protect consumers from unexpected increases in credit card interest rates by generally prohibiting increases in a rate during the first year after an account is opened and increases in a rate that applies to an existing credit card balance, (2) prohibit creditors from issuing a credit card to a consumer who is under the age of 21 unless the consumer has the ability to make the required payments or obtains the signature of a parent or other cosigner with the ability to do so, (3)</w:t>
      </w:r>
      <w:r w:rsidR="00C1065A" w:rsidRPr="007642C7">
        <w:rPr>
          <w:rFonts w:ascii="Wingdings-Regular" w:eastAsia="Calibri" w:hAnsi="Wingdings-Regular" w:cs="Wingdings-Regular"/>
          <w:snapToGrid/>
          <w:sz w:val="14"/>
          <w:szCs w:val="14"/>
        </w:rPr>
        <w:t xml:space="preserve"> </w:t>
      </w:r>
      <w:r w:rsidR="00C1065A" w:rsidRPr="007642C7">
        <w:rPr>
          <w:rFonts w:ascii="Times New Roman" w:eastAsia="Calibri" w:hAnsi="Times New Roman"/>
          <w:snapToGrid/>
          <w:szCs w:val="24"/>
        </w:rPr>
        <w:t xml:space="preserve">require creditors to obtain a consumer's consent before charging fees for transactions that exceed the credit limit, (4) limit the high fees associated with subprime credit cards, (5) ban creditors from using the "two-cycle" billing method to impose interest charges, and (6) prohibit creditors from allocating payments in ways that maximize interest charges.  This NPRM represents the second stage of the Federal Reserve's implementation of the Credit Card Act.  </w:t>
      </w:r>
      <w:r w:rsidR="00C1065A" w:rsidRPr="007642C7">
        <w:rPr>
          <w:rFonts w:ascii="Times New Roman" w:hAnsi="Times New Roman"/>
          <w:szCs w:val="24"/>
        </w:rPr>
        <w:t xml:space="preserve">The mandatory compliance dates are February 22, 2010, for all provisions related to the Credit Card Act and </w:t>
      </w:r>
      <w:r w:rsidR="00C1065A" w:rsidRPr="007642C7">
        <w:rPr>
          <w:rFonts w:ascii="Times New Roman" w:hAnsi="Times New Roman"/>
          <w:szCs w:val="24"/>
        </w:rPr>
        <w:lastRenderedPageBreak/>
        <w:t>July 1, 2010, for all other provisions of this final rule.</w:t>
      </w:r>
      <w:r w:rsidRPr="007642C7">
        <w:rPr>
          <w:rFonts w:ascii="Times New Roman" w:hAnsi="Times New Roman"/>
          <w:szCs w:val="24"/>
        </w:rPr>
        <w:t xml:space="preserve">  Also, On February 22, 2010, the Board published a final rule (75 FR 7925), </w:t>
      </w:r>
      <w:r w:rsidRPr="007642C7">
        <w:rPr>
          <w:rFonts w:ascii="Times New Roman" w:eastAsia="Calibri" w:hAnsi="Times New Roman"/>
          <w:snapToGrid/>
          <w:szCs w:val="24"/>
        </w:rPr>
        <w:t xml:space="preserve">withdrawing a final rule amending Regulation Z (Docket No. R-1286) and the staff commentary to the regulation published on January 29, 2009, see (72 FR 5244).  </w:t>
      </w:r>
    </w:p>
    <w:p w:rsidR="00C1065A" w:rsidRPr="007642C7" w:rsidRDefault="00C1065A" w:rsidP="008F4BBA">
      <w:pPr>
        <w:widowControl/>
        <w:autoSpaceDE w:val="0"/>
        <w:autoSpaceDN w:val="0"/>
        <w:adjustRightInd w:val="0"/>
        <w:rPr>
          <w:rFonts w:ascii="Times New Roman" w:hAnsi="Times New Roman"/>
        </w:rPr>
      </w:pPr>
    </w:p>
    <w:p w:rsidR="00B14E08" w:rsidRPr="007642C7" w:rsidRDefault="00B14E08" w:rsidP="00A25E28">
      <w:pPr>
        <w:widowControl/>
        <w:autoSpaceDE w:val="0"/>
        <w:autoSpaceDN w:val="0"/>
        <w:adjustRightInd w:val="0"/>
        <w:ind w:firstLine="720"/>
        <w:rPr>
          <w:rFonts w:ascii="Times New Roman" w:hAnsi="Times New Roman"/>
          <w:szCs w:val="24"/>
        </w:rPr>
      </w:pPr>
      <w:r w:rsidRPr="007642C7">
        <w:rPr>
          <w:rFonts w:ascii="Times New Roman" w:hAnsi="Times New Roman"/>
          <w:szCs w:val="24"/>
        </w:rPr>
        <w:t>On June 29, 2010</w:t>
      </w:r>
      <w:r w:rsidRPr="007642C7">
        <w:rPr>
          <w:rFonts w:ascii="Times New Roman" w:hAnsi="Times New Roman"/>
        </w:rPr>
        <w:t xml:space="preserve">, </w:t>
      </w:r>
      <w:r w:rsidRPr="007642C7">
        <w:rPr>
          <w:rFonts w:ascii="Times New Roman" w:hAnsi="Times New Roman"/>
          <w:szCs w:val="24"/>
        </w:rPr>
        <w:t>the Board published a final rulemaking (75 FR 37526) that amended Regulation Z to implement provisions of the</w:t>
      </w:r>
      <w:r w:rsidRPr="007642C7">
        <w:rPr>
          <w:rFonts w:ascii="Times New Roman" w:eastAsia="Calibri" w:hAnsi="Times New Roman"/>
          <w:snapToGrid/>
          <w:szCs w:val="24"/>
        </w:rPr>
        <w:t xml:space="preserve"> Credit Card Accountability Responsibility and Disclosure Act of 2009.   In particular, the final rule require</w:t>
      </w:r>
      <w:r w:rsidR="006E2F1B">
        <w:rPr>
          <w:rFonts w:ascii="Times New Roman" w:eastAsia="Calibri" w:hAnsi="Times New Roman"/>
          <w:snapToGrid/>
          <w:szCs w:val="24"/>
        </w:rPr>
        <w:t>d</w:t>
      </w:r>
      <w:r w:rsidRPr="007642C7">
        <w:rPr>
          <w:rFonts w:ascii="Times New Roman" w:eastAsia="Calibri" w:hAnsi="Times New Roman"/>
          <w:snapToGrid/>
          <w:szCs w:val="24"/>
        </w:rPr>
        <w:t xml:space="preserve"> that penalty fees imposed by card issuers be reasonable and proportional to the violation of the account terms.  The final rule also requires credit card issuers to reevaluate at least every six months annual percentage rates increased on or after January 1, 2009.  </w:t>
      </w:r>
      <w:r w:rsidR="00550E00">
        <w:rPr>
          <w:rFonts w:ascii="Times New Roman" w:eastAsia="Calibri" w:hAnsi="Times New Roman"/>
          <w:snapToGrid/>
          <w:szCs w:val="24"/>
        </w:rPr>
        <w:t>M</w:t>
      </w:r>
      <w:r w:rsidRPr="007642C7">
        <w:rPr>
          <w:rFonts w:ascii="Times New Roman" w:hAnsi="Times New Roman"/>
          <w:szCs w:val="24"/>
        </w:rPr>
        <w:t xml:space="preserve">andatory compliance for the amendments </w:t>
      </w:r>
      <w:r w:rsidR="00550E00">
        <w:rPr>
          <w:rFonts w:ascii="Times New Roman" w:hAnsi="Times New Roman"/>
          <w:szCs w:val="24"/>
        </w:rPr>
        <w:t>was</w:t>
      </w:r>
      <w:r w:rsidRPr="007642C7">
        <w:rPr>
          <w:rFonts w:ascii="Times New Roman" w:hAnsi="Times New Roman"/>
          <w:szCs w:val="24"/>
        </w:rPr>
        <w:t xml:space="preserve"> August 22, 2010 and December 1, 2010.</w:t>
      </w:r>
    </w:p>
    <w:p w:rsidR="00B14E08" w:rsidRPr="008A3882" w:rsidRDefault="00B14E08" w:rsidP="008F4BBA">
      <w:pPr>
        <w:widowControl/>
        <w:autoSpaceDE w:val="0"/>
        <w:autoSpaceDN w:val="0"/>
        <w:adjustRightInd w:val="0"/>
        <w:rPr>
          <w:rFonts w:ascii="Times New Roman" w:hAnsi="Times New Roman"/>
          <w:color w:val="0000FF"/>
        </w:rPr>
      </w:pPr>
    </w:p>
    <w:p w:rsidR="0075196B" w:rsidRPr="007A7C77" w:rsidRDefault="008A3882" w:rsidP="008A3882">
      <w:pPr>
        <w:widowControl/>
        <w:autoSpaceDE w:val="0"/>
        <w:autoSpaceDN w:val="0"/>
        <w:adjustRightInd w:val="0"/>
        <w:ind w:firstLine="720"/>
        <w:rPr>
          <w:rFonts w:ascii="Times New Roman" w:hAnsi="Times New Roman"/>
          <w:szCs w:val="24"/>
        </w:rPr>
      </w:pPr>
      <w:r w:rsidRPr="007A7C77">
        <w:rPr>
          <w:rFonts w:ascii="Times New Roman" w:hAnsi="Times New Roman"/>
          <w:szCs w:val="24"/>
        </w:rPr>
        <w:t xml:space="preserve">On September 24, 2010, the Board published a final rulemaking (75 FR 58489) that amended Regulation Z </w:t>
      </w:r>
      <w:r w:rsidR="0075196B" w:rsidRPr="007A7C77">
        <w:rPr>
          <w:rFonts w:ascii="Times New Roman" w:eastAsia="Calibri" w:hAnsi="Times New Roman"/>
          <w:snapToGrid/>
          <w:szCs w:val="24"/>
        </w:rPr>
        <w:t xml:space="preserve">to implement Section 131(g) of TILA, which was enacted on May 20, 2009, as Section 404(a) of the Helping Families Save Their Homes Act.  TILA Section 131(g) became effective immediately upon enactment and established a new requirement for notifying consumers of the sale or transfer of their mortgage loans.  The purchaser or assignee that acquires the loan must provide the required disclosures in writing no later than 30 days after the date on which the loan is sold or otherwise transferred or assigned.  </w:t>
      </w:r>
      <w:r w:rsidR="00550E00">
        <w:rPr>
          <w:rFonts w:ascii="Times New Roman" w:hAnsi="Times New Roman"/>
          <w:szCs w:val="24"/>
        </w:rPr>
        <w:t>M</w:t>
      </w:r>
      <w:r w:rsidRPr="007A7C77">
        <w:rPr>
          <w:rFonts w:ascii="Times New Roman" w:hAnsi="Times New Roman"/>
          <w:szCs w:val="24"/>
        </w:rPr>
        <w:t xml:space="preserve">andatory compliance for the amendments </w:t>
      </w:r>
      <w:r w:rsidR="00550E00">
        <w:rPr>
          <w:rFonts w:ascii="Times New Roman" w:hAnsi="Times New Roman"/>
          <w:szCs w:val="24"/>
        </w:rPr>
        <w:t xml:space="preserve">was </w:t>
      </w:r>
      <w:r w:rsidR="0075196B" w:rsidRPr="007A7C77">
        <w:rPr>
          <w:rFonts w:ascii="Times New Roman" w:eastAsia="Calibri" w:hAnsi="Times New Roman"/>
          <w:snapToGrid/>
          <w:szCs w:val="24"/>
        </w:rPr>
        <w:t>January 1, 2011</w:t>
      </w:r>
      <w:r w:rsidRPr="007A7C77">
        <w:rPr>
          <w:rFonts w:ascii="Times New Roman" w:hAnsi="Times New Roman"/>
          <w:szCs w:val="24"/>
        </w:rPr>
        <w:t>.</w:t>
      </w:r>
    </w:p>
    <w:p w:rsidR="008A3882" w:rsidRDefault="008A3882" w:rsidP="008A3882">
      <w:pPr>
        <w:widowControl/>
        <w:autoSpaceDE w:val="0"/>
        <w:autoSpaceDN w:val="0"/>
        <w:adjustRightInd w:val="0"/>
        <w:ind w:firstLine="720"/>
        <w:rPr>
          <w:rFonts w:ascii="Times New Roman" w:hAnsi="Times New Roman"/>
        </w:rPr>
      </w:pPr>
    </w:p>
    <w:p w:rsidR="007A7C77" w:rsidRPr="00D95EE3" w:rsidRDefault="007A7C77" w:rsidP="007A7C77">
      <w:pPr>
        <w:widowControl/>
        <w:autoSpaceDE w:val="0"/>
        <w:autoSpaceDN w:val="0"/>
        <w:adjustRightInd w:val="0"/>
        <w:ind w:firstLine="720"/>
        <w:rPr>
          <w:rFonts w:ascii="Times New Roman" w:eastAsia="Calibri" w:hAnsi="Times New Roman"/>
          <w:snapToGrid/>
          <w:szCs w:val="24"/>
        </w:rPr>
      </w:pPr>
      <w:r w:rsidRPr="00D95EE3">
        <w:rPr>
          <w:rFonts w:ascii="Times New Roman" w:hAnsi="Times New Roman"/>
        </w:rPr>
        <w:t xml:space="preserve">On </w:t>
      </w:r>
      <w:r>
        <w:rPr>
          <w:rFonts w:ascii="Times New Roman" w:hAnsi="Times New Roman"/>
        </w:rPr>
        <w:t>April 4, 2011</w:t>
      </w:r>
      <w:r w:rsidRPr="00D95EE3">
        <w:rPr>
          <w:rFonts w:ascii="Times New Roman" w:hAnsi="Times New Roman"/>
        </w:rPr>
        <w:t xml:space="preserve">, </w:t>
      </w:r>
      <w:r w:rsidRPr="007A7C77">
        <w:rPr>
          <w:rFonts w:ascii="Times New Roman" w:hAnsi="Times New Roman"/>
          <w:szCs w:val="24"/>
        </w:rPr>
        <w:t xml:space="preserve">the Board published a final rulemaking </w:t>
      </w:r>
      <w:r w:rsidRPr="00E4047A">
        <w:rPr>
          <w:rFonts w:ascii="Times New Roman" w:hAnsi="Times New Roman"/>
          <w:szCs w:val="24"/>
        </w:rPr>
        <w:t xml:space="preserve">(76 FR </w:t>
      </w:r>
      <w:r>
        <w:rPr>
          <w:rFonts w:ascii="Times New Roman" w:hAnsi="Times New Roman"/>
          <w:szCs w:val="24"/>
        </w:rPr>
        <w:t>18354)</w:t>
      </w:r>
      <w:r w:rsidRPr="00D95EE3">
        <w:rPr>
          <w:rFonts w:ascii="Times New Roman" w:hAnsi="Times New Roman"/>
          <w:szCs w:val="24"/>
        </w:rPr>
        <w:t xml:space="preserve"> </w:t>
      </w:r>
      <w:r w:rsidRPr="007A7C77">
        <w:rPr>
          <w:rFonts w:ascii="Times New Roman" w:hAnsi="Times New Roman"/>
          <w:szCs w:val="24"/>
        </w:rPr>
        <w:t xml:space="preserve">that amended Regulation Z </w:t>
      </w:r>
      <w:r w:rsidRPr="007A7C77">
        <w:rPr>
          <w:rFonts w:ascii="Times New Roman" w:eastAsia="Calibri" w:hAnsi="Times New Roman"/>
          <w:snapToGrid/>
          <w:szCs w:val="24"/>
        </w:rPr>
        <w:t>to implement</w:t>
      </w:r>
      <w:r>
        <w:rPr>
          <w:rFonts w:ascii="Times New Roman" w:eastAsia="Calibri" w:hAnsi="Times New Roman"/>
          <w:snapToGrid/>
          <w:szCs w:val="24"/>
        </w:rPr>
        <w:t xml:space="preserve"> </w:t>
      </w:r>
      <w:r w:rsidRPr="00D95EE3">
        <w:rPr>
          <w:rFonts w:ascii="Times New Roman" w:hAnsi="Times New Roman"/>
          <w:snapToGrid/>
          <w:szCs w:val="24"/>
        </w:rPr>
        <w:t xml:space="preserve">Section 1100E of the Dodd-Frank Wall Street Reform and Consumer Protection Act of 2010 (Dodd-Frank Act), which was signed into law on July 21, 2010.  The Dodd-Frank Act raises TILA’s $25,000 exemption threshold to $50,000, effective July 21, 2011.  In addition, the Dodd-Frank Act requires that, on or after December 31, 2011, the threshold shall be adjusted annually for inflation by the annual percentage increase in the Consumer Price Index for Urban Wage Earners and Clerical Workers (CPI–W), as published by the Bureau of Labor Statistics.  Beginning on January 1, 2012, the $50,000 threshold will be adjusted annually based on any annual percentage increase in the CPI–W.  </w:t>
      </w:r>
      <w:r w:rsidR="00550E00">
        <w:rPr>
          <w:rFonts w:ascii="Times New Roman" w:hAnsi="Times New Roman"/>
          <w:szCs w:val="24"/>
        </w:rPr>
        <w:t>M</w:t>
      </w:r>
      <w:r w:rsidR="00550E00" w:rsidRPr="007A7C77">
        <w:rPr>
          <w:rFonts w:ascii="Times New Roman" w:hAnsi="Times New Roman"/>
          <w:szCs w:val="24"/>
        </w:rPr>
        <w:t xml:space="preserve">andatory compliance for the amendments </w:t>
      </w:r>
      <w:r w:rsidR="00550E00">
        <w:rPr>
          <w:rFonts w:ascii="Times New Roman" w:hAnsi="Times New Roman"/>
          <w:szCs w:val="24"/>
        </w:rPr>
        <w:t xml:space="preserve">was </w:t>
      </w:r>
      <w:r w:rsidRPr="00D95EE3">
        <w:rPr>
          <w:rFonts w:ascii="Times New Roman" w:hAnsi="Times New Roman"/>
          <w:szCs w:val="24"/>
        </w:rPr>
        <w:t>July 21, 2011.</w:t>
      </w:r>
    </w:p>
    <w:p w:rsidR="007A7C77" w:rsidRPr="007642C7" w:rsidRDefault="007A7C77" w:rsidP="008A3882">
      <w:pPr>
        <w:widowControl/>
        <w:autoSpaceDE w:val="0"/>
        <w:autoSpaceDN w:val="0"/>
        <w:adjustRightInd w:val="0"/>
        <w:ind w:firstLine="720"/>
        <w:rPr>
          <w:rFonts w:ascii="Times New Roman" w:hAnsi="Times New Roman"/>
        </w:rPr>
      </w:pPr>
    </w:p>
    <w:p w:rsidR="008F4BBA" w:rsidRPr="007642C7" w:rsidRDefault="008F4BBA" w:rsidP="008F4BBA">
      <w:pPr>
        <w:widowControl/>
        <w:rPr>
          <w:rFonts w:ascii="Times New Roman" w:hAnsi="Times New Roman"/>
        </w:rPr>
      </w:pPr>
      <w:r w:rsidRPr="007642C7">
        <w:rPr>
          <w:rFonts w:ascii="Times New Roman" w:hAnsi="Times New Roman"/>
          <w:b/>
        </w:rPr>
        <w:t>Description of Information Collection</w:t>
      </w:r>
    </w:p>
    <w:p w:rsidR="008F4BBA" w:rsidRPr="007642C7" w:rsidRDefault="008F4BBA" w:rsidP="008F4BBA">
      <w:pPr>
        <w:widowControl/>
        <w:rPr>
          <w:rFonts w:ascii="Times New Roman" w:hAnsi="Times New Roman"/>
        </w:rPr>
      </w:pPr>
    </w:p>
    <w:p w:rsidR="000238C3" w:rsidRPr="00874A61" w:rsidRDefault="008F4BBA" w:rsidP="002943B9">
      <w:pPr>
        <w:widowControl/>
        <w:autoSpaceDE w:val="0"/>
        <w:autoSpaceDN w:val="0"/>
        <w:adjustRightInd w:val="0"/>
        <w:ind w:firstLine="720"/>
        <w:rPr>
          <w:rFonts w:ascii="Times New Roman" w:hAnsi="Times New Roman"/>
          <w:szCs w:val="24"/>
        </w:rPr>
      </w:pPr>
      <w:r w:rsidRPr="00C549B3">
        <w:rPr>
          <w:rFonts w:ascii="Times New Roman" w:hAnsi="Times New Roman"/>
          <w:szCs w:val="24"/>
        </w:rPr>
        <w:t xml:space="preserve">TILA and Regulation Z distinguish between two types of credit, </w:t>
      </w:r>
      <w:r w:rsidR="00D904B1" w:rsidRPr="00C549B3">
        <w:rPr>
          <w:rFonts w:ascii="Times New Roman" w:hAnsi="Times New Roman"/>
          <w:szCs w:val="24"/>
        </w:rPr>
        <w:t xml:space="preserve">regarding </w:t>
      </w:r>
      <w:r w:rsidRPr="00C549B3">
        <w:rPr>
          <w:rFonts w:ascii="Times New Roman" w:hAnsi="Times New Roman"/>
          <w:szCs w:val="24"/>
        </w:rPr>
        <w:t xml:space="preserve">the specific disclosure requirements depending on the type of credit involved.  Subpart B of the regulation prescribes disclosures for open-end credit, which includes most revolving credit lines, credit card accounts, home-equity lines of credit and overdraft lines of credit tied to checking accounts. Subpart C of the regulation prescribes the disclosures for closed-end credit.  This category of credit refers generally to credit extended in a fixed amount for a specified period, typified by mortgages, installment loans, and credit sales.  Subpart E of the regulation prescribes special disclosures for certain home mortgage transactions that carry rates or fees above a specified threshold and for reverse mortgages.  </w:t>
      </w:r>
      <w:r w:rsidR="00C549B3" w:rsidRPr="00C549B3">
        <w:rPr>
          <w:rFonts w:ascii="Times New Roman" w:hAnsi="Times New Roman"/>
          <w:szCs w:val="24"/>
        </w:rPr>
        <w:t>Subpart F require</w:t>
      </w:r>
      <w:r w:rsidR="000238C3">
        <w:rPr>
          <w:rFonts w:ascii="Times New Roman" w:hAnsi="Times New Roman"/>
          <w:szCs w:val="24"/>
        </w:rPr>
        <w:t>s</w:t>
      </w:r>
      <w:r w:rsidR="00C549B3" w:rsidRPr="00C549B3">
        <w:rPr>
          <w:rFonts w:ascii="Times New Roman" w:hAnsi="Times New Roman"/>
          <w:szCs w:val="24"/>
        </w:rPr>
        <w:t xml:space="preserve"> </w:t>
      </w:r>
      <w:r w:rsidR="00C549B3" w:rsidRPr="00C549B3">
        <w:rPr>
          <w:rFonts w:ascii="Times New Roman" w:hAnsi="Times New Roman"/>
          <w:color w:val="000000"/>
          <w:szCs w:val="24"/>
        </w:rPr>
        <w:t xml:space="preserve">creditors that extend private education loans must provide disclosures about loan terms and features on or with the loan application and must also disclose </w:t>
      </w:r>
      <w:r w:rsidR="00C549B3" w:rsidRPr="00874A61">
        <w:rPr>
          <w:rFonts w:ascii="Times New Roman" w:hAnsi="Times New Roman"/>
          <w:color w:val="000000"/>
          <w:szCs w:val="24"/>
        </w:rPr>
        <w:t xml:space="preserve">information about federal student loan programs that may offer less costly </w:t>
      </w:r>
      <w:r w:rsidR="00C549B3" w:rsidRPr="00874A61">
        <w:rPr>
          <w:rFonts w:ascii="Times New Roman" w:hAnsi="Times New Roman"/>
          <w:color w:val="000000"/>
          <w:szCs w:val="24"/>
        </w:rPr>
        <w:lastRenderedPageBreak/>
        <w:t xml:space="preserve">alternatives.  </w:t>
      </w:r>
      <w:r w:rsidR="000238C3" w:rsidRPr="00874A61">
        <w:rPr>
          <w:rFonts w:ascii="Times New Roman" w:hAnsi="Times New Roman"/>
          <w:szCs w:val="24"/>
        </w:rPr>
        <w:t xml:space="preserve">Subpart G requires </w:t>
      </w:r>
      <w:r w:rsidR="00874A61" w:rsidRPr="00874A61">
        <w:rPr>
          <w:rFonts w:ascii="Times New Roman" w:eastAsia="Melior" w:hAnsi="Times New Roman"/>
          <w:snapToGrid/>
          <w:szCs w:val="24"/>
        </w:rPr>
        <w:t>public disclosure of</w:t>
      </w:r>
      <w:r w:rsidR="00874A61">
        <w:rPr>
          <w:rFonts w:ascii="Times New Roman" w:eastAsia="Melior" w:hAnsi="Times New Roman"/>
          <w:snapToGrid/>
          <w:szCs w:val="24"/>
        </w:rPr>
        <w:t xml:space="preserve"> </w:t>
      </w:r>
      <w:r w:rsidR="00874A61" w:rsidRPr="00874A61">
        <w:rPr>
          <w:rFonts w:ascii="Times New Roman" w:eastAsia="Melior" w:hAnsi="Times New Roman"/>
          <w:snapToGrid/>
          <w:szCs w:val="24"/>
        </w:rPr>
        <w:t>contracts or other agreements between</w:t>
      </w:r>
      <w:r w:rsidR="00874A61">
        <w:rPr>
          <w:rFonts w:ascii="Times New Roman" w:eastAsia="Melior" w:hAnsi="Times New Roman"/>
          <w:snapToGrid/>
          <w:szCs w:val="24"/>
        </w:rPr>
        <w:t xml:space="preserve"> </w:t>
      </w:r>
      <w:r w:rsidR="00874A61" w:rsidRPr="00874A61">
        <w:rPr>
          <w:rFonts w:ascii="Times New Roman" w:eastAsia="Melior" w:hAnsi="Times New Roman"/>
          <w:snapToGrid/>
          <w:szCs w:val="24"/>
        </w:rPr>
        <w:t>card issuers and institutions of higher</w:t>
      </w:r>
      <w:r w:rsidR="00874A61">
        <w:rPr>
          <w:rFonts w:ascii="Times New Roman" w:eastAsia="Melior" w:hAnsi="Times New Roman"/>
          <w:snapToGrid/>
          <w:szCs w:val="24"/>
        </w:rPr>
        <w:t xml:space="preserve"> </w:t>
      </w:r>
      <w:r w:rsidR="00874A61" w:rsidRPr="00874A61">
        <w:rPr>
          <w:rFonts w:ascii="Times New Roman" w:eastAsia="Melior" w:hAnsi="Times New Roman"/>
          <w:snapToGrid/>
          <w:szCs w:val="24"/>
        </w:rPr>
        <w:t>education for the purpose of marketing</w:t>
      </w:r>
      <w:r w:rsidR="00874A61">
        <w:rPr>
          <w:rFonts w:ascii="Times New Roman" w:eastAsia="Melior" w:hAnsi="Times New Roman"/>
          <w:snapToGrid/>
          <w:szCs w:val="24"/>
        </w:rPr>
        <w:t xml:space="preserve"> </w:t>
      </w:r>
      <w:r w:rsidR="00874A61" w:rsidRPr="00874A61">
        <w:rPr>
          <w:rFonts w:ascii="Times New Roman" w:eastAsia="Melior" w:hAnsi="Times New Roman"/>
          <w:snapToGrid/>
          <w:szCs w:val="24"/>
        </w:rPr>
        <w:t>a credit card and imposes restrictions related to marketing open</w:t>
      </w:r>
      <w:r w:rsidR="00874A61">
        <w:rPr>
          <w:rFonts w:ascii="Times New Roman" w:eastAsia="Melior" w:hAnsi="Times New Roman"/>
          <w:snapToGrid/>
          <w:szCs w:val="24"/>
        </w:rPr>
        <w:t>-</w:t>
      </w:r>
      <w:r w:rsidR="00874A61" w:rsidRPr="00874A61">
        <w:rPr>
          <w:rFonts w:ascii="Times New Roman" w:eastAsia="Melior" w:hAnsi="Times New Roman"/>
          <w:snapToGrid/>
          <w:szCs w:val="24"/>
        </w:rPr>
        <w:t>end</w:t>
      </w:r>
      <w:r w:rsidR="00874A61">
        <w:rPr>
          <w:rFonts w:ascii="Times New Roman" w:eastAsia="Melior" w:hAnsi="Times New Roman"/>
          <w:snapToGrid/>
          <w:szCs w:val="24"/>
        </w:rPr>
        <w:t xml:space="preserve"> </w:t>
      </w:r>
      <w:r w:rsidR="00874A61" w:rsidRPr="00874A61">
        <w:rPr>
          <w:rFonts w:ascii="Times New Roman" w:eastAsia="Melior" w:hAnsi="Times New Roman"/>
          <w:snapToGrid/>
          <w:szCs w:val="24"/>
        </w:rPr>
        <w:t>credit to college students.</w:t>
      </w:r>
    </w:p>
    <w:p w:rsidR="000238C3" w:rsidRPr="00874A61" w:rsidRDefault="000238C3" w:rsidP="008F4BBA">
      <w:pPr>
        <w:widowControl/>
        <w:ind w:firstLine="720"/>
        <w:rPr>
          <w:rFonts w:ascii="Times New Roman" w:hAnsi="Times New Roman"/>
          <w:szCs w:val="24"/>
        </w:rPr>
      </w:pPr>
    </w:p>
    <w:p w:rsidR="008F4BBA" w:rsidRPr="00874A61" w:rsidRDefault="008F4BBA" w:rsidP="008F4BBA">
      <w:pPr>
        <w:widowControl/>
        <w:ind w:firstLine="720"/>
        <w:rPr>
          <w:rFonts w:ascii="Times New Roman" w:hAnsi="Times New Roman"/>
          <w:szCs w:val="24"/>
        </w:rPr>
      </w:pPr>
      <w:r w:rsidRPr="00874A61">
        <w:rPr>
          <w:rFonts w:ascii="Times New Roman" w:hAnsi="Times New Roman"/>
          <w:szCs w:val="24"/>
        </w:rPr>
        <w:t>The disclosure requirements associated with Regulation Z are described below.  The frequency of response varies according to the level of credit activity by a creditor.</w:t>
      </w:r>
    </w:p>
    <w:p w:rsidR="005B7469" w:rsidRPr="007642C7" w:rsidRDefault="005B7469" w:rsidP="008F4BBA">
      <w:pPr>
        <w:widowControl/>
        <w:ind w:firstLine="720"/>
        <w:rPr>
          <w:rFonts w:ascii="Times New Roman" w:hAnsi="Times New Roman"/>
        </w:rPr>
      </w:pPr>
    </w:p>
    <w:p w:rsidR="008F4BBA" w:rsidRPr="007642C7" w:rsidRDefault="008F4BBA" w:rsidP="008F4BBA">
      <w:pPr>
        <w:widowControl/>
        <w:ind w:firstLine="720"/>
        <w:rPr>
          <w:rFonts w:ascii="Times New Roman" w:hAnsi="Times New Roman"/>
        </w:rPr>
      </w:pPr>
      <w:r w:rsidRPr="007642C7">
        <w:rPr>
          <w:rFonts w:ascii="Times New Roman" w:hAnsi="Times New Roman"/>
          <w:b/>
        </w:rPr>
        <w:t>Open-end Credit Disclosures (Subpart B)</w:t>
      </w:r>
    </w:p>
    <w:p w:rsidR="008F4BBA" w:rsidRPr="007642C7" w:rsidRDefault="008F4BBA" w:rsidP="008F4BBA">
      <w:pPr>
        <w:widowControl/>
        <w:rPr>
          <w:rFonts w:ascii="Times New Roman" w:hAnsi="Times New Roman"/>
        </w:rPr>
      </w:pPr>
    </w:p>
    <w:p w:rsidR="008F4BBA" w:rsidRPr="007642C7" w:rsidRDefault="008F4BBA" w:rsidP="008F4BBA">
      <w:pPr>
        <w:widowControl/>
        <w:ind w:firstLine="720"/>
        <w:rPr>
          <w:rFonts w:ascii="Times New Roman" w:hAnsi="Times New Roman"/>
        </w:rPr>
      </w:pPr>
      <w:r w:rsidRPr="007642C7">
        <w:rPr>
          <w:rFonts w:ascii="Times New Roman" w:hAnsi="Times New Roman"/>
        </w:rPr>
        <w:t xml:space="preserve"> No other federal law mandates these disclosures and procedures for responding to error allegations, although some states may have similar requirements.  </w:t>
      </w:r>
    </w:p>
    <w:p w:rsidR="008F4BBA" w:rsidRPr="007642C7" w:rsidRDefault="008F4BBA" w:rsidP="008F4BBA">
      <w:pPr>
        <w:widowControl/>
        <w:ind w:firstLine="720"/>
        <w:rPr>
          <w:rFonts w:ascii="Times New Roman" w:hAnsi="Times New Roman"/>
        </w:rPr>
      </w:pPr>
    </w:p>
    <w:p w:rsidR="008F4BBA" w:rsidRPr="007642C7" w:rsidRDefault="008F4BBA" w:rsidP="008F4BBA">
      <w:pPr>
        <w:widowControl/>
        <w:ind w:firstLine="720"/>
        <w:rPr>
          <w:rFonts w:ascii="Times New Roman" w:hAnsi="Times New Roman"/>
        </w:rPr>
      </w:pPr>
      <w:r w:rsidRPr="007642C7">
        <w:rPr>
          <w:rFonts w:ascii="Times New Roman" w:hAnsi="Times New Roman"/>
          <w:b/>
        </w:rPr>
        <w:t xml:space="preserve">Initial and Change-in-Term Disclosures (Sections 226.6 and 226.9(c)) - </w:t>
      </w:r>
      <w:r w:rsidRPr="007642C7">
        <w:rPr>
          <w:rFonts w:ascii="Times New Roman" w:hAnsi="Times New Roman"/>
        </w:rPr>
        <w:t>Creditors that offer open-end credit are required to inform consumers of costs and terms before they use the accounts and in general to inform them of certain subsequent changes in the terms of the accounts.  Initial information must include the finance charge and other charges, the annual percentage rate (APR), a description of how balances (on which a finance charge is based) will be calculated, and any collateral that will secure repayment.</w:t>
      </w:r>
    </w:p>
    <w:p w:rsidR="008F4BBA" w:rsidRPr="007642C7" w:rsidRDefault="008F4BBA" w:rsidP="008F4BBA">
      <w:pPr>
        <w:widowControl/>
        <w:rPr>
          <w:rFonts w:ascii="Times New Roman" w:hAnsi="Times New Roman"/>
        </w:rPr>
      </w:pPr>
    </w:p>
    <w:p w:rsidR="008F4BBA" w:rsidRPr="007642C7" w:rsidRDefault="008F4BBA" w:rsidP="008F4BBA">
      <w:pPr>
        <w:pStyle w:val="BodyTextIndent"/>
        <w:widowControl/>
        <w:spacing w:after="0"/>
      </w:pPr>
      <w:r w:rsidRPr="007642C7">
        <w:t xml:space="preserve">If the creditor changes any term initially disclosed, or increases the minimum periodic payment, a written change-in-term notice generally must be provided to the consumer at least fifteen days prior to the effective date of the change.  Special rules and restrictions govern changes in the terms of home-equity plans. </w:t>
      </w:r>
    </w:p>
    <w:p w:rsidR="008F4BBA" w:rsidRPr="007642C7" w:rsidRDefault="008F4BBA" w:rsidP="008F4BBA">
      <w:pPr>
        <w:widowControl/>
        <w:rPr>
          <w:rFonts w:ascii="Times New Roman" w:hAnsi="Times New Roman"/>
        </w:rPr>
      </w:pPr>
    </w:p>
    <w:p w:rsidR="008F4BBA" w:rsidRPr="007642C7" w:rsidRDefault="008F4BBA" w:rsidP="008F4BBA">
      <w:pPr>
        <w:widowControl/>
        <w:autoSpaceDE w:val="0"/>
        <w:autoSpaceDN w:val="0"/>
        <w:adjustRightInd w:val="0"/>
        <w:rPr>
          <w:rFonts w:ascii="Times New Roman" w:hAnsi="Times New Roman"/>
          <w:snapToGrid/>
          <w:szCs w:val="24"/>
        </w:rPr>
      </w:pPr>
      <w:r w:rsidRPr="007642C7">
        <w:rPr>
          <w:rFonts w:ascii="Times New Roman" w:hAnsi="Times New Roman"/>
          <w:b/>
          <w:bCs/>
          <w:snapToGrid/>
          <w:szCs w:val="24"/>
        </w:rPr>
        <w:tab/>
        <w:t xml:space="preserve">Unfair or deceptive practices involving cosigners (Reg AA, Section 227.14) - </w:t>
      </w:r>
      <w:r w:rsidRPr="007642C7">
        <w:rPr>
          <w:rFonts w:ascii="Times New Roman" w:hAnsi="Times New Roman"/>
          <w:snapToGrid/>
          <w:szCs w:val="24"/>
        </w:rPr>
        <w:t xml:space="preserve">A clear and conspicuous disclosure statement shall be given in writing to the cosigner prior to becoming obligated.  The disclosure statement shall be substantially similar to the following statement and shall either be a separate document or included in the documents evidencing the consumer credit obligation. </w:t>
      </w:r>
    </w:p>
    <w:p w:rsidR="008F4BBA" w:rsidRPr="007642C7" w:rsidRDefault="008F4BBA" w:rsidP="008F4BBA">
      <w:pPr>
        <w:widowControl/>
        <w:autoSpaceDE w:val="0"/>
        <w:autoSpaceDN w:val="0"/>
        <w:adjustRightInd w:val="0"/>
        <w:jc w:val="center"/>
        <w:rPr>
          <w:rFonts w:ascii="Times New Roman" w:hAnsi="Times New Roman"/>
          <w:i/>
          <w:snapToGrid/>
          <w:szCs w:val="24"/>
        </w:rPr>
      </w:pPr>
      <w:r w:rsidRPr="007642C7">
        <w:rPr>
          <w:rFonts w:ascii="Times New Roman" w:hAnsi="Times New Roman"/>
          <w:i/>
          <w:snapToGrid/>
          <w:szCs w:val="24"/>
        </w:rPr>
        <w:t>NOTICE TO COSIGNER</w:t>
      </w:r>
    </w:p>
    <w:p w:rsidR="008F4BBA" w:rsidRPr="007642C7" w:rsidRDefault="008F4BBA" w:rsidP="008F4BBA">
      <w:pPr>
        <w:widowControl/>
        <w:autoSpaceDE w:val="0"/>
        <w:autoSpaceDN w:val="0"/>
        <w:adjustRightInd w:val="0"/>
        <w:rPr>
          <w:rFonts w:ascii="Times New Roman" w:hAnsi="Times New Roman"/>
          <w:i/>
          <w:snapToGrid/>
          <w:szCs w:val="24"/>
        </w:rPr>
      </w:pPr>
      <w:r w:rsidRPr="007642C7">
        <w:rPr>
          <w:rFonts w:ascii="Times New Roman" w:hAnsi="Times New Roman"/>
          <w:i/>
          <w:snapToGrid/>
          <w:szCs w:val="24"/>
        </w:rPr>
        <w:t xml:space="preserve">You are being asked to guarantee this debt. Think carefully before you do.  If the borrower doesn’t pay the debt, you will have to.  Be sure you can afford to pay if you have to, and that you want to accept this responsibility.  You may have to pay up to the full amount of the debt if the borrower does not pay.  You may also have to pay late fees or collection costs, which increase this amount.  The bank can collect this debt from you without first trying to collect from the borrower.  The bank can use the same collection methods against you that can be used against the borrower, such as suing you, garnishing your wages, etc. If this debt is ever in default, that fact may become a part of </w:t>
      </w:r>
      <w:r w:rsidRPr="007642C7">
        <w:rPr>
          <w:rFonts w:ascii="Times New Roman" w:hAnsi="Times New Roman"/>
          <w:i/>
          <w:iCs/>
          <w:snapToGrid/>
          <w:szCs w:val="24"/>
        </w:rPr>
        <w:t xml:space="preserve">your </w:t>
      </w:r>
      <w:r w:rsidRPr="007642C7">
        <w:rPr>
          <w:rFonts w:ascii="Times New Roman" w:hAnsi="Times New Roman"/>
          <w:i/>
          <w:snapToGrid/>
          <w:szCs w:val="24"/>
        </w:rPr>
        <w:t>credit record.  This notice is not the contract that makes you liable for the debt.</w:t>
      </w:r>
    </w:p>
    <w:p w:rsidR="008F4BBA" w:rsidRPr="007642C7" w:rsidRDefault="008F4BBA" w:rsidP="008F4BBA">
      <w:pPr>
        <w:widowControl/>
        <w:rPr>
          <w:rFonts w:ascii="Times New Roman" w:hAnsi="Times New Roman"/>
        </w:rPr>
      </w:pPr>
    </w:p>
    <w:p w:rsidR="008F4BBA" w:rsidRDefault="008F4BBA" w:rsidP="008F4BBA">
      <w:pPr>
        <w:widowControl/>
        <w:ind w:firstLine="720"/>
        <w:rPr>
          <w:rFonts w:ascii="Times New Roman" w:hAnsi="Times New Roman"/>
        </w:rPr>
      </w:pPr>
      <w:r w:rsidRPr="007642C7">
        <w:rPr>
          <w:rFonts w:ascii="Times New Roman" w:hAnsi="Times New Roman"/>
          <w:b/>
        </w:rPr>
        <w:t xml:space="preserve">Periodic Statements (Sections 226.7) - </w:t>
      </w:r>
      <w:r w:rsidRPr="007642C7">
        <w:rPr>
          <w:rFonts w:ascii="Times New Roman" w:hAnsi="Times New Roman"/>
        </w:rPr>
        <w:t xml:space="preserve">A written statement of activity on open-end accounts must be provided each billing cycle (typically monthly).  The statement must be provided for each account that has a debit or credit balance of more than $1 or on which a finance charge is imposed, and it must include a description of activity on the account, opening and closing balances, finance charges imposed, and payment information. </w:t>
      </w:r>
    </w:p>
    <w:p w:rsidR="008D2FEE" w:rsidRDefault="008D2FEE" w:rsidP="008D2FEE">
      <w:pPr>
        <w:autoSpaceDE w:val="0"/>
        <w:autoSpaceDN w:val="0"/>
        <w:adjustRightInd w:val="0"/>
        <w:ind w:firstLine="720"/>
        <w:rPr>
          <w:rFonts w:ascii="Times New Roman" w:hAnsi="Times New Roman"/>
          <w:snapToGrid/>
          <w:szCs w:val="24"/>
        </w:rPr>
      </w:pPr>
    </w:p>
    <w:p w:rsidR="008D2FEE" w:rsidRPr="007642C7" w:rsidRDefault="008D2FEE" w:rsidP="001759A9">
      <w:pPr>
        <w:autoSpaceDE w:val="0"/>
        <w:autoSpaceDN w:val="0"/>
        <w:adjustRightInd w:val="0"/>
        <w:ind w:firstLine="720"/>
        <w:rPr>
          <w:rFonts w:ascii="Times New Roman" w:hAnsi="Times New Roman"/>
        </w:rPr>
      </w:pPr>
      <w:r w:rsidRPr="00D95EE3">
        <w:rPr>
          <w:rFonts w:ascii="Times New Roman" w:hAnsi="Times New Roman"/>
          <w:snapToGrid/>
          <w:szCs w:val="24"/>
        </w:rPr>
        <w:lastRenderedPageBreak/>
        <w:t>A</w:t>
      </w:r>
      <w:r w:rsidRPr="00D95EE3">
        <w:rPr>
          <w:rFonts w:ascii="Times New Roman" w:eastAsia="Calibri" w:hAnsi="Times New Roman"/>
          <w:snapToGrid/>
          <w:szCs w:val="24"/>
        </w:rPr>
        <w:t>mendments to section 226.3(b</w:t>
      </w:r>
      <w:proofErr w:type="gramStart"/>
      <w:r w:rsidRPr="00D95EE3">
        <w:rPr>
          <w:rFonts w:ascii="Times New Roman" w:eastAsia="Calibri" w:hAnsi="Times New Roman"/>
          <w:snapToGrid/>
          <w:szCs w:val="24"/>
        </w:rPr>
        <w:t>)(</w:t>
      </w:r>
      <w:proofErr w:type="gramEnd"/>
      <w:r w:rsidRPr="00D95EE3">
        <w:rPr>
          <w:rFonts w:ascii="Times New Roman" w:eastAsia="Calibri" w:hAnsi="Times New Roman"/>
          <w:snapToGrid/>
          <w:szCs w:val="24"/>
        </w:rPr>
        <w:t>1)(i) and its accompanying commentary raise the threshold for exempt consumer credit transactions from $25,000 to $50,000.  In addition, under section 226.3(b</w:t>
      </w:r>
      <w:proofErr w:type="gramStart"/>
      <w:r w:rsidRPr="00D95EE3">
        <w:rPr>
          <w:rFonts w:ascii="Times New Roman" w:eastAsia="Calibri" w:hAnsi="Times New Roman"/>
          <w:snapToGrid/>
          <w:szCs w:val="24"/>
        </w:rPr>
        <w:t>)(</w:t>
      </w:r>
      <w:proofErr w:type="gramEnd"/>
      <w:r w:rsidRPr="00D95EE3">
        <w:rPr>
          <w:rFonts w:ascii="Times New Roman" w:eastAsia="Calibri" w:hAnsi="Times New Roman"/>
          <w:snapToGrid/>
          <w:szCs w:val="24"/>
        </w:rPr>
        <w:t xml:space="preserve">1)(ii), the threshold amount must be adjusted annually by any annual percentage increase in the </w:t>
      </w:r>
      <w:r w:rsidR="00D406AC">
        <w:rPr>
          <w:rFonts w:ascii="Times New Roman" w:hAnsi="Times New Roman"/>
          <w:snapToGrid/>
          <w:szCs w:val="24"/>
        </w:rPr>
        <w:t>CPI-W</w:t>
      </w:r>
      <w:r w:rsidRPr="00D95EE3">
        <w:rPr>
          <w:rFonts w:ascii="Times New Roman" w:eastAsia="Calibri" w:hAnsi="Times New Roman"/>
          <w:snapToGrid/>
          <w:szCs w:val="24"/>
        </w:rPr>
        <w:t xml:space="preserve">. </w:t>
      </w:r>
      <w:r w:rsidR="001759A9">
        <w:rPr>
          <w:rFonts w:ascii="Times New Roman" w:eastAsia="Calibri" w:hAnsi="Times New Roman"/>
          <w:snapToGrid/>
          <w:szCs w:val="24"/>
        </w:rPr>
        <w:t xml:space="preserve"> </w:t>
      </w:r>
      <w:r w:rsidRPr="00D95EE3">
        <w:rPr>
          <w:rFonts w:ascii="Times New Roman" w:eastAsia="Calibri" w:hAnsi="Times New Roman"/>
          <w:snapToGrid/>
          <w:szCs w:val="24"/>
        </w:rPr>
        <w:t xml:space="preserve">As a result, changes to an open-end account or the threshold amount may result in an account no longer qualifying for the exemption in Section 226.3(b).  In these circumstances the creditor must, within a reasonable period of time after the account ceases to be exempt (except as otherwise noted), provide the disclosures required by Section 226.6 reflecting the current terms of the account and begin to provide periodic statements consistent with Section 226.7.  </w:t>
      </w:r>
    </w:p>
    <w:p w:rsidR="008F4BBA" w:rsidRPr="007642C7" w:rsidRDefault="008F4BBA" w:rsidP="008F4BBA">
      <w:pPr>
        <w:widowControl/>
        <w:rPr>
          <w:rFonts w:ascii="Times New Roman" w:hAnsi="Times New Roman"/>
        </w:rPr>
      </w:pPr>
    </w:p>
    <w:p w:rsidR="008F4BBA" w:rsidRPr="007642C7" w:rsidRDefault="008F4BBA" w:rsidP="008F4BBA">
      <w:pPr>
        <w:widowControl/>
        <w:ind w:firstLine="720"/>
        <w:rPr>
          <w:rFonts w:ascii="Times New Roman" w:hAnsi="Times New Roman"/>
        </w:rPr>
      </w:pPr>
      <w:r w:rsidRPr="007642C7">
        <w:rPr>
          <w:rFonts w:ascii="Times New Roman" w:hAnsi="Times New Roman"/>
          <w:b/>
        </w:rPr>
        <w:t xml:space="preserve">Error Resolution Rules (Sections 226.13) - </w:t>
      </w:r>
      <w:r w:rsidRPr="007642C7">
        <w:rPr>
          <w:rFonts w:ascii="Times New Roman" w:hAnsi="Times New Roman"/>
        </w:rPr>
        <w:t>Creditors must notify consumers about their rights and responsibilities regarding billing problems.  Creditors may provide either a complete statement of billing rights each year, or a summary on each periodic statement.  The paperwork burden for the summary is included in the estimated burden for periodic statements.</w:t>
      </w:r>
    </w:p>
    <w:p w:rsidR="008F4BBA" w:rsidRPr="007642C7" w:rsidRDefault="008F4BBA" w:rsidP="008F4BBA">
      <w:pPr>
        <w:widowControl/>
        <w:rPr>
          <w:rFonts w:ascii="Times New Roman" w:hAnsi="Times New Roman"/>
        </w:rPr>
      </w:pPr>
    </w:p>
    <w:p w:rsidR="001A2EE7" w:rsidRDefault="008F4BBA" w:rsidP="001A2EE7">
      <w:pPr>
        <w:ind w:firstLine="720"/>
        <w:rPr>
          <w:rFonts w:ascii="Times New Roman" w:hAnsi="Times New Roman"/>
          <w:szCs w:val="24"/>
        </w:rPr>
      </w:pPr>
      <w:r w:rsidRPr="007642C7">
        <w:rPr>
          <w:rFonts w:ascii="Times New Roman" w:hAnsi="Times New Roman"/>
          <w:szCs w:val="24"/>
        </w:rPr>
        <w:t xml:space="preserve">When a consumer alleges a billing error, the creditor must provide an acknowledgment, within </w:t>
      </w:r>
      <w:r w:rsidR="00BE2B9F">
        <w:rPr>
          <w:rFonts w:ascii="Times New Roman" w:hAnsi="Times New Roman"/>
          <w:szCs w:val="24"/>
        </w:rPr>
        <w:t>30</w:t>
      </w:r>
      <w:r w:rsidR="00BE2B9F" w:rsidRPr="007642C7">
        <w:rPr>
          <w:rFonts w:ascii="Times New Roman" w:hAnsi="Times New Roman"/>
          <w:szCs w:val="24"/>
        </w:rPr>
        <w:t xml:space="preserve"> </w:t>
      </w:r>
      <w:r w:rsidRPr="007642C7">
        <w:rPr>
          <w:rFonts w:ascii="Times New Roman" w:hAnsi="Times New Roman"/>
          <w:szCs w:val="24"/>
        </w:rPr>
        <w:t xml:space="preserve">days of receipt, that the creditor received the consumer’s error notice, and must report on the results of its investigation within </w:t>
      </w:r>
      <w:r w:rsidR="00BE2B9F">
        <w:rPr>
          <w:rFonts w:ascii="Times New Roman" w:hAnsi="Times New Roman"/>
          <w:szCs w:val="24"/>
        </w:rPr>
        <w:t>90</w:t>
      </w:r>
      <w:r w:rsidR="00BE2B9F" w:rsidRPr="007642C7">
        <w:rPr>
          <w:rFonts w:ascii="Times New Roman" w:hAnsi="Times New Roman"/>
          <w:szCs w:val="24"/>
        </w:rPr>
        <w:t xml:space="preserve"> </w:t>
      </w:r>
      <w:r w:rsidRPr="007642C7">
        <w:rPr>
          <w:rFonts w:ascii="Times New Roman" w:hAnsi="Times New Roman"/>
          <w:szCs w:val="24"/>
        </w:rPr>
        <w:t xml:space="preserve">days.  If a billing error did not occur, the creditor must provide an explanation as to why the creditor believes an error did not occur and provide documentary evidence to the consumer upon request.  The creditor must also give notice of the portion of the disputed amount and related finance or other charges that the consumer still owes and notice of when payment is due.  </w:t>
      </w:r>
    </w:p>
    <w:p w:rsidR="008F4BBA" w:rsidRPr="007642C7" w:rsidRDefault="008F4BBA" w:rsidP="008F4BBA">
      <w:pPr>
        <w:widowControl/>
        <w:rPr>
          <w:rFonts w:ascii="Times New Roman" w:hAnsi="Times New Roman"/>
        </w:rPr>
      </w:pPr>
    </w:p>
    <w:p w:rsidR="008F4BBA" w:rsidRPr="007642C7" w:rsidRDefault="008F4BBA" w:rsidP="008F4BBA">
      <w:pPr>
        <w:widowControl/>
        <w:ind w:firstLine="720"/>
        <w:rPr>
          <w:rFonts w:ascii="Times New Roman" w:hAnsi="Times New Roman"/>
        </w:rPr>
      </w:pPr>
      <w:r w:rsidRPr="007642C7">
        <w:rPr>
          <w:rFonts w:ascii="Times New Roman" w:hAnsi="Times New Roman"/>
          <w:b/>
        </w:rPr>
        <w:t xml:space="preserve">Credit and Charge Cards (Sections 226.5(a)) - </w:t>
      </w:r>
      <w:r w:rsidRPr="007642C7">
        <w:rPr>
          <w:rFonts w:ascii="Times New Roman" w:hAnsi="Times New Roman"/>
        </w:rPr>
        <w:t xml:space="preserve">Generally, card issuers must provide additional disclosures with solicitations, when an annual fee is to be charged, and when the issuer changes its credit insurance carrier. </w:t>
      </w:r>
    </w:p>
    <w:p w:rsidR="008F4BBA" w:rsidRPr="007642C7" w:rsidRDefault="008F4BBA" w:rsidP="008F4BBA">
      <w:pPr>
        <w:widowControl/>
        <w:rPr>
          <w:rFonts w:ascii="Times New Roman" w:hAnsi="Times New Roman"/>
        </w:rPr>
      </w:pPr>
    </w:p>
    <w:p w:rsidR="008F4BBA" w:rsidRPr="007642C7" w:rsidRDefault="008F4BBA" w:rsidP="008F4BBA">
      <w:pPr>
        <w:widowControl/>
        <w:ind w:firstLine="720"/>
        <w:rPr>
          <w:rFonts w:ascii="Times New Roman" w:hAnsi="Times New Roman"/>
          <w:szCs w:val="24"/>
        </w:rPr>
      </w:pPr>
      <w:proofErr w:type="gramStart"/>
      <w:r w:rsidRPr="007642C7">
        <w:rPr>
          <w:rFonts w:ascii="Times New Roman" w:hAnsi="Times New Roman"/>
          <w:i/>
        </w:rPr>
        <w:t>Solicitations and applications.</w:t>
      </w:r>
      <w:proofErr w:type="gramEnd"/>
      <w:r w:rsidRPr="007642C7">
        <w:rPr>
          <w:rFonts w:ascii="Times New Roman" w:hAnsi="Times New Roman"/>
        </w:rPr>
        <w:t xml:space="preserve">  When offering cards to consumers by direct mail solicitation, card issuers must disclose in a highly-structured table key of terms of the account, such as the APR, information about variable rates, and fees such as annual fees, minimum finance charges, and transactions fees for purchases.  Similar disclosure rules apply in telephone solicitations, and for “take-one” and magazine or catalog applications.  Special rules apply for </w:t>
      </w:r>
      <w:r w:rsidRPr="007642C7">
        <w:rPr>
          <w:rFonts w:ascii="Times New Roman" w:hAnsi="Times New Roman"/>
          <w:szCs w:val="24"/>
        </w:rPr>
        <w:t>charge cards.</w:t>
      </w:r>
    </w:p>
    <w:p w:rsidR="008F18B3" w:rsidRPr="007642C7" w:rsidRDefault="008F18B3" w:rsidP="008F18B3">
      <w:pPr>
        <w:widowControl/>
        <w:autoSpaceDE w:val="0"/>
        <w:autoSpaceDN w:val="0"/>
        <w:adjustRightInd w:val="0"/>
        <w:rPr>
          <w:rFonts w:ascii="Times New Roman" w:eastAsia="Calibri" w:hAnsi="Times New Roman"/>
          <w:i/>
          <w:iCs/>
          <w:snapToGrid/>
          <w:szCs w:val="24"/>
        </w:rPr>
      </w:pPr>
    </w:p>
    <w:p w:rsidR="008F4BBA" w:rsidRPr="007642C7" w:rsidRDefault="008F4BBA" w:rsidP="008F4BBA">
      <w:pPr>
        <w:widowControl/>
        <w:ind w:firstLine="720"/>
        <w:rPr>
          <w:rFonts w:ascii="Times New Roman" w:hAnsi="Times New Roman"/>
        </w:rPr>
      </w:pPr>
      <w:proofErr w:type="gramStart"/>
      <w:r w:rsidRPr="007642C7">
        <w:rPr>
          <w:rFonts w:ascii="Times New Roman" w:hAnsi="Times New Roman"/>
          <w:i/>
        </w:rPr>
        <w:t>Annual fee</w:t>
      </w:r>
      <w:r w:rsidRPr="007642C7">
        <w:rPr>
          <w:rFonts w:ascii="Times New Roman" w:hAnsi="Times New Roman"/>
        </w:rPr>
        <w:t>.</w:t>
      </w:r>
      <w:proofErr w:type="gramEnd"/>
      <w:r w:rsidRPr="007642C7">
        <w:rPr>
          <w:rFonts w:ascii="Times New Roman" w:hAnsi="Times New Roman"/>
        </w:rPr>
        <w:t xml:space="preserve">  TILA also requires card issuers that charge an annual fee to notify a consumer at least </w:t>
      </w:r>
      <w:r w:rsidR="00BE2B9F">
        <w:rPr>
          <w:rFonts w:ascii="Times New Roman" w:hAnsi="Times New Roman"/>
        </w:rPr>
        <w:t>30</w:t>
      </w:r>
      <w:r w:rsidR="00BE2B9F" w:rsidRPr="007642C7">
        <w:rPr>
          <w:rFonts w:ascii="Times New Roman" w:hAnsi="Times New Roman"/>
        </w:rPr>
        <w:t xml:space="preserve"> </w:t>
      </w:r>
      <w:r w:rsidRPr="007642C7">
        <w:rPr>
          <w:rFonts w:ascii="Times New Roman" w:hAnsi="Times New Roman"/>
        </w:rPr>
        <w:t xml:space="preserve">days before payment of the fee is due.  The notice must include basic cost information for continued use of the card and how the consumer may close the account and avoid paying any fee.  </w:t>
      </w:r>
    </w:p>
    <w:p w:rsidR="008F4BBA" w:rsidRPr="007642C7" w:rsidRDefault="008F4BBA" w:rsidP="008F4BBA">
      <w:pPr>
        <w:widowControl/>
        <w:rPr>
          <w:rFonts w:ascii="Times New Roman" w:hAnsi="Times New Roman"/>
        </w:rPr>
      </w:pPr>
    </w:p>
    <w:p w:rsidR="008F4BBA" w:rsidRPr="007642C7" w:rsidRDefault="008F4BBA" w:rsidP="008F4BBA">
      <w:pPr>
        <w:widowControl/>
        <w:ind w:firstLine="720"/>
        <w:rPr>
          <w:rFonts w:ascii="Times New Roman" w:hAnsi="Times New Roman"/>
        </w:rPr>
      </w:pPr>
      <w:proofErr w:type="gramStart"/>
      <w:r w:rsidRPr="007642C7">
        <w:rPr>
          <w:rFonts w:ascii="Times New Roman" w:hAnsi="Times New Roman"/>
          <w:i/>
        </w:rPr>
        <w:t>Changes to insurance carriers.</w:t>
      </w:r>
      <w:proofErr w:type="gramEnd"/>
      <w:r w:rsidRPr="007642C7">
        <w:rPr>
          <w:rFonts w:ascii="Times New Roman" w:hAnsi="Times New Roman"/>
        </w:rPr>
        <w:t xml:space="preserve">  Card issuers that change credit insurance carriers must provide an advance notice to cardholders if increased cost or substantially decreased coverage would result from the switch in carriers.  The notice must inform consumers about their right to cancel the insurance.</w:t>
      </w:r>
    </w:p>
    <w:p w:rsidR="00900915" w:rsidRPr="007642C7" w:rsidRDefault="00900915" w:rsidP="008F4BBA">
      <w:pPr>
        <w:widowControl/>
        <w:ind w:firstLine="720"/>
        <w:rPr>
          <w:rFonts w:ascii="Times New Roman" w:hAnsi="Times New Roman"/>
        </w:rPr>
      </w:pPr>
    </w:p>
    <w:p w:rsidR="008F4BBA" w:rsidRPr="007642C7" w:rsidRDefault="008F4BBA" w:rsidP="008F4BBA">
      <w:pPr>
        <w:widowControl/>
        <w:tabs>
          <w:tab w:val="left" w:pos="-1440"/>
          <w:tab w:val="num" w:pos="1080"/>
        </w:tabs>
        <w:ind w:firstLine="720"/>
        <w:rPr>
          <w:rFonts w:ascii="Times New Roman" w:hAnsi="Times New Roman"/>
        </w:rPr>
      </w:pPr>
      <w:r w:rsidRPr="007642C7">
        <w:rPr>
          <w:rFonts w:ascii="Times New Roman" w:hAnsi="Times New Roman"/>
          <w:b/>
        </w:rPr>
        <w:lastRenderedPageBreak/>
        <w:t xml:space="preserve">Home-Equity Plans (Sections 226.5(b)) - </w:t>
      </w:r>
      <w:r w:rsidRPr="007642C7">
        <w:rPr>
          <w:rFonts w:ascii="Times New Roman" w:hAnsi="Times New Roman"/>
        </w:rPr>
        <w:t xml:space="preserve">Creditors offering home-equity lines of credit must provide additional disclosures at application, when the credit plan is opened, and when consumers’ use of the plan is restricted.  </w:t>
      </w:r>
    </w:p>
    <w:p w:rsidR="008F4BBA" w:rsidRPr="007642C7" w:rsidRDefault="008F4BBA" w:rsidP="008F4BBA">
      <w:pPr>
        <w:widowControl/>
        <w:tabs>
          <w:tab w:val="left" w:pos="-1440"/>
          <w:tab w:val="num" w:pos="1080"/>
        </w:tabs>
        <w:rPr>
          <w:rFonts w:ascii="Times New Roman" w:hAnsi="Times New Roman"/>
        </w:rPr>
      </w:pPr>
    </w:p>
    <w:p w:rsidR="008F4BBA" w:rsidRPr="007642C7" w:rsidRDefault="008F4BBA" w:rsidP="008F4BBA">
      <w:pPr>
        <w:widowControl/>
        <w:tabs>
          <w:tab w:val="left" w:pos="-1440"/>
          <w:tab w:val="num" w:pos="1080"/>
        </w:tabs>
        <w:ind w:firstLine="720"/>
        <w:rPr>
          <w:rFonts w:ascii="Times New Roman" w:hAnsi="Times New Roman"/>
        </w:rPr>
      </w:pPr>
      <w:proofErr w:type="gramStart"/>
      <w:r w:rsidRPr="007642C7">
        <w:rPr>
          <w:rFonts w:ascii="Times New Roman" w:hAnsi="Times New Roman"/>
          <w:i/>
        </w:rPr>
        <w:t>Applications.</w:t>
      </w:r>
      <w:proofErr w:type="gramEnd"/>
      <w:r w:rsidRPr="007642C7">
        <w:rPr>
          <w:rFonts w:ascii="Times New Roman" w:hAnsi="Times New Roman"/>
        </w:rPr>
        <w:t xml:space="preserve">  Lenders must provide, on or with applications for home-equity plans, generic disclosures about the plan, including the possibility of negative amortization, draw requirements, and the method of determining the minimum periodic payment.  Additional disclosures about variable-rate plans, including information about interest rate caps and an historical example showing what the APR and payments would have been for the preceding 15 years. </w:t>
      </w:r>
    </w:p>
    <w:p w:rsidR="008F4BBA" w:rsidRPr="007642C7" w:rsidRDefault="008F4BBA" w:rsidP="008F4BBA">
      <w:pPr>
        <w:widowControl/>
        <w:tabs>
          <w:tab w:val="left" w:pos="-1440"/>
          <w:tab w:val="num" w:pos="1080"/>
        </w:tabs>
        <w:ind w:left="360"/>
        <w:rPr>
          <w:rFonts w:ascii="Times New Roman" w:hAnsi="Times New Roman"/>
        </w:rPr>
      </w:pPr>
    </w:p>
    <w:p w:rsidR="008F4BBA" w:rsidRPr="007642C7" w:rsidRDefault="008F4BBA" w:rsidP="008F4BBA">
      <w:pPr>
        <w:widowControl/>
        <w:ind w:firstLine="720"/>
        <w:rPr>
          <w:rFonts w:ascii="Times New Roman" w:hAnsi="Times New Roman"/>
        </w:rPr>
      </w:pPr>
      <w:r w:rsidRPr="007642C7">
        <w:rPr>
          <w:rFonts w:ascii="Times New Roman" w:hAnsi="Times New Roman"/>
          <w:i/>
        </w:rPr>
        <w:t>Account opening.</w:t>
      </w:r>
      <w:r w:rsidRPr="007642C7">
        <w:rPr>
          <w:rFonts w:ascii="Times New Roman" w:hAnsi="Times New Roman"/>
        </w:rPr>
        <w:t xml:space="preserve">  Some of the information given with the application must be repeated when the consumer opens the account.  The paperwork burden associated with this second round of disclosures is considered negligible, since it involves disclosures that were previously made to the consumer.</w:t>
      </w:r>
    </w:p>
    <w:p w:rsidR="008F4BBA" w:rsidRPr="007642C7" w:rsidRDefault="008F4BBA" w:rsidP="008F4BBA">
      <w:pPr>
        <w:widowControl/>
        <w:ind w:firstLine="720"/>
        <w:rPr>
          <w:rFonts w:ascii="Times New Roman" w:hAnsi="Times New Roman"/>
          <w:i/>
        </w:rPr>
      </w:pPr>
    </w:p>
    <w:p w:rsidR="008F4BBA" w:rsidRPr="007642C7" w:rsidRDefault="008F4BBA" w:rsidP="008F4BBA">
      <w:pPr>
        <w:widowControl/>
        <w:ind w:firstLine="720"/>
        <w:rPr>
          <w:rFonts w:ascii="Times New Roman" w:hAnsi="Times New Roman"/>
        </w:rPr>
      </w:pPr>
      <w:proofErr w:type="gramStart"/>
      <w:r w:rsidRPr="007642C7">
        <w:rPr>
          <w:rFonts w:ascii="Times New Roman" w:hAnsi="Times New Roman"/>
          <w:i/>
        </w:rPr>
        <w:t>Restricting use of the plan.</w:t>
      </w:r>
      <w:proofErr w:type="gramEnd"/>
      <w:r w:rsidRPr="007642C7">
        <w:rPr>
          <w:rFonts w:ascii="Times New Roman" w:hAnsi="Times New Roman"/>
        </w:rPr>
        <w:t xml:space="preserve">  A creditor may prohibit additional credit extensions or reduce the credit limit in certain instances, such as if there is a drop in the value of the loan security.  However, in these instances, the creditor must give the consumer written notice not later than three business days after the action takes effect, explaining why the action was taken.</w:t>
      </w:r>
    </w:p>
    <w:p w:rsidR="008F4BBA" w:rsidRPr="007642C7" w:rsidRDefault="008F4BBA" w:rsidP="008F4BBA">
      <w:pPr>
        <w:widowControl/>
        <w:ind w:firstLine="720"/>
        <w:rPr>
          <w:rFonts w:ascii="Times New Roman" w:hAnsi="Times New Roman"/>
          <w:b/>
        </w:rPr>
      </w:pPr>
    </w:p>
    <w:p w:rsidR="008F4BBA" w:rsidRPr="007642C7" w:rsidRDefault="008F4BBA" w:rsidP="008F4BBA">
      <w:pPr>
        <w:widowControl/>
        <w:ind w:firstLine="720"/>
        <w:rPr>
          <w:rFonts w:ascii="Times New Roman" w:hAnsi="Times New Roman"/>
        </w:rPr>
      </w:pPr>
      <w:r w:rsidRPr="007642C7">
        <w:rPr>
          <w:rFonts w:ascii="Times New Roman" w:hAnsi="Times New Roman"/>
          <w:b/>
        </w:rPr>
        <w:t>Closed-end Credit Disclosures (Subpart C, Section 226.17)</w:t>
      </w:r>
    </w:p>
    <w:p w:rsidR="008F4BBA" w:rsidRPr="007642C7" w:rsidRDefault="008F4BBA" w:rsidP="008F4BBA">
      <w:pPr>
        <w:widowControl/>
        <w:rPr>
          <w:rFonts w:ascii="Times New Roman" w:hAnsi="Times New Roman"/>
        </w:rPr>
      </w:pPr>
    </w:p>
    <w:p w:rsidR="008F4BBA" w:rsidRPr="007642C7" w:rsidRDefault="008F4BBA" w:rsidP="008F4BBA">
      <w:pPr>
        <w:widowControl/>
        <w:ind w:firstLine="720"/>
        <w:rPr>
          <w:rFonts w:ascii="Times New Roman" w:hAnsi="Times New Roman"/>
        </w:rPr>
      </w:pPr>
      <w:r w:rsidRPr="007642C7">
        <w:rPr>
          <w:rFonts w:ascii="Times New Roman" w:hAnsi="Times New Roman"/>
        </w:rPr>
        <w:t xml:space="preserve">The requirements of Subpart C apply to any creditor that extends consumer credit (unless over $25,000 and not secured by a dwelling) if the credit is payable in more than four installments or is subject to a finance charge, and is not open-end credit.  The required disclosures include credit terms such as the APR and finance charge, which reflect the total credit cost in percentage and dollar terms, respectively.  Key information is highlighted for consumers through the use of certain terminology and a specific format.  </w:t>
      </w:r>
    </w:p>
    <w:p w:rsidR="008F4BBA" w:rsidRPr="007642C7" w:rsidRDefault="008F4BBA" w:rsidP="008F4BBA">
      <w:pPr>
        <w:widowControl/>
        <w:ind w:firstLine="720"/>
        <w:rPr>
          <w:rFonts w:ascii="Times New Roman" w:hAnsi="Times New Roman"/>
        </w:rPr>
      </w:pPr>
    </w:p>
    <w:p w:rsidR="008F4BBA" w:rsidRPr="007642C7" w:rsidRDefault="008F4BBA" w:rsidP="008F4BBA">
      <w:pPr>
        <w:widowControl/>
        <w:ind w:firstLine="720"/>
        <w:rPr>
          <w:rFonts w:ascii="Times New Roman" w:hAnsi="Times New Roman"/>
        </w:rPr>
      </w:pPr>
      <w:r w:rsidRPr="007642C7">
        <w:rPr>
          <w:rFonts w:ascii="Times New Roman" w:hAnsi="Times New Roman"/>
        </w:rPr>
        <w:t xml:space="preserve">For certain variable-rate mortgages, generic disclosures similar to those required for home-equity lines of credit must be provided at application.  In addition, creditors must send periodic statements when payments change or at least annually if rates change without changes to payment amounts. </w:t>
      </w:r>
    </w:p>
    <w:p w:rsidR="00E9329C" w:rsidRPr="008F3C70" w:rsidRDefault="00E9329C" w:rsidP="00E9329C">
      <w:pPr>
        <w:widowControl/>
        <w:autoSpaceDE w:val="0"/>
        <w:autoSpaceDN w:val="0"/>
        <w:adjustRightInd w:val="0"/>
        <w:rPr>
          <w:rFonts w:ascii="Times New Roman" w:eastAsia="Calibri" w:hAnsi="Times New Roman"/>
          <w:snapToGrid/>
          <w:szCs w:val="24"/>
        </w:rPr>
      </w:pPr>
    </w:p>
    <w:p w:rsidR="00E9329C" w:rsidRPr="008F3C70" w:rsidRDefault="00E9329C" w:rsidP="003A4947">
      <w:pPr>
        <w:widowControl/>
        <w:autoSpaceDE w:val="0"/>
        <w:autoSpaceDN w:val="0"/>
        <w:adjustRightInd w:val="0"/>
        <w:ind w:firstLine="720"/>
        <w:rPr>
          <w:rFonts w:ascii="Times New Roman" w:hAnsi="Times New Roman"/>
          <w:b/>
          <w:szCs w:val="24"/>
        </w:rPr>
      </w:pPr>
      <w:r w:rsidRPr="008F3C70">
        <w:rPr>
          <w:rFonts w:ascii="Times New Roman" w:eastAsia="Calibri" w:hAnsi="Times New Roman"/>
          <w:b/>
          <w:snapToGrid/>
          <w:szCs w:val="24"/>
        </w:rPr>
        <w:t>Interest Rate and Payment Summary for Mortgage Transactions (Section</w:t>
      </w:r>
      <w:r>
        <w:rPr>
          <w:rFonts w:ascii="Times New Roman" w:eastAsia="Calibri" w:hAnsi="Times New Roman"/>
          <w:b/>
          <w:snapToGrid/>
          <w:szCs w:val="24"/>
        </w:rPr>
        <w:t>s</w:t>
      </w:r>
      <w:r w:rsidRPr="008F3C70">
        <w:rPr>
          <w:rFonts w:ascii="Times New Roman" w:eastAsia="Calibri" w:hAnsi="Times New Roman"/>
          <w:b/>
          <w:snapToGrid/>
          <w:szCs w:val="24"/>
        </w:rPr>
        <w:t xml:space="preserve"> 226.18(s) &amp; (t))</w:t>
      </w:r>
      <w:r w:rsidR="003A4947">
        <w:rPr>
          <w:rFonts w:ascii="Times New Roman" w:eastAsia="Calibri" w:hAnsi="Times New Roman"/>
          <w:b/>
          <w:snapToGrid/>
          <w:szCs w:val="24"/>
        </w:rPr>
        <w:t xml:space="preserve"> -- </w:t>
      </w:r>
      <w:r w:rsidRPr="008F3C70">
        <w:rPr>
          <w:rFonts w:ascii="Times New Roman" w:eastAsia="Calibri" w:hAnsi="Times New Roman"/>
          <w:snapToGrid/>
          <w:szCs w:val="24"/>
        </w:rPr>
        <w:t>Section 226.18(s), provides requirements for disclosure of the contract interest rate and the periodic payment for most transactions secured by real property or a dwelling.  The information required by Section 226.18(s)(2)–(4) must be in the form of a table, as provided in Section 226.18(s)(1), substantially similar to Model Clause H–4(E), H–4(F), H–4(G), or H–4(H) in Appendix H.</w:t>
      </w:r>
      <w:r>
        <w:rPr>
          <w:rFonts w:ascii="Times New Roman" w:eastAsia="Calibri" w:hAnsi="Times New Roman"/>
          <w:snapToGrid/>
          <w:szCs w:val="24"/>
        </w:rPr>
        <w:t xml:space="preserve">  </w:t>
      </w:r>
      <w:r w:rsidRPr="008F3C70">
        <w:rPr>
          <w:rFonts w:ascii="Times New Roman" w:eastAsia="Calibri" w:hAnsi="Times New Roman"/>
          <w:snapToGrid/>
          <w:szCs w:val="24"/>
        </w:rPr>
        <w:t>Section 226.18(t</w:t>
      </w:r>
      <w:proofErr w:type="gramStart"/>
      <w:r w:rsidRPr="008F3C70">
        <w:rPr>
          <w:rFonts w:ascii="Times New Roman" w:eastAsia="Calibri" w:hAnsi="Times New Roman"/>
          <w:snapToGrid/>
          <w:szCs w:val="24"/>
        </w:rPr>
        <w:t>)(</w:t>
      </w:r>
      <w:proofErr w:type="gramEnd"/>
      <w:r w:rsidRPr="008F3C70">
        <w:rPr>
          <w:rFonts w:ascii="Times New Roman" w:eastAsia="Calibri" w:hAnsi="Times New Roman"/>
          <w:snapToGrid/>
          <w:szCs w:val="24"/>
        </w:rPr>
        <w:t xml:space="preserve">1) requires creditors to disclose that there is no guarantee that the consumer will be able to refinance the loan to obtain a lower interest rate and payment. </w:t>
      </w:r>
    </w:p>
    <w:p w:rsidR="009058DA" w:rsidRDefault="009058DA">
      <w:pPr>
        <w:widowControl/>
        <w:rPr>
          <w:rFonts w:ascii="Times New Roman" w:hAnsi="Times New Roman"/>
          <w:b/>
          <w:snapToGrid/>
          <w:szCs w:val="24"/>
        </w:rPr>
      </w:pPr>
      <w:r>
        <w:rPr>
          <w:b/>
        </w:rPr>
        <w:br w:type="page"/>
      </w:r>
    </w:p>
    <w:p w:rsidR="00A71DD3" w:rsidRPr="003A4947" w:rsidRDefault="00A71DD3" w:rsidP="00A71DD3">
      <w:pPr>
        <w:pStyle w:val="NormalWeb"/>
        <w:ind w:firstLine="720"/>
        <w:rPr>
          <w:b/>
        </w:rPr>
      </w:pPr>
      <w:r>
        <w:rPr>
          <w:b/>
        </w:rPr>
        <w:lastRenderedPageBreak/>
        <w:t>A</w:t>
      </w:r>
      <w:r w:rsidRPr="007642C7">
        <w:rPr>
          <w:b/>
        </w:rPr>
        <w:t xml:space="preserve">dvertising </w:t>
      </w:r>
      <w:r>
        <w:rPr>
          <w:b/>
        </w:rPr>
        <w:t xml:space="preserve">and Notification </w:t>
      </w:r>
      <w:r w:rsidRPr="003A4947">
        <w:rPr>
          <w:b/>
        </w:rPr>
        <w:t>Requirements</w:t>
      </w:r>
      <w:r>
        <w:rPr>
          <w:b/>
        </w:rPr>
        <w:t xml:space="preserve"> (Subparts B and C)</w:t>
      </w:r>
    </w:p>
    <w:p w:rsidR="001A2EE7" w:rsidRDefault="00A71DD3" w:rsidP="001A2EE7">
      <w:pPr>
        <w:pStyle w:val="NormalWeb"/>
        <w:ind w:firstLine="720"/>
      </w:pPr>
      <w:r>
        <w:rPr>
          <w:b/>
        </w:rPr>
        <w:t xml:space="preserve">Advertising Rules </w:t>
      </w:r>
      <w:r w:rsidRPr="007642C7">
        <w:rPr>
          <w:b/>
        </w:rPr>
        <w:t>(Subpart B, Section 226.16) (Subpart C, Section 226.24)</w:t>
      </w:r>
      <w:r>
        <w:rPr>
          <w:b/>
        </w:rPr>
        <w:t xml:space="preserve"> -- </w:t>
      </w:r>
      <w:r>
        <w:t>T</w:t>
      </w:r>
      <w:r w:rsidRPr="007642C7">
        <w:t xml:space="preserve">hese requirements apply to all persons who promote the availability of open-end or closed-end credit through commercial messages in any form, including print or electronic media, direct mailings, and displays.  With some variations, Subparts B (for open-end credit) and C (for closed-end credit) both require advertisers to include certain basic credit information if the advertisement refers to specified credit terms or costs.  The purpose of the advertising rules is to provide potential credit shoppers with accurate information that they can use in deciding among various credit sources. </w:t>
      </w:r>
      <w:r>
        <w:t xml:space="preserve"> </w:t>
      </w:r>
      <w:r w:rsidRPr="007642C7">
        <w:t>The frequency of response varies according to the level of credit advertising by a creditor.  No other federal law requires advertisers of credit to include these specific credit terms and costs, although some states may have similar requirements.</w:t>
      </w:r>
    </w:p>
    <w:p w:rsidR="008F4BBA" w:rsidRPr="007642C7" w:rsidRDefault="008F4BBA" w:rsidP="008F4BBA">
      <w:pPr>
        <w:keepNext/>
        <w:widowControl/>
        <w:ind w:firstLine="720"/>
        <w:rPr>
          <w:rFonts w:ascii="Times New Roman" w:hAnsi="Times New Roman"/>
          <w:b/>
        </w:rPr>
      </w:pPr>
      <w:r w:rsidRPr="007642C7">
        <w:rPr>
          <w:rFonts w:ascii="Times New Roman" w:hAnsi="Times New Roman"/>
          <w:b/>
        </w:rPr>
        <w:t xml:space="preserve">Special </w:t>
      </w:r>
      <w:r w:rsidR="003F6EAF">
        <w:rPr>
          <w:rFonts w:ascii="Times New Roman" w:hAnsi="Times New Roman"/>
          <w:b/>
        </w:rPr>
        <w:t xml:space="preserve">Rules for Certain Home Mortgage Transactions </w:t>
      </w:r>
      <w:r w:rsidRPr="007642C7">
        <w:rPr>
          <w:rFonts w:ascii="Times New Roman" w:hAnsi="Times New Roman"/>
          <w:b/>
        </w:rPr>
        <w:t>(Subpart E)</w:t>
      </w:r>
    </w:p>
    <w:p w:rsidR="008F4BBA" w:rsidRPr="007642C7" w:rsidRDefault="008F4BBA" w:rsidP="008F4BBA">
      <w:pPr>
        <w:keepNext/>
        <w:widowControl/>
        <w:ind w:firstLine="720"/>
        <w:rPr>
          <w:rFonts w:ascii="Times New Roman" w:hAnsi="Times New Roman"/>
        </w:rPr>
      </w:pPr>
    </w:p>
    <w:p w:rsidR="008F4BBA" w:rsidRDefault="008F4BBA" w:rsidP="008F4BBA">
      <w:pPr>
        <w:keepLines/>
        <w:widowControl/>
        <w:ind w:firstLine="720"/>
        <w:rPr>
          <w:rFonts w:ascii="Times New Roman" w:hAnsi="Times New Roman"/>
        </w:rPr>
      </w:pPr>
      <w:r w:rsidRPr="007642C7">
        <w:rPr>
          <w:rFonts w:ascii="Times New Roman" w:hAnsi="Times New Roman"/>
        </w:rPr>
        <w:t>Certain types of mortgage products trigger special disclosures, such as reverse and high-cost mortgages; the requirements have a minimal effect on the paperwork burden for SMBs.</w:t>
      </w:r>
    </w:p>
    <w:p w:rsidR="005B7469" w:rsidRDefault="005B7469" w:rsidP="008F4BBA">
      <w:pPr>
        <w:keepLines/>
        <w:widowControl/>
        <w:ind w:firstLine="720"/>
        <w:rPr>
          <w:rFonts w:ascii="Times New Roman" w:hAnsi="Times New Roman"/>
        </w:rPr>
      </w:pPr>
    </w:p>
    <w:p w:rsidR="005B7469" w:rsidRPr="007642C7" w:rsidRDefault="005B7469" w:rsidP="005B7469">
      <w:pPr>
        <w:widowControl/>
        <w:ind w:firstLine="720"/>
        <w:rPr>
          <w:rFonts w:ascii="Times New Roman" w:hAnsi="Times New Roman"/>
        </w:rPr>
      </w:pPr>
      <w:r w:rsidRPr="007642C7">
        <w:rPr>
          <w:rFonts w:ascii="Times New Roman" w:hAnsi="Times New Roman"/>
          <w:b/>
          <w:szCs w:val="24"/>
        </w:rPr>
        <w:t xml:space="preserve">Reverse Mortgages (Section 226.33) – </w:t>
      </w:r>
      <w:r>
        <w:rPr>
          <w:rFonts w:ascii="Times New Roman" w:hAnsi="Times New Roman"/>
          <w:szCs w:val="24"/>
        </w:rPr>
        <w:t xml:space="preserve">Creditors offering </w:t>
      </w:r>
      <w:r w:rsidRPr="007642C7">
        <w:rPr>
          <w:rFonts w:ascii="Times New Roman" w:hAnsi="Times New Roman"/>
          <w:szCs w:val="24"/>
        </w:rPr>
        <w:t xml:space="preserve">reverse mortgages must provide rate disclosures and a notice to consumers at least three days before loan consummation </w:t>
      </w:r>
      <w:r w:rsidRPr="007642C7">
        <w:rPr>
          <w:rFonts w:ascii="Times New Roman" w:hAnsi="Times New Roman"/>
          <w:snapToGrid/>
          <w:szCs w:val="24"/>
        </w:rPr>
        <w:t xml:space="preserve">or before the first transaction in an open-end plan.  </w:t>
      </w:r>
      <w:r w:rsidRPr="007642C7">
        <w:rPr>
          <w:rFonts w:ascii="Times New Roman" w:hAnsi="Times New Roman"/>
          <w:szCs w:val="24"/>
        </w:rPr>
        <w:t xml:space="preserve">A reverse mortgage transaction is a loan secured by the equity in a home.  Disbursements are made to homeowners until the homeowner </w:t>
      </w:r>
      <w:proofErr w:type="gramStart"/>
      <w:r w:rsidRPr="007642C7">
        <w:rPr>
          <w:rFonts w:ascii="Times New Roman" w:hAnsi="Times New Roman"/>
          <w:szCs w:val="24"/>
        </w:rPr>
        <w:t>dies,</w:t>
      </w:r>
      <w:proofErr w:type="gramEnd"/>
      <w:r w:rsidRPr="007642C7">
        <w:rPr>
          <w:rFonts w:ascii="Times New Roman" w:hAnsi="Times New Roman"/>
          <w:szCs w:val="24"/>
        </w:rPr>
        <w:t xml:space="preserve"> moves permanently, or sells the home.  The creditor relies on the home’s future value for repayment.  Creditors must disclose the projected total cost of credit for specified loan periods</w:t>
      </w:r>
      <w:r w:rsidRPr="007642C7">
        <w:rPr>
          <w:rFonts w:ascii="Times New Roman" w:hAnsi="Times New Roman"/>
        </w:rPr>
        <w:t xml:space="preserve"> (short-term, life-expectancy, or long-term).  Creditors must also furnish a notice to consumers that receiving disclosures or applying for the loan does not obligate the consumer to complete the transaction.</w:t>
      </w:r>
    </w:p>
    <w:p w:rsidR="005B7469" w:rsidRPr="007642C7" w:rsidRDefault="005B7469" w:rsidP="005B7469">
      <w:pPr>
        <w:widowControl/>
        <w:ind w:firstLine="720"/>
        <w:rPr>
          <w:rFonts w:ascii="Times New Roman" w:hAnsi="Times New Roman"/>
        </w:rPr>
      </w:pPr>
    </w:p>
    <w:p w:rsidR="005B7469" w:rsidRDefault="005B7469" w:rsidP="005B7469">
      <w:pPr>
        <w:widowControl/>
        <w:ind w:firstLine="720"/>
        <w:rPr>
          <w:rFonts w:ascii="Times New Roman" w:hAnsi="Times New Roman"/>
        </w:rPr>
      </w:pPr>
      <w:r w:rsidRPr="007642C7">
        <w:rPr>
          <w:rFonts w:ascii="Times New Roman" w:hAnsi="Times New Roman"/>
          <w:b/>
        </w:rPr>
        <w:t>Home Ownership and Equity Protection Act (HOEPA) Mortgages (Section 226.34)</w:t>
      </w:r>
      <w:r>
        <w:rPr>
          <w:rFonts w:ascii="Times New Roman" w:hAnsi="Times New Roman"/>
          <w:b/>
        </w:rPr>
        <w:t xml:space="preserve"> -- </w:t>
      </w:r>
      <w:r w:rsidRPr="007642C7">
        <w:rPr>
          <w:rFonts w:ascii="Times New Roman" w:hAnsi="Times New Roman"/>
          <w:b/>
        </w:rPr>
        <w:t xml:space="preserve"> </w:t>
      </w:r>
      <w:r w:rsidRPr="007642C7">
        <w:rPr>
          <w:rFonts w:ascii="Times New Roman" w:hAnsi="Times New Roman"/>
        </w:rPr>
        <w:t xml:space="preserve">Creditors offering mortgages with rates or fees above thresholds outlined in the HOEPA must provide cost disclosures and a notice at least three days before consummation.  The cost disclosures include the APR, regular payment amount, the total amount borrowed and whether the total amount borrowed includes the cost of optional insurance.  A notice warns consumers about losing their home and reminds consumers that they are not obligated to complete the transaction.  In addition, if the creditor changes any terms that are to be reflected on the disclosures, the creditor must generally provide the consumer with new disclosures and allow the consumer another three days to consider the transaction before consummation. </w:t>
      </w:r>
    </w:p>
    <w:p w:rsidR="003A4947" w:rsidRDefault="003A4947" w:rsidP="005B7469">
      <w:pPr>
        <w:widowControl/>
        <w:ind w:firstLine="720"/>
        <w:rPr>
          <w:rFonts w:ascii="Times New Roman" w:hAnsi="Times New Roman"/>
        </w:rPr>
      </w:pPr>
    </w:p>
    <w:p w:rsidR="00D102C6" w:rsidRPr="007642C7" w:rsidRDefault="002943B9" w:rsidP="00D102C6">
      <w:pPr>
        <w:widowControl/>
        <w:autoSpaceDE w:val="0"/>
        <w:autoSpaceDN w:val="0"/>
        <w:adjustRightInd w:val="0"/>
        <w:ind w:firstLine="720"/>
        <w:rPr>
          <w:rFonts w:ascii="Times New Roman" w:eastAsia="Calibri" w:hAnsi="Times New Roman"/>
          <w:snapToGrid/>
          <w:szCs w:val="24"/>
        </w:rPr>
      </w:pPr>
      <w:r>
        <w:rPr>
          <w:rFonts w:ascii="Times New Roman" w:eastAsia="Calibri" w:hAnsi="Times New Roman"/>
          <w:b/>
          <w:bCs/>
          <w:snapToGrid/>
          <w:szCs w:val="24"/>
        </w:rPr>
        <w:t>Notification of the Sale or T</w:t>
      </w:r>
      <w:r w:rsidR="00D102C6" w:rsidRPr="007642C7">
        <w:rPr>
          <w:rFonts w:ascii="Times New Roman" w:eastAsia="Calibri" w:hAnsi="Times New Roman"/>
          <w:b/>
          <w:bCs/>
          <w:snapToGrid/>
          <w:szCs w:val="24"/>
        </w:rPr>
        <w:t xml:space="preserve">ransfer of </w:t>
      </w:r>
      <w:r>
        <w:rPr>
          <w:rFonts w:ascii="Times New Roman" w:eastAsia="Calibri" w:hAnsi="Times New Roman"/>
          <w:b/>
          <w:bCs/>
          <w:snapToGrid/>
          <w:szCs w:val="24"/>
        </w:rPr>
        <w:t>Mortgage L</w:t>
      </w:r>
      <w:r w:rsidR="00D102C6" w:rsidRPr="007642C7">
        <w:rPr>
          <w:rFonts w:ascii="Times New Roman" w:eastAsia="Calibri" w:hAnsi="Times New Roman"/>
          <w:b/>
          <w:bCs/>
          <w:snapToGrid/>
          <w:szCs w:val="24"/>
        </w:rPr>
        <w:t>oans</w:t>
      </w:r>
      <w:r>
        <w:rPr>
          <w:rFonts w:ascii="Times New Roman" w:eastAsia="Calibri" w:hAnsi="Times New Roman"/>
          <w:b/>
          <w:snapToGrid/>
          <w:szCs w:val="24"/>
        </w:rPr>
        <w:t xml:space="preserve"> A</w:t>
      </w:r>
      <w:r w:rsidR="00D102C6" w:rsidRPr="007642C7">
        <w:rPr>
          <w:rFonts w:ascii="Times New Roman" w:eastAsia="Calibri" w:hAnsi="Times New Roman"/>
          <w:b/>
          <w:snapToGrid/>
          <w:szCs w:val="24"/>
        </w:rPr>
        <w:t>mendment (Section 226.39)</w:t>
      </w:r>
      <w:r w:rsidR="00D102C6">
        <w:rPr>
          <w:rFonts w:ascii="Times New Roman" w:eastAsia="Calibri" w:hAnsi="Times New Roman"/>
          <w:b/>
          <w:snapToGrid/>
          <w:szCs w:val="24"/>
        </w:rPr>
        <w:t xml:space="preserve"> --</w:t>
      </w:r>
      <w:r w:rsidR="00D102C6">
        <w:rPr>
          <w:rFonts w:ascii="Times New Roman" w:eastAsia="Calibri" w:hAnsi="Times New Roman"/>
          <w:snapToGrid/>
          <w:szCs w:val="24"/>
        </w:rPr>
        <w:t xml:space="preserve"> </w:t>
      </w:r>
      <w:r w:rsidR="00D102C6" w:rsidRPr="007642C7">
        <w:rPr>
          <w:rFonts w:ascii="Times New Roman" w:eastAsia="Calibri" w:hAnsi="Times New Roman"/>
          <w:snapToGrid/>
          <w:szCs w:val="24"/>
        </w:rPr>
        <w:t xml:space="preserve">The disclosure requirements in Section 226.39 apply only to persons that acquire more than one consumer mortgage transaction in any 12-month period.  The disclosure must identify the loan that was acquired or transferred and, consistent with the statute, contain the following: (1) The identity, address, and telephone number of the covered person that owns the mortgage loan; (2) the date of the acquisition or transfer; (3) contact information that the consumer can use to reach an agent or party having authority to act on behalf of the covered person; (4) the location of the place where the transfer of the ownership of the debt is recorded.  The disclosure must be </w:t>
      </w:r>
      <w:r w:rsidR="00D102C6" w:rsidRPr="007642C7">
        <w:rPr>
          <w:rFonts w:ascii="Times New Roman" w:eastAsia="Calibri" w:hAnsi="Times New Roman"/>
          <w:snapToGrid/>
          <w:szCs w:val="24"/>
        </w:rPr>
        <w:lastRenderedPageBreak/>
        <w:t>mailed or delivered to the consumer on or before the 30th calendar day following the date that the covered person acquires the loan.</w:t>
      </w:r>
    </w:p>
    <w:p w:rsidR="00D102C6" w:rsidRPr="007642C7" w:rsidRDefault="00D102C6" w:rsidP="005B7469">
      <w:pPr>
        <w:widowControl/>
        <w:ind w:firstLine="720"/>
        <w:rPr>
          <w:rFonts w:ascii="Times New Roman" w:hAnsi="Times New Roman"/>
        </w:rPr>
      </w:pPr>
    </w:p>
    <w:p w:rsidR="007345A7" w:rsidRDefault="009D4C03" w:rsidP="005B7469">
      <w:pPr>
        <w:widowControl/>
        <w:autoSpaceDE w:val="0"/>
        <w:autoSpaceDN w:val="0"/>
        <w:adjustRightInd w:val="0"/>
        <w:ind w:firstLine="720"/>
        <w:rPr>
          <w:szCs w:val="24"/>
          <w:vertAlign w:val="superscript"/>
        </w:rPr>
      </w:pPr>
      <w:r>
        <w:rPr>
          <w:rFonts w:ascii="Times New Roman" w:hAnsi="Times New Roman"/>
          <w:b/>
          <w:szCs w:val="24"/>
        </w:rPr>
        <w:t>Special Rules for Private Education Loans</w:t>
      </w:r>
      <w:r w:rsidR="007345A7" w:rsidRPr="007642C7">
        <w:rPr>
          <w:rFonts w:ascii="Times New Roman" w:hAnsi="Times New Roman"/>
          <w:b/>
          <w:szCs w:val="24"/>
        </w:rPr>
        <w:t xml:space="preserve"> </w:t>
      </w:r>
      <w:r w:rsidR="00E56FAC" w:rsidRPr="007642C7">
        <w:rPr>
          <w:rFonts w:ascii="Times New Roman" w:hAnsi="Times New Roman"/>
          <w:b/>
          <w:szCs w:val="24"/>
        </w:rPr>
        <w:t>(</w:t>
      </w:r>
      <w:r w:rsidR="007345A7" w:rsidRPr="007642C7">
        <w:rPr>
          <w:rFonts w:ascii="Times New Roman" w:hAnsi="Times New Roman"/>
          <w:b/>
          <w:szCs w:val="24"/>
        </w:rPr>
        <w:t>Subpart F</w:t>
      </w:r>
      <w:r w:rsidR="00E56FAC" w:rsidRPr="007642C7">
        <w:rPr>
          <w:rFonts w:ascii="Times New Roman" w:hAnsi="Times New Roman"/>
          <w:b/>
          <w:szCs w:val="24"/>
        </w:rPr>
        <w:t>)</w:t>
      </w:r>
      <w:r w:rsidR="007345A7" w:rsidRPr="007642C7">
        <w:rPr>
          <w:rStyle w:val="FootnoteReference"/>
          <w:szCs w:val="24"/>
          <w:vertAlign w:val="superscript"/>
        </w:rPr>
        <w:footnoteReference w:id="6"/>
      </w:r>
    </w:p>
    <w:p w:rsidR="005B7469" w:rsidRPr="007642C7" w:rsidRDefault="005B7469" w:rsidP="005B7469">
      <w:pPr>
        <w:widowControl/>
        <w:autoSpaceDE w:val="0"/>
        <w:autoSpaceDN w:val="0"/>
        <w:adjustRightInd w:val="0"/>
        <w:ind w:firstLine="720"/>
        <w:rPr>
          <w:rFonts w:ascii="Times New Roman" w:hAnsi="Times New Roman"/>
          <w:b/>
          <w:szCs w:val="24"/>
        </w:rPr>
      </w:pPr>
    </w:p>
    <w:p w:rsidR="007345A7" w:rsidRPr="007642C7" w:rsidRDefault="007345A7" w:rsidP="005B7469">
      <w:pPr>
        <w:keepNext/>
        <w:tabs>
          <w:tab w:val="left" w:pos="720"/>
        </w:tabs>
        <w:rPr>
          <w:rFonts w:ascii="Times New Roman" w:hAnsi="Times New Roman"/>
          <w:szCs w:val="24"/>
        </w:rPr>
      </w:pPr>
      <w:r w:rsidRPr="007642C7">
        <w:rPr>
          <w:rFonts w:ascii="Times New Roman" w:hAnsi="Times New Roman"/>
          <w:szCs w:val="24"/>
        </w:rPr>
        <w:tab/>
        <w:t>Disclosures for private education loans must be given at different times in the loan origination process</w:t>
      </w:r>
      <w:r w:rsidR="005B7469">
        <w:rPr>
          <w:rFonts w:ascii="Times New Roman" w:hAnsi="Times New Roman"/>
          <w:szCs w:val="24"/>
        </w:rPr>
        <w:t>.</w:t>
      </w:r>
    </w:p>
    <w:p w:rsidR="001A2EE7" w:rsidRDefault="007345A7" w:rsidP="001A2EE7">
      <w:pPr>
        <w:pStyle w:val="NormalWeb"/>
        <w:autoSpaceDE w:val="0"/>
        <w:autoSpaceDN w:val="0"/>
        <w:adjustRightInd w:val="0"/>
        <w:ind w:firstLine="720"/>
        <w:rPr>
          <w:b/>
          <w:bCs/>
        </w:rPr>
      </w:pPr>
      <w:r w:rsidRPr="00E9329C">
        <w:rPr>
          <w:b/>
          <w:bCs/>
        </w:rPr>
        <w:t>Application or Solicitation Disclosures (Section 226.</w:t>
      </w:r>
      <w:r w:rsidR="00E56FAC" w:rsidRPr="00E9329C">
        <w:rPr>
          <w:b/>
          <w:bCs/>
        </w:rPr>
        <w:t>4</w:t>
      </w:r>
      <w:r w:rsidR="00113FB2" w:rsidRPr="00E9329C">
        <w:rPr>
          <w:b/>
          <w:bCs/>
        </w:rPr>
        <w:t>6</w:t>
      </w:r>
      <w:r w:rsidRPr="00E9329C">
        <w:rPr>
          <w:b/>
          <w:bCs/>
        </w:rPr>
        <w:t>(</w:t>
      </w:r>
      <w:r w:rsidR="00113FB2" w:rsidRPr="00E9329C">
        <w:rPr>
          <w:b/>
          <w:bCs/>
        </w:rPr>
        <w:t>d</w:t>
      </w:r>
      <w:proofErr w:type="gramStart"/>
      <w:r w:rsidRPr="00E9329C">
        <w:rPr>
          <w:b/>
          <w:bCs/>
        </w:rPr>
        <w:t>)</w:t>
      </w:r>
      <w:r w:rsidR="00113FB2" w:rsidRPr="00E9329C">
        <w:rPr>
          <w:b/>
          <w:bCs/>
        </w:rPr>
        <w:t>(</w:t>
      </w:r>
      <w:proofErr w:type="gramEnd"/>
      <w:r w:rsidR="00113FB2" w:rsidRPr="00E9329C">
        <w:rPr>
          <w:b/>
          <w:bCs/>
        </w:rPr>
        <w:t>1)</w:t>
      </w:r>
      <w:r w:rsidRPr="00E9329C">
        <w:rPr>
          <w:b/>
          <w:bCs/>
        </w:rPr>
        <w:t>)</w:t>
      </w:r>
      <w:r w:rsidRPr="00E9329C">
        <w:rPr>
          <w:bCs/>
        </w:rPr>
        <w:t xml:space="preserve"> – Specifies</w:t>
      </w:r>
      <w:r w:rsidRPr="007642C7">
        <w:t xml:space="preserve"> </w:t>
      </w:r>
      <w:r w:rsidR="00A757D9" w:rsidRPr="00E9329C">
        <w:rPr>
          <w:rFonts w:eastAsia="Calibri"/>
        </w:rPr>
        <w:t>the</w:t>
      </w:r>
      <w:r w:rsidR="003B35F5" w:rsidRPr="00E9329C">
        <w:rPr>
          <w:rFonts w:eastAsia="Calibri"/>
        </w:rPr>
        <w:t xml:space="preserve"> disclosures required by section 226.47(a) </w:t>
      </w:r>
      <w:r w:rsidR="003B35F5" w:rsidRPr="007642C7">
        <w:t>shall be provided on or with any application or solicitation. For purposes of this subpart, the term solicitation means an offer of credit that does not require the consumer to complete an application. The creditor may, at its option, disclose orally the information in a telephone application or solicitation. Alternatively, if the creditor does not disclose orally the information, the creditor must provide the disclosures or place them in the mail no later than three business days after the consumer has applied for the credit, except that, if the creditor either denies the consumer's application or provides or places in the mail the disclosures no later than three business days after the consumer requests the credit, the creditor need not also provide the §226.47(a) disclosures.</w:t>
      </w:r>
    </w:p>
    <w:p w:rsidR="001A2EE7" w:rsidRDefault="007345A7" w:rsidP="001A2EE7">
      <w:pPr>
        <w:pStyle w:val="NormalWeb"/>
        <w:autoSpaceDE w:val="0"/>
        <w:autoSpaceDN w:val="0"/>
        <w:adjustRightInd w:val="0"/>
        <w:ind w:firstLine="720"/>
        <w:rPr>
          <w:b/>
          <w:bCs/>
        </w:rPr>
      </w:pPr>
      <w:r w:rsidRPr="00E9329C">
        <w:rPr>
          <w:b/>
        </w:rPr>
        <w:t>Approval Disclosures (Section 226.</w:t>
      </w:r>
      <w:r w:rsidR="00560AF8" w:rsidRPr="00E9329C">
        <w:rPr>
          <w:b/>
        </w:rPr>
        <w:t>4</w:t>
      </w:r>
      <w:r w:rsidR="00113FB2" w:rsidRPr="00E9329C">
        <w:rPr>
          <w:b/>
        </w:rPr>
        <w:t>6(d</w:t>
      </w:r>
      <w:proofErr w:type="gramStart"/>
      <w:r w:rsidR="00113FB2" w:rsidRPr="00E9329C">
        <w:rPr>
          <w:b/>
        </w:rPr>
        <w:t>)(</w:t>
      </w:r>
      <w:proofErr w:type="gramEnd"/>
      <w:r w:rsidR="00113FB2" w:rsidRPr="00E9329C">
        <w:rPr>
          <w:b/>
        </w:rPr>
        <w:t>2)</w:t>
      </w:r>
      <w:r w:rsidRPr="00E9329C">
        <w:rPr>
          <w:b/>
        </w:rPr>
        <w:t>)</w:t>
      </w:r>
      <w:r w:rsidRPr="00E9329C">
        <w:t xml:space="preserve"> – </w:t>
      </w:r>
      <w:r w:rsidR="00113FB2" w:rsidRPr="00E9329C">
        <w:t>R</w:t>
      </w:r>
      <w:r w:rsidR="00113FB2" w:rsidRPr="00E9329C">
        <w:rPr>
          <w:rFonts w:eastAsia="Calibri"/>
        </w:rPr>
        <w:t xml:space="preserve">equires that the disclosures specified in § 226.47(b) be provided before consummation on or with any notice to the consumer that the creditor has approved the consumer’s application for a loan. </w:t>
      </w:r>
      <w:r w:rsidR="003A4947">
        <w:rPr>
          <w:rFonts w:eastAsia="Calibri"/>
        </w:rPr>
        <w:t xml:space="preserve"> </w:t>
      </w:r>
      <w:r w:rsidR="00113FB2" w:rsidRPr="00E9329C">
        <w:rPr>
          <w:rFonts w:eastAsia="Calibri"/>
        </w:rPr>
        <w:t xml:space="preserve">If the creditor provides approval to the consumer by mail, the disclosures have to be mailed at the same time as the approval. If the creditor provides approval by telephone, the creditor must place the disclosures in the mail within three business days of the approval. The creditor may provide the disclosures solely in electronic form if the creditor has complied with the consumer consent and other applicable provisions of the E-Sign Act (15 U.S.C. § 7001 </w:t>
      </w:r>
      <w:r w:rsidR="00113FB2" w:rsidRPr="00E9329C">
        <w:rPr>
          <w:rFonts w:eastAsia="Calibri"/>
          <w:i/>
          <w:iCs/>
        </w:rPr>
        <w:t>et seq.</w:t>
      </w:r>
      <w:r w:rsidR="00113FB2" w:rsidRPr="00E9329C">
        <w:rPr>
          <w:rFonts w:eastAsia="Calibri"/>
        </w:rPr>
        <w:t>); otherwise, the creditor must place the disclosures in the mail within three business days.</w:t>
      </w:r>
    </w:p>
    <w:p w:rsidR="00F470B1" w:rsidRDefault="007345A7">
      <w:pPr>
        <w:pStyle w:val="NormalWeb"/>
        <w:autoSpaceDE w:val="0"/>
        <w:autoSpaceDN w:val="0"/>
        <w:adjustRightInd w:val="0"/>
        <w:ind w:firstLine="720"/>
        <w:rPr>
          <w:rFonts w:eastAsia="Calibri"/>
        </w:rPr>
      </w:pPr>
      <w:r w:rsidRPr="00E9329C">
        <w:rPr>
          <w:b/>
        </w:rPr>
        <w:t xml:space="preserve">Final Disclosures </w:t>
      </w:r>
      <w:r w:rsidR="00113FB2" w:rsidRPr="00E9329C">
        <w:rPr>
          <w:b/>
        </w:rPr>
        <w:t>(Section 226.46(d</w:t>
      </w:r>
      <w:proofErr w:type="gramStart"/>
      <w:r w:rsidR="00113FB2" w:rsidRPr="00E9329C">
        <w:rPr>
          <w:b/>
        </w:rPr>
        <w:t>)(</w:t>
      </w:r>
      <w:proofErr w:type="gramEnd"/>
      <w:r w:rsidR="00113FB2" w:rsidRPr="00E9329C">
        <w:rPr>
          <w:b/>
        </w:rPr>
        <w:t>3))</w:t>
      </w:r>
      <w:r w:rsidR="000238C3">
        <w:rPr>
          <w:b/>
        </w:rPr>
        <w:t xml:space="preserve"> </w:t>
      </w:r>
      <w:r w:rsidRPr="00E9329C">
        <w:t xml:space="preserve">– Requires </w:t>
      </w:r>
      <w:r w:rsidR="00FB4547" w:rsidRPr="00E9329C">
        <w:rPr>
          <w:rFonts w:eastAsia="Calibri"/>
        </w:rPr>
        <w:t>the final disclosures to be provided to the consumer after the consumer accepts the loan, but does not base the timing on when the private education loan funds are disbursed.  Section 226.48(d) prohibits the creditor from disbursing funds until at least three business days after the consumer receives the final disclosures.</w:t>
      </w:r>
      <w:r w:rsidR="003A4947">
        <w:rPr>
          <w:rFonts w:eastAsia="Calibri"/>
        </w:rPr>
        <w:tab/>
      </w:r>
    </w:p>
    <w:p w:rsidR="002C2E3B" w:rsidRPr="00874A61" w:rsidRDefault="006F0ABD" w:rsidP="007642C7">
      <w:pPr>
        <w:widowControl/>
        <w:ind w:firstLine="720"/>
        <w:rPr>
          <w:rFonts w:ascii="Times New Roman" w:hAnsi="Times New Roman"/>
          <w:b/>
          <w:szCs w:val="24"/>
        </w:rPr>
      </w:pPr>
      <w:r w:rsidRPr="00874A61">
        <w:rPr>
          <w:rFonts w:ascii="Times New Roman" w:hAnsi="Times New Roman"/>
          <w:b/>
          <w:szCs w:val="24"/>
        </w:rPr>
        <w:t>Special Rules Applicable to Credit Card Accounts and Open-End Credit Offered to College Students (Subpart G)</w:t>
      </w:r>
    </w:p>
    <w:p w:rsidR="002C2E3B" w:rsidRPr="00874A61" w:rsidRDefault="002C2E3B" w:rsidP="007642C7">
      <w:pPr>
        <w:widowControl/>
        <w:ind w:firstLine="720"/>
        <w:rPr>
          <w:rFonts w:ascii="Times New Roman" w:hAnsi="Times New Roman"/>
          <w:b/>
          <w:szCs w:val="24"/>
        </w:rPr>
      </w:pPr>
    </w:p>
    <w:p w:rsidR="00874A61" w:rsidRDefault="00874A61" w:rsidP="00874A61">
      <w:pPr>
        <w:widowControl/>
        <w:autoSpaceDE w:val="0"/>
        <w:autoSpaceDN w:val="0"/>
        <w:adjustRightInd w:val="0"/>
        <w:ind w:firstLine="720"/>
        <w:rPr>
          <w:rFonts w:ascii="Times New Roman" w:eastAsia="Melior" w:hAnsi="Times New Roman"/>
          <w:snapToGrid/>
          <w:szCs w:val="24"/>
        </w:rPr>
      </w:pPr>
      <w:r w:rsidRPr="00D06592">
        <w:rPr>
          <w:rFonts w:ascii="Times New Roman" w:eastAsia="Melior" w:hAnsi="Times New Roman"/>
          <w:snapToGrid/>
          <w:szCs w:val="24"/>
        </w:rPr>
        <w:t xml:space="preserve">TILA Section 140(f), as added by Section 304 of the Credit Card Act, requires the public disclosure of contracts or other agreements between card issuers and institutions of higher education for the purpose of marketing a credit card and imposes restrictions related to marketing open-end credit to college students. </w:t>
      </w:r>
      <w:proofErr w:type="gramStart"/>
      <w:r w:rsidRPr="00D06592">
        <w:rPr>
          <w:rFonts w:ascii="Times New Roman" w:eastAsia="Melior" w:hAnsi="Times New Roman"/>
          <w:snapToGrid/>
          <w:szCs w:val="24"/>
        </w:rPr>
        <w:t>15 U.S.C. 1650(f).</w:t>
      </w:r>
      <w:proofErr w:type="gramEnd"/>
      <w:r w:rsidRPr="00D06592">
        <w:rPr>
          <w:rFonts w:ascii="Times New Roman" w:eastAsia="Melior" w:hAnsi="Times New Roman"/>
          <w:snapToGrid/>
          <w:szCs w:val="24"/>
        </w:rPr>
        <w:t xml:space="preserve"> The </w:t>
      </w:r>
      <w:r w:rsidR="00D06592">
        <w:rPr>
          <w:rFonts w:ascii="Times New Roman" w:eastAsia="Melior" w:hAnsi="Times New Roman"/>
          <w:snapToGrid/>
          <w:szCs w:val="24"/>
        </w:rPr>
        <w:t xml:space="preserve">Federal Reserve </w:t>
      </w:r>
      <w:r w:rsidRPr="00D06592">
        <w:rPr>
          <w:rFonts w:ascii="Times New Roman" w:eastAsia="Melior" w:hAnsi="Times New Roman"/>
          <w:snapToGrid/>
          <w:szCs w:val="24"/>
        </w:rPr>
        <w:t>implement</w:t>
      </w:r>
      <w:r w:rsidR="00D06592">
        <w:rPr>
          <w:rFonts w:ascii="Times New Roman" w:eastAsia="Melior" w:hAnsi="Times New Roman"/>
          <w:snapToGrid/>
          <w:szCs w:val="24"/>
        </w:rPr>
        <w:t>ed</w:t>
      </w:r>
      <w:r w:rsidRPr="00D06592">
        <w:rPr>
          <w:rFonts w:ascii="Times New Roman" w:eastAsia="Melior" w:hAnsi="Times New Roman"/>
          <w:snapToGrid/>
          <w:szCs w:val="24"/>
        </w:rPr>
        <w:t xml:space="preserve"> these provisions in Section 226.57.</w:t>
      </w:r>
    </w:p>
    <w:p w:rsidR="00874A61" w:rsidRPr="00874A61" w:rsidRDefault="00874A61" w:rsidP="00874A61">
      <w:pPr>
        <w:widowControl/>
        <w:autoSpaceDE w:val="0"/>
        <w:autoSpaceDN w:val="0"/>
        <w:adjustRightInd w:val="0"/>
        <w:ind w:firstLine="720"/>
        <w:rPr>
          <w:rFonts w:ascii="Times New Roman" w:hAnsi="Times New Roman"/>
          <w:b/>
          <w:szCs w:val="24"/>
        </w:rPr>
      </w:pPr>
    </w:p>
    <w:p w:rsidR="002C2E3B" w:rsidRPr="000238C3" w:rsidRDefault="006F0ABD" w:rsidP="000238C3">
      <w:pPr>
        <w:widowControl/>
        <w:autoSpaceDE w:val="0"/>
        <w:autoSpaceDN w:val="0"/>
        <w:adjustRightInd w:val="0"/>
        <w:ind w:firstLine="720"/>
        <w:rPr>
          <w:rFonts w:ascii="Times New Roman" w:eastAsia="Calibri" w:hAnsi="Times New Roman"/>
          <w:b/>
          <w:snapToGrid/>
          <w:szCs w:val="24"/>
        </w:rPr>
      </w:pPr>
      <w:r w:rsidRPr="00874A61">
        <w:rPr>
          <w:rFonts w:ascii="Times New Roman" w:eastAsia="Calibri" w:hAnsi="Times New Roman"/>
          <w:b/>
          <w:iCs/>
          <w:snapToGrid/>
          <w:szCs w:val="24"/>
        </w:rPr>
        <w:t>Reporting and Marketing Rules for College Student Open-End Credit (Section</w:t>
      </w:r>
      <w:r w:rsidR="002C2E3B" w:rsidRPr="00874A61">
        <w:rPr>
          <w:rFonts w:ascii="Times New Roman" w:eastAsia="Calibri" w:hAnsi="Times New Roman"/>
          <w:b/>
          <w:iCs/>
          <w:snapToGrid/>
          <w:szCs w:val="24"/>
        </w:rPr>
        <w:t xml:space="preserve"> </w:t>
      </w:r>
      <w:r w:rsidRPr="00874A61">
        <w:rPr>
          <w:rFonts w:ascii="Times New Roman" w:eastAsia="Calibri" w:hAnsi="Times New Roman"/>
          <w:b/>
          <w:iCs/>
          <w:snapToGrid/>
          <w:szCs w:val="24"/>
        </w:rPr>
        <w:t>226.57</w:t>
      </w:r>
      <w:r w:rsidRPr="00874A61">
        <w:rPr>
          <w:rFonts w:ascii="Times New Roman" w:eastAsia="Calibri" w:hAnsi="Times New Roman"/>
          <w:b/>
          <w:snapToGrid/>
          <w:szCs w:val="24"/>
        </w:rPr>
        <w:t>(d))</w:t>
      </w:r>
      <w:r w:rsidRPr="00874A61">
        <w:rPr>
          <w:rStyle w:val="FootnoteReference"/>
          <w:rFonts w:eastAsia="Calibri"/>
          <w:b/>
          <w:iCs/>
          <w:snapToGrid/>
          <w:szCs w:val="24"/>
          <w:vertAlign w:val="superscript"/>
        </w:rPr>
        <w:footnoteReference w:id="7"/>
      </w:r>
      <w:r w:rsidR="000238C3" w:rsidRPr="00874A61">
        <w:rPr>
          <w:rFonts w:ascii="Times New Roman" w:eastAsia="Calibri" w:hAnsi="Times New Roman"/>
          <w:b/>
          <w:snapToGrid/>
          <w:szCs w:val="24"/>
        </w:rPr>
        <w:t xml:space="preserve"> – </w:t>
      </w:r>
      <w:r w:rsidR="002C2E3B" w:rsidRPr="00874A61">
        <w:rPr>
          <w:rFonts w:ascii="Times New Roman" w:eastAsia="Calibri" w:hAnsi="Times New Roman"/>
          <w:iCs/>
          <w:snapToGrid/>
          <w:szCs w:val="24"/>
        </w:rPr>
        <w:t>R</w:t>
      </w:r>
      <w:r w:rsidR="002C2E3B" w:rsidRPr="00874A61">
        <w:rPr>
          <w:rFonts w:ascii="Times New Roman" w:eastAsia="Calibri" w:hAnsi="Times New Roman"/>
          <w:snapToGrid/>
          <w:szCs w:val="24"/>
        </w:rPr>
        <w:t>equires card issuers that are a party to one or more college credit card</w:t>
      </w:r>
      <w:r w:rsidR="002C2E3B" w:rsidRPr="007642C7">
        <w:rPr>
          <w:rFonts w:ascii="Times New Roman" w:eastAsia="Calibri" w:hAnsi="Times New Roman"/>
          <w:snapToGrid/>
          <w:szCs w:val="24"/>
        </w:rPr>
        <w:t xml:space="preserve"> agreements to submit annual reports to the Board regarding those agreements.</w:t>
      </w:r>
      <w:r w:rsidR="002C2E3B" w:rsidRPr="00BE2B9F">
        <w:rPr>
          <w:rStyle w:val="FootnoteReference"/>
          <w:rFonts w:eastAsia="Calibri"/>
          <w:snapToGrid/>
          <w:szCs w:val="24"/>
          <w:vertAlign w:val="superscript"/>
        </w:rPr>
        <w:footnoteReference w:id="8"/>
      </w:r>
      <w:r w:rsidR="002C2E3B" w:rsidRPr="007642C7">
        <w:rPr>
          <w:rFonts w:ascii="Times New Roman" w:eastAsia="Calibri" w:hAnsi="Times New Roman"/>
          <w:snapToGrid/>
          <w:szCs w:val="24"/>
        </w:rPr>
        <w:t xml:space="preserve">  </w:t>
      </w:r>
      <w:r w:rsidR="002C2E3B">
        <w:rPr>
          <w:rFonts w:ascii="Times New Roman" w:eastAsia="Calibri" w:hAnsi="Times New Roman"/>
          <w:snapToGrid/>
          <w:szCs w:val="24"/>
        </w:rPr>
        <w:t xml:space="preserve">Card </w:t>
      </w:r>
      <w:r w:rsidR="002C2E3B" w:rsidRPr="007642C7">
        <w:rPr>
          <w:rFonts w:ascii="Times New Roman" w:eastAsia="Calibri" w:hAnsi="Times New Roman"/>
          <w:snapToGrid/>
          <w:szCs w:val="24"/>
        </w:rPr>
        <w:t xml:space="preserve">issuers must submit annual reports by the first business day on or after March 31 of </w:t>
      </w:r>
      <w:r w:rsidR="002C2E3B">
        <w:rPr>
          <w:rFonts w:ascii="Times New Roman" w:eastAsia="Calibri" w:hAnsi="Times New Roman"/>
          <w:snapToGrid/>
          <w:szCs w:val="24"/>
        </w:rPr>
        <w:t>each</w:t>
      </w:r>
      <w:r w:rsidR="002C2E3B" w:rsidRPr="007642C7">
        <w:rPr>
          <w:rFonts w:ascii="Times New Roman" w:eastAsia="Calibri" w:hAnsi="Times New Roman"/>
          <w:snapToGrid/>
          <w:szCs w:val="24"/>
        </w:rPr>
        <w:t xml:space="preserve"> calendar year.  The annual report must include the method or formula used to determine the amount of payments from an issuer to an institution of higher education or affiliated organization during the reporting period.  In addition, each annual report must include a copy of any memorandum of understanding that directly or indirectly relates to the college credit card agreement or that controls or directs any obligations or distribution of benefits between any such entities.</w:t>
      </w:r>
    </w:p>
    <w:p w:rsidR="002C2E3B" w:rsidRPr="007642C7" w:rsidRDefault="002C2E3B" w:rsidP="002C2E3B">
      <w:pPr>
        <w:widowControl/>
        <w:ind w:firstLine="720"/>
        <w:rPr>
          <w:rFonts w:ascii="Times New Roman" w:hAnsi="Times New Roman"/>
          <w:szCs w:val="24"/>
        </w:rPr>
      </w:pPr>
    </w:p>
    <w:p w:rsidR="002C2E3B" w:rsidRPr="000238C3" w:rsidRDefault="006F0ABD" w:rsidP="000238C3">
      <w:pPr>
        <w:widowControl/>
        <w:autoSpaceDE w:val="0"/>
        <w:autoSpaceDN w:val="0"/>
        <w:adjustRightInd w:val="0"/>
        <w:ind w:firstLine="720"/>
        <w:rPr>
          <w:rFonts w:ascii="Times New Roman" w:eastAsia="Calibri" w:hAnsi="Times New Roman"/>
          <w:b/>
          <w:snapToGrid/>
          <w:szCs w:val="24"/>
        </w:rPr>
      </w:pPr>
      <w:r w:rsidRPr="006F0ABD">
        <w:rPr>
          <w:rFonts w:ascii="Times New Roman" w:eastAsia="Calibri" w:hAnsi="Times New Roman"/>
          <w:b/>
          <w:iCs/>
          <w:snapToGrid/>
          <w:szCs w:val="24"/>
        </w:rPr>
        <w:t>Internet Posting of Credit Card Agreements (</w:t>
      </w:r>
      <w:r w:rsidRPr="006F0ABD">
        <w:rPr>
          <w:rFonts w:ascii="Times New Roman" w:eastAsia="Calibri" w:hAnsi="Times New Roman"/>
          <w:b/>
          <w:snapToGrid/>
          <w:szCs w:val="24"/>
        </w:rPr>
        <w:t>Section 226.58)</w:t>
      </w:r>
      <w:r w:rsidR="000238C3">
        <w:rPr>
          <w:rFonts w:ascii="Times New Roman" w:eastAsia="Calibri" w:hAnsi="Times New Roman"/>
          <w:b/>
          <w:snapToGrid/>
          <w:szCs w:val="24"/>
        </w:rPr>
        <w:t xml:space="preserve"> – </w:t>
      </w:r>
      <w:r w:rsidR="009D4C03">
        <w:rPr>
          <w:rFonts w:ascii="Times New Roman" w:eastAsia="Calibri" w:hAnsi="Times New Roman"/>
          <w:snapToGrid/>
          <w:szCs w:val="24"/>
        </w:rPr>
        <w:t>R</w:t>
      </w:r>
      <w:r w:rsidR="002C2E3B" w:rsidRPr="007642C7">
        <w:rPr>
          <w:rFonts w:ascii="Times New Roman" w:eastAsia="Calibri" w:hAnsi="Times New Roman"/>
          <w:snapToGrid/>
          <w:szCs w:val="24"/>
        </w:rPr>
        <w:t>equires that card issuers post on their web sites the credit card agreements they offer to the public.</w:t>
      </w:r>
      <w:r w:rsidR="002C2E3B" w:rsidRPr="00BE2B9F">
        <w:rPr>
          <w:rStyle w:val="FootnoteReference"/>
          <w:rFonts w:eastAsia="Calibri"/>
          <w:snapToGrid/>
          <w:szCs w:val="24"/>
          <w:vertAlign w:val="superscript"/>
        </w:rPr>
        <w:footnoteReference w:id="9"/>
      </w:r>
      <w:r w:rsidR="002C2E3B" w:rsidRPr="007642C7">
        <w:rPr>
          <w:rFonts w:ascii="Times New Roman" w:eastAsia="Calibri" w:hAnsi="Times New Roman"/>
          <w:snapToGrid/>
          <w:szCs w:val="24"/>
        </w:rPr>
        <w:t xml:space="preserve">  </w:t>
      </w:r>
      <w:r w:rsidR="002C2E3B">
        <w:rPr>
          <w:rFonts w:ascii="Times New Roman" w:eastAsia="Calibri" w:hAnsi="Times New Roman"/>
          <w:snapToGrid/>
          <w:szCs w:val="24"/>
        </w:rPr>
        <w:t>Card i</w:t>
      </w:r>
      <w:r w:rsidR="002C2E3B" w:rsidRPr="007642C7">
        <w:rPr>
          <w:rFonts w:ascii="Times New Roman" w:eastAsia="Calibri" w:hAnsi="Times New Roman"/>
          <w:snapToGrid/>
          <w:szCs w:val="24"/>
        </w:rPr>
        <w:t>ssuers must also submit these agreements to the Board quarterly for posting on the Board’s public Web site.  This requirement is applicable to any card issuer that issues credit cards under a credit card account under an open-end (not home-secured) consumer credit plan, as defined in Section 226.2(a</w:t>
      </w:r>
      <w:proofErr w:type="gramStart"/>
      <w:r w:rsidR="002C2E3B" w:rsidRPr="007642C7">
        <w:rPr>
          <w:rFonts w:ascii="Times New Roman" w:eastAsia="Calibri" w:hAnsi="Times New Roman"/>
          <w:snapToGrid/>
          <w:szCs w:val="24"/>
        </w:rPr>
        <w:t>)(</w:t>
      </w:r>
      <w:proofErr w:type="gramEnd"/>
      <w:r w:rsidR="002C2E3B" w:rsidRPr="007642C7">
        <w:rPr>
          <w:rFonts w:ascii="Times New Roman" w:eastAsia="Calibri" w:hAnsi="Times New Roman"/>
          <w:snapToGrid/>
          <w:szCs w:val="24"/>
        </w:rPr>
        <w:t>15).</w:t>
      </w:r>
      <w:r w:rsidR="002C2E3B" w:rsidRPr="007642C7">
        <w:rPr>
          <w:rStyle w:val="FootnoteReference"/>
          <w:rFonts w:eastAsia="Calibri"/>
          <w:snapToGrid/>
          <w:szCs w:val="24"/>
          <w:vertAlign w:val="superscript"/>
        </w:rPr>
        <w:footnoteReference w:id="10"/>
      </w:r>
    </w:p>
    <w:p w:rsidR="00813889" w:rsidRPr="00F26EC9" w:rsidRDefault="00813889" w:rsidP="00813889">
      <w:pPr>
        <w:widowControl/>
        <w:autoSpaceDE w:val="0"/>
        <w:autoSpaceDN w:val="0"/>
        <w:adjustRightInd w:val="0"/>
        <w:rPr>
          <w:rFonts w:ascii="Times New Roman" w:eastAsia="Calibri" w:hAnsi="Times New Roman"/>
          <w:snapToGrid/>
          <w:szCs w:val="24"/>
        </w:rPr>
      </w:pPr>
    </w:p>
    <w:p w:rsidR="00813889" w:rsidRPr="00F26EC9" w:rsidRDefault="00E9329C" w:rsidP="00813889">
      <w:pPr>
        <w:widowControl/>
        <w:autoSpaceDE w:val="0"/>
        <w:autoSpaceDN w:val="0"/>
        <w:adjustRightInd w:val="0"/>
        <w:jc w:val="center"/>
        <w:rPr>
          <w:rFonts w:ascii="Times New Roman" w:eastAsia="Calibri" w:hAnsi="Times New Roman"/>
          <w:b/>
          <w:i/>
          <w:snapToGrid/>
          <w:szCs w:val="24"/>
        </w:rPr>
      </w:pPr>
      <w:r w:rsidRPr="00F26EC9">
        <w:rPr>
          <w:rFonts w:ascii="Times New Roman" w:hAnsi="Times New Roman"/>
          <w:b/>
          <w:i/>
          <w:szCs w:val="24"/>
        </w:rPr>
        <w:t>Valuation Independence</w:t>
      </w:r>
      <w:r w:rsidRPr="00F26EC9">
        <w:rPr>
          <w:rFonts w:ascii="Times New Roman" w:eastAsia="Calibri" w:hAnsi="Times New Roman"/>
          <w:b/>
          <w:i/>
          <w:snapToGrid/>
          <w:szCs w:val="24"/>
        </w:rPr>
        <w:t xml:space="preserve"> </w:t>
      </w:r>
      <w:r w:rsidR="00813889" w:rsidRPr="00F26EC9">
        <w:rPr>
          <w:rFonts w:ascii="Times New Roman" w:eastAsia="Calibri" w:hAnsi="Times New Roman"/>
          <w:b/>
          <w:i/>
          <w:snapToGrid/>
          <w:szCs w:val="24"/>
        </w:rPr>
        <w:t>Amendment</w:t>
      </w:r>
    </w:p>
    <w:p w:rsidR="00813889" w:rsidRPr="00F26EC9" w:rsidRDefault="00813889" w:rsidP="00813889">
      <w:pPr>
        <w:widowControl/>
        <w:autoSpaceDE w:val="0"/>
        <w:autoSpaceDN w:val="0"/>
        <w:adjustRightInd w:val="0"/>
        <w:rPr>
          <w:rFonts w:ascii="Times New Roman" w:eastAsia="Calibri" w:hAnsi="Times New Roman"/>
          <w:snapToGrid/>
          <w:szCs w:val="24"/>
        </w:rPr>
      </w:pPr>
    </w:p>
    <w:p w:rsidR="00813889" w:rsidRPr="00F26EC9" w:rsidRDefault="00E9329C" w:rsidP="00EA1495">
      <w:pPr>
        <w:widowControl/>
        <w:autoSpaceDE w:val="0"/>
        <w:autoSpaceDN w:val="0"/>
        <w:adjustRightInd w:val="0"/>
        <w:ind w:firstLine="720"/>
        <w:rPr>
          <w:rFonts w:ascii="Times New Roman" w:eastAsia="Calibri" w:hAnsi="Times New Roman"/>
          <w:b/>
          <w:snapToGrid/>
          <w:szCs w:val="24"/>
        </w:rPr>
      </w:pPr>
      <w:r w:rsidRPr="00F26EC9">
        <w:rPr>
          <w:rFonts w:ascii="Times New Roman" w:hAnsi="Times New Roman"/>
          <w:b/>
          <w:iCs/>
          <w:szCs w:val="24"/>
        </w:rPr>
        <w:t xml:space="preserve">Mandatory </w:t>
      </w:r>
      <w:r w:rsidR="00D102C6" w:rsidRPr="00F26EC9">
        <w:rPr>
          <w:rFonts w:ascii="Times New Roman" w:hAnsi="Times New Roman"/>
          <w:b/>
          <w:iCs/>
          <w:szCs w:val="24"/>
        </w:rPr>
        <w:t>R</w:t>
      </w:r>
      <w:r w:rsidRPr="00F26EC9">
        <w:rPr>
          <w:rFonts w:ascii="Times New Roman" w:hAnsi="Times New Roman"/>
          <w:b/>
          <w:iCs/>
          <w:szCs w:val="24"/>
        </w:rPr>
        <w:t>eporting</w:t>
      </w:r>
      <w:r w:rsidR="00813889" w:rsidRPr="00F26EC9">
        <w:rPr>
          <w:rFonts w:ascii="Times New Roman" w:eastAsia="Calibri" w:hAnsi="Times New Roman"/>
          <w:b/>
          <w:snapToGrid/>
          <w:szCs w:val="24"/>
        </w:rPr>
        <w:t xml:space="preserve"> (</w:t>
      </w:r>
      <w:r w:rsidR="00D102C6" w:rsidRPr="00F26EC9">
        <w:rPr>
          <w:rFonts w:ascii="Times New Roman" w:eastAsia="Calibri" w:hAnsi="Times New Roman"/>
          <w:b/>
          <w:snapToGrid/>
          <w:szCs w:val="24"/>
        </w:rPr>
        <w:t xml:space="preserve">Subpart E, </w:t>
      </w:r>
      <w:r w:rsidR="00813889" w:rsidRPr="00F26EC9">
        <w:rPr>
          <w:rFonts w:ascii="Times New Roman" w:eastAsia="Calibri" w:hAnsi="Times New Roman"/>
          <w:b/>
          <w:snapToGrid/>
          <w:szCs w:val="24"/>
        </w:rPr>
        <w:t>Section 226.</w:t>
      </w:r>
      <w:r w:rsidRPr="00F26EC9">
        <w:rPr>
          <w:rFonts w:ascii="Times New Roman" w:eastAsia="Calibri" w:hAnsi="Times New Roman"/>
          <w:b/>
          <w:snapToGrid/>
          <w:szCs w:val="24"/>
        </w:rPr>
        <w:t>42(g</w:t>
      </w:r>
      <w:proofErr w:type="gramStart"/>
      <w:r w:rsidRPr="00F26EC9">
        <w:rPr>
          <w:rFonts w:ascii="Times New Roman" w:eastAsia="Calibri" w:hAnsi="Times New Roman"/>
          <w:b/>
          <w:snapToGrid/>
          <w:szCs w:val="24"/>
        </w:rPr>
        <w:t>)(</w:t>
      </w:r>
      <w:proofErr w:type="gramEnd"/>
      <w:r w:rsidRPr="00F26EC9">
        <w:rPr>
          <w:rFonts w:ascii="Times New Roman" w:eastAsia="Calibri" w:hAnsi="Times New Roman"/>
          <w:b/>
          <w:snapToGrid/>
          <w:szCs w:val="24"/>
        </w:rPr>
        <w:t>1</w:t>
      </w:r>
      <w:r w:rsidR="00813889" w:rsidRPr="00F26EC9">
        <w:rPr>
          <w:rFonts w:ascii="Times New Roman" w:eastAsia="Calibri" w:hAnsi="Times New Roman"/>
          <w:b/>
          <w:snapToGrid/>
          <w:szCs w:val="24"/>
        </w:rPr>
        <w:t>)</w:t>
      </w:r>
      <w:r w:rsidR="00376420" w:rsidRPr="00F26EC9">
        <w:rPr>
          <w:rFonts w:ascii="Times New Roman" w:eastAsia="Calibri" w:hAnsi="Times New Roman"/>
          <w:b/>
          <w:snapToGrid/>
          <w:szCs w:val="24"/>
        </w:rPr>
        <w:t>)</w:t>
      </w:r>
    </w:p>
    <w:p w:rsidR="00EA1495" w:rsidRPr="00F26EC9" w:rsidRDefault="00EA1495" w:rsidP="00EA1495">
      <w:pPr>
        <w:widowControl/>
        <w:autoSpaceDE w:val="0"/>
        <w:autoSpaceDN w:val="0"/>
        <w:adjustRightInd w:val="0"/>
        <w:ind w:firstLine="720"/>
        <w:rPr>
          <w:rFonts w:ascii="Times New Roman" w:eastAsia="Calibri" w:hAnsi="Times New Roman"/>
          <w:b/>
          <w:snapToGrid/>
          <w:szCs w:val="24"/>
        </w:rPr>
      </w:pPr>
    </w:p>
    <w:p w:rsidR="003E60CA" w:rsidRPr="00F26EC9" w:rsidRDefault="00E9329C" w:rsidP="00EA1495">
      <w:pPr>
        <w:pStyle w:val="NormalWeb"/>
        <w:spacing w:before="0" w:beforeAutospacing="0" w:after="0" w:afterAutospacing="0"/>
        <w:ind w:firstLine="720"/>
        <w:rPr>
          <w:b/>
        </w:rPr>
      </w:pPr>
      <w:r w:rsidRPr="00F26EC9">
        <w:t xml:space="preserve">Any covered person that reasonably believes an appraiser has not complied with the Uniform Standards of Professional Appraisal Practice </w:t>
      </w:r>
      <w:r w:rsidR="00DC65D5" w:rsidRPr="00F26EC9">
        <w:t xml:space="preserve">(USPAP) </w:t>
      </w:r>
      <w:r w:rsidRPr="00F26EC9">
        <w:t>or ethical or professional requirements for appraisers under applicable state or federal statutes or regulations shall refer the matter to the appropriate state agency if the failure to comply is material. For purposes of this paragraph (g</w:t>
      </w:r>
      <w:proofErr w:type="gramStart"/>
      <w:r w:rsidRPr="00F26EC9">
        <w:t>)(</w:t>
      </w:r>
      <w:proofErr w:type="gramEnd"/>
      <w:r w:rsidRPr="00F26EC9">
        <w:t>1), a failure to comply is material if it is likely to significantly affect the value assigned to the consumer's principal dwelling.</w:t>
      </w:r>
      <w:r w:rsidR="00EA1495" w:rsidRPr="00F26EC9">
        <w:t xml:space="preserve">  </w:t>
      </w:r>
    </w:p>
    <w:p w:rsidR="00AA00A5" w:rsidRPr="00F26EC9" w:rsidRDefault="00AA00A5" w:rsidP="008F4B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p>
    <w:p w:rsidR="008F4BBA" w:rsidRPr="00E9329C" w:rsidRDefault="008F4BBA" w:rsidP="008F4B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napToGrid/>
          <w:szCs w:val="24"/>
        </w:rPr>
      </w:pPr>
      <w:r w:rsidRPr="00E9329C">
        <w:rPr>
          <w:rFonts w:ascii="Times New Roman" w:hAnsi="Times New Roman"/>
          <w:b/>
          <w:szCs w:val="24"/>
        </w:rPr>
        <w:t>Time Schedule for Information Collection</w:t>
      </w:r>
    </w:p>
    <w:p w:rsidR="008F4BBA" w:rsidRPr="00E9329C" w:rsidRDefault="008F4BBA" w:rsidP="008F4BBA">
      <w:pPr>
        <w:widowControl/>
        <w:rPr>
          <w:rFonts w:ascii="Times New Roman" w:hAnsi="Times New Roman"/>
          <w:szCs w:val="24"/>
        </w:rPr>
      </w:pPr>
    </w:p>
    <w:p w:rsidR="007D5C14" w:rsidRPr="00E9329C" w:rsidRDefault="008F4BBA" w:rsidP="008F3C70">
      <w:pPr>
        <w:widowControl/>
        <w:ind w:firstLine="720"/>
        <w:rPr>
          <w:rFonts w:ascii="Times New Roman" w:hAnsi="Times New Roman"/>
          <w:szCs w:val="24"/>
        </w:rPr>
      </w:pPr>
      <w:r w:rsidRPr="00E9329C">
        <w:rPr>
          <w:rFonts w:ascii="Times New Roman" w:hAnsi="Times New Roman"/>
          <w:szCs w:val="24"/>
        </w:rPr>
        <w:t xml:space="preserve">Information collection pursuant to these recordkeeping and disclosure requirements is event-generated and must be provided to the borrower within the time periods established by the law and regulation as discussed above.  Creditors must keep evidence of compliance for </w:t>
      </w:r>
      <w:r w:rsidR="00D102C6">
        <w:rPr>
          <w:rFonts w:ascii="Times New Roman" w:hAnsi="Times New Roman"/>
          <w:szCs w:val="24"/>
        </w:rPr>
        <w:t xml:space="preserve">24 </w:t>
      </w:r>
      <w:r w:rsidRPr="00E9329C">
        <w:rPr>
          <w:rFonts w:ascii="Times New Roman" w:hAnsi="Times New Roman"/>
          <w:szCs w:val="24"/>
        </w:rPr>
        <w:t>months.</w:t>
      </w:r>
    </w:p>
    <w:p w:rsidR="007D5C14" w:rsidRPr="00E9329C" w:rsidRDefault="007D5C14" w:rsidP="008F4BBA">
      <w:pPr>
        <w:rPr>
          <w:rFonts w:ascii="Times New Roman" w:hAnsi="Times New Roman"/>
          <w:szCs w:val="24"/>
        </w:rPr>
      </w:pPr>
    </w:p>
    <w:p w:rsidR="003C6AC1" w:rsidRDefault="003C6AC1">
      <w:pPr>
        <w:widowControl/>
        <w:rPr>
          <w:rFonts w:ascii="Times New Roman" w:hAnsi="Times New Roman"/>
          <w:b/>
          <w:szCs w:val="24"/>
        </w:rPr>
      </w:pPr>
      <w:r>
        <w:rPr>
          <w:rFonts w:ascii="Times New Roman" w:hAnsi="Times New Roman"/>
          <w:b/>
          <w:szCs w:val="24"/>
        </w:rPr>
        <w:br w:type="page"/>
      </w:r>
    </w:p>
    <w:p w:rsidR="007D5C14" w:rsidRPr="00E9329C" w:rsidRDefault="007D5C14" w:rsidP="007D5C14">
      <w:pPr>
        <w:widowControl/>
        <w:rPr>
          <w:rFonts w:ascii="Times New Roman" w:hAnsi="Times New Roman"/>
          <w:b/>
          <w:szCs w:val="24"/>
        </w:rPr>
      </w:pPr>
      <w:r w:rsidRPr="00E9329C">
        <w:rPr>
          <w:rFonts w:ascii="Times New Roman" w:hAnsi="Times New Roman"/>
          <w:b/>
          <w:szCs w:val="24"/>
        </w:rPr>
        <w:lastRenderedPageBreak/>
        <w:t>Consultation Outside of the Agency and Discussion of Public Comments</w:t>
      </w:r>
    </w:p>
    <w:p w:rsidR="007D5C14" w:rsidRPr="00E9329C" w:rsidRDefault="007D5C14" w:rsidP="007D5C14">
      <w:pPr>
        <w:widowControl/>
        <w:rPr>
          <w:rFonts w:ascii="Times New Roman" w:hAnsi="Times New Roman"/>
          <w:szCs w:val="24"/>
        </w:rPr>
      </w:pPr>
    </w:p>
    <w:p w:rsidR="00173B73" w:rsidRPr="00D06592" w:rsidRDefault="0051707F" w:rsidP="0050438F">
      <w:pPr>
        <w:widowControl/>
        <w:autoSpaceDE w:val="0"/>
        <w:autoSpaceDN w:val="0"/>
        <w:adjustRightInd w:val="0"/>
        <w:ind w:firstLine="720"/>
        <w:rPr>
          <w:rFonts w:ascii="Times New Roman" w:eastAsia="Calibri" w:hAnsi="Times New Roman"/>
          <w:snapToGrid/>
          <w:szCs w:val="24"/>
        </w:rPr>
      </w:pPr>
      <w:r w:rsidRPr="00D06592">
        <w:rPr>
          <w:rFonts w:ascii="Times New Roman" w:hAnsi="Times New Roman"/>
          <w:szCs w:val="24"/>
        </w:rPr>
        <w:t xml:space="preserve">On October 28, 2010, an IFRM was published in the </w:t>
      </w:r>
      <w:r w:rsidRPr="00D06592">
        <w:rPr>
          <w:rFonts w:ascii="Times New Roman" w:hAnsi="Times New Roman"/>
          <w:i/>
          <w:szCs w:val="24"/>
        </w:rPr>
        <w:t>Federal Register</w:t>
      </w:r>
      <w:r w:rsidRPr="00D06592">
        <w:rPr>
          <w:rFonts w:ascii="Times New Roman" w:hAnsi="Times New Roman"/>
          <w:szCs w:val="24"/>
        </w:rPr>
        <w:t xml:space="preserve"> (75 FR 66554)</w:t>
      </w:r>
      <w:r w:rsidR="00D102C6" w:rsidRPr="00D06592">
        <w:rPr>
          <w:rFonts w:ascii="Times New Roman" w:hAnsi="Times New Roman"/>
          <w:szCs w:val="24"/>
        </w:rPr>
        <w:t xml:space="preserve">.  </w:t>
      </w:r>
      <w:r w:rsidRPr="00D06592">
        <w:rPr>
          <w:rFonts w:ascii="Times New Roman" w:hAnsi="Times New Roman"/>
          <w:szCs w:val="24"/>
        </w:rPr>
        <w:t>The comment period expired December 27, 2010.  The Board received approximately 958 comments; however, no comments specifically addressed the proposed paperwork burden estimates.  C</w:t>
      </w:r>
      <w:r w:rsidRPr="00D06592">
        <w:rPr>
          <w:rFonts w:ascii="Times New Roman" w:eastAsia="Calibri" w:hAnsi="Times New Roman"/>
          <w:snapToGrid/>
          <w:szCs w:val="24"/>
        </w:rPr>
        <w:t xml:space="preserve">ompliance with this </w:t>
      </w:r>
      <w:r w:rsidR="00D102C6" w:rsidRPr="00D06592">
        <w:rPr>
          <w:rFonts w:ascii="Times New Roman" w:eastAsia="Calibri" w:hAnsi="Times New Roman"/>
          <w:snapToGrid/>
          <w:szCs w:val="24"/>
        </w:rPr>
        <w:t>IFRM</w:t>
      </w:r>
      <w:r w:rsidRPr="00D06592">
        <w:rPr>
          <w:rFonts w:ascii="Times New Roman" w:eastAsia="Calibri" w:hAnsi="Times New Roman"/>
          <w:snapToGrid/>
          <w:szCs w:val="24"/>
        </w:rPr>
        <w:t xml:space="preserve"> </w:t>
      </w:r>
      <w:r w:rsidR="000238C3" w:rsidRPr="00D06592">
        <w:rPr>
          <w:rFonts w:ascii="Times New Roman" w:eastAsia="Calibri" w:hAnsi="Times New Roman"/>
          <w:snapToGrid/>
          <w:szCs w:val="24"/>
        </w:rPr>
        <w:t>was</w:t>
      </w:r>
      <w:r w:rsidRPr="00D06592">
        <w:rPr>
          <w:rFonts w:ascii="Times New Roman" w:eastAsia="Calibri" w:hAnsi="Times New Roman"/>
          <w:snapToGrid/>
          <w:szCs w:val="24"/>
        </w:rPr>
        <w:t xml:space="preserve"> optional until April 1, 2011.</w:t>
      </w:r>
    </w:p>
    <w:p w:rsidR="0051707F" w:rsidRPr="007642C7" w:rsidRDefault="0051707F" w:rsidP="0050438F">
      <w:pPr>
        <w:widowControl/>
        <w:autoSpaceDE w:val="0"/>
        <w:autoSpaceDN w:val="0"/>
        <w:adjustRightInd w:val="0"/>
        <w:ind w:firstLine="720"/>
        <w:rPr>
          <w:rFonts w:ascii="Times New Roman" w:hAnsi="Times New Roman"/>
          <w:szCs w:val="24"/>
        </w:rPr>
      </w:pPr>
    </w:p>
    <w:p w:rsidR="007D5C14" w:rsidRPr="007642C7" w:rsidRDefault="007D5C14" w:rsidP="007D5C14">
      <w:pPr>
        <w:widowControl/>
        <w:rPr>
          <w:rFonts w:ascii="Times New Roman" w:hAnsi="Times New Roman"/>
          <w:szCs w:val="24"/>
        </w:rPr>
      </w:pPr>
      <w:r w:rsidRPr="007642C7">
        <w:rPr>
          <w:rFonts w:ascii="Times New Roman" w:hAnsi="Times New Roman"/>
          <w:b/>
          <w:szCs w:val="24"/>
        </w:rPr>
        <w:t>Sensitive Questions</w:t>
      </w:r>
    </w:p>
    <w:p w:rsidR="007D5C14" w:rsidRPr="007642C7" w:rsidRDefault="007D5C14" w:rsidP="007D5C14">
      <w:pPr>
        <w:widowControl/>
        <w:rPr>
          <w:rFonts w:ascii="Times New Roman" w:hAnsi="Times New Roman"/>
          <w:szCs w:val="24"/>
        </w:rPr>
      </w:pPr>
    </w:p>
    <w:p w:rsidR="007D5C14" w:rsidRPr="007642C7" w:rsidRDefault="007D5C14" w:rsidP="007D5C14">
      <w:pPr>
        <w:widowControl/>
        <w:ind w:firstLine="720"/>
        <w:rPr>
          <w:rFonts w:ascii="Times New Roman" w:hAnsi="Times New Roman"/>
          <w:szCs w:val="24"/>
        </w:rPr>
      </w:pPr>
      <w:r w:rsidRPr="007642C7">
        <w:rPr>
          <w:rFonts w:ascii="Times New Roman" w:hAnsi="Times New Roman"/>
          <w:szCs w:val="24"/>
        </w:rPr>
        <w:t>This information collection contains no questions of a sensitive nature, as defined by OMB guidelines.</w:t>
      </w:r>
    </w:p>
    <w:p w:rsidR="00D06592" w:rsidRDefault="00D06592" w:rsidP="007D5C14">
      <w:pPr>
        <w:widowControl/>
        <w:rPr>
          <w:rFonts w:ascii="Times New Roman" w:hAnsi="Times New Roman"/>
          <w:b/>
          <w:szCs w:val="24"/>
        </w:rPr>
      </w:pPr>
    </w:p>
    <w:p w:rsidR="007D5C14" w:rsidRPr="007642C7" w:rsidRDefault="007D5C14" w:rsidP="007D5C14">
      <w:pPr>
        <w:widowControl/>
        <w:rPr>
          <w:rFonts w:ascii="Times New Roman" w:hAnsi="Times New Roman"/>
        </w:rPr>
      </w:pPr>
      <w:r w:rsidRPr="007642C7">
        <w:rPr>
          <w:rFonts w:ascii="Times New Roman" w:hAnsi="Times New Roman"/>
          <w:b/>
          <w:szCs w:val="24"/>
        </w:rPr>
        <w:t>Legal</w:t>
      </w:r>
      <w:r w:rsidRPr="007642C7">
        <w:rPr>
          <w:rFonts w:ascii="Times New Roman" w:hAnsi="Times New Roman"/>
          <w:b/>
        </w:rPr>
        <w:t xml:space="preserve"> Status</w:t>
      </w:r>
    </w:p>
    <w:p w:rsidR="007D5C14" w:rsidRPr="007642C7" w:rsidRDefault="007D5C14" w:rsidP="007D5C14">
      <w:pPr>
        <w:widowControl/>
        <w:rPr>
          <w:rFonts w:ascii="Times New Roman" w:hAnsi="Times New Roman"/>
        </w:rPr>
      </w:pPr>
    </w:p>
    <w:p w:rsidR="007D5C14" w:rsidRPr="007642C7" w:rsidRDefault="007D5C14" w:rsidP="007D5C14">
      <w:pPr>
        <w:widowControl/>
        <w:ind w:firstLine="720"/>
        <w:rPr>
          <w:rFonts w:ascii="Times New Roman" w:hAnsi="Times New Roman"/>
        </w:rPr>
      </w:pPr>
      <w:r w:rsidRPr="007642C7">
        <w:rPr>
          <w:rFonts w:ascii="Times New Roman" w:hAnsi="Times New Roman"/>
        </w:rPr>
        <w:t xml:space="preserve">The Board’s Legal Division has confirmed that title I of the Consumer Credit Protection Act authorizes the Board to issue regulations to carry out the provisions of that Act (15 USC </w:t>
      </w:r>
      <w:r w:rsidRPr="007642C7">
        <w:rPr>
          <w:rFonts w:ascii="Times New Roman" w:hAnsi="Times New Roman"/>
          <w:szCs w:val="24"/>
        </w:rPr>
        <w:t xml:space="preserve">§§ </w:t>
      </w:r>
      <w:r w:rsidRPr="007642C7">
        <w:rPr>
          <w:rFonts w:ascii="Times New Roman" w:hAnsi="Times New Roman"/>
        </w:rPr>
        <w:t>1601, 1604(a)).  The information collections are mandatory.  Since the Federal Reserve does not collect any information, no issue of confidentiality arises.  Transaction- or account-specific disclosures and billing error allegations are not publicly available and are confidential between the creditor and the consumer.  General disclosures of credit terms that appear in advertisements or take-one applications are available to the public.</w:t>
      </w:r>
    </w:p>
    <w:p w:rsidR="00E621A5" w:rsidRPr="007642C7" w:rsidRDefault="00E621A5" w:rsidP="007D5C14">
      <w:pPr>
        <w:pStyle w:val="Heading1"/>
        <w:spacing w:after="120"/>
        <w:rPr>
          <w:rFonts w:ascii="Times New Roman" w:hAnsi="Times New Roman"/>
          <w:szCs w:val="24"/>
        </w:rPr>
      </w:pPr>
    </w:p>
    <w:p w:rsidR="007D5C14" w:rsidRPr="007642C7" w:rsidRDefault="007D5C14" w:rsidP="007D5C14">
      <w:pPr>
        <w:pStyle w:val="Heading1"/>
        <w:spacing w:after="120"/>
        <w:rPr>
          <w:rFonts w:ascii="Times New Roman" w:hAnsi="Times New Roman"/>
          <w:szCs w:val="24"/>
        </w:rPr>
      </w:pPr>
      <w:r w:rsidRPr="007642C7">
        <w:rPr>
          <w:rFonts w:ascii="Times New Roman" w:hAnsi="Times New Roman"/>
          <w:szCs w:val="24"/>
        </w:rPr>
        <w:t>Estimate of Respondent Burden</w:t>
      </w:r>
    </w:p>
    <w:p w:rsidR="007D5C14" w:rsidRPr="007642C7" w:rsidRDefault="007D5C14" w:rsidP="007D5C14">
      <w:pPr>
        <w:pStyle w:val="BodyTextIndent"/>
        <w:spacing w:after="0"/>
        <w:rPr>
          <w:szCs w:val="24"/>
        </w:rPr>
      </w:pPr>
      <w:r w:rsidRPr="007642C7">
        <w:rPr>
          <w:szCs w:val="24"/>
        </w:rPr>
        <w:t xml:space="preserve">The current total annual burden for the </w:t>
      </w:r>
      <w:r w:rsidR="00A71DD3">
        <w:rPr>
          <w:szCs w:val="24"/>
        </w:rPr>
        <w:t xml:space="preserve">recordkeeping, reporting, and </w:t>
      </w:r>
      <w:proofErr w:type="gramStart"/>
      <w:r w:rsidRPr="007642C7">
        <w:rPr>
          <w:szCs w:val="24"/>
        </w:rPr>
        <w:t>disclosure requirements of this information collection is</w:t>
      </w:r>
      <w:proofErr w:type="gramEnd"/>
      <w:r w:rsidRPr="007642C7">
        <w:rPr>
          <w:szCs w:val="24"/>
        </w:rPr>
        <w:t xml:space="preserve"> estimated to be </w:t>
      </w:r>
      <w:r w:rsidR="00BF1829">
        <w:rPr>
          <w:szCs w:val="24"/>
        </w:rPr>
        <w:t>1,494</w:t>
      </w:r>
      <w:r w:rsidR="000D599F" w:rsidRPr="007642C7">
        <w:rPr>
          <w:szCs w:val="24"/>
        </w:rPr>
        <w:t>,</w:t>
      </w:r>
      <w:r w:rsidR="00BF1829">
        <w:rPr>
          <w:szCs w:val="24"/>
        </w:rPr>
        <w:t>763</w:t>
      </w:r>
      <w:r w:rsidR="000D599F" w:rsidRPr="007642C7">
        <w:rPr>
          <w:szCs w:val="24"/>
        </w:rPr>
        <w:t xml:space="preserve"> </w:t>
      </w:r>
      <w:r w:rsidRPr="007642C7">
        <w:rPr>
          <w:szCs w:val="24"/>
        </w:rPr>
        <w:t>hours, as shown in the table below.  The table provides the estimated annual burden for the 1,</w:t>
      </w:r>
      <w:r w:rsidR="008F3C70">
        <w:rPr>
          <w:szCs w:val="24"/>
        </w:rPr>
        <w:t>077</w:t>
      </w:r>
      <w:r w:rsidRPr="007642C7">
        <w:rPr>
          <w:szCs w:val="24"/>
        </w:rPr>
        <w:t xml:space="preserve"> creditors </w:t>
      </w:r>
      <w:r w:rsidR="00D2520D" w:rsidRPr="007642C7">
        <w:rPr>
          <w:szCs w:val="24"/>
        </w:rPr>
        <w:t xml:space="preserve">regulated by the Federal Reserve </w:t>
      </w:r>
      <w:r w:rsidRPr="007642C7">
        <w:rPr>
          <w:szCs w:val="24"/>
        </w:rPr>
        <w:t xml:space="preserve">to which Regulation Z applies.  </w:t>
      </w:r>
    </w:p>
    <w:p w:rsidR="004A1D2E" w:rsidRPr="007642C7" w:rsidRDefault="004A1D2E" w:rsidP="00840074">
      <w:pPr>
        <w:pStyle w:val="BodyTextIndent"/>
        <w:spacing w:after="0"/>
        <w:rPr>
          <w:szCs w:val="24"/>
        </w:rPr>
      </w:pPr>
    </w:p>
    <w:p w:rsidR="006B55A4" w:rsidRPr="003E4EBC" w:rsidRDefault="004A1D2E" w:rsidP="00840074">
      <w:pPr>
        <w:pStyle w:val="BodyTextIndent"/>
        <w:spacing w:after="0"/>
        <w:rPr>
          <w:szCs w:val="24"/>
        </w:rPr>
      </w:pPr>
      <w:r w:rsidRPr="007642C7">
        <w:rPr>
          <w:szCs w:val="24"/>
        </w:rPr>
        <w:t xml:space="preserve">No paperwork burden is deemed to be associated with the recordkeeping requirement of Regulation Z (subpart D, section 226.25) because the regulation does not </w:t>
      </w:r>
      <w:r w:rsidRPr="007642C7">
        <w:rPr>
          <w:szCs w:val="24"/>
        </w:rPr>
        <w:softHyphen/>
        <w:t xml:space="preserve">specify records to be retained as evidence of compliance. Regulation Z permits institutions to provide credit and charge card renewal and insurance notices on or with periodic statements.  Accordingly, the </w:t>
      </w:r>
      <w:r w:rsidRPr="00C06158">
        <w:rPr>
          <w:szCs w:val="24"/>
        </w:rPr>
        <w:t xml:space="preserve">burden associated with these disclosures is not separately identified but incorporated in the </w:t>
      </w:r>
      <w:r w:rsidRPr="003E4EBC">
        <w:rPr>
          <w:szCs w:val="24"/>
        </w:rPr>
        <w:t>burden estimate for periodic statements.</w:t>
      </w:r>
    </w:p>
    <w:p w:rsidR="004C63BA" w:rsidRPr="003E4EBC" w:rsidRDefault="004C63BA" w:rsidP="002928E5">
      <w:pPr>
        <w:widowControl/>
        <w:autoSpaceDE w:val="0"/>
        <w:autoSpaceDN w:val="0"/>
        <w:adjustRightInd w:val="0"/>
        <w:rPr>
          <w:rFonts w:ascii="Times New Roman" w:eastAsia="Calibri" w:hAnsi="Times New Roman"/>
          <w:snapToGrid/>
          <w:szCs w:val="24"/>
        </w:rPr>
      </w:pPr>
    </w:p>
    <w:p w:rsidR="00EB558E" w:rsidRPr="00D06592" w:rsidRDefault="00DC65D5" w:rsidP="0051707F">
      <w:pPr>
        <w:widowControl/>
        <w:autoSpaceDE w:val="0"/>
        <w:autoSpaceDN w:val="0"/>
        <w:adjustRightInd w:val="0"/>
        <w:ind w:firstLine="720"/>
        <w:rPr>
          <w:rFonts w:ascii="Times New Roman" w:eastAsia="Calibri" w:hAnsi="Times New Roman"/>
          <w:snapToGrid/>
          <w:szCs w:val="24"/>
        </w:rPr>
      </w:pPr>
      <w:r w:rsidRPr="00D06592">
        <w:rPr>
          <w:rFonts w:ascii="Times New Roman" w:hAnsi="Times New Roman"/>
          <w:szCs w:val="24"/>
        </w:rPr>
        <w:t xml:space="preserve">The </w:t>
      </w:r>
      <w:r w:rsidR="007327DC" w:rsidRPr="00D06592">
        <w:rPr>
          <w:rFonts w:ascii="Times New Roman" w:hAnsi="Times New Roman"/>
          <w:szCs w:val="24"/>
        </w:rPr>
        <w:t>Federal Reserve</w:t>
      </w:r>
      <w:r w:rsidR="003E4EBC" w:rsidRPr="00D06592">
        <w:rPr>
          <w:rFonts w:ascii="Times New Roman" w:hAnsi="Times New Roman"/>
          <w:szCs w:val="24"/>
        </w:rPr>
        <w:t xml:space="preserve"> is</w:t>
      </w:r>
      <w:r w:rsidR="007327DC" w:rsidRPr="00D06592">
        <w:rPr>
          <w:rFonts w:ascii="Times New Roman" w:hAnsi="Times New Roman"/>
          <w:szCs w:val="24"/>
        </w:rPr>
        <w:t xml:space="preserve"> </w:t>
      </w:r>
      <w:r w:rsidR="00C06158" w:rsidRPr="00D06592">
        <w:rPr>
          <w:rFonts w:ascii="Times New Roman" w:eastAsia="Calibri" w:hAnsi="Times New Roman"/>
          <w:snapToGrid/>
          <w:szCs w:val="24"/>
        </w:rPr>
        <w:t>adopt</w:t>
      </w:r>
      <w:r w:rsidR="003E4EBC" w:rsidRPr="00D06592">
        <w:rPr>
          <w:rFonts w:ascii="Times New Roman" w:eastAsia="Calibri" w:hAnsi="Times New Roman"/>
          <w:snapToGrid/>
          <w:szCs w:val="24"/>
        </w:rPr>
        <w:t xml:space="preserve">ing </w:t>
      </w:r>
      <w:r w:rsidRPr="00D06592">
        <w:rPr>
          <w:rFonts w:ascii="Times New Roman" w:eastAsia="Calibri" w:hAnsi="Times New Roman"/>
          <w:snapToGrid/>
          <w:szCs w:val="24"/>
        </w:rPr>
        <w:t xml:space="preserve">a new </w:t>
      </w:r>
      <w:r w:rsidR="00C06158" w:rsidRPr="00D06592">
        <w:rPr>
          <w:rFonts w:ascii="Times New Roman" w:eastAsia="Calibri" w:hAnsi="Times New Roman"/>
          <w:snapToGrid/>
          <w:szCs w:val="24"/>
        </w:rPr>
        <w:t xml:space="preserve">reporting </w:t>
      </w:r>
      <w:r w:rsidRPr="00D06592">
        <w:rPr>
          <w:rFonts w:ascii="Times New Roman" w:eastAsia="Calibri" w:hAnsi="Times New Roman"/>
          <w:snapToGrid/>
          <w:szCs w:val="24"/>
        </w:rPr>
        <w:t xml:space="preserve">requirement in cases where </w:t>
      </w:r>
      <w:r w:rsidR="00C06158" w:rsidRPr="00D06592">
        <w:rPr>
          <w:rFonts w:ascii="Times New Roman" w:eastAsia="Calibri" w:hAnsi="Times New Roman"/>
          <w:snapToGrid/>
          <w:szCs w:val="24"/>
        </w:rPr>
        <w:t xml:space="preserve">a </w:t>
      </w:r>
      <w:r w:rsidRPr="00D06592">
        <w:rPr>
          <w:rFonts w:ascii="Times New Roman" w:eastAsia="Calibri" w:hAnsi="Times New Roman"/>
          <w:snapToGrid/>
          <w:szCs w:val="24"/>
        </w:rPr>
        <w:t xml:space="preserve">material </w:t>
      </w:r>
      <w:r w:rsidR="00C06158" w:rsidRPr="00D06592">
        <w:rPr>
          <w:rFonts w:ascii="Times New Roman" w:eastAsia="Calibri" w:hAnsi="Times New Roman"/>
          <w:snapToGrid/>
          <w:szCs w:val="24"/>
        </w:rPr>
        <w:t xml:space="preserve">violation of </w:t>
      </w:r>
      <w:r w:rsidRPr="00D06592">
        <w:rPr>
          <w:rFonts w:ascii="Times New Roman" w:eastAsia="Calibri" w:hAnsi="Times New Roman"/>
          <w:snapToGrid/>
          <w:szCs w:val="24"/>
        </w:rPr>
        <w:t>USPAP</w:t>
      </w:r>
      <w:r w:rsidR="00C06158" w:rsidRPr="00D06592">
        <w:rPr>
          <w:rFonts w:ascii="Times New Roman" w:eastAsia="Calibri" w:hAnsi="Times New Roman"/>
          <w:snapToGrid/>
          <w:szCs w:val="24"/>
        </w:rPr>
        <w:t xml:space="preserve"> or of a standard of</w:t>
      </w:r>
      <w:r w:rsidR="003E4EBC" w:rsidRPr="00D06592">
        <w:rPr>
          <w:rFonts w:ascii="Times New Roman" w:eastAsia="Calibri" w:hAnsi="Times New Roman"/>
          <w:snapToGrid/>
          <w:szCs w:val="24"/>
        </w:rPr>
        <w:t xml:space="preserve"> </w:t>
      </w:r>
      <w:r w:rsidR="00C06158" w:rsidRPr="00D06592">
        <w:rPr>
          <w:rFonts w:ascii="Times New Roman" w:eastAsia="Calibri" w:hAnsi="Times New Roman"/>
          <w:snapToGrid/>
          <w:szCs w:val="24"/>
        </w:rPr>
        <w:t>ethical or</w:t>
      </w:r>
      <w:r w:rsidR="003E4EBC" w:rsidRPr="00D06592">
        <w:rPr>
          <w:rFonts w:ascii="Times New Roman" w:eastAsia="Calibri" w:hAnsi="Times New Roman"/>
          <w:snapToGrid/>
          <w:szCs w:val="24"/>
        </w:rPr>
        <w:t xml:space="preserve"> </w:t>
      </w:r>
      <w:r w:rsidR="00C06158" w:rsidRPr="00D06592">
        <w:rPr>
          <w:rFonts w:ascii="Times New Roman" w:eastAsia="Calibri" w:hAnsi="Times New Roman"/>
          <w:snapToGrid/>
          <w:szCs w:val="24"/>
        </w:rPr>
        <w:t xml:space="preserve">professional conduct </w:t>
      </w:r>
      <w:r w:rsidRPr="00D06592">
        <w:rPr>
          <w:rFonts w:ascii="Times New Roman" w:eastAsia="Calibri" w:hAnsi="Times New Roman"/>
          <w:snapToGrid/>
          <w:szCs w:val="24"/>
        </w:rPr>
        <w:t>(</w:t>
      </w:r>
      <w:r w:rsidR="00C06158" w:rsidRPr="00D06592">
        <w:rPr>
          <w:rFonts w:ascii="Times New Roman" w:eastAsia="Calibri" w:hAnsi="Times New Roman"/>
          <w:snapToGrid/>
          <w:szCs w:val="24"/>
        </w:rPr>
        <w:t>under applicable state or federal statute or regulation</w:t>
      </w:r>
      <w:r w:rsidRPr="00D06592">
        <w:rPr>
          <w:rFonts w:ascii="Times New Roman" w:eastAsia="Calibri" w:hAnsi="Times New Roman"/>
          <w:snapToGrid/>
          <w:szCs w:val="24"/>
        </w:rPr>
        <w:t>) has occurred</w:t>
      </w:r>
      <w:r w:rsidR="00C06158" w:rsidRPr="00D06592">
        <w:rPr>
          <w:rFonts w:ascii="Times New Roman" w:eastAsia="Calibri" w:hAnsi="Times New Roman"/>
          <w:snapToGrid/>
          <w:szCs w:val="24"/>
        </w:rPr>
        <w:t xml:space="preserve">.  The new reporting requirement will impose a one-time increase in the total annual burden under Regulation Z for respondents supervised by the Federal Reserve involved in the extension of consumer credit that is secured by the principal dwelling of the consumer. The </w:t>
      </w:r>
      <w:r w:rsidR="000238C3" w:rsidRPr="00D06592">
        <w:rPr>
          <w:rFonts w:ascii="Times New Roman" w:hAnsi="Times New Roman"/>
          <w:szCs w:val="24"/>
        </w:rPr>
        <w:t>Federal Reserve</w:t>
      </w:r>
      <w:r w:rsidR="000238C3" w:rsidRPr="00D06592">
        <w:rPr>
          <w:rFonts w:ascii="Times New Roman" w:eastAsia="Calibri" w:hAnsi="Times New Roman"/>
          <w:snapToGrid/>
          <w:szCs w:val="24"/>
        </w:rPr>
        <w:t xml:space="preserve"> </w:t>
      </w:r>
      <w:r w:rsidR="00C06158" w:rsidRPr="00D06592">
        <w:rPr>
          <w:rFonts w:ascii="Times New Roman" w:eastAsia="Calibri" w:hAnsi="Times New Roman"/>
          <w:snapToGrid/>
          <w:szCs w:val="24"/>
        </w:rPr>
        <w:t>estimates that 567 respondents</w:t>
      </w:r>
      <w:r w:rsidR="00C06158" w:rsidRPr="00D06592">
        <w:rPr>
          <w:rStyle w:val="FootnoteReference"/>
          <w:rFonts w:eastAsia="Calibri"/>
          <w:snapToGrid/>
          <w:szCs w:val="24"/>
          <w:vertAlign w:val="superscript"/>
        </w:rPr>
        <w:footnoteReference w:id="11"/>
      </w:r>
      <w:r w:rsidR="00EB558E" w:rsidRPr="00D06592">
        <w:rPr>
          <w:rFonts w:ascii="Times New Roman" w:eastAsia="Calibri" w:hAnsi="Times New Roman"/>
          <w:snapToGrid/>
          <w:szCs w:val="24"/>
        </w:rPr>
        <w:t xml:space="preserve"> supervised by the Federal Reserve will take, on average, 40 hours (one business week) to update their systems, </w:t>
      </w:r>
      <w:r w:rsidR="00EB558E" w:rsidRPr="00D06592">
        <w:rPr>
          <w:rFonts w:ascii="Times New Roman" w:eastAsia="Calibri" w:hAnsi="Times New Roman"/>
          <w:snapToGrid/>
          <w:szCs w:val="24"/>
        </w:rPr>
        <w:lastRenderedPageBreak/>
        <w:t>internal procedure manuals, and provide</w:t>
      </w:r>
      <w:r w:rsidR="0051707F" w:rsidRPr="00D06592">
        <w:rPr>
          <w:rFonts w:ascii="Times New Roman" w:eastAsia="Calibri" w:hAnsi="Times New Roman"/>
          <w:snapToGrid/>
          <w:szCs w:val="24"/>
        </w:rPr>
        <w:t xml:space="preserve"> </w:t>
      </w:r>
      <w:r w:rsidR="00EB558E" w:rsidRPr="00D06592">
        <w:rPr>
          <w:rFonts w:ascii="Times New Roman" w:eastAsia="Calibri" w:hAnsi="Times New Roman"/>
          <w:snapToGrid/>
          <w:szCs w:val="24"/>
        </w:rPr>
        <w:t>training for relevant staff to comply with the new reporting requirements in § 226.42(g)(1).</w:t>
      </w:r>
      <w:r w:rsidR="003E4EBC" w:rsidRPr="00D06592">
        <w:rPr>
          <w:rStyle w:val="FootnoteReference"/>
          <w:rFonts w:eastAsia="Calibri"/>
          <w:snapToGrid/>
          <w:szCs w:val="24"/>
          <w:vertAlign w:val="superscript"/>
        </w:rPr>
        <w:footnoteReference w:id="12"/>
      </w:r>
      <w:r w:rsidR="003E4EBC" w:rsidRPr="00D06592">
        <w:rPr>
          <w:rFonts w:eastAsia="Calibri"/>
        </w:rPr>
        <w:t xml:space="preserve"> </w:t>
      </w:r>
      <w:r w:rsidR="00EB558E" w:rsidRPr="00D06592">
        <w:rPr>
          <w:rFonts w:ascii="Times New Roman" w:eastAsia="Calibri" w:hAnsi="Times New Roman"/>
          <w:snapToGrid/>
          <w:szCs w:val="24"/>
        </w:rPr>
        <w:t xml:space="preserve">This revision is estimated to result in a one-time increase in burden by 22,680 hours. </w:t>
      </w:r>
    </w:p>
    <w:p w:rsidR="00EB558E" w:rsidRPr="00D06592" w:rsidRDefault="00EB558E" w:rsidP="00EB558E">
      <w:pPr>
        <w:widowControl/>
        <w:autoSpaceDE w:val="0"/>
        <w:autoSpaceDN w:val="0"/>
        <w:adjustRightInd w:val="0"/>
        <w:rPr>
          <w:rFonts w:ascii="Times New Roman" w:eastAsia="Calibri" w:hAnsi="Times New Roman"/>
          <w:snapToGrid/>
          <w:szCs w:val="24"/>
        </w:rPr>
      </w:pPr>
    </w:p>
    <w:p w:rsidR="00BD79AF" w:rsidRPr="00D06592" w:rsidRDefault="00EB558E" w:rsidP="00D06592">
      <w:pPr>
        <w:widowControl/>
        <w:autoSpaceDE w:val="0"/>
        <w:autoSpaceDN w:val="0"/>
        <w:adjustRightInd w:val="0"/>
        <w:ind w:firstLine="720"/>
        <w:rPr>
          <w:rFonts w:ascii="Times New Roman" w:hAnsi="Times New Roman"/>
          <w:szCs w:val="24"/>
        </w:rPr>
      </w:pPr>
      <w:r w:rsidRPr="00D06592">
        <w:rPr>
          <w:rFonts w:ascii="Times New Roman" w:eastAsia="Calibri" w:hAnsi="Times New Roman"/>
          <w:snapToGrid/>
          <w:szCs w:val="24"/>
        </w:rPr>
        <w:t xml:space="preserve">Accordingly, the </w:t>
      </w:r>
      <w:r w:rsidR="000238C3" w:rsidRPr="00D06592">
        <w:rPr>
          <w:rFonts w:ascii="Times New Roman" w:hAnsi="Times New Roman"/>
          <w:szCs w:val="24"/>
        </w:rPr>
        <w:t>Federal Reserve</w:t>
      </w:r>
      <w:r w:rsidR="000238C3" w:rsidRPr="00D06592">
        <w:rPr>
          <w:rFonts w:ascii="Times New Roman" w:eastAsia="Calibri" w:hAnsi="Times New Roman"/>
          <w:snapToGrid/>
          <w:szCs w:val="24"/>
        </w:rPr>
        <w:t xml:space="preserve"> </w:t>
      </w:r>
      <w:r w:rsidRPr="00D06592">
        <w:rPr>
          <w:rFonts w:ascii="Times New Roman" w:eastAsia="Calibri" w:hAnsi="Times New Roman"/>
          <w:snapToGrid/>
          <w:szCs w:val="24"/>
        </w:rPr>
        <w:t>estimates that the new reporting requirement will increase the total annual burden on a one-time basis for respondents supervised by the Federal Reserve from</w:t>
      </w:r>
      <w:r w:rsidR="00D06592" w:rsidRPr="00D06592">
        <w:rPr>
          <w:rFonts w:ascii="Times New Roman" w:eastAsia="Calibri" w:hAnsi="Times New Roman"/>
          <w:snapToGrid/>
          <w:szCs w:val="24"/>
        </w:rPr>
        <w:t xml:space="preserve"> </w:t>
      </w:r>
      <w:r w:rsidRPr="00D06592">
        <w:rPr>
          <w:rFonts w:ascii="Times New Roman" w:eastAsia="Calibri" w:hAnsi="Times New Roman"/>
          <w:snapToGrid/>
          <w:szCs w:val="24"/>
        </w:rPr>
        <w:t>1,49</w:t>
      </w:r>
      <w:r w:rsidR="003E4EBC" w:rsidRPr="00D06592">
        <w:rPr>
          <w:rFonts w:ascii="Times New Roman" w:eastAsia="Calibri" w:hAnsi="Times New Roman"/>
          <w:snapToGrid/>
          <w:szCs w:val="24"/>
        </w:rPr>
        <w:t>4</w:t>
      </w:r>
      <w:r w:rsidRPr="00D06592">
        <w:rPr>
          <w:rFonts w:ascii="Times New Roman" w:eastAsia="Calibri" w:hAnsi="Times New Roman"/>
          <w:snapToGrid/>
          <w:szCs w:val="24"/>
        </w:rPr>
        <w:t>,</w:t>
      </w:r>
      <w:r w:rsidR="003E4EBC" w:rsidRPr="00D06592">
        <w:rPr>
          <w:rFonts w:ascii="Times New Roman" w:eastAsia="Calibri" w:hAnsi="Times New Roman"/>
          <w:snapToGrid/>
          <w:szCs w:val="24"/>
        </w:rPr>
        <w:t>763</w:t>
      </w:r>
      <w:r w:rsidRPr="00D06592">
        <w:rPr>
          <w:rFonts w:ascii="Times New Roman" w:eastAsia="Calibri" w:hAnsi="Times New Roman"/>
          <w:snapToGrid/>
          <w:szCs w:val="24"/>
        </w:rPr>
        <w:t xml:space="preserve"> to 1,5</w:t>
      </w:r>
      <w:r w:rsidR="003E4EBC" w:rsidRPr="00D06592">
        <w:rPr>
          <w:rFonts w:ascii="Times New Roman" w:eastAsia="Calibri" w:hAnsi="Times New Roman"/>
          <w:snapToGrid/>
          <w:szCs w:val="24"/>
        </w:rPr>
        <w:t>17</w:t>
      </w:r>
      <w:r w:rsidRPr="00D06592">
        <w:rPr>
          <w:rFonts w:ascii="Times New Roman" w:eastAsia="Calibri" w:hAnsi="Times New Roman"/>
          <w:snapToGrid/>
          <w:szCs w:val="24"/>
        </w:rPr>
        <w:t>,</w:t>
      </w:r>
      <w:r w:rsidR="003E4EBC" w:rsidRPr="00D06592">
        <w:rPr>
          <w:rFonts w:ascii="Times New Roman" w:eastAsia="Calibri" w:hAnsi="Times New Roman"/>
          <w:snapToGrid/>
          <w:szCs w:val="24"/>
        </w:rPr>
        <w:t>443</w:t>
      </w:r>
      <w:r w:rsidRPr="00D06592">
        <w:rPr>
          <w:rFonts w:ascii="Times New Roman" w:eastAsia="Calibri" w:hAnsi="Times New Roman"/>
          <w:snapToGrid/>
          <w:szCs w:val="24"/>
        </w:rPr>
        <w:t xml:space="preserve"> hours.</w:t>
      </w:r>
      <w:r w:rsidR="003E4EBC" w:rsidRPr="00D06592">
        <w:rPr>
          <w:rFonts w:ascii="Times New Roman" w:eastAsia="Calibri" w:hAnsi="Times New Roman"/>
          <w:snapToGrid/>
          <w:szCs w:val="24"/>
        </w:rPr>
        <w:t xml:space="preserve">  </w:t>
      </w:r>
      <w:r w:rsidRPr="00D06592">
        <w:rPr>
          <w:rFonts w:ascii="Times New Roman" w:eastAsia="Calibri" w:hAnsi="Times New Roman"/>
          <w:snapToGrid/>
          <w:szCs w:val="24"/>
        </w:rPr>
        <w:t xml:space="preserve">This total estimated burden increase represents averages for all respondents supervised by the Federal Reserve. The </w:t>
      </w:r>
      <w:r w:rsidR="000238C3" w:rsidRPr="00D06592">
        <w:rPr>
          <w:rFonts w:ascii="Times New Roman" w:hAnsi="Times New Roman"/>
          <w:szCs w:val="24"/>
        </w:rPr>
        <w:t>Federal Reserve</w:t>
      </w:r>
      <w:r w:rsidR="000238C3" w:rsidRPr="00D06592">
        <w:rPr>
          <w:rFonts w:ascii="Times New Roman" w:eastAsia="Calibri" w:hAnsi="Times New Roman"/>
          <w:snapToGrid/>
          <w:szCs w:val="24"/>
        </w:rPr>
        <w:t xml:space="preserve"> </w:t>
      </w:r>
      <w:r w:rsidRPr="00D06592">
        <w:rPr>
          <w:rFonts w:ascii="Times New Roman" w:eastAsia="Calibri" w:hAnsi="Times New Roman"/>
          <w:snapToGrid/>
          <w:szCs w:val="24"/>
        </w:rPr>
        <w:t>expects that the amount of time</w:t>
      </w:r>
      <w:r w:rsidR="000238C3" w:rsidRPr="00D06592">
        <w:rPr>
          <w:rFonts w:ascii="Times New Roman" w:eastAsia="Calibri" w:hAnsi="Times New Roman"/>
          <w:snapToGrid/>
          <w:szCs w:val="24"/>
        </w:rPr>
        <w:t xml:space="preserve"> </w:t>
      </w:r>
      <w:r w:rsidRPr="00D06592">
        <w:rPr>
          <w:rFonts w:ascii="Times New Roman" w:eastAsia="Calibri" w:hAnsi="Times New Roman"/>
          <w:snapToGrid/>
          <w:szCs w:val="24"/>
        </w:rPr>
        <w:t xml:space="preserve">required to implement </w:t>
      </w:r>
      <w:r w:rsidR="00A71DD3" w:rsidRPr="00D06592">
        <w:rPr>
          <w:rFonts w:ascii="Times New Roman" w:eastAsia="Calibri" w:hAnsi="Times New Roman"/>
          <w:snapToGrid/>
          <w:szCs w:val="24"/>
        </w:rPr>
        <w:t>the</w:t>
      </w:r>
      <w:r w:rsidRPr="00D06592">
        <w:rPr>
          <w:rFonts w:ascii="Times New Roman" w:eastAsia="Calibri" w:hAnsi="Times New Roman"/>
          <w:snapToGrid/>
          <w:szCs w:val="24"/>
        </w:rPr>
        <w:t xml:space="preserve"> change for a given institution may vary based on the size and complexity of the respondent.</w:t>
      </w:r>
      <w:r w:rsidR="003E4EBC" w:rsidRPr="00D06592">
        <w:rPr>
          <w:rFonts w:ascii="Times New Roman" w:eastAsia="Calibri" w:hAnsi="Times New Roman"/>
          <w:snapToGrid/>
          <w:szCs w:val="24"/>
        </w:rPr>
        <w:t xml:space="preserve">  </w:t>
      </w:r>
      <w:r w:rsidR="00BD79AF" w:rsidRPr="00D06592">
        <w:rPr>
          <w:rFonts w:ascii="Times New Roman" w:hAnsi="Times New Roman"/>
          <w:szCs w:val="24"/>
        </w:rPr>
        <w:t xml:space="preserve">These </w:t>
      </w:r>
      <w:r w:rsidR="00BD79AF" w:rsidRPr="00D06592">
        <w:rPr>
          <w:rFonts w:ascii="Times New Roman" w:hAnsi="Times New Roman"/>
        </w:rPr>
        <w:t>recordkeeping,</w:t>
      </w:r>
      <w:r w:rsidR="00A71DD3" w:rsidRPr="00D06592">
        <w:rPr>
          <w:rFonts w:ascii="Times New Roman" w:hAnsi="Times New Roman"/>
        </w:rPr>
        <w:t xml:space="preserve"> reporting,</w:t>
      </w:r>
      <w:r w:rsidR="00BD79AF" w:rsidRPr="00D06592">
        <w:rPr>
          <w:rFonts w:ascii="Times New Roman" w:hAnsi="Times New Roman"/>
        </w:rPr>
        <w:t xml:space="preserve"> and disclosure requirements</w:t>
      </w:r>
      <w:r w:rsidR="00BD79AF" w:rsidRPr="00D06592">
        <w:rPr>
          <w:rFonts w:ascii="Times New Roman" w:hAnsi="Times New Roman"/>
          <w:szCs w:val="24"/>
        </w:rPr>
        <w:t xml:space="preserve"> represent </w:t>
      </w:r>
      <w:r w:rsidR="00545F1A" w:rsidRPr="00D06592">
        <w:rPr>
          <w:rFonts w:ascii="Times New Roman" w:hAnsi="Times New Roman"/>
          <w:szCs w:val="24"/>
        </w:rPr>
        <w:t>1</w:t>
      </w:r>
      <w:r w:rsidR="00E9329C" w:rsidRPr="00D06592">
        <w:rPr>
          <w:rFonts w:ascii="Times New Roman" w:hAnsi="Times New Roman"/>
          <w:szCs w:val="24"/>
        </w:rPr>
        <w:t>3</w:t>
      </w:r>
      <w:r w:rsidR="00BD79AF" w:rsidRPr="00D06592">
        <w:rPr>
          <w:rFonts w:ascii="Times New Roman" w:hAnsi="Times New Roman"/>
          <w:szCs w:val="24"/>
        </w:rPr>
        <w:t>.</w:t>
      </w:r>
      <w:r w:rsidR="00E9329C" w:rsidRPr="00D06592">
        <w:rPr>
          <w:rFonts w:ascii="Times New Roman" w:hAnsi="Times New Roman"/>
          <w:szCs w:val="24"/>
        </w:rPr>
        <w:t>16</w:t>
      </w:r>
      <w:r w:rsidR="00BD79AF" w:rsidRPr="00D06592">
        <w:rPr>
          <w:rFonts w:ascii="Times New Roman" w:hAnsi="Times New Roman"/>
          <w:szCs w:val="24"/>
        </w:rPr>
        <w:t xml:space="preserve"> percent of total Federal Reserve System paperwork burden.</w:t>
      </w:r>
    </w:p>
    <w:p w:rsidR="00C50681" w:rsidRPr="00D06592" w:rsidRDefault="00536AAC" w:rsidP="00F110B7">
      <w:pPr>
        <w:rPr>
          <w:rFonts w:ascii="Times New Roman" w:hAnsi="Times New Roman"/>
        </w:rPr>
      </w:pPr>
      <w:r w:rsidRPr="00D06592">
        <w:rPr>
          <w:rFonts w:ascii="Times New Roman" w:hAnsi="Times New Roman"/>
        </w:rPr>
        <w:br w:type="page"/>
      </w:r>
    </w:p>
    <w:p w:rsidR="00274452" w:rsidRDefault="00274452"/>
    <w:tbl>
      <w:tblPr>
        <w:tblW w:w="0" w:type="auto"/>
        <w:tblBorders>
          <w:top w:val="single" w:sz="4" w:space="0" w:color="000000"/>
          <w:bottom w:val="single" w:sz="4" w:space="0" w:color="000000"/>
        </w:tblBorders>
        <w:tblLook w:val="04A0"/>
      </w:tblPr>
      <w:tblGrid>
        <w:gridCol w:w="4483"/>
        <w:gridCol w:w="1376"/>
        <w:gridCol w:w="1239"/>
        <w:gridCol w:w="1239"/>
        <w:gridCol w:w="1239"/>
      </w:tblGrid>
      <w:tr w:rsidR="00274452" w:rsidRPr="00227CDD" w:rsidTr="00274452">
        <w:tc>
          <w:tcPr>
            <w:tcW w:w="4483" w:type="dxa"/>
            <w:vAlign w:val="center"/>
          </w:tcPr>
          <w:p w:rsidR="00274452" w:rsidRPr="00A71DD3" w:rsidRDefault="006F0ABD" w:rsidP="00274452">
            <w:pPr>
              <w:rPr>
                <w:rFonts w:ascii="Times New Roman" w:hAnsi="Times New Roman"/>
                <w:b/>
                <w:sz w:val="20"/>
              </w:rPr>
            </w:pPr>
            <w:r w:rsidRPr="006F0ABD">
              <w:rPr>
                <w:rFonts w:ascii="Times New Roman" w:hAnsi="Times New Roman"/>
                <w:b/>
                <w:sz w:val="20"/>
              </w:rPr>
              <w:t>Current</w:t>
            </w:r>
          </w:p>
        </w:tc>
        <w:tc>
          <w:tcPr>
            <w:tcW w:w="1376" w:type="dxa"/>
            <w:vAlign w:val="center"/>
          </w:tcPr>
          <w:p w:rsidR="00274452" w:rsidRPr="00227CDD" w:rsidRDefault="00274452" w:rsidP="00274452">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20"/>
              </w:rPr>
            </w:pPr>
            <w:r w:rsidRPr="00227CDD">
              <w:rPr>
                <w:rFonts w:ascii="Times New Roman" w:hAnsi="Times New Roman"/>
                <w:i/>
                <w:sz w:val="20"/>
              </w:rPr>
              <w:t>Number</w:t>
            </w:r>
          </w:p>
          <w:p w:rsidR="00274452" w:rsidRPr="00227CDD" w:rsidRDefault="00274452" w:rsidP="00274452">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20"/>
              </w:rPr>
            </w:pPr>
            <w:r w:rsidRPr="00227CDD">
              <w:rPr>
                <w:rFonts w:ascii="Times New Roman" w:hAnsi="Times New Roman"/>
                <w:i/>
                <w:sz w:val="20"/>
              </w:rPr>
              <w:t>of</w:t>
            </w:r>
          </w:p>
          <w:p w:rsidR="00274452" w:rsidRPr="00227CDD" w:rsidRDefault="00274452" w:rsidP="00030373">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20"/>
              </w:rPr>
            </w:pPr>
            <w:r w:rsidRPr="00227CDD">
              <w:rPr>
                <w:rFonts w:ascii="Times New Roman" w:hAnsi="Times New Roman"/>
                <w:i/>
                <w:sz w:val="20"/>
              </w:rPr>
              <w:t>respondents</w:t>
            </w:r>
          </w:p>
        </w:tc>
        <w:tc>
          <w:tcPr>
            <w:tcW w:w="1239" w:type="dxa"/>
            <w:vAlign w:val="center"/>
          </w:tcPr>
          <w:p w:rsidR="00274452" w:rsidRPr="00227CDD" w:rsidRDefault="00274452" w:rsidP="00274452">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20"/>
              </w:rPr>
            </w:pPr>
            <w:r w:rsidRPr="00227CDD">
              <w:rPr>
                <w:rFonts w:ascii="Times New Roman" w:hAnsi="Times New Roman"/>
                <w:i/>
                <w:sz w:val="20"/>
              </w:rPr>
              <w:t>Estimated</w:t>
            </w:r>
          </w:p>
          <w:p w:rsidR="00274452" w:rsidRPr="00227CDD" w:rsidRDefault="00274452" w:rsidP="00274452">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20"/>
              </w:rPr>
            </w:pPr>
            <w:r w:rsidRPr="00227CDD">
              <w:rPr>
                <w:rFonts w:ascii="Times New Roman" w:hAnsi="Times New Roman"/>
                <w:i/>
                <w:sz w:val="20"/>
              </w:rPr>
              <w:t>annual</w:t>
            </w:r>
          </w:p>
          <w:p w:rsidR="00274452" w:rsidRPr="00227CDD" w:rsidRDefault="00274452" w:rsidP="00274452">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20"/>
              </w:rPr>
            </w:pPr>
            <w:r w:rsidRPr="00227CDD">
              <w:rPr>
                <w:rFonts w:ascii="Times New Roman" w:hAnsi="Times New Roman"/>
                <w:i/>
                <w:sz w:val="20"/>
              </w:rPr>
              <w:t>frequency</w:t>
            </w:r>
          </w:p>
        </w:tc>
        <w:tc>
          <w:tcPr>
            <w:tcW w:w="1239" w:type="dxa"/>
            <w:vAlign w:val="center"/>
          </w:tcPr>
          <w:p w:rsidR="00274452" w:rsidRPr="00227CDD" w:rsidRDefault="00274452" w:rsidP="00274452">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20"/>
              </w:rPr>
            </w:pPr>
            <w:r w:rsidRPr="00227CDD">
              <w:rPr>
                <w:rFonts w:ascii="Times New Roman" w:hAnsi="Times New Roman"/>
                <w:i/>
                <w:sz w:val="20"/>
              </w:rPr>
              <w:t>Estimated response</w:t>
            </w:r>
          </w:p>
          <w:p w:rsidR="00274452" w:rsidRPr="00227CDD" w:rsidRDefault="00274452" w:rsidP="00274452">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20"/>
              </w:rPr>
            </w:pPr>
            <w:r w:rsidRPr="00227CDD">
              <w:rPr>
                <w:rFonts w:ascii="Times New Roman" w:hAnsi="Times New Roman"/>
                <w:i/>
                <w:sz w:val="20"/>
              </w:rPr>
              <w:t>time</w:t>
            </w:r>
          </w:p>
        </w:tc>
        <w:tc>
          <w:tcPr>
            <w:tcW w:w="1239" w:type="dxa"/>
            <w:vAlign w:val="center"/>
          </w:tcPr>
          <w:p w:rsidR="00274452" w:rsidRPr="00227CDD" w:rsidRDefault="00274452" w:rsidP="00274452">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20"/>
              </w:rPr>
            </w:pPr>
            <w:r w:rsidRPr="00227CDD">
              <w:rPr>
                <w:rFonts w:ascii="Times New Roman" w:hAnsi="Times New Roman"/>
                <w:i/>
                <w:sz w:val="20"/>
              </w:rPr>
              <w:t>Estimated annual</w:t>
            </w:r>
          </w:p>
          <w:p w:rsidR="00274452" w:rsidRPr="00227CDD" w:rsidRDefault="00274452" w:rsidP="00274452">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20"/>
              </w:rPr>
            </w:pPr>
            <w:r w:rsidRPr="00227CDD">
              <w:rPr>
                <w:rFonts w:ascii="Times New Roman" w:hAnsi="Times New Roman"/>
                <w:i/>
                <w:sz w:val="20"/>
              </w:rPr>
              <w:t>burden hours</w:t>
            </w:r>
          </w:p>
        </w:tc>
      </w:tr>
      <w:tr w:rsidR="00274452" w:rsidRPr="00620821" w:rsidTr="00274452">
        <w:tc>
          <w:tcPr>
            <w:tcW w:w="4483" w:type="dxa"/>
          </w:tcPr>
          <w:p w:rsidR="00274452" w:rsidRPr="0020065F" w:rsidRDefault="00274452" w:rsidP="00274452">
            <w:pPr>
              <w:rPr>
                <w:rFonts w:ascii="Times New Roman" w:hAnsi="Times New Roman"/>
                <w:b/>
                <w:sz w:val="20"/>
              </w:rPr>
            </w:pPr>
            <w:r w:rsidRPr="0020065F">
              <w:rPr>
                <w:rFonts w:ascii="Times New Roman" w:hAnsi="Times New Roman"/>
                <w:b/>
                <w:sz w:val="20"/>
                <w:u w:val="single"/>
              </w:rPr>
              <w:t>Subpart B Open-end Credit (226.5-226.16)</w:t>
            </w:r>
            <w:r w:rsidRPr="0020065F">
              <w:rPr>
                <w:rFonts w:ascii="Times New Roman" w:hAnsi="Times New Roman"/>
                <w:b/>
                <w:sz w:val="20"/>
              </w:rPr>
              <w:t>:</w:t>
            </w:r>
          </w:p>
        </w:tc>
        <w:tc>
          <w:tcPr>
            <w:tcW w:w="1376" w:type="dxa"/>
            <w:vAlign w:val="bottom"/>
          </w:tcPr>
          <w:p w:rsidR="00274452" w:rsidRPr="00620821" w:rsidRDefault="00274452" w:rsidP="00274452">
            <w:pPr>
              <w:jc w:val="center"/>
              <w:rPr>
                <w:rFonts w:ascii="Times New Roman" w:hAnsi="Times New Roman"/>
                <w:sz w:val="20"/>
              </w:rPr>
            </w:pPr>
          </w:p>
        </w:tc>
        <w:tc>
          <w:tcPr>
            <w:tcW w:w="1239" w:type="dxa"/>
            <w:vAlign w:val="bottom"/>
          </w:tcPr>
          <w:p w:rsidR="00274452" w:rsidRPr="00620821" w:rsidRDefault="00274452" w:rsidP="00274452">
            <w:pPr>
              <w:jc w:val="center"/>
              <w:rPr>
                <w:rFonts w:ascii="Times New Roman" w:hAnsi="Times New Roman"/>
                <w:sz w:val="20"/>
              </w:rPr>
            </w:pPr>
          </w:p>
        </w:tc>
        <w:tc>
          <w:tcPr>
            <w:tcW w:w="1239" w:type="dxa"/>
            <w:vAlign w:val="bottom"/>
          </w:tcPr>
          <w:p w:rsidR="00274452" w:rsidRPr="00620821" w:rsidRDefault="00274452" w:rsidP="00274452">
            <w:pPr>
              <w:jc w:val="center"/>
              <w:rPr>
                <w:rFonts w:ascii="Times New Roman" w:hAnsi="Times New Roman"/>
                <w:sz w:val="20"/>
              </w:rPr>
            </w:pPr>
          </w:p>
        </w:tc>
        <w:tc>
          <w:tcPr>
            <w:tcW w:w="1239" w:type="dxa"/>
            <w:vAlign w:val="bottom"/>
          </w:tcPr>
          <w:p w:rsidR="00274452" w:rsidRPr="00620821" w:rsidRDefault="00274452" w:rsidP="00274452">
            <w:pPr>
              <w:jc w:val="right"/>
              <w:rPr>
                <w:rFonts w:ascii="Times New Roman" w:hAnsi="Times New Roman"/>
                <w:sz w:val="20"/>
              </w:rPr>
            </w:pPr>
          </w:p>
        </w:tc>
      </w:tr>
      <w:tr w:rsidR="00274452" w:rsidRPr="00620821" w:rsidTr="00274452">
        <w:tc>
          <w:tcPr>
            <w:tcW w:w="4483" w:type="dxa"/>
          </w:tcPr>
          <w:p w:rsidR="00274452" w:rsidRPr="0020065F" w:rsidRDefault="00274452" w:rsidP="00274452">
            <w:pPr>
              <w:rPr>
                <w:rFonts w:ascii="Times New Roman" w:hAnsi="Times New Roman"/>
                <w:sz w:val="20"/>
              </w:rPr>
            </w:pPr>
            <w:r w:rsidRPr="0020065F">
              <w:rPr>
                <w:rFonts w:ascii="Times New Roman" w:hAnsi="Times New Roman"/>
                <w:sz w:val="20"/>
              </w:rPr>
              <w:t xml:space="preserve">Credit and Charge cards </w:t>
            </w:r>
          </w:p>
          <w:p w:rsidR="00274452" w:rsidRPr="0020065F" w:rsidRDefault="00274452" w:rsidP="00274452">
            <w:pPr>
              <w:rPr>
                <w:rFonts w:ascii="Times New Roman" w:hAnsi="Times New Roman"/>
                <w:sz w:val="20"/>
              </w:rPr>
            </w:pPr>
            <w:r w:rsidRPr="0020065F">
              <w:rPr>
                <w:rFonts w:ascii="Times New Roman" w:hAnsi="Times New Roman"/>
                <w:sz w:val="20"/>
              </w:rPr>
              <w:t>Application and Solicitations (Section 226.5(a))</w:t>
            </w:r>
          </w:p>
        </w:tc>
        <w:tc>
          <w:tcPr>
            <w:tcW w:w="1376" w:type="dxa"/>
            <w:vAlign w:val="bottom"/>
          </w:tcPr>
          <w:p w:rsidR="00274452" w:rsidRPr="00620821" w:rsidRDefault="00274452" w:rsidP="00274452">
            <w:pPr>
              <w:jc w:val="center"/>
              <w:rPr>
                <w:rFonts w:ascii="Times New Roman" w:hAnsi="Times New Roman"/>
                <w:sz w:val="20"/>
              </w:rPr>
            </w:pPr>
            <w:r w:rsidRPr="00620821">
              <w:rPr>
                <w:rFonts w:ascii="Times New Roman" w:hAnsi="Times New Roman"/>
                <w:sz w:val="20"/>
              </w:rPr>
              <w:t>226</w:t>
            </w:r>
          </w:p>
        </w:tc>
        <w:tc>
          <w:tcPr>
            <w:tcW w:w="1239" w:type="dxa"/>
            <w:vAlign w:val="bottom"/>
          </w:tcPr>
          <w:p w:rsidR="00274452" w:rsidRPr="00620821" w:rsidRDefault="00274452" w:rsidP="00274452">
            <w:pPr>
              <w:jc w:val="center"/>
              <w:rPr>
                <w:rFonts w:ascii="Times New Roman" w:hAnsi="Times New Roman"/>
                <w:sz w:val="20"/>
              </w:rPr>
            </w:pPr>
            <w:r w:rsidRPr="00620821">
              <w:rPr>
                <w:rFonts w:ascii="Times New Roman" w:hAnsi="Times New Roman"/>
                <w:sz w:val="20"/>
              </w:rPr>
              <w:t>12</w:t>
            </w:r>
          </w:p>
        </w:tc>
        <w:tc>
          <w:tcPr>
            <w:tcW w:w="1239" w:type="dxa"/>
            <w:vAlign w:val="bottom"/>
          </w:tcPr>
          <w:p w:rsidR="00274452" w:rsidRPr="00620821" w:rsidRDefault="00274452" w:rsidP="00274452">
            <w:pPr>
              <w:jc w:val="right"/>
              <w:rPr>
                <w:rFonts w:ascii="Times New Roman" w:hAnsi="Times New Roman"/>
                <w:sz w:val="20"/>
              </w:rPr>
            </w:pPr>
            <w:r w:rsidRPr="00620821">
              <w:rPr>
                <w:rFonts w:ascii="Times New Roman" w:hAnsi="Times New Roman"/>
                <w:sz w:val="20"/>
              </w:rPr>
              <w:t>8 hours</w:t>
            </w:r>
          </w:p>
        </w:tc>
        <w:tc>
          <w:tcPr>
            <w:tcW w:w="1239" w:type="dxa"/>
            <w:vAlign w:val="bottom"/>
          </w:tcPr>
          <w:p w:rsidR="00274452" w:rsidRPr="00620821" w:rsidRDefault="00274452" w:rsidP="00274452">
            <w:pPr>
              <w:jc w:val="right"/>
              <w:rPr>
                <w:rFonts w:ascii="Times New Roman" w:hAnsi="Times New Roman"/>
                <w:sz w:val="20"/>
              </w:rPr>
            </w:pPr>
            <w:r w:rsidRPr="00620821">
              <w:rPr>
                <w:rFonts w:ascii="Times New Roman" w:hAnsi="Times New Roman"/>
                <w:sz w:val="20"/>
              </w:rPr>
              <w:t>21,696</w:t>
            </w:r>
          </w:p>
        </w:tc>
      </w:tr>
      <w:tr w:rsidR="00274452" w:rsidRPr="00620821" w:rsidTr="00274452">
        <w:tc>
          <w:tcPr>
            <w:tcW w:w="4483" w:type="dxa"/>
          </w:tcPr>
          <w:p w:rsidR="00274452" w:rsidRPr="0020065F" w:rsidRDefault="00274452" w:rsidP="00274452">
            <w:pPr>
              <w:rPr>
                <w:rFonts w:ascii="Times New Roman" w:hAnsi="Times New Roman"/>
                <w:sz w:val="20"/>
                <w:u w:val="single"/>
              </w:rPr>
            </w:pPr>
          </w:p>
        </w:tc>
        <w:tc>
          <w:tcPr>
            <w:tcW w:w="1376" w:type="dxa"/>
            <w:vAlign w:val="bottom"/>
          </w:tcPr>
          <w:p w:rsidR="00274452" w:rsidRPr="00620821" w:rsidRDefault="00274452" w:rsidP="00274452">
            <w:pPr>
              <w:jc w:val="center"/>
              <w:rPr>
                <w:rFonts w:ascii="Times New Roman" w:hAnsi="Times New Roman"/>
                <w:sz w:val="20"/>
              </w:rPr>
            </w:pPr>
          </w:p>
        </w:tc>
        <w:tc>
          <w:tcPr>
            <w:tcW w:w="1239" w:type="dxa"/>
            <w:vAlign w:val="bottom"/>
          </w:tcPr>
          <w:p w:rsidR="00274452" w:rsidRPr="00620821" w:rsidRDefault="00274452" w:rsidP="00274452">
            <w:pPr>
              <w:jc w:val="center"/>
              <w:rPr>
                <w:rFonts w:ascii="Times New Roman" w:hAnsi="Times New Roman"/>
                <w:sz w:val="20"/>
              </w:rPr>
            </w:pPr>
          </w:p>
        </w:tc>
        <w:tc>
          <w:tcPr>
            <w:tcW w:w="1239" w:type="dxa"/>
            <w:vAlign w:val="bottom"/>
          </w:tcPr>
          <w:p w:rsidR="00274452" w:rsidRPr="00620821" w:rsidRDefault="00274452" w:rsidP="00274452">
            <w:pPr>
              <w:jc w:val="right"/>
              <w:rPr>
                <w:rFonts w:ascii="Times New Roman" w:hAnsi="Times New Roman"/>
                <w:sz w:val="20"/>
              </w:rPr>
            </w:pPr>
          </w:p>
        </w:tc>
        <w:tc>
          <w:tcPr>
            <w:tcW w:w="1239" w:type="dxa"/>
            <w:vAlign w:val="bottom"/>
          </w:tcPr>
          <w:p w:rsidR="00274452" w:rsidRPr="00620821" w:rsidRDefault="00274452" w:rsidP="00274452">
            <w:pPr>
              <w:jc w:val="right"/>
              <w:rPr>
                <w:rFonts w:ascii="Times New Roman" w:hAnsi="Times New Roman"/>
                <w:sz w:val="20"/>
              </w:rPr>
            </w:pPr>
          </w:p>
        </w:tc>
      </w:tr>
      <w:tr w:rsidR="00274452" w:rsidRPr="00620821" w:rsidTr="00274452">
        <w:tc>
          <w:tcPr>
            <w:tcW w:w="4483" w:type="dxa"/>
          </w:tcPr>
          <w:p w:rsidR="00274452" w:rsidRPr="0020065F" w:rsidRDefault="00274452" w:rsidP="00274452">
            <w:pPr>
              <w:rPr>
                <w:rFonts w:ascii="Times New Roman" w:hAnsi="Times New Roman"/>
                <w:sz w:val="20"/>
              </w:rPr>
            </w:pPr>
            <w:r w:rsidRPr="0003126B">
              <w:rPr>
                <w:rFonts w:ascii="Times New Roman" w:hAnsi="Times New Roman"/>
                <w:sz w:val="20"/>
                <w:u w:val="single"/>
              </w:rPr>
              <w:t>Home-Equity Plans (Section 226.5(b))</w:t>
            </w:r>
            <w:r w:rsidRPr="0020065F">
              <w:rPr>
                <w:rFonts w:ascii="Times New Roman" w:hAnsi="Times New Roman"/>
                <w:sz w:val="20"/>
              </w:rPr>
              <w:t>:</w:t>
            </w:r>
          </w:p>
        </w:tc>
        <w:tc>
          <w:tcPr>
            <w:tcW w:w="1376" w:type="dxa"/>
            <w:vAlign w:val="bottom"/>
          </w:tcPr>
          <w:p w:rsidR="00274452" w:rsidRPr="00620821" w:rsidRDefault="00274452" w:rsidP="00274452">
            <w:pPr>
              <w:jc w:val="center"/>
              <w:rPr>
                <w:rFonts w:ascii="Times New Roman" w:hAnsi="Times New Roman"/>
                <w:sz w:val="20"/>
              </w:rPr>
            </w:pPr>
          </w:p>
        </w:tc>
        <w:tc>
          <w:tcPr>
            <w:tcW w:w="1239" w:type="dxa"/>
            <w:vAlign w:val="bottom"/>
          </w:tcPr>
          <w:p w:rsidR="00274452" w:rsidRPr="00620821" w:rsidRDefault="00274452" w:rsidP="00274452">
            <w:pPr>
              <w:jc w:val="center"/>
              <w:rPr>
                <w:rFonts w:ascii="Times New Roman" w:hAnsi="Times New Roman"/>
                <w:sz w:val="20"/>
              </w:rPr>
            </w:pPr>
          </w:p>
        </w:tc>
        <w:tc>
          <w:tcPr>
            <w:tcW w:w="1239" w:type="dxa"/>
            <w:vAlign w:val="bottom"/>
          </w:tcPr>
          <w:p w:rsidR="00274452" w:rsidRPr="00620821" w:rsidRDefault="00274452" w:rsidP="00274452">
            <w:pPr>
              <w:jc w:val="right"/>
              <w:rPr>
                <w:rFonts w:ascii="Times New Roman" w:hAnsi="Times New Roman"/>
                <w:sz w:val="20"/>
              </w:rPr>
            </w:pPr>
          </w:p>
        </w:tc>
        <w:tc>
          <w:tcPr>
            <w:tcW w:w="1239" w:type="dxa"/>
            <w:vAlign w:val="bottom"/>
          </w:tcPr>
          <w:p w:rsidR="00274452" w:rsidRPr="00620821" w:rsidRDefault="00274452" w:rsidP="00274452">
            <w:pPr>
              <w:jc w:val="right"/>
              <w:rPr>
                <w:rFonts w:ascii="Times New Roman" w:hAnsi="Times New Roman"/>
                <w:sz w:val="20"/>
              </w:rPr>
            </w:pPr>
          </w:p>
        </w:tc>
      </w:tr>
      <w:tr w:rsidR="00274452" w:rsidRPr="00620821" w:rsidTr="00274452">
        <w:tc>
          <w:tcPr>
            <w:tcW w:w="4483" w:type="dxa"/>
          </w:tcPr>
          <w:p w:rsidR="00274452" w:rsidRPr="0020065F" w:rsidRDefault="00274452" w:rsidP="00274452">
            <w:pPr>
              <w:rPr>
                <w:rFonts w:ascii="Times New Roman" w:hAnsi="Times New Roman"/>
                <w:sz w:val="20"/>
              </w:rPr>
            </w:pPr>
            <w:r w:rsidRPr="0020065F">
              <w:rPr>
                <w:rFonts w:ascii="Times New Roman" w:hAnsi="Times New Roman"/>
                <w:sz w:val="20"/>
              </w:rPr>
              <w:t>Application disclosure</w:t>
            </w:r>
          </w:p>
        </w:tc>
        <w:tc>
          <w:tcPr>
            <w:tcW w:w="1376" w:type="dxa"/>
            <w:vAlign w:val="bottom"/>
          </w:tcPr>
          <w:p w:rsidR="00274452" w:rsidRPr="00620821" w:rsidRDefault="00274452" w:rsidP="00274452">
            <w:pPr>
              <w:jc w:val="center"/>
              <w:rPr>
                <w:rFonts w:ascii="Times New Roman" w:hAnsi="Times New Roman"/>
                <w:sz w:val="20"/>
              </w:rPr>
            </w:pPr>
            <w:r w:rsidRPr="00620821">
              <w:rPr>
                <w:rFonts w:ascii="Times New Roman" w:hAnsi="Times New Roman"/>
                <w:sz w:val="20"/>
              </w:rPr>
              <w:t>651</w:t>
            </w:r>
          </w:p>
        </w:tc>
        <w:tc>
          <w:tcPr>
            <w:tcW w:w="1239" w:type="dxa"/>
            <w:vAlign w:val="bottom"/>
          </w:tcPr>
          <w:p w:rsidR="00274452" w:rsidRPr="00620821" w:rsidRDefault="00274452" w:rsidP="00274452">
            <w:pPr>
              <w:jc w:val="center"/>
              <w:rPr>
                <w:rFonts w:ascii="Times New Roman" w:hAnsi="Times New Roman"/>
                <w:sz w:val="20"/>
              </w:rPr>
            </w:pPr>
            <w:r w:rsidRPr="00620821">
              <w:rPr>
                <w:rFonts w:ascii="Times New Roman" w:hAnsi="Times New Roman"/>
                <w:sz w:val="20"/>
              </w:rPr>
              <w:t>790</w:t>
            </w:r>
          </w:p>
        </w:tc>
        <w:tc>
          <w:tcPr>
            <w:tcW w:w="1239" w:type="dxa"/>
            <w:vAlign w:val="bottom"/>
          </w:tcPr>
          <w:p w:rsidR="00274452" w:rsidRPr="00620821" w:rsidRDefault="00274452" w:rsidP="00274452">
            <w:pPr>
              <w:jc w:val="right"/>
              <w:rPr>
                <w:rFonts w:ascii="Times New Roman" w:hAnsi="Times New Roman"/>
                <w:sz w:val="20"/>
              </w:rPr>
            </w:pPr>
            <w:r w:rsidRPr="00620821">
              <w:rPr>
                <w:rFonts w:ascii="Times New Roman" w:hAnsi="Times New Roman"/>
                <w:sz w:val="20"/>
              </w:rPr>
              <w:t>1.5 min</w:t>
            </w:r>
          </w:p>
        </w:tc>
        <w:tc>
          <w:tcPr>
            <w:tcW w:w="1239" w:type="dxa"/>
            <w:vAlign w:val="bottom"/>
          </w:tcPr>
          <w:p w:rsidR="00274452" w:rsidRPr="00620821" w:rsidRDefault="00274452" w:rsidP="00274452">
            <w:pPr>
              <w:jc w:val="right"/>
              <w:rPr>
                <w:rFonts w:ascii="Times New Roman" w:hAnsi="Times New Roman"/>
                <w:sz w:val="20"/>
              </w:rPr>
            </w:pPr>
            <w:r w:rsidRPr="00620821">
              <w:rPr>
                <w:rFonts w:ascii="Times New Roman" w:hAnsi="Times New Roman"/>
                <w:sz w:val="20"/>
              </w:rPr>
              <w:t>12,857</w:t>
            </w:r>
          </w:p>
        </w:tc>
      </w:tr>
      <w:tr w:rsidR="00274452" w:rsidRPr="00620821" w:rsidTr="00274452">
        <w:tc>
          <w:tcPr>
            <w:tcW w:w="4483" w:type="dxa"/>
          </w:tcPr>
          <w:p w:rsidR="00274452" w:rsidRPr="0020065F" w:rsidRDefault="00274452" w:rsidP="00274452">
            <w:pPr>
              <w:rPr>
                <w:rFonts w:ascii="Times New Roman" w:hAnsi="Times New Roman"/>
                <w:sz w:val="20"/>
              </w:rPr>
            </w:pPr>
            <w:r w:rsidRPr="0020065F">
              <w:rPr>
                <w:rFonts w:ascii="Times New Roman" w:hAnsi="Times New Roman"/>
                <w:sz w:val="20"/>
              </w:rPr>
              <w:t>Restriction disclosure</w:t>
            </w:r>
          </w:p>
        </w:tc>
        <w:tc>
          <w:tcPr>
            <w:tcW w:w="1376" w:type="dxa"/>
            <w:vAlign w:val="bottom"/>
          </w:tcPr>
          <w:p w:rsidR="00274452" w:rsidRPr="00620821" w:rsidRDefault="00274452" w:rsidP="00274452">
            <w:pPr>
              <w:jc w:val="center"/>
              <w:rPr>
                <w:rFonts w:ascii="Times New Roman" w:hAnsi="Times New Roman"/>
                <w:sz w:val="20"/>
              </w:rPr>
            </w:pPr>
            <w:r w:rsidRPr="00620821">
              <w:rPr>
                <w:rFonts w:ascii="Times New Roman" w:hAnsi="Times New Roman"/>
                <w:sz w:val="20"/>
              </w:rPr>
              <w:t>651</w:t>
            </w:r>
          </w:p>
        </w:tc>
        <w:tc>
          <w:tcPr>
            <w:tcW w:w="1239" w:type="dxa"/>
            <w:vAlign w:val="bottom"/>
          </w:tcPr>
          <w:p w:rsidR="00274452" w:rsidRPr="00620821" w:rsidRDefault="00274452" w:rsidP="00274452">
            <w:pPr>
              <w:jc w:val="center"/>
              <w:rPr>
                <w:rFonts w:ascii="Times New Roman" w:hAnsi="Times New Roman"/>
                <w:sz w:val="20"/>
              </w:rPr>
            </w:pPr>
            <w:r w:rsidRPr="00620821">
              <w:rPr>
                <w:rFonts w:ascii="Times New Roman" w:hAnsi="Times New Roman"/>
                <w:sz w:val="20"/>
              </w:rPr>
              <w:t>10</w:t>
            </w:r>
          </w:p>
        </w:tc>
        <w:tc>
          <w:tcPr>
            <w:tcW w:w="1239" w:type="dxa"/>
            <w:vAlign w:val="bottom"/>
          </w:tcPr>
          <w:p w:rsidR="00274452" w:rsidRPr="00620821" w:rsidRDefault="00274452" w:rsidP="00274452">
            <w:pPr>
              <w:jc w:val="right"/>
              <w:rPr>
                <w:rFonts w:ascii="Times New Roman" w:hAnsi="Times New Roman"/>
                <w:sz w:val="20"/>
              </w:rPr>
            </w:pPr>
            <w:r w:rsidRPr="00620821">
              <w:rPr>
                <w:rFonts w:ascii="Times New Roman" w:hAnsi="Times New Roman"/>
                <w:sz w:val="20"/>
              </w:rPr>
              <w:t>3 min</w:t>
            </w:r>
          </w:p>
        </w:tc>
        <w:tc>
          <w:tcPr>
            <w:tcW w:w="1239" w:type="dxa"/>
            <w:vAlign w:val="bottom"/>
          </w:tcPr>
          <w:p w:rsidR="00274452" w:rsidRPr="00620821" w:rsidRDefault="00274452" w:rsidP="00274452">
            <w:pPr>
              <w:jc w:val="right"/>
              <w:rPr>
                <w:rFonts w:ascii="Times New Roman" w:hAnsi="Times New Roman"/>
                <w:sz w:val="20"/>
              </w:rPr>
            </w:pPr>
            <w:r w:rsidRPr="00620821">
              <w:rPr>
                <w:rFonts w:ascii="Times New Roman" w:hAnsi="Times New Roman"/>
                <w:sz w:val="20"/>
              </w:rPr>
              <w:t>326</w:t>
            </w:r>
          </w:p>
        </w:tc>
      </w:tr>
      <w:tr w:rsidR="00274452" w:rsidRPr="00620821" w:rsidTr="00274452">
        <w:tc>
          <w:tcPr>
            <w:tcW w:w="4483" w:type="dxa"/>
          </w:tcPr>
          <w:p w:rsidR="00274452" w:rsidRPr="0020065F" w:rsidRDefault="00274452" w:rsidP="00274452">
            <w:pPr>
              <w:rPr>
                <w:rFonts w:ascii="Times New Roman" w:hAnsi="Times New Roman"/>
                <w:sz w:val="20"/>
              </w:rPr>
            </w:pPr>
          </w:p>
        </w:tc>
        <w:tc>
          <w:tcPr>
            <w:tcW w:w="1376" w:type="dxa"/>
            <w:vAlign w:val="bottom"/>
          </w:tcPr>
          <w:p w:rsidR="00274452" w:rsidRPr="00620821" w:rsidRDefault="00274452" w:rsidP="00274452">
            <w:pPr>
              <w:jc w:val="center"/>
              <w:rPr>
                <w:rFonts w:ascii="Times New Roman" w:hAnsi="Times New Roman"/>
                <w:sz w:val="20"/>
              </w:rPr>
            </w:pPr>
          </w:p>
        </w:tc>
        <w:tc>
          <w:tcPr>
            <w:tcW w:w="1239" w:type="dxa"/>
            <w:vAlign w:val="bottom"/>
          </w:tcPr>
          <w:p w:rsidR="00274452" w:rsidRPr="00620821" w:rsidRDefault="00274452" w:rsidP="00274452">
            <w:pPr>
              <w:jc w:val="center"/>
              <w:rPr>
                <w:rFonts w:ascii="Times New Roman" w:hAnsi="Times New Roman"/>
                <w:sz w:val="20"/>
              </w:rPr>
            </w:pPr>
          </w:p>
        </w:tc>
        <w:tc>
          <w:tcPr>
            <w:tcW w:w="1239" w:type="dxa"/>
            <w:vAlign w:val="bottom"/>
          </w:tcPr>
          <w:p w:rsidR="00274452" w:rsidRPr="00620821" w:rsidRDefault="00274452" w:rsidP="00274452">
            <w:pPr>
              <w:jc w:val="right"/>
              <w:rPr>
                <w:rFonts w:ascii="Times New Roman" w:hAnsi="Times New Roman"/>
                <w:sz w:val="20"/>
              </w:rPr>
            </w:pPr>
          </w:p>
        </w:tc>
        <w:tc>
          <w:tcPr>
            <w:tcW w:w="1239" w:type="dxa"/>
            <w:vAlign w:val="bottom"/>
          </w:tcPr>
          <w:p w:rsidR="00274452" w:rsidRPr="00620821" w:rsidRDefault="00274452" w:rsidP="00274452">
            <w:pPr>
              <w:jc w:val="right"/>
              <w:rPr>
                <w:rFonts w:ascii="Times New Roman" w:hAnsi="Times New Roman"/>
                <w:sz w:val="20"/>
              </w:rPr>
            </w:pPr>
          </w:p>
        </w:tc>
      </w:tr>
      <w:tr w:rsidR="00274452" w:rsidRPr="00620821" w:rsidTr="00274452">
        <w:tc>
          <w:tcPr>
            <w:tcW w:w="4483" w:type="dxa"/>
          </w:tcPr>
          <w:p w:rsidR="00274452" w:rsidRPr="0020065F" w:rsidRDefault="00274452" w:rsidP="00274452">
            <w:pPr>
              <w:rPr>
                <w:rFonts w:ascii="Times New Roman" w:hAnsi="Times New Roman"/>
                <w:sz w:val="20"/>
              </w:rPr>
            </w:pPr>
            <w:r w:rsidRPr="0020065F">
              <w:rPr>
                <w:rFonts w:ascii="Times New Roman" w:hAnsi="Times New Roman"/>
                <w:sz w:val="20"/>
              </w:rPr>
              <w:t>Account opening disclosures (Section 226.6)</w:t>
            </w:r>
          </w:p>
        </w:tc>
        <w:tc>
          <w:tcPr>
            <w:tcW w:w="1376" w:type="dxa"/>
            <w:vAlign w:val="bottom"/>
          </w:tcPr>
          <w:p w:rsidR="00274452" w:rsidRPr="00620821" w:rsidRDefault="00274452" w:rsidP="00274452">
            <w:pPr>
              <w:jc w:val="center"/>
              <w:rPr>
                <w:rFonts w:ascii="Times New Roman" w:hAnsi="Times New Roman"/>
                <w:sz w:val="20"/>
              </w:rPr>
            </w:pPr>
            <w:r w:rsidRPr="00620821">
              <w:rPr>
                <w:rFonts w:ascii="Times New Roman" w:hAnsi="Times New Roman"/>
                <w:sz w:val="20"/>
              </w:rPr>
              <w:t>878</w:t>
            </w:r>
          </w:p>
        </w:tc>
        <w:tc>
          <w:tcPr>
            <w:tcW w:w="1239" w:type="dxa"/>
            <w:vAlign w:val="bottom"/>
          </w:tcPr>
          <w:p w:rsidR="00274452" w:rsidRPr="00620821" w:rsidRDefault="00274452" w:rsidP="00274452">
            <w:pPr>
              <w:jc w:val="center"/>
              <w:rPr>
                <w:rFonts w:ascii="Times New Roman" w:hAnsi="Times New Roman"/>
                <w:sz w:val="20"/>
              </w:rPr>
            </w:pPr>
            <w:r w:rsidRPr="00620821">
              <w:rPr>
                <w:rFonts w:ascii="Times New Roman" w:hAnsi="Times New Roman"/>
                <w:sz w:val="20"/>
              </w:rPr>
              <w:t>1,150</w:t>
            </w:r>
          </w:p>
        </w:tc>
        <w:tc>
          <w:tcPr>
            <w:tcW w:w="1239" w:type="dxa"/>
            <w:vAlign w:val="bottom"/>
          </w:tcPr>
          <w:p w:rsidR="00274452" w:rsidRPr="00620821" w:rsidRDefault="00274452" w:rsidP="00274452">
            <w:pPr>
              <w:jc w:val="right"/>
              <w:rPr>
                <w:rFonts w:ascii="Times New Roman" w:hAnsi="Times New Roman"/>
                <w:sz w:val="20"/>
              </w:rPr>
            </w:pPr>
            <w:r w:rsidRPr="00620821">
              <w:rPr>
                <w:rFonts w:ascii="Times New Roman" w:hAnsi="Times New Roman"/>
                <w:sz w:val="20"/>
              </w:rPr>
              <w:t>1.5 min</w:t>
            </w:r>
          </w:p>
        </w:tc>
        <w:tc>
          <w:tcPr>
            <w:tcW w:w="1239" w:type="dxa"/>
            <w:vAlign w:val="bottom"/>
          </w:tcPr>
          <w:p w:rsidR="00274452" w:rsidRPr="00620821" w:rsidRDefault="00274452" w:rsidP="00274452">
            <w:pPr>
              <w:jc w:val="right"/>
              <w:rPr>
                <w:rFonts w:ascii="Times New Roman" w:hAnsi="Times New Roman"/>
                <w:sz w:val="20"/>
              </w:rPr>
            </w:pPr>
            <w:r w:rsidRPr="00620821">
              <w:rPr>
                <w:rFonts w:ascii="Times New Roman" w:hAnsi="Times New Roman"/>
                <w:sz w:val="20"/>
              </w:rPr>
              <w:t>25,243</w:t>
            </w:r>
          </w:p>
        </w:tc>
      </w:tr>
      <w:tr w:rsidR="00274452" w:rsidRPr="00620821" w:rsidTr="00274452">
        <w:tc>
          <w:tcPr>
            <w:tcW w:w="4483" w:type="dxa"/>
          </w:tcPr>
          <w:p w:rsidR="00274452" w:rsidRPr="0020065F" w:rsidRDefault="00274452" w:rsidP="00274452">
            <w:pPr>
              <w:rPr>
                <w:rFonts w:ascii="Times New Roman" w:hAnsi="Times New Roman"/>
                <w:sz w:val="20"/>
              </w:rPr>
            </w:pPr>
            <w:r w:rsidRPr="0003126B">
              <w:rPr>
                <w:rFonts w:ascii="Times New Roman" w:hAnsi="Times New Roman"/>
                <w:b/>
                <w:sz w:val="20"/>
              </w:rPr>
              <w:t>Reg AA</w:t>
            </w:r>
            <w:r>
              <w:rPr>
                <w:rFonts w:ascii="Times New Roman" w:hAnsi="Times New Roman"/>
                <w:sz w:val="20"/>
              </w:rPr>
              <w:t xml:space="preserve"> </w:t>
            </w:r>
            <w:r w:rsidRPr="0020065F">
              <w:rPr>
                <w:rFonts w:ascii="Times New Roman" w:hAnsi="Times New Roman"/>
                <w:sz w:val="20"/>
              </w:rPr>
              <w:t>Cosigner disclosure (Section 227.14(b))</w:t>
            </w:r>
          </w:p>
        </w:tc>
        <w:tc>
          <w:tcPr>
            <w:tcW w:w="1376" w:type="dxa"/>
            <w:vAlign w:val="bottom"/>
          </w:tcPr>
          <w:p w:rsidR="00274452" w:rsidRPr="00620821" w:rsidRDefault="00274452" w:rsidP="00274452">
            <w:pPr>
              <w:jc w:val="center"/>
              <w:rPr>
                <w:rFonts w:ascii="Times New Roman" w:hAnsi="Times New Roman"/>
                <w:sz w:val="20"/>
              </w:rPr>
            </w:pPr>
            <w:r w:rsidRPr="00620821">
              <w:rPr>
                <w:rFonts w:ascii="Times New Roman" w:hAnsi="Times New Roman"/>
                <w:sz w:val="20"/>
              </w:rPr>
              <w:t>878</w:t>
            </w:r>
          </w:p>
        </w:tc>
        <w:tc>
          <w:tcPr>
            <w:tcW w:w="1239" w:type="dxa"/>
            <w:vAlign w:val="bottom"/>
          </w:tcPr>
          <w:p w:rsidR="00274452" w:rsidRPr="00620821" w:rsidRDefault="00274452" w:rsidP="00274452">
            <w:pPr>
              <w:jc w:val="center"/>
              <w:rPr>
                <w:rFonts w:ascii="Times New Roman" w:hAnsi="Times New Roman"/>
                <w:sz w:val="20"/>
              </w:rPr>
            </w:pPr>
            <w:r w:rsidRPr="00620821">
              <w:rPr>
                <w:rFonts w:ascii="Times New Roman" w:hAnsi="Times New Roman"/>
                <w:sz w:val="20"/>
              </w:rPr>
              <w:t>1,150</w:t>
            </w:r>
          </w:p>
        </w:tc>
        <w:tc>
          <w:tcPr>
            <w:tcW w:w="1239" w:type="dxa"/>
            <w:vAlign w:val="bottom"/>
          </w:tcPr>
          <w:p w:rsidR="00274452" w:rsidRPr="00620821" w:rsidRDefault="00274452" w:rsidP="00274452">
            <w:pPr>
              <w:jc w:val="right"/>
              <w:rPr>
                <w:rFonts w:ascii="Times New Roman" w:hAnsi="Times New Roman"/>
                <w:sz w:val="20"/>
              </w:rPr>
            </w:pPr>
            <w:r w:rsidRPr="00620821">
              <w:rPr>
                <w:rFonts w:ascii="Times New Roman" w:hAnsi="Times New Roman"/>
                <w:sz w:val="20"/>
              </w:rPr>
              <w:t>1 min</w:t>
            </w:r>
          </w:p>
        </w:tc>
        <w:tc>
          <w:tcPr>
            <w:tcW w:w="1239" w:type="dxa"/>
            <w:vAlign w:val="bottom"/>
          </w:tcPr>
          <w:p w:rsidR="00274452" w:rsidRPr="00620821" w:rsidRDefault="00274452" w:rsidP="00274452">
            <w:pPr>
              <w:jc w:val="right"/>
              <w:rPr>
                <w:rFonts w:ascii="Times New Roman" w:hAnsi="Times New Roman"/>
                <w:sz w:val="20"/>
              </w:rPr>
            </w:pPr>
            <w:r w:rsidRPr="00620821">
              <w:rPr>
                <w:rFonts w:ascii="Times New Roman" w:hAnsi="Times New Roman"/>
                <w:sz w:val="20"/>
              </w:rPr>
              <w:t>16,828</w:t>
            </w:r>
          </w:p>
        </w:tc>
      </w:tr>
      <w:tr w:rsidR="00274452" w:rsidRPr="00620821" w:rsidTr="00274452">
        <w:tc>
          <w:tcPr>
            <w:tcW w:w="4483" w:type="dxa"/>
          </w:tcPr>
          <w:p w:rsidR="00274452" w:rsidRPr="0020065F" w:rsidRDefault="00274452" w:rsidP="00274452">
            <w:pPr>
              <w:rPr>
                <w:rFonts w:ascii="Times New Roman" w:hAnsi="Times New Roman"/>
                <w:sz w:val="20"/>
              </w:rPr>
            </w:pPr>
          </w:p>
        </w:tc>
        <w:tc>
          <w:tcPr>
            <w:tcW w:w="1376" w:type="dxa"/>
            <w:vAlign w:val="bottom"/>
          </w:tcPr>
          <w:p w:rsidR="00274452" w:rsidRPr="00620821" w:rsidRDefault="00274452" w:rsidP="00274452">
            <w:pPr>
              <w:jc w:val="center"/>
              <w:rPr>
                <w:rFonts w:ascii="Times New Roman" w:hAnsi="Times New Roman"/>
                <w:sz w:val="20"/>
              </w:rPr>
            </w:pPr>
          </w:p>
        </w:tc>
        <w:tc>
          <w:tcPr>
            <w:tcW w:w="1239" w:type="dxa"/>
            <w:vAlign w:val="bottom"/>
          </w:tcPr>
          <w:p w:rsidR="00274452" w:rsidRPr="00620821" w:rsidRDefault="00274452" w:rsidP="00274452">
            <w:pPr>
              <w:jc w:val="center"/>
              <w:rPr>
                <w:rFonts w:ascii="Times New Roman" w:hAnsi="Times New Roman"/>
                <w:sz w:val="20"/>
              </w:rPr>
            </w:pPr>
          </w:p>
        </w:tc>
        <w:tc>
          <w:tcPr>
            <w:tcW w:w="1239" w:type="dxa"/>
            <w:vAlign w:val="bottom"/>
          </w:tcPr>
          <w:p w:rsidR="00274452" w:rsidRPr="00620821" w:rsidRDefault="00274452" w:rsidP="00274452">
            <w:pPr>
              <w:jc w:val="right"/>
              <w:rPr>
                <w:rFonts w:ascii="Times New Roman" w:hAnsi="Times New Roman"/>
                <w:sz w:val="20"/>
              </w:rPr>
            </w:pPr>
          </w:p>
        </w:tc>
        <w:tc>
          <w:tcPr>
            <w:tcW w:w="1239" w:type="dxa"/>
            <w:vAlign w:val="bottom"/>
          </w:tcPr>
          <w:p w:rsidR="00274452" w:rsidRPr="00620821" w:rsidRDefault="00274452" w:rsidP="00274452">
            <w:pPr>
              <w:jc w:val="right"/>
              <w:rPr>
                <w:rFonts w:ascii="Times New Roman" w:hAnsi="Times New Roman"/>
                <w:sz w:val="20"/>
              </w:rPr>
            </w:pPr>
          </w:p>
        </w:tc>
      </w:tr>
      <w:tr w:rsidR="00274452" w:rsidRPr="00620821" w:rsidTr="00274452">
        <w:tc>
          <w:tcPr>
            <w:tcW w:w="4483" w:type="dxa"/>
          </w:tcPr>
          <w:p w:rsidR="00274452" w:rsidRPr="0020065F" w:rsidRDefault="00274452" w:rsidP="00274452">
            <w:pPr>
              <w:rPr>
                <w:rFonts w:ascii="Times New Roman" w:hAnsi="Times New Roman"/>
                <w:sz w:val="20"/>
              </w:rPr>
            </w:pPr>
            <w:r w:rsidRPr="0020065F">
              <w:rPr>
                <w:rFonts w:ascii="Times New Roman" w:hAnsi="Times New Roman"/>
                <w:sz w:val="20"/>
              </w:rPr>
              <w:t xml:space="preserve">Change-in-terms disclosures (Section 226.9(c)) </w:t>
            </w:r>
          </w:p>
        </w:tc>
        <w:tc>
          <w:tcPr>
            <w:tcW w:w="1376" w:type="dxa"/>
            <w:vAlign w:val="bottom"/>
          </w:tcPr>
          <w:p w:rsidR="00274452" w:rsidRPr="00620821" w:rsidRDefault="00274452" w:rsidP="00274452">
            <w:pPr>
              <w:jc w:val="center"/>
              <w:rPr>
                <w:rFonts w:ascii="Times New Roman" w:hAnsi="Times New Roman"/>
                <w:sz w:val="20"/>
              </w:rPr>
            </w:pPr>
            <w:r w:rsidRPr="00620821">
              <w:rPr>
                <w:rFonts w:ascii="Times New Roman" w:hAnsi="Times New Roman"/>
                <w:sz w:val="20"/>
              </w:rPr>
              <w:t>878</w:t>
            </w:r>
          </w:p>
        </w:tc>
        <w:tc>
          <w:tcPr>
            <w:tcW w:w="1239" w:type="dxa"/>
            <w:vAlign w:val="bottom"/>
          </w:tcPr>
          <w:p w:rsidR="00274452" w:rsidRPr="00620821" w:rsidRDefault="00274452" w:rsidP="00274452">
            <w:pPr>
              <w:jc w:val="center"/>
              <w:rPr>
                <w:rFonts w:ascii="Times New Roman" w:hAnsi="Times New Roman"/>
                <w:sz w:val="20"/>
              </w:rPr>
            </w:pPr>
            <w:r w:rsidRPr="00620821">
              <w:rPr>
                <w:rFonts w:ascii="Times New Roman" w:hAnsi="Times New Roman"/>
                <w:sz w:val="20"/>
              </w:rPr>
              <w:t>3,750</w:t>
            </w:r>
          </w:p>
        </w:tc>
        <w:tc>
          <w:tcPr>
            <w:tcW w:w="1239" w:type="dxa"/>
            <w:vAlign w:val="bottom"/>
          </w:tcPr>
          <w:p w:rsidR="00274452" w:rsidRPr="00620821" w:rsidRDefault="00274452" w:rsidP="00274452">
            <w:pPr>
              <w:jc w:val="right"/>
              <w:rPr>
                <w:rFonts w:ascii="Times New Roman" w:hAnsi="Times New Roman"/>
                <w:sz w:val="20"/>
              </w:rPr>
            </w:pPr>
            <w:r w:rsidRPr="00620821">
              <w:rPr>
                <w:rFonts w:ascii="Times New Roman" w:hAnsi="Times New Roman"/>
                <w:sz w:val="20"/>
              </w:rPr>
              <w:t>1 min</w:t>
            </w:r>
          </w:p>
        </w:tc>
        <w:tc>
          <w:tcPr>
            <w:tcW w:w="1239" w:type="dxa"/>
            <w:vAlign w:val="bottom"/>
          </w:tcPr>
          <w:p w:rsidR="00274452" w:rsidRPr="00620821" w:rsidRDefault="00274452" w:rsidP="00274452">
            <w:pPr>
              <w:jc w:val="right"/>
              <w:rPr>
                <w:rFonts w:ascii="Times New Roman" w:hAnsi="Times New Roman"/>
                <w:sz w:val="20"/>
              </w:rPr>
            </w:pPr>
            <w:r w:rsidRPr="00620821">
              <w:rPr>
                <w:rFonts w:ascii="Times New Roman" w:hAnsi="Times New Roman"/>
                <w:sz w:val="20"/>
              </w:rPr>
              <w:t>54,875</w:t>
            </w:r>
          </w:p>
        </w:tc>
      </w:tr>
      <w:tr w:rsidR="00274452" w:rsidRPr="00620821" w:rsidTr="00274452">
        <w:tc>
          <w:tcPr>
            <w:tcW w:w="4483" w:type="dxa"/>
          </w:tcPr>
          <w:p w:rsidR="00274452" w:rsidRPr="0020065F" w:rsidRDefault="00274452" w:rsidP="00274452">
            <w:pPr>
              <w:rPr>
                <w:rFonts w:ascii="Times New Roman" w:hAnsi="Times New Roman"/>
                <w:sz w:val="20"/>
              </w:rPr>
            </w:pPr>
          </w:p>
        </w:tc>
        <w:tc>
          <w:tcPr>
            <w:tcW w:w="1376" w:type="dxa"/>
            <w:vAlign w:val="bottom"/>
          </w:tcPr>
          <w:p w:rsidR="00274452" w:rsidRPr="00620821" w:rsidRDefault="00274452" w:rsidP="00274452">
            <w:pPr>
              <w:jc w:val="center"/>
              <w:rPr>
                <w:rFonts w:ascii="Times New Roman" w:hAnsi="Times New Roman"/>
                <w:sz w:val="20"/>
              </w:rPr>
            </w:pPr>
          </w:p>
        </w:tc>
        <w:tc>
          <w:tcPr>
            <w:tcW w:w="1239" w:type="dxa"/>
            <w:vAlign w:val="bottom"/>
          </w:tcPr>
          <w:p w:rsidR="00274452" w:rsidRPr="00620821" w:rsidRDefault="00274452" w:rsidP="00274452">
            <w:pPr>
              <w:jc w:val="center"/>
              <w:rPr>
                <w:rFonts w:ascii="Times New Roman" w:hAnsi="Times New Roman"/>
                <w:sz w:val="20"/>
              </w:rPr>
            </w:pPr>
          </w:p>
        </w:tc>
        <w:tc>
          <w:tcPr>
            <w:tcW w:w="1239" w:type="dxa"/>
            <w:vAlign w:val="bottom"/>
          </w:tcPr>
          <w:p w:rsidR="00274452" w:rsidRPr="00620821" w:rsidRDefault="00274452" w:rsidP="00274452">
            <w:pPr>
              <w:jc w:val="right"/>
              <w:rPr>
                <w:rFonts w:ascii="Times New Roman" w:hAnsi="Times New Roman"/>
                <w:sz w:val="20"/>
              </w:rPr>
            </w:pPr>
          </w:p>
        </w:tc>
        <w:tc>
          <w:tcPr>
            <w:tcW w:w="1239" w:type="dxa"/>
            <w:vAlign w:val="bottom"/>
          </w:tcPr>
          <w:p w:rsidR="00274452" w:rsidRPr="00620821" w:rsidRDefault="00274452" w:rsidP="00274452">
            <w:pPr>
              <w:jc w:val="right"/>
              <w:rPr>
                <w:rFonts w:ascii="Times New Roman" w:hAnsi="Times New Roman"/>
                <w:sz w:val="20"/>
              </w:rPr>
            </w:pPr>
          </w:p>
        </w:tc>
      </w:tr>
      <w:tr w:rsidR="00274452" w:rsidRPr="00620821" w:rsidTr="00274452">
        <w:tc>
          <w:tcPr>
            <w:tcW w:w="4483" w:type="dxa"/>
          </w:tcPr>
          <w:p w:rsidR="00274452" w:rsidRPr="0020065F" w:rsidRDefault="00274452" w:rsidP="00D406AC">
            <w:pPr>
              <w:rPr>
                <w:rFonts w:ascii="Times New Roman" w:hAnsi="Times New Roman"/>
                <w:sz w:val="20"/>
              </w:rPr>
            </w:pPr>
            <w:r w:rsidRPr="0020065F">
              <w:rPr>
                <w:rFonts w:ascii="Times New Roman" w:hAnsi="Times New Roman"/>
                <w:sz w:val="20"/>
              </w:rPr>
              <w:t>Periodic statements (Section 226.7)</w:t>
            </w:r>
          </w:p>
        </w:tc>
        <w:tc>
          <w:tcPr>
            <w:tcW w:w="1376" w:type="dxa"/>
            <w:vAlign w:val="bottom"/>
          </w:tcPr>
          <w:p w:rsidR="00274452" w:rsidRPr="00620821" w:rsidRDefault="00274452" w:rsidP="00274452">
            <w:pPr>
              <w:jc w:val="center"/>
              <w:rPr>
                <w:rFonts w:ascii="Times New Roman" w:hAnsi="Times New Roman"/>
                <w:sz w:val="20"/>
              </w:rPr>
            </w:pPr>
            <w:r w:rsidRPr="00620821">
              <w:rPr>
                <w:rFonts w:ascii="Times New Roman" w:hAnsi="Times New Roman"/>
                <w:sz w:val="20"/>
              </w:rPr>
              <w:t>1,077</w:t>
            </w:r>
          </w:p>
        </w:tc>
        <w:tc>
          <w:tcPr>
            <w:tcW w:w="1239" w:type="dxa"/>
            <w:vAlign w:val="bottom"/>
          </w:tcPr>
          <w:p w:rsidR="00274452" w:rsidRPr="00620821" w:rsidRDefault="00274452" w:rsidP="00274452">
            <w:pPr>
              <w:jc w:val="center"/>
              <w:rPr>
                <w:rFonts w:ascii="Times New Roman" w:hAnsi="Times New Roman"/>
                <w:sz w:val="20"/>
              </w:rPr>
            </w:pPr>
            <w:r w:rsidRPr="00620821">
              <w:rPr>
                <w:rFonts w:ascii="Times New Roman" w:hAnsi="Times New Roman"/>
                <w:sz w:val="20"/>
              </w:rPr>
              <w:t>12</w:t>
            </w:r>
          </w:p>
        </w:tc>
        <w:tc>
          <w:tcPr>
            <w:tcW w:w="1239" w:type="dxa"/>
            <w:vAlign w:val="bottom"/>
          </w:tcPr>
          <w:p w:rsidR="00274452" w:rsidRPr="00620821" w:rsidRDefault="00274452" w:rsidP="00274452">
            <w:pPr>
              <w:jc w:val="right"/>
              <w:rPr>
                <w:rFonts w:ascii="Times New Roman" w:hAnsi="Times New Roman"/>
                <w:sz w:val="20"/>
              </w:rPr>
            </w:pPr>
            <w:r w:rsidRPr="00620821">
              <w:rPr>
                <w:rFonts w:ascii="Times New Roman" w:hAnsi="Times New Roman"/>
                <w:sz w:val="20"/>
              </w:rPr>
              <w:t>8 hours</w:t>
            </w:r>
          </w:p>
        </w:tc>
        <w:tc>
          <w:tcPr>
            <w:tcW w:w="1239" w:type="dxa"/>
            <w:vAlign w:val="bottom"/>
          </w:tcPr>
          <w:p w:rsidR="00274452" w:rsidRPr="00620821" w:rsidRDefault="00274452" w:rsidP="00274452">
            <w:pPr>
              <w:jc w:val="right"/>
              <w:rPr>
                <w:rFonts w:ascii="Times New Roman" w:hAnsi="Times New Roman"/>
                <w:sz w:val="20"/>
              </w:rPr>
            </w:pPr>
            <w:r w:rsidRPr="00620821">
              <w:rPr>
                <w:rFonts w:ascii="Times New Roman" w:hAnsi="Times New Roman"/>
                <w:sz w:val="20"/>
              </w:rPr>
              <w:t>103,392</w:t>
            </w:r>
          </w:p>
        </w:tc>
      </w:tr>
      <w:tr w:rsidR="00274452" w:rsidRPr="00620821" w:rsidTr="00274452">
        <w:tc>
          <w:tcPr>
            <w:tcW w:w="4483" w:type="dxa"/>
          </w:tcPr>
          <w:p w:rsidR="00274452" w:rsidRDefault="00274452" w:rsidP="00274452">
            <w:pPr>
              <w:rPr>
                <w:rFonts w:ascii="Times New Roman" w:hAnsi="Times New Roman"/>
                <w:sz w:val="20"/>
              </w:rPr>
            </w:pPr>
            <w:r w:rsidRPr="0020065F">
              <w:rPr>
                <w:rFonts w:ascii="Times New Roman" w:hAnsi="Times New Roman"/>
                <w:sz w:val="20"/>
              </w:rPr>
              <w:t xml:space="preserve">Periodic statements (Section 226.7) </w:t>
            </w:r>
          </w:p>
          <w:p w:rsidR="00274452" w:rsidRPr="0020065F" w:rsidRDefault="00274452" w:rsidP="00274452">
            <w:pPr>
              <w:rPr>
                <w:rFonts w:ascii="Times New Roman" w:hAnsi="Times New Roman"/>
                <w:sz w:val="20"/>
              </w:rPr>
            </w:pPr>
            <w:r w:rsidRPr="0020065F">
              <w:rPr>
                <w:rFonts w:ascii="Times New Roman" w:hAnsi="Times New Roman"/>
                <w:i/>
                <w:sz w:val="20"/>
              </w:rPr>
              <w:t>(for exempt transactions (</w:t>
            </w:r>
            <w:r w:rsidRPr="0020065F">
              <w:rPr>
                <w:rFonts w:ascii="Times New Roman" w:eastAsia="Calibri" w:hAnsi="Times New Roman"/>
                <w:i/>
                <w:snapToGrid/>
                <w:sz w:val="20"/>
              </w:rPr>
              <w:t>226.3(b)(1)(i)))</w:t>
            </w:r>
          </w:p>
        </w:tc>
        <w:tc>
          <w:tcPr>
            <w:tcW w:w="1376" w:type="dxa"/>
            <w:vAlign w:val="bottom"/>
          </w:tcPr>
          <w:p w:rsidR="00274452" w:rsidRPr="00620821" w:rsidRDefault="00274452" w:rsidP="00274452">
            <w:pPr>
              <w:jc w:val="center"/>
              <w:rPr>
                <w:rFonts w:ascii="Times New Roman" w:hAnsi="Times New Roman"/>
                <w:sz w:val="20"/>
              </w:rPr>
            </w:pPr>
            <w:r w:rsidRPr="00620821">
              <w:rPr>
                <w:rFonts w:ascii="Times New Roman" w:hAnsi="Times New Roman"/>
                <w:sz w:val="20"/>
              </w:rPr>
              <w:t>1,077</w:t>
            </w:r>
          </w:p>
        </w:tc>
        <w:tc>
          <w:tcPr>
            <w:tcW w:w="1239" w:type="dxa"/>
            <w:vAlign w:val="bottom"/>
          </w:tcPr>
          <w:p w:rsidR="00274452" w:rsidRPr="00620821" w:rsidRDefault="00274452" w:rsidP="00274452">
            <w:pPr>
              <w:jc w:val="center"/>
              <w:rPr>
                <w:rFonts w:ascii="Times New Roman" w:hAnsi="Times New Roman"/>
                <w:sz w:val="20"/>
              </w:rPr>
            </w:pPr>
            <w:r w:rsidRPr="00620821">
              <w:rPr>
                <w:rFonts w:ascii="Times New Roman" w:hAnsi="Times New Roman"/>
                <w:sz w:val="20"/>
              </w:rPr>
              <w:t>1</w:t>
            </w:r>
          </w:p>
        </w:tc>
        <w:tc>
          <w:tcPr>
            <w:tcW w:w="1239" w:type="dxa"/>
            <w:vAlign w:val="bottom"/>
          </w:tcPr>
          <w:p w:rsidR="00274452" w:rsidRPr="00620821" w:rsidRDefault="00274452" w:rsidP="00274452">
            <w:pPr>
              <w:jc w:val="right"/>
              <w:rPr>
                <w:rFonts w:ascii="Times New Roman" w:hAnsi="Times New Roman"/>
                <w:sz w:val="20"/>
              </w:rPr>
            </w:pPr>
            <w:r w:rsidRPr="00620821">
              <w:rPr>
                <w:rFonts w:ascii="Times New Roman" w:hAnsi="Times New Roman"/>
                <w:sz w:val="20"/>
              </w:rPr>
              <w:t>8 hours</w:t>
            </w:r>
          </w:p>
        </w:tc>
        <w:tc>
          <w:tcPr>
            <w:tcW w:w="1239" w:type="dxa"/>
            <w:vAlign w:val="bottom"/>
          </w:tcPr>
          <w:p w:rsidR="00274452" w:rsidRPr="00620821" w:rsidRDefault="00274452" w:rsidP="00274452">
            <w:pPr>
              <w:jc w:val="right"/>
              <w:rPr>
                <w:rFonts w:ascii="Times New Roman" w:hAnsi="Times New Roman"/>
                <w:sz w:val="20"/>
              </w:rPr>
            </w:pPr>
            <w:r w:rsidRPr="00620821">
              <w:rPr>
                <w:rFonts w:ascii="Times New Roman" w:hAnsi="Times New Roman"/>
                <w:sz w:val="20"/>
              </w:rPr>
              <w:t>8,616</w:t>
            </w:r>
          </w:p>
        </w:tc>
      </w:tr>
      <w:tr w:rsidR="00274452" w:rsidRPr="00620821" w:rsidTr="00274452">
        <w:tc>
          <w:tcPr>
            <w:tcW w:w="4483" w:type="dxa"/>
          </w:tcPr>
          <w:p w:rsidR="00274452" w:rsidRPr="0020065F" w:rsidRDefault="00274452" w:rsidP="00274452">
            <w:pPr>
              <w:rPr>
                <w:rFonts w:ascii="Times New Roman" w:hAnsi="Times New Roman"/>
                <w:sz w:val="20"/>
                <w:u w:val="single"/>
              </w:rPr>
            </w:pPr>
          </w:p>
        </w:tc>
        <w:tc>
          <w:tcPr>
            <w:tcW w:w="1376" w:type="dxa"/>
            <w:vAlign w:val="bottom"/>
          </w:tcPr>
          <w:p w:rsidR="00274452" w:rsidRPr="00620821" w:rsidRDefault="00274452" w:rsidP="00274452">
            <w:pPr>
              <w:jc w:val="center"/>
              <w:rPr>
                <w:rFonts w:ascii="Times New Roman" w:hAnsi="Times New Roman"/>
                <w:sz w:val="20"/>
              </w:rPr>
            </w:pPr>
          </w:p>
        </w:tc>
        <w:tc>
          <w:tcPr>
            <w:tcW w:w="1239" w:type="dxa"/>
            <w:vAlign w:val="bottom"/>
          </w:tcPr>
          <w:p w:rsidR="00274452" w:rsidRPr="00620821" w:rsidRDefault="00274452" w:rsidP="00274452">
            <w:pPr>
              <w:jc w:val="center"/>
              <w:rPr>
                <w:rFonts w:ascii="Times New Roman" w:hAnsi="Times New Roman"/>
                <w:sz w:val="20"/>
              </w:rPr>
            </w:pPr>
          </w:p>
        </w:tc>
        <w:tc>
          <w:tcPr>
            <w:tcW w:w="1239" w:type="dxa"/>
            <w:vAlign w:val="bottom"/>
          </w:tcPr>
          <w:p w:rsidR="00274452" w:rsidRPr="00620821" w:rsidRDefault="00274452" w:rsidP="00274452">
            <w:pPr>
              <w:jc w:val="right"/>
              <w:rPr>
                <w:rFonts w:ascii="Times New Roman" w:hAnsi="Times New Roman"/>
                <w:sz w:val="20"/>
              </w:rPr>
            </w:pPr>
          </w:p>
        </w:tc>
        <w:tc>
          <w:tcPr>
            <w:tcW w:w="1239" w:type="dxa"/>
            <w:vAlign w:val="bottom"/>
          </w:tcPr>
          <w:p w:rsidR="00274452" w:rsidRPr="00620821" w:rsidRDefault="00274452" w:rsidP="00274452">
            <w:pPr>
              <w:jc w:val="right"/>
              <w:rPr>
                <w:rFonts w:ascii="Times New Roman" w:hAnsi="Times New Roman"/>
                <w:sz w:val="20"/>
              </w:rPr>
            </w:pPr>
          </w:p>
        </w:tc>
      </w:tr>
      <w:tr w:rsidR="00274452" w:rsidRPr="00620821" w:rsidTr="00274452">
        <w:tc>
          <w:tcPr>
            <w:tcW w:w="4483" w:type="dxa"/>
          </w:tcPr>
          <w:p w:rsidR="00274452" w:rsidRPr="0020065F" w:rsidRDefault="00274452" w:rsidP="00274452">
            <w:pPr>
              <w:rPr>
                <w:rFonts w:ascii="Times New Roman" w:hAnsi="Times New Roman"/>
                <w:sz w:val="20"/>
              </w:rPr>
            </w:pPr>
            <w:r w:rsidRPr="0003126B">
              <w:rPr>
                <w:rFonts w:ascii="Times New Roman" w:hAnsi="Times New Roman"/>
                <w:sz w:val="20"/>
                <w:u w:val="single"/>
              </w:rPr>
              <w:t>Error resolution (Section 226.13)</w:t>
            </w:r>
            <w:r w:rsidRPr="0020065F">
              <w:rPr>
                <w:rFonts w:ascii="Times New Roman" w:hAnsi="Times New Roman"/>
                <w:sz w:val="20"/>
              </w:rPr>
              <w:t>:</w:t>
            </w:r>
          </w:p>
        </w:tc>
        <w:tc>
          <w:tcPr>
            <w:tcW w:w="1376" w:type="dxa"/>
            <w:vAlign w:val="bottom"/>
          </w:tcPr>
          <w:p w:rsidR="00274452" w:rsidRPr="00620821" w:rsidRDefault="00274452" w:rsidP="00274452">
            <w:pPr>
              <w:jc w:val="center"/>
              <w:rPr>
                <w:rFonts w:ascii="Times New Roman" w:hAnsi="Times New Roman"/>
                <w:sz w:val="20"/>
              </w:rPr>
            </w:pPr>
          </w:p>
        </w:tc>
        <w:tc>
          <w:tcPr>
            <w:tcW w:w="1239" w:type="dxa"/>
            <w:vAlign w:val="bottom"/>
          </w:tcPr>
          <w:p w:rsidR="00274452" w:rsidRPr="00620821" w:rsidRDefault="00274452" w:rsidP="00274452">
            <w:pPr>
              <w:jc w:val="center"/>
              <w:rPr>
                <w:rFonts w:ascii="Times New Roman" w:hAnsi="Times New Roman"/>
                <w:sz w:val="20"/>
              </w:rPr>
            </w:pPr>
          </w:p>
        </w:tc>
        <w:tc>
          <w:tcPr>
            <w:tcW w:w="1239" w:type="dxa"/>
            <w:vAlign w:val="bottom"/>
          </w:tcPr>
          <w:p w:rsidR="00274452" w:rsidRPr="00620821" w:rsidRDefault="00274452" w:rsidP="00274452">
            <w:pPr>
              <w:jc w:val="right"/>
              <w:rPr>
                <w:rFonts w:ascii="Times New Roman" w:hAnsi="Times New Roman"/>
                <w:sz w:val="20"/>
              </w:rPr>
            </w:pPr>
          </w:p>
        </w:tc>
        <w:tc>
          <w:tcPr>
            <w:tcW w:w="1239" w:type="dxa"/>
            <w:vAlign w:val="bottom"/>
          </w:tcPr>
          <w:p w:rsidR="00274452" w:rsidRPr="00620821" w:rsidRDefault="00274452" w:rsidP="00274452">
            <w:pPr>
              <w:jc w:val="right"/>
              <w:rPr>
                <w:rFonts w:ascii="Times New Roman" w:hAnsi="Times New Roman"/>
                <w:sz w:val="20"/>
              </w:rPr>
            </w:pPr>
          </w:p>
        </w:tc>
      </w:tr>
      <w:tr w:rsidR="00274452" w:rsidRPr="00620821" w:rsidTr="00274452">
        <w:tc>
          <w:tcPr>
            <w:tcW w:w="4483" w:type="dxa"/>
          </w:tcPr>
          <w:p w:rsidR="00274452" w:rsidRPr="0020065F" w:rsidRDefault="00274452" w:rsidP="00274452">
            <w:pPr>
              <w:rPr>
                <w:rFonts w:ascii="Times New Roman" w:hAnsi="Times New Roman"/>
                <w:sz w:val="20"/>
              </w:rPr>
            </w:pPr>
            <w:r w:rsidRPr="0020065F">
              <w:rPr>
                <w:rFonts w:ascii="Times New Roman" w:hAnsi="Times New Roman"/>
                <w:sz w:val="20"/>
              </w:rPr>
              <w:t>Credit cards</w:t>
            </w:r>
          </w:p>
        </w:tc>
        <w:tc>
          <w:tcPr>
            <w:tcW w:w="1376" w:type="dxa"/>
            <w:vAlign w:val="bottom"/>
          </w:tcPr>
          <w:p w:rsidR="00274452" w:rsidRPr="00620821" w:rsidRDefault="00274452" w:rsidP="00274452">
            <w:pPr>
              <w:jc w:val="center"/>
              <w:rPr>
                <w:rFonts w:ascii="Times New Roman" w:hAnsi="Times New Roman"/>
                <w:sz w:val="20"/>
              </w:rPr>
            </w:pPr>
            <w:r w:rsidRPr="00620821">
              <w:rPr>
                <w:rFonts w:ascii="Times New Roman" w:hAnsi="Times New Roman"/>
                <w:sz w:val="20"/>
              </w:rPr>
              <w:t>226</w:t>
            </w:r>
          </w:p>
        </w:tc>
        <w:tc>
          <w:tcPr>
            <w:tcW w:w="1239" w:type="dxa"/>
            <w:vAlign w:val="bottom"/>
          </w:tcPr>
          <w:p w:rsidR="00274452" w:rsidRPr="00620821" w:rsidRDefault="00274452" w:rsidP="00274452">
            <w:pPr>
              <w:jc w:val="center"/>
              <w:rPr>
                <w:rFonts w:ascii="Times New Roman" w:hAnsi="Times New Roman"/>
                <w:sz w:val="20"/>
              </w:rPr>
            </w:pPr>
            <w:r w:rsidRPr="00620821">
              <w:rPr>
                <w:rFonts w:ascii="Times New Roman" w:hAnsi="Times New Roman"/>
                <w:sz w:val="20"/>
              </w:rPr>
              <w:t>145</w:t>
            </w:r>
          </w:p>
        </w:tc>
        <w:tc>
          <w:tcPr>
            <w:tcW w:w="1239" w:type="dxa"/>
            <w:vAlign w:val="bottom"/>
          </w:tcPr>
          <w:p w:rsidR="00274452" w:rsidRPr="00620821" w:rsidRDefault="00274452" w:rsidP="00274452">
            <w:pPr>
              <w:jc w:val="right"/>
              <w:rPr>
                <w:rFonts w:ascii="Times New Roman" w:hAnsi="Times New Roman"/>
                <w:sz w:val="20"/>
              </w:rPr>
            </w:pPr>
            <w:r w:rsidRPr="00620821">
              <w:rPr>
                <w:rFonts w:ascii="Times New Roman" w:hAnsi="Times New Roman"/>
                <w:sz w:val="20"/>
              </w:rPr>
              <w:t>30 min</w:t>
            </w:r>
          </w:p>
        </w:tc>
        <w:tc>
          <w:tcPr>
            <w:tcW w:w="1239" w:type="dxa"/>
            <w:vAlign w:val="bottom"/>
          </w:tcPr>
          <w:p w:rsidR="00274452" w:rsidRPr="00620821" w:rsidRDefault="00274452" w:rsidP="00274452">
            <w:pPr>
              <w:jc w:val="right"/>
              <w:rPr>
                <w:rFonts w:ascii="Times New Roman" w:hAnsi="Times New Roman"/>
                <w:sz w:val="20"/>
              </w:rPr>
            </w:pPr>
            <w:r w:rsidRPr="00620821">
              <w:rPr>
                <w:rFonts w:ascii="Times New Roman" w:hAnsi="Times New Roman"/>
                <w:sz w:val="20"/>
              </w:rPr>
              <w:t>16,385</w:t>
            </w:r>
          </w:p>
        </w:tc>
      </w:tr>
      <w:tr w:rsidR="00274452" w:rsidRPr="00620821" w:rsidTr="002C4E41">
        <w:trPr>
          <w:trHeight w:val="405"/>
        </w:trPr>
        <w:tc>
          <w:tcPr>
            <w:tcW w:w="4483" w:type="dxa"/>
          </w:tcPr>
          <w:p w:rsidR="00274452" w:rsidRPr="0020065F" w:rsidRDefault="00274452" w:rsidP="00274452">
            <w:pPr>
              <w:rPr>
                <w:rFonts w:ascii="Times New Roman" w:hAnsi="Times New Roman"/>
                <w:sz w:val="20"/>
              </w:rPr>
            </w:pPr>
            <w:r w:rsidRPr="0020065F">
              <w:rPr>
                <w:rFonts w:ascii="Times New Roman" w:hAnsi="Times New Roman"/>
                <w:sz w:val="20"/>
              </w:rPr>
              <w:t>Other Open-end credit</w:t>
            </w:r>
          </w:p>
        </w:tc>
        <w:tc>
          <w:tcPr>
            <w:tcW w:w="1376" w:type="dxa"/>
            <w:vAlign w:val="bottom"/>
          </w:tcPr>
          <w:p w:rsidR="00274452" w:rsidRPr="00620821" w:rsidRDefault="00274452" w:rsidP="00274452">
            <w:pPr>
              <w:jc w:val="center"/>
              <w:rPr>
                <w:rFonts w:ascii="Times New Roman" w:hAnsi="Times New Roman"/>
                <w:sz w:val="20"/>
              </w:rPr>
            </w:pPr>
            <w:r w:rsidRPr="00620821">
              <w:rPr>
                <w:rFonts w:ascii="Times New Roman" w:hAnsi="Times New Roman"/>
                <w:sz w:val="20"/>
              </w:rPr>
              <w:t>1,077</w:t>
            </w:r>
          </w:p>
        </w:tc>
        <w:tc>
          <w:tcPr>
            <w:tcW w:w="1239" w:type="dxa"/>
            <w:vAlign w:val="bottom"/>
          </w:tcPr>
          <w:p w:rsidR="00274452" w:rsidRPr="00620821" w:rsidRDefault="00274452" w:rsidP="00274452">
            <w:pPr>
              <w:jc w:val="center"/>
              <w:rPr>
                <w:rFonts w:ascii="Times New Roman" w:hAnsi="Times New Roman"/>
                <w:sz w:val="20"/>
              </w:rPr>
            </w:pPr>
            <w:r w:rsidRPr="00620821">
              <w:rPr>
                <w:rFonts w:ascii="Times New Roman" w:hAnsi="Times New Roman"/>
                <w:sz w:val="20"/>
              </w:rPr>
              <w:t>2</w:t>
            </w:r>
          </w:p>
        </w:tc>
        <w:tc>
          <w:tcPr>
            <w:tcW w:w="1239" w:type="dxa"/>
            <w:vAlign w:val="bottom"/>
          </w:tcPr>
          <w:p w:rsidR="00274452" w:rsidRPr="00620821" w:rsidRDefault="00274452" w:rsidP="00274452">
            <w:pPr>
              <w:jc w:val="right"/>
              <w:rPr>
                <w:rFonts w:ascii="Times New Roman" w:hAnsi="Times New Roman"/>
                <w:sz w:val="20"/>
              </w:rPr>
            </w:pPr>
            <w:r w:rsidRPr="00620821">
              <w:rPr>
                <w:rFonts w:ascii="Times New Roman" w:hAnsi="Times New Roman"/>
                <w:sz w:val="20"/>
              </w:rPr>
              <w:t>30 min</w:t>
            </w:r>
          </w:p>
        </w:tc>
        <w:tc>
          <w:tcPr>
            <w:tcW w:w="1239" w:type="dxa"/>
            <w:vAlign w:val="bottom"/>
          </w:tcPr>
          <w:p w:rsidR="00274452" w:rsidRPr="00620821" w:rsidRDefault="00274452" w:rsidP="00274452">
            <w:pPr>
              <w:jc w:val="right"/>
              <w:rPr>
                <w:rFonts w:ascii="Times New Roman" w:hAnsi="Times New Roman"/>
                <w:sz w:val="20"/>
              </w:rPr>
            </w:pPr>
            <w:r w:rsidRPr="00620821">
              <w:rPr>
                <w:rFonts w:ascii="Times New Roman" w:hAnsi="Times New Roman"/>
                <w:sz w:val="20"/>
              </w:rPr>
              <w:t>1,077</w:t>
            </w:r>
          </w:p>
        </w:tc>
      </w:tr>
      <w:tr w:rsidR="00274452" w:rsidRPr="00545F1A" w:rsidTr="00274452">
        <w:tc>
          <w:tcPr>
            <w:tcW w:w="4483" w:type="dxa"/>
          </w:tcPr>
          <w:p w:rsidR="00274452" w:rsidRPr="00545F1A" w:rsidRDefault="00274452" w:rsidP="00274452">
            <w:pPr>
              <w:rPr>
                <w:rFonts w:ascii="Times New Roman" w:hAnsi="Times New Roman"/>
                <w:b/>
                <w:sz w:val="20"/>
              </w:rPr>
            </w:pPr>
            <w:r w:rsidRPr="00545F1A">
              <w:rPr>
                <w:rFonts w:ascii="Times New Roman" w:hAnsi="Times New Roman"/>
                <w:b/>
                <w:sz w:val="20"/>
                <w:u w:val="single"/>
              </w:rPr>
              <w:t xml:space="preserve">Subpart C: </w:t>
            </w:r>
          </w:p>
          <w:p w:rsidR="00274452" w:rsidRPr="00545F1A" w:rsidRDefault="00274452" w:rsidP="00274452">
            <w:pPr>
              <w:rPr>
                <w:rFonts w:ascii="Times New Roman" w:hAnsi="Times New Roman"/>
                <w:sz w:val="20"/>
              </w:rPr>
            </w:pPr>
            <w:r w:rsidRPr="00545F1A">
              <w:rPr>
                <w:rFonts w:ascii="Times New Roman" w:hAnsi="Times New Roman"/>
                <w:sz w:val="20"/>
              </w:rPr>
              <w:t>Closed-end Credit Disclosures (Section 226.17)</w:t>
            </w:r>
          </w:p>
        </w:tc>
        <w:tc>
          <w:tcPr>
            <w:tcW w:w="1376" w:type="dxa"/>
            <w:vAlign w:val="bottom"/>
          </w:tcPr>
          <w:p w:rsidR="00274452" w:rsidRPr="00545F1A" w:rsidRDefault="00274452" w:rsidP="00274452">
            <w:pPr>
              <w:jc w:val="center"/>
              <w:rPr>
                <w:rFonts w:ascii="Times New Roman" w:hAnsi="Times New Roman"/>
                <w:sz w:val="20"/>
              </w:rPr>
            </w:pPr>
            <w:r w:rsidRPr="00545F1A">
              <w:rPr>
                <w:rFonts w:ascii="Times New Roman" w:hAnsi="Times New Roman"/>
                <w:sz w:val="20"/>
              </w:rPr>
              <w:t>1,077</w:t>
            </w:r>
          </w:p>
        </w:tc>
        <w:tc>
          <w:tcPr>
            <w:tcW w:w="1239" w:type="dxa"/>
            <w:vAlign w:val="bottom"/>
          </w:tcPr>
          <w:p w:rsidR="00274452" w:rsidRPr="00545F1A" w:rsidRDefault="00274452" w:rsidP="00274452">
            <w:pPr>
              <w:jc w:val="center"/>
              <w:rPr>
                <w:rFonts w:ascii="Times New Roman" w:hAnsi="Times New Roman"/>
                <w:sz w:val="20"/>
              </w:rPr>
            </w:pPr>
            <w:r w:rsidRPr="00545F1A">
              <w:rPr>
                <w:rFonts w:ascii="Times New Roman" w:hAnsi="Times New Roman"/>
                <w:sz w:val="20"/>
              </w:rPr>
              <w:t>2,472</w:t>
            </w:r>
          </w:p>
        </w:tc>
        <w:tc>
          <w:tcPr>
            <w:tcW w:w="1239" w:type="dxa"/>
            <w:vAlign w:val="bottom"/>
          </w:tcPr>
          <w:p w:rsidR="00274452" w:rsidRPr="00545F1A" w:rsidRDefault="00274452" w:rsidP="00274452">
            <w:pPr>
              <w:jc w:val="right"/>
              <w:rPr>
                <w:rFonts w:ascii="Times New Roman" w:hAnsi="Times New Roman"/>
                <w:sz w:val="20"/>
              </w:rPr>
            </w:pPr>
            <w:r w:rsidRPr="00545F1A">
              <w:rPr>
                <w:rFonts w:ascii="Times New Roman" w:hAnsi="Times New Roman"/>
                <w:sz w:val="20"/>
              </w:rPr>
              <w:t>6.5 min</w:t>
            </w:r>
          </w:p>
        </w:tc>
        <w:tc>
          <w:tcPr>
            <w:tcW w:w="1239" w:type="dxa"/>
            <w:vAlign w:val="bottom"/>
          </w:tcPr>
          <w:p w:rsidR="00274452" w:rsidRPr="00545F1A" w:rsidRDefault="00274452" w:rsidP="00274452">
            <w:pPr>
              <w:jc w:val="right"/>
              <w:rPr>
                <w:rFonts w:ascii="Times New Roman" w:hAnsi="Times New Roman"/>
                <w:sz w:val="20"/>
              </w:rPr>
            </w:pPr>
            <w:r w:rsidRPr="00545F1A">
              <w:rPr>
                <w:rFonts w:ascii="Times New Roman" w:hAnsi="Times New Roman"/>
                <w:sz w:val="20"/>
              </w:rPr>
              <w:t>288,421</w:t>
            </w:r>
          </w:p>
        </w:tc>
      </w:tr>
      <w:tr w:rsidR="00274452" w:rsidRPr="00000537" w:rsidTr="00274452">
        <w:tc>
          <w:tcPr>
            <w:tcW w:w="4483" w:type="dxa"/>
          </w:tcPr>
          <w:p w:rsidR="00274452" w:rsidRPr="00000537" w:rsidRDefault="00274452" w:rsidP="00C0647C">
            <w:pPr>
              <w:rPr>
                <w:rFonts w:ascii="Times New Roman" w:hAnsi="Times New Roman"/>
                <w:sz w:val="20"/>
              </w:rPr>
            </w:pPr>
            <w:r w:rsidRPr="00000537">
              <w:rPr>
                <w:rFonts w:ascii="Times New Roman" w:hAnsi="Times New Roman"/>
                <w:sz w:val="20"/>
              </w:rPr>
              <w:t xml:space="preserve">Section 226.18 </w:t>
            </w:r>
            <w:r w:rsidR="00C0647C" w:rsidRPr="00000537">
              <w:rPr>
                <w:rFonts w:ascii="Times New Roman" w:hAnsi="Times New Roman"/>
                <w:sz w:val="20"/>
              </w:rPr>
              <w:t xml:space="preserve">(s)&amp;(t)(1) </w:t>
            </w:r>
            <w:r w:rsidRPr="00000537">
              <w:rPr>
                <w:rFonts w:ascii="Times New Roman" w:hAnsi="Times New Roman"/>
                <w:sz w:val="20"/>
              </w:rPr>
              <w:t>One-time (R-1366)</w:t>
            </w:r>
          </w:p>
        </w:tc>
        <w:tc>
          <w:tcPr>
            <w:tcW w:w="1376" w:type="dxa"/>
            <w:vAlign w:val="bottom"/>
          </w:tcPr>
          <w:p w:rsidR="00274452" w:rsidRPr="00000537" w:rsidRDefault="00274452" w:rsidP="00274452">
            <w:pPr>
              <w:jc w:val="center"/>
              <w:rPr>
                <w:rFonts w:ascii="Times New Roman" w:hAnsi="Times New Roman"/>
                <w:sz w:val="20"/>
              </w:rPr>
            </w:pPr>
            <w:r w:rsidRPr="00000537">
              <w:rPr>
                <w:rFonts w:ascii="Times New Roman" w:hAnsi="Times New Roman"/>
                <w:sz w:val="20"/>
              </w:rPr>
              <w:t>1,077</w:t>
            </w:r>
          </w:p>
        </w:tc>
        <w:tc>
          <w:tcPr>
            <w:tcW w:w="1239" w:type="dxa"/>
            <w:vAlign w:val="bottom"/>
          </w:tcPr>
          <w:p w:rsidR="00274452" w:rsidRPr="00000537" w:rsidRDefault="00274452" w:rsidP="00274452">
            <w:pPr>
              <w:jc w:val="center"/>
              <w:rPr>
                <w:rFonts w:ascii="Times New Roman" w:hAnsi="Times New Roman"/>
                <w:sz w:val="20"/>
              </w:rPr>
            </w:pPr>
            <w:r w:rsidRPr="00000537">
              <w:rPr>
                <w:rFonts w:ascii="Times New Roman" w:hAnsi="Times New Roman"/>
                <w:sz w:val="20"/>
              </w:rPr>
              <w:t>1</w:t>
            </w:r>
          </w:p>
        </w:tc>
        <w:tc>
          <w:tcPr>
            <w:tcW w:w="1239" w:type="dxa"/>
            <w:vAlign w:val="bottom"/>
          </w:tcPr>
          <w:p w:rsidR="00274452" w:rsidRPr="00000537" w:rsidRDefault="00274452" w:rsidP="00274452">
            <w:pPr>
              <w:jc w:val="right"/>
              <w:rPr>
                <w:rFonts w:ascii="Times New Roman" w:hAnsi="Times New Roman"/>
                <w:sz w:val="20"/>
              </w:rPr>
            </w:pPr>
            <w:r w:rsidRPr="00000537">
              <w:rPr>
                <w:rFonts w:ascii="Times New Roman" w:hAnsi="Times New Roman"/>
                <w:sz w:val="20"/>
              </w:rPr>
              <w:t>120 hours</w:t>
            </w:r>
          </w:p>
        </w:tc>
        <w:tc>
          <w:tcPr>
            <w:tcW w:w="1239" w:type="dxa"/>
            <w:vAlign w:val="bottom"/>
          </w:tcPr>
          <w:p w:rsidR="00274452" w:rsidRPr="00000537" w:rsidRDefault="002C4E41" w:rsidP="002C4E41">
            <w:pPr>
              <w:jc w:val="right"/>
              <w:rPr>
                <w:rFonts w:ascii="Times New Roman" w:hAnsi="Times New Roman"/>
                <w:sz w:val="20"/>
              </w:rPr>
            </w:pPr>
            <w:r w:rsidRPr="00000537">
              <w:rPr>
                <w:rFonts w:ascii="Times New Roman" w:hAnsi="Times New Roman"/>
                <w:sz w:val="20"/>
              </w:rPr>
              <w:t>129</w:t>
            </w:r>
            <w:r w:rsidR="00274452" w:rsidRPr="00000537">
              <w:rPr>
                <w:rFonts w:ascii="Times New Roman" w:hAnsi="Times New Roman"/>
                <w:sz w:val="20"/>
              </w:rPr>
              <w:t>,</w:t>
            </w:r>
            <w:r w:rsidRPr="00000537">
              <w:rPr>
                <w:rFonts w:ascii="Times New Roman" w:hAnsi="Times New Roman"/>
                <w:sz w:val="20"/>
              </w:rPr>
              <w:t>24</w:t>
            </w:r>
            <w:r w:rsidR="00274452" w:rsidRPr="00000537">
              <w:rPr>
                <w:rFonts w:ascii="Times New Roman" w:hAnsi="Times New Roman"/>
                <w:sz w:val="20"/>
              </w:rPr>
              <w:t>0</w:t>
            </w:r>
          </w:p>
        </w:tc>
      </w:tr>
      <w:tr w:rsidR="00274452" w:rsidRPr="00000537" w:rsidTr="00274452">
        <w:tc>
          <w:tcPr>
            <w:tcW w:w="4483" w:type="dxa"/>
          </w:tcPr>
          <w:p w:rsidR="00274452" w:rsidRPr="00000537" w:rsidRDefault="00274452" w:rsidP="00C0647C">
            <w:pPr>
              <w:rPr>
                <w:rFonts w:ascii="Times New Roman" w:hAnsi="Times New Roman"/>
                <w:sz w:val="20"/>
              </w:rPr>
            </w:pPr>
            <w:r w:rsidRPr="00000537">
              <w:rPr>
                <w:rFonts w:ascii="Times New Roman" w:hAnsi="Times New Roman"/>
                <w:sz w:val="20"/>
              </w:rPr>
              <w:t xml:space="preserve">Section 226.18 </w:t>
            </w:r>
            <w:r w:rsidR="00C0647C" w:rsidRPr="00000537">
              <w:rPr>
                <w:rFonts w:ascii="Times New Roman" w:hAnsi="Times New Roman"/>
                <w:sz w:val="20"/>
              </w:rPr>
              <w:t xml:space="preserve">(s)&amp;(t)(1) </w:t>
            </w:r>
            <w:r w:rsidRPr="00000537">
              <w:rPr>
                <w:rFonts w:ascii="Times New Roman" w:hAnsi="Times New Roman"/>
                <w:sz w:val="20"/>
              </w:rPr>
              <w:t>Ongoing (R-1366)</w:t>
            </w:r>
          </w:p>
        </w:tc>
        <w:tc>
          <w:tcPr>
            <w:tcW w:w="1376" w:type="dxa"/>
            <w:vAlign w:val="bottom"/>
          </w:tcPr>
          <w:p w:rsidR="00274452" w:rsidRPr="00000537" w:rsidRDefault="00274452" w:rsidP="00274452">
            <w:pPr>
              <w:jc w:val="center"/>
              <w:rPr>
                <w:rFonts w:ascii="Times New Roman" w:hAnsi="Times New Roman"/>
                <w:sz w:val="20"/>
              </w:rPr>
            </w:pPr>
            <w:r w:rsidRPr="00000537">
              <w:rPr>
                <w:rFonts w:ascii="Times New Roman" w:hAnsi="Times New Roman"/>
                <w:sz w:val="20"/>
              </w:rPr>
              <w:t>1,077</w:t>
            </w:r>
          </w:p>
        </w:tc>
        <w:tc>
          <w:tcPr>
            <w:tcW w:w="1239" w:type="dxa"/>
            <w:vAlign w:val="bottom"/>
          </w:tcPr>
          <w:p w:rsidR="00274452" w:rsidRPr="00000537" w:rsidRDefault="00274452" w:rsidP="00274452">
            <w:pPr>
              <w:jc w:val="center"/>
              <w:rPr>
                <w:rFonts w:ascii="Times New Roman" w:hAnsi="Times New Roman"/>
                <w:sz w:val="20"/>
              </w:rPr>
            </w:pPr>
            <w:r w:rsidRPr="00000537">
              <w:rPr>
                <w:rFonts w:ascii="Times New Roman" w:hAnsi="Times New Roman"/>
                <w:sz w:val="20"/>
              </w:rPr>
              <w:t>12</w:t>
            </w:r>
          </w:p>
        </w:tc>
        <w:tc>
          <w:tcPr>
            <w:tcW w:w="1239" w:type="dxa"/>
            <w:vAlign w:val="bottom"/>
          </w:tcPr>
          <w:p w:rsidR="00274452" w:rsidRPr="00000537" w:rsidRDefault="00274452" w:rsidP="00274452">
            <w:pPr>
              <w:jc w:val="right"/>
              <w:rPr>
                <w:rFonts w:ascii="Times New Roman" w:hAnsi="Times New Roman"/>
                <w:sz w:val="20"/>
              </w:rPr>
            </w:pPr>
            <w:r w:rsidRPr="00000537">
              <w:rPr>
                <w:rFonts w:ascii="Times New Roman" w:hAnsi="Times New Roman"/>
                <w:sz w:val="20"/>
              </w:rPr>
              <w:t>40 hours</w:t>
            </w:r>
          </w:p>
        </w:tc>
        <w:tc>
          <w:tcPr>
            <w:tcW w:w="1239" w:type="dxa"/>
            <w:vAlign w:val="bottom"/>
          </w:tcPr>
          <w:p w:rsidR="00274452" w:rsidRPr="00000537" w:rsidRDefault="00274452" w:rsidP="002C4E41">
            <w:pPr>
              <w:jc w:val="right"/>
              <w:rPr>
                <w:rFonts w:ascii="Times New Roman" w:hAnsi="Times New Roman"/>
                <w:sz w:val="20"/>
              </w:rPr>
            </w:pPr>
            <w:r w:rsidRPr="00000537">
              <w:rPr>
                <w:rFonts w:ascii="Times New Roman" w:hAnsi="Times New Roman"/>
                <w:sz w:val="20"/>
              </w:rPr>
              <w:t>5</w:t>
            </w:r>
            <w:r w:rsidR="002C4E41" w:rsidRPr="00000537">
              <w:rPr>
                <w:rFonts w:ascii="Times New Roman" w:hAnsi="Times New Roman"/>
                <w:sz w:val="20"/>
              </w:rPr>
              <w:t>1</w:t>
            </w:r>
            <w:r w:rsidRPr="00000537">
              <w:rPr>
                <w:rFonts w:ascii="Times New Roman" w:hAnsi="Times New Roman"/>
                <w:sz w:val="20"/>
              </w:rPr>
              <w:t>6,</w:t>
            </w:r>
            <w:r w:rsidR="002C4E41" w:rsidRPr="00000537">
              <w:rPr>
                <w:rFonts w:ascii="Times New Roman" w:hAnsi="Times New Roman"/>
                <w:sz w:val="20"/>
              </w:rPr>
              <w:t>96</w:t>
            </w:r>
            <w:r w:rsidRPr="00000537">
              <w:rPr>
                <w:rFonts w:ascii="Times New Roman" w:hAnsi="Times New Roman"/>
                <w:sz w:val="20"/>
              </w:rPr>
              <w:t>0</w:t>
            </w:r>
          </w:p>
        </w:tc>
      </w:tr>
      <w:tr w:rsidR="00274452" w:rsidRPr="00545F1A" w:rsidTr="00274452">
        <w:tc>
          <w:tcPr>
            <w:tcW w:w="4483" w:type="dxa"/>
          </w:tcPr>
          <w:p w:rsidR="00274452" w:rsidRPr="00545F1A" w:rsidRDefault="00274452" w:rsidP="00274452">
            <w:pPr>
              <w:rPr>
                <w:rFonts w:ascii="Times New Roman" w:hAnsi="Times New Roman"/>
                <w:sz w:val="20"/>
                <w:u w:val="single"/>
              </w:rPr>
            </w:pPr>
          </w:p>
        </w:tc>
        <w:tc>
          <w:tcPr>
            <w:tcW w:w="1376" w:type="dxa"/>
            <w:vAlign w:val="bottom"/>
          </w:tcPr>
          <w:p w:rsidR="00274452" w:rsidRPr="00545F1A" w:rsidRDefault="00274452" w:rsidP="00274452">
            <w:pPr>
              <w:jc w:val="center"/>
              <w:rPr>
                <w:rFonts w:ascii="Times New Roman" w:hAnsi="Times New Roman"/>
                <w:sz w:val="20"/>
              </w:rPr>
            </w:pPr>
          </w:p>
        </w:tc>
        <w:tc>
          <w:tcPr>
            <w:tcW w:w="1239" w:type="dxa"/>
            <w:vAlign w:val="bottom"/>
          </w:tcPr>
          <w:p w:rsidR="00274452" w:rsidRPr="00545F1A" w:rsidRDefault="00274452" w:rsidP="00274452">
            <w:pPr>
              <w:jc w:val="center"/>
              <w:rPr>
                <w:rFonts w:ascii="Times New Roman" w:hAnsi="Times New Roman"/>
                <w:sz w:val="20"/>
              </w:rPr>
            </w:pPr>
          </w:p>
        </w:tc>
        <w:tc>
          <w:tcPr>
            <w:tcW w:w="1239" w:type="dxa"/>
            <w:vAlign w:val="bottom"/>
          </w:tcPr>
          <w:p w:rsidR="00274452" w:rsidRPr="00545F1A" w:rsidRDefault="00274452" w:rsidP="00274452">
            <w:pPr>
              <w:jc w:val="right"/>
              <w:rPr>
                <w:rFonts w:ascii="Times New Roman" w:hAnsi="Times New Roman"/>
                <w:sz w:val="20"/>
              </w:rPr>
            </w:pPr>
          </w:p>
        </w:tc>
        <w:tc>
          <w:tcPr>
            <w:tcW w:w="1239" w:type="dxa"/>
            <w:vAlign w:val="bottom"/>
          </w:tcPr>
          <w:p w:rsidR="00274452" w:rsidRPr="00545F1A" w:rsidRDefault="00274452" w:rsidP="00274452">
            <w:pPr>
              <w:jc w:val="right"/>
              <w:rPr>
                <w:rFonts w:ascii="Times New Roman" w:hAnsi="Times New Roman"/>
                <w:sz w:val="20"/>
                <w:u w:val="single"/>
              </w:rPr>
            </w:pPr>
          </w:p>
        </w:tc>
      </w:tr>
      <w:tr w:rsidR="00274452" w:rsidRPr="00620821" w:rsidTr="00274452">
        <w:tc>
          <w:tcPr>
            <w:tcW w:w="4483" w:type="dxa"/>
          </w:tcPr>
          <w:p w:rsidR="00274452" w:rsidRPr="0020065F" w:rsidRDefault="00274452" w:rsidP="00274452">
            <w:pPr>
              <w:rPr>
                <w:rFonts w:ascii="Times New Roman" w:hAnsi="Times New Roman"/>
                <w:sz w:val="20"/>
                <w:u w:val="single"/>
              </w:rPr>
            </w:pPr>
            <w:r w:rsidRPr="0020065F">
              <w:rPr>
                <w:rFonts w:ascii="Times New Roman" w:hAnsi="Times New Roman"/>
                <w:b/>
                <w:sz w:val="20"/>
                <w:u w:val="single"/>
              </w:rPr>
              <w:t xml:space="preserve">Subparts B &amp; C </w:t>
            </w:r>
            <w:r>
              <w:rPr>
                <w:rFonts w:ascii="Times New Roman" w:hAnsi="Times New Roman"/>
                <w:sz w:val="20"/>
                <w:u w:val="single"/>
              </w:rPr>
              <w:t>(</w:t>
            </w:r>
            <w:r w:rsidRPr="0020065F">
              <w:rPr>
                <w:rFonts w:ascii="Times New Roman" w:hAnsi="Times New Roman"/>
                <w:sz w:val="20"/>
                <w:u w:val="single"/>
              </w:rPr>
              <w:t>Sections 226.16 &amp; 226.24</w:t>
            </w:r>
            <w:r>
              <w:rPr>
                <w:rFonts w:ascii="Times New Roman" w:hAnsi="Times New Roman"/>
                <w:sz w:val="20"/>
                <w:u w:val="single"/>
              </w:rPr>
              <w:t>)</w:t>
            </w:r>
            <w:r w:rsidRPr="0020065F">
              <w:rPr>
                <w:rFonts w:ascii="Times New Roman" w:hAnsi="Times New Roman"/>
                <w:sz w:val="20"/>
                <w:u w:val="single"/>
              </w:rPr>
              <w:t>:</w:t>
            </w:r>
          </w:p>
          <w:p w:rsidR="00274452" w:rsidRPr="0020065F" w:rsidRDefault="00274452" w:rsidP="00274452">
            <w:pPr>
              <w:rPr>
                <w:rFonts w:ascii="Times New Roman" w:hAnsi="Times New Roman"/>
                <w:sz w:val="20"/>
              </w:rPr>
            </w:pPr>
            <w:r w:rsidRPr="0020065F">
              <w:rPr>
                <w:rFonts w:ascii="Times New Roman" w:hAnsi="Times New Roman"/>
                <w:sz w:val="20"/>
              </w:rPr>
              <w:t>Advertising rules</w:t>
            </w:r>
          </w:p>
        </w:tc>
        <w:tc>
          <w:tcPr>
            <w:tcW w:w="1376" w:type="dxa"/>
            <w:vAlign w:val="bottom"/>
          </w:tcPr>
          <w:p w:rsidR="00274452" w:rsidRPr="00620821" w:rsidRDefault="00274452" w:rsidP="00274452">
            <w:pPr>
              <w:jc w:val="center"/>
              <w:rPr>
                <w:rFonts w:ascii="Times New Roman" w:hAnsi="Times New Roman"/>
                <w:sz w:val="20"/>
              </w:rPr>
            </w:pPr>
            <w:r w:rsidRPr="00620821">
              <w:rPr>
                <w:rFonts w:ascii="Times New Roman" w:hAnsi="Times New Roman"/>
                <w:sz w:val="20"/>
              </w:rPr>
              <w:t>1,077</w:t>
            </w:r>
          </w:p>
        </w:tc>
        <w:tc>
          <w:tcPr>
            <w:tcW w:w="1239" w:type="dxa"/>
            <w:vAlign w:val="bottom"/>
          </w:tcPr>
          <w:p w:rsidR="00274452" w:rsidRPr="00620821" w:rsidRDefault="00274452" w:rsidP="00274452">
            <w:pPr>
              <w:jc w:val="center"/>
              <w:rPr>
                <w:rFonts w:ascii="Times New Roman" w:hAnsi="Times New Roman"/>
                <w:sz w:val="20"/>
              </w:rPr>
            </w:pPr>
            <w:r w:rsidRPr="00620821">
              <w:rPr>
                <w:rFonts w:ascii="Times New Roman" w:hAnsi="Times New Roman"/>
                <w:sz w:val="20"/>
              </w:rPr>
              <w:t>5</w:t>
            </w:r>
          </w:p>
        </w:tc>
        <w:tc>
          <w:tcPr>
            <w:tcW w:w="1239" w:type="dxa"/>
            <w:vAlign w:val="bottom"/>
          </w:tcPr>
          <w:p w:rsidR="00274452" w:rsidRPr="00620821" w:rsidRDefault="00274452" w:rsidP="00274452">
            <w:pPr>
              <w:jc w:val="right"/>
              <w:rPr>
                <w:rFonts w:ascii="Times New Roman" w:hAnsi="Times New Roman"/>
                <w:sz w:val="20"/>
              </w:rPr>
            </w:pPr>
            <w:r w:rsidRPr="00620821">
              <w:rPr>
                <w:rFonts w:ascii="Times New Roman" w:hAnsi="Times New Roman"/>
                <w:sz w:val="20"/>
              </w:rPr>
              <w:t>25 min</w:t>
            </w:r>
          </w:p>
        </w:tc>
        <w:tc>
          <w:tcPr>
            <w:tcW w:w="1239" w:type="dxa"/>
            <w:vAlign w:val="bottom"/>
          </w:tcPr>
          <w:p w:rsidR="00274452" w:rsidRPr="00620821" w:rsidRDefault="00274452" w:rsidP="00274452">
            <w:pPr>
              <w:jc w:val="right"/>
              <w:rPr>
                <w:rFonts w:ascii="Times New Roman" w:hAnsi="Times New Roman"/>
                <w:sz w:val="20"/>
              </w:rPr>
            </w:pPr>
            <w:r w:rsidRPr="00620821">
              <w:rPr>
                <w:rFonts w:ascii="Times New Roman" w:hAnsi="Times New Roman"/>
                <w:sz w:val="20"/>
              </w:rPr>
              <w:t>2,244</w:t>
            </w:r>
          </w:p>
        </w:tc>
      </w:tr>
      <w:tr w:rsidR="00274452" w:rsidRPr="00620821" w:rsidTr="00274452">
        <w:tc>
          <w:tcPr>
            <w:tcW w:w="4483" w:type="dxa"/>
          </w:tcPr>
          <w:p w:rsidR="00274452" w:rsidRPr="0020065F" w:rsidRDefault="00274452" w:rsidP="00274452">
            <w:pPr>
              <w:rPr>
                <w:rFonts w:ascii="Times New Roman" w:hAnsi="Times New Roman"/>
                <w:sz w:val="20"/>
              </w:rPr>
            </w:pPr>
          </w:p>
        </w:tc>
        <w:tc>
          <w:tcPr>
            <w:tcW w:w="1376" w:type="dxa"/>
            <w:vAlign w:val="bottom"/>
          </w:tcPr>
          <w:p w:rsidR="00274452" w:rsidRPr="00620821" w:rsidRDefault="00274452" w:rsidP="00274452">
            <w:pPr>
              <w:jc w:val="center"/>
              <w:rPr>
                <w:rFonts w:ascii="Times New Roman" w:hAnsi="Times New Roman"/>
                <w:sz w:val="20"/>
              </w:rPr>
            </w:pPr>
          </w:p>
        </w:tc>
        <w:tc>
          <w:tcPr>
            <w:tcW w:w="1239" w:type="dxa"/>
            <w:vAlign w:val="bottom"/>
          </w:tcPr>
          <w:p w:rsidR="00274452" w:rsidRPr="00620821" w:rsidRDefault="00274452" w:rsidP="00274452">
            <w:pPr>
              <w:jc w:val="center"/>
              <w:rPr>
                <w:rFonts w:ascii="Times New Roman" w:hAnsi="Times New Roman"/>
                <w:sz w:val="20"/>
              </w:rPr>
            </w:pPr>
          </w:p>
        </w:tc>
        <w:tc>
          <w:tcPr>
            <w:tcW w:w="1239" w:type="dxa"/>
            <w:vAlign w:val="bottom"/>
          </w:tcPr>
          <w:p w:rsidR="00274452" w:rsidRPr="00620821" w:rsidRDefault="00274452" w:rsidP="00274452">
            <w:pPr>
              <w:jc w:val="right"/>
              <w:rPr>
                <w:rFonts w:ascii="Times New Roman" w:hAnsi="Times New Roman"/>
                <w:sz w:val="20"/>
              </w:rPr>
            </w:pPr>
          </w:p>
        </w:tc>
        <w:tc>
          <w:tcPr>
            <w:tcW w:w="1239" w:type="dxa"/>
            <w:vAlign w:val="bottom"/>
          </w:tcPr>
          <w:p w:rsidR="00274452" w:rsidRPr="00620821" w:rsidRDefault="00274452" w:rsidP="00274452">
            <w:pPr>
              <w:jc w:val="right"/>
              <w:rPr>
                <w:rFonts w:ascii="Times New Roman" w:hAnsi="Times New Roman"/>
                <w:sz w:val="20"/>
              </w:rPr>
            </w:pPr>
          </w:p>
        </w:tc>
      </w:tr>
      <w:tr w:rsidR="00274452" w:rsidRPr="00620821" w:rsidTr="00274452">
        <w:tc>
          <w:tcPr>
            <w:tcW w:w="4483" w:type="dxa"/>
          </w:tcPr>
          <w:p w:rsidR="00274452" w:rsidRPr="0020065F" w:rsidRDefault="00274452" w:rsidP="00274452">
            <w:pPr>
              <w:rPr>
                <w:rFonts w:ascii="Times New Roman" w:hAnsi="Times New Roman"/>
                <w:b/>
                <w:sz w:val="20"/>
                <w:u w:val="single"/>
              </w:rPr>
            </w:pPr>
            <w:r w:rsidRPr="0020065F">
              <w:rPr>
                <w:rFonts w:ascii="Times New Roman" w:hAnsi="Times New Roman"/>
                <w:b/>
                <w:sz w:val="20"/>
                <w:u w:val="single"/>
              </w:rPr>
              <w:t>Subpart E:</w:t>
            </w:r>
          </w:p>
          <w:p w:rsidR="00274452" w:rsidRPr="0020065F" w:rsidRDefault="00274452" w:rsidP="00274452">
            <w:pPr>
              <w:rPr>
                <w:rFonts w:ascii="Times New Roman" w:hAnsi="Times New Roman"/>
                <w:sz w:val="20"/>
              </w:rPr>
            </w:pPr>
            <w:r w:rsidRPr="0020065F">
              <w:rPr>
                <w:rFonts w:ascii="Times New Roman" w:hAnsi="Times New Roman"/>
                <w:sz w:val="20"/>
              </w:rPr>
              <w:t xml:space="preserve">Pre-closing disclosure </w:t>
            </w:r>
            <w:r>
              <w:rPr>
                <w:rFonts w:ascii="Times New Roman" w:hAnsi="Times New Roman"/>
                <w:sz w:val="20"/>
              </w:rPr>
              <w:t>(</w:t>
            </w:r>
            <w:r w:rsidRPr="0020065F">
              <w:rPr>
                <w:rFonts w:ascii="Times New Roman" w:hAnsi="Times New Roman"/>
                <w:sz w:val="20"/>
              </w:rPr>
              <w:t>Sections 226.31-226.45</w:t>
            </w:r>
            <w:r>
              <w:rPr>
                <w:rFonts w:ascii="Times New Roman" w:hAnsi="Times New Roman"/>
                <w:sz w:val="20"/>
              </w:rPr>
              <w:t>)</w:t>
            </w:r>
          </w:p>
        </w:tc>
        <w:tc>
          <w:tcPr>
            <w:tcW w:w="1376" w:type="dxa"/>
            <w:vAlign w:val="bottom"/>
          </w:tcPr>
          <w:p w:rsidR="00274452" w:rsidRPr="00620821" w:rsidRDefault="00274452" w:rsidP="00274452">
            <w:pPr>
              <w:jc w:val="center"/>
              <w:rPr>
                <w:rFonts w:ascii="Times New Roman" w:hAnsi="Times New Roman"/>
                <w:sz w:val="20"/>
              </w:rPr>
            </w:pPr>
            <w:r w:rsidRPr="00620821">
              <w:rPr>
                <w:rFonts w:ascii="Times New Roman" w:hAnsi="Times New Roman"/>
                <w:sz w:val="20"/>
              </w:rPr>
              <w:t>30</w:t>
            </w:r>
          </w:p>
        </w:tc>
        <w:tc>
          <w:tcPr>
            <w:tcW w:w="1239" w:type="dxa"/>
            <w:vAlign w:val="bottom"/>
          </w:tcPr>
          <w:p w:rsidR="00274452" w:rsidRPr="00620821" w:rsidRDefault="00274452" w:rsidP="00274452">
            <w:pPr>
              <w:jc w:val="center"/>
              <w:rPr>
                <w:rFonts w:ascii="Times New Roman" w:hAnsi="Times New Roman"/>
                <w:sz w:val="20"/>
              </w:rPr>
            </w:pPr>
            <w:r w:rsidRPr="00620821">
              <w:rPr>
                <w:rFonts w:ascii="Times New Roman" w:hAnsi="Times New Roman"/>
                <w:sz w:val="20"/>
              </w:rPr>
              <w:t>250</w:t>
            </w:r>
          </w:p>
        </w:tc>
        <w:tc>
          <w:tcPr>
            <w:tcW w:w="1239" w:type="dxa"/>
            <w:vAlign w:val="bottom"/>
          </w:tcPr>
          <w:p w:rsidR="00274452" w:rsidRPr="00620821" w:rsidRDefault="00274452" w:rsidP="00274452">
            <w:pPr>
              <w:jc w:val="right"/>
              <w:rPr>
                <w:rFonts w:ascii="Times New Roman" w:hAnsi="Times New Roman"/>
                <w:sz w:val="20"/>
              </w:rPr>
            </w:pPr>
            <w:r w:rsidRPr="00620821">
              <w:rPr>
                <w:rFonts w:ascii="Times New Roman" w:hAnsi="Times New Roman"/>
                <w:sz w:val="20"/>
              </w:rPr>
              <w:t>3 min</w:t>
            </w:r>
          </w:p>
        </w:tc>
        <w:tc>
          <w:tcPr>
            <w:tcW w:w="1239" w:type="dxa"/>
            <w:vAlign w:val="bottom"/>
          </w:tcPr>
          <w:p w:rsidR="00274452" w:rsidRPr="00620821" w:rsidRDefault="00274452" w:rsidP="00274452">
            <w:pPr>
              <w:jc w:val="right"/>
              <w:rPr>
                <w:rFonts w:ascii="Times New Roman" w:hAnsi="Times New Roman"/>
                <w:sz w:val="20"/>
              </w:rPr>
            </w:pPr>
            <w:r w:rsidRPr="00620821">
              <w:rPr>
                <w:rFonts w:ascii="Times New Roman" w:hAnsi="Times New Roman"/>
                <w:sz w:val="20"/>
              </w:rPr>
              <w:t>375</w:t>
            </w:r>
          </w:p>
        </w:tc>
      </w:tr>
      <w:tr w:rsidR="00274452" w:rsidRPr="00620821" w:rsidTr="00274452">
        <w:tc>
          <w:tcPr>
            <w:tcW w:w="4483" w:type="dxa"/>
            <w:vAlign w:val="bottom"/>
          </w:tcPr>
          <w:p w:rsidR="00274452" w:rsidRPr="0020065F" w:rsidRDefault="00274452" w:rsidP="00274452">
            <w:pPr>
              <w:rPr>
                <w:rFonts w:ascii="Times New Roman" w:hAnsi="Times New Roman"/>
                <w:sz w:val="20"/>
              </w:rPr>
            </w:pPr>
            <w:r w:rsidRPr="0020065F">
              <w:rPr>
                <w:rFonts w:ascii="Times New Roman" w:hAnsi="Times New Roman"/>
                <w:sz w:val="20"/>
              </w:rPr>
              <w:t xml:space="preserve">Mortgage transfer disclosure </w:t>
            </w:r>
            <w:r>
              <w:rPr>
                <w:rFonts w:ascii="Times New Roman" w:hAnsi="Times New Roman"/>
                <w:sz w:val="20"/>
              </w:rPr>
              <w:t>(</w:t>
            </w:r>
            <w:r w:rsidRPr="0020065F">
              <w:rPr>
                <w:rFonts w:ascii="Times New Roman" w:hAnsi="Times New Roman"/>
                <w:sz w:val="20"/>
              </w:rPr>
              <w:t>Section 226.39</w:t>
            </w:r>
            <w:r>
              <w:rPr>
                <w:rFonts w:ascii="Times New Roman" w:hAnsi="Times New Roman"/>
                <w:sz w:val="20"/>
              </w:rPr>
              <w:t>)</w:t>
            </w:r>
          </w:p>
        </w:tc>
        <w:tc>
          <w:tcPr>
            <w:tcW w:w="1376" w:type="dxa"/>
            <w:vAlign w:val="bottom"/>
          </w:tcPr>
          <w:p w:rsidR="00274452" w:rsidRPr="00620821" w:rsidRDefault="00274452" w:rsidP="00274452">
            <w:pPr>
              <w:jc w:val="center"/>
              <w:rPr>
                <w:rFonts w:ascii="Times New Roman" w:hAnsi="Times New Roman"/>
                <w:sz w:val="20"/>
              </w:rPr>
            </w:pPr>
            <w:r w:rsidRPr="00620821">
              <w:rPr>
                <w:rFonts w:ascii="Times New Roman" w:hAnsi="Times New Roman"/>
                <w:sz w:val="20"/>
              </w:rPr>
              <w:t>68</w:t>
            </w:r>
          </w:p>
        </w:tc>
        <w:tc>
          <w:tcPr>
            <w:tcW w:w="1239" w:type="dxa"/>
            <w:vAlign w:val="bottom"/>
          </w:tcPr>
          <w:p w:rsidR="00274452" w:rsidRPr="00620821" w:rsidRDefault="00274452" w:rsidP="00274452">
            <w:pPr>
              <w:jc w:val="center"/>
              <w:rPr>
                <w:rFonts w:ascii="Times New Roman" w:hAnsi="Times New Roman"/>
                <w:sz w:val="20"/>
              </w:rPr>
            </w:pPr>
            <w:r w:rsidRPr="00620821">
              <w:rPr>
                <w:rFonts w:ascii="Times New Roman" w:hAnsi="Times New Roman"/>
                <w:sz w:val="20"/>
              </w:rPr>
              <w:t>12</w:t>
            </w:r>
          </w:p>
        </w:tc>
        <w:tc>
          <w:tcPr>
            <w:tcW w:w="1239" w:type="dxa"/>
            <w:vAlign w:val="bottom"/>
          </w:tcPr>
          <w:p w:rsidR="00274452" w:rsidRPr="00620821" w:rsidRDefault="00274452" w:rsidP="00274452">
            <w:pPr>
              <w:jc w:val="right"/>
              <w:rPr>
                <w:rFonts w:ascii="Times New Roman" w:hAnsi="Times New Roman"/>
                <w:sz w:val="20"/>
              </w:rPr>
            </w:pPr>
            <w:r w:rsidRPr="00620821">
              <w:rPr>
                <w:rFonts w:ascii="Times New Roman" w:hAnsi="Times New Roman"/>
                <w:sz w:val="20"/>
              </w:rPr>
              <w:t>8 hours</w:t>
            </w:r>
          </w:p>
        </w:tc>
        <w:tc>
          <w:tcPr>
            <w:tcW w:w="1239" w:type="dxa"/>
            <w:vAlign w:val="bottom"/>
          </w:tcPr>
          <w:p w:rsidR="00274452" w:rsidRPr="00620821" w:rsidRDefault="00274452" w:rsidP="00274452">
            <w:pPr>
              <w:jc w:val="right"/>
              <w:rPr>
                <w:rFonts w:ascii="Times New Roman" w:hAnsi="Times New Roman"/>
                <w:sz w:val="20"/>
              </w:rPr>
            </w:pPr>
            <w:r w:rsidRPr="00620821">
              <w:rPr>
                <w:rFonts w:ascii="Times New Roman" w:hAnsi="Times New Roman"/>
                <w:sz w:val="20"/>
              </w:rPr>
              <w:t>6,528</w:t>
            </w:r>
          </w:p>
        </w:tc>
      </w:tr>
      <w:tr w:rsidR="00274452" w:rsidRPr="00620821" w:rsidTr="00274452">
        <w:tc>
          <w:tcPr>
            <w:tcW w:w="4483" w:type="dxa"/>
            <w:vAlign w:val="bottom"/>
          </w:tcPr>
          <w:p w:rsidR="00274452" w:rsidRPr="0020065F" w:rsidRDefault="00274452" w:rsidP="00274452">
            <w:pPr>
              <w:rPr>
                <w:rFonts w:ascii="Times New Roman" w:hAnsi="Times New Roman"/>
                <w:sz w:val="20"/>
              </w:rPr>
            </w:pPr>
          </w:p>
        </w:tc>
        <w:tc>
          <w:tcPr>
            <w:tcW w:w="1376" w:type="dxa"/>
            <w:vAlign w:val="bottom"/>
          </w:tcPr>
          <w:p w:rsidR="00274452" w:rsidRPr="00620821" w:rsidRDefault="00274452" w:rsidP="00274452">
            <w:pPr>
              <w:jc w:val="center"/>
              <w:rPr>
                <w:rFonts w:ascii="Times New Roman" w:hAnsi="Times New Roman"/>
                <w:b/>
                <w:sz w:val="20"/>
              </w:rPr>
            </w:pPr>
          </w:p>
        </w:tc>
        <w:tc>
          <w:tcPr>
            <w:tcW w:w="1239" w:type="dxa"/>
            <w:vAlign w:val="bottom"/>
          </w:tcPr>
          <w:p w:rsidR="00274452" w:rsidRPr="00620821" w:rsidRDefault="00274452" w:rsidP="00274452">
            <w:pPr>
              <w:jc w:val="center"/>
              <w:rPr>
                <w:rFonts w:ascii="Times New Roman" w:hAnsi="Times New Roman"/>
                <w:b/>
                <w:sz w:val="20"/>
              </w:rPr>
            </w:pPr>
          </w:p>
        </w:tc>
        <w:tc>
          <w:tcPr>
            <w:tcW w:w="1239" w:type="dxa"/>
            <w:vAlign w:val="bottom"/>
          </w:tcPr>
          <w:p w:rsidR="00274452" w:rsidRPr="00620821" w:rsidRDefault="00274452" w:rsidP="00274452">
            <w:pPr>
              <w:jc w:val="right"/>
              <w:rPr>
                <w:rFonts w:ascii="Times New Roman" w:hAnsi="Times New Roman"/>
                <w:b/>
                <w:sz w:val="20"/>
              </w:rPr>
            </w:pPr>
          </w:p>
        </w:tc>
        <w:tc>
          <w:tcPr>
            <w:tcW w:w="1239" w:type="dxa"/>
            <w:vAlign w:val="bottom"/>
          </w:tcPr>
          <w:p w:rsidR="00274452" w:rsidRPr="00620821" w:rsidRDefault="00274452" w:rsidP="00274452">
            <w:pPr>
              <w:jc w:val="right"/>
              <w:rPr>
                <w:rFonts w:ascii="Times New Roman" w:hAnsi="Times New Roman"/>
                <w:b/>
                <w:sz w:val="20"/>
              </w:rPr>
            </w:pPr>
          </w:p>
        </w:tc>
      </w:tr>
      <w:tr w:rsidR="00274452" w:rsidRPr="00620821" w:rsidTr="00274452">
        <w:tc>
          <w:tcPr>
            <w:tcW w:w="4483" w:type="dxa"/>
          </w:tcPr>
          <w:p w:rsidR="00274452" w:rsidRPr="0020065F" w:rsidRDefault="00274452" w:rsidP="00274452">
            <w:pPr>
              <w:rPr>
                <w:rFonts w:ascii="Times New Roman" w:hAnsi="Times New Roman"/>
                <w:b/>
                <w:sz w:val="20"/>
                <w:u w:val="single"/>
              </w:rPr>
            </w:pPr>
            <w:r w:rsidRPr="0020065F">
              <w:rPr>
                <w:rFonts w:ascii="Times New Roman" w:hAnsi="Times New Roman"/>
                <w:b/>
                <w:sz w:val="20"/>
                <w:u w:val="single"/>
              </w:rPr>
              <w:t>Subpart F</w:t>
            </w:r>
            <w:r>
              <w:rPr>
                <w:rFonts w:ascii="Times New Roman" w:hAnsi="Times New Roman"/>
                <w:b/>
                <w:sz w:val="20"/>
                <w:u w:val="single"/>
              </w:rPr>
              <w:t>:</w:t>
            </w:r>
            <w:r w:rsidRPr="0020065F">
              <w:rPr>
                <w:rFonts w:ascii="Times New Roman" w:hAnsi="Times New Roman"/>
                <w:b/>
                <w:sz w:val="20"/>
                <w:u w:val="single"/>
              </w:rPr>
              <w:t xml:space="preserve"> </w:t>
            </w:r>
          </w:p>
        </w:tc>
        <w:tc>
          <w:tcPr>
            <w:tcW w:w="1376" w:type="dxa"/>
            <w:vAlign w:val="bottom"/>
          </w:tcPr>
          <w:p w:rsidR="00274452" w:rsidRPr="00620821" w:rsidRDefault="00274452" w:rsidP="00274452">
            <w:pPr>
              <w:jc w:val="center"/>
              <w:rPr>
                <w:rFonts w:ascii="Times New Roman" w:hAnsi="Times New Roman"/>
                <w:b/>
                <w:sz w:val="20"/>
              </w:rPr>
            </w:pPr>
          </w:p>
        </w:tc>
        <w:tc>
          <w:tcPr>
            <w:tcW w:w="1239" w:type="dxa"/>
            <w:vAlign w:val="bottom"/>
          </w:tcPr>
          <w:p w:rsidR="00274452" w:rsidRPr="00620821" w:rsidRDefault="00274452" w:rsidP="00274452">
            <w:pPr>
              <w:jc w:val="center"/>
              <w:rPr>
                <w:rFonts w:ascii="Times New Roman" w:hAnsi="Times New Roman"/>
                <w:b/>
                <w:sz w:val="20"/>
              </w:rPr>
            </w:pPr>
          </w:p>
        </w:tc>
        <w:tc>
          <w:tcPr>
            <w:tcW w:w="1239" w:type="dxa"/>
            <w:vAlign w:val="bottom"/>
          </w:tcPr>
          <w:p w:rsidR="00274452" w:rsidRPr="00620821" w:rsidRDefault="00274452" w:rsidP="00274452">
            <w:pPr>
              <w:jc w:val="right"/>
              <w:rPr>
                <w:rFonts w:ascii="Times New Roman" w:hAnsi="Times New Roman"/>
                <w:b/>
                <w:sz w:val="20"/>
              </w:rPr>
            </w:pPr>
          </w:p>
        </w:tc>
        <w:tc>
          <w:tcPr>
            <w:tcW w:w="1239" w:type="dxa"/>
            <w:vAlign w:val="bottom"/>
          </w:tcPr>
          <w:p w:rsidR="00274452" w:rsidRPr="00620821" w:rsidRDefault="00274452" w:rsidP="00274452">
            <w:pPr>
              <w:jc w:val="right"/>
              <w:rPr>
                <w:rFonts w:ascii="Times New Roman" w:hAnsi="Times New Roman"/>
                <w:b/>
                <w:sz w:val="20"/>
              </w:rPr>
            </w:pPr>
          </w:p>
        </w:tc>
      </w:tr>
      <w:tr w:rsidR="00274452" w:rsidRPr="00620821" w:rsidTr="00274452">
        <w:tc>
          <w:tcPr>
            <w:tcW w:w="4483" w:type="dxa"/>
          </w:tcPr>
          <w:p w:rsidR="00274452" w:rsidRPr="0020065F" w:rsidRDefault="00274452" w:rsidP="00030373">
            <w:pPr>
              <w:rPr>
                <w:rFonts w:ascii="Times New Roman" w:hAnsi="Times New Roman"/>
                <w:sz w:val="20"/>
              </w:rPr>
            </w:pPr>
            <w:r w:rsidRPr="0020065F">
              <w:rPr>
                <w:rFonts w:ascii="Times New Roman" w:hAnsi="Times New Roman"/>
                <w:sz w:val="20"/>
              </w:rPr>
              <w:t xml:space="preserve">Private student loan disclosures </w:t>
            </w:r>
            <w:r>
              <w:rPr>
                <w:rFonts w:ascii="Times New Roman" w:hAnsi="Times New Roman"/>
                <w:sz w:val="20"/>
              </w:rPr>
              <w:t>(</w:t>
            </w:r>
            <w:r w:rsidRPr="0020065F">
              <w:rPr>
                <w:rFonts w:ascii="Times New Roman" w:hAnsi="Times New Roman"/>
                <w:sz w:val="20"/>
              </w:rPr>
              <w:t>Section 226.46</w:t>
            </w:r>
            <w:r>
              <w:rPr>
                <w:rFonts w:ascii="Times New Roman" w:hAnsi="Times New Roman"/>
                <w:sz w:val="20"/>
              </w:rPr>
              <w:t>)</w:t>
            </w:r>
          </w:p>
        </w:tc>
        <w:tc>
          <w:tcPr>
            <w:tcW w:w="1376" w:type="dxa"/>
            <w:vAlign w:val="bottom"/>
          </w:tcPr>
          <w:p w:rsidR="00274452" w:rsidRPr="00620821" w:rsidRDefault="00274452" w:rsidP="00274452">
            <w:pPr>
              <w:jc w:val="center"/>
              <w:rPr>
                <w:rFonts w:ascii="Times New Roman" w:hAnsi="Times New Roman"/>
                <w:sz w:val="20"/>
              </w:rPr>
            </w:pPr>
            <w:r w:rsidRPr="00620821">
              <w:rPr>
                <w:rFonts w:ascii="Times New Roman" w:hAnsi="Times New Roman"/>
                <w:sz w:val="20"/>
              </w:rPr>
              <w:t>1,075</w:t>
            </w:r>
          </w:p>
        </w:tc>
        <w:tc>
          <w:tcPr>
            <w:tcW w:w="1239" w:type="dxa"/>
            <w:vAlign w:val="bottom"/>
          </w:tcPr>
          <w:p w:rsidR="00274452" w:rsidRPr="00620821" w:rsidRDefault="00274452" w:rsidP="00274452">
            <w:pPr>
              <w:jc w:val="center"/>
              <w:rPr>
                <w:rFonts w:ascii="Times New Roman" w:hAnsi="Times New Roman"/>
                <w:sz w:val="20"/>
              </w:rPr>
            </w:pPr>
            <w:r w:rsidRPr="00620821">
              <w:rPr>
                <w:rFonts w:ascii="Times New Roman" w:hAnsi="Times New Roman"/>
                <w:sz w:val="20"/>
              </w:rPr>
              <w:t>12</w:t>
            </w:r>
          </w:p>
        </w:tc>
        <w:tc>
          <w:tcPr>
            <w:tcW w:w="1239" w:type="dxa"/>
            <w:vAlign w:val="bottom"/>
          </w:tcPr>
          <w:p w:rsidR="00274452" w:rsidRPr="00620821" w:rsidRDefault="00274452" w:rsidP="00274452">
            <w:pPr>
              <w:jc w:val="right"/>
              <w:rPr>
                <w:rFonts w:ascii="Times New Roman" w:hAnsi="Times New Roman"/>
                <w:sz w:val="20"/>
              </w:rPr>
            </w:pPr>
            <w:r w:rsidRPr="00620821">
              <w:rPr>
                <w:rFonts w:ascii="Times New Roman" w:hAnsi="Times New Roman"/>
                <w:sz w:val="20"/>
              </w:rPr>
              <w:t>17 hours</w:t>
            </w:r>
          </w:p>
        </w:tc>
        <w:tc>
          <w:tcPr>
            <w:tcW w:w="1239" w:type="dxa"/>
            <w:vAlign w:val="bottom"/>
          </w:tcPr>
          <w:p w:rsidR="00274452" w:rsidRPr="00620821" w:rsidRDefault="00274452" w:rsidP="00274452">
            <w:pPr>
              <w:jc w:val="right"/>
              <w:rPr>
                <w:rFonts w:ascii="Times New Roman" w:hAnsi="Times New Roman"/>
                <w:sz w:val="20"/>
              </w:rPr>
            </w:pPr>
            <w:r w:rsidRPr="00620821">
              <w:rPr>
                <w:rFonts w:ascii="Times New Roman" w:hAnsi="Times New Roman"/>
                <w:sz w:val="20"/>
              </w:rPr>
              <w:t>219,300</w:t>
            </w:r>
          </w:p>
        </w:tc>
      </w:tr>
      <w:tr w:rsidR="00274452" w:rsidRPr="00620821" w:rsidTr="00274452">
        <w:tc>
          <w:tcPr>
            <w:tcW w:w="4483" w:type="dxa"/>
          </w:tcPr>
          <w:p w:rsidR="00274452" w:rsidRPr="0020065F" w:rsidRDefault="00274452" w:rsidP="00274452">
            <w:pPr>
              <w:rPr>
                <w:rFonts w:ascii="Times New Roman" w:hAnsi="Times New Roman"/>
                <w:sz w:val="20"/>
              </w:rPr>
            </w:pPr>
          </w:p>
        </w:tc>
        <w:tc>
          <w:tcPr>
            <w:tcW w:w="1376" w:type="dxa"/>
            <w:vAlign w:val="bottom"/>
          </w:tcPr>
          <w:p w:rsidR="00274452" w:rsidRPr="00620821" w:rsidRDefault="00274452" w:rsidP="00274452">
            <w:pPr>
              <w:jc w:val="center"/>
              <w:rPr>
                <w:rFonts w:ascii="Times New Roman" w:hAnsi="Times New Roman"/>
                <w:sz w:val="20"/>
              </w:rPr>
            </w:pPr>
          </w:p>
        </w:tc>
        <w:tc>
          <w:tcPr>
            <w:tcW w:w="1239" w:type="dxa"/>
            <w:vAlign w:val="bottom"/>
          </w:tcPr>
          <w:p w:rsidR="00274452" w:rsidRPr="00620821" w:rsidRDefault="00274452" w:rsidP="00274452">
            <w:pPr>
              <w:jc w:val="center"/>
              <w:rPr>
                <w:rFonts w:ascii="Times New Roman" w:hAnsi="Times New Roman"/>
                <w:sz w:val="20"/>
              </w:rPr>
            </w:pPr>
          </w:p>
        </w:tc>
        <w:tc>
          <w:tcPr>
            <w:tcW w:w="1239" w:type="dxa"/>
            <w:vAlign w:val="bottom"/>
          </w:tcPr>
          <w:p w:rsidR="00274452" w:rsidRPr="00620821" w:rsidRDefault="00274452" w:rsidP="00274452">
            <w:pPr>
              <w:jc w:val="right"/>
              <w:rPr>
                <w:rFonts w:ascii="Times New Roman" w:hAnsi="Times New Roman"/>
                <w:sz w:val="20"/>
              </w:rPr>
            </w:pPr>
          </w:p>
        </w:tc>
        <w:tc>
          <w:tcPr>
            <w:tcW w:w="1239" w:type="dxa"/>
            <w:vAlign w:val="bottom"/>
          </w:tcPr>
          <w:p w:rsidR="00274452" w:rsidRPr="00620821" w:rsidRDefault="00274452" w:rsidP="00274452">
            <w:pPr>
              <w:jc w:val="right"/>
              <w:rPr>
                <w:rFonts w:ascii="Times New Roman" w:hAnsi="Times New Roman"/>
                <w:sz w:val="20"/>
              </w:rPr>
            </w:pPr>
          </w:p>
        </w:tc>
      </w:tr>
      <w:tr w:rsidR="00274452" w:rsidRPr="00620821" w:rsidTr="00274452">
        <w:trPr>
          <w:trHeight w:val="125"/>
        </w:trPr>
        <w:tc>
          <w:tcPr>
            <w:tcW w:w="4483" w:type="dxa"/>
          </w:tcPr>
          <w:p w:rsidR="00274452" w:rsidRPr="0020065F" w:rsidRDefault="00274452" w:rsidP="00274452">
            <w:pPr>
              <w:pStyle w:val="Heading5"/>
              <w:spacing w:before="0" w:beforeAutospacing="0" w:after="0" w:afterAutospacing="0"/>
              <w:rPr>
                <w:u w:val="single"/>
              </w:rPr>
            </w:pPr>
            <w:r w:rsidRPr="0020065F">
              <w:rPr>
                <w:u w:val="single"/>
              </w:rPr>
              <w:t>Subpart G</w:t>
            </w:r>
            <w:r>
              <w:rPr>
                <w:u w:val="single"/>
              </w:rPr>
              <w:t>:</w:t>
            </w:r>
            <w:r w:rsidRPr="0020065F">
              <w:rPr>
                <w:u w:val="single"/>
              </w:rPr>
              <w:t xml:space="preserve"> </w:t>
            </w:r>
          </w:p>
        </w:tc>
        <w:tc>
          <w:tcPr>
            <w:tcW w:w="1376" w:type="dxa"/>
            <w:vAlign w:val="bottom"/>
          </w:tcPr>
          <w:p w:rsidR="00274452" w:rsidRPr="00620821" w:rsidRDefault="00274452" w:rsidP="00274452">
            <w:pPr>
              <w:jc w:val="center"/>
              <w:rPr>
                <w:rFonts w:ascii="Times New Roman" w:hAnsi="Times New Roman"/>
                <w:sz w:val="20"/>
              </w:rPr>
            </w:pPr>
          </w:p>
        </w:tc>
        <w:tc>
          <w:tcPr>
            <w:tcW w:w="1239" w:type="dxa"/>
            <w:vAlign w:val="bottom"/>
          </w:tcPr>
          <w:p w:rsidR="00274452" w:rsidRPr="00620821" w:rsidRDefault="00274452" w:rsidP="00274452">
            <w:pPr>
              <w:jc w:val="center"/>
              <w:rPr>
                <w:rFonts w:ascii="Times New Roman" w:hAnsi="Times New Roman"/>
                <w:sz w:val="20"/>
              </w:rPr>
            </w:pPr>
          </w:p>
        </w:tc>
        <w:tc>
          <w:tcPr>
            <w:tcW w:w="1239" w:type="dxa"/>
            <w:vAlign w:val="bottom"/>
          </w:tcPr>
          <w:p w:rsidR="00274452" w:rsidRPr="00620821" w:rsidRDefault="00274452" w:rsidP="00274452">
            <w:pPr>
              <w:jc w:val="right"/>
              <w:rPr>
                <w:rFonts w:ascii="Times New Roman" w:hAnsi="Times New Roman"/>
                <w:sz w:val="20"/>
              </w:rPr>
            </w:pPr>
          </w:p>
        </w:tc>
        <w:tc>
          <w:tcPr>
            <w:tcW w:w="1239" w:type="dxa"/>
            <w:vAlign w:val="bottom"/>
          </w:tcPr>
          <w:p w:rsidR="00274452" w:rsidRPr="00620821" w:rsidRDefault="00274452" w:rsidP="00274452">
            <w:pPr>
              <w:jc w:val="right"/>
              <w:rPr>
                <w:rFonts w:ascii="Times New Roman" w:hAnsi="Times New Roman"/>
                <w:sz w:val="20"/>
              </w:rPr>
            </w:pPr>
          </w:p>
        </w:tc>
      </w:tr>
      <w:tr w:rsidR="00274452" w:rsidRPr="00620821" w:rsidTr="00274452">
        <w:tc>
          <w:tcPr>
            <w:tcW w:w="4483" w:type="dxa"/>
          </w:tcPr>
          <w:p w:rsidR="00274452" w:rsidRPr="0020065F" w:rsidRDefault="00274452" w:rsidP="00274452">
            <w:pPr>
              <w:rPr>
                <w:rFonts w:ascii="Times New Roman" w:hAnsi="Times New Roman"/>
                <w:sz w:val="20"/>
              </w:rPr>
            </w:pPr>
            <w:r w:rsidRPr="0020065F">
              <w:rPr>
                <w:rFonts w:ascii="Times New Roman" w:hAnsi="Times New Roman"/>
                <w:sz w:val="20"/>
              </w:rPr>
              <w:t xml:space="preserve">Internet posting of credit card agreements (college) Section 226.58 </w:t>
            </w:r>
          </w:p>
        </w:tc>
        <w:tc>
          <w:tcPr>
            <w:tcW w:w="1376" w:type="dxa"/>
            <w:vAlign w:val="bottom"/>
          </w:tcPr>
          <w:p w:rsidR="00274452" w:rsidRPr="00620821" w:rsidRDefault="00274452" w:rsidP="00274452">
            <w:pPr>
              <w:jc w:val="center"/>
              <w:rPr>
                <w:rFonts w:ascii="Times New Roman" w:hAnsi="Times New Roman"/>
                <w:sz w:val="20"/>
              </w:rPr>
            </w:pPr>
            <w:r w:rsidRPr="00620821">
              <w:rPr>
                <w:rFonts w:ascii="Times New Roman" w:hAnsi="Times New Roman"/>
                <w:sz w:val="20"/>
              </w:rPr>
              <w:t>2,200</w:t>
            </w:r>
          </w:p>
        </w:tc>
        <w:tc>
          <w:tcPr>
            <w:tcW w:w="1239" w:type="dxa"/>
            <w:vAlign w:val="bottom"/>
          </w:tcPr>
          <w:p w:rsidR="00274452" w:rsidRPr="00620821" w:rsidRDefault="00274452" w:rsidP="00274452">
            <w:pPr>
              <w:jc w:val="center"/>
              <w:rPr>
                <w:rFonts w:ascii="Times New Roman" w:hAnsi="Times New Roman"/>
                <w:sz w:val="20"/>
              </w:rPr>
            </w:pPr>
            <w:r w:rsidRPr="00620821">
              <w:rPr>
                <w:rFonts w:ascii="Times New Roman" w:hAnsi="Times New Roman"/>
                <w:sz w:val="20"/>
              </w:rPr>
              <w:t>4</w:t>
            </w:r>
          </w:p>
        </w:tc>
        <w:tc>
          <w:tcPr>
            <w:tcW w:w="1239" w:type="dxa"/>
            <w:vAlign w:val="bottom"/>
          </w:tcPr>
          <w:p w:rsidR="00274452" w:rsidRPr="00620821" w:rsidRDefault="00274452" w:rsidP="00274452">
            <w:pPr>
              <w:jc w:val="right"/>
              <w:rPr>
                <w:rFonts w:ascii="Times New Roman" w:hAnsi="Times New Roman"/>
                <w:sz w:val="20"/>
              </w:rPr>
            </w:pPr>
            <w:r w:rsidRPr="00620821">
              <w:rPr>
                <w:rFonts w:ascii="Times New Roman" w:hAnsi="Times New Roman"/>
                <w:sz w:val="20"/>
              </w:rPr>
              <w:t>8 hours</w:t>
            </w:r>
          </w:p>
        </w:tc>
        <w:tc>
          <w:tcPr>
            <w:tcW w:w="1239" w:type="dxa"/>
            <w:vAlign w:val="bottom"/>
          </w:tcPr>
          <w:p w:rsidR="00274452" w:rsidRPr="008E16E8" w:rsidRDefault="00274452" w:rsidP="00274452">
            <w:pPr>
              <w:jc w:val="right"/>
              <w:rPr>
                <w:rFonts w:ascii="Times New Roman" w:hAnsi="Times New Roman"/>
                <w:sz w:val="20"/>
                <w:u w:val="single"/>
              </w:rPr>
            </w:pPr>
            <w:r w:rsidRPr="008E16E8">
              <w:rPr>
                <w:rFonts w:ascii="Times New Roman" w:hAnsi="Times New Roman"/>
                <w:sz w:val="20"/>
                <w:u w:val="single"/>
              </w:rPr>
              <w:t>70,400</w:t>
            </w:r>
          </w:p>
        </w:tc>
      </w:tr>
      <w:tr w:rsidR="00274452" w:rsidRPr="00620821" w:rsidTr="00274452">
        <w:tc>
          <w:tcPr>
            <w:tcW w:w="4483" w:type="dxa"/>
          </w:tcPr>
          <w:p w:rsidR="00274452" w:rsidRPr="0020065F" w:rsidRDefault="00274452" w:rsidP="00274452">
            <w:pPr>
              <w:rPr>
                <w:rFonts w:ascii="Times New Roman" w:hAnsi="Times New Roman"/>
                <w:sz w:val="20"/>
              </w:rPr>
            </w:pPr>
          </w:p>
        </w:tc>
        <w:tc>
          <w:tcPr>
            <w:tcW w:w="1376" w:type="dxa"/>
            <w:vAlign w:val="bottom"/>
          </w:tcPr>
          <w:p w:rsidR="00274452" w:rsidRPr="00620821" w:rsidRDefault="00274452" w:rsidP="00274452">
            <w:pPr>
              <w:jc w:val="center"/>
              <w:rPr>
                <w:rFonts w:ascii="Times New Roman" w:hAnsi="Times New Roman"/>
                <w:sz w:val="20"/>
              </w:rPr>
            </w:pPr>
          </w:p>
        </w:tc>
        <w:tc>
          <w:tcPr>
            <w:tcW w:w="1239" w:type="dxa"/>
            <w:vAlign w:val="bottom"/>
          </w:tcPr>
          <w:p w:rsidR="00274452" w:rsidRPr="00620821" w:rsidRDefault="00274452" w:rsidP="00274452">
            <w:pPr>
              <w:jc w:val="center"/>
              <w:rPr>
                <w:rFonts w:ascii="Times New Roman" w:hAnsi="Times New Roman"/>
                <w:sz w:val="20"/>
              </w:rPr>
            </w:pPr>
          </w:p>
        </w:tc>
        <w:tc>
          <w:tcPr>
            <w:tcW w:w="1239" w:type="dxa"/>
            <w:vAlign w:val="bottom"/>
          </w:tcPr>
          <w:p w:rsidR="00274452" w:rsidRPr="00620821" w:rsidRDefault="00274452" w:rsidP="00274452">
            <w:pPr>
              <w:jc w:val="right"/>
              <w:rPr>
                <w:rFonts w:ascii="Times New Roman" w:hAnsi="Times New Roman"/>
                <w:sz w:val="20"/>
              </w:rPr>
            </w:pPr>
          </w:p>
        </w:tc>
        <w:tc>
          <w:tcPr>
            <w:tcW w:w="1239" w:type="dxa"/>
            <w:vAlign w:val="bottom"/>
          </w:tcPr>
          <w:p w:rsidR="00274452" w:rsidRPr="00620821" w:rsidRDefault="00274452" w:rsidP="00274452">
            <w:pPr>
              <w:jc w:val="right"/>
              <w:rPr>
                <w:rFonts w:ascii="Times New Roman" w:hAnsi="Times New Roman"/>
                <w:sz w:val="20"/>
              </w:rPr>
            </w:pPr>
          </w:p>
        </w:tc>
      </w:tr>
      <w:tr w:rsidR="00274452" w:rsidRPr="00000537" w:rsidTr="00274452">
        <w:tc>
          <w:tcPr>
            <w:tcW w:w="4483" w:type="dxa"/>
          </w:tcPr>
          <w:p w:rsidR="00274452" w:rsidRPr="00000537" w:rsidRDefault="00274452" w:rsidP="00274452">
            <w:pPr>
              <w:jc w:val="right"/>
              <w:rPr>
                <w:rFonts w:ascii="Times New Roman" w:hAnsi="Times New Roman"/>
                <w:i/>
                <w:sz w:val="20"/>
              </w:rPr>
            </w:pPr>
            <w:r w:rsidRPr="00000537">
              <w:rPr>
                <w:rFonts w:ascii="Times New Roman" w:hAnsi="Times New Roman"/>
                <w:i/>
                <w:sz w:val="20"/>
              </w:rPr>
              <w:t>Total</w:t>
            </w:r>
          </w:p>
        </w:tc>
        <w:tc>
          <w:tcPr>
            <w:tcW w:w="1376" w:type="dxa"/>
            <w:vAlign w:val="bottom"/>
          </w:tcPr>
          <w:p w:rsidR="00274452" w:rsidRPr="00000537" w:rsidRDefault="00274452" w:rsidP="00274452">
            <w:pPr>
              <w:jc w:val="center"/>
              <w:rPr>
                <w:rFonts w:ascii="Times New Roman" w:hAnsi="Times New Roman"/>
                <w:sz w:val="20"/>
              </w:rPr>
            </w:pPr>
          </w:p>
        </w:tc>
        <w:tc>
          <w:tcPr>
            <w:tcW w:w="1239" w:type="dxa"/>
            <w:vAlign w:val="bottom"/>
          </w:tcPr>
          <w:p w:rsidR="00274452" w:rsidRPr="00000537" w:rsidRDefault="00274452" w:rsidP="00274452">
            <w:pPr>
              <w:jc w:val="center"/>
              <w:rPr>
                <w:rFonts w:ascii="Times New Roman" w:hAnsi="Times New Roman"/>
                <w:sz w:val="20"/>
              </w:rPr>
            </w:pPr>
          </w:p>
        </w:tc>
        <w:tc>
          <w:tcPr>
            <w:tcW w:w="1239" w:type="dxa"/>
            <w:vAlign w:val="bottom"/>
          </w:tcPr>
          <w:p w:rsidR="00274452" w:rsidRPr="00000537" w:rsidRDefault="00274452" w:rsidP="00274452">
            <w:pPr>
              <w:jc w:val="right"/>
              <w:rPr>
                <w:rFonts w:ascii="Times New Roman" w:hAnsi="Times New Roman"/>
                <w:sz w:val="20"/>
              </w:rPr>
            </w:pPr>
          </w:p>
        </w:tc>
        <w:tc>
          <w:tcPr>
            <w:tcW w:w="1239" w:type="dxa"/>
            <w:vAlign w:val="bottom"/>
          </w:tcPr>
          <w:p w:rsidR="00274452" w:rsidRPr="00000537" w:rsidRDefault="00D406AC" w:rsidP="00D406AC">
            <w:pPr>
              <w:jc w:val="right"/>
              <w:rPr>
                <w:rFonts w:ascii="Times New Roman" w:hAnsi="Times New Roman"/>
                <w:sz w:val="20"/>
              </w:rPr>
            </w:pPr>
            <w:r w:rsidRPr="00000537">
              <w:rPr>
                <w:rFonts w:ascii="Times New Roman" w:eastAsia="Calibri" w:hAnsi="Times New Roman"/>
                <w:snapToGrid/>
                <w:sz w:val="20"/>
              </w:rPr>
              <w:t>1,494</w:t>
            </w:r>
            <w:r w:rsidR="00274452" w:rsidRPr="00000537">
              <w:rPr>
                <w:rFonts w:ascii="Times New Roman" w:eastAsia="Calibri" w:hAnsi="Times New Roman"/>
                <w:snapToGrid/>
                <w:sz w:val="20"/>
              </w:rPr>
              <w:t>,</w:t>
            </w:r>
            <w:r w:rsidRPr="00000537">
              <w:rPr>
                <w:rFonts w:ascii="Times New Roman" w:eastAsia="Calibri" w:hAnsi="Times New Roman"/>
                <w:snapToGrid/>
                <w:sz w:val="20"/>
              </w:rPr>
              <w:t>763</w:t>
            </w:r>
          </w:p>
        </w:tc>
      </w:tr>
    </w:tbl>
    <w:p w:rsidR="00000537" w:rsidRDefault="00274452" w:rsidP="006E5BE5">
      <w:r>
        <w:br w:type="page"/>
      </w:r>
    </w:p>
    <w:tbl>
      <w:tblPr>
        <w:tblW w:w="0" w:type="auto"/>
        <w:tblBorders>
          <w:top w:val="single" w:sz="4" w:space="0" w:color="000000"/>
          <w:bottom w:val="single" w:sz="4" w:space="0" w:color="000000"/>
        </w:tblBorders>
        <w:tblLook w:val="04A0"/>
      </w:tblPr>
      <w:tblGrid>
        <w:gridCol w:w="4483"/>
        <w:gridCol w:w="1376"/>
        <w:gridCol w:w="1239"/>
        <w:gridCol w:w="1239"/>
        <w:gridCol w:w="1239"/>
      </w:tblGrid>
      <w:tr w:rsidR="00000537" w:rsidRPr="00227CDD" w:rsidTr="00000537">
        <w:tc>
          <w:tcPr>
            <w:tcW w:w="4483" w:type="dxa"/>
            <w:vAlign w:val="center"/>
          </w:tcPr>
          <w:p w:rsidR="00000537" w:rsidRPr="002943B9" w:rsidRDefault="00000537" w:rsidP="00000537">
            <w:pPr>
              <w:rPr>
                <w:rFonts w:ascii="Times New Roman" w:hAnsi="Times New Roman"/>
                <w:b/>
                <w:sz w:val="20"/>
              </w:rPr>
            </w:pPr>
            <w:r w:rsidRPr="002943B9">
              <w:rPr>
                <w:rFonts w:ascii="Times New Roman" w:hAnsi="Times New Roman"/>
                <w:b/>
                <w:sz w:val="20"/>
              </w:rPr>
              <w:lastRenderedPageBreak/>
              <w:t>Proposed</w:t>
            </w:r>
          </w:p>
        </w:tc>
        <w:tc>
          <w:tcPr>
            <w:tcW w:w="1376" w:type="dxa"/>
            <w:vAlign w:val="center"/>
          </w:tcPr>
          <w:p w:rsidR="00000537" w:rsidRPr="00227CDD" w:rsidRDefault="00000537" w:rsidP="00000537">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20"/>
              </w:rPr>
            </w:pPr>
            <w:r w:rsidRPr="00227CDD">
              <w:rPr>
                <w:rFonts w:ascii="Times New Roman" w:hAnsi="Times New Roman"/>
                <w:i/>
                <w:sz w:val="20"/>
              </w:rPr>
              <w:t>Number</w:t>
            </w:r>
          </w:p>
          <w:p w:rsidR="00000537" w:rsidRPr="00227CDD" w:rsidRDefault="00000537" w:rsidP="00000537">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20"/>
              </w:rPr>
            </w:pPr>
            <w:r w:rsidRPr="00227CDD">
              <w:rPr>
                <w:rFonts w:ascii="Times New Roman" w:hAnsi="Times New Roman"/>
                <w:i/>
                <w:sz w:val="20"/>
              </w:rPr>
              <w:t>of</w:t>
            </w:r>
          </w:p>
          <w:p w:rsidR="00000537" w:rsidRPr="00227CDD" w:rsidRDefault="00000537" w:rsidP="00000537">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20"/>
              </w:rPr>
            </w:pPr>
            <w:r w:rsidRPr="00227CDD">
              <w:rPr>
                <w:rFonts w:ascii="Times New Roman" w:hAnsi="Times New Roman"/>
                <w:i/>
                <w:sz w:val="20"/>
              </w:rPr>
              <w:t>respondents</w:t>
            </w:r>
            <w:r w:rsidRPr="00227CDD">
              <w:rPr>
                <w:rStyle w:val="FootnoteReference"/>
                <w:i/>
                <w:sz w:val="20"/>
                <w:vertAlign w:val="superscript"/>
              </w:rPr>
              <w:footnoteReference w:id="13"/>
            </w:r>
          </w:p>
        </w:tc>
        <w:tc>
          <w:tcPr>
            <w:tcW w:w="1239" w:type="dxa"/>
            <w:vAlign w:val="center"/>
          </w:tcPr>
          <w:p w:rsidR="00000537" w:rsidRPr="00227CDD" w:rsidRDefault="00000537" w:rsidP="00000537">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20"/>
              </w:rPr>
            </w:pPr>
            <w:r w:rsidRPr="00227CDD">
              <w:rPr>
                <w:rFonts w:ascii="Times New Roman" w:hAnsi="Times New Roman"/>
                <w:i/>
                <w:sz w:val="20"/>
              </w:rPr>
              <w:t>Estimated</w:t>
            </w:r>
          </w:p>
          <w:p w:rsidR="00000537" w:rsidRPr="00227CDD" w:rsidRDefault="00000537" w:rsidP="00000537">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20"/>
              </w:rPr>
            </w:pPr>
            <w:r w:rsidRPr="00227CDD">
              <w:rPr>
                <w:rFonts w:ascii="Times New Roman" w:hAnsi="Times New Roman"/>
                <w:i/>
                <w:sz w:val="20"/>
              </w:rPr>
              <w:t>annual</w:t>
            </w:r>
          </w:p>
          <w:p w:rsidR="00000537" w:rsidRPr="00227CDD" w:rsidRDefault="00000537" w:rsidP="00000537">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20"/>
              </w:rPr>
            </w:pPr>
            <w:r w:rsidRPr="00227CDD">
              <w:rPr>
                <w:rFonts w:ascii="Times New Roman" w:hAnsi="Times New Roman"/>
                <w:i/>
                <w:sz w:val="20"/>
              </w:rPr>
              <w:t>frequency</w:t>
            </w:r>
          </w:p>
        </w:tc>
        <w:tc>
          <w:tcPr>
            <w:tcW w:w="1239" w:type="dxa"/>
            <w:vAlign w:val="center"/>
          </w:tcPr>
          <w:p w:rsidR="00000537" w:rsidRPr="00227CDD" w:rsidRDefault="00000537" w:rsidP="00000537">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20"/>
              </w:rPr>
            </w:pPr>
            <w:r w:rsidRPr="00227CDD">
              <w:rPr>
                <w:rFonts w:ascii="Times New Roman" w:hAnsi="Times New Roman"/>
                <w:i/>
                <w:sz w:val="20"/>
              </w:rPr>
              <w:t>Estimated response</w:t>
            </w:r>
          </w:p>
          <w:p w:rsidR="00000537" w:rsidRPr="00227CDD" w:rsidRDefault="00000537" w:rsidP="00000537">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20"/>
              </w:rPr>
            </w:pPr>
            <w:r w:rsidRPr="00227CDD">
              <w:rPr>
                <w:rFonts w:ascii="Times New Roman" w:hAnsi="Times New Roman"/>
                <w:i/>
                <w:sz w:val="20"/>
              </w:rPr>
              <w:t>time</w:t>
            </w:r>
          </w:p>
        </w:tc>
        <w:tc>
          <w:tcPr>
            <w:tcW w:w="1239" w:type="dxa"/>
            <w:vAlign w:val="center"/>
          </w:tcPr>
          <w:p w:rsidR="00000537" w:rsidRPr="00227CDD" w:rsidRDefault="00000537" w:rsidP="00000537">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20"/>
              </w:rPr>
            </w:pPr>
            <w:r w:rsidRPr="00227CDD">
              <w:rPr>
                <w:rFonts w:ascii="Times New Roman" w:hAnsi="Times New Roman"/>
                <w:i/>
                <w:sz w:val="20"/>
              </w:rPr>
              <w:t>Estimated annual</w:t>
            </w:r>
          </w:p>
          <w:p w:rsidR="00000537" w:rsidRPr="00227CDD" w:rsidRDefault="00000537" w:rsidP="00000537">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20"/>
              </w:rPr>
            </w:pPr>
            <w:r w:rsidRPr="00227CDD">
              <w:rPr>
                <w:rFonts w:ascii="Times New Roman" w:hAnsi="Times New Roman"/>
                <w:i/>
                <w:sz w:val="20"/>
              </w:rPr>
              <w:t>burden hours</w:t>
            </w:r>
          </w:p>
        </w:tc>
      </w:tr>
      <w:tr w:rsidR="00000537" w:rsidRPr="00620821" w:rsidTr="00000537">
        <w:tc>
          <w:tcPr>
            <w:tcW w:w="4483" w:type="dxa"/>
          </w:tcPr>
          <w:p w:rsidR="00000537" w:rsidRPr="0020065F" w:rsidRDefault="00000537" w:rsidP="00000537">
            <w:pPr>
              <w:rPr>
                <w:rFonts w:ascii="Times New Roman" w:hAnsi="Times New Roman"/>
                <w:b/>
                <w:sz w:val="20"/>
              </w:rPr>
            </w:pPr>
            <w:r w:rsidRPr="0020065F">
              <w:rPr>
                <w:rFonts w:ascii="Times New Roman" w:hAnsi="Times New Roman"/>
                <w:b/>
                <w:sz w:val="20"/>
                <w:u w:val="single"/>
              </w:rPr>
              <w:t>Subpart B Open-end Credit (226.5-226.16)</w:t>
            </w:r>
            <w:r w:rsidRPr="0020065F">
              <w:rPr>
                <w:rFonts w:ascii="Times New Roman" w:hAnsi="Times New Roman"/>
                <w:b/>
                <w:sz w:val="20"/>
              </w:rPr>
              <w:t>:</w:t>
            </w:r>
          </w:p>
        </w:tc>
        <w:tc>
          <w:tcPr>
            <w:tcW w:w="1376" w:type="dxa"/>
            <w:vAlign w:val="bottom"/>
          </w:tcPr>
          <w:p w:rsidR="00000537" w:rsidRPr="00620821" w:rsidRDefault="00000537" w:rsidP="00000537">
            <w:pPr>
              <w:jc w:val="center"/>
              <w:rPr>
                <w:rFonts w:ascii="Times New Roman" w:hAnsi="Times New Roman"/>
                <w:sz w:val="20"/>
              </w:rPr>
            </w:pPr>
          </w:p>
        </w:tc>
        <w:tc>
          <w:tcPr>
            <w:tcW w:w="1239" w:type="dxa"/>
            <w:vAlign w:val="bottom"/>
          </w:tcPr>
          <w:p w:rsidR="00000537" w:rsidRPr="00620821" w:rsidRDefault="00000537" w:rsidP="00000537">
            <w:pPr>
              <w:jc w:val="center"/>
              <w:rPr>
                <w:rFonts w:ascii="Times New Roman" w:hAnsi="Times New Roman"/>
                <w:sz w:val="20"/>
              </w:rPr>
            </w:pPr>
          </w:p>
        </w:tc>
        <w:tc>
          <w:tcPr>
            <w:tcW w:w="1239" w:type="dxa"/>
            <w:vAlign w:val="bottom"/>
          </w:tcPr>
          <w:p w:rsidR="00000537" w:rsidRPr="00620821" w:rsidRDefault="00000537" w:rsidP="00000537">
            <w:pPr>
              <w:jc w:val="center"/>
              <w:rPr>
                <w:rFonts w:ascii="Times New Roman" w:hAnsi="Times New Roman"/>
                <w:sz w:val="20"/>
              </w:rPr>
            </w:pPr>
          </w:p>
        </w:tc>
        <w:tc>
          <w:tcPr>
            <w:tcW w:w="1239" w:type="dxa"/>
            <w:vAlign w:val="bottom"/>
          </w:tcPr>
          <w:p w:rsidR="00000537" w:rsidRPr="00620821" w:rsidRDefault="00000537" w:rsidP="00000537">
            <w:pPr>
              <w:jc w:val="right"/>
              <w:rPr>
                <w:rFonts w:ascii="Times New Roman" w:hAnsi="Times New Roman"/>
                <w:sz w:val="20"/>
              </w:rPr>
            </w:pPr>
          </w:p>
        </w:tc>
      </w:tr>
      <w:tr w:rsidR="00000537" w:rsidRPr="00620821" w:rsidTr="00000537">
        <w:tc>
          <w:tcPr>
            <w:tcW w:w="4483" w:type="dxa"/>
          </w:tcPr>
          <w:p w:rsidR="00000537" w:rsidRPr="0020065F" w:rsidRDefault="00000537" w:rsidP="00000537">
            <w:pPr>
              <w:rPr>
                <w:rFonts w:ascii="Times New Roman" w:hAnsi="Times New Roman"/>
                <w:sz w:val="20"/>
              </w:rPr>
            </w:pPr>
            <w:r w:rsidRPr="0020065F">
              <w:rPr>
                <w:rFonts w:ascii="Times New Roman" w:hAnsi="Times New Roman"/>
                <w:sz w:val="20"/>
              </w:rPr>
              <w:t xml:space="preserve">Credit and Charge cards </w:t>
            </w:r>
          </w:p>
          <w:p w:rsidR="00000537" w:rsidRPr="0020065F" w:rsidRDefault="00000537" w:rsidP="00000537">
            <w:pPr>
              <w:rPr>
                <w:rFonts w:ascii="Times New Roman" w:hAnsi="Times New Roman"/>
                <w:sz w:val="20"/>
              </w:rPr>
            </w:pPr>
            <w:r w:rsidRPr="0020065F">
              <w:rPr>
                <w:rFonts w:ascii="Times New Roman" w:hAnsi="Times New Roman"/>
                <w:sz w:val="20"/>
              </w:rPr>
              <w:t>Application and Solicitations (Section 226.5(a))</w:t>
            </w:r>
          </w:p>
        </w:tc>
        <w:tc>
          <w:tcPr>
            <w:tcW w:w="1376" w:type="dxa"/>
            <w:vAlign w:val="bottom"/>
          </w:tcPr>
          <w:p w:rsidR="00000537" w:rsidRPr="00620821" w:rsidRDefault="00000537" w:rsidP="00000537">
            <w:pPr>
              <w:jc w:val="center"/>
              <w:rPr>
                <w:rFonts w:ascii="Times New Roman" w:hAnsi="Times New Roman"/>
                <w:sz w:val="20"/>
              </w:rPr>
            </w:pPr>
            <w:r w:rsidRPr="00620821">
              <w:rPr>
                <w:rFonts w:ascii="Times New Roman" w:hAnsi="Times New Roman"/>
                <w:sz w:val="20"/>
              </w:rPr>
              <w:t>226</w:t>
            </w:r>
          </w:p>
        </w:tc>
        <w:tc>
          <w:tcPr>
            <w:tcW w:w="1239" w:type="dxa"/>
            <w:vAlign w:val="bottom"/>
          </w:tcPr>
          <w:p w:rsidR="00000537" w:rsidRPr="00620821" w:rsidRDefault="00000537" w:rsidP="00000537">
            <w:pPr>
              <w:jc w:val="center"/>
              <w:rPr>
                <w:rFonts w:ascii="Times New Roman" w:hAnsi="Times New Roman"/>
                <w:sz w:val="20"/>
              </w:rPr>
            </w:pPr>
            <w:r w:rsidRPr="00620821">
              <w:rPr>
                <w:rFonts w:ascii="Times New Roman" w:hAnsi="Times New Roman"/>
                <w:sz w:val="20"/>
              </w:rPr>
              <w:t>12</w:t>
            </w:r>
          </w:p>
        </w:tc>
        <w:tc>
          <w:tcPr>
            <w:tcW w:w="1239" w:type="dxa"/>
            <w:vAlign w:val="bottom"/>
          </w:tcPr>
          <w:p w:rsidR="00000537" w:rsidRPr="00620821" w:rsidRDefault="00000537" w:rsidP="00000537">
            <w:pPr>
              <w:jc w:val="right"/>
              <w:rPr>
                <w:rFonts w:ascii="Times New Roman" w:hAnsi="Times New Roman"/>
                <w:sz w:val="20"/>
              </w:rPr>
            </w:pPr>
            <w:r w:rsidRPr="00620821">
              <w:rPr>
                <w:rFonts w:ascii="Times New Roman" w:hAnsi="Times New Roman"/>
                <w:sz w:val="20"/>
              </w:rPr>
              <w:t>8 hours</w:t>
            </w:r>
          </w:p>
        </w:tc>
        <w:tc>
          <w:tcPr>
            <w:tcW w:w="1239" w:type="dxa"/>
            <w:vAlign w:val="bottom"/>
          </w:tcPr>
          <w:p w:rsidR="00000537" w:rsidRPr="00620821" w:rsidRDefault="00000537" w:rsidP="00000537">
            <w:pPr>
              <w:jc w:val="right"/>
              <w:rPr>
                <w:rFonts w:ascii="Times New Roman" w:hAnsi="Times New Roman"/>
                <w:sz w:val="20"/>
              </w:rPr>
            </w:pPr>
            <w:r w:rsidRPr="00620821">
              <w:rPr>
                <w:rFonts w:ascii="Times New Roman" w:hAnsi="Times New Roman"/>
                <w:sz w:val="20"/>
              </w:rPr>
              <w:t>21,696</w:t>
            </w:r>
          </w:p>
        </w:tc>
      </w:tr>
      <w:tr w:rsidR="00000537" w:rsidRPr="00620821" w:rsidTr="00000537">
        <w:tc>
          <w:tcPr>
            <w:tcW w:w="4483" w:type="dxa"/>
          </w:tcPr>
          <w:p w:rsidR="00000537" w:rsidRPr="0020065F" w:rsidRDefault="00000537" w:rsidP="00000537">
            <w:pPr>
              <w:rPr>
                <w:rFonts w:ascii="Times New Roman" w:hAnsi="Times New Roman"/>
                <w:sz w:val="20"/>
                <w:u w:val="single"/>
              </w:rPr>
            </w:pPr>
          </w:p>
        </w:tc>
        <w:tc>
          <w:tcPr>
            <w:tcW w:w="1376" w:type="dxa"/>
            <w:vAlign w:val="bottom"/>
          </w:tcPr>
          <w:p w:rsidR="00000537" w:rsidRPr="00620821" w:rsidRDefault="00000537" w:rsidP="00000537">
            <w:pPr>
              <w:jc w:val="center"/>
              <w:rPr>
                <w:rFonts w:ascii="Times New Roman" w:hAnsi="Times New Roman"/>
                <w:sz w:val="20"/>
              </w:rPr>
            </w:pPr>
          </w:p>
        </w:tc>
        <w:tc>
          <w:tcPr>
            <w:tcW w:w="1239" w:type="dxa"/>
            <w:vAlign w:val="bottom"/>
          </w:tcPr>
          <w:p w:rsidR="00000537" w:rsidRPr="00620821" w:rsidRDefault="00000537" w:rsidP="00000537">
            <w:pPr>
              <w:jc w:val="center"/>
              <w:rPr>
                <w:rFonts w:ascii="Times New Roman" w:hAnsi="Times New Roman"/>
                <w:sz w:val="20"/>
              </w:rPr>
            </w:pPr>
          </w:p>
        </w:tc>
        <w:tc>
          <w:tcPr>
            <w:tcW w:w="1239" w:type="dxa"/>
            <w:vAlign w:val="bottom"/>
          </w:tcPr>
          <w:p w:rsidR="00000537" w:rsidRPr="00620821" w:rsidRDefault="00000537" w:rsidP="00000537">
            <w:pPr>
              <w:jc w:val="right"/>
              <w:rPr>
                <w:rFonts w:ascii="Times New Roman" w:hAnsi="Times New Roman"/>
                <w:sz w:val="20"/>
              </w:rPr>
            </w:pPr>
          </w:p>
        </w:tc>
        <w:tc>
          <w:tcPr>
            <w:tcW w:w="1239" w:type="dxa"/>
            <w:vAlign w:val="bottom"/>
          </w:tcPr>
          <w:p w:rsidR="00000537" w:rsidRPr="00620821" w:rsidRDefault="00000537" w:rsidP="00000537">
            <w:pPr>
              <w:jc w:val="right"/>
              <w:rPr>
                <w:rFonts w:ascii="Times New Roman" w:hAnsi="Times New Roman"/>
                <w:sz w:val="20"/>
              </w:rPr>
            </w:pPr>
          </w:p>
        </w:tc>
      </w:tr>
      <w:tr w:rsidR="00000537" w:rsidRPr="00620821" w:rsidTr="00000537">
        <w:tc>
          <w:tcPr>
            <w:tcW w:w="4483" w:type="dxa"/>
          </w:tcPr>
          <w:p w:rsidR="00000537" w:rsidRPr="0020065F" w:rsidRDefault="00000537" w:rsidP="00000537">
            <w:pPr>
              <w:rPr>
                <w:rFonts w:ascii="Times New Roman" w:hAnsi="Times New Roman"/>
                <w:sz w:val="20"/>
              </w:rPr>
            </w:pPr>
            <w:r w:rsidRPr="0003126B">
              <w:rPr>
                <w:rFonts w:ascii="Times New Roman" w:hAnsi="Times New Roman"/>
                <w:sz w:val="20"/>
                <w:u w:val="single"/>
              </w:rPr>
              <w:t>Home-Equity Plans (Section 226.5(b))</w:t>
            </w:r>
            <w:r w:rsidRPr="0020065F">
              <w:rPr>
                <w:rFonts w:ascii="Times New Roman" w:hAnsi="Times New Roman"/>
                <w:sz w:val="20"/>
              </w:rPr>
              <w:t>:</w:t>
            </w:r>
          </w:p>
        </w:tc>
        <w:tc>
          <w:tcPr>
            <w:tcW w:w="1376" w:type="dxa"/>
            <w:vAlign w:val="bottom"/>
          </w:tcPr>
          <w:p w:rsidR="00000537" w:rsidRPr="00620821" w:rsidRDefault="00000537" w:rsidP="00000537">
            <w:pPr>
              <w:jc w:val="center"/>
              <w:rPr>
                <w:rFonts w:ascii="Times New Roman" w:hAnsi="Times New Roman"/>
                <w:sz w:val="20"/>
              </w:rPr>
            </w:pPr>
          </w:p>
        </w:tc>
        <w:tc>
          <w:tcPr>
            <w:tcW w:w="1239" w:type="dxa"/>
            <w:vAlign w:val="bottom"/>
          </w:tcPr>
          <w:p w:rsidR="00000537" w:rsidRPr="00620821" w:rsidRDefault="00000537" w:rsidP="00000537">
            <w:pPr>
              <w:jc w:val="center"/>
              <w:rPr>
                <w:rFonts w:ascii="Times New Roman" w:hAnsi="Times New Roman"/>
                <w:sz w:val="20"/>
              </w:rPr>
            </w:pPr>
          </w:p>
        </w:tc>
        <w:tc>
          <w:tcPr>
            <w:tcW w:w="1239" w:type="dxa"/>
            <w:vAlign w:val="bottom"/>
          </w:tcPr>
          <w:p w:rsidR="00000537" w:rsidRPr="00620821" w:rsidRDefault="00000537" w:rsidP="00000537">
            <w:pPr>
              <w:jc w:val="right"/>
              <w:rPr>
                <w:rFonts w:ascii="Times New Roman" w:hAnsi="Times New Roman"/>
                <w:sz w:val="20"/>
              </w:rPr>
            </w:pPr>
          </w:p>
        </w:tc>
        <w:tc>
          <w:tcPr>
            <w:tcW w:w="1239" w:type="dxa"/>
            <w:vAlign w:val="bottom"/>
          </w:tcPr>
          <w:p w:rsidR="00000537" w:rsidRPr="00620821" w:rsidRDefault="00000537" w:rsidP="00000537">
            <w:pPr>
              <w:jc w:val="right"/>
              <w:rPr>
                <w:rFonts w:ascii="Times New Roman" w:hAnsi="Times New Roman"/>
                <w:sz w:val="20"/>
              </w:rPr>
            </w:pPr>
          </w:p>
        </w:tc>
      </w:tr>
      <w:tr w:rsidR="00000537" w:rsidRPr="00620821" w:rsidTr="00000537">
        <w:tc>
          <w:tcPr>
            <w:tcW w:w="4483" w:type="dxa"/>
          </w:tcPr>
          <w:p w:rsidR="00000537" w:rsidRPr="0020065F" w:rsidRDefault="00000537" w:rsidP="00000537">
            <w:pPr>
              <w:rPr>
                <w:rFonts w:ascii="Times New Roman" w:hAnsi="Times New Roman"/>
                <w:sz w:val="20"/>
              </w:rPr>
            </w:pPr>
            <w:r w:rsidRPr="0020065F">
              <w:rPr>
                <w:rFonts w:ascii="Times New Roman" w:hAnsi="Times New Roman"/>
                <w:sz w:val="20"/>
              </w:rPr>
              <w:t>Application disclosure</w:t>
            </w:r>
          </w:p>
        </w:tc>
        <w:tc>
          <w:tcPr>
            <w:tcW w:w="1376" w:type="dxa"/>
            <w:vAlign w:val="bottom"/>
          </w:tcPr>
          <w:p w:rsidR="00000537" w:rsidRPr="00620821" w:rsidRDefault="00000537" w:rsidP="00000537">
            <w:pPr>
              <w:jc w:val="center"/>
              <w:rPr>
                <w:rFonts w:ascii="Times New Roman" w:hAnsi="Times New Roman"/>
                <w:sz w:val="20"/>
              </w:rPr>
            </w:pPr>
            <w:r w:rsidRPr="00620821">
              <w:rPr>
                <w:rFonts w:ascii="Times New Roman" w:hAnsi="Times New Roman"/>
                <w:sz w:val="20"/>
              </w:rPr>
              <w:t>651</w:t>
            </w:r>
          </w:p>
        </w:tc>
        <w:tc>
          <w:tcPr>
            <w:tcW w:w="1239" w:type="dxa"/>
            <w:vAlign w:val="bottom"/>
          </w:tcPr>
          <w:p w:rsidR="00000537" w:rsidRPr="00620821" w:rsidRDefault="00000537" w:rsidP="00000537">
            <w:pPr>
              <w:jc w:val="center"/>
              <w:rPr>
                <w:rFonts w:ascii="Times New Roman" w:hAnsi="Times New Roman"/>
                <w:sz w:val="20"/>
              </w:rPr>
            </w:pPr>
            <w:r w:rsidRPr="00620821">
              <w:rPr>
                <w:rFonts w:ascii="Times New Roman" w:hAnsi="Times New Roman"/>
                <w:sz w:val="20"/>
              </w:rPr>
              <w:t>790</w:t>
            </w:r>
          </w:p>
        </w:tc>
        <w:tc>
          <w:tcPr>
            <w:tcW w:w="1239" w:type="dxa"/>
            <w:vAlign w:val="bottom"/>
          </w:tcPr>
          <w:p w:rsidR="00000537" w:rsidRPr="00620821" w:rsidRDefault="00000537" w:rsidP="00000537">
            <w:pPr>
              <w:jc w:val="right"/>
              <w:rPr>
                <w:rFonts w:ascii="Times New Roman" w:hAnsi="Times New Roman"/>
                <w:sz w:val="20"/>
              </w:rPr>
            </w:pPr>
            <w:r w:rsidRPr="00620821">
              <w:rPr>
                <w:rFonts w:ascii="Times New Roman" w:hAnsi="Times New Roman"/>
                <w:sz w:val="20"/>
              </w:rPr>
              <w:t>1.5 min</w:t>
            </w:r>
          </w:p>
        </w:tc>
        <w:tc>
          <w:tcPr>
            <w:tcW w:w="1239" w:type="dxa"/>
            <w:vAlign w:val="bottom"/>
          </w:tcPr>
          <w:p w:rsidR="00000537" w:rsidRPr="00620821" w:rsidRDefault="00000537" w:rsidP="00000537">
            <w:pPr>
              <w:jc w:val="right"/>
              <w:rPr>
                <w:rFonts w:ascii="Times New Roman" w:hAnsi="Times New Roman"/>
                <w:sz w:val="20"/>
              </w:rPr>
            </w:pPr>
            <w:r w:rsidRPr="00620821">
              <w:rPr>
                <w:rFonts w:ascii="Times New Roman" w:hAnsi="Times New Roman"/>
                <w:sz w:val="20"/>
              </w:rPr>
              <w:t>12,857</w:t>
            </w:r>
          </w:p>
        </w:tc>
      </w:tr>
      <w:tr w:rsidR="00000537" w:rsidRPr="00620821" w:rsidTr="00000537">
        <w:tc>
          <w:tcPr>
            <w:tcW w:w="4483" w:type="dxa"/>
          </w:tcPr>
          <w:p w:rsidR="00000537" w:rsidRPr="0020065F" w:rsidRDefault="00000537" w:rsidP="00000537">
            <w:pPr>
              <w:rPr>
                <w:rFonts w:ascii="Times New Roman" w:hAnsi="Times New Roman"/>
                <w:sz w:val="20"/>
              </w:rPr>
            </w:pPr>
            <w:r w:rsidRPr="0020065F">
              <w:rPr>
                <w:rFonts w:ascii="Times New Roman" w:hAnsi="Times New Roman"/>
                <w:sz w:val="20"/>
              </w:rPr>
              <w:t>Restriction disclosure</w:t>
            </w:r>
          </w:p>
        </w:tc>
        <w:tc>
          <w:tcPr>
            <w:tcW w:w="1376" w:type="dxa"/>
            <w:vAlign w:val="bottom"/>
          </w:tcPr>
          <w:p w:rsidR="00000537" w:rsidRPr="00620821" w:rsidRDefault="00000537" w:rsidP="00000537">
            <w:pPr>
              <w:jc w:val="center"/>
              <w:rPr>
                <w:rFonts w:ascii="Times New Roman" w:hAnsi="Times New Roman"/>
                <w:sz w:val="20"/>
              </w:rPr>
            </w:pPr>
            <w:r w:rsidRPr="00620821">
              <w:rPr>
                <w:rFonts w:ascii="Times New Roman" w:hAnsi="Times New Roman"/>
                <w:sz w:val="20"/>
              </w:rPr>
              <w:t>651</w:t>
            </w:r>
          </w:p>
        </w:tc>
        <w:tc>
          <w:tcPr>
            <w:tcW w:w="1239" w:type="dxa"/>
            <w:vAlign w:val="bottom"/>
          </w:tcPr>
          <w:p w:rsidR="00000537" w:rsidRPr="00620821" w:rsidRDefault="00000537" w:rsidP="00000537">
            <w:pPr>
              <w:jc w:val="center"/>
              <w:rPr>
                <w:rFonts w:ascii="Times New Roman" w:hAnsi="Times New Roman"/>
                <w:sz w:val="20"/>
              </w:rPr>
            </w:pPr>
            <w:r w:rsidRPr="00620821">
              <w:rPr>
                <w:rFonts w:ascii="Times New Roman" w:hAnsi="Times New Roman"/>
                <w:sz w:val="20"/>
              </w:rPr>
              <w:t>10</w:t>
            </w:r>
          </w:p>
        </w:tc>
        <w:tc>
          <w:tcPr>
            <w:tcW w:w="1239" w:type="dxa"/>
            <w:vAlign w:val="bottom"/>
          </w:tcPr>
          <w:p w:rsidR="00000537" w:rsidRPr="00620821" w:rsidRDefault="00000537" w:rsidP="00000537">
            <w:pPr>
              <w:jc w:val="right"/>
              <w:rPr>
                <w:rFonts w:ascii="Times New Roman" w:hAnsi="Times New Roman"/>
                <w:sz w:val="20"/>
              </w:rPr>
            </w:pPr>
            <w:r w:rsidRPr="00620821">
              <w:rPr>
                <w:rFonts w:ascii="Times New Roman" w:hAnsi="Times New Roman"/>
                <w:sz w:val="20"/>
              </w:rPr>
              <w:t>3 min</w:t>
            </w:r>
          </w:p>
        </w:tc>
        <w:tc>
          <w:tcPr>
            <w:tcW w:w="1239" w:type="dxa"/>
            <w:vAlign w:val="bottom"/>
          </w:tcPr>
          <w:p w:rsidR="00000537" w:rsidRPr="00620821" w:rsidRDefault="00000537" w:rsidP="00000537">
            <w:pPr>
              <w:jc w:val="right"/>
              <w:rPr>
                <w:rFonts w:ascii="Times New Roman" w:hAnsi="Times New Roman"/>
                <w:sz w:val="20"/>
              </w:rPr>
            </w:pPr>
            <w:r w:rsidRPr="00620821">
              <w:rPr>
                <w:rFonts w:ascii="Times New Roman" w:hAnsi="Times New Roman"/>
                <w:sz w:val="20"/>
              </w:rPr>
              <w:t>326</w:t>
            </w:r>
          </w:p>
        </w:tc>
      </w:tr>
      <w:tr w:rsidR="00000537" w:rsidRPr="00620821" w:rsidTr="00000537">
        <w:tc>
          <w:tcPr>
            <w:tcW w:w="4483" w:type="dxa"/>
          </w:tcPr>
          <w:p w:rsidR="00000537" w:rsidRPr="0020065F" w:rsidRDefault="00000537" w:rsidP="00000537">
            <w:pPr>
              <w:rPr>
                <w:rFonts w:ascii="Times New Roman" w:hAnsi="Times New Roman"/>
                <w:sz w:val="20"/>
              </w:rPr>
            </w:pPr>
          </w:p>
        </w:tc>
        <w:tc>
          <w:tcPr>
            <w:tcW w:w="1376" w:type="dxa"/>
            <w:vAlign w:val="bottom"/>
          </w:tcPr>
          <w:p w:rsidR="00000537" w:rsidRPr="00620821" w:rsidRDefault="00000537" w:rsidP="00000537">
            <w:pPr>
              <w:jc w:val="center"/>
              <w:rPr>
                <w:rFonts w:ascii="Times New Roman" w:hAnsi="Times New Roman"/>
                <w:sz w:val="20"/>
              </w:rPr>
            </w:pPr>
          </w:p>
        </w:tc>
        <w:tc>
          <w:tcPr>
            <w:tcW w:w="1239" w:type="dxa"/>
            <w:vAlign w:val="bottom"/>
          </w:tcPr>
          <w:p w:rsidR="00000537" w:rsidRPr="00620821" w:rsidRDefault="00000537" w:rsidP="00000537">
            <w:pPr>
              <w:jc w:val="center"/>
              <w:rPr>
                <w:rFonts w:ascii="Times New Roman" w:hAnsi="Times New Roman"/>
                <w:sz w:val="20"/>
              </w:rPr>
            </w:pPr>
          </w:p>
        </w:tc>
        <w:tc>
          <w:tcPr>
            <w:tcW w:w="1239" w:type="dxa"/>
            <w:vAlign w:val="bottom"/>
          </w:tcPr>
          <w:p w:rsidR="00000537" w:rsidRPr="00620821" w:rsidRDefault="00000537" w:rsidP="00000537">
            <w:pPr>
              <w:jc w:val="right"/>
              <w:rPr>
                <w:rFonts w:ascii="Times New Roman" w:hAnsi="Times New Roman"/>
                <w:sz w:val="20"/>
              </w:rPr>
            </w:pPr>
          </w:p>
        </w:tc>
        <w:tc>
          <w:tcPr>
            <w:tcW w:w="1239" w:type="dxa"/>
            <w:vAlign w:val="bottom"/>
          </w:tcPr>
          <w:p w:rsidR="00000537" w:rsidRPr="00620821" w:rsidRDefault="00000537" w:rsidP="00000537">
            <w:pPr>
              <w:jc w:val="right"/>
              <w:rPr>
                <w:rFonts w:ascii="Times New Roman" w:hAnsi="Times New Roman"/>
                <w:sz w:val="20"/>
              </w:rPr>
            </w:pPr>
          </w:p>
        </w:tc>
      </w:tr>
      <w:tr w:rsidR="00000537" w:rsidRPr="00620821" w:rsidTr="00000537">
        <w:tc>
          <w:tcPr>
            <w:tcW w:w="4483" w:type="dxa"/>
          </w:tcPr>
          <w:p w:rsidR="00000537" w:rsidRPr="0020065F" w:rsidRDefault="00000537" w:rsidP="00000537">
            <w:pPr>
              <w:rPr>
                <w:rFonts w:ascii="Times New Roman" w:hAnsi="Times New Roman"/>
                <w:sz w:val="20"/>
              </w:rPr>
            </w:pPr>
            <w:r w:rsidRPr="0020065F">
              <w:rPr>
                <w:rFonts w:ascii="Times New Roman" w:hAnsi="Times New Roman"/>
                <w:sz w:val="20"/>
              </w:rPr>
              <w:t>Account opening disclosures (Section 226.6)</w:t>
            </w:r>
          </w:p>
        </w:tc>
        <w:tc>
          <w:tcPr>
            <w:tcW w:w="1376" w:type="dxa"/>
            <w:vAlign w:val="bottom"/>
          </w:tcPr>
          <w:p w:rsidR="00000537" w:rsidRPr="00620821" w:rsidRDefault="00000537" w:rsidP="00000537">
            <w:pPr>
              <w:jc w:val="center"/>
              <w:rPr>
                <w:rFonts w:ascii="Times New Roman" w:hAnsi="Times New Roman"/>
                <w:sz w:val="20"/>
              </w:rPr>
            </w:pPr>
            <w:r w:rsidRPr="00620821">
              <w:rPr>
                <w:rFonts w:ascii="Times New Roman" w:hAnsi="Times New Roman"/>
                <w:sz w:val="20"/>
              </w:rPr>
              <w:t>878</w:t>
            </w:r>
          </w:p>
        </w:tc>
        <w:tc>
          <w:tcPr>
            <w:tcW w:w="1239" w:type="dxa"/>
            <w:vAlign w:val="bottom"/>
          </w:tcPr>
          <w:p w:rsidR="00000537" w:rsidRPr="00620821" w:rsidRDefault="00000537" w:rsidP="00000537">
            <w:pPr>
              <w:jc w:val="center"/>
              <w:rPr>
                <w:rFonts w:ascii="Times New Roman" w:hAnsi="Times New Roman"/>
                <w:sz w:val="20"/>
              </w:rPr>
            </w:pPr>
            <w:r w:rsidRPr="00620821">
              <w:rPr>
                <w:rFonts w:ascii="Times New Roman" w:hAnsi="Times New Roman"/>
                <w:sz w:val="20"/>
              </w:rPr>
              <w:t>1,150</w:t>
            </w:r>
          </w:p>
        </w:tc>
        <w:tc>
          <w:tcPr>
            <w:tcW w:w="1239" w:type="dxa"/>
            <w:vAlign w:val="bottom"/>
          </w:tcPr>
          <w:p w:rsidR="00000537" w:rsidRPr="00620821" w:rsidRDefault="00000537" w:rsidP="00000537">
            <w:pPr>
              <w:jc w:val="right"/>
              <w:rPr>
                <w:rFonts w:ascii="Times New Roman" w:hAnsi="Times New Roman"/>
                <w:sz w:val="20"/>
              </w:rPr>
            </w:pPr>
            <w:r w:rsidRPr="00620821">
              <w:rPr>
                <w:rFonts w:ascii="Times New Roman" w:hAnsi="Times New Roman"/>
                <w:sz w:val="20"/>
              </w:rPr>
              <w:t>1.5 min</w:t>
            </w:r>
          </w:p>
        </w:tc>
        <w:tc>
          <w:tcPr>
            <w:tcW w:w="1239" w:type="dxa"/>
            <w:vAlign w:val="bottom"/>
          </w:tcPr>
          <w:p w:rsidR="00000537" w:rsidRPr="00620821" w:rsidRDefault="00000537" w:rsidP="00000537">
            <w:pPr>
              <w:jc w:val="right"/>
              <w:rPr>
                <w:rFonts w:ascii="Times New Roman" w:hAnsi="Times New Roman"/>
                <w:sz w:val="20"/>
              </w:rPr>
            </w:pPr>
            <w:r w:rsidRPr="00620821">
              <w:rPr>
                <w:rFonts w:ascii="Times New Roman" w:hAnsi="Times New Roman"/>
                <w:sz w:val="20"/>
              </w:rPr>
              <w:t>25,243</w:t>
            </w:r>
          </w:p>
        </w:tc>
      </w:tr>
      <w:tr w:rsidR="00000537" w:rsidRPr="00620821" w:rsidTr="00000537">
        <w:tc>
          <w:tcPr>
            <w:tcW w:w="4483" w:type="dxa"/>
          </w:tcPr>
          <w:p w:rsidR="00000537" w:rsidRPr="0020065F" w:rsidRDefault="00000537" w:rsidP="00000537">
            <w:pPr>
              <w:rPr>
                <w:rFonts w:ascii="Times New Roman" w:hAnsi="Times New Roman"/>
                <w:sz w:val="20"/>
              </w:rPr>
            </w:pPr>
            <w:r w:rsidRPr="0003126B">
              <w:rPr>
                <w:rFonts w:ascii="Times New Roman" w:hAnsi="Times New Roman"/>
                <w:b/>
                <w:sz w:val="20"/>
              </w:rPr>
              <w:t>Reg AA</w:t>
            </w:r>
            <w:r>
              <w:rPr>
                <w:rFonts w:ascii="Times New Roman" w:hAnsi="Times New Roman"/>
                <w:sz w:val="20"/>
              </w:rPr>
              <w:t xml:space="preserve"> </w:t>
            </w:r>
            <w:r w:rsidRPr="0020065F">
              <w:rPr>
                <w:rFonts w:ascii="Times New Roman" w:hAnsi="Times New Roman"/>
                <w:sz w:val="20"/>
              </w:rPr>
              <w:t>Cosigner disclosure (Section 227.14(b))</w:t>
            </w:r>
          </w:p>
        </w:tc>
        <w:tc>
          <w:tcPr>
            <w:tcW w:w="1376" w:type="dxa"/>
            <w:vAlign w:val="bottom"/>
          </w:tcPr>
          <w:p w:rsidR="00000537" w:rsidRPr="00620821" w:rsidRDefault="00000537" w:rsidP="00000537">
            <w:pPr>
              <w:jc w:val="center"/>
              <w:rPr>
                <w:rFonts w:ascii="Times New Roman" w:hAnsi="Times New Roman"/>
                <w:sz w:val="20"/>
              </w:rPr>
            </w:pPr>
            <w:r w:rsidRPr="00620821">
              <w:rPr>
                <w:rFonts w:ascii="Times New Roman" w:hAnsi="Times New Roman"/>
                <w:sz w:val="20"/>
              </w:rPr>
              <w:t>878</w:t>
            </w:r>
          </w:p>
        </w:tc>
        <w:tc>
          <w:tcPr>
            <w:tcW w:w="1239" w:type="dxa"/>
            <w:vAlign w:val="bottom"/>
          </w:tcPr>
          <w:p w:rsidR="00000537" w:rsidRPr="00620821" w:rsidRDefault="00000537" w:rsidP="00000537">
            <w:pPr>
              <w:jc w:val="center"/>
              <w:rPr>
                <w:rFonts w:ascii="Times New Roman" w:hAnsi="Times New Roman"/>
                <w:sz w:val="20"/>
              </w:rPr>
            </w:pPr>
            <w:r w:rsidRPr="00620821">
              <w:rPr>
                <w:rFonts w:ascii="Times New Roman" w:hAnsi="Times New Roman"/>
                <w:sz w:val="20"/>
              </w:rPr>
              <w:t>1,150</w:t>
            </w:r>
          </w:p>
        </w:tc>
        <w:tc>
          <w:tcPr>
            <w:tcW w:w="1239" w:type="dxa"/>
            <w:vAlign w:val="bottom"/>
          </w:tcPr>
          <w:p w:rsidR="00000537" w:rsidRPr="00620821" w:rsidRDefault="00000537" w:rsidP="00000537">
            <w:pPr>
              <w:jc w:val="right"/>
              <w:rPr>
                <w:rFonts w:ascii="Times New Roman" w:hAnsi="Times New Roman"/>
                <w:sz w:val="20"/>
              </w:rPr>
            </w:pPr>
            <w:r w:rsidRPr="00620821">
              <w:rPr>
                <w:rFonts w:ascii="Times New Roman" w:hAnsi="Times New Roman"/>
                <w:sz w:val="20"/>
              </w:rPr>
              <w:t>1 min</w:t>
            </w:r>
          </w:p>
        </w:tc>
        <w:tc>
          <w:tcPr>
            <w:tcW w:w="1239" w:type="dxa"/>
            <w:vAlign w:val="bottom"/>
          </w:tcPr>
          <w:p w:rsidR="00000537" w:rsidRPr="00620821" w:rsidRDefault="00000537" w:rsidP="00000537">
            <w:pPr>
              <w:jc w:val="right"/>
              <w:rPr>
                <w:rFonts w:ascii="Times New Roman" w:hAnsi="Times New Roman"/>
                <w:sz w:val="20"/>
              </w:rPr>
            </w:pPr>
            <w:r w:rsidRPr="00620821">
              <w:rPr>
                <w:rFonts w:ascii="Times New Roman" w:hAnsi="Times New Roman"/>
                <w:sz w:val="20"/>
              </w:rPr>
              <w:t>16,828</w:t>
            </w:r>
          </w:p>
        </w:tc>
      </w:tr>
      <w:tr w:rsidR="00000537" w:rsidRPr="00620821" w:rsidTr="00000537">
        <w:tc>
          <w:tcPr>
            <w:tcW w:w="4483" w:type="dxa"/>
          </w:tcPr>
          <w:p w:rsidR="00000537" w:rsidRPr="0020065F" w:rsidRDefault="00000537" w:rsidP="00000537">
            <w:pPr>
              <w:rPr>
                <w:rFonts w:ascii="Times New Roman" w:hAnsi="Times New Roman"/>
                <w:sz w:val="20"/>
              </w:rPr>
            </w:pPr>
          </w:p>
        </w:tc>
        <w:tc>
          <w:tcPr>
            <w:tcW w:w="1376" w:type="dxa"/>
            <w:vAlign w:val="bottom"/>
          </w:tcPr>
          <w:p w:rsidR="00000537" w:rsidRPr="00620821" w:rsidRDefault="00000537" w:rsidP="00000537">
            <w:pPr>
              <w:jc w:val="center"/>
              <w:rPr>
                <w:rFonts w:ascii="Times New Roman" w:hAnsi="Times New Roman"/>
                <w:sz w:val="20"/>
              </w:rPr>
            </w:pPr>
          </w:p>
        </w:tc>
        <w:tc>
          <w:tcPr>
            <w:tcW w:w="1239" w:type="dxa"/>
            <w:vAlign w:val="bottom"/>
          </w:tcPr>
          <w:p w:rsidR="00000537" w:rsidRPr="00620821" w:rsidRDefault="00000537" w:rsidP="00000537">
            <w:pPr>
              <w:jc w:val="center"/>
              <w:rPr>
                <w:rFonts w:ascii="Times New Roman" w:hAnsi="Times New Roman"/>
                <w:sz w:val="20"/>
              </w:rPr>
            </w:pPr>
          </w:p>
        </w:tc>
        <w:tc>
          <w:tcPr>
            <w:tcW w:w="1239" w:type="dxa"/>
            <w:vAlign w:val="bottom"/>
          </w:tcPr>
          <w:p w:rsidR="00000537" w:rsidRPr="00620821" w:rsidRDefault="00000537" w:rsidP="00000537">
            <w:pPr>
              <w:jc w:val="right"/>
              <w:rPr>
                <w:rFonts w:ascii="Times New Roman" w:hAnsi="Times New Roman"/>
                <w:sz w:val="20"/>
              </w:rPr>
            </w:pPr>
          </w:p>
        </w:tc>
        <w:tc>
          <w:tcPr>
            <w:tcW w:w="1239" w:type="dxa"/>
            <w:vAlign w:val="bottom"/>
          </w:tcPr>
          <w:p w:rsidR="00000537" w:rsidRPr="00620821" w:rsidRDefault="00000537" w:rsidP="00000537">
            <w:pPr>
              <w:jc w:val="right"/>
              <w:rPr>
                <w:rFonts w:ascii="Times New Roman" w:hAnsi="Times New Roman"/>
                <w:sz w:val="20"/>
              </w:rPr>
            </w:pPr>
          </w:p>
        </w:tc>
      </w:tr>
      <w:tr w:rsidR="00000537" w:rsidRPr="00620821" w:rsidTr="00000537">
        <w:tc>
          <w:tcPr>
            <w:tcW w:w="4483" w:type="dxa"/>
          </w:tcPr>
          <w:p w:rsidR="00000537" w:rsidRPr="0020065F" w:rsidRDefault="00000537" w:rsidP="00000537">
            <w:pPr>
              <w:rPr>
                <w:rFonts w:ascii="Times New Roman" w:hAnsi="Times New Roman"/>
                <w:sz w:val="20"/>
              </w:rPr>
            </w:pPr>
            <w:r w:rsidRPr="0020065F">
              <w:rPr>
                <w:rFonts w:ascii="Times New Roman" w:hAnsi="Times New Roman"/>
                <w:sz w:val="20"/>
              </w:rPr>
              <w:t xml:space="preserve">Change-in-terms disclosures (Section 226.9(c)) </w:t>
            </w:r>
          </w:p>
        </w:tc>
        <w:tc>
          <w:tcPr>
            <w:tcW w:w="1376" w:type="dxa"/>
            <w:vAlign w:val="bottom"/>
          </w:tcPr>
          <w:p w:rsidR="00000537" w:rsidRPr="00620821" w:rsidRDefault="00000537" w:rsidP="00000537">
            <w:pPr>
              <w:jc w:val="center"/>
              <w:rPr>
                <w:rFonts w:ascii="Times New Roman" w:hAnsi="Times New Roman"/>
                <w:sz w:val="20"/>
              </w:rPr>
            </w:pPr>
            <w:r w:rsidRPr="00620821">
              <w:rPr>
                <w:rFonts w:ascii="Times New Roman" w:hAnsi="Times New Roman"/>
                <w:sz w:val="20"/>
              </w:rPr>
              <w:t>878</w:t>
            </w:r>
          </w:p>
        </w:tc>
        <w:tc>
          <w:tcPr>
            <w:tcW w:w="1239" w:type="dxa"/>
            <w:vAlign w:val="bottom"/>
          </w:tcPr>
          <w:p w:rsidR="00000537" w:rsidRPr="00620821" w:rsidRDefault="00000537" w:rsidP="00000537">
            <w:pPr>
              <w:jc w:val="center"/>
              <w:rPr>
                <w:rFonts w:ascii="Times New Roman" w:hAnsi="Times New Roman"/>
                <w:sz w:val="20"/>
              </w:rPr>
            </w:pPr>
            <w:r w:rsidRPr="00620821">
              <w:rPr>
                <w:rFonts w:ascii="Times New Roman" w:hAnsi="Times New Roman"/>
                <w:sz w:val="20"/>
              </w:rPr>
              <w:t>3,750</w:t>
            </w:r>
          </w:p>
        </w:tc>
        <w:tc>
          <w:tcPr>
            <w:tcW w:w="1239" w:type="dxa"/>
            <w:vAlign w:val="bottom"/>
          </w:tcPr>
          <w:p w:rsidR="00000537" w:rsidRPr="00620821" w:rsidRDefault="00000537" w:rsidP="00000537">
            <w:pPr>
              <w:jc w:val="right"/>
              <w:rPr>
                <w:rFonts w:ascii="Times New Roman" w:hAnsi="Times New Roman"/>
                <w:sz w:val="20"/>
              </w:rPr>
            </w:pPr>
            <w:r w:rsidRPr="00620821">
              <w:rPr>
                <w:rFonts w:ascii="Times New Roman" w:hAnsi="Times New Roman"/>
                <w:sz w:val="20"/>
              </w:rPr>
              <w:t>1 min</w:t>
            </w:r>
          </w:p>
        </w:tc>
        <w:tc>
          <w:tcPr>
            <w:tcW w:w="1239" w:type="dxa"/>
            <w:vAlign w:val="bottom"/>
          </w:tcPr>
          <w:p w:rsidR="00000537" w:rsidRPr="00620821" w:rsidRDefault="00000537" w:rsidP="00000537">
            <w:pPr>
              <w:jc w:val="right"/>
              <w:rPr>
                <w:rFonts w:ascii="Times New Roman" w:hAnsi="Times New Roman"/>
                <w:sz w:val="20"/>
              </w:rPr>
            </w:pPr>
            <w:r w:rsidRPr="00620821">
              <w:rPr>
                <w:rFonts w:ascii="Times New Roman" w:hAnsi="Times New Roman"/>
                <w:sz w:val="20"/>
              </w:rPr>
              <w:t>54,875</w:t>
            </w:r>
          </w:p>
        </w:tc>
      </w:tr>
      <w:tr w:rsidR="00000537" w:rsidRPr="00620821" w:rsidTr="00000537">
        <w:tc>
          <w:tcPr>
            <w:tcW w:w="4483" w:type="dxa"/>
          </w:tcPr>
          <w:p w:rsidR="00000537" w:rsidRPr="0020065F" w:rsidRDefault="00000537" w:rsidP="00000537">
            <w:pPr>
              <w:rPr>
                <w:rFonts w:ascii="Times New Roman" w:hAnsi="Times New Roman"/>
                <w:sz w:val="20"/>
              </w:rPr>
            </w:pPr>
          </w:p>
        </w:tc>
        <w:tc>
          <w:tcPr>
            <w:tcW w:w="1376" w:type="dxa"/>
            <w:vAlign w:val="bottom"/>
          </w:tcPr>
          <w:p w:rsidR="00000537" w:rsidRPr="00620821" w:rsidRDefault="00000537" w:rsidP="00000537">
            <w:pPr>
              <w:jc w:val="center"/>
              <w:rPr>
                <w:rFonts w:ascii="Times New Roman" w:hAnsi="Times New Roman"/>
                <w:sz w:val="20"/>
              </w:rPr>
            </w:pPr>
          </w:p>
        </w:tc>
        <w:tc>
          <w:tcPr>
            <w:tcW w:w="1239" w:type="dxa"/>
            <w:vAlign w:val="bottom"/>
          </w:tcPr>
          <w:p w:rsidR="00000537" w:rsidRPr="00620821" w:rsidRDefault="00000537" w:rsidP="00000537">
            <w:pPr>
              <w:jc w:val="center"/>
              <w:rPr>
                <w:rFonts w:ascii="Times New Roman" w:hAnsi="Times New Roman"/>
                <w:sz w:val="20"/>
              </w:rPr>
            </w:pPr>
          </w:p>
        </w:tc>
        <w:tc>
          <w:tcPr>
            <w:tcW w:w="1239" w:type="dxa"/>
            <w:vAlign w:val="bottom"/>
          </w:tcPr>
          <w:p w:rsidR="00000537" w:rsidRPr="00620821" w:rsidRDefault="00000537" w:rsidP="00000537">
            <w:pPr>
              <w:jc w:val="right"/>
              <w:rPr>
                <w:rFonts w:ascii="Times New Roman" w:hAnsi="Times New Roman"/>
                <w:sz w:val="20"/>
              </w:rPr>
            </w:pPr>
          </w:p>
        </w:tc>
        <w:tc>
          <w:tcPr>
            <w:tcW w:w="1239" w:type="dxa"/>
            <w:vAlign w:val="bottom"/>
          </w:tcPr>
          <w:p w:rsidR="00000537" w:rsidRPr="00620821" w:rsidRDefault="00000537" w:rsidP="00000537">
            <w:pPr>
              <w:jc w:val="right"/>
              <w:rPr>
                <w:rFonts w:ascii="Times New Roman" w:hAnsi="Times New Roman"/>
                <w:sz w:val="20"/>
              </w:rPr>
            </w:pPr>
          </w:p>
        </w:tc>
      </w:tr>
      <w:tr w:rsidR="00000537" w:rsidRPr="00620821" w:rsidTr="00000537">
        <w:tc>
          <w:tcPr>
            <w:tcW w:w="4483" w:type="dxa"/>
          </w:tcPr>
          <w:p w:rsidR="00000537" w:rsidRPr="0020065F" w:rsidRDefault="00000537" w:rsidP="00000537">
            <w:pPr>
              <w:rPr>
                <w:rFonts w:ascii="Times New Roman" w:hAnsi="Times New Roman"/>
                <w:sz w:val="20"/>
              </w:rPr>
            </w:pPr>
            <w:r w:rsidRPr="0020065F">
              <w:rPr>
                <w:rFonts w:ascii="Times New Roman" w:hAnsi="Times New Roman"/>
                <w:sz w:val="20"/>
              </w:rPr>
              <w:t>Periodic statements (Section 226.7)</w:t>
            </w:r>
          </w:p>
        </w:tc>
        <w:tc>
          <w:tcPr>
            <w:tcW w:w="1376" w:type="dxa"/>
            <w:vAlign w:val="bottom"/>
          </w:tcPr>
          <w:p w:rsidR="00000537" w:rsidRPr="00620821" w:rsidRDefault="00000537" w:rsidP="00000537">
            <w:pPr>
              <w:jc w:val="center"/>
              <w:rPr>
                <w:rFonts w:ascii="Times New Roman" w:hAnsi="Times New Roman"/>
                <w:sz w:val="20"/>
              </w:rPr>
            </w:pPr>
            <w:r w:rsidRPr="00620821">
              <w:rPr>
                <w:rFonts w:ascii="Times New Roman" w:hAnsi="Times New Roman"/>
                <w:sz w:val="20"/>
              </w:rPr>
              <w:t>1,077</w:t>
            </w:r>
          </w:p>
        </w:tc>
        <w:tc>
          <w:tcPr>
            <w:tcW w:w="1239" w:type="dxa"/>
            <w:vAlign w:val="bottom"/>
          </w:tcPr>
          <w:p w:rsidR="00000537" w:rsidRPr="00620821" w:rsidRDefault="00000537" w:rsidP="00000537">
            <w:pPr>
              <w:jc w:val="center"/>
              <w:rPr>
                <w:rFonts w:ascii="Times New Roman" w:hAnsi="Times New Roman"/>
                <w:sz w:val="20"/>
              </w:rPr>
            </w:pPr>
            <w:r w:rsidRPr="00620821">
              <w:rPr>
                <w:rFonts w:ascii="Times New Roman" w:hAnsi="Times New Roman"/>
                <w:sz w:val="20"/>
              </w:rPr>
              <w:t>12</w:t>
            </w:r>
          </w:p>
        </w:tc>
        <w:tc>
          <w:tcPr>
            <w:tcW w:w="1239" w:type="dxa"/>
            <w:vAlign w:val="bottom"/>
          </w:tcPr>
          <w:p w:rsidR="00000537" w:rsidRPr="00620821" w:rsidRDefault="00000537" w:rsidP="00000537">
            <w:pPr>
              <w:jc w:val="right"/>
              <w:rPr>
                <w:rFonts w:ascii="Times New Roman" w:hAnsi="Times New Roman"/>
                <w:sz w:val="20"/>
              </w:rPr>
            </w:pPr>
            <w:r w:rsidRPr="00620821">
              <w:rPr>
                <w:rFonts w:ascii="Times New Roman" w:hAnsi="Times New Roman"/>
                <w:sz w:val="20"/>
              </w:rPr>
              <w:t>8 hours</w:t>
            </w:r>
          </w:p>
        </w:tc>
        <w:tc>
          <w:tcPr>
            <w:tcW w:w="1239" w:type="dxa"/>
            <w:vAlign w:val="bottom"/>
          </w:tcPr>
          <w:p w:rsidR="00000537" w:rsidRPr="00620821" w:rsidRDefault="00000537" w:rsidP="00000537">
            <w:pPr>
              <w:jc w:val="right"/>
              <w:rPr>
                <w:rFonts w:ascii="Times New Roman" w:hAnsi="Times New Roman"/>
                <w:sz w:val="20"/>
              </w:rPr>
            </w:pPr>
            <w:r w:rsidRPr="00620821">
              <w:rPr>
                <w:rFonts w:ascii="Times New Roman" w:hAnsi="Times New Roman"/>
                <w:sz w:val="20"/>
              </w:rPr>
              <w:t>103,392</w:t>
            </w:r>
          </w:p>
        </w:tc>
      </w:tr>
      <w:tr w:rsidR="00000537" w:rsidRPr="00620821" w:rsidTr="00000537">
        <w:tc>
          <w:tcPr>
            <w:tcW w:w="4483" w:type="dxa"/>
          </w:tcPr>
          <w:p w:rsidR="00000537" w:rsidRDefault="00000537" w:rsidP="00000537">
            <w:pPr>
              <w:rPr>
                <w:rFonts w:ascii="Times New Roman" w:hAnsi="Times New Roman"/>
                <w:sz w:val="20"/>
              </w:rPr>
            </w:pPr>
            <w:r w:rsidRPr="0020065F">
              <w:rPr>
                <w:rFonts w:ascii="Times New Roman" w:hAnsi="Times New Roman"/>
                <w:sz w:val="20"/>
              </w:rPr>
              <w:t xml:space="preserve">Periodic statements (Section 226.7) </w:t>
            </w:r>
          </w:p>
          <w:p w:rsidR="00000537" w:rsidRPr="0020065F" w:rsidRDefault="00000537" w:rsidP="00000537">
            <w:pPr>
              <w:rPr>
                <w:rFonts w:ascii="Times New Roman" w:hAnsi="Times New Roman"/>
                <w:sz w:val="20"/>
              </w:rPr>
            </w:pPr>
            <w:r w:rsidRPr="0020065F">
              <w:rPr>
                <w:rFonts w:ascii="Times New Roman" w:hAnsi="Times New Roman"/>
                <w:i/>
                <w:sz w:val="20"/>
              </w:rPr>
              <w:t>(for exempt transactions (</w:t>
            </w:r>
            <w:r w:rsidRPr="0020065F">
              <w:rPr>
                <w:rFonts w:ascii="Times New Roman" w:eastAsia="Calibri" w:hAnsi="Times New Roman"/>
                <w:i/>
                <w:snapToGrid/>
                <w:sz w:val="20"/>
              </w:rPr>
              <w:t>226.3(b)(1)(i)))</w:t>
            </w:r>
          </w:p>
        </w:tc>
        <w:tc>
          <w:tcPr>
            <w:tcW w:w="1376" w:type="dxa"/>
            <w:vAlign w:val="bottom"/>
          </w:tcPr>
          <w:p w:rsidR="00000537" w:rsidRPr="00620821" w:rsidRDefault="00000537" w:rsidP="00000537">
            <w:pPr>
              <w:jc w:val="center"/>
              <w:rPr>
                <w:rFonts w:ascii="Times New Roman" w:hAnsi="Times New Roman"/>
                <w:sz w:val="20"/>
              </w:rPr>
            </w:pPr>
            <w:r w:rsidRPr="00620821">
              <w:rPr>
                <w:rFonts w:ascii="Times New Roman" w:hAnsi="Times New Roman"/>
                <w:sz w:val="20"/>
              </w:rPr>
              <w:t>1,077</w:t>
            </w:r>
          </w:p>
        </w:tc>
        <w:tc>
          <w:tcPr>
            <w:tcW w:w="1239" w:type="dxa"/>
            <w:vAlign w:val="bottom"/>
          </w:tcPr>
          <w:p w:rsidR="00000537" w:rsidRPr="00620821" w:rsidRDefault="00000537" w:rsidP="00000537">
            <w:pPr>
              <w:jc w:val="center"/>
              <w:rPr>
                <w:rFonts w:ascii="Times New Roman" w:hAnsi="Times New Roman"/>
                <w:sz w:val="20"/>
              </w:rPr>
            </w:pPr>
            <w:r w:rsidRPr="00620821">
              <w:rPr>
                <w:rFonts w:ascii="Times New Roman" w:hAnsi="Times New Roman"/>
                <w:sz w:val="20"/>
              </w:rPr>
              <w:t>1</w:t>
            </w:r>
          </w:p>
        </w:tc>
        <w:tc>
          <w:tcPr>
            <w:tcW w:w="1239" w:type="dxa"/>
            <w:vAlign w:val="bottom"/>
          </w:tcPr>
          <w:p w:rsidR="00000537" w:rsidRPr="00620821" w:rsidRDefault="00000537" w:rsidP="00000537">
            <w:pPr>
              <w:jc w:val="right"/>
              <w:rPr>
                <w:rFonts w:ascii="Times New Roman" w:hAnsi="Times New Roman"/>
                <w:sz w:val="20"/>
              </w:rPr>
            </w:pPr>
            <w:r w:rsidRPr="00620821">
              <w:rPr>
                <w:rFonts w:ascii="Times New Roman" w:hAnsi="Times New Roman"/>
                <w:sz w:val="20"/>
              </w:rPr>
              <w:t>8 hours</w:t>
            </w:r>
          </w:p>
        </w:tc>
        <w:tc>
          <w:tcPr>
            <w:tcW w:w="1239" w:type="dxa"/>
            <w:vAlign w:val="bottom"/>
          </w:tcPr>
          <w:p w:rsidR="00000537" w:rsidRPr="00620821" w:rsidRDefault="00000537" w:rsidP="00000537">
            <w:pPr>
              <w:jc w:val="right"/>
              <w:rPr>
                <w:rFonts w:ascii="Times New Roman" w:hAnsi="Times New Roman"/>
                <w:sz w:val="20"/>
              </w:rPr>
            </w:pPr>
            <w:r w:rsidRPr="00620821">
              <w:rPr>
                <w:rFonts w:ascii="Times New Roman" w:hAnsi="Times New Roman"/>
                <w:sz w:val="20"/>
              </w:rPr>
              <w:t>8,616</w:t>
            </w:r>
          </w:p>
        </w:tc>
      </w:tr>
      <w:tr w:rsidR="00000537" w:rsidRPr="00620821" w:rsidTr="00000537">
        <w:tc>
          <w:tcPr>
            <w:tcW w:w="4483" w:type="dxa"/>
          </w:tcPr>
          <w:p w:rsidR="00000537" w:rsidRPr="0020065F" w:rsidRDefault="00000537" w:rsidP="00000537">
            <w:pPr>
              <w:rPr>
                <w:rFonts w:ascii="Times New Roman" w:hAnsi="Times New Roman"/>
                <w:sz w:val="20"/>
                <w:u w:val="single"/>
              </w:rPr>
            </w:pPr>
          </w:p>
        </w:tc>
        <w:tc>
          <w:tcPr>
            <w:tcW w:w="1376" w:type="dxa"/>
            <w:vAlign w:val="bottom"/>
          </w:tcPr>
          <w:p w:rsidR="00000537" w:rsidRPr="00620821" w:rsidRDefault="00000537" w:rsidP="00000537">
            <w:pPr>
              <w:jc w:val="center"/>
              <w:rPr>
                <w:rFonts w:ascii="Times New Roman" w:hAnsi="Times New Roman"/>
                <w:sz w:val="20"/>
              </w:rPr>
            </w:pPr>
          </w:p>
        </w:tc>
        <w:tc>
          <w:tcPr>
            <w:tcW w:w="1239" w:type="dxa"/>
            <w:vAlign w:val="bottom"/>
          </w:tcPr>
          <w:p w:rsidR="00000537" w:rsidRPr="00620821" w:rsidRDefault="00000537" w:rsidP="00000537">
            <w:pPr>
              <w:jc w:val="center"/>
              <w:rPr>
                <w:rFonts w:ascii="Times New Roman" w:hAnsi="Times New Roman"/>
                <w:sz w:val="20"/>
              </w:rPr>
            </w:pPr>
          </w:p>
        </w:tc>
        <w:tc>
          <w:tcPr>
            <w:tcW w:w="1239" w:type="dxa"/>
            <w:vAlign w:val="bottom"/>
          </w:tcPr>
          <w:p w:rsidR="00000537" w:rsidRPr="00620821" w:rsidRDefault="00000537" w:rsidP="00000537">
            <w:pPr>
              <w:jc w:val="right"/>
              <w:rPr>
                <w:rFonts w:ascii="Times New Roman" w:hAnsi="Times New Roman"/>
                <w:sz w:val="20"/>
              </w:rPr>
            </w:pPr>
          </w:p>
        </w:tc>
        <w:tc>
          <w:tcPr>
            <w:tcW w:w="1239" w:type="dxa"/>
            <w:vAlign w:val="bottom"/>
          </w:tcPr>
          <w:p w:rsidR="00000537" w:rsidRPr="00620821" w:rsidRDefault="00000537" w:rsidP="00000537">
            <w:pPr>
              <w:jc w:val="right"/>
              <w:rPr>
                <w:rFonts w:ascii="Times New Roman" w:hAnsi="Times New Roman"/>
                <w:sz w:val="20"/>
              </w:rPr>
            </w:pPr>
          </w:p>
        </w:tc>
      </w:tr>
      <w:tr w:rsidR="00000537" w:rsidRPr="00620821" w:rsidTr="00000537">
        <w:tc>
          <w:tcPr>
            <w:tcW w:w="4483" w:type="dxa"/>
          </w:tcPr>
          <w:p w:rsidR="00000537" w:rsidRPr="0020065F" w:rsidRDefault="00000537" w:rsidP="00000537">
            <w:pPr>
              <w:rPr>
                <w:rFonts w:ascii="Times New Roman" w:hAnsi="Times New Roman"/>
                <w:sz w:val="20"/>
              </w:rPr>
            </w:pPr>
            <w:r w:rsidRPr="0003126B">
              <w:rPr>
                <w:rFonts w:ascii="Times New Roman" w:hAnsi="Times New Roman"/>
                <w:sz w:val="20"/>
                <w:u w:val="single"/>
              </w:rPr>
              <w:t>Error resolution (Section 226.13)</w:t>
            </w:r>
            <w:r w:rsidRPr="0020065F">
              <w:rPr>
                <w:rFonts w:ascii="Times New Roman" w:hAnsi="Times New Roman"/>
                <w:sz w:val="20"/>
              </w:rPr>
              <w:t>:</w:t>
            </w:r>
          </w:p>
        </w:tc>
        <w:tc>
          <w:tcPr>
            <w:tcW w:w="1376" w:type="dxa"/>
            <w:vAlign w:val="bottom"/>
          </w:tcPr>
          <w:p w:rsidR="00000537" w:rsidRPr="00620821" w:rsidRDefault="00000537" w:rsidP="00000537">
            <w:pPr>
              <w:jc w:val="center"/>
              <w:rPr>
                <w:rFonts w:ascii="Times New Roman" w:hAnsi="Times New Roman"/>
                <w:sz w:val="20"/>
              </w:rPr>
            </w:pPr>
          </w:p>
        </w:tc>
        <w:tc>
          <w:tcPr>
            <w:tcW w:w="1239" w:type="dxa"/>
            <w:vAlign w:val="bottom"/>
          </w:tcPr>
          <w:p w:rsidR="00000537" w:rsidRPr="00620821" w:rsidRDefault="00000537" w:rsidP="00000537">
            <w:pPr>
              <w:jc w:val="center"/>
              <w:rPr>
                <w:rFonts w:ascii="Times New Roman" w:hAnsi="Times New Roman"/>
                <w:sz w:val="20"/>
              </w:rPr>
            </w:pPr>
          </w:p>
        </w:tc>
        <w:tc>
          <w:tcPr>
            <w:tcW w:w="1239" w:type="dxa"/>
            <w:vAlign w:val="bottom"/>
          </w:tcPr>
          <w:p w:rsidR="00000537" w:rsidRPr="00620821" w:rsidRDefault="00000537" w:rsidP="00000537">
            <w:pPr>
              <w:jc w:val="right"/>
              <w:rPr>
                <w:rFonts w:ascii="Times New Roman" w:hAnsi="Times New Roman"/>
                <w:sz w:val="20"/>
              </w:rPr>
            </w:pPr>
          </w:p>
        </w:tc>
        <w:tc>
          <w:tcPr>
            <w:tcW w:w="1239" w:type="dxa"/>
            <w:vAlign w:val="bottom"/>
          </w:tcPr>
          <w:p w:rsidR="00000537" w:rsidRPr="00620821" w:rsidRDefault="00000537" w:rsidP="00000537">
            <w:pPr>
              <w:jc w:val="right"/>
              <w:rPr>
                <w:rFonts w:ascii="Times New Roman" w:hAnsi="Times New Roman"/>
                <w:sz w:val="20"/>
              </w:rPr>
            </w:pPr>
          </w:p>
        </w:tc>
      </w:tr>
      <w:tr w:rsidR="00000537" w:rsidRPr="00620821" w:rsidTr="00000537">
        <w:tc>
          <w:tcPr>
            <w:tcW w:w="4483" w:type="dxa"/>
          </w:tcPr>
          <w:p w:rsidR="00000537" w:rsidRPr="0020065F" w:rsidRDefault="00000537" w:rsidP="00000537">
            <w:pPr>
              <w:rPr>
                <w:rFonts w:ascii="Times New Roman" w:hAnsi="Times New Roman"/>
                <w:sz w:val="20"/>
              </w:rPr>
            </w:pPr>
            <w:r w:rsidRPr="0020065F">
              <w:rPr>
                <w:rFonts w:ascii="Times New Roman" w:hAnsi="Times New Roman"/>
                <w:sz w:val="20"/>
              </w:rPr>
              <w:t>Credit cards</w:t>
            </w:r>
          </w:p>
        </w:tc>
        <w:tc>
          <w:tcPr>
            <w:tcW w:w="1376" w:type="dxa"/>
            <w:vAlign w:val="bottom"/>
          </w:tcPr>
          <w:p w:rsidR="00000537" w:rsidRPr="00620821" w:rsidRDefault="00000537" w:rsidP="00000537">
            <w:pPr>
              <w:jc w:val="center"/>
              <w:rPr>
                <w:rFonts w:ascii="Times New Roman" w:hAnsi="Times New Roman"/>
                <w:sz w:val="20"/>
              </w:rPr>
            </w:pPr>
            <w:r w:rsidRPr="00620821">
              <w:rPr>
                <w:rFonts w:ascii="Times New Roman" w:hAnsi="Times New Roman"/>
                <w:sz w:val="20"/>
              </w:rPr>
              <w:t>226</w:t>
            </w:r>
          </w:p>
        </w:tc>
        <w:tc>
          <w:tcPr>
            <w:tcW w:w="1239" w:type="dxa"/>
            <w:vAlign w:val="bottom"/>
          </w:tcPr>
          <w:p w:rsidR="00000537" w:rsidRPr="00620821" w:rsidRDefault="00000537" w:rsidP="00000537">
            <w:pPr>
              <w:jc w:val="center"/>
              <w:rPr>
                <w:rFonts w:ascii="Times New Roman" w:hAnsi="Times New Roman"/>
                <w:sz w:val="20"/>
              </w:rPr>
            </w:pPr>
            <w:r w:rsidRPr="00620821">
              <w:rPr>
                <w:rFonts w:ascii="Times New Roman" w:hAnsi="Times New Roman"/>
                <w:sz w:val="20"/>
              </w:rPr>
              <w:t>145</w:t>
            </w:r>
          </w:p>
        </w:tc>
        <w:tc>
          <w:tcPr>
            <w:tcW w:w="1239" w:type="dxa"/>
            <w:vAlign w:val="bottom"/>
          </w:tcPr>
          <w:p w:rsidR="00000537" w:rsidRPr="00620821" w:rsidRDefault="00000537" w:rsidP="00000537">
            <w:pPr>
              <w:jc w:val="right"/>
              <w:rPr>
                <w:rFonts w:ascii="Times New Roman" w:hAnsi="Times New Roman"/>
                <w:sz w:val="20"/>
              </w:rPr>
            </w:pPr>
            <w:r w:rsidRPr="00620821">
              <w:rPr>
                <w:rFonts w:ascii="Times New Roman" w:hAnsi="Times New Roman"/>
                <w:sz w:val="20"/>
              </w:rPr>
              <w:t>30 min</w:t>
            </w:r>
          </w:p>
        </w:tc>
        <w:tc>
          <w:tcPr>
            <w:tcW w:w="1239" w:type="dxa"/>
            <w:vAlign w:val="bottom"/>
          </w:tcPr>
          <w:p w:rsidR="00000537" w:rsidRPr="00620821" w:rsidRDefault="00000537" w:rsidP="00000537">
            <w:pPr>
              <w:jc w:val="right"/>
              <w:rPr>
                <w:rFonts w:ascii="Times New Roman" w:hAnsi="Times New Roman"/>
                <w:sz w:val="20"/>
              </w:rPr>
            </w:pPr>
            <w:r w:rsidRPr="00620821">
              <w:rPr>
                <w:rFonts w:ascii="Times New Roman" w:hAnsi="Times New Roman"/>
                <w:sz w:val="20"/>
              </w:rPr>
              <w:t>16,385</w:t>
            </w:r>
          </w:p>
        </w:tc>
      </w:tr>
      <w:tr w:rsidR="00000537" w:rsidRPr="00620821" w:rsidTr="00000537">
        <w:trPr>
          <w:trHeight w:val="405"/>
        </w:trPr>
        <w:tc>
          <w:tcPr>
            <w:tcW w:w="4483" w:type="dxa"/>
          </w:tcPr>
          <w:p w:rsidR="00000537" w:rsidRPr="0020065F" w:rsidRDefault="00000537" w:rsidP="00000537">
            <w:pPr>
              <w:rPr>
                <w:rFonts w:ascii="Times New Roman" w:hAnsi="Times New Roman"/>
                <w:sz w:val="20"/>
              </w:rPr>
            </w:pPr>
            <w:r w:rsidRPr="0020065F">
              <w:rPr>
                <w:rFonts w:ascii="Times New Roman" w:hAnsi="Times New Roman"/>
                <w:sz w:val="20"/>
              </w:rPr>
              <w:t>Other Open-end credit</w:t>
            </w:r>
          </w:p>
        </w:tc>
        <w:tc>
          <w:tcPr>
            <w:tcW w:w="1376" w:type="dxa"/>
            <w:vAlign w:val="bottom"/>
          </w:tcPr>
          <w:p w:rsidR="00000537" w:rsidRPr="00620821" w:rsidRDefault="00000537" w:rsidP="00000537">
            <w:pPr>
              <w:jc w:val="center"/>
              <w:rPr>
                <w:rFonts w:ascii="Times New Roman" w:hAnsi="Times New Roman"/>
                <w:sz w:val="20"/>
              </w:rPr>
            </w:pPr>
            <w:r w:rsidRPr="00620821">
              <w:rPr>
                <w:rFonts w:ascii="Times New Roman" w:hAnsi="Times New Roman"/>
                <w:sz w:val="20"/>
              </w:rPr>
              <w:t>1,077</w:t>
            </w:r>
          </w:p>
        </w:tc>
        <w:tc>
          <w:tcPr>
            <w:tcW w:w="1239" w:type="dxa"/>
            <w:vAlign w:val="bottom"/>
          </w:tcPr>
          <w:p w:rsidR="00000537" w:rsidRPr="00620821" w:rsidRDefault="00000537" w:rsidP="00000537">
            <w:pPr>
              <w:jc w:val="center"/>
              <w:rPr>
                <w:rFonts w:ascii="Times New Roman" w:hAnsi="Times New Roman"/>
                <w:sz w:val="20"/>
              </w:rPr>
            </w:pPr>
            <w:r w:rsidRPr="00620821">
              <w:rPr>
                <w:rFonts w:ascii="Times New Roman" w:hAnsi="Times New Roman"/>
                <w:sz w:val="20"/>
              </w:rPr>
              <w:t>2</w:t>
            </w:r>
          </w:p>
        </w:tc>
        <w:tc>
          <w:tcPr>
            <w:tcW w:w="1239" w:type="dxa"/>
            <w:vAlign w:val="bottom"/>
          </w:tcPr>
          <w:p w:rsidR="00000537" w:rsidRPr="00620821" w:rsidRDefault="00000537" w:rsidP="00000537">
            <w:pPr>
              <w:jc w:val="right"/>
              <w:rPr>
                <w:rFonts w:ascii="Times New Roman" w:hAnsi="Times New Roman"/>
                <w:sz w:val="20"/>
              </w:rPr>
            </w:pPr>
            <w:r w:rsidRPr="00620821">
              <w:rPr>
                <w:rFonts w:ascii="Times New Roman" w:hAnsi="Times New Roman"/>
                <w:sz w:val="20"/>
              </w:rPr>
              <w:t>30 min</w:t>
            </w:r>
          </w:p>
        </w:tc>
        <w:tc>
          <w:tcPr>
            <w:tcW w:w="1239" w:type="dxa"/>
            <w:vAlign w:val="bottom"/>
          </w:tcPr>
          <w:p w:rsidR="00000537" w:rsidRPr="00620821" w:rsidRDefault="00000537" w:rsidP="00000537">
            <w:pPr>
              <w:jc w:val="right"/>
              <w:rPr>
                <w:rFonts w:ascii="Times New Roman" w:hAnsi="Times New Roman"/>
                <w:sz w:val="20"/>
              </w:rPr>
            </w:pPr>
            <w:r w:rsidRPr="00620821">
              <w:rPr>
                <w:rFonts w:ascii="Times New Roman" w:hAnsi="Times New Roman"/>
                <w:sz w:val="20"/>
              </w:rPr>
              <w:t>1,077</w:t>
            </w:r>
          </w:p>
        </w:tc>
      </w:tr>
      <w:tr w:rsidR="00000537" w:rsidRPr="00545F1A" w:rsidTr="00000537">
        <w:tc>
          <w:tcPr>
            <w:tcW w:w="4483" w:type="dxa"/>
          </w:tcPr>
          <w:p w:rsidR="00000537" w:rsidRPr="00545F1A" w:rsidRDefault="00000537" w:rsidP="00000537">
            <w:pPr>
              <w:rPr>
                <w:rFonts w:ascii="Times New Roman" w:hAnsi="Times New Roman"/>
                <w:b/>
                <w:sz w:val="20"/>
              </w:rPr>
            </w:pPr>
            <w:r w:rsidRPr="00545F1A">
              <w:rPr>
                <w:rFonts w:ascii="Times New Roman" w:hAnsi="Times New Roman"/>
                <w:b/>
                <w:sz w:val="20"/>
                <w:u w:val="single"/>
              </w:rPr>
              <w:t xml:space="preserve">Subpart C: </w:t>
            </w:r>
          </w:p>
          <w:p w:rsidR="00000537" w:rsidRPr="00545F1A" w:rsidRDefault="00000537" w:rsidP="00000537">
            <w:pPr>
              <w:rPr>
                <w:rFonts w:ascii="Times New Roman" w:hAnsi="Times New Roman"/>
                <w:sz w:val="20"/>
              </w:rPr>
            </w:pPr>
            <w:r w:rsidRPr="00545F1A">
              <w:rPr>
                <w:rFonts w:ascii="Times New Roman" w:hAnsi="Times New Roman"/>
                <w:sz w:val="20"/>
              </w:rPr>
              <w:t>Closed-end Credit Disclosures (Section 226.17)</w:t>
            </w:r>
          </w:p>
        </w:tc>
        <w:tc>
          <w:tcPr>
            <w:tcW w:w="1376" w:type="dxa"/>
            <w:vAlign w:val="bottom"/>
          </w:tcPr>
          <w:p w:rsidR="00000537" w:rsidRPr="00545F1A" w:rsidRDefault="00000537" w:rsidP="00000537">
            <w:pPr>
              <w:jc w:val="center"/>
              <w:rPr>
                <w:rFonts w:ascii="Times New Roman" w:hAnsi="Times New Roman"/>
                <w:sz w:val="20"/>
              </w:rPr>
            </w:pPr>
            <w:r w:rsidRPr="00545F1A">
              <w:rPr>
                <w:rFonts w:ascii="Times New Roman" w:hAnsi="Times New Roman"/>
                <w:sz w:val="20"/>
              </w:rPr>
              <w:t>1,077</w:t>
            </w:r>
          </w:p>
        </w:tc>
        <w:tc>
          <w:tcPr>
            <w:tcW w:w="1239" w:type="dxa"/>
            <w:vAlign w:val="bottom"/>
          </w:tcPr>
          <w:p w:rsidR="00000537" w:rsidRPr="00545F1A" w:rsidRDefault="00000537" w:rsidP="00000537">
            <w:pPr>
              <w:jc w:val="center"/>
              <w:rPr>
                <w:rFonts w:ascii="Times New Roman" w:hAnsi="Times New Roman"/>
                <w:sz w:val="20"/>
              </w:rPr>
            </w:pPr>
            <w:r w:rsidRPr="00545F1A">
              <w:rPr>
                <w:rFonts w:ascii="Times New Roman" w:hAnsi="Times New Roman"/>
                <w:sz w:val="20"/>
              </w:rPr>
              <w:t>2,472</w:t>
            </w:r>
          </w:p>
        </w:tc>
        <w:tc>
          <w:tcPr>
            <w:tcW w:w="1239" w:type="dxa"/>
            <w:vAlign w:val="bottom"/>
          </w:tcPr>
          <w:p w:rsidR="00000537" w:rsidRPr="00545F1A" w:rsidRDefault="00000537" w:rsidP="00000537">
            <w:pPr>
              <w:jc w:val="right"/>
              <w:rPr>
                <w:rFonts w:ascii="Times New Roman" w:hAnsi="Times New Roman"/>
                <w:sz w:val="20"/>
              </w:rPr>
            </w:pPr>
            <w:r w:rsidRPr="00545F1A">
              <w:rPr>
                <w:rFonts w:ascii="Times New Roman" w:hAnsi="Times New Roman"/>
                <w:sz w:val="20"/>
              </w:rPr>
              <w:t>6.5 min</w:t>
            </w:r>
          </w:p>
        </w:tc>
        <w:tc>
          <w:tcPr>
            <w:tcW w:w="1239" w:type="dxa"/>
            <w:vAlign w:val="bottom"/>
          </w:tcPr>
          <w:p w:rsidR="00000537" w:rsidRPr="00545F1A" w:rsidRDefault="00000537" w:rsidP="00000537">
            <w:pPr>
              <w:jc w:val="right"/>
              <w:rPr>
                <w:rFonts w:ascii="Times New Roman" w:hAnsi="Times New Roman"/>
                <w:sz w:val="20"/>
              </w:rPr>
            </w:pPr>
            <w:r w:rsidRPr="00545F1A">
              <w:rPr>
                <w:rFonts w:ascii="Times New Roman" w:hAnsi="Times New Roman"/>
                <w:sz w:val="20"/>
              </w:rPr>
              <w:t>288,421</w:t>
            </w:r>
          </w:p>
        </w:tc>
      </w:tr>
      <w:tr w:rsidR="00000537" w:rsidRPr="00000537" w:rsidTr="00000537">
        <w:tc>
          <w:tcPr>
            <w:tcW w:w="4483" w:type="dxa"/>
          </w:tcPr>
          <w:p w:rsidR="00000537" w:rsidRPr="00000537" w:rsidRDefault="00000537" w:rsidP="00000537">
            <w:pPr>
              <w:rPr>
                <w:rFonts w:ascii="Times New Roman" w:hAnsi="Times New Roman"/>
                <w:sz w:val="20"/>
              </w:rPr>
            </w:pPr>
            <w:r w:rsidRPr="00000537">
              <w:rPr>
                <w:rFonts w:ascii="Times New Roman" w:hAnsi="Times New Roman"/>
                <w:sz w:val="20"/>
              </w:rPr>
              <w:t>Section 226.18 (s)&amp;(t)(1) One-time (R-1366)</w:t>
            </w:r>
          </w:p>
        </w:tc>
        <w:tc>
          <w:tcPr>
            <w:tcW w:w="1376" w:type="dxa"/>
            <w:vAlign w:val="bottom"/>
          </w:tcPr>
          <w:p w:rsidR="00000537" w:rsidRPr="00000537" w:rsidRDefault="00000537" w:rsidP="00000537">
            <w:pPr>
              <w:jc w:val="center"/>
              <w:rPr>
                <w:rFonts w:ascii="Times New Roman" w:hAnsi="Times New Roman"/>
                <w:sz w:val="20"/>
              </w:rPr>
            </w:pPr>
            <w:r w:rsidRPr="00000537">
              <w:rPr>
                <w:rFonts w:ascii="Times New Roman" w:hAnsi="Times New Roman"/>
                <w:sz w:val="20"/>
              </w:rPr>
              <w:t>1,077</w:t>
            </w:r>
          </w:p>
        </w:tc>
        <w:tc>
          <w:tcPr>
            <w:tcW w:w="1239" w:type="dxa"/>
            <w:vAlign w:val="bottom"/>
          </w:tcPr>
          <w:p w:rsidR="00000537" w:rsidRPr="00000537" w:rsidRDefault="00000537" w:rsidP="00000537">
            <w:pPr>
              <w:jc w:val="center"/>
              <w:rPr>
                <w:rFonts w:ascii="Times New Roman" w:hAnsi="Times New Roman"/>
                <w:sz w:val="20"/>
              </w:rPr>
            </w:pPr>
            <w:r w:rsidRPr="00000537">
              <w:rPr>
                <w:rFonts w:ascii="Times New Roman" w:hAnsi="Times New Roman"/>
                <w:sz w:val="20"/>
              </w:rPr>
              <w:t>1</w:t>
            </w:r>
          </w:p>
        </w:tc>
        <w:tc>
          <w:tcPr>
            <w:tcW w:w="1239" w:type="dxa"/>
            <w:vAlign w:val="bottom"/>
          </w:tcPr>
          <w:p w:rsidR="00000537" w:rsidRPr="00000537" w:rsidRDefault="00000537" w:rsidP="00000537">
            <w:pPr>
              <w:jc w:val="right"/>
              <w:rPr>
                <w:rFonts w:ascii="Times New Roman" w:hAnsi="Times New Roman"/>
                <w:sz w:val="20"/>
              </w:rPr>
            </w:pPr>
            <w:r w:rsidRPr="00000537">
              <w:rPr>
                <w:rFonts w:ascii="Times New Roman" w:hAnsi="Times New Roman"/>
                <w:sz w:val="20"/>
              </w:rPr>
              <w:t>120 hours</w:t>
            </w:r>
          </w:p>
        </w:tc>
        <w:tc>
          <w:tcPr>
            <w:tcW w:w="1239" w:type="dxa"/>
            <w:vAlign w:val="bottom"/>
          </w:tcPr>
          <w:p w:rsidR="00000537" w:rsidRPr="00000537" w:rsidRDefault="00000537" w:rsidP="00000537">
            <w:pPr>
              <w:jc w:val="right"/>
              <w:rPr>
                <w:rFonts w:ascii="Times New Roman" w:hAnsi="Times New Roman"/>
                <w:sz w:val="20"/>
              </w:rPr>
            </w:pPr>
            <w:r w:rsidRPr="00000537">
              <w:rPr>
                <w:rFonts w:ascii="Times New Roman" w:hAnsi="Times New Roman"/>
                <w:sz w:val="20"/>
              </w:rPr>
              <w:t>129,240</w:t>
            </w:r>
          </w:p>
        </w:tc>
      </w:tr>
      <w:tr w:rsidR="00000537" w:rsidRPr="00000537" w:rsidTr="00000537">
        <w:tc>
          <w:tcPr>
            <w:tcW w:w="4483" w:type="dxa"/>
          </w:tcPr>
          <w:p w:rsidR="00000537" w:rsidRPr="00000537" w:rsidRDefault="00000537" w:rsidP="00000537">
            <w:pPr>
              <w:rPr>
                <w:rFonts w:ascii="Times New Roman" w:hAnsi="Times New Roman"/>
                <w:sz w:val="20"/>
              </w:rPr>
            </w:pPr>
            <w:r w:rsidRPr="00000537">
              <w:rPr>
                <w:rFonts w:ascii="Times New Roman" w:hAnsi="Times New Roman"/>
                <w:sz w:val="20"/>
              </w:rPr>
              <w:t>Section 226.18 (s)&amp;(t)(1) Ongoing (R-1366)</w:t>
            </w:r>
          </w:p>
        </w:tc>
        <w:tc>
          <w:tcPr>
            <w:tcW w:w="1376" w:type="dxa"/>
            <w:vAlign w:val="bottom"/>
          </w:tcPr>
          <w:p w:rsidR="00000537" w:rsidRPr="00000537" w:rsidRDefault="00000537" w:rsidP="00000537">
            <w:pPr>
              <w:jc w:val="center"/>
              <w:rPr>
                <w:rFonts w:ascii="Times New Roman" w:hAnsi="Times New Roman"/>
                <w:sz w:val="20"/>
              </w:rPr>
            </w:pPr>
            <w:r w:rsidRPr="00000537">
              <w:rPr>
                <w:rFonts w:ascii="Times New Roman" w:hAnsi="Times New Roman"/>
                <w:sz w:val="20"/>
              </w:rPr>
              <w:t>1,077</w:t>
            </w:r>
          </w:p>
        </w:tc>
        <w:tc>
          <w:tcPr>
            <w:tcW w:w="1239" w:type="dxa"/>
            <w:vAlign w:val="bottom"/>
          </w:tcPr>
          <w:p w:rsidR="00000537" w:rsidRPr="00000537" w:rsidRDefault="00000537" w:rsidP="00000537">
            <w:pPr>
              <w:jc w:val="center"/>
              <w:rPr>
                <w:rFonts w:ascii="Times New Roman" w:hAnsi="Times New Roman"/>
                <w:sz w:val="20"/>
              </w:rPr>
            </w:pPr>
            <w:r w:rsidRPr="00000537">
              <w:rPr>
                <w:rFonts w:ascii="Times New Roman" w:hAnsi="Times New Roman"/>
                <w:sz w:val="20"/>
              </w:rPr>
              <w:t>12</w:t>
            </w:r>
          </w:p>
        </w:tc>
        <w:tc>
          <w:tcPr>
            <w:tcW w:w="1239" w:type="dxa"/>
            <w:vAlign w:val="bottom"/>
          </w:tcPr>
          <w:p w:rsidR="00000537" w:rsidRPr="00000537" w:rsidRDefault="00000537" w:rsidP="00000537">
            <w:pPr>
              <w:jc w:val="right"/>
              <w:rPr>
                <w:rFonts w:ascii="Times New Roman" w:hAnsi="Times New Roman"/>
                <w:sz w:val="20"/>
              </w:rPr>
            </w:pPr>
            <w:r w:rsidRPr="00000537">
              <w:rPr>
                <w:rFonts w:ascii="Times New Roman" w:hAnsi="Times New Roman"/>
                <w:sz w:val="20"/>
              </w:rPr>
              <w:t>40 hours</w:t>
            </w:r>
          </w:p>
        </w:tc>
        <w:tc>
          <w:tcPr>
            <w:tcW w:w="1239" w:type="dxa"/>
            <w:vAlign w:val="bottom"/>
          </w:tcPr>
          <w:p w:rsidR="00000537" w:rsidRPr="00000537" w:rsidRDefault="00000537" w:rsidP="00000537">
            <w:pPr>
              <w:jc w:val="right"/>
              <w:rPr>
                <w:rFonts w:ascii="Times New Roman" w:hAnsi="Times New Roman"/>
                <w:sz w:val="20"/>
              </w:rPr>
            </w:pPr>
            <w:r w:rsidRPr="00000537">
              <w:rPr>
                <w:rFonts w:ascii="Times New Roman" w:hAnsi="Times New Roman"/>
                <w:sz w:val="20"/>
              </w:rPr>
              <w:t>516,960</w:t>
            </w:r>
          </w:p>
        </w:tc>
      </w:tr>
      <w:tr w:rsidR="00000537" w:rsidRPr="00545F1A" w:rsidTr="00000537">
        <w:tc>
          <w:tcPr>
            <w:tcW w:w="4483" w:type="dxa"/>
          </w:tcPr>
          <w:p w:rsidR="00000537" w:rsidRPr="00545F1A" w:rsidRDefault="00000537" w:rsidP="00000537">
            <w:pPr>
              <w:rPr>
                <w:rFonts w:ascii="Times New Roman" w:hAnsi="Times New Roman"/>
                <w:sz w:val="20"/>
                <w:u w:val="single"/>
              </w:rPr>
            </w:pPr>
          </w:p>
        </w:tc>
        <w:tc>
          <w:tcPr>
            <w:tcW w:w="1376" w:type="dxa"/>
            <w:vAlign w:val="bottom"/>
          </w:tcPr>
          <w:p w:rsidR="00000537" w:rsidRPr="00545F1A" w:rsidRDefault="00000537" w:rsidP="00000537">
            <w:pPr>
              <w:jc w:val="center"/>
              <w:rPr>
                <w:rFonts w:ascii="Times New Roman" w:hAnsi="Times New Roman"/>
                <w:sz w:val="20"/>
              </w:rPr>
            </w:pPr>
          </w:p>
        </w:tc>
        <w:tc>
          <w:tcPr>
            <w:tcW w:w="1239" w:type="dxa"/>
            <w:vAlign w:val="bottom"/>
          </w:tcPr>
          <w:p w:rsidR="00000537" w:rsidRPr="00545F1A" w:rsidRDefault="00000537" w:rsidP="00000537">
            <w:pPr>
              <w:jc w:val="center"/>
              <w:rPr>
                <w:rFonts w:ascii="Times New Roman" w:hAnsi="Times New Roman"/>
                <w:sz w:val="20"/>
              </w:rPr>
            </w:pPr>
          </w:p>
        </w:tc>
        <w:tc>
          <w:tcPr>
            <w:tcW w:w="1239" w:type="dxa"/>
            <w:vAlign w:val="bottom"/>
          </w:tcPr>
          <w:p w:rsidR="00000537" w:rsidRPr="00545F1A" w:rsidRDefault="00000537" w:rsidP="00000537">
            <w:pPr>
              <w:jc w:val="right"/>
              <w:rPr>
                <w:rFonts w:ascii="Times New Roman" w:hAnsi="Times New Roman"/>
                <w:sz w:val="20"/>
              </w:rPr>
            </w:pPr>
          </w:p>
        </w:tc>
        <w:tc>
          <w:tcPr>
            <w:tcW w:w="1239" w:type="dxa"/>
            <w:vAlign w:val="bottom"/>
          </w:tcPr>
          <w:p w:rsidR="00000537" w:rsidRPr="00545F1A" w:rsidRDefault="00000537" w:rsidP="00000537">
            <w:pPr>
              <w:jc w:val="right"/>
              <w:rPr>
                <w:rFonts w:ascii="Times New Roman" w:hAnsi="Times New Roman"/>
                <w:sz w:val="20"/>
                <w:u w:val="single"/>
              </w:rPr>
            </w:pPr>
          </w:p>
        </w:tc>
      </w:tr>
      <w:tr w:rsidR="00000537" w:rsidRPr="00620821" w:rsidTr="00000537">
        <w:tc>
          <w:tcPr>
            <w:tcW w:w="4483" w:type="dxa"/>
          </w:tcPr>
          <w:p w:rsidR="00000537" w:rsidRPr="0020065F" w:rsidRDefault="00000537" w:rsidP="00000537">
            <w:pPr>
              <w:rPr>
                <w:rFonts w:ascii="Times New Roman" w:hAnsi="Times New Roman"/>
                <w:sz w:val="20"/>
                <w:u w:val="single"/>
              </w:rPr>
            </w:pPr>
            <w:r w:rsidRPr="0020065F">
              <w:rPr>
                <w:rFonts w:ascii="Times New Roman" w:hAnsi="Times New Roman"/>
                <w:b/>
                <w:sz w:val="20"/>
                <w:u w:val="single"/>
              </w:rPr>
              <w:t xml:space="preserve">Subparts B &amp; C </w:t>
            </w:r>
            <w:r>
              <w:rPr>
                <w:rFonts w:ascii="Times New Roman" w:hAnsi="Times New Roman"/>
                <w:sz w:val="20"/>
                <w:u w:val="single"/>
              </w:rPr>
              <w:t>(</w:t>
            </w:r>
            <w:r w:rsidRPr="0020065F">
              <w:rPr>
                <w:rFonts w:ascii="Times New Roman" w:hAnsi="Times New Roman"/>
                <w:sz w:val="20"/>
                <w:u w:val="single"/>
              </w:rPr>
              <w:t>Sections 226.16 &amp; 226.24</w:t>
            </w:r>
            <w:r>
              <w:rPr>
                <w:rFonts w:ascii="Times New Roman" w:hAnsi="Times New Roman"/>
                <w:sz w:val="20"/>
                <w:u w:val="single"/>
              </w:rPr>
              <w:t>)</w:t>
            </w:r>
            <w:r w:rsidRPr="0020065F">
              <w:rPr>
                <w:rFonts w:ascii="Times New Roman" w:hAnsi="Times New Roman"/>
                <w:sz w:val="20"/>
                <w:u w:val="single"/>
              </w:rPr>
              <w:t>:</w:t>
            </w:r>
          </w:p>
          <w:p w:rsidR="00000537" w:rsidRPr="0020065F" w:rsidRDefault="00000537" w:rsidP="00000537">
            <w:pPr>
              <w:rPr>
                <w:rFonts w:ascii="Times New Roman" w:hAnsi="Times New Roman"/>
                <w:sz w:val="20"/>
              </w:rPr>
            </w:pPr>
            <w:r w:rsidRPr="0020065F">
              <w:rPr>
                <w:rFonts w:ascii="Times New Roman" w:hAnsi="Times New Roman"/>
                <w:sz w:val="20"/>
              </w:rPr>
              <w:t>Advertising rules</w:t>
            </w:r>
          </w:p>
        </w:tc>
        <w:tc>
          <w:tcPr>
            <w:tcW w:w="1376" w:type="dxa"/>
            <w:vAlign w:val="bottom"/>
          </w:tcPr>
          <w:p w:rsidR="00000537" w:rsidRPr="00620821" w:rsidRDefault="00000537" w:rsidP="00000537">
            <w:pPr>
              <w:jc w:val="center"/>
              <w:rPr>
                <w:rFonts w:ascii="Times New Roman" w:hAnsi="Times New Roman"/>
                <w:sz w:val="20"/>
              </w:rPr>
            </w:pPr>
            <w:r w:rsidRPr="00620821">
              <w:rPr>
                <w:rFonts w:ascii="Times New Roman" w:hAnsi="Times New Roman"/>
                <w:sz w:val="20"/>
              </w:rPr>
              <w:t>1,077</w:t>
            </w:r>
          </w:p>
        </w:tc>
        <w:tc>
          <w:tcPr>
            <w:tcW w:w="1239" w:type="dxa"/>
            <w:vAlign w:val="bottom"/>
          </w:tcPr>
          <w:p w:rsidR="00000537" w:rsidRPr="00620821" w:rsidRDefault="00000537" w:rsidP="00000537">
            <w:pPr>
              <w:jc w:val="center"/>
              <w:rPr>
                <w:rFonts w:ascii="Times New Roman" w:hAnsi="Times New Roman"/>
                <w:sz w:val="20"/>
              </w:rPr>
            </w:pPr>
            <w:r w:rsidRPr="00620821">
              <w:rPr>
                <w:rFonts w:ascii="Times New Roman" w:hAnsi="Times New Roman"/>
                <w:sz w:val="20"/>
              </w:rPr>
              <w:t>5</w:t>
            </w:r>
          </w:p>
        </w:tc>
        <w:tc>
          <w:tcPr>
            <w:tcW w:w="1239" w:type="dxa"/>
            <w:vAlign w:val="bottom"/>
          </w:tcPr>
          <w:p w:rsidR="00000537" w:rsidRPr="00620821" w:rsidRDefault="00000537" w:rsidP="00000537">
            <w:pPr>
              <w:jc w:val="right"/>
              <w:rPr>
                <w:rFonts w:ascii="Times New Roman" w:hAnsi="Times New Roman"/>
                <w:sz w:val="20"/>
              </w:rPr>
            </w:pPr>
            <w:r w:rsidRPr="00620821">
              <w:rPr>
                <w:rFonts w:ascii="Times New Roman" w:hAnsi="Times New Roman"/>
                <w:sz w:val="20"/>
              </w:rPr>
              <w:t>25 min</w:t>
            </w:r>
          </w:p>
        </w:tc>
        <w:tc>
          <w:tcPr>
            <w:tcW w:w="1239" w:type="dxa"/>
            <w:vAlign w:val="bottom"/>
          </w:tcPr>
          <w:p w:rsidR="00000537" w:rsidRPr="00620821" w:rsidRDefault="00000537" w:rsidP="00000537">
            <w:pPr>
              <w:jc w:val="right"/>
              <w:rPr>
                <w:rFonts w:ascii="Times New Roman" w:hAnsi="Times New Roman"/>
                <w:sz w:val="20"/>
              </w:rPr>
            </w:pPr>
            <w:r w:rsidRPr="00620821">
              <w:rPr>
                <w:rFonts w:ascii="Times New Roman" w:hAnsi="Times New Roman"/>
                <w:sz w:val="20"/>
              </w:rPr>
              <w:t>2,244</w:t>
            </w:r>
          </w:p>
        </w:tc>
      </w:tr>
      <w:tr w:rsidR="00000537" w:rsidRPr="00620821" w:rsidTr="00000537">
        <w:tc>
          <w:tcPr>
            <w:tcW w:w="4483" w:type="dxa"/>
          </w:tcPr>
          <w:p w:rsidR="00000537" w:rsidRPr="0020065F" w:rsidRDefault="00000537" w:rsidP="00000537">
            <w:pPr>
              <w:rPr>
                <w:rFonts w:ascii="Times New Roman" w:hAnsi="Times New Roman"/>
                <w:sz w:val="20"/>
              </w:rPr>
            </w:pPr>
          </w:p>
        </w:tc>
        <w:tc>
          <w:tcPr>
            <w:tcW w:w="1376" w:type="dxa"/>
            <w:vAlign w:val="bottom"/>
          </w:tcPr>
          <w:p w:rsidR="00000537" w:rsidRPr="00620821" w:rsidRDefault="00000537" w:rsidP="00000537">
            <w:pPr>
              <w:jc w:val="center"/>
              <w:rPr>
                <w:rFonts w:ascii="Times New Roman" w:hAnsi="Times New Roman"/>
                <w:sz w:val="20"/>
              </w:rPr>
            </w:pPr>
          </w:p>
        </w:tc>
        <w:tc>
          <w:tcPr>
            <w:tcW w:w="1239" w:type="dxa"/>
            <w:vAlign w:val="bottom"/>
          </w:tcPr>
          <w:p w:rsidR="00000537" w:rsidRPr="00620821" w:rsidRDefault="00000537" w:rsidP="00000537">
            <w:pPr>
              <w:jc w:val="center"/>
              <w:rPr>
                <w:rFonts w:ascii="Times New Roman" w:hAnsi="Times New Roman"/>
                <w:sz w:val="20"/>
              </w:rPr>
            </w:pPr>
          </w:p>
        </w:tc>
        <w:tc>
          <w:tcPr>
            <w:tcW w:w="1239" w:type="dxa"/>
            <w:vAlign w:val="bottom"/>
          </w:tcPr>
          <w:p w:rsidR="00000537" w:rsidRPr="00620821" w:rsidRDefault="00000537" w:rsidP="00000537">
            <w:pPr>
              <w:jc w:val="right"/>
              <w:rPr>
                <w:rFonts w:ascii="Times New Roman" w:hAnsi="Times New Roman"/>
                <w:sz w:val="20"/>
              </w:rPr>
            </w:pPr>
          </w:p>
        </w:tc>
        <w:tc>
          <w:tcPr>
            <w:tcW w:w="1239" w:type="dxa"/>
            <w:vAlign w:val="bottom"/>
          </w:tcPr>
          <w:p w:rsidR="00000537" w:rsidRPr="00620821" w:rsidRDefault="00000537" w:rsidP="00000537">
            <w:pPr>
              <w:jc w:val="right"/>
              <w:rPr>
                <w:rFonts w:ascii="Times New Roman" w:hAnsi="Times New Roman"/>
                <w:sz w:val="20"/>
              </w:rPr>
            </w:pPr>
          </w:p>
        </w:tc>
      </w:tr>
      <w:tr w:rsidR="00000537" w:rsidRPr="00620821" w:rsidTr="00000537">
        <w:tc>
          <w:tcPr>
            <w:tcW w:w="4483" w:type="dxa"/>
          </w:tcPr>
          <w:p w:rsidR="00000537" w:rsidRPr="0020065F" w:rsidRDefault="00000537" w:rsidP="00000537">
            <w:pPr>
              <w:rPr>
                <w:rFonts w:ascii="Times New Roman" w:hAnsi="Times New Roman"/>
                <w:b/>
                <w:sz w:val="20"/>
                <w:u w:val="single"/>
              </w:rPr>
            </w:pPr>
            <w:r w:rsidRPr="0020065F">
              <w:rPr>
                <w:rFonts w:ascii="Times New Roman" w:hAnsi="Times New Roman"/>
                <w:b/>
                <w:sz w:val="20"/>
                <w:u w:val="single"/>
              </w:rPr>
              <w:t>Subpart E:</w:t>
            </w:r>
          </w:p>
          <w:p w:rsidR="00000537" w:rsidRPr="0020065F" w:rsidRDefault="00000537" w:rsidP="00000537">
            <w:pPr>
              <w:rPr>
                <w:rFonts w:ascii="Times New Roman" w:hAnsi="Times New Roman"/>
                <w:sz w:val="20"/>
              </w:rPr>
            </w:pPr>
            <w:r w:rsidRPr="0020065F">
              <w:rPr>
                <w:rFonts w:ascii="Times New Roman" w:hAnsi="Times New Roman"/>
                <w:sz w:val="20"/>
              </w:rPr>
              <w:t xml:space="preserve">Pre-closing disclosure </w:t>
            </w:r>
            <w:r>
              <w:rPr>
                <w:rFonts w:ascii="Times New Roman" w:hAnsi="Times New Roman"/>
                <w:sz w:val="20"/>
              </w:rPr>
              <w:t>(</w:t>
            </w:r>
            <w:r w:rsidRPr="0020065F">
              <w:rPr>
                <w:rFonts w:ascii="Times New Roman" w:hAnsi="Times New Roman"/>
                <w:sz w:val="20"/>
              </w:rPr>
              <w:t>Sections 226.31-226.45</w:t>
            </w:r>
            <w:r>
              <w:rPr>
                <w:rFonts w:ascii="Times New Roman" w:hAnsi="Times New Roman"/>
                <w:sz w:val="20"/>
              </w:rPr>
              <w:t>)</w:t>
            </w:r>
          </w:p>
        </w:tc>
        <w:tc>
          <w:tcPr>
            <w:tcW w:w="1376" w:type="dxa"/>
            <w:vAlign w:val="bottom"/>
          </w:tcPr>
          <w:p w:rsidR="00000537" w:rsidRPr="00620821" w:rsidRDefault="00000537" w:rsidP="00000537">
            <w:pPr>
              <w:jc w:val="center"/>
              <w:rPr>
                <w:rFonts w:ascii="Times New Roman" w:hAnsi="Times New Roman"/>
                <w:sz w:val="20"/>
              </w:rPr>
            </w:pPr>
            <w:r w:rsidRPr="00620821">
              <w:rPr>
                <w:rFonts w:ascii="Times New Roman" w:hAnsi="Times New Roman"/>
                <w:sz w:val="20"/>
              </w:rPr>
              <w:t>30</w:t>
            </w:r>
          </w:p>
        </w:tc>
        <w:tc>
          <w:tcPr>
            <w:tcW w:w="1239" w:type="dxa"/>
            <w:vAlign w:val="bottom"/>
          </w:tcPr>
          <w:p w:rsidR="00000537" w:rsidRPr="00620821" w:rsidRDefault="00000537" w:rsidP="00000537">
            <w:pPr>
              <w:jc w:val="center"/>
              <w:rPr>
                <w:rFonts w:ascii="Times New Roman" w:hAnsi="Times New Roman"/>
                <w:sz w:val="20"/>
              </w:rPr>
            </w:pPr>
            <w:r w:rsidRPr="00620821">
              <w:rPr>
                <w:rFonts w:ascii="Times New Roman" w:hAnsi="Times New Roman"/>
                <w:sz w:val="20"/>
              </w:rPr>
              <w:t>250</w:t>
            </w:r>
          </w:p>
        </w:tc>
        <w:tc>
          <w:tcPr>
            <w:tcW w:w="1239" w:type="dxa"/>
            <w:vAlign w:val="bottom"/>
          </w:tcPr>
          <w:p w:rsidR="00000537" w:rsidRPr="00620821" w:rsidRDefault="00000537" w:rsidP="00000537">
            <w:pPr>
              <w:jc w:val="right"/>
              <w:rPr>
                <w:rFonts w:ascii="Times New Roman" w:hAnsi="Times New Roman"/>
                <w:sz w:val="20"/>
              </w:rPr>
            </w:pPr>
            <w:r w:rsidRPr="00620821">
              <w:rPr>
                <w:rFonts w:ascii="Times New Roman" w:hAnsi="Times New Roman"/>
                <w:sz w:val="20"/>
              </w:rPr>
              <w:t>3 min</w:t>
            </w:r>
          </w:p>
        </w:tc>
        <w:tc>
          <w:tcPr>
            <w:tcW w:w="1239" w:type="dxa"/>
            <w:vAlign w:val="bottom"/>
          </w:tcPr>
          <w:p w:rsidR="00000537" w:rsidRPr="00620821" w:rsidRDefault="00000537" w:rsidP="00000537">
            <w:pPr>
              <w:jc w:val="right"/>
              <w:rPr>
                <w:rFonts w:ascii="Times New Roman" w:hAnsi="Times New Roman"/>
                <w:sz w:val="20"/>
              </w:rPr>
            </w:pPr>
            <w:r w:rsidRPr="00620821">
              <w:rPr>
                <w:rFonts w:ascii="Times New Roman" w:hAnsi="Times New Roman"/>
                <w:sz w:val="20"/>
              </w:rPr>
              <w:t>375</w:t>
            </w:r>
          </w:p>
        </w:tc>
      </w:tr>
      <w:tr w:rsidR="00000537" w:rsidRPr="00620821" w:rsidTr="00000537">
        <w:tc>
          <w:tcPr>
            <w:tcW w:w="4483" w:type="dxa"/>
            <w:vAlign w:val="bottom"/>
          </w:tcPr>
          <w:p w:rsidR="00000537" w:rsidRPr="0020065F" w:rsidRDefault="00000537" w:rsidP="00000537">
            <w:pPr>
              <w:rPr>
                <w:rFonts w:ascii="Times New Roman" w:hAnsi="Times New Roman"/>
                <w:sz w:val="20"/>
              </w:rPr>
            </w:pPr>
            <w:r w:rsidRPr="0020065F">
              <w:rPr>
                <w:rFonts w:ascii="Times New Roman" w:hAnsi="Times New Roman"/>
                <w:sz w:val="20"/>
              </w:rPr>
              <w:t xml:space="preserve">Mortgage transfer disclosure </w:t>
            </w:r>
            <w:r>
              <w:rPr>
                <w:rFonts w:ascii="Times New Roman" w:hAnsi="Times New Roman"/>
                <w:sz w:val="20"/>
              </w:rPr>
              <w:t>(</w:t>
            </w:r>
            <w:r w:rsidRPr="0020065F">
              <w:rPr>
                <w:rFonts w:ascii="Times New Roman" w:hAnsi="Times New Roman"/>
                <w:sz w:val="20"/>
              </w:rPr>
              <w:t>Section 226.39</w:t>
            </w:r>
            <w:r>
              <w:rPr>
                <w:rFonts w:ascii="Times New Roman" w:hAnsi="Times New Roman"/>
                <w:sz w:val="20"/>
              </w:rPr>
              <w:t>)</w:t>
            </w:r>
          </w:p>
        </w:tc>
        <w:tc>
          <w:tcPr>
            <w:tcW w:w="1376" w:type="dxa"/>
            <w:vAlign w:val="bottom"/>
          </w:tcPr>
          <w:p w:rsidR="00000537" w:rsidRPr="00620821" w:rsidRDefault="00000537" w:rsidP="00000537">
            <w:pPr>
              <w:jc w:val="center"/>
              <w:rPr>
                <w:rFonts w:ascii="Times New Roman" w:hAnsi="Times New Roman"/>
                <w:sz w:val="20"/>
              </w:rPr>
            </w:pPr>
            <w:r w:rsidRPr="00620821">
              <w:rPr>
                <w:rFonts w:ascii="Times New Roman" w:hAnsi="Times New Roman"/>
                <w:sz w:val="20"/>
              </w:rPr>
              <w:t>68</w:t>
            </w:r>
          </w:p>
        </w:tc>
        <w:tc>
          <w:tcPr>
            <w:tcW w:w="1239" w:type="dxa"/>
            <w:vAlign w:val="bottom"/>
          </w:tcPr>
          <w:p w:rsidR="00000537" w:rsidRPr="00620821" w:rsidRDefault="00000537" w:rsidP="00000537">
            <w:pPr>
              <w:jc w:val="center"/>
              <w:rPr>
                <w:rFonts w:ascii="Times New Roman" w:hAnsi="Times New Roman"/>
                <w:sz w:val="20"/>
              </w:rPr>
            </w:pPr>
            <w:r w:rsidRPr="00620821">
              <w:rPr>
                <w:rFonts w:ascii="Times New Roman" w:hAnsi="Times New Roman"/>
                <w:sz w:val="20"/>
              </w:rPr>
              <w:t>12</w:t>
            </w:r>
          </w:p>
        </w:tc>
        <w:tc>
          <w:tcPr>
            <w:tcW w:w="1239" w:type="dxa"/>
            <w:vAlign w:val="bottom"/>
          </w:tcPr>
          <w:p w:rsidR="00000537" w:rsidRPr="00620821" w:rsidRDefault="00000537" w:rsidP="00000537">
            <w:pPr>
              <w:jc w:val="right"/>
              <w:rPr>
                <w:rFonts w:ascii="Times New Roman" w:hAnsi="Times New Roman"/>
                <w:sz w:val="20"/>
              </w:rPr>
            </w:pPr>
            <w:r w:rsidRPr="00620821">
              <w:rPr>
                <w:rFonts w:ascii="Times New Roman" w:hAnsi="Times New Roman"/>
                <w:sz w:val="20"/>
              </w:rPr>
              <w:t>8 hours</w:t>
            </w:r>
          </w:p>
        </w:tc>
        <w:tc>
          <w:tcPr>
            <w:tcW w:w="1239" w:type="dxa"/>
            <w:vAlign w:val="bottom"/>
          </w:tcPr>
          <w:p w:rsidR="00000537" w:rsidRPr="00620821" w:rsidRDefault="00000537" w:rsidP="00000537">
            <w:pPr>
              <w:jc w:val="right"/>
              <w:rPr>
                <w:rFonts w:ascii="Times New Roman" w:hAnsi="Times New Roman"/>
                <w:sz w:val="20"/>
              </w:rPr>
            </w:pPr>
            <w:r w:rsidRPr="00620821">
              <w:rPr>
                <w:rFonts w:ascii="Times New Roman" w:hAnsi="Times New Roman"/>
                <w:sz w:val="20"/>
              </w:rPr>
              <w:t>6,528</w:t>
            </w:r>
          </w:p>
        </w:tc>
      </w:tr>
      <w:tr w:rsidR="00000537" w:rsidRPr="00D06592" w:rsidTr="00000537">
        <w:tc>
          <w:tcPr>
            <w:tcW w:w="4483" w:type="dxa"/>
            <w:vAlign w:val="bottom"/>
          </w:tcPr>
          <w:p w:rsidR="00794084" w:rsidRPr="00D06592" w:rsidRDefault="00794084" w:rsidP="00000537">
            <w:pPr>
              <w:rPr>
                <w:rFonts w:ascii="Times New Roman" w:hAnsi="Times New Roman"/>
                <w:b/>
                <w:sz w:val="20"/>
              </w:rPr>
            </w:pPr>
            <w:r w:rsidRPr="00D06592">
              <w:rPr>
                <w:rFonts w:ascii="Times New Roman" w:hAnsi="Times New Roman"/>
                <w:b/>
                <w:sz w:val="20"/>
              </w:rPr>
              <w:t xml:space="preserve">Valuation Independence </w:t>
            </w:r>
          </w:p>
          <w:p w:rsidR="00000537" w:rsidRPr="00D06592" w:rsidRDefault="00794084" w:rsidP="00000537">
            <w:pPr>
              <w:rPr>
                <w:rFonts w:ascii="Times New Roman" w:hAnsi="Times New Roman"/>
                <w:b/>
                <w:sz w:val="20"/>
              </w:rPr>
            </w:pPr>
            <w:r w:rsidRPr="00D06592">
              <w:rPr>
                <w:rFonts w:ascii="Times New Roman" w:hAnsi="Times New Roman"/>
                <w:b/>
                <w:sz w:val="20"/>
              </w:rPr>
              <w:t>(Section 226.42) One-time R-1394</w:t>
            </w:r>
          </w:p>
        </w:tc>
        <w:tc>
          <w:tcPr>
            <w:tcW w:w="1376" w:type="dxa"/>
            <w:vAlign w:val="bottom"/>
          </w:tcPr>
          <w:p w:rsidR="00000537" w:rsidRPr="00D06592" w:rsidRDefault="00794084" w:rsidP="00000537">
            <w:pPr>
              <w:jc w:val="center"/>
              <w:rPr>
                <w:rFonts w:ascii="Times New Roman" w:hAnsi="Times New Roman"/>
                <w:b/>
                <w:sz w:val="20"/>
              </w:rPr>
            </w:pPr>
            <w:r w:rsidRPr="00D06592">
              <w:rPr>
                <w:rFonts w:ascii="Times New Roman" w:hAnsi="Times New Roman"/>
                <w:b/>
                <w:sz w:val="20"/>
              </w:rPr>
              <w:t>567</w:t>
            </w:r>
          </w:p>
        </w:tc>
        <w:tc>
          <w:tcPr>
            <w:tcW w:w="1239" w:type="dxa"/>
            <w:vAlign w:val="bottom"/>
          </w:tcPr>
          <w:p w:rsidR="00000537" w:rsidRPr="00D06592" w:rsidRDefault="00794084" w:rsidP="00000537">
            <w:pPr>
              <w:jc w:val="center"/>
              <w:rPr>
                <w:rFonts w:ascii="Times New Roman" w:hAnsi="Times New Roman"/>
                <w:b/>
                <w:sz w:val="20"/>
              </w:rPr>
            </w:pPr>
            <w:r w:rsidRPr="00D06592">
              <w:rPr>
                <w:rFonts w:ascii="Times New Roman" w:hAnsi="Times New Roman"/>
                <w:b/>
                <w:sz w:val="20"/>
              </w:rPr>
              <w:t>1</w:t>
            </w:r>
          </w:p>
        </w:tc>
        <w:tc>
          <w:tcPr>
            <w:tcW w:w="1239" w:type="dxa"/>
            <w:vAlign w:val="bottom"/>
          </w:tcPr>
          <w:p w:rsidR="00000537" w:rsidRPr="00D06592" w:rsidRDefault="00794084" w:rsidP="00000537">
            <w:pPr>
              <w:jc w:val="right"/>
              <w:rPr>
                <w:rFonts w:ascii="Times New Roman" w:hAnsi="Times New Roman"/>
                <w:b/>
                <w:sz w:val="20"/>
              </w:rPr>
            </w:pPr>
            <w:r w:rsidRPr="00D06592">
              <w:rPr>
                <w:rFonts w:ascii="Times New Roman" w:hAnsi="Times New Roman"/>
                <w:b/>
                <w:sz w:val="20"/>
              </w:rPr>
              <w:t>40 hours</w:t>
            </w:r>
          </w:p>
        </w:tc>
        <w:tc>
          <w:tcPr>
            <w:tcW w:w="1239" w:type="dxa"/>
            <w:vAlign w:val="bottom"/>
          </w:tcPr>
          <w:p w:rsidR="00000537" w:rsidRPr="00D06592" w:rsidRDefault="00794084" w:rsidP="00000537">
            <w:pPr>
              <w:jc w:val="right"/>
              <w:rPr>
                <w:rFonts w:ascii="Times New Roman" w:hAnsi="Times New Roman"/>
                <w:b/>
                <w:sz w:val="20"/>
              </w:rPr>
            </w:pPr>
            <w:r w:rsidRPr="00D06592">
              <w:rPr>
                <w:rFonts w:ascii="Times New Roman" w:hAnsi="Times New Roman"/>
                <w:b/>
                <w:sz w:val="20"/>
              </w:rPr>
              <w:t>22,680</w:t>
            </w:r>
          </w:p>
        </w:tc>
      </w:tr>
      <w:tr w:rsidR="00030373" w:rsidRPr="00620821" w:rsidTr="00000537">
        <w:tc>
          <w:tcPr>
            <w:tcW w:w="4483" w:type="dxa"/>
          </w:tcPr>
          <w:p w:rsidR="00030373" w:rsidRPr="0020065F" w:rsidRDefault="00030373" w:rsidP="00000537">
            <w:pPr>
              <w:rPr>
                <w:rFonts w:ascii="Times New Roman" w:hAnsi="Times New Roman"/>
                <w:b/>
                <w:sz w:val="20"/>
                <w:u w:val="single"/>
              </w:rPr>
            </w:pPr>
          </w:p>
        </w:tc>
        <w:tc>
          <w:tcPr>
            <w:tcW w:w="1376" w:type="dxa"/>
            <w:vAlign w:val="bottom"/>
          </w:tcPr>
          <w:p w:rsidR="00030373" w:rsidRPr="00620821" w:rsidRDefault="00030373" w:rsidP="00000537">
            <w:pPr>
              <w:jc w:val="center"/>
              <w:rPr>
                <w:rFonts w:ascii="Times New Roman" w:hAnsi="Times New Roman"/>
                <w:b/>
                <w:sz w:val="20"/>
              </w:rPr>
            </w:pPr>
          </w:p>
        </w:tc>
        <w:tc>
          <w:tcPr>
            <w:tcW w:w="1239" w:type="dxa"/>
            <w:vAlign w:val="bottom"/>
          </w:tcPr>
          <w:p w:rsidR="00030373" w:rsidRPr="00620821" w:rsidRDefault="00030373" w:rsidP="00000537">
            <w:pPr>
              <w:jc w:val="center"/>
              <w:rPr>
                <w:rFonts w:ascii="Times New Roman" w:hAnsi="Times New Roman"/>
                <w:b/>
                <w:sz w:val="20"/>
              </w:rPr>
            </w:pPr>
          </w:p>
        </w:tc>
        <w:tc>
          <w:tcPr>
            <w:tcW w:w="1239" w:type="dxa"/>
            <w:vAlign w:val="bottom"/>
          </w:tcPr>
          <w:p w:rsidR="00030373" w:rsidRPr="00620821" w:rsidRDefault="00030373" w:rsidP="00000537">
            <w:pPr>
              <w:jc w:val="right"/>
              <w:rPr>
                <w:rFonts w:ascii="Times New Roman" w:hAnsi="Times New Roman"/>
                <w:b/>
                <w:sz w:val="20"/>
              </w:rPr>
            </w:pPr>
          </w:p>
        </w:tc>
        <w:tc>
          <w:tcPr>
            <w:tcW w:w="1239" w:type="dxa"/>
            <w:vAlign w:val="bottom"/>
          </w:tcPr>
          <w:p w:rsidR="00030373" w:rsidRPr="00620821" w:rsidRDefault="00030373" w:rsidP="00000537">
            <w:pPr>
              <w:jc w:val="right"/>
              <w:rPr>
                <w:rFonts w:ascii="Times New Roman" w:hAnsi="Times New Roman"/>
                <w:b/>
                <w:sz w:val="20"/>
              </w:rPr>
            </w:pPr>
          </w:p>
        </w:tc>
      </w:tr>
      <w:tr w:rsidR="00000537" w:rsidRPr="00620821" w:rsidTr="00000537">
        <w:tc>
          <w:tcPr>
            <w:tcW w:w="4483" w:type="dxa"/>
          </w:tcPr>
          <w:p w:rsidR="00000537" w:rsidRPr="0020065F" w:rsidRDefault="00000537" w:rsidP="00000537">
            <w:pPr>
              <w:rPr>
                <w:rFonts w:ascii="Times New Roman" w:hAnsi="Times New Roman"/>
                <w:b/>
                <w:sz w:val="20"/>
                <w:u w:val="single"/>
              </w:rPr>
            </w:pPr>
            <w:r w:rsidRPr="0020065F">
              <w:rPr>
                <w:rFonts w:ascii="Times New Roman" w:hAnsi="Times New Roman"/>
                <w:b/>
                <w:sz w:val="20"/>
                <w:u w:val="single"/>
              </w:rPr>
              <w:t>Subpart F</w:t>
            </w:r>
            <w:r>
              <w:rPr>
                <w:rFonts w:ascii="Times New Roman" w:hAnsi="Times New Roman"/>
                <w:b/>
                <w:sz w:val="20"/>
                <w:u w:val="single"/>
              </w:rPr>
              <w:t>:</w:t>
            </w:r>
            <w:r w:rsidRPr="0020065F">
              <w:rPr>
                <w:rFonts w:ascii="Times New Roman" w:hAnsi="Times New Roman"/>
                <w:b/>
                <w:sz w:val="20"/>
                <w:u w:val="single"/>
              </w:rPr>
              <w:t xml:space="preserve"> </w:t>
            </w:r>
          </w:p>
        </w:tc>
        <w:tc>
          <w:tcPr>
            <w:tcW w:w="1376" w:type="dxa"/>
            <w:vAlign w:val="bottom"/>
          </w:tcPr>
          <w:p w:rsidR="00000537" w:rsidRPr="00620821" w:rsidRDefault="00000537" w:rsidP="00000537">
            <w:pPr>
              <w:jc w:val="center"/>
              <w:rPr>
                <w:rFonts w:ascii="Times New Roman" w:hAnsi="Times New Roman"/>
                <w:b/>
                <w:sz w:val="20"/>
              </w:rPr>
            </w:pPr>
          </w:p>
        </w:tc>
        <w:tc>
          <w:tcPr>
            <w:tcW w:w="1239" w:type="dxa"/>
            <w:vAlign w:val="bottom"/>
          </w:tcPr>
          <w:p w:rsidR="00000537" w:rsidRPr="00620821" w:rsidRDefault="00000537" w:rsidP="00000537">
            <w:pPr>
              <w:jc w:val="center"/>
              <w:rPr>
                <w:rFonts w:ascii="Times New Roman" w:hAnsi="Times New Roman"/>
                <w:b/>
                <w:sz w:val="20"/>
              </w:rPr>
            </w:pPr>
          </w:p>
        </w:tc>
        <w:tc>
          <w:tcPr>
            <w:tcW w:w="1239" w:type="dxa"/>
            <w:vAlign w:val="bottom"/>
          </w:tcPr>
          <w:p w:rsidR="00000537" w:rsidRPr="00620821" w:rsidRDefault="00000537" w:rsidP="00000537">
            <w:pPr>
              <w:jc w:val="right"/>
              <w:rPr>
                <w:rFonts w:ascii="Times New Roman" w:hAnsi="Times New Roman"/>
                <w:b/>
                <w:sz w:val="20"/>
              </w:rPr>
            </w:pPr>
          </w:p>
        </w:tc>
        <w:tc>
          <w:tcPr>
            <w:tcW w:w="1239" w:type="dxa"/>
            <w:vAlign w:val="bottom"/>
          </w:tcPr>
          <w:p w:rsidR="00000537" w:rsidRPr="00620821" w:rsidRDefault="00000537" w:rsidP="00000537">
            <w:pPr>
              <w:jc w:val="right"/>
              <w:rPr>
                <w:rFonts w:ascii="Times New Roman" w:hAnsi="Times New Roman"/>
                <w:b/>
                <w:sz w:val="20"/>
              </w:rPr>
            </w:pPr>
          </w:p>
        </w:tc>
      </w:tr>
      <w:tr w:rsidR="00000537" w:rsidRPr="00620821" w:rsidTr="00000537">
        <w:tc>
          <w:tcPr>
            <w:tcW w:w="4483" w:type="dxa"/>
          </w:tcPr>
          <w:p w:rsidR="00000537" w:rsidRPr="0020065F" w:rsidRDefault="00000537" w:rsidP="00000537">
            <w:pPr>
              <w:rPr>
                <w:rFonts w:ascii="Times New Roman" w:hAnsi="Times New Roman"/>
                <w:sz w:val="20"/>
              </w:rPr>
            </w:pPr>
            <w:r w:rsidRPr="0020065F">
              <w:rPr>
                <w:rFonts w:ascii="Times New Roman" w:hAnsi="Times New Roman"/>
                <w:sz w:val="20"/>
              </w:rPr>
              <w:t xml:space="preserve">Private student loan disclosures </w:t>
            </w:r>
            <w:r>
              <w:rPr>
                <w:rFonts w:ascii="Times New Roman" w:hAnsi="Times New Roman"/>
                <w:sz w:val="20"/>
              </w:rPr>
              <w:t>(</w:t>
            </w:r>
            <w:r w:rsidRPr="0020065F">
              <w:rPr>
                <w:rFonts w:ascii="Times New Roman" w:hAnsi="Times New Roman"/>
                <w:sz w:val="20"/>
              </w:rPr>
              <w:t>Section 226.46</w:t>
            </w:r>
            <w:r>
              <w:rPr>
                <w:rFonts w:ascii="Times New Roman" w:hAnsi="Times New Roman"/>
                <w:sz w:val="20"/>
              </w:rPr>
              <w:t>)</w:t>
            </w:r>
            <w:r w:rsidRPr="00C9470B">
              <w:rPr>
                <w:rStyle w:val="FootnoteReference"/>
                <w:sz w:val="20"/>
                <w:vertAlign w:val="superscript"/>
              </w:rPr>
              <w:footnoteReference w:id="14"/>
            </w:r>
          </w:p>
        </w:tc>
        <w:tc>
          <w:tcPr>
            <w:tcW w:w="1376" w:type="dxa"/>
            <w:vAlign w:val="bottom"/>
          </w:tcPr>
          <w:p w:rsidR="00000537" w:rsidRPr="00620821" w:rsidRDefault="00000537" w:rsidP="00000537">
            <w:pPr>
              <w:jc w:val="center"/>
              <w:rPr>
                <w:rFonts w:ascii="Times New Roman" w:hAnsi="Times New Roman"/>
                <w:sz w:val="20"/>
              </w:rPr>
            </w:pPr>
            <w:r w:rsidRPr="00620821">
              <w:rPr>
                <w:rFonts w:ascii="Times New Roman" w:hAnsi="Times New Roman"/>
                <w:sz w:val="20"/>
              </w:rPr>
              <w:t>1,075</w:t>
            </w:r>
          </w:p>
        </w:tc>
        <w:tc>
          <w:tcPr>
            <w:tcW w:w="1239" w:type="dxa"/>
            <w:vAlign w:val="bottom"/>
          </w:tcPr>
          <w:p w:rsidR="00000537" w:rsidRPr="00620821" w:rsidRDefault="00000537" w:rsidP="00000537">
            <w:pPr>
              <w:jc w:val="center"/>
              <w:rPr>
                <w:rFonts w:ascii="Times New Roman" w:hAnsi="Times New Roman"/>
                <w:sz w:val="20"/>
              </w:rPr>
            </w:pPr>
            <w:r w:rsidRPr="00620821">
              <w:rPr>
                <w:rFonts w:ascii="Times New Roman" w:hAnsi="Times New Roman"/>
                <w:sz w:val="20"/>
              </w:rPr>
              <w:t>12</w:t>
            </w:r>
          </w:p>
        </w:tc>
        <w:tc>
          <w:tcPr>
            <w:tcW w:w="1239" w:type="dxa"/>
            <w:vAlign w:val="bottom"/>
          </w:tcPr>
          <w:p w:rsidR="00000537" w:rsidRPr="00620821" w:rsidRDefault="00000537" w:rsidP="00000537">
            <w:pPr>
              <w:jc w:val="right"/>
              <w:rPr>
                <w:rFonts w:ascii="Times New Roman" w:hAnsi="Times New Roman"/>
                <w:sz w:val="20"/>
              </w:rPr>
            </w:pPr>
            <w:r w:rsidRPr="00620821">
              <w:rPr>
                <w:rFonts w:ascii="Times New Roman" w:hAnsi="Times New Roman"/>
                <w:sz w:val="20"/>
              </w:rPr>
              <w:t>17 hours</w:t>
            </w:r>
          </w:p>
        </w:tc>
        <w:tc>
          <w:tcPr>
            <w:tcW w:w="1239" w:type="dxa"/>
            <w:vAlign w:val="bottom"/>
          </w:tcPr>
          <w:p w:rsidR="00000537" w:rsidRPr="00620821" w:rsidRDefault="00000537" w:rsidP="00000537">
            <w:pPr>
              <w:jc w:val="right"/>
              <w:rPr>
                <w:rFonts w:ascii="Times New Roman" w:hAnsi="Times New Roman"/>
                <w:sz w:val="20"/>
              </w:rPr>
            </w:pPr>
            <w:r w:rsidRPr="00620821">
              <w:rPr>
                <w:rFonts w:ascii="Times New Roman" w:hAnsi="Times New Roman"/>
                <w:sz w:val="20"/>
              </w:rPr>
              <w:t>219,300</w:t>
            </w:r>
          </w:p>
        </w:tc>
      </w:tr>
      <w:tr w:rsidR="00000537" w:rsidRPr="00620821" w:rsidTr="00000537">
        <w:tc>
          <w:tcPr>
            <w:tcW w:w="4483" w:type="dxa"/>
          </w:tcPr>
          <w:p w:rsidR="00000537" w:rsidRPr="0020065F" w:rsidRDefault="00000537" w:rsidP="00000537">
            <w:pPr>
              <w:rPr>
                <w:rFonts w:ascii="Times New Roman" w:hAnsi="Times New Roman"/>
                <w:sz w:val="20"/>
              </w:rPr>
            </w:pPr>
          </w:p>
        </w:tc>
        <w:tc>
          <w:tcPr>
            <w:tcW w:w="1376" w:type="dxa"/>
            <w:vAlign w:val="bottom"/>
          </w:tcPr>
          <w:p w:rsidR="00000537" w:rsidRPr="00620821" w:rsidRDefault="00000537" w:rsidP="00000537">
            <w:pPr>
              <w:jc w:val="center"/>
              <w:rPr>
                <w:rFonts w:ascii="Times New Roman" w:hAnsi="Times New Roman"/>
                <w:sz w:val="20"/>
              </w:rPr>
            </w:pPr>
          </w:p>
        </w:tc>
        <w:tc>
          <w:tcPr>
            <w:tcW w:w="1239" w:type="dxa"/>
            <w:vAlign w:val="bottom"/>
          </w:tcPr>
          <w:p w:rsidR="00000537" w:rsidRPr="00620821" w:rsidRDefault="00000537" w:rsidP="00000537">
            <w:pPr>
              <w:jc w:val="center"/>
              <w:rPr>
                <w:rFonts w:ascii="Times New Roman" w:hAnsi="Times New Roman"/>
                <w:sz w:val="20"/>
              </w:rPr>
            </w:pPr>
          </w:p>
        </w:tc>
        <w:tc>
          <w:tcPr>
            <w:tcW w:w="1239" w:type="dxa"/>
            <w:vAlign w:val="bottom"/>
          </w:tcPr>
          <w:p w:rsidR="00000537" w:rsidRPr="00620821" w:rsidRDefault="00000537" w:rsidP="00000537">
            <w:pPr>
              <w:jc w:val="right"/>
              <w:rPr>
                <w:rFonts w:ascii="Times New Roman" w:hAnsi="Times New Roman"/>
                <w:sz w:val="20"/>
              </w:rPr>
            </w:pPr>
          </w:p>
        </w:tc>
        <w:tc>
          <w:tcPr>
            <w:tcW w:w="1239" w:type="dxa"/>
            <w:vAlign w:val="bottom"/>
          </w:tcPr>
          <w:p w:rsidR="00000537" w:rsidRPr="00620821" w:rsidRDefault="00000537" w:rsidP="00000537">
            <w:pPr>
              <w:jc w:val="right"/>
              <w:rPr>
                <w:rFonts w:ascii="Times New Roman" w:hAnsi="Times New Roman"/>
                <w:sz w:val="20"/>
              </w:rPr>
            </w:pPr>
          </w:p>
        </w:tc>
      </w:tr>
      <w:tr w:rsidR="00000537" w:rsidRPr="002D2A3B" w:rsidTr="00000537">
        <w:trPr>
          <w:trHeight w:val="125"/>
        </w:trPr>
        <w:tc>
          <w:tcPr>
            <w:tcW w:w="4483" w:type="dxa"/>
          </w:tcPr>
          <w:p w:rsidR="00000537" w:rsidRPr="002D2A3B" w:rsidRDefault="00000537" w:rsidP="00000537">
            <w:pPr>
              <w:pStyle w:val="Heading5"/>
              <w:spacing w:before="0" w:beforeAutospacing="0" w:after="0" w:afterAutospacing="0"/>
              <w:rPr>
                <w:u w:val="single"/>
              </w:rPr>
            </w:pPr>
            <w:r w:rsidRPr="002D2A3B">
              <w:rPr>
                <w:u w:val="single"/>
              </w:rPr>
              <w:t xml:space="preserve">Subpart G: </w:t>
            </w:r>
          </w:p>
        </w:tc>
        <w:tc>
          <w:tcPr>
            <w:tcW w:w="1376" w:type="dxa"/>
            <w:vAlign w:val="bottom"/>
          </w:tcPr>
          <w:p w:rsidR="00000537" w:rsidRPr="002D2A3B" w:rsidRDefault="00000537" w:rsidP="00000537">
            <w:pPr>
              <w:jc w:val="center"/>
              <w:rPr>
                <w:rFonts w:ascii="Times New Roman" w:hAnsi="Times New Roman"/>
                <w:sz w:val="20"/>
              </w:rPr>
            </w:pPr>
          </w:p>
        </w:tc>
        <w:tc>
          <w:tcPr>
            <w:tcW w:w="1239" w:type="dxa"/>
            <w:vAlign w:val="bottom"/>
          </w:tcPr>
          <w:p w:rsidR="00000537" w:rsidRPr="002D2A3B" w:rsidRDefault="00000537" w:rsidP="00000537">
            <w:pPr>
              <w:jc w:val="center"/>
              <w:rPr>
                <w:rFonts w:ascii="Times New Roman" w:hAnsi="Times New Roman"/>
                <w:sz w:val="20"/>
              </w:rPr>
            </w:pPr>
          </w:p>
        </w:tc>
        <w:tc>
          <w:tcPr>
            <w:tcW w:w="1239" w:type="dxa"/>
            <w:vAlign w:val="bottom"/>
          </w:tcPr>
          <w:p w:rsidR="00000537" w:rsidRPr="002D2A3B" w:rsidRDefault="00000537" w:rsidP="00000537">
            <w:pPr>
              <w:jc w:val="right"/>
              <w:rPr>
                <w:rFonts w:ascii="Times New Roman" w:hAnsi="Times New Roman"/>
                <w:sz w:val="20"/>
              </w:rPr>
            </w:pPr>
          </w:p>
        </w:tc>
        <w:tc>
          <w:tcPr>
            <w:tcW w:w="1239" w:type="dxa"/>
            <w:vAlign w:val="bottom"/>
          </w:tcPr>
          <w:p w:rsidR="00000537" w:rsidRPr="002D2A3B" w:rsidRDefault="00000537" w:rsidP="00000537">
            <w:pPr>
              <w:jc w:val="right"/>
              <w:rPr>
                <w:rFonts w:ascii="Times New Roman" w:hAnsi="Times New Roman"/>
                <w:sz w:val="20"/>
              </w:rPr>
            </w:pPr>
          </w:p>
        </w:tc>
      </w:tr>
      <w:tr w:rsidR="00000537" w:rsidRPr="002D2A3B" w:rsidTr="00000537">
        <w:tc>
          <w:tcPr>
            <w:tcW w:w="4483" w:type="dxa"/>
          </w:tcPr>
          <w:p w:rsidR="00000537" w:rsidRPr="002D2A3B" w:rsidRDefault="002D2A3B" w:rsidP="00000537">
            <w:pPr>
              <w:rPr>
                <w:rFonts w:ascii="Times New Roman" w:hAnsi="Times New Roman"/>
                <w:sz w:val="20"/>
              </w:rPr>
            </w:pPr>
            <w:r w:rsidRPr="002D2A3B">
              <w:rPr>
                <w:rFonts w:ascii="Times New Roman" w:eastAsia="Calibri" w:hAnsi="Times New Roman"/>
                <w:iCs/>
                <w:snapToGrid/>
                <w:sz w:val="20"/>
              </w:rPr>
              <w:t>Reporting and Marketing Rules for College Student Open-End Credit (Section 226.57</w:t>
            </w:r>
            <w:r w:rsidRPr="002D2A3B">
              <w:rPr>
                <w:rFonts w:ascii="Times New Roman" w:eastAsia="Calibri" w:hAnsi="Times New Roman"/>
                <w:snapToGrid/>
                <w:sz w:val="20"/>
              </w:rPr>
              <w:t>(d))</w:t>
            </w:r>
            <w:r>
              <w:rPr>
                <w:rFonts w:ascii="Times New Roman" w:eastAsia="Calibri" w:hAnsi="Times New Roman"/>
                <w:snapToGrid/>
                <w:sz w:val="20"/>
              </w:rPr>
              <w:t xml:space="preserve"> and </w:t>
            </w:r>
            <w:r w:rsidR="00000537" w:rsidRPr="002D2A3B">
              <w:rPr>
                <w:rFonts w:ascii="Times New Roman" w:hAnsi="Times New Roman"/>
                <w:sz w:val="20"/>
              </w:rPr>
              <w:t xml:space="preserve">Internet posting of credit card agreements (college) Section 226.58 </w:t>
            </w:r>
          </w:p>
        </w:tc>
        <w:tc>
          <w:tcPr>
            <w:tcW w:w="1376" w:type="dxa"/>
            <w:vAlign w:val="bottom"/>
          </w:tcPr>
          <w:p w:rsidR="00000537" w:rsidRPr="002D2A3B" w:rsidRDefault="00000537" w:rsidP="00000537">
            <w:pPr>
              <w:jc w:val="center"/>
              <w:rPr>
                <w:rFonts w:ascii="Times New Roman" w:hAnsi="Times New Roman"/>
                <w:sz w:val="20"/>
              </w:rPr>
            </w:pPr>
            <w:r w:rsidRPr="002D2A3B">
              <w:rPr>
                <w:rFonts w:ascii="Times New Roman" w:hAnsi="Times New Roman"/>
                <w:sz w:val="20"/>
              </w:rPr>
              <w:t>2,200</w:t>
            </w:r>
          </w:p>
        </w:tc>
        <w:tc>
          <w:tcPr>
            <w:tcW w:w="1239" w:type="dxa"/>
            <w:vAlign w:val="bottom"/>
          </w:tcPr>
          <w:p w:rsidR="00000537" w:rsidRPr="002D2A3B" w:rsidRDefault="00000537" w:rsidP="00000537">
            <w:pPr>
              <w:jc w:val="center"/>
              <w:rPr>
                <w:rFonts w:ascii="Times New Roman" w:hAnsi="Times New Roman"/>
                <w:sz w:val="20"/>
              </w:rPr>
            </w:pPr>
            <w:r w:rsidRPr="002D2A3B">
              <w:rPr>
                <w:rFonts w:ascii="Times New Roman" w:hAnsi="Times New Roman"/>
                <w:sz w:val="20"/>
              </w:rPr>
              <w:t>4</w:t>
            </w:r>
          </w:p>
        </w:tc>
        <w:tc>
          <w:tcPr>
            <w:tcW w:w="1239" w:type="dxa"/>
            <w:vAlign w:val="bottom"/>
          </w:tcPr>
          <w:p w:rsidR="00000537" w:rsidRPr="002D2A3B" w:rsidRDefault="00000537" w:rsidP="00000537">
            <w:pPr>
              <w:jc w:val="right"/>
              <w:rPr>
                <w:rFonts w:ascii="Times New Roman" w:hAnsi="Times New Roman"/>
                <w:sz w:val="20"/>
              </w:rPr>
            </w:pPr>
            <w:r w:rsidRPr="002D2A3B">
              <w:rPr>
                <w:rFonts w:ascii="Times New Roman" w:hAnsi="Times New Roman"/>
                <w:sz w:val="20"/>
              </w:rPr>
              <w:t>8 hours</w:t>
            </w:r>
          </w:p>
        </w:tc>
        <w:tc>
          <w:tcPr>
            <w:tcW w:w="1239" w:type="dxa"/>
            <w:vAlign w:val="bottom"/>
          </w:tcPr>
          <w:p w:rsidR="00000537" w:rsidRPr="002D2A3B" w:rsidRDefault="00000537" w:rsidP="00000537">
            <w:pPr>
              <w:jc w:val="right"/>
              <w:rPr>
                <w:rFonts w:ascii="Times New Roman" w:hAnsi="Times New Roman"/>
                <w:sz w:val="20"/>
                <w:u w:val="single"/>
              </w:rPr>
            </w:pPr>
            <w:r w:rsidRPr="002D2A3B">
              <w:rPr>
                <w:rFonts w:ascii="Times New Roman" w:hAnsi="Times New Roman"/>
                <w:sz w:val="20"/>
                <w:u w:val="single"/>
              </w:rPr>
              <w:t>70,400</w:t>
            </w:r>
          </w:p>
        </w:tc>
      </w:tr>
      <w:tr w:rsidR="00000537" w:rsidRPr="00620821" w:rsidTr="00000537">
        <w:tc>
          <w:tcPr>
            <w:tcW w:w="4483" w:type="dxa"/>
          </w:tcPr>
          <w:p w:rsidR="00000537" w:rsidRPr="0020065F" w:rsidRDefault="00000537" w:rsidP="00000537">
            <w:pPr>
              <w:rPr>
                <w:rFonts w:ascii="Times New Roman" w:hAnsi="Times New Roman"/>
                <w:sz w:val="20"/>
              </w:rPr>
            </w:pPr>
          </w:p>
        </w:tc>
        <w:tc>
          <w:tcPr>
            <w:tcW w:w="1376" w:type="dxa"/>
            <w:vAlign w:val="bottom"/>
          </w:tcPr>
          <w:p w:rsidR="00000537" w:rsidRPr="00620821" w:rsidRDefault="00000537" w:rsidP="00000537">
            <w:pPr>
              <w:jc w:val="center"/>
              <w:rPr>
                <w:rFonts w:ascii="Times New Roman" w:hAnsi="Times New Roman"/>
                <w:sz w:val="20"/>
              </w:rPr>
            </w:pPr>
          </w:p>
        </w:tc>
        <w:tc>
          <w:tcPr>
            <w:tcW w:w="1239" w:type="dxa"/>
            <w:vAlign w:val="bottom"/>
          </w:tcPr>
          <w:p w:rsidR="00000537" w:rsidRPr="00620821" w:rsidRDefault="00000537" w:rsidP="00000537">
            <w:pPr>
              <w:jc w:val="center"/>
              <w:rPr>
                <w:rFonts w:ascii="Times New Roman" w:hAnsi="Times New Roman"/>
                <w:sz w:val="20"/>
              </w:rPr>
            </w:pPr>
          </w:p>
        </w:tc>
        <w:tc>
          <w:tcPr>
            <w:tcW w:w="1239" w:type="dxa"/>
            <w:vAlign w:val="bottom"/>
          </w:tcPr>
          <w:p w:rsidR="00000537" w:rsidRPr="00620821" w:rsidRDefault="00000537" w:rsidP="00000537">
            <w:pPr>
              <w:jc w:val="right"/>
              <w:rPr>
                <w:rFonts w:ascii="Times New Roman" w:hAnsi="Times New Roman"/>
                <w:sz w:val="20"/>
              </w:rPr>
            </w:pPr>
          </w:p>
        </w:tc>
        <w:tc>
          <w:tcPr>
            <w:tcW w:w="1239" w:type="dxa"/>
            <w:vAlign w:val="bottom"/>
          </w:tcPr>
          <w:p w:rsidR="00000537" w:rsidRPr="00620821" w:rsidRDefault="00000537" w:rsidP="00000537">
            <w:pPr>
              <w:jc w:val="right"/>
              <w:rPr>
                <w:rFonts w:ascii="Times New Roman" w:hAnsi="Times New Roman"/>
                <w:sz w:val="20"/>
              </w:rPr>
            </w:pPr>
          </w:p>
        </w:tc>
      </w:tr>
      <w:tr w:rsidR="00000537" w:rsidRPr="00620821" w:rsidTr="00000537">
        <w:tc>
          <w:tcPr>
            <w:tcW w:w="4483" w:type="dxa"/>
          </w:tcPr>
          <w:p w:rsidR="00000537" w:rsidRPr="00620821" w:rsidRDefault="00000537" w:rsidP="00000537">
            <w:pPr>
              <w:jc w:val="right"/>
              <w:rPr>
                <w:rFonts w:ascii="Times New Roman" w:hAnsi="Times New Roman"/>
                <w:b/>
                <w:i/>
                <w:sz w:val="20"/>
              </w:rPr>
            </w:pPr>
            <w:r w:rsidRPr="00620821">
              <w:rPr>
                <w:rFonts w:ascii="Times New Roman" w:hAnsi="Times New Roman"/>
                <w:b/>
                <w:i/>
                <w:sz w:val="20"/>
              </w:rPr>
              <w:t>Total</w:t>
            </w:r>
          </w:p>
        </w:tc>
        <w:tc>
          <w:tcPr>
            <w:tcW w:w="1376" w:type="dxa"/>
            <w:vAlign w:val="bottom"/>
          </w:tcPr>
          <w:p w:rsidR="00000537" w:rsidRPr="00620821" w:rsidRDefault="00000537" w:rsidP="00000537">
            <w:pPr>
              <w:jc w:val="center"/>
              <w:rPr>
                <w:rFonts w:ascii="Times New Roman" w:hAnsi="Times New Roman"/>
                <w:b/>
                <w:sz w:val="20"/>
              </w:rPr>
            </w:pPr>
          </w:p>
        </w:tc>
        <w:tc>
          <w:tcPr>
            <w:tcW w:w="1239" w:type="dxa"/>
            <w:vAlign w:val="bottom"/>
          </w:tcPr>
          <w:p w:rsidR="00000537" w:rsidRPr="00620821" w:rsidRDefault="00000537" w:rsidP="00000537">
            <w:pPr>
              <w:jc w:val="center"/>
              <w:rPr>
                <w:rFonts w:ascii="Times New Roman" w:hAnsi="Times New Roman"/>
                <w:b/>
                <w:sz w:val="20"/>
              </w:rPr>
            </w:pPr>
          </w:p>
        </w:tc>
        <w:tc>
          <w:tcPr>
            <w:tcW w:w="1239" w:type="dxa"/>
            <w:vAlign w:val="bottom"/>
          </w:tcPr>
          <w:p w:rsidR="00000537" w:rsidRPr="00620821" w:rsidRDefault="00000537" w:rsidP="00000537">
            <w:pPr>
              <w:jc w:val="right"/>
              <w:rPr>
                <w:rFonts w:ascii="Times New Roman" w:hAnsi="Times New Roman"/>
                <w:b/>
                <w:sz w:val="20"/>
              </w:rPr>
            </w:pPr>
          </w:p>
        </w:tc>
        <w:tc>
          <w:tcPr>
            <w:tcW w:w="1239" w:type="dxa"/>
            <w:vAlign w:val="bottom"/>
          </w:tcPr>
          <w:p w:rsidR="00000537" w:rsidRPr="00620821" w:rsidRDefault="00000537" w:rsidP="00794084">
            <w:pPr>
              <w:jc w:val="right"/>
              <w:rPr>
                <w:rFonts w:ascii="Times New Roman" w:hAnsi="Times New Roman"/>
                <w:b/>
                <w:sz w:val="20"/>
              </w:rPr>
            </w:pPr>
            <w:r>
              <w:rPr>
                <w:rFonts w:ascii="Times New Roman" w:eastAsia="Calibri" w:hAnsi="Times New Roman"/>
                <w:b/>
                <w:snapToGrid/>
                <w:sz w:val="20"/>
              </w:rPr>
              <w:t>1,</w:t>
            </w:r>
            <w:r w:rsidR="00794084">
              <w:rPr>
                <w:rFonts w:ascii="Times New Roman" w:eastAsia="Calibri" w:hAnsi="Times New Roman"/>
                <w:b/>
                <w:snapToGrid/>
                <w:sz w:val="20"/>
              </w:rPr>
              <w:t>517</w:t>
            </w:r>
            <w:r w:rsidRPr="00620821">
              <w:rPr>
                <w:rFonts w:ascii="Times New Roman" w:eastAsia="Calibri" w:hAnsi="Times New Roman"/>
                <w:b/>
                <w:snapToGrid/>
                <w:sz w:val="20"/>
              </w:rPr>
              <w:t>,</w:t>
            </w:r>
            <w:r w:rsidR="00794084">
              <w:rPr>
                <w:rFonts w:ascii="Times New Roman" w:eastAsia="Calibri" w:hAnsi="Times New Roman"/>
                <w:b/>
                <w:snapToGrid/>
                <w:sz w:val="20"/>
              </w:rPr>
              <w:t>443</w:t>
            </w:r>
          </w:p>
        </w:tc>
      </w:tr>
      <w:tr w:rsidR="00000537" w:rsidRPr="00D06592" w:rsidTr="00000537">
        <w:tc>
          <w:tcPr>
            <w:tcW w:w="4483" w:type="dxa"/>
          </w:tcPr>
          <w:p w:rsidR="00000537" w:rsidRPr="00D06592" w:rsidRDefault="00000537" w:rsidP="00000537">
            <w:pPr>
              <w:jc w:val="right"/>
              <w:rPr>
                <w:rFonts w:ascii="Times New Roman" w:hAnsi="Times New Roman"/>
                <w:b/>
                <w:i/>
                <w:sz w:val="20"/>
              </w:rPr>
            </w:pPr>
            <w:r w:rsidRPr="00D06592">
              <w:rPr>
                <w:rFonts w:ascii="Times New Roman" w:hAnsi="Times New Roman"/>
                <w:b/>
                <w:i/>
                <w:sz w:val="20"/>
              </w:rPr>
              <w:t>Change</w:t>
            </w:r>
          </w:p>
        </w:tc>
        <w:tc>
          <w:tcPr>
            <w:tcW w:w="1376" w:type="dxa"/>
            <w:vAlign w:val="bottom"/>
          </w:tcPr>
          <w:p w:rsidR="00000537" w:rsidRPr="00D06592" w:rsidRDefault="00000537" w:rsidP="00000537">
            <w:pPr>
              <w:jc w:val="center"/>
              <w:rPr>
                <w:rFonts w:ascii="Times New Roman" w:hAnsi="Times New Roman"/>
                <w:b/>
                <w:sz w:val="20"/>
              </w:rPr>
            </w:pPr>
          </w:p>
        </w:tc>
        <w:tc>
          <w:tcPr>
            <w:tcW w:w="1239" w:type="dxa"/>
            <w:vAlign w:val="bottom"/>
          </w:tcPr>
          <w:p w:rsidR="00000537" w:rsidRPr="00D06592" w:rsidRDefault="00000537" w:rsidP="00000537">
            <w:pPr>
              <w:jc w:val="center"/>
              <w:rPr>
                <w:rFonts w:ascii="Times New Roman" w:hAnsi="Times New Roman"/>
                <w:b/>
                <w:sz w:val="20"/>
              </w:rPr>
            </w:pPr>
          </w:p>
        </w:tc>
        <w:tc>
          <w:tcPr>
            <w:tcW w:w="1239" w:type="dxa"/>
            <w:vAlign w:val="bottom"/>
          </w:tcPr>
          <w:p w:rsidR="00000537" w:rsidRPr="00D06592" w:rsidRDefault="00000537" w:rsidP="00000537">
            <w:pPr>
              <w:jc w:val="right"/>
              <w:rPr>
                <w:rFonts w:ascii="Times New Roman" w:hAnsi="Times New Roman"/>
                <w:b/>
                <w:sz w:val="20"/>
              </w:rPr>
            </w:pPr>
          </w:p>
        </w:tc>
        <w:tc>
          <w:tcPr>
            <w:tcW w:w="1239" w:type="dxa"/>
            <w:vAlign w:val="bottom"/>
          </w:tcPr>
          <w:p w:rsidR="00000537" w:rsidRPr="00D06592" w:rsidRDefault="00794084" w:rsidP="00000537">
            <w:pPr>
              <w:jc w:val="right"/>
              <w:rPr>
                <w:rFonts w:ascii="Times New Roman" w:eastAsia="Calibri" w:hAnsi="Times New Roman"/>
                <w:b/>
                <w:snapToGrid/>
                <w:sz w:val="20"/>
              </w:rPr>
            </w:pPr>
            <w:r w:rsidRPr="00D06592">
              <w:rPr>
                <w:rFonts w:ascii="Times New Roman" w:hAnsi="Times New Roman"/>
                <w:b/>
                <w:sz w:val="20"/>
              </w:rPr>
              <w:t>22,680</w:t>
            </w:r>
          </w:p>
        </w:tc>
      </w:tr>
    </w:tbl>
    <w:p w:rsidR="00000537" w:rsidRDefault="00000537" w:rsidP="006E5BE5"/>
    <w:p w:rsidR="000308DD" w:rsidRPr="00D06592" w:rsidRDefault="000308DD" w:rsidP="006E5BE5">
      <w:pPr>
        <w:rPr>
          <w:rFonts w:ascii="Times New Roman" w:hAnsi="Times New Roman"/>
          <w:b/>
        </w:rPr>
      </w:pPr>
      <w:r w:rsidRPr="00D06592">
        <w:rPr>
          <w:rFonts w:ascii="Times New Roman" w:hAnsi="Times New Roman"/>
        </w:rPr>
        <w:t xml:space="preserve">With the </w:t>
      </w:r>
      <w:r w:rsidR="000A2C2B" w:rsidRPr="00D06592">
        <w:rPr>
          <w:rFonts w:ascii="Times New Roman" w:hAnsi="Times New Roman"/>
        </w:rPr>
        <w:t>new requirement</w:t>
      </w:r>
      <w:r w:rsidR="006E5BE5" w:rsidRPr="00D06592">
        <w:rPr>
          <w:rFonts w:ascii="Times New Roman" w:hAnsi="Times New Roman"/>
        </w:rPr>
        <w:t>s</w:t>
      </w:r>
      <w:r w:rsidRPr="00D06592">
        <w:rPr>
          <w:rFonts w:ascii="Times New Roman" w:hAnsi="Times New Roman"/>
        </w:rPr>
        <w:t>,</w:t>
      </w:r>
      <w:r w:rsidR="009C6AA4" w:rsidRPr="00D06592">
        <w:rPr>
          <w:rFonts w:ascii="Times New Roman" w:hAnsi="Times New Roman"/>
        </w:rPr>
        <w:t xml:space="preserve"> </w:t>
      </w:r>
      <w:r w:rsidRPr="00D06592">
        <w:rPr>
          <w:rFonts w:ascii="Times New Roman" w:hAnsi="Times New Roman"/>
        </w:rPr>
        <w:t xml:space="preserve">the total estimated annual cost to </w:t>
      </w:r>
      <w:r w:rsidR="006E5BE5" w:rsidRPr="00D06592">
        <w:rPr>
          <w:rFonts w:ascii="Times New Roman" w:hAnsi="Times New Roman"/>
        </w:rPr>
        <w:t>respondents</w:t>
      </w:r>
      <w:r w:rsidRPr="00D06592">
        <w:rPr>
          <w:rFonts w:ascii="Times New Roman" w:hAnsi="Times New Roman"/>
        </w:rPr>
        <w:t xml:space="preserve"> </w:t>
      </w:r>
      <w:r w:rsidR="009C6AA4" w:rsidRPr="00D06592">
        <w:rPr>
          <w:rFonts w:ascii="Times New Roman" w:hAnsi="Times New Roman"/>
        </w:rPr>
        <w:t>will</w:t>
      </w:r>
      <w:r w:rsidRPr="00D06592">
        <w:rPr>
          <w:rFonts w:ascii="Times New Roman" w:hAnsi="Times New Roman"/>
        </w:rPr>
        <w:t xml:space="preserve"> increase by</w:t>
      </w:r>
      <w:r w:rsidR="006E5BE5" w:rsidRPr="00D06592">
        <w:rPr>
          <w:rFonts w:ascii="Times New Roman" w:hAnsi="Times New Roman"/>
        </w:rPr>
        <w:t xml:space="preserve"> </w:t>
      </w:r>
      <w:r w:rsidRPr="00D06592">
        <w:rPr>
          <w:rFonts w:ascii="Times New Roman" w:hAnsi="Times New Roman"/>
        </w:rPr>
        <w:t>$</w:t>
      </w:r>
      <w:r w:rsidR="00794084" w:rsidRPr="00D06592">
        <w:rPr>
          <w:rFonts w:ascii="Times New Roman" w:hAnsi="Times New Roman"/>
        </w:rPr>
        <w:t>984</w:t>
      </w:r>
      <w:r w:rsidR="008E3AA5" w:rsidRPr="00D06592">
        <w:rPr>
          <w:rFonts w:ascii="Times New Roman" w:hAnsi="Times New Roman"/>
        </w:rPr>
        <w:t>,</w:t>
      </w:r>
      <w:r w:rsidR="00794084" w:rsidRPr="00D06592">
        <w:rPr>
          <w:rFonts w:ascii="Times New Roman" w:hAnsi="Times New Roman"/>
        </w:rPr>
        <w:t>312</w:t>
      </w:r>
      <w:r w:rsidRPr="00D06592">
        <w:rPr>
          <w:rFonts w:ascii="Times New Roman" w:hAnsi="Times New Roman"/>
        </w:rPr>
        <w:t xml:space="preserve"> from </w:t>
      </w:r>
      <w:r w:rsidR="001F52A3" w:rsidRPr="00D06592">
        <w:rPr>
          <w:rFonts w:ascii="Times New Roman" w:hAnsi="Times New Roman"/>
        </w:rPr>
        <w:t>$</w:t>
      </w:r>
      <w:r w:rsidR="00794084" w:rsidRPr="00D06592">
        <w:rPr>
          <w:rFonts w:ascii="Times New Roman" w:hAnsi="Times New Roman"/>
          <w:szCs w:val="24"/>
        </w:rPr>
        <w:t xml:space="preserve">64,872,714 </w:t>
      </w:r>
      <w:r w:rsidRPr="00D06592">
        <w:rPr>
          <w:rFonts w:ascii="Times New Roman" w:hAnsi="Times New Roman"/>
          <w:szCs w:val="24"/>
        </w:rPr>
        <w:t>to $</w:t>
      </w:r>
      <w:r w:rsidR="00794084" w:rsidRPr="00D06592">
        <w:rPr>
          <w:rFonts w:ascii="Times New Roman" w:hAnsi="Times New Roman"/>
          <w:szCs w:val="24"/>
        </w:rPr>
        <w:t>65</w:t>
      </w:r>
      <w:r w:rsidRPr="00D06592">
        <w:rPr>
          <w:rFonts w:ascii="Times New Roman" w:hAnsi="Times New Roman"/>
          <w:szCs w:val="24"/>
        </w:rPr>
        <w:t>,</w:t>
      </w:r>
      <w:r w:rsidR="00794084" w:rsidRPr="00D06592">
        <w:rPr>
          <w:rFonts w:ascii="Times New Roman" w:hAnsi="Times New Roman"/>
          <w:szCs w:val="24"/>
        </w:rPr>
        <w:t>857</w:t>
      </w:r>
      <w:r w:rsidRPr="00D06592">
        <w:rPr>
          <w:rFonts w:ascii="Times New Roman" w:hAnsi="Times New Roman"/>
          <w:szCs w:val="24"/>
        </w:rPr>
        <w:t>,</w:t>
      </w:r>
      <w:r w:rsidR="00794084" w:rsidRPr="00D06592">
        <w:rPr>
          <w:rFonts w:ascii="Times New Roman" w:hAnsi="Times New Roman"/>
          <w:szCs w:val="24"/>
        </w:rPr>
        <w:t>026</w:t>
      </w:r>
      <w:r w:rsidRPr="00D06592">
        <w:rPr>
          <w:rFonts w:ascii="Times New Roman" w:hAnsi="Times New Roman"/>
          <w:szCs w:val="24"/>
        </w:rPr>
        <w:t>.</w:t>
      </w:r>
      <w:r w:rsidRPr="00D06592">
        <w:rPr>
          <w:rStyle w:val="FootnoteReference"/>
          <w:szCs w:val="24"/>
          <w:vertAlign w:val="superscript"/>
        </w:rPr>
        <w:footnoteReference w:id="15"/>
      </w:r>
    </w:p>
    <w:p w:rsidR="000308DD" w:rsidRPr="007642C7" w:rsidRDefault="000308DD" w:rsidP="000308DD">
      <w:pPr>
        <w:widowControl/>
        <w:rPr>
          <w:rFonts w:ascii="Times New Roman" w:hAnsi="Times New Roman"/>
          <w:b/>
        </w:rPr>
      </w:pPr>
    </w:p>
    <w:p w:rsidR="000308DD" w:rsidRPr="007642C7" w:rsidRDefault="000308DD" w:rsidP="000308DD">
      <w:pPr>
        <w:widowControl/>
        <w:rPr>
          <w:rFonts w:ascii="Times New Roman" w:hAnsi="Times New Roman"/>
        </w:rPr>
      </w:pPr>
      <w:r w:rsidRPr="007642C7">
        <w:rPr>
          <w:rFonts w:ascii="Times New Roman" w:hAnsi="Times New Roman"/>
          <w:b/>
        </w:rPr>
        <w:t xml:space="preserve">Estimate of Cost to the Federal Reserve System </w:t>
      </w:r>
    </w:p>
    <w:p w:rsidR="000308DD" w:rsidRPr="007642C7" w:rsidRDefault="000308DD" w:rsidP="000308DD">
      <w:pPr>
        <w:widowControl/>
        <w:rPr>
          <w:rFonts w:ascii="Times New Roman" w:hAnsi="Times New Roman"/>
        </w:rPr>
      </w:pPr>
    </w:p>
    <w:p w:rsidR="000308DD" w:rsidRPr="007642C7" w:rsidRDefault="000308DD" w:rsidP="000308DD">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642C7">
        <w:rPr>
          <w:rFonts w:ascii="Times New Roman" w:hAnsi="Times New Roman"/>
        </w:rPr>
        <w:tab/>
      </w:r>
      <w:r w:rsidRPr="007642C7">
        <w:rPr>
          <w:rFonts w:ascii="Times New Roman" w:hAnsi="Times New Roman"/>
        </w:rPr>
        <w:tab/>
        <w:t>Since the Federal Reserve does not collect any information, the cost to the Federal Reserve System is negligible.</w:t>
      </w:r>
    </w:p>
    <w:p w:rsidR="000308DD" w:rsidRPr="007642C7" w:rsidRDefault="000308DD" w:rsidP="000308DD">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p w:rsidR="000308DD" w:rsidRPr="007642C7" w:rsidRDefault="000308DD" w:rsidP="000308DD">
      <w:pPr>
        <w:rPr>
          <w:rFonts w:ascii="Times New Roman" w:hAnsi="Times New Roman"/>
          <w:b/>
        </w:rPr>
      </w:pPr>
      <w:r w:rsidRPr="007642C7">
        <w:rPr>
          <w:rFonts w:ascii="Times New Roman" w:hAnsi="Times New Roman"/>
          <w:b/>
        </w:rPr>
        <w:t>Financial Industry Burden Averages</w:t>
      </w:r>
    </w:p>
    <w:p w:rsidR="000308DD" w:rsidRPr="007642C7" w:rsidRDefault="000308DD" w:rsidP="000308DD">
      <w:pPr>
        <w:rPr>
          <w:rFonts w:ascii="Times New Roman" w:hAnsi="Times New Roman"/>
          <w:b/>
        </w:rPr>
      </w:pPr>
    </w:p>
    <w:p w:rsidR="00840074" w:rsidRPr="007642C7" w:rsidRDefault="00840074" w:rsidP="00F0377D">
      <w:pPr>
        <w:widowControl/>
        <w:autoSpaceDE w:val="0"/>
        <w:autoSpaceDN w:val="0"/>
        <w:adjustRightInd w:val="0"/>
        <w:ind w:firstLine="720"/>
        <w:rPr>
          <w:rFonts w:ascii="Times New Roman" w:eastAsia="Calibri" w:hAnsi="Times New Roman"/>
          <w:snapToGrid/>
          <w:szCs w:val="24"/>
        </w:rPr>
      </w:pPr>
      <w:r w:rsidRPr="007642C7">
        <w:rPr>
          <w:rFonts w:ascii="Times New Roman" w:eastAsia="Calibri" w:hAnsi="Times New Roman"/>
          <w:snapToGrid/>
          <w:szCs w:val="24"/>
        </w:rPr>
        <w:t>The other federal financial agencies: Office of the Comptroller of the Currency</w:t>
      </w:r>
    </w:p>
    <w:p w:rsidR="00C50681" w:rsidRPr="003C6AC1" w:rsidRDefault="00840074" w:rsidP="00840074">
      <w:pPr>
        <w:widowControl/>
        <w:autoSpaceDE w:val="0"/>
        <w:autoSpaceDN w:val="0"/>
        <w:adjustRightInd w:val="0"/>
        <w:rPr>
          <w:rFonts w:ascii="Times New Roman" w:hAnsi="Times New Roman"/>
        </w:rPr>
      </w:pPr>
      <w:r w:rsidRPr="007642C7">
        <w:rPr>
          <w:rFonts w:ascii="Times New Roman" w:eastAsia="Calibri" w:hAnsi="Times New Roman"/>
          <w:snapToGrid/>
          <w:szCs w:val="24"/>
        </w:rPr>
        <w:t>(OCC), the Federal Deposit Insurance Corporation</w:t>
      </w:r>
      <w:r w:rsidR="00545F1A">
        <w:rPr>
          <w:rFonts w:ascii="Times New Roman" w:eastAsia="Calibri" w:hAnsi="Times New Roman"/>
          <w:snapToGrid/>
          <w:szCs w:val="24"/>
        </w:rPr>
        <w:t xml:space="preserve"> </w:t>
      </w:r>
      <w:r w:rsidRPr="007642C7">
        <w:rPr>
          <w:rFonts w:ascii="Times New Roman" w:eastAsia="Calibri" w:hAnsi="Times New Roman"/>
          <w:snapToGrid/>
          <w:szCs w:val="24"/>
        </w:rPr>
        <w:t>(FDIC), and the National Credit Union Administration (NCUA) are responsible for</w:t>
      </w:r>
      <w:r w:rsidR="00F0377D" w:rsidRPr="007642C7">
        <w:rPr>
          <w:rFonts w:ascii="Times New Roman" w:eastAsia="Calibri" w:hAnsi="Times New Roman"/>
          <w:snapToGrid/>
          <w:szCs w:val="24"/>
        </w:rPr>
        <w:t xml:space="preserve"> </w:t>
      </w:r>
      <w:r w:rsidRPr="007642C7">
        <w:rPr>
          <w:rFonts w:ascii="Times New Roman" w:eastAsia="Calibri" w:hAnsi="Times New Roman"/>
          <w:snapToGrid/>
          <w:szCs w:val="24"/>
        </w:rPr>
        <w:t>estimating and reporting to OMB the total paperwork burden for the domestically</w:t>
      </w:r>
      <w:r w:rsidR="00F0377D" w:rsidRPr="007642C7">
        <w:rPr>
          <w:rFonts w:ascii="Times New Roman" w:eastAsia="Calibri" w:hAnsi="Times New Roman"/>
          <w:snapToGrid/>
          <w:szCs w:val="24"/>
        </w:rPr>
        <w:t xml:space="preserve"> </w:t>
      </w:r>
      <w:r w:rsidRPr="007642C7">
        <w:rPr>
          <w:rFonts w:ascii="Times New Roman" w:eastAsia="Calibri" w:hAnsi="Times New Roman"/>
          <w:snapToGrid/>
          <w:szCs w:val="24"/>
        </w:rPr>
        <w:t>chartered commercial banks, thrifts, and federal credit unions and U.S. branches and</w:t>
      </w:r>
      <w:r w:rsidR="00F0377D" w:rsidRPr="007642C7">
        <w:rPr>
          <w:rFonts w:ascii="Times New Roman" w:eastAsia="Calibri" w:hAnsi="Times New Roman"/>
          <w:snapToGrid/>
          <w:szCs w:val="24"/>
        </w:rPr>
        <w:t xml:space="preserve"> </w:t>
      </w:r>
      <w:r w:rsidRPr="007642C7">
        <w:rPr>
          <w:rFonts w:ascii="Times New Roman" w:eastAsia="Calibri" w:hAnsi="Times New Roman"/>
          <w:snapToGrid/>
          <w:szCs w:val="24"/>
        </w:rPr>
        <w:t>agencies of foreign banks for which they have primary administrative enforcement</w:t>
      </w:r>
      <w:r w:rsidR="00F0377D" w:rsidRPr="007642C7">
        <w:rPr>
          <w:rFonts w:ascii="Times New Roman" w:eastAsia="Calibri" w:hAnsi="Times New Roman"/>
          <w:snapToGrid/>
          <w:szCs w:val="24"/>
        </w:rPr>
        <w:t xml:space="preserve"> </w:t>
      </w:r>
      <w:r w:rsidRPr="007642C7">
        <w:rPr>
          <w:rFonts w:ascii="Times New Roman" w:eastAsia="Calibri" w:hAnsi="Times New Roman"/>
          <w:snapToGrid/>
          <w:szCs w:val="24"/>
        </w:rPr>
        <w:t>jurisdiction</w:t>
      </w:r>
      <w:r w:rsidR="00F0377D" w:rsidRPr="007642C7">
        <w:rPr>
          <w:rFonts w:ascii="Times New Roman" w:eastAsia="Calibri" w:hAnsi="Times New Roman"/>
          <w:snapToGrid/>
          <w:szCs w:val="24"/>
        </w:rPr>
        <w:t xml:space="preserve"> under TILA Section 108(a), </w:t>
      </w:r>
      <w:proofErr w:type="gramStart"/>
      <w:r w:rsidR="00F0377D" w:rsidRPr="007642C7">
        <w:rPr>
          <w:rFonts w:ascii="Times New Roman" w:eastAsia="Calibri" w:hAnsi="Times New Roman"/>
          <w:snapToGrid/>
          <w:szCs w:val="24"/>
        </w:rPr>
        <w:t>15.</w:t>
      </w:r>
      <w:r w:rsidRPr="007642C7">
        <w:rPr>
          <w:rFonts w:ascii="Times New Roman" w:eastAsia="Calibri" w:hAnsi="Times New Roman"/>
          <w:snapToGrid/>
          <w:szCs w:val="24"/>
        </w:rPr>
        <w:t>U.S.C.1607(</w:t>
      </w:r>
      <w:proofErr w:type="gramEnd"/>
      <w:r w:rsidRPr="007642C7">
        <w:rPr>
          <w:rFonts w:ascii="Times New Roman" w:eastAsia="Calibri" w:hAnsi="Times New Roman"/>
          <w:snapToGrid/>
          <w:szCs w:val="24"/>
        </w:rPr>
        <w:t>a).</w:t>
      </w:r>
      <w:r w:rsidR="00F0377D" w:rsidRPr="007642C7">
        <w:rPr>
          <w:rFonts w:ascii="Times New Roman" w:eastAsia="Calibri" w:hAnsi="Times New Roman"/>
          <w:snapToGrid/>
          <w:szCs w:val="24"/>
        </w:rPr>
        <w:t xml:space="preserve">  </w:t>
      </w:r>
      <w:r w:rsidRPr="007642C7">
        <w:rPr>
          <w:rFonts w:ascii="Times New Roman" w:eastAsia="Calibri" w:hAnsi="Times New Roman"/>
          <w:snapToGrid/>
          <w:szCs w:val="24"/>
        </w:rPr>
        <w:t>These agencies are</w:t>
      </w:r>
      <w:r w:rsidR="00F0377D" w:rsidRPr="007642C7">
        <w:rPr>
          <w:rFonts w:ascii="Times New Roman" w:eastAsia="Calibri" w:hAnsi="Times New Roman"/>
          <w:snapToGrid/>
          <w:szCs w:val="24"/>
        </w:rPr>
        <w:t xml:space="preserve"> </w:t>
      </w:r>
      <w:r w:rsidRPr="007642C7">
        <w:rPr>
          <w:rFonts w:ascii="Times New Roman" w:eastAsia="Calibri" w:hAnsi="Times New Roman"/>
          <w:snapToGrid/>
          <w:szCs w:val="24"/>
        </w:rPr>
        <w:t xml:space="preserve">permitted, but are not required, to use the </w:t>
      </w:r>
      <w:r w:rsidR="008603A6" w:rsidRPr="007642C7">
        <w:rPr>
          <w:rFonts w:ascii="Times New Roman" w:hAnsi="Times New Roman"/>
          <w:szCs w:val="24"/>
        </w:rPr>
        <w:t>Federal Reserve</w:t>
      </w:r>
      <w:r w:rsidRPr="007642C7">
        <w:rPr>
          <w:rFonts w:ascii="Times New Roman" w:eastAsia="Calibri" w:hAnsi="Times New Roman"/>
          <w:snapToGrid/>
          <w:szCs w:val="24"/>
        </w:rPr>
        <w:t>’s burden estimation methodology.</w:t>
      </w:r>
      <w:r w:rsidR="00F0377D" w:rsidRPr="007642C7">
        <w:rPr>
          <w:rFonts w:ascii="Times New Roman" w:eastAsia="Calibri" w:hAnsi="Times New Roman"/>
          <w:snapToGrid/>
          <w:szCs w:val="24"/>
        </w:rPr>
        <w:t xml:space="preserve">  </w:t>
      </w:r>
      <w:r w:rsidRPr="007642C7">
        <w:rPr>
          <w:rFonts w:ascii="Times New Roman" w:eastAsia="Calibri" w:hAnsi="Times New Roman"/>
          <w:snapToGrid/>
          <w:szCs w:val="24"/>
        </w:rPr>
        <w:t xml:space="preserve">Using the </w:t>
      </w:r>
      <w:r w:rsidR="00AF2F4D" w:rsidRPr="007642C7">
        <w:rPr>
          <w:rFonts w:ascii="Times New Roman" w:hAnsi="Times New Roman"/>
          <w:szCs w:val="24"/>
        </w:rPr>
        <w:t>Federal Reserve</w:t>
      </w:r>
      <w:r w:rsidR="00AF2F4D" w:rsidRPr="007642C7">
        <w:rPr>
          <w:rFonts w:ascii="Times New Roman" w:eastAsia="Calibri" w:hAnsi="Times New Roman"/>
          <w:snapToGrid/>
          <w:szCs w:val="24"/>
        </w:rPr>
        <w:t>’s</w:t>
      </w:r>
      <w:r w:rsidRPr="007642C7">
        <w:rPr>
          <w:rFonts w:ascii="Times New Roman" w:eastAsia="Calibri" w:hAnsi="Times New Roman"/>
          <w:snapToGrid/>
          <w:szCs w:val="24"/>
        </w:rPr>
        <w:t xml:space="preserve"> method, the total current estimated annual burden for the</w:t>
      </w:r>
      <w:r w:rsidR="00F0377D" w:rsidRPr="007642C7">
        <w:rPr>
          <w:rFonts w:ascii="Times New Roman" w:eastAsia="Calibri" w:hAnsi="Times New Roman"/>
          <w:snapToGrid/>
          <w:szCs w:val="24"/>
        </w:rPr>
        <w:t xml:space="preserve"> </w:t>
      </w:r>
      <w:r w:rsidRPr="007642C7">
        <w:rPr>
          <w:rFonts w:ascii="Times New Roman" w:eastAsia="Calibri" w:hAnsi="Times New Roman"/>
          <w:snapToGrid/>
          <w:szCs w:val="24"/>
        </w:rPr>
        <w:t>approximately 1</w:t>
      </w:r>
      <w:r w:rsidR="005140C0">
        <w:rPr>
          <w:rFonts w:ascii="Times New Roman" w:eastAsia="Calibri" w:hAnsi="Times New Roman"/>
          <w:snapToGrid/>
          <w:szCs w:val="24"/>
        </w:rPr>
        <w:t>5</w:t>
      </w:r>
      <w:r w:rsidRPr="007642C7">
        <w:rPr>
          <w:rFonts w:ascii="Times New Roman" w:eastAsia="Calibri" w:hAnsi="Times New Roman"/>
          <w:snapToGrid/>
          <w:szCs w:val="24"/>
        </w:rPr>
        <w:t>,</w:t>
      </w:r>
      <w:r w:rsidR="005140C0">
        <w:rPr>
          <w:rFonts w:ascii="Times New Roman" w:eastAsia="Calibri" w:hAnsi="Times New Roman"/>
          <w:snapToGrid/>
          <w:szCs w:val="24"/>
        </w:rPr>
        <w:t>3</w:t>
      </w:r>
      <w:r w:rsidRPr="007642C7">
        <w:rPr>
          <w:rFonts w:ascii="Times New Roman" w:eastAsia="Calibri" w:hAnsi="Times New Roman"/>
          <w:snapToGrid/>
          <w:szCs w:val="24"/>
        </w:rPr>
        <w:t>00 domestically chartered commercial banks, thrifts, and federal</w:t>
      </w:r>
      <w:r w:rsidR="00F0377D" w:rsidRPr="007642C7">
        <w:rPr>
          <w:rFonts w:ascii="Times New Roman" w:eastAsia="Calibri" w:hAnsi="Times New Roman"/>
          <w:snapToGrid/>
          <w:szCs w:val="24"/>
        </w:rPr>
        <w:t xml:space="preserve"> </w:t>
      </w:r>
      <w:r w:rsidRPr="007642C7">
        <w:rPr>
          <w:rFonts w:ascii="Times New Roman" w:eastAsia="Calibri" w:hAnsi="Times New Roman"/>
          <w:snapToGrid/>
          <w:szCs w:val="24"/>
        </w:rPr>
        <w:t xml:space="preserve">credit </w:t>
      </w:r>
      <w:r w:rsidRPr="003C6AC1">
        <w:rPr>
          <w:rFonts w:ascii="Times New Roman" w:eastAsia="Calibri" w:hAnsi="Times New Roman"/>
          <w:snapToGrid/>
          <w:szCs w:val="24"/>
        </w:rPr>
        <w:t>unions and U.S. branches and agencies of foreign banks supervised by the Federal</w:t>
      </w:r>
      <w:r w:rsidR="00F0377D" w:rsidRPr="003C6AC1">
        <w:rPr>
          <w:rFonts w:ascii="Times New Roman" w:eastAsia="Calibri" w:hAnsi="Times New Roman"/>
          <w:snapToGrid/>
          <w:szCs w:val="24"/>
        </w:rPr>
        <w:t xml:space="preserve"> </w:t>
      </w:r>
      <w:r w:rsidRPr="003C6AC1">
        <w:rPr>
          <w:rFonts w:ascii="Times New Roman" w:eastAsia="Calibri" w:hAnsi="Times New Roman"/>
          <w:snapToGrid/>
          <w:szCs w:val="24"/>
        </w:rPr>
        <w:t>Reserve, OCC, FDIC, and NCUA under TILA would be approximately</w:t>
      </w:r>
      <w:r w:rsidR="00CC5AB2" w:rsidRPr="003C6AC1">
        <w:rPr>
          <w:rFonts w:ascii="Times New Roman" w:eastAsia="Calibri" w:hAnsi="Times New Roman"/>
          <w:snapToGrid/>
          <w:szCs w:val="24"/>
        </w:rPr>
        <w:t xml:space="preserve"> </w:t>
      </w:r>
      <w:r w:rsidR="0051441F" w:rsidRPr="003C6AC1">
        <w:rPr>
          <w:rFonts w:ascii="Times New Roman" w:eastAsia="Calibri" w:hAnsi="Times New Roman"/>
          <w:snapToGrid/>
          <w:szCs w:val="24"/>
        </w:rPr>
        <w:t>24</w:t>
      </w:r>
      <w:r w:rsidR="00212FC2" w:rsidRPr="003C6AC1">
        <w:rPr>
          <w:rFonts w:ascii="Times New Roman" w:eastAsia="Calibri" w:hAnsi="Times New Roman"/>
          <w:snapToGrid/>
          <w:szCs w:val="24"/>
        </w:rPr>
        <w:t>,</w:t>
      </w:r>
      <w:r w:rsidR="0051441F" w:rsidRPr="003C6AC1">
        <w:rPr>
          <w:rFonts w:ascii="Times New Roman" w:eastAsia="Calibri" w:hAnsi="Times New Roman"/>
          <w:snapToGrid/>
          <w:szCs w:val="24"/>
        </w:rPr>
        <w:t>763</w:t>
      </w:r>
      <w:r w:rsidR="00212FC2" w:rsidRPr="003C6AC1">
        <w:rPr>
          <w:rFonts w:ascii="Times New Roman" w:eastAsia="Calibri" w:hAnsi="Times New Roman"/>
          <w:snapToGrid/>
          <w:szCs w:val="24"/>
        </w:rPr>
        <w:t>,</w:t>
      </w:r>
      <w:r w:rsidR="0051441F" w:rsidRPr="003C6AC1">
        <w:rPr>
          <w:rFonts w:ascii="Times New Roman" w:eastAsia="Calibri" w:hAnsi="Times New Roman"/>
          <w:snapToGrid/>
          <w:szCs w:val="24"/>
        </w:rPr>
        <w:t>301</w:t>
      </w:r>
      <w:r w:rsidR="002928E5" w:rsidRPr="003C6AC1">
        <w:rPr>
          <w:rFonts w:ascii="Times New Roman" w:eastAsia="Calibri" w:hAnsi="Times New Roman"/>
          <w:snapToGrid/>
          <w:szCs w:val="24"/>
        </w:rPr>
        <w:t xml:space="preserve"> </w:t>
      </w:r>
      <w:r w:rsidRPr="003C6AC1">
        <w:rPr>
          <w:rFonts w:ascii="Times New Roman" w:eastAsia="Calibri" w:hAnsi="Times New Roman"/>
          <w:snapToGrid/>
          <w:szCs w:val="24"/>
        </w:rPr>
        <w:t>hours.</w:t>
      </w:r>
      <w:r w:rsidR="00F0377D" w:rsidRPr="003C6AC1">
        <w:rPr>
          <w:rFonts w:ascii="Times New Roman" w:eastAsia="Calibri" w:hAnsi="Times New Roman"/>
          <w:snapToGrid/>
          <w:szCs w:val="24"/>
        </w:rPr>
        <w:t xml:space="preserve">  </w:t>
      </w:r>
      <w:r w:rsidRPr="003C6AC1">
        <w:rPr>
          <w:rFonts w:ascii="Times New Roman" w:eastAsia="Calibri" w:hAnsi="Times New Roman"/>
          <w:snapToGrid/>
          <w:szCs w:val="24"/>
        </w:rPr>
        <w:t xml:space="preserve">The </w:t>
      </w:r>
      <w:r w:rsidR="000A2C2B" w:rsidRPr="003C6AC1">
        <w:rPr>
          <w:rFonts w:ascii="Times New Roman" w:eastAsia="Calibri" w:hAnsi="Times New Roman"/>
          <w:snapToGrid/>
          <w:szCs w:val="24"/>
        </w:rPr>
        <w:t>new requirement will</w:t>
      </w:r>
      <w:r w:rsidRPr="003C6AC1">
        <w:rPr>
          <w:rFonts w:ascii="Times New Roman" w:eastAsia="Calibri" w:hAnsi="Times New Roman"/>
          <w:snapToGrid/>
          <w:szCs w:val="24"/>
        </w:rPr>
        <w:t xml:space="preserve"> impose a</w:t>
      </w:r>
      <w:r w:rsidR="009D0E62" w:rsidRPr="003C6AC1">
        <w:rPr>
          <w:rFonts w:ascii="Times New Roman" w:eastAsia="Calibri" w:hAnsi="Times New Roman"/>
          <w:snapToGrid/>
          <w:szCs w:val="24"/>
        </w:rPr>
        <w:t>n</w:t>
      </w:r>
      <w:r w:rsidRPr="003C6AC1">
        <w:rPr>
          <w:rFonts w:ascii="Times New Roman" w:eastAsia="Calibri" w:hAnsi="Times New Roman"/>
          <w:snapToGrid/>
          <w:szCs w:val="24"/>
        </w:rPr>
        <w:t xml:space="preserve"> increase in the estimated annual</w:t>
      </w:r>
      <w:r w:rsidR="00F0377D" w:rsidRPr="003C6AC1">
        <w:rPr>
          <w:rFonts w:ascii="Times New Roman" w:eastAsia="Calibri" w:hAnsi="Times New Roman"/>
          <w:snapToGrid/>
          <w:szCs w:val="24"/>
        </w:rPr>
        <w:t xml:space="preserve"> </w:t>
      </w:r>
      <w:r w:rsidRPr="003C6AC1">
        <w:rPr>
          <w:rFonts w:ascii="Times New Roman" w:eastAsia="Calibri" w:hAnsi="Times New Roman"/>
          <w:snapToGrid/>
          <w:szCs w:val="24"/>
        </w:rPr>
        <w:t xml:space="preserve">burden for such institutions by </w:t>
      </w:r>
      <w:r w:rsidR="0051441F" w:rsidRPr="003C6AC1">
        <w:rPr>
          <w:rFonts w:ascii="Times New Roman" w:eastAsia="Calibri" w:hAnsi="Times New Roman"/>
          <w:snapToGrid/>
          <w:szCs w:val="24"/>
        </w:rPr>
        <w:t>612</w:t>
      </w:r>
      <w:r w:rsidR="009D0E62" w:rsidRPr="003C6AC1">
        <w:rPr>
          <w:rFonts w:ascii="Times New Roman" w:eastAsia="Calibri" w:hAnsi="Times New Roman"/>
          <w:snapToGrid/>
          <w:szCs w:val="24"/>
        </w:rPr>
        <w:t>,</w:t>
      </w:r>
      <w:r w:rsidR="00F01ECF" w:rsidRPr="003C6AC1">
        <w:rPr>
          <w:rFonts w:ascii="Times New Roman" w:eastAsia="Calibri" w:hAnsi="Times New Roman"/>
          <w:snapToGrid/>
          <w:szCs w:val="24"/>
        </w:rPr>
        <w:t>000</w:t>
      </w:r>
      <w:r w:rsidRPr="003C6AC1">
        <w:rPr>
          <w:rFonts w:ascii="Times New Roman" w:eastAsia="Calibri" w:hAnsi="Times New Roman"/>
          <w:snapToGrid/>
          <w:szCs w:val="24"/>
        </w:rPr>
        <w:t xml:space="preserve"> hours to </w:t>
      </w:r>
      <w:r w:rsidR="005140C0" w:rsidRPr="003C6AC1">
        <w:rPr>
          <w:rFonts w:ascii="Times New Roman" w:eastAsia="Calibri" w:hAnsi="Times New Roman"/>
          <w:snapToGrid/>
          <w:szCs w:val="24"/>
        </w:rPr>
        <w:t>2</w:t>
      </w:r>
      <w:r w:rsidR="0051441F" w:rsidRPr="003C6AC1">
        <w:rPr>
          <w:rFonts w:ascii="Times New Roman" w:eastAsia="Calibri" w:hAnsi="Times New Roman"/>
          <w:snapToGrid/>
          <w:szCs w:val="24"/>
        </w:rPr>
        <w:t>5</w:t>
      </w:r>
      <w:r w:rsidR="009D0E62" w:rsidRPr="003C6AC1">
        <w:rPr>
          <w:rFonts w:ascii="Times New Roman" w:eastAsia="Calibri" w:hAnsi="Times New Roman"/>
          <w:snapToGrid/>
          <w:szCs w:val="24"/>
        </w:rPr>
        <w:t>,</w:t>
      </w:r>
      <w:r w:rsidR="0051441F" w:rsidRPr="003C6AC1">
        <w:rPr>
          <w:rFonts w:ascii="Times New Roman" w:eastAsia="Calibri" w:hAnsi="Times New Roman"/>
          <w:snapToGrid/>
          <w:szCs w:val="24"/>
        </w:rPr>
        <w:t>375</w:t>
      </w:r>
      <w:r w:rsidR="009D0E62" w:rsidRPr="003C6AC1">
        <w:rPr>
          <w:rFonts w:ascii="Times New Roman" w:eastAsia="Calibri" w:hAnsi="Times New Roman"/>
          <w:snapToGrid/>
          <w:szCs w:val="24"/>
        </w:rPr>
        <w:t>,</w:t>
      </w:r>
      <w:r w:rsidR="0051441F" w:rsidRPr="003C6AC1">
        <w:rPr>
          <w:rFonts w:ascii="Times New Roman" w:eastAsia="Calibri" w:hAnsi="Times New Roman"/>
          <w:snapToGrid/>
          <w:szCs w:val="24"/>
        </w:rPr>
        <w:t>301</w:t>
      </w:r>
      <w:r w:rsidRPr="003C6AC1">
        <w:rPr>
          <w:rFonts w:ascii="Times New Roman" w:eastAsia="Calibri" w:hAnsi="Times New Roman"/>
          <w:snapToGrid/>
          <w:szCs w:val="24"/>
        </w:rPr>
        <w:t xml:space="preserve"> hours.</w:t>
      </w:r>
      <w:r w:rsidR="002928E5" w:rsidRPr="003C6AC1">
        <w:rPr>
          <w:rFonts w:ascii="Times New Roman" w:eastAsia="Calibri" w:hAnsi="Times New Roman"/>
          <w:snapToGrid/>
          <w:szCs w:val="24"/>
        </w:rPr>
        <w:t xml:space="preserve">  </w:t>
      </w:r>
      <w:r w:rsidRPr="003C6AC1">
        <w:rPr>
          <w:rFonts w:ascii="Times New Roman" w:eastAsia="Calibri" w:hAnsi="Times New Roman"/>
          <w:snapToGrid/>
          <w:szCs w:val="24"/>
        </w:rPr>
        <w:t>The above estimates represent an average across all</w:t>
      </w:r>
      <w:r w:rsidR="00F0377D" w:rsidRPr="003C6AC1">
        <w:rPr>
          <w:rFonts w:ascii="Times New Roman" w:eastAsia="Calibri" w:hAnsi="Times New Roman"/>
          <w:snapToGrid/>
          <w:szCs w:val="24"/>
        </w:rPr>
        <w:t xml:space="preserve"> </w:t>
      </w:r>
      <w:r w:rsidRPr="003C6AC1">
        <w:rPr>
          <w:rFonts w:ascii="Times New Roman" w:eastAsia="Calibri" w:hAnsi="Times New Roman"/>
          <w:snapToGrid/>
          <w:szCs w:val="24"/>
        </w:rPr>
        <w:t xml:space="preserve">respondents; the </w:t>
      </w:r>
      <w:r w:rsidR="008603A6" w:rsidRPr="003C6AC1">
        <w:rPr>
          <w:rFonts w:ascii="Times New Roman" w:hAnsi="Times New Roman"/>
          <w:szCs w:val="24"/>
        </w:rPr>
        <w:t>Federal Reserve</w:t>
      </w:r>
      <w:r w:rsidR="008603A6" w:rsidRPr="003C6AC1">
        <w:rPr>
          <w:rFonts w:ascii="Times New Roman" w:eastAsia="Calibri" w:hAnsi="Times New Roman"/>
          <w:snapToGrid/>
          <w:szCs w:val="24"/>
        </w:rPr>
        <w:t xml:space="preserve"> </w:t>
      </w:r>
      <w:r w:rsidRPr="003C6AC1">
        <w:rPr>
          <w:rFonts w:ascii="Times New Roman" w:eastAsia="Calibri" w:hAnsi="Times New Roman"/>
          <w:snapToGrid/>
          <w:szCs w:val="24"/>
        </w:rPr>
        <w:t>expects variations between institutions based on their size,</w:t>
      </w:r>
      <w:r w:rsidR="00F0377D" w:rsidRPr="003C6AC1">
        <w:rPr>
          <w:rFonts w:ascii="Times New Roman" w:eastAsia="Calibri" w:hAnsi="Times New Roman"/>
          <w:snapToGrid/>
          <w:szCs w:val="24"/>
        </w:rPr>
        <w:t xml:space="preserve"> </w:t>
      </w:r>
      <w:r w:rsidRPr="003C6AC1">
        <w:rPr>
          <w:rFonts w:ascii="Times New Roman" w:eastAsia="Calibri" w:hAnsi="Times New Roman"/>
          <w:snapToGrid/>
          <w:szCs w:val="24"/>
        </w:rPr>
        <w:t>complexity, and practices.</w:t>
      </w:r>
    </w:p>
    <w:p w:rsidR="00173B73" w:rsidRPr="003C6AC1" w:rsidRDefault="00173B73">
      <w:pPr>
        <w:widowControl/>
        <w:autoSpaceDE w:val="0"/>
        <w:autoSpaceDN w:val="0"/>
        <w:adjustRightInd w:val="0"/>
        <w:rPr>
          <w:rFonts w:ascii="Times New Roman" w:hAnsi="Times New Roman"/>
        </w:rPr>
      </w:pPr>
    </w:p>
    <w:sectPr w:rsidR="00173B73" w:rsidRPr="003C6AC1" w:rsidSect="006D20C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EC9" w:rsidRDefault="00F26EC9" w:rsidP="008F4BBA">
      <w:r>
        <w:separator/>
      </w:r>
    </w:p>
  </w:endnote>
  <w:endnote w:type="continuationSeparator" w:id="0">
    <w:p w:rsidR="00F26EC9" w:rsidRDefault="00F26EC9" w:rsidP="008F4B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Wingdings-Regular">
    <w:panose1 w:val="00000000000000000000"/>
    <w:charset w:val="00"/>
    <w:family w:val="auto"/>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EC9" w:rsidRDefault="00167590">
    <w:pPr>
      <w:pStyle w:val="Footer"/>
      <w:jc w:val="center"/>
    </w:pPr>
    <w:fldSimple w:instr=" PAGE   \* MERGEFORMAT ">
      <w:r w:rsidR="002943B9">
        <w:rPr>
          <w:noProof/>
        </w:rPr>
        <w:t>14</w:t>
      </w:r>
    </w:fldSimple>
  </w:p>
  <w:p w:rsidR="00F26EC9" w:rsidRDefault="00F26E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EC9" w:rsidRDefault="00F26EC9" w:rsidP="008F4BBA">
      <w:r>
        <w:separator/>
      </w:r>
    </w:p>
  </w:footnote>
  <w:footnote w:type="continuationSeparator" w:id="0">
    <w:p w:rsidR="00F26EC9" w:rsidRDefault="00F26EC9" w:rsidP="008F4BBA">
      <w:r>
        <w:continuationSeparator/>
      </w:r>
    </w:p>
  </w:footnote>
  <w:footnote w:id="1">
    <w:p w:rsidR="00F26EC9" w:rsidRPr="00AA65C8" w:rsidRDefault="00F26EC9" w:rsidP="00490053">
      <w:pPr>
        <w:rPr>
          <w:rStyle w:val="FootnoteReference"/>
          <w:color w:val="000000"/>
          <w:sz w:val="20"/>
        </w:rPr>
      </w:pPr>
      <w:r w:rsidRPr="00AA65C8">
        <w:rPr>
          <w:rStyle w:val="FootnoteReference"/>
          <w:color w:val="000000"/>
          <w:sz w:val="20"/>
          <w:vertAlign w:val="superscript"/>
        </w:rPr>
        <w:footnoteRef/>
      </w:r>
      <w:r>
        <w:rPr>
          <w:rFonts w:ascii="Times New Roman" w:hAnsi="Times New Roman"/>
          <w:color w:val="000000"/>
          <w:sz w:val="20"/>
        </w:rPr>
        <w:t xml:space="preserve"> Regulation Z implements TILA.  </w:t>
      </w:r>
      <w:r w:rsidRPr="00AA65C8">
        <w:rPr>
          <w:rStyle w:val="FootnoteReference"/>
          <w:color w:val="000000"/>
          <w:sz w:val="20"/>
        </w:rPr>
        <w:t>TILA was enacted in 1968 and substantially revised in 1980 by the Truth in Lending Simplification and Reform Act.  TILA is codified at 15 U.S.C. 1601 et seq.  Regulation Z is located at 12 CFR Part 226.</w:t>
      </w:r>
    </w:p>
  </w:footnote>
  <w:footnote w:id="2">
    <w:p w:rsidR="00F26EC9" w:rsidRDefault="00F26EC9">
      <w:pPr>
        <w:pStyle w:val="FootnoteText"/>
      </w:pPr>
      <w:r w:rsidRPr="008213C4">
        <w:rPr>
          <w:rStyle w:val="FootnoteReference"/>
          <w:vertAlign w:val="superscript"/>
        </w:rPr>
        <w:footnoteRef/>
      </w:r>
      <w:r>
        <w:t xml:space="preserve"> </w:t>
      </w:r>
      <w:r w:rsidRPr="00B60503">
        <w:rPr>
          <w:rFonts w:ascii="Times New Roman" w:hAnsi="Times New Roman"/>
        </w:rPr>
        <w:t>Appendix I – Federal Enforcement Agencies – of Regulation Z defines the Federal Reserve-regulated institutions as: 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 Act.</w:t>
      </w:r>
    </w:p>
  </w:footnote>
  <w:footnote w:id="3">
    <w:p w:rsidR="00F26EC9" w:rsidRPr="00304044" w:rsidRDefault="00F26EC9" w:rsidP="008F4BBA">
      <w:pPr>
        <w:pStyle w:val="FootnoteText"/>
        <w:rPr>
          <w:rFonts w:ascii="Times New Roman" w:hAnsi="Times New Roman"/>
        </w:rPr>
      </w:pPr>
      <w:r w:rsidRPr="00304044">
        <w:rPr>
          <w:rStyle w:val="FootnoteReference"/>
          <w:vertAlign w:val="superscript"/>
        </w:rPr>
        <w:footnoteRef/>
      </w:r>
      <w:r w:rsidRPr="00304044">
        <w:rPr>
          <w:rFonts w:ascii="Times New Roman" w:hAnsi="Times New Roman"/>
        </w:rPr>
        <w:t xml:space="preserve">  </w:t>
      </w:r>
      <w:r w:rsidRPr="004D431B">
        <w:rPr>
          <w:rFonts w:ascii="Times New Roman" w:hAnsi="Times New Roman"/>
        </w:rPr>
        <w:t xml:space="preserve">The number of Federal Reserve-supervised creditors </w:t>
      </w:r>
      <w:r>
        <w:rPr>
          <w:rFonts w:ascii="Times New Roman" w:hAnsi="Times New Roman"/>
        </w:rPr>
        <w:t xml:space="preserve">1,077 </w:t>
      </w:r>
      <w:r w:rsidRPr="004D431B">
        <w:rPr>
          <w:rFonts w:ascii="Times New Roman" w:hAnsi="Times New Roman"/>
        </w:rPr>
        <w:t>was obtained from numbers published in the Board of Governors of the Federal Reserve System 97</w:t>
      </w:r>
      <w:r w:rsidRPr="004D431B">
        <w:rPr>
          <w:rFonts w:ascii="Times New Roman" w:hAnsi="Times New Roman"/>
          <w:vertAlign w:val="superscript"/>
        </w:rPr>
        <w:t>th</w:t>
      </w:r>
      <w:r w:rsidRPr="004D431B">
        <w:rPr>
          <w:rFonts w:ascii="Times New Roman" w:hAnsi="Times New Roman"/>
        </w:rPr>
        <w:t xml:space="preserve"> Annual Report 2010:  829 </w:t>
      </w:r>
      <w:r>
        <w:rPr>
          <w:rFonts w:ascii="Times New Roman" w:hAnsi="Times New Roman"/>
          <w:iCs/>
        </w:rPr>
        <w:t>SMBs</w:t>
      </w:r>
      <w:r w:rsidRPr="004D431B">
        <w:rPr>
          <w:rFonts w:ascii="Times New Roman" w:hAnsi="Times New Roman"/>
          <w:iCs/>
        </w:rPr>
        <w:t xml:space="preserve">, </w:t>
      </w:r>
      <w:r>
        <w:rPr>
          <w:rFonts w:ascii="Times New Roman" w:hAnsi="Times New Roman"/>
          <w:iCs/>
        </w:rPr>
        <w:t>195</w:t>
      </w:r>
      <w:r w:rsidRPr="004D431B">
        <w:rPr>
          <w:rFonts w:ascii="Times New Roman" w:hAnsi="Times New Roman"/>
          <w:iCs/>
        </w:rPr>
        <w:t xml:space="preserve"> Branches &amp; agencies of foreign banks, 2 </w:t>
      </w:r>
      <w:r w:rsidRPr="004D431B">
        <w:rPr>
          <w:rFonts w:ascii="Times New Roman" w:hAnsi="Times New Roman"/>
        </w:rPr>
        <w:t>Commercial lending companies, and 51 Edge</w:t>
      </w:r>
      <w:r>
        <w:rPr>
          <w:rFonts w:ascii="Times New Roman" w:hAnsi="Times New Roman"/>
        </w:rPr>
        <w:t xml:space="preserve"> Act or agreement corporations.</w:t>
      </w:r>
    </w:p>
  </w:footnote>
  <w:footnote w:id="4">
    <w:p w:rsidR="00F26EC9" w:rsidRPr="0009460D" w:rsidRDefault="00F26EC9" w:rsidP="008F4BBA">
      <w:pPr>
        <w:pStyle w:val="FootnoteText"/>
        <w:spacing w:after="240"/>
        <w:rPr>
          <w:rFonts w:ascii="Times New Roman" w:hAnsi="Times New Roman"/>
        </w:rPr>
      </w:pPr>
      <w:r w:rsidRPr="0009460D">
        <w:rPr>
          <w:rStyle w:val="FootnoteReference"/>
          <w:vertAlign w:val="superscript"/>
        </w:rPr>
        <w:footnoteRef/>
      </w:r>
      <w:r>
        <w:rPr>
          <w:rFonts w:ascii="Times New Roman" w:hAnsi="Times New Roman"/>
        </w:rPr>
        <w:t xml:space="preserve">  </w:t>
      </w:r>
      <w:proofErr w:type="gramStart"/>
      <w:r w:rsidRPr="0009460D">
        <w:rPr>
          <w:rFonts w:ascii="Times New Roman" w:hAnsi="Times New Roman"/>
        </w:rPr>
        <w:t xml:space="preserve">15 U.S.C. 1601 </w:t>
      </w:r>
      <w:r w:rsidRPr="0009460D">
        <w:rPr>
          <w:rFonts w:ascii="Times New Roman" w:hAnsi="Times New Roman"/>
          <w:i/>
        </w:rPr>
        <w:t>et seq</w:t>
      </w:r>
      <w:r w:rsidRPr="0009460D">
        <w:rPr>
          <w:rFonts w:ascii="Times New Roman" w:hAnsi="Times New Roman"/>
        </w:rPr>
        <w:t>.</w:t>
      </w:r>
      <w:proofErr w:type="gramEnd"/>
    </w:p>
  </w:footnote>
  <w:footnote w:id="5">
    <w:p w:rsidR="00F26EC9" w:rsidRPr="004C25EE" w:rsidRDefault="00F26EC9" w:rsidP="00F752AE">
      <w:pPr>
        <w:pStyle w:val="FootnoteText"/>
        <w:rPr>
          <w:rFonts w:ascii="Times New Roman" w:hAnsi="Times New Roman"/>
        </w:rPr>
      </w:pPr>
      <w:r w:rsidRPr="00D704C4">
        <w:rPr>
          <w:rStyle w:val="FootnoteReference"/>
          <w:vertAlign w:val="superscript"/>
        </w:rPr>
        <w:footnoteRef/>
      </w:r>
      <w:r>
        <w:rPr>
          <w:rFonts w:ascii="Times New Roman" w:hAnsi="Times New Roman"/>
          <w:b/>
        </w:rPr>
        <w:t xml:space="preserve">  </w:t>
      </w:r>
      <w:r>
        <w:rPr>
          <w:rStyle w:val="Strong"/>
          <w:rFonts w:ascii="Times New Roman" w:hAnsi="Times New Roman"/>
          <w:b w:val="0"/>
        </w:rPr>
        <w:t>HEOA</w:t>
      </w:r>
      <w:r w:rsidRPr="00D704C4">
        <w:rPr>
          <w:rStyle w:val="Strong"/>
          <w:rFonts w:ascii="Times New Roman" w:hAnsi="Times New Roman"/>
          <w:b w:val="0"/>
        </w:rPr>
        <w:t xml:space="preserve"> (Public Law 110-315</w:t>
      </w:r>
      <w:r>
        <w:rPr>
          <w:rStyle w:val="Strong"/>
          <w:rFonts w:ascii="Times New Roman" w:hAnsi="Times New Roman"/>
          <w:b w:val="0"/>
        </w:rPr>
        <w:t>; Sections 1021-1022</w:t>
      </w:r>
      <w:r w:rsidRPr="00D704C4">
        <w:rPr>
          <w:rStyle w:val="Strong"/>
          <w:rFonts w:ascii="Times New Roman" w:hAnsi="Times New Roman"/>
          <w:b w:val="0"/>
        </w:rPr>
        <w:t xml:space="preserve">) was enacted on August 14, 2008, and reauthorizes the </w:t>
      </w:r>
      <w:r>
        <w:rPr>
          <w:rStyle w:val="Strong"/>
          <w:rFonts w:ascii="Times New Roman" w:hAnsi="Times New Roman"/>
          <w:b w:val="0"/>
        </w:rPr>
        <w:t>HEA of 1965, as amended</w:t>
      </w:r>
      <w:r w:rsidRPr="00D704C4">
        <w:rPr>
          <w:rFonts w:ascii="Times New Roman" w:hAnsi="Times New Roman"/>
          <w:b/>
        </w:rPr>
        <w:t>.</w:t>
      </w:r>
      <w:r>
        <w:rPr>
          <w:rFonts w:ascii="Times New Roman" w:hAnsi="Times New Roman"/>
          <w:b/>
        </w:rPr>
        <w:t xml:space="preserve">  </w:t>
      </w:r>
      <w:hyperlink r:id="rId1" w:history="1">
        <w:r w:rsidRPr="004C25EE">
          <w:rPr>
            <w:rStyle w:val="Hyperlink"/>
            <w:rFonts w:ascii="Times New Roman" w:hAnsi="Times New Roman"/>
          </w:rPr>
          <w:t>http://frwebgate.access.gpo.gov/cgi-bin/getdoc.cgi?dbname=110_cong_public_laws&amp;docid=f:publ315.110.pdf</w:t>
        </w:r>
      </w:hyperlink>
      <w:r w:rsidRPr="004C25EE">
        <w:rPr>
          <w:rFonts w:ascii="Times New Roman" w:hAnsi="Times New Roman"/>
        </w:rPr>
        <w:t xml:space="preserve"> </w:t>
      </w:r>
    </w:p>
  </w:footnote>
  <w:footnote w:id="6">
    <w:p w:rsidR="00F26EC9" w:rsidRPr="007C1958" w:rsidRDefault="00F26EC9" w:rsidP="007345A7">
      <w:pPr>
        <w:pStyle w:val="FootnoteText"/>
        <w:rPr>
          <w:rFonts w:ascii="Times New Roman" w:hAnsi="Times New Roman"/>
        </w:rPr>
      </w:pPr>
      <w:r w:rsidRPr="007C1958">
        <w:rPr>
          <w:rStyle w:val="FootnoteReference"/>
          <w:vertAlign w:val="superscript"/>
        </w:rPr>
        <w:footnoteRef/>
      </w:r>
      <w:r w:rsidRPr="007C1958">
        <w:rPr>
          <w:rFonts w:ascii="Times New Roman" w:hAnsi="Times New Roman"/>
        </w:rPr>
        <w:t xml:space="preserve">  </w:t>
      </w:r>
      <w:r>
        <w:rPr>
          <w:rFonts w:ascii="Times New Roman" w:hAnsi="Times New Roman"/>
        </w:rPr>
        <w:t>M</w:t>
      </w:r>
      <w:r w:rsidRPr="007C1958">
        <w:rPr>
          <w:rFonts w:ascii="Times New Roman" w:hAnsi="Times New Roman"/>
        </w:rPr>
        <w:t xml:space="preserve">odel forms for each of the </w:t>
      </w:r>
      <w:r>
        <w:rPr>
          <w:rFonts w:ascii="Times New Roman" w:hAnsi="Times New Roman"/>
        </w:rPr>
        <w:t xml:space="preserve">following </w:t>
      </w:r>
      <w:r w:rsidRPr="007C1958">
        <w:rPr>
          <w:rFonts w:ascii="Times New Roman" w:hAnsi="Times New Roman"/>
        </w:rPr>
        <w:t xml:space="preserve">three </w:t>
      </w:r>
      <w:r>
        <w:rPr>
          <w:rFonts w:ascii="Times New Roman" w:hAnsi="Times New Roman"/>
        </w:rPr>
        <w:t xml:space="preserve">disclosures are available in </w:t>
      </w:r>
      <w:r w:rsidRPr="007C1958">
        <w:rPr>
          <w:rFonts w:ascii="Times New Roman" w:hAnsi="Times New Roman"/>
        </w:rPr>
        <w:t>Appendix H-17 for the application or solicitation disclosures required in § 226.38(a), Appendix H-18 for the approval disclosures required in § 226.38(b), and Appendix H-19 for the final disclosures required in § 226.38(c).</w:t>
      </w:r>
    </w:p>
  </w:footnote>
  <w:footnote w:id="7">
    <w:p w:rsidR="00F26EC9" w:rsidRPr="00DA0B9B" w:rsidRDefault="00F26EC9" w:rsidP="002C2E3B">
      <w:pPr>
        <w:widowControl/>
        <w:autoSpaceDE w:val="0"/>
        <w:autoSpaceDN w:val="0"/>
        <w:adjustRightInd w:val="0"/>
        <w:rPr>
          <w:rFonts w:ascii="Times New Roman" w:hAnsi="Times New Roman"/>
          <w:sz w:val="20"/>
        </w:rPr>
      </w:pPr>
      <w:r w:rsidRPr="00DA0B9B">
        <w:rPr>
          <w:rStyle w:val="FootnoteReference"/>
          <w:sz w:val="20"/>
          <w:vertAlign w:val="superscript"/>
        </w:rPr>
        <w:footnoteRef/>
      </w:r>
      <w:r w:rsidRPr="00DA0B9B">
        <w:rPr>
          <w:rFonts w:ascii="Times New Roman" w:hAnsi="Times New Roman"/>
          <w:sz w:val="20"/>
          <w:vertAlign w:val="superscript"/>
        </w:rPr>
        <w:t xml:space="preserve"> </w:t>
      </w:r>
      <w:r w:rsidRPr="00DA0B9B">
        <w:rPr>
          <w:rFonts w:ascii="Times New Roman" w:hAnsi="Times New Roman"/>
          <w:sz w:val="20"/>
        </w:rPr>
        <w:t xml:space="preserve"> Attachment I – Consumer and College Credit Card Agreement in final rulemaking (75 FR 7658) contains the su</w:t>
      </w:r>
      <w:r w:rsidRPr="00DA0B9B">
        <w:rPr>
          <w:rFonts w:ascii="Times New Roman" w:eastAsia="Calibri" w:hAnsi="Times New Roman"/>
          <w:bCs/>
          <w:snapToGrid/>
          <w:sz w:val="20"/>
        </w:rPr>
        <w:t>bmission technical specifications document and initial submission requirements.  Note – Attachment I does not appear in the Code of Federal Regulations.</w:t>
      </w:r>
    </w:p>
  </w:footnote>
  <w:footnote w:id="8">
    <w:p w:rsidR="00F26EC9" w:rsidRDefault="00F26EC9" w:rsidP="002C2E3B">
      <w:pPr>
        <w:pStyle w:val="FootnoteText"/>
      </w:pPr>
      <w:r w:rsidRPr="00BE2B9F">
        <w:rPr>
          <w:rStyle w:val="FootnoteReference"/>
          <w:vertAlign w:val="superscript"/>
        </w:rPr>
        <w:footnoteRef/>
      </w:r>
      <w:r>
        <w:t xml:space="preserve"> </w:t>
      </w:r>
      <w:r w:rsidRPr="007642C7">
        <w:rPr>
          <w:rFonts w:ascii="Times New Roman" w:eastAsia="Calibri" w:hAnsi="Times New Roman"/>
          <w:snapToGrid/>
          <w:szCs w:val="24"/>
        </w:rPr>
        <w:t xml:space="preserve">Card issuers </w:t>
      </w:r>
      <w:r>
        <w:rPr>
          <w:rFonts w:ascii="Times New Roman" w:eastAsia="Calibri" w:hAnsi="Times New Roman"/>
          <w:snapToGrid/>
          <w:szCs w:val="24"/>
        </w:rPr>
        <w:t>were required to</w:t>
      </w:r>
      <w:r w:rsidRPr="007642C7">
        <w:rPr>
          <w:rFonts w:ascii="Times New Roman" w:eastAsia="Calibri" w:hAnsi="Times New Roman"/>
          <w:snapToGrid/>
          <w:szCs w:val="24"/>
        </w:rPr>
        <w:t xml:space="preserve"> submit their initial annual report on college credit card agreements, providing information for the 2009 calendar year, to the Board by February 22, 2010.  </w:t>
      </w:r>
    </w:p>
  </w:footnote>
  <w:footnote w:id="9">
    <w:p w:rsidR="00F26EC9" w:rsidRDefault="00F26EC9" w:rsidP="002C2E3B">
      <w:pPr>
        <w:pStyle w:val="FootnoteText"/>
      </w:pPr>
      <w:r w:rsidRPr="00BE2B9F">
        <w:rPr>
          <w:rStyle w:val="FootnoteReference"/>
          <w:vertAlign w:val="superscript"/>
        </w:rPr>
        <w:footnoteRef/>
      </w:r>
      <w:r>
        <w:t xml:space="preserve"> </w:t>
      </w:r>
      <w:r w:rsidRPr="007642C7">
        <w:rPr>
          <w:rFonts w:ascii="Times New Roman" w:eastAsia="Calibri" w:hAnsi="Times New Roman"/>
          <w:snapToGrid/>
          <w:szCs w:val="24"/>
        </w:rPr>
        <w:t xml:space="preserve">Initial submissions of consumer agreements, including agreements offered to the public as of December 31, 2009, </w:t>
      </w:r>
      <w:r>
        <w:rPr>
          <w:rFonts w:ascii="Times New Roman" w:eastAsia="Calibri" w:hAnsi="Times New Roman"/>
          <w:snapToGrid/>
          <w:szCs w:val="24"/>
        </w:rPr>
        <w:t>were required to</w:t>
      </w:r>
      <w:r w:rsidRPr="007642C7">
        <w:rPr>
          <w:rFonts w:ascii="Times New Roman" w:eastAsia="Calibri" w:hAnsi="Times New Roman"/>
          <w:snapToGrid/>
          <w:szCs w:val="24"/>
        </w:rPr>
        <w:t xml:space="preserve"> be sent to the Board no later than February 22, 2010.  </w:t>
      </w:r>
    </w:p>
  </w:footnote>
  <w:footnote w:id="10">
    <w:p w:rsidR="00F26EC9" w:rsidRPr="00E24EF4" w:rsidRDefault="00F26EC9" w:rsidP="002C2E3B">
      <w:pPr>
        <w:pStyle w:val="FootnoteText"/>
        <w:rPr>
          <w:rFonts w:ascii="Times New Roman" w:hAnsi="Times New Roman"/>
        </w:rPr>
      </w:pPr>
      <w:r w:rsidRPr="00E24EF4">
        <w:rPr>
          <w:rStyle w:val="FootnoteReference"/>
          <w:vertAlign w:val="superscript"/>
        </w:rPr>
        <w:footnoteRef/>
      </w:r>
      <w:r w:rsidRPr="00E24EF4">
        <w:rPr>
          <w:rFonts w:ascii="Times New Roman" w:hAnsi="Times New Roman"/>
        </w:rPr>
        <w:t xml:space="preserve">  </w:t>
      </w:r>
      <w:r w:rsidRPr="00E24EF4">
        <w:rPr>
          <w:rFonts w:ascii="Times New Roman" w:eastAsia="Calibri" w:hAnsi="Times New Roman"/>
          <w:snapToGrid/>
        </w:rPr>
        <w:t>A de minimis exception from the requirement to post on issuers’ publicly available Web sites, and submit to the</w:t>
      </w:r>
      <w:r w:rsidRPr="00E24EF4">
        <w:rPr>
          <w:rFonts w:ascii="Times New Roman" w:eastAsia="Calibri" w:hAnsi="Times New Roman"/>
          <w:snapToGrid/>
          <w:szCs w:val="24"/>
        </w:rPr>
        <w:t xml:space="preserve"> Board for posting on the Board’s public web site, agreements applies to issuers with fewer than 10,000 open credit card accounts.  </w:t>
      </w:r>
    </w:p>
  </w:footnote>
  <w:footnote w:id="11">
    <w:p w:rsidR="00F26EC9" w:rsidRPr="00D06592" w:rsidRDefault="00F26EC9" w:rsidP="00C06158">
      <w:pPr>
        <w:widowControl/>
        <w:autoSpaceDE w:val="0"/>
        <w:autoSpaceDN w:val="0"/>
        <w:adjustRightInd w:val="0"/>
        <w:rPr>
          <w:rFonts w:ascii="Times New Roman" w:hAnsi="Times New Roman"/>
          <w:sz w:val="20"/>
        </w:rPr>
      </w:pPr>
      <w:r w:rsidRPr="00D06592">
        <w:rPr>
          <w:rStyle w:val="FootnoteReference"/>
          <w:sz w:val="20"/>
          <w:vertAlign w:val="superscript"/>
        </w:rPr>
        <w:footnoteRef/>
      </w:r>
      <w:r w:rsidRPr="00D06592">
        <w:rPr>
          <w:rFonts w:ascii="Times New Roman" w:hAnsi="Times New Roman"/>
          <w:sz w:val="20"/>
          <w:vertAlign w:val="superscript"/>
        </w:rPr>
        <w:t xml:space="preserve"> </w:t>
      </w:r>
      <w:r w:rsidRPr="00D06592">
        <w:rPr>
          <w:rFonts w:ascii="Times New Roman" w:eastAsia="Calibri" w:hAnsi="Times New Roman"/>
          <w:snapToGrid/>
          <w:sz w:val="20"/>
        </w:rPr>
        <w:t xml:space="preserve">Based on loan transactions reported for 2009 under the Home Mortgage Disclosure Act (HMDA), 12 U.S.C. 2801 </w:t>
      </w:r>
      <w:r w:rsidRPr="00D06592">
        <w:rPr>
          <w:rFonts w:ascii="Times New Roman" w:eastAsia="Calibri" w:hAnsi="Times New Roman"/>
          <w:i/>
          <w:iCs/>
          <w:snapToGrid/>
          <w:sz w:val="20"/>
        </w:rPr>
        <w:t xml:space="preserve">et seq.; </w:t>
      </w:r>
      <w:r w:rsidRPr="00D06592">
        <w:rPr>
          <w:rFonts w:ascii="Times New Roman" w:eastAsia="Calibri" w:hAnsi="Times New Roman"/>
          <w:snapToGrid/>
          <w:sz w:val="20"/>
        </w:rPr>
        <w:t xml:space="preserve">12 CFR </w:t>
      </w:r>
      <w:proofErr w:type="gramStart"/>
      <w:r w:rsidRPr="00D06592">
        <w:rPr>
          <w:rFonts w:ascii="Times New Roman" w:eastAsia="Calibri" w:hAnsi="Times New Roman"/>
          <w:snapToGrid/>
          <w:sz w:val="20"/>
        </w:rPr>
        <w:t>part</w:t>
      </w:r>
      <w:proofErr w:type="gramEnd"/>
      <w:r w:rsidRPr="00D06592">
        <w:rPr>
          <w:rFonts w:ascii="Times New Roman" w:eastAsia="Calibri" w:hAnsi="Times New Roman"/>
          <w:snapToGrid/>
          <w:sz w:val="20"/>
        </w:rPr>
        <w:t xml:space="preserve"> 203, the Board estimates that 567 institutions engaged in such mortgage transactions are supervised by the Federal Reserve.  </w:t>
      </w:r>
    </w:p>
  </w:footnote>
  <w:footnote w:id="12">
    <w:p w:rsidR="00F26EC9" w:rsidRPr="00F26EC9" w:rsidRDefault="00F26EC9" w:rsidP="003E4EBC">
      <w:pPr>
        <w:widowControl/>
        <w:autoSpaceDE w:val="0"/>
        <w:autoSpaceDN w:val="0"/>
        <w:adjustRightInd w:val="0"/>
        <w:rPr>
          <w:rFonts w:ascii="Times New Roman" w:hAnsi="Times New Roman"/>
          <w:sz w:val="20"/>
        </w:rPr>
      </w:pPr>
      <w:r w:rsidRPr="00F26EC9">
        <w:rPr>
          <w:rStyle w:val="FootnoteReference"/>
          <w:sz w:val="20"/>
          <w:vertAlign w:val="superscript"/>
        </w:rPr>
        <w:footnoteRef/>
      </w:r>
      <w:r w:rsidRPr="00F26EC9">
        <w:rPr>
          <w:rFonts w:ascii="Times New Roman" w:hAnsi="Times New Roman"/>
          <w:sz w:val="20"/>
          <w:vertAlign w:val="superscript"/>
        </w:rPr>
        <w:t xml:space="preserve"> </w:t>
      </w:r>
      <w:r w:rsidRPr="00F26EC9">
        <w:rPr>
          <w:rFonts w:ascii="Times New Roman" w:eastAsia="Calibri" w:hAnsi="Times New Roman"/>
          <w:snapToGrid/>
          <w:sz w:val="20"/>
        </w:rPr>
        <w:t>The Board believes that, on a continuing basis, since financial institutions are familiar with the existing provisions Title XI of FIRREA (12 U.S.C. 3348) and the Interagency Guidelines (SR letter 94– 55) which require similar reporting, implementation of requirements in § 226.42(g) should not be overly burdensome.</w:t>
      </w:r>
    </w:p>
  </w:footnote>
  <w:footnote w:id="13">
    <w:p w:rsidR="00F26EC9" w:rsidRPr="004D431B" w:rsidRDefault="00F26EC9" w:rsidP="00000537">
      <w:r w:rsidRPr="004D431B">
        <w:rPr>
          <w:rStyle w:val="FootnoteReference"/>
          <w:sz w:val="20"/>
          <w:vertAlign w:val="superscript"/>
        </w:rPr>
        <w:footnoteRef/>
      </w:r>
      <w:r w:rsidRPr="004D431B">
        <w:rPr>
          <w:sz w:val="20"/>
        </w:rPr>
        <w:t xml:space="preserve"> </w:t>
      </w:r>
      <w:r w:rsidRPr="004D431B">
        <w:rPr>
          <w:rFonts w:ascii="Times New Roman" w:hAnsi="Times New Roman"/>
          <w:sz w:val="20"/>
        </w:rPr>
        <w:t xml:space="preserve">Appendix I – Federal Enforcement Agencies – of Regulation Z defines the Federal Reserve-regulated institutions as: </w:t>
      </w:r>
      <w:r>
        <w:rPr>
          <w:rFonts w:ascii="Times New Roman" w:hAnsi="Times New Roman"/>
          <w:sz w:val="20"/>
        </w:rPr>
        <w:t>SMBs</w:t>
      </w:r>
      <w:r w:rsidRPr="004D431B">
        <w:rPr>
          <w:rFonts w:ascii="Times New Roman" w:hAnsi="Times New Roman"/>
          <w:sz w:val="20"/>
        </w:rPr>
        <w:t>, branches and agencies of foreign banks (</w:t>
      </w:r>
      <w:r w:rsidRPr="005E2EFF">
        <w:rPr>
          <w:rFonts w:ascii="Times New Roman" w:hAnsi="Times New Roman"/>
          <w:sz w:val="20"/>
          <w:u w:val="single"/>
        </w:rPr>
        <w:t>other than</w:t>
      </w:r>
      <w:r w:rsidRPr="004D431B">
        <w:rPr>
          <w:rFonts w:ascii="Times New Roman" w:hAnsi="Times New Roman"/>
          <w:sz w:val="20"/>
        </w:rPr>
        <w:t xml:space="preserve"> federal branches, federal agencies, and </w:t>
      </w:r>
      <w:r w:rsidRPr="005E2EFF">
        <w:rPr>
          <w:rFonts w:ascii="Times New Roman" w:hAnsi="Times New Roman"/>
          <w:sz w:val="20"/>
          <w:u w:val="single"/>
        </w:rPr>
        <w:t>insured state branches of foreign banks</w:t>
      </w:r>
      <w:r w:rsidRPr="004D431B">
        <w:rPr>
          <w:rFonts w:ascii="Times New Roman" w:hAnsi="Times New Roman"/>
          <w:sz w:val="20"/>
        </w:rPr>
        <w:t>), commercial lending companies owned or controlled by foreign banks, and organizations operating under section 25 or 25A of the Federal Reserve Act (Edge Act or agreement corporations).</w:t>
      </w:r>
      <w:r>
        <w:tab/>
      </w:r>
    </w:p>
  </w:footnote>
  <w:footnote w:id="14">
    <w:p w:rsidR="00F26EC9" w:rsidRPr="00AE528F" w:rsidRDefault="00F26EC9" w:rsidP="00000537">
      <w:pPr>
        <w:pStyle w:val="FootnoteText"/>
        <w:rPr>
          <w:rFonts w:ascii="Times New Roman" w:hAnsi="Times New Roman"/>
        </w:rPr>
      </w:pPr>
      <w:r w:rsidRPr="00AE528F">
        <w:rPr>
          <w:rStyle w:val="FootnoteReference"/>
          <w:vertAlign w:val="superscript"/>
        </w:rPr>
        <w:footnoteRef/>
      </w:r>
      <w:r w:rsidRPr="00AE528F">
        <w:rPr>
          <w:rFonts w:ascii="Times New Roman" w:hAnsi="Times New Roman"/>
          <w:vertAlign w:val="superscript"/>
        </w:rPr>
        <w:t xml:space="preserve"> </w:t>
      </w:r>
      <w:r>
        <w:rPr>
          <w:rFonts w:ascii="Times New Roman" w:hAnsi="Times New Roman"/>
          <w:vertAlign w:val="superscript"/>
        </w:rPr>
        <w:t xml:space="preserve"> </w:t>
      </w:r>
      <w:r>
        <w:rPr>
          <w:rFonts w:ascii="Times New Roman" w:hAnsi="Times New Roman"/>
        </w:rPr>
        <w:t>This count e</w:t>
      </w:r>
      <w:r w:rsidRPr="00AE528F">
        <w:rPr>
          <w:rFonts w:ascii="Times New Roman" w:hAnsi="Times New Roman"/>
        </w:rPr>
        <w:t>xcludes</w:t>
      </w:r>
      <w:r>
        <w:rPr>
          <w:rFonts w:ascii="Times New Roman" w:hAnsi="Times New Roman"/>
        </w:rPr>
        <w:t xml:space="preserve"> the</w:t>
      </w:r>
      <w:r w:rsidRPr="00AE528F">
        <w:rPr>
          <w:rFonts w:ascii="Times New Roman" w:hAnsi="Times New Roman"/>
        </w:rPr>
        <w:t xml:space="preserve"> </w:t>
      </w:r>
      <w:r>
        <w:rPr>
          <w:rFonts w:ascii="Times New Roman" w:hAnsi="Times New Roman"/>
          <w:iCs/>
        </w:rPr>
        <w:t>two</w:t>
      </w:r>
      <w:r w:rsidRPr="00AE528F">
        <w:rPr>
          <w:rFonts w:ascii="Times New Roman" w:hAnsi="Times New Roman"/>
          <w:iCs/>
        </w:rPr>
        <w:t xml:space="preserve"> </w:t>
      </w:r>
      <w:r w:rsidRPr="00AE528F">
        <w:rPr>
          <w:rFonts w:ascii="Times New Roman" w:hAnsi="Times New Roman"/>
        </w:rPr>
        <w:t>Commercial lending companies</w:t>
      </w:r>
      <w:r>
        <w:rPr>
          <w:rFonts w:ascii="Times New Roman" w:hAnsi="Times New Roman"/>
        </w:rPr>
        <w:t>.</w:t>
      </w:r>
    </w:p>
  </w:footnote>
  <w:footnote w:id="15">
    <w:p w:rsidR="00F26EC9" w:rsidRPr="00173B73" w:rsidRDefault="00F26EC9" w:rsidP="000308DD">
      <w:pPr>
        <w:pStyle w:val="FootnoteText"/>
        <w:rPr>
          <w:rFonts w:ascii="Times New Roman" w:hAnsi="Times New Roman"/>
        </w:rPr>
      </w:pPr>
      <w:r w:rsidRPr="00173B73">
        <w:rPr>
          <w:rStyle w:val="FootnoteReference"/>
          <w:vertAlign w:val="superscript"/>
        </w:rPr>
        <w:footnoteRef/>
      </w:r>
      <w:r w:rsidRPr="00173B73">
        <w:rPr>
          <w:rFonts w:ascii="Times New Roman" w:hAnsi="Times New Roman"/>
        </w:rPr>
        <w:t xml:space="preserve">  </w:t>
      </w:r>
      <w:r w:rsidRPr="00F5615C">
        <w:rPr>
          <w:rFonts w:ascii="Times New Roman" w:hAnsi="Times New Roman"/>
        </w:rPr>
        <w:t xml:space="preserve">Total cost to the public was estimated using the following formula: percent of staff time, multiplied by annual burden hours, multiplied by hourly rate (30% Office &amp; Administrative Support @ $16, 45% Financial Managers @ $50, 15% Legal Counsel @ $54, and 10% Chief Executives @ $80).  Hourly rate for each occupational group are the median hourly wages (rounded up) from the Bureau of Labor and Statistics (BLS), Occupational Employment and Wages 2010, </w:t>
      </w:r>
      <w:hyperlink r:id="rId2" w:history="1">
        <w:r w:rsidRPr="006D1846">
          <w:rPr>
            <w:rStyle w:val="Hyperlink"/>
            <w:rFonts w:ascii="Times New Roman" w:hAnsi="Times New Roman"/>
          </w:rPr>
          <w:t>www.bls.gov/news.release/ocwage.nr0.htm</w:t>
        </w:r>
      </w:hyperlink>
      <w:r>
        <w:rPr>
          <w:rFonts w:ascii="Times New Roman" w:hAnsi="Times New Roman"/>
        </w:rPr>
        <w:t xml:space="preserve"> </w:t>
      </w:r>
      <w:r w:rsidRPr="00F5615C">
        <w:rPr>
          <w:rFonts w:ascii="Times New Roman" w:hAnsi="Times New Roman"/>
        </w:rPr>
        <w:t xml:space="preserve"> Occupations are defined using the BLS Occupational Classification System,  </w:t>
      </w:r>
      <w:hyperlink r:id="rId3" w:history="1">
        <w:r w:rsidRPr="006D1846">
          <w:rPr>
            <w:rStyle w:val="Hyperlink"/>
            <w:rFonts w:ascii="Times New Roman" w:hAnsi="Times New Roman"/>
          </w:rPr>
          <w:t>www.bls.gov/soc/</w:t>
        </w:r>
      </w:hyperlink>
      <w:r>
        <w:rPr>
          <w:rFonts w:ascii="Times New Roman" w:hAnsi="Times New Roman"/>
        </w:rPr>
        <w:t xml:space="preserve"> </w:t>
      </w:r>
      <w:r w:rsidRPr="00F5615C">
        <w:rPr>
          <w:rFonts w:ascii="Times New Roman" w:hAnsi="Times New Roman"/>
        </w:rPr>
        <w:t xml:space="preserve"> </w:t>
      </w:r>
      <w:r w:rsidRPr="00173B73">
        <w:rPr>
          <w:rFonts w:ascii="Times New Roman" w:hAnsi="Times New Roma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90"/>
    <w:multiLevelType w:val="hybridMultilevel"/>
    <w:tmpl w:val="CC22B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F85418"/>
    <w:multiLevelType w:val="hybridMultilevel"/>
    <w:tmpl w:val="A8A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F150BA"/>
    <w:multiLevelType w:val="hybridMultilevel"/>
    <w:tmpl w:val="5914ED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E82563"/>
    <w:multiLevelType w:val="hybridMultilevel"/>
    <w:tmpl w:val="EC60B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1314B6"/>
    <w:multiLevelType w:val="hybridMultilevel"/>
    <w:tmpl w:val="6CF46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E94A5A"/>
    <w:multiLevelType w:val="hybridMultilevel"/>
    <w:tmpl w:val="89BA1F10"/>
    <w:lvl w:ilvl="0" w:tplc="2BC81C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5E23E26"/>
    <w:multiLevelType w:val="hybridMultilevel"/>
    <w:tmpl w:val="D5189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0146BD"/>
    <w:multiLevelType w:val="hybridMultilevel"/>
    <w:tmpl w:val="9AD2DAB6"/>
    <w:lvl w:ilvl="0" w:tplc="E864C956">
      <w:start w:val="1"/>
      <w:numFmt w:val="decimal"/>
      <w:lvlText w:val="(%1)"/>
      <w:lvlJc w:val="left"/>
      <w:pPr>
        <w:ind w:left="1764" w:hanging="1044"/>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1B57623"/>
    <w:multiLevelType w:val="hybridMultilevel"/>
    <w:tmpl w:val="EFBA4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F762C6"/>
    <w:multiLevelType w:val="hybridMultilevel"/>
    <w:tmpl w:val="B352E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153C0B"/>
    <w:multiLevelType w:val="hybridMultilevel"/>
    <w:tmpl w:val="657CA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10"/>
  </w:num>
  <w:num w:numId="4">
    <w:abstractNumId w:val="7"/>
  </w:num>
  <w:num w:numId="5">
    <w:abstractNumId w:val="1"/>
  </w:num>
  <w:num w:numId="6">
    <w:abstractNumId w:val="8"/>
  </w:num>
  <w:num w:numId="7">
    <w:abstractNumId w:val="9"/>
  </w:num>
  <w:num w:numId="8">
    <w:abstractNumId w:val="3"/>
  </w:num>
  <w:num w:numId="9">
    <w:abstractNumId w:val="0"/>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8F4BBA"/>
    <w:rsid w:val="00000537"/>
    <w:rsid w:val="000012B8"/>
    <w:rsid w:val="00012D78"/>
    <w:rsid w:val="000238C3"/>
    <w:rsid w:val="00030373"/>
    <w:rsid w:val="000308DD"/>
    <w:rsid w:val="00032CA4"/>
    <w:rsid w:val="0003799A"/>
    <w:rsid w:val="000379BC"/>
    <w:rsid w:val="00045F63"/>
    <w:rsid w:val="000526F1"/>
    <w:rsid w:val="000624F5"/>
    <w:rsid w:val="0006337D"/>
    <w:rsid w:val="000635F6"/>
    <w:rsid w:val="00065595"/>
    <w:rsid w:val="00073CD7"/>
    <w:rsid w:val="00093785"/>
    <w:rsid w:val="0009460D"/>
    <w:rsid w:val="000A201A"/>
    <w:rsid w:val="000A2C2B"/>
    <w:rsid w:val="000A4127"/>
    <w:rsid w:val="000A5C92"/>
    <w:rsid w:val="000A7083"/>
    <w:rsid w:val="000A74DA"/>
    <w:rsid w:val="000A7EC0"/>
    <w:rsid w:val="000B0CFB"/>
    <w:rsid w:val="000B122E"/>
    <w:rsid w:val="000B3772"/>
    <w:rsid w:val="000B5EDB"/>
    <w:rsid w:val="000C0D0A"/>
    <w:rsid w:val="000C2CCA"/>
    <w:rsid w:val="000C2D58"/>
    <w:rsid w:val="000C61CF"/>
    <w:rsid w:val="000D4503"/>
    <w:rsid w:val="000D599F"/>
    <w:rsid w:val="000E2579"/>
    <w:rsid w:val="000E3FD6"/>
    <w:rsid w:val="000F3A09"/>
    <w:rsid w:val="000F4D4E"/>
    <w:rsid w:val="0010419D"/>
    <w:rsid w:val="00113CF5"/>
    <w:rsid w:val="00113FB2"/>
    <w:rsid w:val="001140F3"/>
    <w:rsid w:val="00116914"/>
    <w:rsid w:val="001215A4"/>
    <w:rsid w:val="00122403"/>
    <w:rsid w:val="001319BC"/>
    <w:rsid w:val="00135DA5"/>
    <w:rsid w:val="00151242"/>
    <w:rsid w:val="00152C61"/>
    <w:rsid w:val="0015665F"/>
    <w:rsid w:val="001629F7"/>
    <w:rsid w:val="00167590"/>
    <w:rsid w:val="00167EE5"/>
    <w:rsid w:val="00173B73"/>
    <w:rsid w:val="001759A9"/>
    <w:rsid w:val="00176A94"/>
    <w:rsid w:val="0017727B"/>
    <w:rsid w:val="00181D2A"/>
    <w:rsid w:val="00185609"/>
    <w:rsid w:val="001901CF"/>
    <w:rsid w:val="00194567"/>
    <w:rsid w:val="001A2EE7"/>
    <w:rsid w:val="001B5465"/>
    <w:rsid w:val="001B5DA8"/>
    <w:rsid w:val="001C0353"/>
    <w:rsid w:val="001C1447"/>
    <w:rsid w:val="001D0A67"/>
    <w:rsid w:val="001D63DF"/>
    <w:rsid w:val="001D682B"/>
    <w:rsid w:val="001D7143"/>
    <w:rsid w:val="001E1456"/>
    <w:rsid w:val="001E30D8"/>
    <w:rsid w:val="001E5573"/>
    <w:rsid w:val="001E6245"/>
    <w:rsid w:val="001F52A3"/>
    <w:rsid w:val="00202E76"/>
    <w:rsid w:val="00212FC2"/>
    <w:rsid w:val="00222CC4"/>
    <w:rsid w:val="00227CDD"/>
    <w:rsid w:val="00232206"/>
    <w:rsid w:val="00234B25"/>
    <w:rsid w:val="00235C05"/>
    <w:rsid w:val="00240794"/>
    <w:rsid w:val="00245044"/>
    <w:rsid w:val="00251465"/>
    <w:rsid w:val="00252395"/>
    <w:rsid w:val="0025417B"/>
    <w:rsid w:val="002560EC"/>
    <w:rsid w:val="00256BE9"/>
    <w:rsid w:val="00256F9D"/>
    <w:rsid w:val="00261011"/>
    <w:rsid w:val="00261CE1"/>
    <w:rsid w:val="00273D93"/>
    <w:rsid w:val="00274452"/>
    <w:rsid w:val="002759F0"/>
    <w:rsid w:val="0027640D"/>
    <w:rsid w:val="00281E09"/>
    <w:rsid w:val="00284934"/>
    <w:rsid w:val="0028672C"/>
    <w:rsid w:val="002928E5"/>
    <w:rsid w:val="00292E60"/>
    <w:rsid w:val="002943B9"/>
    <w:rsid w:val="002954C4"/>
    <w:rsid w:val="002964A0"/>
    <w:rsid w:val="002A5C89"/>
    <w:rsid w:val="002A7ADD"/>
    <w:rsid w:val="002B0BFD"/>
    <w:rsid w:val="002B2513"/>
    <w:rsid w:val="002B5D7A"/>
    <w:rsid w:val="002C2E3B"/>
    <w:rsid w:val="002C4E41"/>
    <w:rsid w:val="002D1B94"/>
    <w:rsid w:val="002D2A3B"/>
    <w:rsid w:val="002D2D2C"/>
    <w:rsid w:val="002E1D5B"/>
    <w:rsid w:val="002E1E5A"/>
    <w:rsid w:val="002F7643"/>
    <w:rsid w:val="003017BC"/>
    <w:rsid w:val="00301C84"/>
    <w:rsid w:val="00304044"/>
    <w:rsid w:val="003215C7"/>
    <w:rsid w:val="00330849"/>
    <w:rsid w:val="00332C40"/>
    <w:rsid w:val="003335A8"/>
    <w:rsid w:val="003348A8"/>
    <w:rsid w:val="0033536F"/>
    <w:rsid w:val="003432AE"/>
    <w:rsid w:val="00343BBB"/>
    <w:rsid w:val="00344408"/>
    <w:rsid w:val="00345281"/>
    <w:rsid w:val="0035387B"/>
    <w:rsid w:val="003573D8"/>
    <w:rsid w:val="00357D02"/>
    <w:rsid w:val="0036291F"/>
    <w:rsid w:val="00370B1D"/>
    <w:rsid w:val="00376420"/>
    <w:rsid w:val="003948A2"/>
    <w:rsid w:val="003A4947"/>
    <w:rsid w:val="003A4D0E"/>
    <w:rsid w:val="003B11A2"/>
    <w:rsid w:val="003B35F5"/>
    <w:rsid w:val="003B41A7"/>
    <w:rsid w:val="003B65CD"/>
    <w:rsid w:val="003C6AC1"/>
    <w:rsid w:val="003D0832"/>
    <w:rsid w:val="003D21FA"/>
    <w:rsid w:val="003E1ED1"/>
    <w:rsid w:val="003E4EBC"/>
    <w:rsid w:val="003E60CA"/>
    <w:rsid w:val="003F6EAF"/>
    <w:rsid w:val="003F7D74"/>
    <w:rsid w:val="00416387"/>
    <w:rsid w:val="0041758B"/>
    <w:rsid w:val="0042111A"/>
    <w:rsid w:val="00423B9E"/>
    <w:rsid w:val="004262C0"/>
    <w:rsid w:val="00430AE4"/>
    <w:rsid w:val="00437A34"/>
    <w:rsid w:val="00440617"/>
    <w:rsid w:val="00440BA4"/>
    <w:rsid w:val="00441265"/>
    <w:rsid w:val="00442B93"/>
    <w:rsid w:val="00443858"/>
    <w:rsid w:val="00444134"/>
    <w:rsid w:val="00447714"/>
    <w:rsid w:val="00452D99"/>
    <w:rsid w:val="00462305"/>
    <w:rsid w:val="00467DC9"/>
    <w:rsid w:val="0047238B"/>
    <w:rsid w:val="00481A2C"/>
    <w:rsid w:val="004844D8"/>
    <w:rsid w:val="00490053"/>
    <w:rsid w:val="00493C2C"/>
    <w:rsid w:val="004A1D2E"/>
    <w:rsid w:val="004A25C4"/>
    <w:rsid w:val="004A4465"/>
    <w:rsid w:val="004B276F"/>
    <w:rsid w:val="004B510E"/>
    <w:rsid w:val="004B5C63"/>
    <w:rsid w:val="004B6277"/>
    <w:rsid w:val="004C25EE"/>
    <w:rsid w:val="004C3333"/>
    <w:rsid w:val="004C4065"/>
    <w:rsid w:val="004C4943"/>
    <w:rsid w:val="004C56D9"/>
    <w:rsid w:val="004C629D"/>
    <w:rsid w:val="004C63BA"/>
    <w:rsid w:val="004D2CA7"/>
    <w:rsid w:val="004D4A74"/>
    <w:rsid w:val="004D5DA4"/>
    <w:rsid w:val="004D6720"/>
    <w:rsid w:val="004E3E2C"/>
    <w:rsid w:val="004E4FD9"/>
    <w:rsid w:val="004F3F15"/>
    <w:rsid w:val="004F5B51"/>
    <w:rsid w:val="0050055F"/>
    <w:rsid w:val="0050135F"/>
    <w:rsid w:val="0050438F"/>
    <w:rsid w:val="00507555"/>
    <w:rsid w:val="00507C45"/>
    <w:rsid w:val="005140C0"/>
    <w:rsid w:val="0051441F"/>
    <w:rsid w:val="0051660F"/>
    <w:rsid w:val="0051707F"/>
    <w:rsid w:val="00520D3A"/>
    <w:rsid w:val="0052257E"/>
    <w:rsid w:val="00525F16"/>
    <w:rsid w:val="00527144"/>
    <w:rsid w:val="00535B3B"/>
    <w:rsid w:val="00536AAC"/>
    <w:rsid w:val="005400B4"/>
    <w:rsid w:val="00540D77"/>
    <w:rsid w:val="00540D94"/>
    <w:rsid w:val="00545F1A"/>
    <w:rsid w:val="00546011"/>
    <w:rsid w:val="005509EB"/>
    <w:rsid w:val="00550E00"/>
    <w:rsid w:val="00560AF8"/>
    <w:rsid w:val="00561228"/>
    <w:rsid w:val="0056192D"/>
    <w:rsid w:val="00564F7C"/>
    <w:rsid w:val="00566B2F"/>
    <w:rsid w:val="00572764"/>
    <w:rsid w:val="0059484E"/>
    <w:rsid w:val="005A7EF9"/>
    <w:rsid w:val="005B1368"/>
    <w:rsid w:val="005B3432"/>
    <w:rsid w:val="005B3D9C"/>
    <w:rsid w:val="005B682C"/>
    <w:rsid w:val="005B6A70"/>
    <w:rsid w:val="005B7469"/>
    <w:rsid w:val="005B7C19"/>
    <w:rsid w:val="005D3123"/>
    <w:rsid w:val="005D430D"/>
    <w:rsid w:val="005E3E87"/>
    <w:rsid w:val="005E571D"/>
    <w:rsid w:val="005F1A4B"/>
    <w:rsid w:val="005F2AA3"/>
    <w:rsid w:val="005F3E4C"/>
    <w:rsid w:val="0060527F"/>
    <w:rsid w:val="006060E9"/>
    <w:rsid w:val="00617B64"/>
    <w:rsid w:val="006304AE"/>
    <w:rsid w:val="00631F98"/>
    <w:rsid w:val="0064115E"/>
    <w:rsid w:val="00642101"/>
    <w:rsid w:val="00675FF4"/>
    <w:rsid w:val="006760B7"/>
    <w:rsid w:val="006809EE"/>
    <w:rsid w:val="006838AF"/>
    <w:rsid w:val="00685862"/>
    <w:rsid w:val="00685AC3"/>
    <w:rsid w:val="00690B69"/>
    <w:rsid w:val="00692C1B"/>
    <w:rsid w:val="00692C40"/>
    <w:rsid w:val="006A6B78"/>
    <w:rsid w:val="006B55A4"/>
    <w:rsid w:val="006C1647"/>
    <w:rsid w:val="006D20C8"/>
    <w:rsid w:val="006D2912"/>
    <w:rsid w:val="006E2991"/>
    <w:rsid w:val="006E2F1B"/>
    <w:rsid w:val="006E5BE5"/>
    <w:rsid w:val="006E65AB"/>
    <w:rsid w:val="006F05D8"/>
    <w:rsid w:val="006F0ABD"/>
    <w:rsid w:val="006F4DB6"/>
    <w:rsid w:val="006F6994"/>
    <w:rsid w:val="0070784A"/>
    <w:rsid w:val="00711559"/>
    <w:rsid w:val="00711A8E"/>
    <w:rsid w:val="00732624"/>
    <w:rsid w:val="007327DC"/>
    <w:rsid w:val="007328D2"/>
    <w:rsid w:val="007345A7"/>
    <w:rsid w:val="00736F49"/>
    <w:rsid w:val="00742751"/>
    <w:rsid w:val="00743068"/>
    <w:rsid w:val="0075196B"/>
    <w:rsid w:val="00755083"/>
    <w:rsid w:val="00761B3F"/>
    <w:rsid w:val="0076232B"/>
    <w:rsid w:val="007631C2"/>
    <w:rsid w:val="007640F9"/>
    <w:rsid w:val="007642C7"/>
    <w:rsid w:val="00771595"/>
    <w:rsid w:val="00771AD8"/>
    <w:rsid w:val="00773C67"/>
    <w:rsid w:val="00776B24"/>
    <w:rsid w:val="0077743A"/>
    <w:rsid w:val="00793F08"/>
    <w:rsid w:val="00794084"/>
    <w:rsid w:val="00794E73"/>
    <w:rsid w:val="007A23EF"/>
    <w:rsid w:val="007A7C77"/>
    <w:rsid w:val="007B1E74"/>
    <w:rsid w:val="007C0842"/>
    <w:rsid w:val="007D0045"/>
    <w:rsid w:val="007D477D"/>
    <w:rsid w:val="007D5A80"/>
    <w:rsid w:val="007D5C14"/>
    <w:rsid w:val="007E0DE4"/>
    <w:rsid w:val="007E30C2"/>
    <w:rsid w:val="007F3355"/>
    <w:rsid w:val="00802AF6"/>
    <w:rsid w:val="0080475D"/>
    <w:rsid w:val="00812C02"/>
    <w:rsid w:val="00813889"/>
    <w:rsid w:val="008213C4"/>
    <w:rsid w:val="00827B88"/>
    <w:rsid w:val="00840074"/>
    <w:rsid w:val="00840086"/>
    <w:rsid w:val="00841CD0"/>
    <w:rsid w:val="00844E5E"/>
    <w:rsid w:val="00850202"/>
    <w:rsid w:val="00853C5C"/>
    <w:rsid w:val="008603A6"/>
    <w:rsid w:val="00863DBD"/>
    <w:rsid w:val="0086663C"/>
    <w:rsid w:val="00870FCB"/>
    <w:rsid w:val="0087132A"/>
    <w:rsid w:val="00874A61"/>
    <w:rsid w:val="0088096F"/>
    <w:rsid w:val="00881F2C"/>
    <w:rsid w:val="008852FC"/>
    <w:rsid w:val="008A2BC7"/>
    <w:rsid w:val="008A3882"/>
    <w:rsid w:val="008A6851"/>
    <w:rsid w:val="008A70CE"/>
    <w:rsid w:val="008C10AA"/>
    <w:rsid w:val="008C43AA"/>
    <w:rsid w:val="008C51A9"/>
    <w:rsid w:val="008C6379"/>
    <w:rsid w:val="008D2892"/>
    <w:rsid w:val="008D2BF5"/>
    <w:rsid w:val="008D2FEE"/>
    <w:rsid w:val="008D74A8"/>
    <w:rsid w:val="008E3AA5"/>
    <w:rsid w:val="008E5B1E"/>
    <w:rsid w:val="008E60F7"/>
    <w:rsid w:val="008F18B3"/>
    <w:rsid w:val="008F320F"/>
    <w:rsid w:val="008F3C70"/>
    <w:rsid w:val="008F4961"/>
    <w:rsid w:val="008F4BBA"/>
    <w:rsid w:val="008F4ED0"/>
    <w:rsid w:val="008F6B3E"/>
    <w:rsid w:val="00900915"/>
    <w:rsid w:val="00901882"/>
    <w:rsid w:val="009058DA"/>
    <w:rsid w:val="00907C5A"/>
    <w:rsid w:val="00910211"/>
    <w:rsid w:val="00911994"/>
    <w:rsid w:val="00913C1C"/>
    <w:rsid w:val="00915A42"/>
    <w:rsid w:val="00940F83"/>
    <w:rsid w:val="00946FD4"/>
    <w:rsid w:val="00950D93"/>
    <w:rsid w:val="009558F9"/>
    <w:rsid w:val="0097355F"/>
    <w:rsid w:val="00973DAF"/>
    <w:rsid w:val="00974C57"/>
    <w:rsid w:val="00975596"/>
    <w:rsid w:val="009774B0"/>
    <w:rsid w:val="00980C08"/>
    <w:rsid w:val="009834EF"/>
    <w:rsid w:val="00983617"/>
    <w:rsid w:val="009851BA"/>
    <w:rsid w:val="00996194"/>
    <w:rsid w:val="009A7607"/>
    <w:rsid w:val="009B0948"/>
    <w:rsid w:val="009C183B"/>
    <w:rsid w:val="009C4B22"/>
    <w:rsid w:val="009C4DEA"/>
    <w:rsid w:val="009C6AA4"/>
    <w:rsid w:val="009D0E62"/>
    <w:rsid w:val="009D4C03"/>
    <w:rsid w:val="009D5E4C"/>
    <w:rsid w:val="009D6F44"/>
    <w:rsid w:val="009E62D8"/>
    <w:rsid w:val="00A076BD"/>
    <w:rsid w:val="00A1378B"/>
    <w:rsid w:val="00A16AE9"/>
    <w:rsid w:val="00A228E0"/>
    <w:rsid w:val="00A23778"/>
    <w:rsid w:val="00A243F0"/>
    <w:rsid w:val="00A25E28"/>
    <w:rsid w:val="00A312F2"/>
    <w:rsid w:val="00A3737A"/>
    <w:rsid w:val="00A400A0"/>
    <w:rsid w:val="00A40103"/>
    <w:rsid w:val="00A4504D"/>
    <w:rsid w:val="00A46B31"/>
    <w:rsid w:val="00A601CA"/>
    <w:rsid w:val="00A638AD"/>
    <w:rsid w:val="00A657E0"/>
    <w:rsid w:val="00A66D4C"/>
    <w:rsid w:val="00A711EB"/>
    <w:rsid w:val="00A71DD3"/>
    <w:rsid w:val="00A7341F"/>
    <w:rsid w:val="00A73B07"/>
    <w:rsid w:val="00A757D9"/>
    <w:rsid w:val="00A77141"/>
    <w:rsid w:val="00A816C8"/>
    <w:rsid w:val="00A902FD"/>
    <w:rsid w:val="00A90731"/>
    <w:rsid w:val="00A909AC"/>
    <w:rsid w:val="00AA00A5"/>
    <w:rsid w:val="00AA0804"/>
    <w:rsid w:val="00AA0C09"/>
    <w:rsid w:val="00AB13DD"/>
    <w:rsid w:val="00AB39AF"/>
    <w:rsid w:val="00AB44CA"/>
    <w:rsid w:val="00AB4AE8"/>
    <w:rsid w:val="00AC51DA"/>
    <w:rsid w:val="00AD08C0"/>
    <w:rsid w:val="00AD1781"/>
    <w:rsid w:val="00AD1EE8"/>
    <w:rsid w:val="00AD43C6"/>
    <w:rsid w:val="00AD5068"/>
    <w:rsid w:val="00AD73F9"/>
    <w:rsid w:val="00AE02D0"/>
    <w:rsid w:val="00AE03D6"/>
    <w:rsid w:val="00AF06FB"/>
    <w:rsid w:val="00AF211C"/>
    <w:rsid w:val="00AF2F4D"/>
    <w:rsid w:val="00AF565A"/>
    <w:rsid w:val="00B05CF4"/>
    <w:rsid w:val="00B13D96"/>
    <w:rsid w:val="00B14E08"/>
    <w:rsid w:val="00B158BB"/>
    <w:rsid w:val="00B15BA5"/>
    <w:rsid w:val="00B229E5"/>
    <w:rsid w:val="00B25B18"/>
    <w:rsid w:val="00B2782A"/>
    <w:rsid w:val="00B33640"/>
    <w:rsid w:val="00B33DF5"/>
    <w:rsid w:val="00B35B89"/>
    <w:rsid w:val="00B379CC"/>
    <w:rsid w:val="00B54663"/>
    <w:rsid w:val="00B63177"/>
    <w:rsid w:val="00B643EC"/>
    <w:rsid w:val="00B74A87"/>
    <w:rsid w:val="00B74AB5"/>
    <w:rsid w:val="00B75256"/>
    <w:rsid w:val="00B75A89"/>
    <w:rsid w:val="00B90DDE"/>
    <w:rsid w:val="00B91423"/>
    <w:rsid w:val="00B96F58"/>
    <w:rsid w:val="00B97F08"/>
    <w:rsid w:val="00BA2D7B"/>
    <w:rsid w:val="00BA764C"/>
    <w:rsid w:val="00BC1A05"/>
    <w:rsid w:val="00BC6B49"/>
    <w:rsid w:val="00BC769E"/>
    <w:rsid w:val="00BD020E"/>
    <w:rsid w:val="00BD79AF"/>
    <w:rsid w:val="00BE2B9F"/>
    <w:rsid w:val="00BE4B50"/>
    <w:rsid w:val="00BE5786"/>
    <w:rsid w:val="00BF1829"/>
    <w:rsid w:val="00BF79BC"/>
    <w:rsid w:val="00BF7B5C"/>
    <w:rsid w:val="00C00D56"/>
    <w:rsid w:val="00C06158"/>
    <w:rsid w:val="00C0647C"/>
    <w:rsid w:val="00C1065A"/>
    <w:rsid w:val="00C23339"/>
    <w:rsid w:val="00C247CE"/>
    <w:rsid w:val="00C35CD7"/>
    <w:rsid w:val="00C36455"/>
    <w:rsid w:val="00C41A98"/>
    <w:rsid w:val="00C50681"/>
    <w:rsid w:val="00C549B3"/>
    <w:rsid w:val="00C814AF"/>
    <w:rsid w:val="00C81D2D"/>
    <w:rsid w:val="00C853D6"/>
    <w:rsid w:val="00C90F25"/>
    <w:rsid w:val="00C95C31"/>
    <w:rsid w:val="00C96814"/>
    <w:rsid w:val="00CA0D61"/>
    <w:rsid w:val="00CA1A92"/>
    <w:rsid w:val="00CA76F2"/>
    <w:rsid w:val="00CB4C18"/>
    <w:rsid w:val="00CB56E2"/>
    <w:rsid w:val="00CB5FA0"/>
    <w:rsid w:val="00CC5AB2"/>
    <w:rsid w:val="00CD774A"/>
    <w:rsid w:val="00CE3240"/>
    <w:rsid w:val="00CF379A"/>
    <w:rsid w:val="00CF4D03"/>
    <w:rsid w:val="00CF61B2"/>
    <w:rsid w:val="00D01002"/>
    <w:rsid w:val="00D01896"/>
    <w:rsid w:val="00D06592"/>
    <w:rsid w:val="00D102C6"/>
    <w:rsid w:val="00D22CF5"/>
    <w:rsid w:val="00D24EC8"/>
    <w:rsid w:val="00D2520D"/>
    <w:rsid w:val="00D25DB5"/>
    <w:rsid w:val="00D3129C"/>
    <w:rsid w:val="00D315C8"/>
    <w:rsid w:val="00D31B1A"/>
    <w:rsid w:val="00D32037"/>
    <w:rsid w:val="00D34E3F"/>
    <w:rsid w:val="00D406AC"/>
    <w:rsid w:val="00D41F5A"/>
    <w:rsid w:val="00D42044"/>
    <w:rsid w:val="00D437A2"/>
    <w:rsid w:val="00D465F3"/>
    <w:rsid w:val="00D501AE"/>
    <w:rsid w:val="00D53B10"/>
    <w:rsid w:val="00D560E5"/>
    <w:rsid w:val="00D61F4F"/>
    <w:rsid w:val="00D627CB"/>
    <w:rsid w:val="00D628FC"/>
    <w:rsid w:val="00D6752E"/>
    <w:rsid w:val="00D704C4"/>
    <w:rsid w:val="00D731B5"/>
    <w:rsid w:val="00D80D4F"/>
    <w:rsid w:val="00D8354D"/>
    <w:rsid w:val="00D87CA7"/>
    <w:rsid w:val="00D904B1"/>
    <w:rsid w:val="00D95326"/>
    <w:rsid w:val="00D96D82"/>
    <w:rsid w:val="00DA0B9B"/>
    <w:rsid w:val="00DA0FF7"/>
    <w:rsid w:val="00DA5B44"/>
    <w:rsid w:val="00DA659B"/>
    <w:rsid w:val="00DB25BA"/>
    <w:rsid w:val="00DB7D79"/>
    <w:rsid w:val="00DC378A"/>
    <w:rsid w:val="00DC65D5"/>
    <w:rsid w:val="00DC6A43"/>
    <w:rsid w:val="00DD00D1"/>
    <w:rsid w:val="00DD05EB"/>
    <w:rsid w:val="00DD2CEA"/>
    <w:rsid w:val="00DD40B4"/>
    <w:rsid w:val="00DE390A"/>
    <w:rsid w:val="00DF01BE"/>
    <w:rsid w:val="00DF102B"/>
    <w:rsid w:val="00DF2AD6"/>
    <w:rsid w:val="00DF2F59"/>
    <w:rsid w:val="00DF5613"/>
    <w:rsid w:val="00E0004D"/>
    <w:rsid w:val="00E011A3"/>
    <w:rsid w:val="00E043E2"/>
    <w:rsid w:val="00E05E77"/>
    <w:rsid w:val="00E07AB6"/>
    <w:rsid w:val="00E11425"/>
    <w:rsid w:val="00E12E91"/>
    <w:rsid w:val="00E130B2"/>
    <w:rsid w:val="00E1444B"/>
    <w:rsid w:val="00E14BBF"/>
    <w:rsid w:val="00E2270D"/>
    <w:rsid w:val="00E24EF4"/>
    <w:rsid w:val="00E25438"/>
    <w:rsid w:val="00E26A6F"/>
    <w:rsid w:val="00E334C5"/>
    <w:rsid w:val="00E345CB"/>
    <w:rsid w:val="00E41C4C"/>
    <w:rsid w:val="00E43D6D"/>
    <w:rsid w:val="00E45606"/>
    <w:rsid w:val="00E4600E"/>
    <w:rsid w:val="00E46B39"/>
    <w:rsid w:val="00E52360"/>
    <w:rsid w:val="00E56FAC"/>
    <w:rsid w:val="00E621A5"/>
    <w:rsid w:val="00E64C4E"/>
    <w:rsid w:val="00E66BF0"/>
    <w:rsid w:val="00E66F44"/>
    <w:rsid w:val="00E6789D"/>
    <w:rsid w:val="00E7428A"/>
    <w:rsid w:val="00E82DD0"/>
    <w:rsid w:val="00E9329C"/>
    <w:rsid w:val="00E95A2E"/>
    <w:rsid w:val="00EA1495"/>
    <w:rsid w:val="00EA477A"/>
    <w:rsid w:val="00EB0562"/>
    <w:rsid w:val="00EB558E"/>
    <w:rsid w:val="00EC54B2"/>
    <w:rsid w:val="00ED19DA"/>
    <w:rsid w:val="00ED3E45"/>
    <w:rsid w:val="00ED4197"/>
    <w:rsid w:val="00EF0DE5"/>
    <w:rsid w:val="00EF656F"/>
    <w:rsid w:val="00F01ECF"/>
    <w:rsid w:val="00F02584"/>
    <w:rsid w:val="00F0377D"/>
    <w:rsid w:val="00F03B7E"/>
    <w:rsid w:val="00F110B7"/>
    <w:rsid w:val="00F13962"/>
    <w:rsid w:val="00F20A20"/>
    <w:rsid w:val="00F24B92"/>
    <w:rsid w:val="00F26EC9"/>
    <w:rsid w:val="00F3323F"/>
    <w:rsid w:val="00F35B6D"/>
    <w:rsid w:val="00F360E8"/>
    <w:rsid w:val="00F4051A"/>
    <w:rsid w:val="00F4161E"/>
    <w:rsid w:val="00F43B38"/>
    <w:rsid w:val="00F4503C"/>
    <w:rsid w:val="00F470B1"/>
    <w:rsid w:val="00F5474E"/>
    <w:rsid w:val="00F5615C"/>
    <w:rsid w:val="00F72650"/>
    <w:rsid w:val="00F752AE"/>
    <w:rsid w:val="00F754B0"/>
    <w:rsid w:val="00F85EB3"/>
    <w:rsid w:val="00FA1755"/>
    <w:rsid w:val="00FB4547"/>
    <w:rsid w:val="00FB6256"/>
    <w:rsid w:val="00FB6461"/>
    <w:rsid w:val="00FC0DE1"/>
    <w:rsid w:val="00FC2120"/>
    <w:rsid w:val="00FC70FA"/>
    <w:rsid w:val="00FF1FDA"/>
    <w:rsid w:val="00FF2754"/>
    <w:rsid w:val="00FF2EFE"/>
    <w:rsid w:val="00FF5B85"/>
    <w:rsid w:val="00FF73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BBA"/>
    <w:pPr>
      <w:widowControl w:val="0"/>
    </w:pPr>
    <w:rPr>
      <w:rFonts w:ascii="Courier" w:eastAsia="Times New Roman" w:hAnsi="Courier"/>
      <w:snapToGrid w:val="0"/>
      <w:sz w:val="24"/>
    </w:rPr>
  </w:style>
  <w:style w:type="paragraph" w:styleId="Heading1">
    <w:name w:val="heading 1"/>
    <w:basedOn w:val="Normal"/>
    <w:next w:val="Normal"/>
    <w:link w:val="Heading1Char"/>
    <w:qFormat/>
    <w:rsid w:val="008F4BBA"/>
    <w:pPr>
      <w:keepNext/>
      <w:widowControl/>
      <w:outlineLvl w:val="0"/>
    </w:pPr>
    <w:rPr>
      <w:rFonts w:ascii="Times" w:hAnsi="Times"/>
      <w:b/>
    </w:rPr>
  </w:style>
  <w:style w:type="paragraph" w:styleId="Heading3">
    <w:name w:val="heading 3"/>
    <w:basedOn w:val="Normal"/>
    <w:next w:val="Normal"/>
    <w:link w:val="Heading3Char"/>
    <w:qFormat/>
    <w:rsid w:val="00C50681"/>
    <w:pPr>
      <w:keepNext/>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rFonts w:ascii="Times New Roman" w:hAnsi="Times New Roman"/>
      <w:i/>
      <w:iCs/>
      <w:sz w:val="22"/>
      <w:u w:val="single"/>
    </w:rPr>
  </w:style>
  <w:style w:type="paragraph" w:styleId="Heading5">
    <w:name w:val="heading 5"/>
    <w:basedOn w:val="Normal"/>
    <w:link w:val="Heading5Char"/>
    <w:uiPriority w:val="9"/>
    <w:qFormat/>
    <w:rsid w:val="00274452"/>
    <w:pPr>
      <w:widowControl/>
      <w:spacing w:before="100" w:beforeAutospacing="1" w:after="100" w:afterAutospacing="1"/>
      <w:outlineLvl w:val="4"/>
    </w:pPr>
    <w:rPr>
      <w:rFonts w:ascii="Times New Roman" w:hAnsi="Times New Roman"/>
      <w:b/>
      <w:bCs/>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4BBA"/>
    <w:rPr>
      <w:rFonts w:ascii="Times" w:eastAsia="Times New Roman" w:hAnsi="Times" w:cs="Times New Roman"/>
      <w:b/>
      <w:snapToGrid w:val="0"/>
      <w:sz w:val="24"/>
      <w:szCs w:val="20"/>
    </w:rPr>
  </w:style>
  <w:style w:type="character" w:styleId="FootnoteReference">
    <w:name w:val="footnote reference"/>
    <w:semiHidden/>
    <w:rsid w:val="008F4BBA"/>
    <w:rPr>
      <w:rFonts w:ascii="Times New Roman" w:hAnsi="Times New Roman"/>
    </w:rPr>
  </w:style>
  <w:style w:type="paragraph" w:styleId="FootnoteText">
    <w:name w:val="footnote text"/>
    <w:basedOn w:val="Normal"/>
    <w:link w:val="FootnoteTextChar"/>
    <w:semiHidden/>
    <w:rsid w:val="008F4BBA"/>
    <w:rPr>
      <w:sz w:val="20"/>
    </w:rPr>
  </w:style>
  <w:style w:type="character" w:customStyle="1" w:styleId="FootnoteTextChar">
    <w:name w:val="Footnote Text Char"/>
    <w:basedOn w:val="DefaultParagraphFont"/>
    <w:link w:val="FootnoteText"/>
    <w:semiHidden/>
    <w:rsid w:val="008F4BBA"/>
    <w:rPr>
      <w:rFonts w:ascii="Courier" w:eastAsia="Times New Roman" w:hAnsi="Courier" w:cs="Times New Roman"/>
      <w:snapToGrid w:val="0"/>
      <w:sz w:val="20"/>
      <w:szCs w:val="20"/>
    </w:rPr>
  </w:style>
  <w:style w:type="paragraph" w:styleId="BodyTextIndent">
    <w:name w:val="Body Text Indent"/>
    <w:basedOn w:val="Normal"/>
    <w:link w:val="BodyTextIndentChar"/>
    <w:rsid w:val="008F4BBA"/>
    <w:pPr>
      <w:spacing w:after="240"/>
      <w:ind w:firstLine="720"/>
    </w:pPr>
    <w:rPr>
      <w:rFonts w:ascii="Times New Roman" w:hAnsi="Times New Roman"/>
    </w:rPr>
  </w:style>
  <w:style w:type="character" w:customStyle="1" w:styleId="BodyTextIndentChar">
    <w:name w:val="Body Text Indent Char"/>
    <w:basedOn w:val="DefaultParagraphFont"/>
    <w:link w:val="BodyTextIndent"/>
    <w:rsid w:val="008F4BBA"/>
    <w:rPr>
      <w:rFonts w:ascii="Times New Roman" w:eastAsia="Times New Roman" w:hAnsi="Times New Roman" w:cs="Times New Roman"/>
      <w:snapToGrid w:val="0"/>
      <w:sz w:val="24"/>
      <w:szCs w:val="20"/>
    </w:rPr>
  </w:style>
  <w:style w:type="character" w:customStyle="1" w:styleId="documentbody1">
    <w:name w:val="documentbody1"/>
    <w:basedOn w:val="DefaultParagraphFont"/>
    <w:rsid w:val="007D5C14"/>
    <w:rPr>
      <w:rFonts w:ascii="Verdana" w:hAnsi="Verdana" w:hint="default"/>
      <w:sz w:val="19"/>
      <w:szCs w:val="19"/>
    </w:rPr>
  </w:style>
  <w:style w:type="table" w:styleId="TableGrid">
    <w:name w:val="Table Grid"/>
    <w:basedOn w:val="TableNormal"/>
    <w:uiPriority w:val="59"/>
    <w:rsid w:val="00C506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C50681"/>
    <w:rPr>
      <w:rFonts w:ascii="Times New Roman" w:eastAsia="Times New Roman" w:hAnsi="Times New Roman"/>
      <w:i/>
      <w:iCs/>
      <w:snapToGrid w:val="0"/>
      <w:sz w:val="22"/>
      <w:u w:val="single"/>
    </w:rPr>
  </w:style>
  <w:style w:type="character" w:styleId="Hyperlink">
    <w:name w:val="Hyperlink"/>
    <w:basedOn w:val="DefaultParagraphFont"/>
    <w:rsid w:val="000308DD"/>
    <w:rPr>
      <w:color w:val="0000FF"/>
      <w:u w:val="single"/>
    </w:rPr>
  </w:style>
  <w:style w:type="paragraph" w:styleId="Header">
    <w:name w:val="header"/>
    <w:basedOn w:val="Normal"/>
    <w:link w:val="HeaderChar"/>
    <w:uiPriority w:val="99"/>
    <w:unhideWhenUsed/>
    <w:rsid w:val="00907C5A"/>
    <w:pPr>
      <w:tabs>
        <w:tab w:val="center" w:pos="4680"/>
        <w:tab w:val="right" w:pos="9360"/>
      </w:tabs>
    </w:pPr>
  </w:style>
  <w:style w:type="character" w:customStyle="1" w:styleId="HeaderChar">
    <w:name w:val="Header Char"/>
    <w:basedOn w:val="DefaultParagraphFont"/>
    <w:link w:val="Header"/>
    <w:uiPriority w:val="99"/>
    <w:rsid w:val="00907C5A"/>
    <w:rPr>
      <w:rFonts w:ascii="Courier" w:eastAsia="Times New Roman" w:hAnsi="Courier"/>
      <w:snapToGrid w:val="0"/>
      <w:sz w:val="24"/>
    </w:rPr>
  </w:style>
  <w:style w:type="paragraph" w:styleId="Footer">
    <w:name w:val="footer"/>
    <w:basedOn w:val="Normal"/>
    <w:link w:val="FooterChar"/>
    <w:uiPriority w:val="99"/>
    <w:unhideWhenUsed/>
    <w:rsid w:val="00907C5A"/>
    <w:pPr>
      <w:tabs>
        <w:tab w:val="center" w:pos="4680"/>
        <w:tab w:val="right" w:pos="9360"/>
      </w:tabs>
    </w:pPr>
  </w:style>
  <w:style w:type="character" w:customStyle="1" w:styleId="FooterChar">
    <w:name w:val="Footer Char"/>
    <w:basedOn w:val="DefaultParagraphFont"/>
    <w:link w:val="Footer"/>
    <w:uiPriority w:val="99"/>
    <w:rsid w:val="00907C5A"/>
    <w:rPr>
      <w:rFonts w:ascii="Courier" w:eastAsia="Times New Roman" w:hAnsi="Courier"/>
      <w:snapToGrid w:val="0"/>
      <w:sz w:val="24"/>
    </w:rPr>
  </w:style>
  <w:style w:type="paragraph" w:styleId="BalloonText">
    <w:name w:val="Balloon Text"/>
    <w:basedOn w:val="Normal"/>
    <w:link w:val="BalloonTextChar"/>
    <w:uiPriority w:val="99"/>
    <w:semiHidden/>
    <w:unhideWhenUsed/>
    <w:rsid w:val="00520D3A"/>
    <w:rPr>
      <w:rFonts w:ascii="Tahoma" w:hAnsi="Tahoma" w:cs="Tahoma"/>
      <w:sz w:val="16"/>
      <w:szCs w:val="16"/>
    </w:rPr>
  </w:style>
  <w:style w:type="character" w:customStyle="1" w:styleId="BalloonTextChar">
    <w:name w:val="Balloon Text Char"/>
    <w:basedOn w:val="DefaultParagraphFont"/>
    <w:link w:val="BalloonText"/>
    <w:uiPriority w:val="99"/>
    <w:semiHidden/>
    <w:rsid w:val="00520D3A"/>
    <w:rPr>
      <w:rFonts w:ascii="Tahoma" w:eastAsia="Times New Roman" w:hAnsi="Tahoma" w:cs="Tahoma"/>
      <w:snapToGrid w:val="0"/>
      <w:sz w:val="16"/>
      <w:szCs w:val="16"/>
    </w:rPr>
  </w:style>
  <w:style w:type="character" w:styleId="Strong">
    <w:name w:val="Strong"/>
    <w:basedOn w:val="DefaultParagraphFont"/>
    <w:uiPriority w:val="22"/>
    <w:qFormat/>
    <w:rsid w:val="00D704C4"/>
    <w:rPr>
      <w:b/>
      <w:bCs/>
    </w:rPr>
  </w:style>
  <w:style w:type="paragraph" w:customStyle="1" w:styleId="CharCharChar">
    <w:name w:val="Char Char Char"/>
    <w:basedOn w:val="Normal"/>
    <w:rsid w:val="00EF0DE5"/>
    <w:pPr>
      <w:widowControl/>
      <w:spacing w:after="160" w:line="240" w:lineRule="exact"/>
    </w:pPr>
    <w:rPr>
      <w:rFonts w:ascii="Tahoma" w:hAnsi="Tahoma"/>
      <w:snapToGrid/>
      <w:sz w:val="20"/>
    </w:rPr>
  </w:style>
  <w:style w:type="paragraph" w:styleId="NormalWeb">
    <w:name w:val="Normal (Web)"/>
    <w:basedOn w:val="Normal"/>
    <w:uiPriority w:val="99"/>
    <w:unhideWhenUsed/>
    <w:rsid w:val="003B35F5"/>
    <w:pPr>
      <w:widowControl/>
      <w:spacing w:before="100" w:beforeAutospacing="1" w:after="100" w:afterAutospacing="1"/>
    </w:pPr>
    <w:rPr>
      <w:rFonts w:ascii="Times New Roman" w:hAnsi="Times New Roman"/>
      <w:snapToGrid/>
      <w:szCs w:val="24"/>
    </w:rPr>
  </w:style>
  <w:style w:type="character" w:customStyle="1" w:styleId="Heading5Char">
    <w:name w:val="Heading 5 Char"/>
    <w:basedOn w:val="DefaultParagraphFont"/>
    <w:link w:val="Heading5"/>
    <w:uiPriority w:val="9"/>
    <w:rsid w:val="00274452"/>
    <w:rPr>
      <w:rFonts w:ascii="Times New Roman" w:eastAsia="Times New Roman" w:hAnsi="Times New Roman"/>
      <w:b/>
      <w:bCs/>
    </w:rPr>
  </w:style>
  <w:style w:type="character" w:styleId="CommentReference">
    <w:name w:val="annotation reference"/>
    <w:basedOn w:val="DefaultParagraphFont"/>
    <w:uiPriority w:val="99"/>
    <w:semiHidden/>
    <w:unhideWhenUsed/>
    <w:rsid w:val="0088096F"/>
    <w:rPr>
      <w:sz w:val="16"/>
      <w:szCs w:val="16"/>
    </w:rPr>
  </w:style>
  <w:style w:type="paragraph" w:styleId="CommentText">
    <w:name w:val="annotation text"/>
    <w:basedOn w:val="Normal"/>
    <w:link w:val="CommentTextChar"/>
    <w:uiPriority w:val="99"/>
    <w:semiHidden/>
    <w:unhideWhenUsed/>
    <w:rsid w:val="0088096F"/>
    <w:rPr>
      <w:sz w:val="20"/>
    </w:rPr>
  </w:style>
  <w:style w:type="character" w:customStyle="1" w:styleId="CommentTextChar">
    <w:name w:val="Comment Text Char"/>
    <w:basedOn w:val="DefaultParagraphFont"/>
    <w:link w:val="CommentText"/>
    <w:uiPriority w:val="99"/>
    <w:semiHidden/>
    <w:rsid w:val="0088096F"/>
    <w:rPr>
      <w:rFonts w:ascii="Courier" w:eastAsia="Times New Roman" w:hAnsi="Courier"/>
      <w:snapToGrid w:val="0"/>
    </w:rPr>
  </w:style>
  <w:style w:type="paragraph" w:styleId="CommentSubject">
    <w:name w:val="annotation subject"/>
    <w:basedOn w:val="CommentText"/>
    <w:next w:val="CommentText"/>
    <w:link w:val="CommentSubjectChar"/>
    <w:uiPriority w:val="99"/>
    <w:semiHidden/>
    <w:unhideWhenUsed/>
    <w:rsid w:val="0088096F"/>
    <w:rPr>
      <w:b/>
      <w:bCs/>
    </w:rPr>
  </w:style>
  <w:style w:type="character" w:customStyle="1" w:styleId="CommentSubjectChar">
    <w:name w:val="Comment Subject Char"/>
    <w:basedOn w:val="CommentTextChar"/>
    <w:link w:val="CommentSubject"/>
    <w:uiPriority w:val="99"/>
    <w:semiHidden/>
    <w:rsid w:val="0088096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soc/" TargetMode="External"/><Relationship Id="rId2" Type="http://schemas.openxmlformats.org/officeDocument/2006/relationships/hyperlink" Target="http://www.bls.gov/news.release/ocwage.nr0.htm" TargetMode="External"/><Relationship Id="rId1" Type="http://schemas.openxmlformats.org/officeDocument/2006/relationships/hyperlink" Target="http://frwebgate.access.gpo.gov/cgi-bin/getdoc.cgi?dbname=110_cong_public_laws&amp;docid=f:publ315.1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D7260-6688-47C2-9D20-F28CC330F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5834</Words>
  <Characters>33255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39011</CharactersWithSpaces>
  <SharedDoc>false</SharedDoc>
  <HLinks>
    <vt:vector size="18" baseType="variant">
      <vt:variant>
        <vt:i4>3866685</vt:i4>
      </vt:variant>
      <vt:variant>
        <vt:i4>6</vt:i4>
      </vt:variant>
      <vt:variant>
        <vt:i4>0</vt:i4>
      </vt:variant>
      <vt:variant>
        <vt:i4>5</vt:i4>
      </vt:variant>
      <vt:variant>
        <vt:lpwstr>http://www.bls.gov/soc/</vt:lpwstr>
      </vt:variant>
      <vt:variant>
        <vt:lpwstr/>
      </vt:variant>
      <vt:variant>
        <vt:i4>8126503</vt:i4>
      </vt:variant>
      <vt:variant>
        <vt:i4>3</vt:i4>
      </vt:variant>
      <vt:variant>
        <vt:i4>0</vt:i4>
      </vt:variant>
      <vt:variant>
        <vt:i4>5</vt:i4>
      </vt:variant>
      <vt:variant>
        <vt:lpwstr>http://www.bls.gov/news.release/ocwage.nr0.htm</vt:lpwstr>
      </vt:variant>
      <vt:variant>
        <vt:lpwstr/>
      </vt:variant>
      <vt:variant>
        <vt:i4>7667789</vt:i4>
      </vt:variant>
      <vt:variant>
        <vt:i4>0</vt:i4>
      </vt:variant>
      <vt:variant>
        <vt:i4>0</vt:i4>
      </vt:variant>
      <vt:variant>
        <vt:i4>5</vt:i4>
      </vt:variant>
      <vt:variant>
        <vt:lpwstr>http://frwebgate.access.gpo.gov/cgi-bin/getdoc.cgi?dbname=110_cong_public_laws&amp;docid=f:publ315.110.pdf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m1jas00</dc:creator>
  <cp:keywords/>
  <dc:description/>
  <cp:lastModifiedBy>frbuser</cp:lastModifiedBy>
  <cp:revision>2</cp:revision>
  <cp:lastPrinted>2012-02-17T18:08:00Z</cp:lastPrinted>
  <dcterms:created xsi:type="dcterms:W3CDTF">2012-02-22T21:49:00Z</dcterms:created>
  <dcterms:modified xsi:type="dcterms:W3CDTF">2012-02-22T21:49:00Z</dcterms:modified>
</cp:coreProperties>
</file>