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C5"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1699A" w:rsidRPr="00B1699A">
        <w:rPr>
          <w:sz w:val="28"/>
        </w:rPr>
        <w:t>Generic Clearance for the Collection of Qualitative Feedback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9429CA">
        <w:rPr>
          <w:sz w:val="28"/>
        </w:rPr>
        <w:t>0920-0919</w:t>
      </w:r>
      <w:r>
        <w:rPr>
          <w:sz w:val="28"/>
        </w:rPr>
        <w:t>)</w:t>
      </w:r>
    </w:p>
    <w:p w:rsidR="00E50293" w:rsidRPr="009239AA" w:rsidRDefault="00636B97" w:rsidP="00434E33">
      <w:pPr>
        <w:rPr>
          <w:b/>
        </w:rPr>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90395">
        <w:t xml:space="preserve">Customer Satisfaction Survey of Preconception Health </w:t>
      </w:r>
      <w:proofErr w:type="spellStart"/>
      <w:r w:rsidR="00290395">
        <w:t>Adcepts</w:t>
      </w:r>
      <w:proofErr w:type="spellEnd"/>
      <w:r w:rsidR="002A7403">
        <w:t xml:space="preserve"> (Concepts/Preliminary Ads)</w:t>
      </w:r>
      <w:r w:rsidR="00290395">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290395" w:rsidRPr="00C41860" w:rsidRDefault="00290395" w:rsidP="00290395">
      <w:pPr>
        <w:pStyle w:val="BodyText1"/>
        <w:spacing w:line="480" w:lineRule="auto"/>
        <w:ind w:firstLine="0"/>
        <w:rPr>
          <w:rFonts w:ascii="Arial" w:hAnsi="Arial" w:cs="Arial"/>
          <w:sz w:val="20"/>
        </w:rPr>
      </w:pPr>
      <w:r>
        <w:t xml:space="preserve">The purpose of the information collection is to conduct  a customer satisfaction, Web-based survey to test draft advertising concepts (concepts and messages) to ensure that they are </w:t>
      </w:r>
      <w:proofErr w:type="gramStart"/>
      <w:r>
        <w:t>understandable</w:t>
      </w:r>
      <w:proofErr w:type="gramEnd"/>
      <w:r>
        <w:t xml:space="preserve">, well-received, and motivate women ages 18-44 to want to learn more about preconception health.  </w:t>
      </w:r>
    </w:p>
    <w:p w:rsidR="00C8488C" w:rsidRDefault="00C8488C"/>
    <w:p w:rsidR="00434E33" w:rsidRDefault="00434E33" w:rsidP="00434E33">
      <w:pPr>
        <w:pStyle w:val="Header"/>
        <w:tabs>
          <w:tab w:val="clear" w:pos="4320"/>
          <w:tab w:val="clear" w:pos="8640"/>
        </w:tabs>
      </w:pPr>
      <w:r w:rsidRPr="00434E33">
        <w:rPr>
          <w:b/>
        </w:rPr>
        <w:t>DESCRIPTION OF RESPONDENTS</w:t>
      </w:r>
      <w:r>
        <w:t xml:space="preserve">: </w:t>
      </w:r>
    </w:p>
    <w:p w:rsidR="00290395" w:rsidRDefault="00290395" w:rsidP="00434E33">
      <w:pPr>
        <w:pStyle w:val="Header"/>
        <w:tabs>
          <w:tab w:val="clear" w:pos="4320"/>
          <w:tab w:val="clear" w:pos="8640"/>
        </w:tabs>
      </w:pPr>
    </w:p>
    <w:p w:rsidR="00290395" w:rsidRDefault="00290395" w:rsidP="00434E33">
      <w:pPr>
        <w:pStyle w:val="Header"/>
        <w:tabs>
          <w:tab w:val="clear" w:pos="4320"/>
          <w:tab w:val="clear" w:pos="8640"/>
        </w:tabs>
      </w:pPr>
      <w:r>
        <w:t xml:space="preserve">Respondents are the two target audiences (or intended customers) of the </w:t>
      </w:r>
      <w:proofErr w:type="spellStart"/>
      <w:r>
        <w:t>adcepts</w:t>
      </w:r>
      <w:proofErr w:type="spellEnd"/>
      <w:r>
        <w:t xml:space="preserve">: </w:t>
      </w:r>
    </w:p>
    <w:p w:rsidR="00290395" w:rsidRDefault="00290395" w:rsidP="00434E33">
      <w:pPr>
        <w:pStyle w:val="Header"/>
        <w:tabs>
          <w:tab w:val="clear" w:pos="4320"/>
          <w:tab w:val="clear" w:pos="8640"/>
        </w:tabs>
      </w:pPr>
    </w:p>
    <w:p w:rsidR="00290395" w:rsidRPr="00290395" w:rsidRDefault="00290395" w:rsidP="00290395">
      <w:pPr>
        <w:pStyle w:val="Header"/>
        <w:numPr>
          <w:ilvl w:val="0"/>
          <w:numId w:val="19"/>
        </w:numPr>
        <w:tabs>
          <w:tab w:val="clear" w:pos="4320"/>
          <w:tab w:val="clear" w:pos="8640"/>
        </w:tabs>
        <w:rPr>
          <w:i/>
          <w:snapToGrid/>
        </w:rPr>
      </w:pPr>
      <w:r>
        <w:t>Women aged 18-44 who are planning a pregnancy in the next two years</w:t>
      </w:r>
    </w:p>
    <w:p w:rsidR="00290395" w:rsidRPr="00434E33" w:rsidRDefault="00290395" w:rsidP="00290395">
      <w:pPr>
        <w:pStyle w:val="Header"/>
        <w:numPr>
          <w:ilvl w:val="0"/>
          <w:numId w:val="19"/>
        </w:numPr>
        <w:tabs>
          <w:tab w:val="clear" w:pos="4320"/>
          <w:tab w:val="clear" w:pos="8640"/>
        </w:tabs>
        <w:rPr>
          <w:i/>
          <w:snapToGrid/>
        </w:rPr>
      </w:pPr>
      <w:r>
        <w:t>Women aged 18-44 who are not currently planning to become pregnant</w:t>
      </w:r>
    </w:p>
    <w:p w:rsidR="00F15956" w:rsidRDefault="00F15956"/>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290395">
        <w:rPr>
          <w:bCs/>
          <w:sz w:val="24"/>
        </w:rPr>
        <w:t>X</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_________</w:t>
      </w:r>
      <w:r w:rsidR="00033425" w:rsidRPr="00033425">
        <w:rPr>
          <w:i/>
        </w:rPr>
        <w:t>Betsy</w:t>
      </w:r>
      <w:proofErr w:type="spellEnd"/>
      <w:r w:rsidR="00033425" w:rsidRPr="00033425">
        <w:rPr>
          <w:i/>
        </w:rPr>
        <w:t xml:space="preserve"> Mitchell</w:t>
      </w:r>
      <w:r>
        <w:t>________</w:t>
      </w:r>
      <w:r w:rsidR="00033425">
        <w:t>bhm0@cdc.gov</w:t>
      </w:r>
      <w:r>
        <w:t>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w:t>
      </w:r>
      <w:r w:rsidR="009239AA" w:rsidRPr="000A5567">
        <w:t xml:space="preserve">Yes  [ </w:t>
      </w:r>
      <w:r w:rsidR="00290395" w:rsidRPr="000A5567">
        <w:t>X</w:t>
      </w:r>
      <w:r w:rsidR="009239AA" w:rsidRPr="000A5567">
        <w:t>]  No</w:t>
      </w:r>
      <w:r w:rsidR="009239AA">
        <w:t xml:space="preserve">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56538E" w:rsidRDefault="0056538E"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proofErr w:type="gramStart"/>
      <w:r>
        <w:t xml:space="preserve">[ </w:t>
      </w:r>
      <w:r w:rsidR="00290395">
        <w:t>X</w:t>
      </w:r>
      <w:proofErr w:type="gramEnd"/>
      <w:r>
        <w:t xml:space="preserve"> ] Yes [  ] No  </w:t>
      </w:r>
    </w:p>
    <w:p w:rsidR="00531154" w:rsidRDefault="00531154" w:rsidP="00C86E91"/>
    <w:p w:rsidR="004D6E14" w:rsidRDefault="004D6E14">
      <w:pPr>
        <w:rPr>
          <w:b/>
        </w:rPr>
      </w:pPr>
    </w:p>
    <w:p w:rsidR="00834106" w:rsidRDefault="009B0D21" w:rsidP="009B0D21">
      <w:pPr>
        <w:rPr>
          <w:rFonts w:asciiTheme="minorHAnsi" w:hAnsiTheme="minorHAnsi"/>
          <w:sz w:val="22"/>
          <w:szCs w:val="22"/>
        </w:rPr>
      </w:pPr>
      <w:r>
        <w:rPr>
          <w:rFonts w:asciiTheme="minorHAnsi" w:hAnsiTheme="minorHAnsi"/>
          <w:sz w:val="22"/>
          <w:szCs w:val="22"/>
        </w:rPr>
        <w:t xml:space="preserve">As a </w:t>
      </w:r>
      <w:r w:rsidR="00AB5D2D">
        <w:rPr>
          <w:rFonts w:asciiTheme="minorHAnsi" w:hAnsiTheme="minorHAnsi"/>
          <w:sz w:val="22"/>
          <w:szCs w:val="22"/>
        </w:rPr>
        <w:t>token of appreciation</w:t>
      </w:r>
      <w:r>
        <w:rPr>
          <w:rFonts w:asciiTheme="minorHAnsi" w:hAnsiTheme="minorHAnsi"/>
          <w:sz w:val="22"/>
          <w:szCs w:val="22"/>
        </w:rPr>
        <w:t>, we will provide</w:t>
      </w:r>
      <w:r w:rsidR="00834106">
        <w:rPr>
          <w:rFonts w:asciiTheme="minorHAnsi" w:hAnsiTheme="minorHAnsi"/>
          <w:sz w:val="22"/>
          <w:szCs w:val="22"/>
        </w:rPr>
        <w:t xml:space="preserve"> i</w:t>
      </w:r>
      <w:r w:rsidR="00834106" w:rsidRPr="00834106">
        <w:rPr>
          <w:rFonts w:asciiTheme="minorHAnsi" w:hAnsiTheme="minorHAnsi"/>
          <w:sz w:val="22"/>
          <w:szCs w:val="22"/>
        </w:rPr>
        <w:t xml:space="preserve">ncentives </w:t>
      </w:r>
      <w:r>
        <w:rPr>
          <w:rFonts w:asciiTheme="minorHAnsi" w:hAnsiTheme="minorHAnsi"/>
          <w:sz w:val="22"/>
          <w:szCs w:val="22"/>
        </w:rPr>
        <w:t xml:space="preserve">of </w:t>
      </w:r>
      <w:r w:rsidR="00834106" w:rsidRPr="00834106">
        <w:rPr>
          <w:rFonts w:asciiTheme="minorHAnsi" w:hAnsiTheme="minorHAnsi"/>
          <w:sz w:val="22"/>
          <w:szCs w:val="22"/>
        </w:rPr>
        <w:t>$6.50 for a full complete and $.50 for those who do not meet screening criteria. We</w:t>
      </w:r>
      <w:r w:rsidR="00536F10">
        <w:rPr>
          <w:rFonts w:asciiTheme="minorHAnsi" w:hAnsiTheme="minorHAnsi"/>
          <w:sz w:val="22"/>
          <w:szCs w:val="22"/>
        </w:rPr>
        <w:t xml:space="preserve"> plan to</w:t>
      </w:r>
      <w:r w:rsidR="00834106" w:rsidRPr="00834106">
        <w:rPr>
          <w:rFonts w:asciiTheme="minorHAnsi" w:hAnsiTheme="minorHAnsi"/>
          <w:sz w:val="22"/>
          <w:szCs w:val="22"/>
        </w:rPr>
        <w:t xml:space="preserve"> pay consolation incentives to encourage respondents to answer screening questions truthfully, rather than with a ‘must qualify’ mentality. Whether the respondent qualifies or not, we </w:t>
      </w:r>
      <w:r w:rsidR="00531154">
        <w:rPr>
          <w:rFonts w:asciiTheme="minorHAnsi" w:hAnsiTheme="minorHAnsi"/>
          <w:sz w:val="22"/>
          <w:szCs w:val="22"/>
        </w:rPr>
        <w:t xml:space="preserve">provide them with a token of appreciation </w:t>
      </w:r>
      <w:r w:rsidR="00AB5D2D">
        <w:rPr>
          <w:rFonts w:asciiTheme="minorHAnsi" w:hAnsiTheme="minorHAnsi"/>
          <w:sz w:val="22"/>
          <w:szCs w:val="22"/>
        </w:rPr>
        <w:t>(</w:t>
      </w:r>
      <w:r w:rsidR="00834106" w:rsidRPr="00834106">
        <w:rPr>
          <w:rFonts w:asciiTheme="minorHAnsi" w:hAnsiTheme="minorHAnsi"/>
          <w:sz w:val="22"/>
          <w:szCs w:val="22"/>
        </w:rPr>
        <w:t>being screened out only takes a few seconds, thus the lower incentive for ‘consolation’).</w:t>
      </w:r>
    </w:p>
    <w:p w:rsidR="0056538E" w:rsidRDefault="0056538E" w:rsidP="009B0D21">
      <w:pPr>
        <w:rPr>
          <w:rFonts w:asciiTheme="minorHAnsi" w:hAnsiTheme="minorHAnsi"/>
          <w:sz w:val="22"/>
          <w:szCs w:val="22"/>
        </w:rPr>
      </w:pPr>
    </w:p>
    <w:p w:rsidR="0056538E" w:rsidRPr="00834106" w:rsidRDefault="0056538E" w:rsidP="0056538E">
      <w:pPr>
        <w:rPr>
          <w:rFonts w:asciiTheme="minorHAnsi" w:hAnsiTheme="minorHAnsi"/>
          <w:sz w:val="22"/>
          <w:szCs w:val="22"/>
        </w:rPr>
      </w:pPr>
      <w:r w:rsidRPr="00834106">
        <w:rPr>
          <w:rFonts w:asciiTheme="minorHAnsi" w:hAnsiTheme="minorHAnsi"/>
          <w:sz w:val="22"/>
          <w:szCs w:val="22"/>
        </w:rPr>
        <w:t xml:space="preserve">This excerpt </w:t>
      </w:r>
      <w:r>
        <w:rPr>
          <w:rFonts w:asciiTheme="minorHAnsi" w:hAnsiTheme="minorHAnsi"/>
          <w:sz w:val="22"/>
          <w:szCs w:val="22"/>
        </w:rPr>
        <w:t>below from the survey vendor on fair-value exchange</w:t>
      </w:r>
      <w:r w:rsidRPr="00834106">
        <w:rPr>
          <w:rFonts w:asciiTheme="minorHAnsi" w:hAnsiTheme="minorHAnsi"/>
          <w:sz w:val="22"/>
          <w:szCs w:val="22"/>
        </w:rPr>
        <w:t xml:space="preserve"> best explains </w:t>
      </w:r>
      <w:r>
        <w:rPr>
          <w:rFonts w:asciiTheme="minorHAnsi" w:hAnsiTheme="minorHAnsi"/>
          <w:sz w:val="22"/>
          <w:szCs w:val="22"/>
        </w:rPr>
        <w:t>the</w:t>
      </w:r>
      <w:r w:rsidRPr="00834106">
        <w:rPr>
          <w:rFonts w:asciiTheme="minorHAnsi" w:hAnsiTheme="minorHAnsi"/>
          <w:sz w:val="22"/>
          <w:szCs w:val="22"/>
        </w:rPr>
        <w:t xml:space="preserve"> incentive methodology. </w:t>
      </w:r>
      <w:r>
        <w:rPr>
          <w:rFonts w:asciiTheme="minorHAnsi" w:hAnsiTheme="minorHAnsi"/>
          <w:sz w:val="22"/>
          <w:szCs w:val="22"/>
        </w:rPr>
        <w:t>The</w:t>
      </w:r>
      <w:r w:rsidRPr="00834106">
        <w:rPr>
          <w:rFonts w:asciiTheme="minorHAnsi" w:hAnsiTheme="minorHAnsi"/>
          <w:sz w:val="22"/>
          <w:szCs w:val="22"/>
        </w:rPr>
        <w:t xml:space="preserve"> incentives are standardized by the amount of time it takes to compete the study, which protects against the response bias </w:t>
      </w:r>
      <w:r>
        <w:rPr>
          <w:rFonts w:asciiTheme="minorHAnsi" w:hAnsiTheme="minorHAnsi"/>
          <w:sz w:val="22"/>
          <w:szCs w:val="22"/>
        </w:rPr>
        <w:t>that</w:t>
      </w:r>
      <w:r w:rsidRPr="00834106">
        <w:rPr>
          <w:rFonts w:asciiTheme="minorHAnsi" w:hAnsiTheme="minorHAnsi"/>
          <w:sz w:val="22"/>
          <w:szCs w:val="22"/>
        </w:rPr>
        <w:t xml:space="preserve"> might </w:t>
      </w:r>
      <w:r>
        <w:rPr>
          <w:rFonts w:asciiTheme="minorHAnsi" w:hAnsiTheme="minorHAnsi"/>
          <w:sz w:val="22"/>
          <w:szCs w:val="22"/>
        </w:rPr>
        <w:t xml:space="preserve">be </w:t>
      </w:r>
      <w:r w:rsidRPr="00834106">
        <w:rPr>
          <w:rFonts w:asciiTheme="minorHAnsi" w:hAnsiTheme="minorHAnsi"/>
          <w:sz w:val="22"/>
          <w:szCs w:val="22"/>
        </w:rPr>
        <w:t>experience</w:t>
      </w:r>
      <w:r>
        <w:rPr>
          <w:rFonts w:asciiTheme="minorHAnsi" w:hAnsiTheme="minorHAnsi"/>
          <w:sz w:val="22"/>
          <w:szCs w:val="22"/>
        </w:rPr>
        <w:t>d</w:t>
      </w:r>
      <w:r w:rsidRPr="00834106">
        <w:rPr>
          <w:rFonts w:asciiTheme="minorHAnsi" w:hAnsiTheme="minorHAnsi"/>
          <w:sz w:val="22"/>
          <w:szCs w:val="22"/>
        </w:rPr>
        <w:t xml:space="preserve"> if each study had a unique incentive amount. </w:t>
      </w:r>
      <w:r>
        <w:rPr>
          <w:rFonts w:asciiTheme="minorHAnsi" w:hAnsiTheme="minorHAnsi"/>
          <w:sz w:val="22"/>
          <w:szCs w:val="22"/>
        </w:rPr>
        <w:t>They</w:t>
      </w:r>
      <w:r w:rsidRPr="00834106">
        <w:rPr>
          <w:rFonts w:asciiTheme="minorHAnsi" w:hAnsiTheme="minorHAnsi"/>
          <w:sz w:val="22"/>
          <w:szCs w:val="22"/>
        </w:rPr>
        <w:t xml:space="preserve"> constantly test incentive amounts to ensure we are achieving the best possible response rate without exceeding the point of diminishing returns.</w:t>
      </w:r>
    </w:p>
    <w:p w:rsidR="0056538E" w:rsidRPr="00834106" w:rsidRDefault="0056538E" w:rsidP="0056538E">
      <w:pPr>
        <w:rPr>
          <w:rFonts w:asciiTheme="minorHAnsi" w:hAnsiTheme="minorHAnsi"/>
          <w:sz w:val="22"/>
          <w:szCs w:val="22"/>
        </w:rPr>
      </w:pPr>
    </w:p>
    <w:p w:rsidR="0056538E" w:rsidRPr="00834106" w:rsidRDefault="0056538E" w:rsidP="0056538E">
      <w:pPr>
        <w:spacing w:after="240"/>
        <w:rPr>
          <w:rFonts w:asciiTheme="minorHAnsi" w:hAnsiTheme="minorHAnsi"/>
          <w:sz w:val="22"/>
          <w:szCs w:val="22"/>
        </w:rPr>
      </w:pPr>
      <w:proofErr w:type="gramStart"/>
      <w:r w:rsidRPr="00834106">
        <w:rPr>
          <w:rStyle w:val="subheadtext"/>
          <w:rFonts w:asciiTheme="minorHAnsi" w:hAnsiTheme="minorHAnsi"/>
          <w:b/>
          <w:bCs/>
          <w:sz w:val="22"/>
          <w:szCs w:val="22"/>
        </w:rPr>
        <w:t>Fair-Value Exchange.</w:t>
      </w:r>
      <w:proofErr w:type="gramEnd"/>
      <w:r w:rsidRPr="00834106">
        <w:rPr>
          <w:rFonts w:asciiTheme="minorHAnsi" w:hAnsiTheme="minorHAnsi" w:cs="Arial"/>
          <w:sz w:val="22"/>
          <w:szCs w:val="22"/>
        </w:rPr>
        <w:t xml:space="preserve"> </w:t>
      </w:r>
    </w:p>
    <w:p w:rsidR="0056538E" w:rsidRDefault="0056538E" w:rsidP="0056538E">
      <w:pPr>
        <w:rPr>
          <w:rFonts w:asciiTheme="minorHAnsi" w:hAnsiTheme="minorHAnsi"/>
          <w:sz w:val="22"/>
          <w:szCs w:val="22"/>
        </w:rPr>
      </w:pPr>
      <w:r w:rsidRPr="00834106">
        <w:rPr>
          <w:rFonts w:asciiTheme="minorHAnsi" w:hAnsiTheme="minorHAnsi"/>
          <w:sz w:val="22"/>
          <w:szCs w:val="22"/>
        </w:rPr>
        <w:t xml:space="preserve">We believe the best way to establish and maintain </w:t>
      </w:r>
      <w:proofErr w:type="gramStart"/>
      <w:r w:rsidRPr="00834106">
        <w:rPr>
          <w:rFonts w:asciiTheme="minorHAnsi" w:hAnsiTheme="minorHAnsi"/>
          <w:sz w:val="22"/>
          <w:szCs w:val="22"/>
        </w:rPr>
        <w:t>long-term relationships with our panel members is</w:t>
      </w:r>
      <w:proofErr w:type="gramEnd"/>
      <w:r w:rsidRPr="00834106">
        <w:rPr>
          <w:rFonts w:asciiTheme="minorHAnsi" w:hAnsiTheme="minorHAnsi"/>
          <w:sz w:val="22"/>
          <w:szCs w:val="22"/>
        </w:rPr>
        <w:t xml:space="preserve"> to truly value their time. Our panel members earn Research Now currency </w:t>
      </w:r>
      <w:r w:rsidR="002D3F50">
        <w:rPr>
          <w:rFonts w:asciiTheme="minorHAnsi" w:hAnsiTheme="minorHAnsi"/>
          <w:sz w:val="22"/>
          <w:szCs w:val="22"/>
        </w:rPr>
        <w:t>as a token of appreciation for</w:t>
      </w:r>
      <w:r w:rsidRPr="00834106">
        <w:rPr>
          <w:rFonts w:asciiTheme="minorHAnsi" w:hAnsiTheme="minorHAnsi"/>
          <w:sz w:val="22"/>
          <w:szCs w:val="22"/>
        </w:rPr>
        <w:t xml:space="preserve"> answering market research surveys</w:t>
      </w:r>
      <w:bookmarkStart w:id="0" w:name="_GoBack"/>
      <w:bookmarkEnd w:id="0"/>
      <w:r w:rsidRPr="00834106">
        <w:rPr>
          <w:rFonts w:asciiTheme="minorHAnsi" w:hAnsiTheme="minorHAnsi"/>
          <w:sz w:val="22"/>
          <w:szCs w:val="22"/>
        </w:rPr>
        <w:t xml:space="preserve">. They can redeem this currency for valuable rewards from our program sponsors and other participating companies. </w:t>
      </w:r>
      <w:r w:rsidRPr="00834106">
        <w:rPr>
          <w:rFonts w:asciiTheme="minorHAnsi" w:hAnsiTheme="minorHAnsi"/>
          <w:sz w:val="22"/>
          <w:szCs w:val="22"/>
        </w:rPr>
        <w:br/>
      </w:r>
      <w:r w:rsidRPr="00834106">
        <w:rPr>
          <w:rFonts w:asciiTheme="minorHAnsi" w:hAnsiTheme="minorHAnsi"/>
          <w:sz w:val="22"/>
          <w:szCs w:val="22"/>
        </w:rPr>
        <w:br/>
        <w:t xml:space="preserve">An incentive program, such as ours, that supports the accumulation of a currency redeemable at various "bonus thresholds", has been shown by tracking studies to achieve the highest participation rates and retention longevity compared to other incentive approaches. </w:t>
      </w:r>
      <w:r w:rsidRPr="00834106">
        <w:rPr>
          <w:rFonts w:asciiTheme="minorHAnsi" w:hAnsiTheme="minorHAnsi"/>
          <w:sz w:val="22"/>
          <w:szCs w:val="22"/>
        </w:rPr>
        <w:br/>
      </w:r>
      <w:r w:rsidRPr="00834106">
        <w:rPr>
          <w:rFonts w:asciiTheme="minorHAnsi" w:hAnsiTheme="minorHAnsi"/>
          <w:sz w:val="22"/>
          <w:szCs w:val="22"/>
        </w:rPr>
        <w:br/>
        <w:t xml:space="preserve">We value the time that a respondent takes to answer survey questions or respond to e-mail communications. The same reward that is provided for enrolling in the Research </w:t>
      </w:r>
      <w:proofErr w:type="gramStart"/>
      <w:r w:rsidRPr="00834106">
        <w:rPr>
          <w:rFonts w:asciiTheme="minorHAnsi" w:hAnsiTheme="minorHAnsi"/>
          <w:sz w:val="22"/>
          <w:szCs w:val="22"/>
        </w:rPr>
        <w:t>Now</w:t>
      </w:r>
      <w:proofErr w:type="gramEnd"/>
      <w:r w:rsidRPr="00834106">
        <w:rPr>
          <w:rFonts w:asciiTheme="minorHAnsi" w:hAnsiTheme="minorHAnsi"/>
          <w:sz w:val="22"/>
          <w:szCs w:val="22"/>
        </w:rPr>
        <w:t xml:space="preserve"> program — Research Now currency — is given to those who participate in online research surveys. </w:t>
      </w:r>
      <w:r w:rsidRPr="00834106">
        <w:rPr>
          <w:rFonts w:asciiTheme="minorHAnsi" w:hAnsiTheme="minorHAnsi"/>
          <w:sz w:val="22"/>
          <w:szCs w:val="22"/>
        </w:rPr>
        <w:br/>
      </w:r>
      <w:r w:rsidRPr="00834106">
        <w:rPr>
          <w:rFonts w:asciiTheme="minorHAnsi" w:hAnsiTheme="minorHAnsi"/>
          <w:sz w:val="22"/>
          <w:szCs w:val="22"/>
        </w:rPr>
        <w:br/>
        <w:t>Other panel providers who have not established a currency often use a sweepstakes methodology and offer an "entry for drawing" to panelists for responding to survey opportunities. Not only does this approach achieve sub-optimal response and retention rates (and potentially introduce non-response bias), we believe that it potentially reinforces a "casino mentality" bias amongst members that are retained in such a panel over time.</w:t>
      </w:r>
    </w:p>
    <w:p w:rsidR="0056538E" w:rsidRDefault="0056538E" w:rsidP="0056538E">
      <w:pPr>
        <w:rPr>
          <w:b/>
        </w:rPr>
      </w:pPr>
    </w:p>
    <w:p w:rsidR="0056538E" w:rsidRDefault="0056538E" w:rsidP="0056538E">
      <w:pPr>
        <w:rPr>
          <w:b/>
        </w:rPr>
      </w:pPr>
    </w:p>
    <w:p w:rsidR="0056538E" w:rsidRDefault="0056538E" w:rsidP="0056538E">
      <w:pPr>
        <w:rPr>
          <w:b/>
        </w:rPr>
      </w:pPr>
    </w:p>
    <w:p w:rsidR="0056538E" w:rsidRPr="00834106" w:rsidRDefault="0056538E" w:rsidP="009B0D21">
      <w:pPr>
        <w:rPr>
          <w:rFonts w:asciiTheme="minorHAnsi" w:hAnsiTheme="minorHAnsi"/>
          <w:sz w:val="22"/>
          <w:szCs w:val="22"/>
        </w:rPr>
      </w:pPr>
    </w:p>
    <w:p w:rsidR="00F24CFC" w:rsidRDefault="00F24CFC">
      <w:pPr>
        <w:rPr>
          <w:b/>
        </w:rPr>
      </w:pPr>
    </w:p>
    <w:p w:rsidR="00C86E91" w:rsidRDefault="00C86E91">
      <w:pPr>
        <w:rPr>
          <w:b/>
        </w:rPr>
      </w:pPr>
    </w:p>
    <w:p w:rsidR="005E714A" w:rsidRDefault="005E714A" w:rsidP="00C86E91">
      <w:pPr>
        <w:rPr>
          <w:i/>
        </w:rPr>
      </w:pPr>
      <w:r w:rsidRPr="000A5567">
        <w:rPr>
          <w:b/>
        </w:rPr>
        <w:lastRenderedPageBreak/>
        <w:t>BURDEN HOUR</w:t>
      </w:r>
      <w:r w:rsidR="00441434" w:rsidRPr="000A5567">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B7492E" w:rsidTr="00EF2095">
        <w:trPr>
          <w:trHeight w:val="274"/>
        </w:trPr>
        <w:tc>
          <w:tcPr>
            <w:tcW w:w="5418" w:type="dxa"/>
          </w:tcPr>
          <w:p w:rsidR="00B7492E" w:rsidRDefault="009657E7" w:rsidP="00B7492E">
            <w:r>
              <w:t xml:space="preserve">Screener: </w:t>
            </w:r>
            <w:r w:rsidR="00B7492E">
              <w:t>Female, 18-44, &lt;$50,000, Planner</w:t>
            </w:r>
          </w:p>
        </w:tc>
        <w:tc>
          <w:tcPr>
            <w:tcW w:w="1530" w:type="dxa"/>
          </w:tcPr>
          <w:p w:rsidR="00B7492E" w:rsidRDefault="009657E7" w:rsidP="00843796">
            <w:r>
              <w:t>1200</w:t>
            </w:r>
          </w:p>
        </w:tc>
        <w:tc>
          <w:tcPr>
            <w:tcW w:w="1710" w:type="dxa"/>
          </w:tcPr>
          <w:p w:rsidR="00B7492E" w:rsidRPr="00033425" w:rsidRDefault="0080213B" w:rsidP="009657E7">
            <w:r>
              <w:t>1</w:t>
            </w:r>
            <w:r w:rsidR="00AF72C5" w:rsidRPr="00033425">
              <w:t>/60</w:t>
            </w:r>
          </w:p>
        </w:tc>
        <w:tc>
          <w:tcPr>
            <w:tcW w:w="1003" w:type="dxa"/>
          </w:tcPr>
          <w:p w:rsidR="00B7492E" w:rsidRPr="00033425" w:rsidRDefault="0080213B" w:rsidP="00843796">
            <w:r>
              <w:t>2</w:t>
            </w:r>
            <w:r w:rsidR="00AF72C5" w:rsidRPr="00033425">
              <w:t>0</w:t>
            </w:r>
          </w:p>
        </w:tc>
      </w:tr>
      <w:tr w:rsidR="00B7492E" w:rsidTr="00EF2095">
        <w:trPr>
          <w:trHeight w:val="274"/>
        </w:trPr>
        <w:tc>
          <w:tcPr>
            <w:tcW w:w="5418" w:type="dxa"/>
          </w:tcPr>
          <w:p w:rsidR="00B7492E" w:rsidRDefault="009657E7" w:rsidP="00B7492E">
            <w:r>
              <w:t xml:space="preserve">Screener: </w:t>
            </w:r>
            <w:r w:rsidR="00B7492E">
              <w:t>Female, 18-44, &lt;$50,000, Non-Planner</w:t>
            </w:r>
          </w:p>
        </w:tc>
        <w:tc>
          <w:tcPr>
            <w:tcW w:w="1530" w:type="dxa"/>
          </w:tcPr>
          <w:p w:rsidR="00B7492E" w:rsidRDefault="009657E7" w:rsidP="00843796">
            <w:r>
              <w:t>510</w:t>
            </w:r>
          </w:p>
        </w:tc>
        <w:tc>
          <w:tcPr>
            <w:tcW w:w="1710" w:type="dxa"/>
          </w:tcPr>
          <w:p w:rsidR="00B7492E" w:rsidRPr="00033425" w:rsidRDefault="0080213B" w:rsidP="00843796">
            <w:r>
              <w:t>1</w:t>
            </w:r>
            <w:r w:rsidR="00AF72C5" w:rsidRPr="00033425">
              <w:t>/60</w:t>
            </w:r>
          </w:p>
        </w:tc>
        <w:tc>
          <w:tcPr>
            <w:tcW w:w="1003" w:type="dxa"/>
          </w:tcPr>
          <w:p w:rsidR="00B7492E" w:rsidRPr="00033425" w:rsidRDefault="006D6475" w:rsidP="00843796">
            <w:r>
              <w:t>9</w:t>
            </w:r>
          </w:p>
        </w:tc>
      </w:tr>
      <w:tr w:rsidR="00B7492E" w:rsidTr="00EF2095">
        <w:trPr>
          <w:trHeight w:val="274"/>
        </w:trPr>
        <w:tc>
          <w:tcPr>
            <w:tcW w:w="5418" w:type="dxa"/>
          </w:tcPr>
          <w:p w:rsidR="00B7492E" w:rsidRDefault="009657E7" w:rsidP="00B7492E">
            <w:r>
              <w:t xml:space="preserve">Screener: </w:t>
            </w:r>
            <w:r w:rsidR="00B7492E">
              <w:t>Female, 18-44, &lt;$50,000, Non-Planner (Contemplator)</w:t>
            </w:r>
          </w:p>
        </w:tc>
        <w:tc>
          <w:tcPr>
            <w:tcW w:w="1530" w:type="dxa"/>
          </w:tcPr>
          <w:p w:rsidR="00B7492E" w:rsidRDefault="009657E7" w:rsidP="00843796">
            <w:r>
              <w:t>690</w:t>
            </w:r>
          </w:p>
        </w:tc>
        <w:tc>
          <w:tcPr>
            <w:tcW w:w="1710" w:type="dxa"/>
          </w:tcPr>
          <w:p w:rsidR="00B7492E" w:rsidRPr="00033425" w:rsidRDefault="0080213B" w:rsidP="00843796">
            <w:r>
              <w:t>1</w:t>
            </w:r>
            <w:r w:rsidR="0071376A" w:rsidRPr="00033425">
              <w:t>/60</w:t>
            </w:r>
          </w:p>
        </w:tc>
        <w:tc>
          <w:tcPr>
            <w:tcW w:w="1003" w:type="dxa"/>
          </w:tcPr>
          <w:p w:rsidR="00B7492E" w:rsidRPr="00033425" w:rsidRDefault="006D6475" w:rsidP="00843796">
            <w:r>
              <w:t>12</w:t>
            </w:r>
          </w:p>
        </w:tc>
      </w:tr>
      <w:tr w:rsidR="00B7492E" w:rsidTr="00EF2095">
        <w:trPr>
          <w:trHeight w:val="274"/>
        </w:trPr>
        <w:tc>
          <w:tcPr>
            <w:tcW w:w="5418" w:type="dxa"/>
          </w:tcPr>
          <w:p w:rsidR="00B7492E" w:rsidRDefault="009657E7" w:rsidP="00843796">
            <w:r>
              <w:t xml:space="preserve">Survey: </w:t>
            </w:r>
            <w:r w:rsidR="00B7492E">
              <w:t>Female, 18-44, &lt;$50,000, Planner</w:t>
            </w:r>
          </w:p>
        </w:tc>
        <w:tc>
          <w:tcPr>
            <w:tcW w:w="1530" w:type="dxa"/>
          </w:tcPr>
          <w:p w:rsidR="00B7492E" w:rsidRDefault="00B7492E" w:rsidP="00843796">
            <w:r>
              <w:t>400</w:t>
            </w:r>
          </w:p>
        </w:tc>
        <w:tc>
          <w:tcPr>
            <w:tcW w:w="1710" w:type="dxa"/>
          </w:tcPr>
          <w:p w:rsidR="00B7492E" w:rsidRPr="00033425" w:rsidRDefault="0071376A" w:rsidP="00843796">
            <w:r w:rsidRPr="00033425">
              <w:t>25/60</w:t>
            </w:r>
          </w:p>
        </w:tc>
        <w:tc>
          <w:tcPr>
            <w:tcW w:w="1003" w:type="dxa"/>
          </w:tcPr>
          <w:p w:rsidR="00B7492E" w:rsidRPr="00033425" w:rsidRDefault="0071376A" w:rsidP="00843796">
            <w:r w:rsidRPr="00033425">
              <w:t>167</w:t>
            </w:r>
          </w:p>
        </w:tc>
      </w:tr>
      <w:tr w:rsidR="00B7492E" w:rsidTr="00EF2095">
        <w:trPr>
          <w:trHeight w:val="274"/>
        </w:trPr>
        <w:tc>
          <w:tcPr>
            <w:tcW w:w="5418" w:type="dxa"/>
          </w:tcPr>
          <w:p w:rsidR="00B7492E" w:rsidRDefault="009657E7" w:rsidP="00843796">
            <w:r>
              <w:t xml:space="preserve">Survey: </w:t>
            </w:r>
            <w:r w:rsidR="00B7492E">
              <w:t>Female, 18-44, &lt;$50,000, Non-Planner</w:t>
            </w:r>
          </w:p>
        </w:tc>
        <w:tc>
          <w:tcPr>
            <w:tcW w:w="1530" w:type="dxa"/>
          </w:tcPr>
          <w:p w:rsidR="00B7492E" w:rsidRDefault="009657E7" w:rsidP="00843796">
            <w:r>
              <w:t>170</w:t>
            </w:r>
          </w:p>
        </w:tc>
        <w:tc>
          <w:tcPr>
            <w:tcW w:w="1710" w:type="dxa"/>
          </w:tcPr>
          <w:p w:rsidR="00B7492E" w:rsidRPr="00033425" w:rsidRDefault="0071376A" w:rsidP="0071376A">
            <w:r w:rsidRPr="00033425">
              <w:t>25/60</w:t>
            </w:r>
          </w:p>
        </w:tc>
        <w:tc>
          <w:tcPr>
            <w:tcW w:w="1003" w:type="dxa"/>
          </w:tcPr>
          <w:p w:rsidR="00B7492E" w:rsidRPr="00033425" w:rsidRDefault="00FC1191" w:rsidP="00843796">
            <w:r w:rsidRPr="00033425">
              <w:t>71</w:t>
            </w:r>
          </w:p>
        </w:tc>
      </w:tr>
      <w:tr w:rsidR="00B7492E" w:rsidTr="00EF2095">
        <w:trPr>
          <w:trHeight w:val="274"/>
        </w:trPr>
        <w:tc>
          <w:tcPr>
            <w:tcW w:w="5418" w:type="dxa"/>
          </w:tcPr>
          <w:p w:rsidR="00B7492E" w:rsidRDefault="009657E7" w:rsidP="00843796">
            <w:r>
              <w:t xml:space="preserve">Survey: </w:t>
            </w:r>
            <w:r w:rsidR="00B7492E">
              <w:t>Female, 18-44, &lt;$50,000, Non-Planner (Contemplator)</w:t>
            </w:r>
          </w:p>
        </w:tc>
        <w:tc>
          <w:tcPr>
            <w:tcW w:w="1530" w:type="dxa"/>
          </w:tcPr>
          <w:p w:rsidR="00B7492E" w:rsidRDefault="009657E7" w:rsidP="00843796">
            <w:r>
              <w:t>230</w:t>
            </w:r>
          </w:p>
        </w:tc>
        <w:tc>
          <w:tcPr>
            <w:tcW w:w="1710" w:type="dxa"/>
          </w:tcPr>
          <w:p w:rsidR="00B7492E" w:rsidRPr="00033425" w:rsidRDefault="0071376A" w:rsidP="00843796">
            <w:r w:rsidRPr="00033425">
              <w:t>25/60</w:t>
            </w:r>
          </w:p>
        </w:tc>
        <w:tc>
          <w:tcPr>
            <w:tcW w:w="1003" w:type="dxa"/>
          </w:tcPr>
          <w:p w:rsidR="00B7492E" w:rsidRPr="00033425" w:rsidRDefault="00FC1191" w:rsidP="00843796">
            <w:r w:rsidRPr="00033425">
              <w:t>96</w:t>
            </w:r>
          </w:p>
        </w:tc>
      </w:tr>
      <w:tr w:rsidR="00B7492E" w:rsidTr="00EF2095">
        <w:trPr>
          <w:trHeight w:val="289"/>
        </w:trPr>
        <w:tc>
          <w:tcPr>
            <w:tcW w:w="5418" w:type="dxa"/>
          </w:tcPr>
          <w:p w:rsidR="00B7492E" w:rsidRPr="00F6240A" w:rsidRDefault="00B7492E" w:rsidP="00843796">
            <w:pPr>
              <w:rPr>
                <w:b/>
              </w:rPr>
            </w:pPr>
            <w:r>
              <w:rPr>
                <w:b/>
              </w:rPr>
              <w:t>Totals</w:t>
            </w:r>
          </w:p>
        </w:tc>
        <w:tc>
          <w:tcPr>
            <w:tcW w:w="1530" w:type="dxa"/>
          </w:tcPr>
          <w:p w:rsidR="00B7492E" w:rsidRPr="00F6240A" w:rsidRDefault="00915D83" w:rsidP="00843796">
            <w:pPr>
              <w:rPr>
                <w:b/>
              </w:rPr>
            </w:pPr>
            <w:r>
              <w:rPr>
                <w:b/>
              </w:rPr>
              <w:t>3200</w:t>
            </w:r>
          </w:p>
        </w:tc>
        <w:tc>
          <w:tcPr>
            <w:tcW w:w="1710" w:type="dxa"/>
          </w:tcPr>
          <w:p w:rsidR="00B7492E" w:rsidRPr="00033425" w:rsidRDefault="00B7492E" w:rsidP="00843796"/>
        </w:tc>
        <w:tc>
          <w:tcPr>
            <w:tcW w:w="1003" w:type="dxa"/>
          </w:tcPr>
          <w:p w:rsidR="00B7492E" w:rsidRPr="00033425" w:rsidRDefault="0080213B" w:rsidP="006D6475">
            <w:pPr>
              <w:rPr>
                <w:b/>
              </w:rPr>
            </w:pPr>
            <w:r>
              <w:rPr>
                <w:b/>
              </w:rPr>
              <w:t>37</w:t>
            </w:r>
            <w:r w:rsidR="006D6475">
              <w:rPr>
                <w:b/>
              </w:rPr>
              <w:t>5</w:t>
            </w:r>
            <w:r w:rsidR="00FC1191" w:rsidRPr="00033425">
              <w:rPr>
                <w:b/>
              </w:rPr>
              <w:t xml:space="preserve"> </w:t>
            </w:r>
            <w:r w:rsidR="001F115A" w:rsidRPr="00033425">
              <w:rPr>
                <w:b/>
              </w:rPr>
              <w:t>hours</w:t>
            </w:r>
          </w:p>
        </w:tc>
      </w:tr>
    </w:tbl>
    <w:p w:rsidR="00F3170F" w:rsidRDefault="00F3170F" w:rsidP="00F3170F"/>
    <w:p w:rsidR="00441434" w:rsidRDefault="00441434" w:rsidP="00F3170F"/>
    <w:p w:rsidR="005E714A" w:rsidRDefault="001C39F7" w:rsidP="005914ED">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B7492E">
        <w:rPr>
          <w:rFonts w:ascii="Verdana" w:hAnsi="Verdana"/>
          <w:b/>
        </w:rPr>
        <w:t>$</w:t>
      </w:r>
      <w:proofErr w:type="gramEnd"/>
      <w:r w:rsidR="005914ED">
        <w:rPr>
          <w:rFonts w:ascii="Verdana" w:hAnsi="Verdana"/>
          <w:b/>
        </w:rPr>
        <w:t>7</w:t>
      </w:r>
      <w:r w:rsidR="00B7492E">
        <w:rPr>
          <w:rFonts w:ascii="Verdana" w:hAnsi="Verdana"/>
          <w:b/>
        </w:rPr>
        <w:t>2,880.00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90395">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137D3" w:rsidRDefault="00A403BB" w:rsidP="00A403BB">
      <w:pPr>
        <w:pStyle w:val="ListParagraph"/>
      </w:pPr>
    </w:p>
    <w:p w:rsidR="000137D3" w:rsidRPr="000137D3" w:rsidRDefault="00CA3349" w:rsidP="000A5567">
      <w:r>
        <w:t xml:space="preserve">The preconception health program will be national on scale, so all of the respondents are potential customers. </w:t>
      </w:r>
      <w:r w:rsidR="00290395" w:rsidRPr="000137D3">
        <w:t>We will contract wit</w:t>
      </w:r>
      <w:r w:rsidR="000137D3" w:rsidRPr="000137D3">
        <w:t xml:space="preserve">h a market research firm to select the sample of potential customers. </w:t>
      </w:r>
      <w:r w:rsidR="00290395" w:rsidRPr="000137D3">
        <w:t>W</w:t>
      </w:r>
      <w:r w:rsidR="000137D3" w:rsidRPr="000137D3">
        <w:t>ithin women 18-44 years of age with incomes less than $50,000, the market research contractor will identify 800 target customers: 400 planners, 170 n</w:t>
      </w:r>
      <w:r w:rsidR="000A5567">
        <w:t>on-planners and 230 non-planner/</w:t>
      </w:r>
      <w:r w:rsidR="000137D3" w:rsidRPr="000137D3">
        <w:t>contemplators using the following screening question.</w:t>
      </w:r>
    </w:p>
    <w:p w:rsidR="000137D3" w:rsidRPr="000137D3" w:rsidRDefault="000137D3" w:rsidP="00290395"/>
    <w:p w:rsidR="000137D3" w:rsidRPr="000137D3" w:rsidRDefault="000137D3" w:rsidP="00290395"/>
    <w:p w:rsidR="00290395" w:rsidRPr="000137D3" w:rsidRDefault="00290395" w:rsidP="00290395">
      <w:pPr>
        <w:numPr>
          <w:ilvl w:val="0"/>
          <w:numId w:val="20"/>
        </w:numPr>
        <w:spacing w:after="120"/>
        <w:rPr>
          <w:color w:val="000000"/>
        </w:rPr>
      </w:pPr>
      <w:r w:rsidRPr="000137D3">
        <w:rPr>
          <w:color w:val="000000"/>
        </w:rPr>
        <w:t xml:space="preserve">Which of the following statements would best describe you?  </w:t>
      </w:r>
    </w:p>
    <w:p w:rsidR="00290395" w:rsidRPr="000137D3" w:rsidRDefault="00290395" w:rsidP="00290395">
      <w:pPr>
        <w:numPr>
          <w:ilvl w:val="1"/>
          <w:numId w:val="20"/>
        </w:numPr>
        <w:spacing w:after="120"/>
        <w:rPr>
          <w:rFonts w:ascii="Calibri" w:hAnsi="Calibri"/>
          <w:color w:val="000000"/>
        </w:rPr>
      </w:pPr>
      <w:r w:rsidRPr="000137D3">
        <w:rPr>
          <w:color w:val="000000"/>
        </w:rPr>
        <w:t>I am currently pregnant (INELIGIBLE)</w:t>
      </w:r>
    </w:p>
    <w:p w:rsidR="00290395" w:rsidRPr="000137D3" w:rsidRDefault="00290395" w:rsidP="00290395">
      <w:pPr>
        <w:pStyle w:val="ListParagraph"/>
        <w:numPr>
          <w:ilvl w:val="0"/>
          <w:numId w:val="21"/>
        </w:numPr>
        <w:spacing w:after="200"/>
        <w:contextualSpacing w:val="0"/>
        <w:rPr>
          <w:rFonts w:eastAsiaTheme="minorHAnsi"/>
          <w:color w:val="000000"/>
        </w:rPr>
      </w:pPr>
      <w:r w:rsidRPr="000137D3">
        <w:rPr>
          <w:color w:val="000000"/>
        </w:rPr>
        <w:t xml:space="preserve">I want to get pregnant in the two years (PLANNERS) </w:t>
      </w:r>
    </w:p>
    <w:p w:rsidR="00290395" w:rsidRPr="000137D3" w:rsidRDefault="00290395" w:rsidP="00290395">
      <w:pPr>
        <w:pStyle w:val="ListParagraph"/>
        <w:numPr>
          <w:ilvl w:val="0"/>
          <w:numId w:val="21"/>
        </w:numPr>
        <w:spacing w:after="200"/>
        <w:contextualSpacing w:val="0"/>
        <w:rPr>
          <w:color w:val="000000"/>
        </w:rPr>
      </w:pPr>
      <w:r w:rsidRPr="000137D3">
        <w:rPr>
          <w:color w:val="000000"/>
        </w:rPr>
        <w:t xml:space="preserve">I don’t want to get pregnant in the next two years or so but I want to at some time in the future [NON-PLANNERS]  </w:t>
      </w:r>
    </w:p>
    <w:p w:rsidR="00290395" w:rsidRPr="000137D3" w:rsidRDefault="00290395" w:rsidP="00290395">
      <w:pPr>
        <w:pStyle w:val="ListParagraph"/>
        <w:numPr>
          <w:ilvl w:val="0"/>
          <w:numId w:val="21"/>
        </w:numPr>
        <w:spacing w:after="200"/>
        <w:contextualSpacing w:val="0"/>
        <w:rPr>
          <w:color w:val="000000"/>
        </w:rPr>
      </w:pPr>
      <w:r w:rsidRPr="000137D3">
        <w:rPr>
          <w:color w:val="000000"/>
        </w:rPr>
        <w:t xml:space="preserve">I do not want to get pregnant at any time in the future [NON-PLANNERS]           </w:t>
      </w:r>
    </w:p>
    <w:p w:rsidR="00290395" w:rsidRPr="000137D3" w:rsidRDefault="00290395" w:rsidP="00290395">
      <w:pPr>
        <w:pStyle w:val="ListParagraph"/>
        <w:numPr>
          <w:ilvl w:val="0"/>
          <w:numId w:val="21"/>
        </w:numPr>
        <w:spacing w:after="200"/>
        <w:contextualSpacing w:val="0"/>
        <w:rPr>
          <w:color w:val="000000"/>
        </w:rPr>
      </w:pPr>
      <w:r w:rsidRPr="000137D3">
        <w:rPr>
          <w:color w:val="000000"/>
        </w:rPr>
        <w:t xml:space="preserve">I cannot get pregnant (surgical sterilization, tubal ligation, hysterectomy, infertility, menopause) [INELIGIBLE]        </w:t>
      </w:r>
    </w:p>
    <w:p w:rsidR="00290395" w:rsidRPr="000137D3" w:rsidRDefault="00290395" w:rsidP="000137D3">
      <w:r w:rsidRPr="000137D3">
        <w:lastRenderedPageBreak/>
        <w:t xml:space="preserve">Within these two main groups, </w:t>
      </w:r>
      <w:r w:rsidR="000137D3" w:rsidRPr="000137D3">
        <w:t>we plan to oversample</w:t>
      </w:r>
      <w:r w:rsidRPr="000137D3">
        <w:t xml:space="preserve"> Af</w:t>
      </w:r>
      <w:r w:rsidR="000137D3" w:rsidRPr="000137D3">
        <w:t>rican American and Latina women.</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290395">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290395">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636B97"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F50" w:rsidRDefault="002D3F50">
      <w:r>
        <w:separator/>
      </w:r>
    </w:p>
  </w:endnote>
  <w:endnote w:type="continuationSeparator" w:id="0">
    <w:p w:rsidR="002D3F50" w:rsidRDefault="002D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50" w:rsidRDefault="002D3F5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2584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F50" w:rsidRDefault="002D3F50">
      <w:r>
        <w:separator/>
      </w:r>
    </w:p>
  </w:footnote>
  <w:footnote w:type="continuationSeparator" w:id="0">
    <w:p w:rsidR="002D3F50" w:rsidRDefault="002D3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F50" w:rsidRDefault="002D3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A1745"/>
    <w:multiLevelType w:val="hybridMultilevel"/>
    <w:tmpl w:val="4AD676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021261"/>
    <w:multiLevelType w:val="hybridMultilevel"/>
    <w:tmpl w:val="A656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B3331F"/>
    <w:multiLevelType w:val="hybridMultilevel"/>
    <w:tmpl w:val="BA98E5D0"/>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7D3"/>
    <w:rsid w:val="00022CB6"/>
    <w:rsid w:val="00023A57"/>
    <w:rsid w:val="00033425"/>
    <w:rsid w:val="00047A64"/>
    <w:rsid w:val="00067329"/>
    <w:rsid w:val="000A5567"/>
    <w:rsid w:val="000B2838"/>
    <w:rsid w:val="000D44CA"/>
    <w:rsid w:val="000E200B"/>
    <w:rsid w:val="000F68BE"/>
    <w:rsid w:val="001772E5"/>
    <w:rsid w:val="001927A4"/>
    <w:rsid w:val="00194AC6"/>
    <w:rsid w:val="001A23B0"/>
    <w:rsid w:val="001A25CC"/>
    <w:rsid w:val="001B0AAA"/>
    <w:rsid w:val="001C39F7"/>
    <w:rsid w:val="001F115A"/>
    <w:rsid w:val="002307BF"/>
    <w:rsid w:val="00237B48"/>
    <w:rsid w:val="0024521E"/>
    <w:rsid w:val="00263C3D"/>
    <w:rsid w:val="00274D0B"/>
    <w:rsid w:val="00290395"/>
    <w:rsid w:val="0029637D"/>
    <w:rsid w:val="002A7403"/>
    <w:rsid w:val="002B3C95"/>
    <w:rsid w:val="002D0B92"/>
    <w:rsid w:val="002D3F50"/>
    <w:rsid w:val="002F51E5"/>
    <w:rsid w:val="003D5BBE"/>
    <w:rsid w:val="003E3C61"/>
    <w:rsid w:val="003F1C5B"/>
    <w:rsid w:val="00434E33"/>
    <w:rsid w:val="00441434"/>
    <w:rsid w:val="0045264C"/>
    <w:rsid w:val="004741E7"/>
    <w:rsid w:val="004876EC"/>
    <w:rsid w:val="004B3F3A"/>
    <w:rsid w:val="004D6E14"/>
    <w:rsid w:val="005009B0"/>
    <w:rsid w:val="00531154"/>
    <w:rsid w:val="00536F10"/>
    <w:rsid w:val="0056538E"/>
    <w:rsid w:val="005914ED"/>
    <w:rsid w:val="005A1006"/>
    <w:rsid w:val="005D63BB"/>
    <w:rsid w:val="005D66A3"/>
    <w:rsid w:val="005E714A"/>
    <w:rsid w:val="006140A0"/>
    <w:rsid w:val="00615E44"/>
    <w:rsid w:val="00636621"/>
    <w:rsid w:val="00636B97"/>
    <w:rsid w:val="00642B49"/>
    <w:rsid w:val="00681B91"/>
    <w:rsid w:val="006832D9"/>
    <w:rsid w:val="0069403B"/>
    <w:rsid w:val="006D1299"/>
    <w:rsid w:val="006D6475"/>
    <w:rsid w:val="006D6A55"/>
    <w:rsid w:val="006E0B68"/>
    <w:rsid w:val="006F3DDE"/>
    <w:rsid w:val="00704678"/>
    <w:rsid w:val="0071376A"/>
    <w:rsid w:val="007412C8"/>
    <w:rsid w:val="007425E7"/>
    <w:rsid w:val="0080213B"/>
    <w:rsid w:val="00802607"/>
    <w:rsid w:val="008101A5"/>
    <w:rsid w:val="00822664"/>
    <w:rsid w:val="0082584C"/>
    <w:rsid w:val="00834106"/>
    <w:rsid w:val="00843796"/>
    <w:rsid w:val="00865880"/>
    <w:rsid w:val="00895229"/>
    <w:rsid w:val="008B1251"/>
    <w:rsid w:val="008F0203"/>
    <w:rsid w:val="008F50D4"/>
    <w:rsid w:val="00915D83"/>
    <w:rsid w:val="009239AA"/>
    <w:rsid w:val="00935ADA"/>
    <w:rsid w:val="009429CA"/>
    <w:rsid w:val="00946B6C"/>
    <w:rsid w:val="00955A71"/>
    <w:rsid w:val="0096108F"/>
    <w:rsid w:val="009657E7"/>
    <w:rsid w:val="009B0D21"/>
    <w:rsid w:val="009C13B9"/>
    <w:rsid w:val="009C2F45"/>
    <w:rsid w:val="009C40A4"/>
    <w:rsid w:val="009D01A2"/>
    <w:rsid w:val="009F5923"/>
    <w:rsid w:val="00A2652A"/>
    <w:rsid w:val="00A403BB"/>
    <w:rsid w:val="00A674DF"/>
    <w:rsid w:val="00A83AA6"/>
    <w:rsid w:val="00AB5D2D"/>
    <w:rsid w:val="00AE1809"/>
    <w:rsid w:val="00AE18A7"/>
    <w:rsid w:val="00AF72C5"/>
    <w:rsid w:val="00B1699A"/>
    <w:rsid w:val="00B37EF9"/>
    <w:rsid w:val="00B63675"/>
    <w:rsid w:val="00B7492E"/>
    <w:rsid w:val="00B80D76"/>
    <w:rsid w:val="00BA2105"/>
    <w:rsid w:val="00BA7E06"/>
    <w:rsid w:val="00BB43B5"/>
    <w:rsid w:val="00BB6219"/>
    <w:rsid w:val="00BD290F"/>
    <w:rsid w:val="00C14CC4"/>
    <w:rsid w:val="00C33C52"/>
    <w:rsid w:val="00C40D8B"/>
    <w:rsid w:val="00C8407A"/>
    <w:rsid w:val="00C8488C"/>
    <w:rsid w:val="00C85D5C"/>
    <w:rsid w:val="00C86E91"/>
    <w:rsid w:val="00CA2650"/>
    <w:rsid w:val="00CA3349"/>
    <w:rsid w:val="00CB1078"/>
    <w:rsid w:val="00CC6FAF"/>
    <w:rsid w:val="00D24698"/>
    <w:rsid w:val="00D6383F"/>
    <w:rsid w:val="00DB59D0"/>
    <w:rsid w:val="00DC33D3"/>
    <w:rsid w:val="00DE3EEC"/>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C119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odyText1">
    <w:name w:val="Body Text1"/>
    <w:aliases w:val="bt,body tx,indent,flush,memo body text,flush Char Char,body 4h Char,memo,flush Char Char Char Char Char Char Char Char Char Char Char Char Char,body 4h,bo3hdy 4h Char,body 4h Char Char Char,bt Char Char Char"/>
    <w:basedOn w:val="Normal"/>
    <w:link w:val="body4hCharChar"/>
    <w:uiPriority w:val="99"/>
    <w:rsid w:val="00290395"/>
    <w:pPr>
      <w:spacing w:after="120" w:line="360" w:lineRule="auto"/>
      <w:ind w:firstLine="720"/>
    </w:pPr>
    <w:rPr>
      <w:szCs w:val="20"/>
    </w:rPr>
  </w:style>
  <w:style w:type="character" w:customStyle="1" w:styleId="body4hCharChar">
    <w:name w:val="body 4h Char Char"/>
    <w:basedOn w:val="DefaultParagraphFont"/>
    <w:link w:val="BodyText1"/>
    <w:uiPriority w:val="99"/>
    <w:rsid w:val="00290395"/>
    <w:rPr>
      <w:sz w:val="24"/>
    </w:rPr>
  </w:style>
  <w:style w:type="paragraph" w:customStyle="1" w:styleId="Default">
    <w:name w:val="Default"/>
    <w:basedOn w:val="Normal"/>
    <w:rsid w:val="00290395"/>
    <w:pPr>
      <w:autoSpaceDE w:val="0"/>
      <w:autoSpaceDN w:val="0"/>
    </w:pPr>
    <w:rPr>
      <w:rFonts w:ascii="Tahoma" w:eastAsiaTheme="minorHAnsi" w:hAnsi="Tahoma" w:cs="Tahoma"/>
      <w:color w:val="000000"/>
    </w:rPr>
  </w:style>
  <w:style w:type="character" w:customStyle="1" w:styleId="subheadtext">
    <w:name w:val="subheadtext"/>
    <w:basedOn w:val="DefaultParagraphFont"/>
    <w:rsid w:val="00834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odyText1">
    <w:name w:val="Body Text1"/>
    <w:aliases w:val="bt,body tx,indent,flush,memo body text,flush Char Char,body 4h Char,memo,flush Char Char Char Char Char Char Char Char Char Char Char Char Char,body 4h,bo3hdy 4h Char,body 4h Char Char Char,bt Char Char Char"/>
    <w:basedOn w:val="Normal"/>
    <w:link w:val="body4hCharChar"/>
    <w:uiPriority w:val="99"/>
    <w:rsid w:val="00290395"/>
    <w:pPr>
      <w:spacing w:after="120" w:line="360" w:lineRule="auto"/>
      <w:ind w:firstLine="720"/>
    </w:pPr>
    <w:rPr>
      <w:szCs w:val="20"/>
    </w:rPr>
  </w:style>
  <w:style w:type="character" w:customStyle="1" w:styleId="body4hCharChar">
    <w:name w:val="body 4h Char Char"/>
    <w:basedOn w:val="DefaultParagraphFont"/>
    <w:link w:val="BodyText1"/>
    <w:uiPriority w:val="99"/>
    <w:rsid w:val="00290395"/>
    <w:rPr>
      <w:sz w:val="24"/>
    </w:rPr>
  </w:style>
  <w:style w:type="paragraph" w:customStyle="1" w:styleId="Default">
    <w:name w:val="Default"/>
    <w:basedOn w:val="Normal"/>
    <w:rsid w:val="00290395"/>
    <w:pPr>
      <w:autoSpaceDE w:val="0"/>
      <w:autoSpaceDN w:val="0"/>
    </w:pPr>
    <w:rPr>
      <w:rFonts w:ascii="Tahoma" w:eastAsiaTheme="minorHAnsi" w:hAnsi="Tahoma" w:cs="Tahoma"/>
      <w:color w:val="000000"/>
    </w:rPr>
  </w:style>
  <w:style w:type="character" w:customStyle="1" w:styleId="subheadtext">
    <w:name w:val="subheadtext"/>
    <w:basedOn w:val="DefaultParagraphFont"/>
    <w:rsid w:val="0083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9877">
      <w:bodyDiv w:val="1"/>
      <w:marLeft w:val="0"/>
      <w:marRight w:val="0"/>
      <w:marTop w:val="0"/>
      <w:marBottom w:val="0"/>
      <w:divBdr>
        <w:top w:val="none" w:sz="0" w:space="0" w:color="auto"/>
        <w:left w:val="none" w:sz="0" w:space="0" w:color="auto"/>
        <w:bottom w:val="none" w:sz="0" w:space="0" w:color="auto"/>
        <w:right w:val="none" w:sz="0" w:space="0" w:color="auto"/>
      </w:divBdr>
    </w:div>
    <w:div w:id="129841479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fvs1</dc:creator>
  <cp:lastModifiedBy>Grant, Dorthina G. (CDC/ONDIEH/NCBDDD)</cp:lastModifiedBy>
  <cp:revision>2</cp:revision>
  <cp:lastPrinted>2010-10-04T16:59:00Z</cp:lastPrinted>
  <dcterms:created xsi:type="dcterms:W3CDTF">2012-02-01T16:07:00Z</dcterms:created>
  <dcterms:modified xsi:type="dcterms:W3CDTF">2012-02-01T16:07:00Z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