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DF3" w:rsidRDefault="00F85DF3" w:rsidP="00C03EDF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>Justification for Non-Subst</w:t>
      </w:r>
      <w:r w:rsidR="00B6794B">
        <w:rPr>
          <w:rFonts w:ascii="Times New Roman" w:hAnsi="Times New Roman" w:cs="Times New Roman"/>
          <w:b/>
          <w:bCs/>
        </w:rPr>
        <w:t>antive Changes for SSA-4641-U2</w:t>
      </w:r>
    </w:p>
    <w:p w:rsidR="00F85DF3" w:rsidRPr="00B200C6" w:rsidRDefault="00F85DF3" w:rsidP="00B200C6">
      <w:pPr>
        <w:jc w:val="center"/>
        <w:rPr>
          <w:rFonts w:ascii="Times New Roman" w:hAnsi="Times New Roman" w:cs="Times New Roman"/>
          <w:b/>
          <w:bCs/>
        </w:rPr>
      </w:pPr>
      <w:r w:rsidRPr="00B200C6">
        <w:rPr>
          <w:rFonts w:ascii="Times New Roman" w:hAnsi="Times New Roman" w:cs="Times New Roman"/>
          <w:b/>
          <w:bCs/>
        </w:rPr>
        <w:t>Authorization for the Social Security Administration to Obtain Account Records from a Financial Institution and Request for Records</w:t>
      </w:r>
    </w:p>
    <w:p w:rsidR="00F85DF3" w:rsidRPr="00B200C6" w:rsidRDefault="00F85DF3" w:rsidP="00B200C6">
      <w:pPr>
        <w:jc w:val="center"/>
        <w:rPr>
          <w:rFonts w:ascii="Times New Roman" w:hAnsi="Times New Roman" w:cs="Times New Roman"/>
        </w:rPr>
      </w:pPr>
      <w:r w:rsidRPr="00B200C6">
        <w:rPr>
          <w:rFonts w:ascii="Times New Roman" w:hAnsi="Times New Roman" w:cs="Times New Roman"/>
          <w:b/>
          <w:bCs/>
        </w:rPr>
        <w:t>20 CFR 416.200, 20 CFR 416.203</w:t>
      </w:r>
    </w:p>
    <w:p w:rsidR="00F85DF3" w:rsidRPr="00B200C6" w:rsidRDefault="00F85DF3" w:rsidP="00B200C6">
      <w:pPr>
        <w:jc w:val="center"/>
        <w:outlineLvl w:val="0"/>
        <w:rPr>
          <w:rFonts w:ascii="Times New Roman" w:hAnsi="Times New Roman" w:cs="Times New Roman"/>
          <w:b/>
          <w:bCs/>
        </w:rPr>
      </w:pPr>
      <w:r w:rsidRPr="00B200C6">
        <w:rPr>
          <w:rFonts w:ascii="Times New Roman" w:hAnsi="Times New Roman" w:cs="Times New Roman"/>
          <w:b/>
          <w:bCs/>
        </w:rPr>
        <w:t>OMB No. 0960-0293</w:t>
      </w:r>
    </w:p>
    <w:p w:rsidR="00F85DF3" w:rsidRDefault="00F85DF3" w:rsidP="00C03EDF">
      <w:pPr>
        <w:rPr>
          <w:rFonts w:ascii="Times New Roman" w:hAnsi="Times New Roman" w:cs="Times New Roman"/>
        </w:rPr>
      </w:pPr>
    </w:p>
    <w:p w:rsidR="00F85DF3" w:rsidRDefault="00F85DF3" w:rsidP="00C03EDF">
      <w:pPr>
        <w:rPr>
          <w:rFonts w:ascii="Times New Roman" w:hAnsi="Times New Roman" w:cs="Times New Roman"/>
          <w:b/>
          <w:bCs/>
          <w:snapToGrid w:val="0"/>
          <w:u w:val="single"/>
        </w:rPr>
      </w:pPr>
      <w:r>
        <w:rPr>
          <w:rFonts w:ascii="Times New Roman" w:hAnsi="Times New Roman" w:cs="Times New Roman"/>
          <w:b/>
          <w:bCs/>
          <w:snapToGrid w:val="0"/>
          <w:u w:val="single"/>
        </w:rPr>
        <w:t>Justification for Non-Substantive Changes to the Collection</w:t>
      </w:r>
      <w:r w:rsidRPr="00855A2B">
        <w:rPr>
          <w:rFonts w:ascii="Times New Roman" w:hAnsi="Times New Roman" w:cs="Times New Roman"/>
          <w:b/>
          <w:bCs/>
          <w:snapToGrid w:val="0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napToGrid w:val="0"/>
          <w:u w:val="single"/>
        </w:rPr>
        <w:t xml:space="preserve">or </w:t>
      </w:r>
      <w:r w:rsidRPr="00855A2B">
        <w:rPr>
          <w:rFonts w:ascii="Times New Roman" w:hAnsi="Times New Roman" w:cs="Times New Roman"/>
          <w:b/>
          <w:bCs/>
          <w:snapToGrid w:val="0"/>
          <w:u w:val="single"/>
        </w:rPr>
        <w:t>Resubmission of the Collection within One Year of OMB Approval</w:t>
      </w:r>
    </w:p>
    <w:p w:rsidR="00F85DF3" w:rsidRDefault="00F85DF3" w:rsidP="00C03EDF">
      <w:pPr>
        <w:rPr>
          <w:rFonts w:ascii="Times New Roman" w:hAnsi="Times New Roman" w:cs="Times New Roman"/>
          <w:snapToGrid w:val="0"/>
        </w:rPr>
      </w:pPr>
    </w:p>
    <w:p w:rsidR="00F85DF3" w:rsidRPr="00C3360D" w:rsidRDefault="00F85DF3" w:rsidP="00C03EDF">
      <w:pPr>
        <w:rPr>
          <w:rFonts w:ascii="Times New Roman" w:hAnsi="Times New Roman" w:cs="Times New Roman"/>
          <w:b/>
          <w:bCs/>
          <w:snapToGrid w:val="0"/>
        </w:rPr>
      </w:pPr>
      <w:r w:rsidRPr="00C3360D">
        <w:rPr>
          <w:rFonts w:ascii="Times New Roman" w:hAnsi="Times New Roman" w:cs="Times New Roman"/>
          <w:b/>
          <w:bCs/>
          <w:snapToGrid w:val="0"/>
        </w:rPr>
        <w:t>Non-substantive change:</w:t>
      </w:r>
    </w:p>
    <w:p w:rsidR="00F85DF3" w:rsidRDefault="00C81B5A" w:rsidP="00C03EDF">
      <w:pPr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</w:rPr>
        <w:t xml:space="preserve">Due to </w:t>
      </w:r>
      <w:r w:rsidR="00FC200B">
        <w:rPr>
          <w:rFonts w:ascii="Times New Roman" w:hAnsi="Times New Roman" w:cs="Times New Roman"/>
        </w:rPr>
        <w:t xml:space="preserve">SSA’s mandate to reduce issuance of improper payments and the </w:t>
      </w:r>
      <w:r w:rsidR="0075132E">
        <w:rPr>
          <w:rFonts w:ascii="Times New Roman" w:hAnsi="Times New Roman" w:cs="Times New Roman"/>
        </w:rPr>
        <w:t xml:space="preserve">completed </w:t>
      </w:r>
      <w:r w:rsidR="00FC200B">
        <w:rPr>
          <w:rFonts w:ascii="Times New Roman" w:hAnsi="Times New Roman" w:cs="Times New Roman"/>
        </w:rPr>
        <w:t xml:space="preserve">implementation of </w:t>
      </w:r>
      <w:r w:rsidR="00F85DF3">
        <w:rPr>
          <w:rFonts w:ascii="Times New Roman" w:hAnsi="Times New Roman" w:cs="Times New Roman"/>
        </w:rPr>
        <w:t>the Access to Financial I</w:t>
      </w:r>
      <w:r w:rsidR="00FC200B">
        <w:rPr>
          <w:rFonts w:ascii="Times New Roman" w:hAnsi="Times New Roman" w:cs="Times New Roman"/>
        </w:rPr>
        <w:t>nstitutions (AFI) initiative</w:t>
      </w:r>
      <w:r w:rsidR="00F85DF3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we </w:t>
      </w:r>
      <w:r w:rsidR="00E91A30">
        <w:rPr>
          <w:rFonts w:ascii="Times New Roman" w:hAnsi="Times New Roman" w:cs="Times New Roman"/>
        </w:rPr>
        <w:t>are requesting</w:t>
      </w:r>
      <w:r>
        <w:rPr>
          <w:rFonts w:ascii="Times New Roman" w:hAnsi="Times New Roman" w:cs="Times New Roman"/>
        </w:rPr>
        <w:t xml:space="preserve"> an increase to</w:t>
      </w:r>
      <w:r w:rsidR="00F85DF3">
        <w:rPr>
          <w:rFonts w:ascii="Times New Roman" w:hAnsi="Times New Roman" w:cs="Times New Roman"/>
        </w:rPr>
        <w:t xml:space="preserve"> </w:t>
      </w:r>
      <w:r w:rsidR="00F85DF3">
        <w:rPr>
          <w:rFonts w:ascii="Times New Roman" w:hAnsi="Times New Roman" w:cs="Times New Roman"/>
          <w:snapToGrid w:val="0"/>
        </w:rPr>
        <w:t>the public reporting burden for the “Authorization for the Social Security Administration to Obtain Account Records from a Financial Instit</w:t>
      </w:r>
      <w:r w:rsidR="0052679C">
        <w:rPr>
          <w:rFonts w:ascii="Times New Roman" w:hAnsi="Times New Roman" w:cs="Times New Roman"/>
          <w:snapToGrid w:val="0"/>
        </w:rPr>
        <w:t>ution and Request for Records” F</w:t>
      </w:r>
      <w:r w:rsidR="00F85DF3">
        <w:rPr>
          <w:rFonts w:ascii="Times New Roman" w:hAnsi="Times New Roman" w:cs="Times New Roman"/>
          <w:snapToGrid w:val="0"/>
        </w:rPr>
        <w:t>orm SSA-4641-F4</w:t>
      </w:r>
      <w:r w:rsidR="00FC200B">
        <w:rPr>
          <w:rFonts w:ascii="Times New Roman" w:hAnsi="Times New Roman" w:cs="Times New Roman"/>
          <w:snapToGrid w:val="0"/>
        </w:rPr>
        <w:t>.</w:t>
      </w:r>
      <w:r>
        <w:rPr>
          <w:rFonts w:ascii="Times New Roman" w:hAnsi="Times New Roman" w:cs="Times New Roman"/>
          <w:snapToGrid w:val="0"/>
        </w:rPr>
        <w:t xml:space="preserve"> We are requesting to increase the public</w:t>
      </w:r>
      <w:r w:rsidR="00FC200B">
        <w:rPr>
          <w:rFonts w:ascii="Times New Roman" w:hAnsi="Times New Roman" w:cs="Times New Roman"/>
          <w:snapToGrid w:val="0"/>
        </w:rPr>
        <w:t xml:space="preserve"> burden from 3,0</w:t>
      </w:r>
      <w:r w:rsidR="00F7784B">
        <w:rPr>
          <w:rFonts w:ascii="Times New Roman" w:hAnsi="Times New Roman" w:cs="Times New Roman"/>
          <w:snapToGrid w:val="0"/>
        </w:rPr>
        <w:t>00,000 responses</w:t>
      </w:r>
      <w:r w:rsidR="00F85DF3">
        <w:rPr>
          <w:rFonts w:ascii="Times New Roman" w:hAnsi="Times New Roman" w:cs="Times New Roman"/>
          <w:snapToGrid w:val="0"/>
        </w:rPr>
        <w:t xml:space="preserve"> </w:t>
      </w:r>
      <w:r w:rsidR="00F85DF3" w:rsidRPr="00EA36EE">
        <w:rPr>
          <w:rFonts w:ascii="Times New Roman" w:hAnsi="Times New Roman" w:cs="Times New Roman"/>
          <w:snapToGrid w:val="0"/>
        </w:rPr>
        <w:t xml:space="preserve">to </w:t>
      </w:r>
      <w:r w:rsidR="00FC200B">
        <w:rPr>
          <w:rFonts w:ascii="Times New Roman" w:hAnsi="Times New Roman" w:cs="Times New Roman"/>
        </w:rPr>
        <w:t>5,</w:t>
      </w:r>
      <w:r w:rsidR="00DE7712">
        <w:rPr>
          <w:rFonts w:ascii="Times New Roman" w:hAnsi="Times New Roman" w:cs="Times New Roman"/>
        </w:rPr>
        <w:t>000,000</w:t>
      </w:r>
      <w:r w:rsidR="00F7784B">
        <w:rPr>
          <w:rFonts w:ascii="Times New Roman" w:hAnsi="Times New Roman" w:cs="Times New Roman"/>
        </w:rPr>
        <w:t xml:space="preserve"> response</w:t>
      </w:r>
      <w:r w:rsidR="00F85DF3">
        <w:rPr>
          <w:rFonts w:ascii="Times New Roman" w:hAnsi="Times New Roman" w:cs="Times New Roman"/>
        </w:rPr>
        <w:t>s</w:t>
      </w:r>
      <w:r w:rsidR="00F85DF3">
        <w:rPr>
          <w:rFonts w:ascii="Times New Roman" w:hAnsi="Times New Roman" w:cs="Times New Roman"/>
          <w:snapToGrid w:val="0"/>
        </w:rPr>
        <w:t xml:space="preserve"> </w:t>
      </w:r>
      <w:r w:rsidR="0052679C">
        <w:rPr>
          <w:rFonts w:ascii="Times New Roman" w:hAnsi="Times New Roman" w:cs="Times New Roman"/>
          <w:snapToGrid w:val="0"/>
        </w:rPr>
        <w:t xml:space="preserve">and total annual burden hours from </w:t>
      </w:r>
      <w:r w:rsidR="006B0797">
        <w:rPr>
          <w:rFonts w:ascii="Times New Roman" w:hAnsi="Times New Roman" w:cs="Times New Roman"/>
          <w:snapToGrid w:val="0"/>
        </w:rPr>
        <w:t>1</w:t>
      </w:r>
      <w:r w:rsidR="00273EF0">
        <w:rPr>
          <w:rFonts w:ascii="Times New Roman" w:hAnsi="Times New Roman" w:cs="Times New Roman"/>
          <w:snapToGrid w:val="0"/>
        </w:rPr>
        <w:t>19,757</w:t>
      </w:r>
      <w:r w:rsidR="00447A20">
        <w:rPr>
          <w:rFonts w:ascii="Times New Roman" w:hAnsi="Times New Roman" w:cs="Times New Roman"/>
          <w:snapToGrid w:val="0"/>
        </w:rPr>
        <w:t xml:space="preserve"> to 160,49</w:t>
      </w:r>
      <w:r w:rsidR="009541C8">
        <w:rPr>
          <w:rFonts w:ascii="Times New Roman" w:hAnsi="Times New Roman" w:cs="Times New Roman"/>
          <w:snapToGrid w:val="0"/>
        </w:rPr>
        <w:t>1</w:t>
      </w:r>
      <w:r w:rsidR="0052679C">
        <w:rPr>
          <w:rFonts w:ascii="Times New Roman" w:hAnsi="Times New Roman" w:cs="Times New Roman"/>
          <w:snapToGrid w:val="0"/>
        </w:rPr>
        <w:t xml:space="preserve"> </w:t>
      </w:r>
      <w:r w:rsidR="006C6692">
        <w:rPr>
          <w:rFonts w:ascii="Times New Roman" w:hAnsi="Times New Roman" w:cs="Times New Roman"/>
          <w:snapToGrid w:val="0"/>
        </w:rPr>
        <w:t xml:space="preserve">for </w:t>
      </w:r>
      <w:r w:rsidR="00E425BF">
        <w:rPr>
          <w:rFonts w:ascii="Times New Roman" w:hAnsi="Times New Roman" w:cs="Times New Roman"/>
          <w:snapToGrid w:val="0"/>
        </w:rPr>
        <w:t>FY</w:t>
      </w:r>
      <w:r>
        <w:rPr>
          <w:rFonts w:ascii="Times New Roman" w:hAnsi="Times New Roman" w:cs="Times New Roman"/>
          <w:snapToGrid w:val="0"/>
        </w:rPr>
        <w:t xml:space="preserve"> 12</w:t>
      </w:r>
      <w:r w:rsidR="00F85DF3">
        <w:rPr>
          <w:rFonts w:ascii="Times New Roman" w:hAnsi="Times New Roman" w:cs="Times New Roman"/>
          <w:snapToGrid w:val="0"/>
        </w:rPr>
        <w:t>.</w:t>
      </w:r>
    </w:p>
    <w:p w:rsidR="00F85DF3" w:rsidRDefault="00F85DF3" w:rsidP="00C3360D">
      <w:pPr>
        <w:rPr>
          <w:rFonts w:ascii="Times New Roman" w:hAnsi="Times New Roman" w:cs="Times New Roman"/>
          <w:b/>
          <w:bCs/>
          <w:snapToGrid w:val="0"/>
        </w:rPr>
      </w:pPr>
    </w:p>
    <w:p w:rsidR="00F85DF3" w:rsidRPr="00C3360D" w:rsidRDefault="00F85DF3" w:rsidP="00C3360D">
      <w:pPr>
        <w:rPr>
          <w:rFonts w:ascii="Times New Roman" w:hAnsi="Times New Roman" w:cs="Times New Roman"/>
          <w:b/>
          <w:bCs/>
          <w:snapToGrid w:val="0"/>
        </w:rPr>
      </w:pPr>
      <w:r w:rsidRPr="00C3360D">
        <w:rPr>
          <w:rFonts w:ascii="Times New Roman" w:hAnsi="Times New Roman" w:cs="Times New Roman"/>
          <w:b/>
          <w:bCs/>
          <w:snapToGrid w:val="0"/>
        </w:rPr>
        <w:t xml:space="preserve">Justification: </w:t>
      </w:r>
    </w:p>
    <w:p w:rsidR="00357CE5" w:rsidRDefault="00F7784B" w:rsidP="0075132E">
      <w:pPr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In the approved </w:t>
      </w:r>
      <w:r w:rsidR="00FC200B" w:rsidRPr="00FC200B">
        <w:rPr>
          <w:rFonts w:ascii="Times New Roman" w:hAnsi="Times New Roman" w:cs="Times New Roman"/>
          <w:bCs/>
        </w:rPr>
        <w:t>Justification for Non-Substantive Changes for SSA-4641-U2</w:t>
      </w:r>
      <w:r w:rsidR="00FC200B">
        <w:rPr>
          <w:rFonts w:ascii="Times New Roman" w:hAnsi="Times New Roman" w:cs="Times New Roman"/>
          <w:bCs/>
        </w:rPr>
        <w:t xml:space="preserve"> </w:t>
      </w:r>
      <w:r w:rsidR="00F85DF3">
        <w:rPr>
          <w:rFonts w:ascii="Times New Roman" w:hAnsi="Times New Roman" w:cs="Times New Roman"/>
          <w:snapToGrid w:val="0"/>
        </w:rPr>
        <w:t xml:space="preserve">submitted </w:t>
      </w:r>
      <w:r w:rsidR="00FC200B">
        <w:rPr>
          <w:rFonts w:ascii="Times New Roman" w:hAnsi="Times New Roman" w:cs="Times New Roman"/>
          <w:snapToGrid w:val="0"/>
        </w:rPr>
        <w:t>in February 2011</w:t>
      </w:r>
      <w:r w:rsidR="00F85DF3">
        <w:rPr>
          <w:rFonts w:ascii="Times New Roman" w:hAnsi="Times New Roman" w:cs="Times New Roman"/>
          <w:snapToGrid w:val="0"/>
        </w:rPr>
        <w:t>,</w:t>
      </w:r>
      <w:r>
        <w:rPr>
          <w:rFonts w:ascii="Times New Roman" w:hAnsi="Times New Roman" w:cs="Times New Roman"/>
          <w:snapToGrid w:val="0"/>
        </w:rPr>
        <w:t xml:space="preserve"> we mentioned</w:t>
      </w:r>
      <w:r w:rsidR="00F85DF3">
        <w:rPr>
          <w:rFonts w:ascii="Times New Roman" w:hAnsi="Times New Roman" w:cs="Times New Roman"/>
          <w:snapToGrid w:val="0"/>
        </w:rPr>
        <w:t xml:space="preserve"> </w:t>
      </w:r>
      <w:r w:rsidR="0075132E">
        <w:rPr>
          <w:rFonts w:ascii="Times New Roman" w:hAnsi="Times New Roman" w:cs="Times New Roman"/>
          <w:snapToGrid w:val="0"/>
        </w:rPr>
        <w:t xml:space="preserve">the possibility of amending </w:t>
      </w:r>
      <w:r w:rsidR="00F85DF3">
        <w:rPr>
          <w:rFonts w:ascii="Times New Roman" w:hAnsi="Times New Roman" w:cs="Times New Roman"/>
          <w:snapToGrid w:val="0"/>
        </w:rPr>
        <w:t xml:space="preserve">the public burden of the SSA-4641 once we </w:t>
      </w:r>
      <w:r w:rsidR="006C6692">
        <w:rPr>
          <w:rFonts w:ascii="Times New Roman" w:hAnsi="Times New Roman" w:cs="Times New Roman"/>
          <w:snapToGrid w:val="0"/>
        </w:rPr>
        <w:t>implemented</w:t>
      </w:r>
      <w:r w:rsidR="00F85DF3">
        <w:rPr>
          <w:rFonts w:ascii="Times New Roman" w:hAnsi="Times New Roman" w:cs="Times New Roman"/>
          <w:snapToGrid w:val="0"/>
        </w:rPr>
        <w:t xml:space="preserve"> AFI </w:t>
      </w:r>
      <w:r w:rsidR="006C6692">
        <w:rPr>
          <w:rFonts w:ascii="Times New Roman" w:hAnsi="Times New Roman" w:cs="Times New Roman"/>
          <w:snapToGrid w:val="0"/>
        </w:rPr>
        <w:t>nationally</w:t>
      </w:r>
      <w:r w:rsidR="006B4D35">
        <w:rPr>
          <w:rFonts w:ascii="Times New Roman" w:hAnsi="Times New Roman" w:cs="Times New Roman"/>
          <w:snapToGrid w:val="0"/>
        </w:rPr>
        <w:t xml:space="preserve">. </w:t>
      </w:r>
      <w:r w:rsidR="006C6692">
        <w:rPr>
          <w:rFonts w:ascii="Times New Roman" w:hAnsi="Times New Roman" w:cs="Times New Roman"/>
          <w:snapToGrid w:val="0"/>
        </w:rPr>
        <w:t>In June 2011, we</w:t>
      </w:r>
      <w:r w:rsidR="0075132E">
        <w:rPr>
          <w:rFonts w:ascii="Times New Roman" w:hAnsi="Times New Roman" w:cs="Times New Roman"/>
          <w:snapToGrid w:val="0"/>
        </w:rPr>
        <w:t xml:space="preserve"> completed the</w:t>
      </w:r>
      <w:r w:rsidR="00E14DE2">
        <w:rPr>
          <w:rFonts w:ascii="Times New Roman" w:hAnsi="Times New Roman" w:cs="Times New Roman"/>
          <w:snapToGrid w:val="0"/>
        </w:rPr>
        <w:t xml:space="preserve"> national roll out</w:t>
      </w:r>
      <w:r w:rsidR="009541C8">
        <w:rPr>
          <w:rFonts w:ascii="Times New Roman" w:hAnsi="Times New Roman" w:cs="Times New Roman"/>
          <w:snapToGrid w:val="0"/>
        </w:rPr>
        <w:t xml:space="preserve"> of the </w:t>
      </w:r>
      <w:r w:rsidR="006C6692">
        <w:rPr>
          <w:rFonts w:ascii="Times New Roman" w:hAnsi="Times New Roman" w:cs="Times New Roman"/>
          <w:snapToGrid w:val="0"/>
        </w:rPr>
        <w:t>AFI</w:t>
      </w:r>
      <w:r w:rsidR="009541C8">
        <w:rPr>
          <w:rFonts w:ascii="Times New Roman" w:hAnsi="Times New Roman" w:cs="Times New Roman"/>
          <w:snapToGrid w:val="0"/>
        </w:rPr>
        <w:t xml:space="preserve"> initiative and, as a result, </w:t>
      </w:r>
      <w:r w:rsidR="00CC7B4F">
        <w:rPr>
          <w:rFonts w:ascii="Times New Roman" w:hAnsi="Times New Roman" w:cs="Times New Roman"/>
          <w:snapToGrid w:val="0"/>
        </w:rPr>
        <w:t xml:space="preserve">there were </w:t>
      </w:r>
      <w:r w:rsidR="009541C8">
        <w:rPr>
          <w:rFonts w:ascii="Times New Roman" w:hAnsi="Times New Roman" w:cs="Times New Roman"/>
          <w:snapToGrid w:val="0"/>
        </w:rPr>
        <w:t xml:space="preserve">over </w:t>
      </w:r>
      <w:r w:rsidR="00CC7B4F">
        <w:rPr>
          <w:rFonts w:ascii="Times New Roman" w:hAnsi="Times New Roman" w:cs="Times New Roman"/>
          <w:snapToGrid w:val="0"/>
        </w:rPr>
        <w:t>2</w:t>
      </w:r>
      <w:r w:rsidR="009541C8">
        <w:rPr>
          <w:rFonts w:ascii="Times New Roman" w:hAnsi="Times New Roman" w:cs="Times New Roman"/>
          <w:snapToGrid w:val="0"/>
        </w:rPr>
        <w:t xml:space="preserve">.1 million </w:t>
      </w:r>
      <w:r w:rsidR="00CC7B4F">
        <w:rPr>
          <w:rFonts w:ascii="Times New Roman" w:hAnsi="Times New Roman" w:cs="Times New Roman"/>
          <w:snapToGrid w:val="0"/>
        </w:rPr>
        <w:t xml:space="preserve">e4641 transactions </w:t>
      </w:r>
      <w:r w:rsidR="006C6692">
        <w:rPr>
          <w:rFonts w:ascii="Times New Roman" w:hAnsi="Times New Roman" w:cs="Times New Roman"/>
          <w:snapToGrid w:val="0"/>
        </w:rPr>
        <w:t>in FY11</w:t>
      </w:r>
      <w:r w:rsidR="009541C8">
        <w:rPr>
          <w:rFonts w:ascii="Times New Roman" w:hAnsi="Times New Roman" w:cs="Times New Roman"/>
          <w:snapToGrid w:val="0"/>
        </w:rPr>
        <w:t xml:space="preserve">.  </w:t>
      </w:r>
      <w:r w:rsidR="00CC7B4F">
        <w:rPr>
          <w:rFonts w:ascii="Times New Roman" w:hAnsi="Times New Roman" w:cs="Times New Roman"/>
          <w:snapToGrid w:val="0"/>
        </w:rPr>
        <w:t xml:space="preserve"> </w:t>
      </w:r>
    </w:p>
    <w:p w:rsidR="009541C8" w:rsidRPr="0075132E" w:rsidRDefault="009541C8" w:rsidP="0075132E">
      <w:pPr>
        <w:rPr>
          <w:rFonts w:ascii="Arial" w:hAnsi="Arial" w:cs="Arial"/>
          <w:sz w:val="16"/>
          <w:szCs w:val="16"/>
        </w:rPr>
      </w:pPr>
    </w:p>
    <w:p w:rsidR="00AD101B" w:rsidRPr="001F1FC9" w:rsidRDefault="00911142" w:rsidP="00AD101B">
      <w:pPr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W</w:t>
      </w:r>
      <w:r w:rsidR="005C0324">
        <w:rPr>
          <w:rFonts w:ascii="Times New Roman" w:hAnsi="Times New Roman" w:cs="Times New Roman"/>
          <w:snapToGrid w:val="0"/>
        </w:rPr>
        <w:t>e</w:t>
      </w:r>
      <w:r>
        <w:rPr>
          <w:rFonts w:ascii="Times New Roman" w:hAnsi="Times New Roman" w:cs="Times New Roman"/>
          <w:snapToGrid w:val="0"/>
        </w:rPr>
        <w:t xml:space="preserve"> now </w:t>
      </w:r>
      <w:r w:rsidR="005C0324">
        <w:rPr>
          <w:rFonts w:ascii="Times New Roman" w:hAnsi="Times New Roman" w:cs="Times New Roman"/>
          <w:snapToGrid w:val="0"/>
        </w:rPr>
        <w:t xml:space="preserve">estimate </w:t>
      </w:r>
      <w:r>
        <w:rPr>
          <w:rFonts w:ascii="Times New Roman" w:hAnsi="Times New Roman" w:cs="Times New Roman"/>
          <w:snapToGrid w:val="0"/>
        </w:rPr>
        <w:t xml:space="preserve">that </w:t>
      </w:r>
      <w:r w:rsidR="005C0324">
        <w:rPr>
          <w:rFonts w:ascii="Times New Roman" w:hAnsi="Times New Roman" w:cs="Times New Roman"/>
          <w:snapToGrid w:val="0"/>
        </w:rPr>
        <w:t>the number of e</w:t>
      </w:r>
      <w:r>
        <w:rPr>
          <w:rFonts w:ascii="Times New Roman" w:hAnsi="Times New Roman" w:cs="Times New Roman"/>
          <w:snapToGrid w:val="0"/>
        </w:rPr>
        <w:t>4641 transactions will</w:t>
      </w:r>
      <w:r w:rsidR="001F1FC9">
        <w:rPr>
          <w:rFonts w:ascii="Times New Roman" w:hAnsi="Times New Roman" w:cs="Times New Roman"/>
          <w:snapToGrid w:val="0"/>
        </w:rPr>
        <w:t xml:space="preserve"> </w:t>
      </w:r>
      <w:r w:rsidR="004F1E5C">
        <w:rPr>
          <w:rFonts w:ascii="Times New Roman" w:hAnsi="Times New Roman" w:cs="Times New Roman"/>
          <w:snapToGrid w:val="0"/>
        </w:rPr>
        <w:t>reach</w:t>
      </w:r>
      <w:r>
        <w:rPr>
          <w:rFonts w:ascii="Times New Roman" w:hAnsi="Times New Roman" w:cs="Times New Roman"/>
          <w:snapToGrid w:val="0"/>
        </w:rPr>
        <w:t xml:space="preserve"> approximately </w:t>
      </w:r>
      <w:r w:rsidR="001F1FC9">
        <w:rPr>
          <w:rFonts w:ascii="Times New Roman" w:hAnsi="Times New Roman" w:cs="Times New Roman"/>
          <w:snapToGrid w:val="0"/>
        </w:rPr>
        <w:t>5</w:t>
      </w:r>
      <w:r w:rsidR="005C0324">
        <w:rPr>
          <w:rFonts w:ascii="Times New Roman" w:hAnsi="Times New Roman" w:cs="Times New Roman"/>
          <w:snapToGrid w:val="0"/>
        </w:rPr>
        <w:t xml:space="preserve"> million </w:t>
      </w:r>
      <w:r w:rsidR="006C6692">
        <w:rPr>
          <w:rFonts w:ascii="Times New Roman" w:hAnsi="Times New Roman" w:cs="Times New Roman"/>
          <w:snapToGrid w:val="0"/>
        </w:rPr>
        <w:t xml:space="preserve">transactions </w:t>
      </w:r>
      <w:r w:rsidR="005C0324">
        <w:rPr>
          <w:rFonts w:ascii="Times New Roman" w:hAnsi="Times New Roman" w:cs="Times New Roman"/>
          <w:snapToGrid w:val="0"/>
        </w:rPr>
        <w:t>per year</w:t>
      </w:r>
      <w:r w:rsidR="001F1FC9">
        <w:rPr>
          <w:rFonts w:ascii="Times New Roman" w:hAnsi="Times New Roman" w:cs="Times New Roman"/>
          <w:snapToGrid w:val="0"/>
        </w:rPr>
        <w:t xml:space="preserve">. </w:t>
      </w:r>
      <w:r w:rsidR="00F85DF3">
        <w:rPr>
          <w:rFonts w:ascii="Times New Roman" w:hAnsi="Times New Roman" w:cs="Times New Roman"/>
          <w:snapToGrid w:val="0"/>
        </w:rPr>
        <w:t xml:space="preserve">Therefore, </w:t>
      </w:r>
      <w:r w:rsidR="00E425BF">
        <w:rPr>
          <w:rFonts w:ascii="Times New Roman" w:hAnsi="Times New Roman" w:cs="Times New Roman"/>
          <w:snapToGrid w:val="0"/>
        </w:rPr>
        <w:t xml:space="preserve">we are requesting </w:t>
      </w:r>
      <w:r w:rsidR="00773C3B">
        <w:rPr>
          <w:rFonts w:ascii="Times New Roman" w:hAnsi="Times New Roman" w:cs="Times New Roman"/>
          <w:snapToGrid w:val="0"/>
        </w:rPr>
        <w:t>to</w:t>
      </w:r>
      <w:r w:rsidR="00E425BF">
        <w:rPr>
          <w:rFonts w:ascii="Times New Roman" w:hAnsi="Times New Roman" w:cs="Times New Roman"/>
          <w:snapToGrid w:val="0"/>
        </w:rPr>
        <w:t xml:space="preserve"> increase </w:t>
      </w:r>
      <w:r w:rsidR="00F85DF3">
        <w:rPr>
          <w:rFonts w:ascii="Times New Roman" w:hAnsi="Times New Roman" w:cs="Times New Roman"/>
          <w:snapToGrid w:val="0"/>
        </w:rPr>
        <w:t xml:space="preserve">the public </w:t>
      </w:r>
      <w:r w:rsidR="00E425BF">
        <w:rPr>
          <w:rFonts w:ascii="Times New Roman" w:hAnsi="Times New Roman" w:cs="Times New Roman"/>
          <w:snapToGrid w:val="0"/>
        </w:rPr>
        <w:t xml:space="preserve">reporting </w:t>
      </w:r>
      <w:r w:rsidR="00F85DF3">
        <w:rPr>
          <w:rFonts w:ascii="Times New Roman" w:hAnsi="Times New Roman" w:cs="Times New Roman"/>
          <w:snapToGrid w:val="0"/>
        </w:rPr>
        <w:t>burden</w:t>
      </w:r>
      <w:r w:rsidR="004409CA">
        <w:rPr>
          <w:rFonts w:ascii="Times New Roman" w:hAnsi="Times New Roman" w:cs="Times New Roman"/>
          <w:snapToGrid w:val="0"/>
        </w:rPr>
        <w:t xml:space="preserve"> for fiscal years 2012 and 2013</w:t>
      </w:r>
      <w:r w:rsidR="00773C3B">
        <w:rPr>
          <w:rFonts w:ascii="Times New Roman" w:hAnsi="Times New Roman" w:cs="Times New Roman"/>
          <w:snapToGrid w:val="0"/>
        </w:rPr>
        <w:t>.</w:t>
      </w:r>
      <w:r w:rsidR="00E425BF">
        <w:rPr>
          <w:rFonts w:ascii="Times New Roman" w:hAnsi="Times New Roman" w:cs="Times New Roman"/>
          <w:snapToGrid w:val="0"/>
        </w:rPr>
        <w:t xml:space="preserve">  Meanwhile</w:t>
      </w:r>
      <w:r w:rsidR="005C0324">
        <w:rPr>
          <w:rFonts w:ascii="Times New Roman" w:hAnsi="Times New Roman" w:cs="Times New Roman"/>
          <w:snapToGrid w:val="0"/>
        </w:rPr>
        <w:t>,</w:t>
      </w:r>
      <w:r w:rsidR="00E425BF">
        <w:rPr>
          <w:rFonts w:ascii="Times New Roman" w:hAnsi="Times New Roman" w:cs="Times New Roman"/>
          <w:snapToGrid w:val="0"/>
        </w:rPr>
        <w:t xml:space="preserve"> we will closely monitor the number of responses</w:t>
      </w:r>
      <w:r w:rsidR="005C0324">
        <w:rPr>
          <w:rFonts w:ascii="Times New Roman" w:hAnsi="Times New Roman" w:cs="Times New Roman"/>
          <w:snapToGrid w:val="0"/>
        </w:rPr>
        <w:t>,</w:t>
      </w:r>
      <w:r w:rsidR="00E425BF">
        <w:rPr>
          <w:rFonts w:ascii="Times New Roman" w:hAnsi="Times New Roman" w:cs="Times New Roman"/>
          <w:snapToGrid w:val="0"/>
        </w:rPr>
        <w:t xml:space="preserve"> </w:t>
      </w:r>
      <w:r w:rsidR="005C0324">
        <w:rPr>
          <w:rFonts w:ascii="Times New Roman" w:hAnsi="Times New Roman" w:cs="Times New Roman"/>
          <w:snapToGrid w:val="0"/>
        </w:rPr>
        <w:t xml:space="preserve">and if we </w:t>
      </w:r>
      <w:r w:rsidR="00F7784B">
        <w:rPr>
          <w:rFonts w:ascii="Times New Roman" w:hAnsi="Times New Roman" w:cs="Times New Roman"/>
          <w:snapToGrid w:val="0"/>
        </w:rPr>
        <w:t xml:space="preserve">determine that the number of responses will exceed our current authority, </w:t>
      </w:r>
      <w:r w:rsidR="00F85DF3">
        <w:rPr>
          <w:rFonts w:ascii="Times New Roman" w:hAnsi="Times New Roman" w:cs="Times New Roman"/>
          <w:snapToGrid w:val="0"/>
        </w:rPr>
        <w:t xml:space="preserve">we will </w:t>
      </w:r>
      <w:r w:rsidR="00F16169">
        <w:rPr>
          <w:rFonts w:ascii="Times New Roman" w:hAnsi="Times New Roman" w:cs="Times New Roman"/>
          <w:snapToGrid w:val="0"/>
        </w:rPr>
        <w:t>ask for another</w:t>
      </w:r>
      <w:r w:rsidR="00527FB2">
        <w:rPr>
          <w:rFonts w:ascii="Times New Roman" w:hAnsi="Times New Roman" w:cs="Times New Roman"/>
          <w:snapToGrid w:val="0"/>
        </w:rPr>
        <w:t xml:space="preserve"> </w:t>
      </w:r>
      <w:r w:rsidR="00F85DF3">
        <w:rPr>
          <w:rFonts w:ascii="Times New Roman" w:hAnsi="Times New Roman" w:cs="Times New Roman"/>
          <w:snapToGrid w:val="0"/>
        </w:rPr>
        <w:t>update to the burden information</w:t>
      </w:r>
      <w:r w:rsidR="00AD101B" w:rsidRPr="00CB5647">
        <w:rPr>
          <w:rFonts w:ascii="Times New Roman" w:hAnsi="Times New Roman" w:cs="Times New Roman"/>
        </w:rPr>
        <w:t>.</w:t>
      </w:r>
    </w:p>
    <w:p w:rsidR="00E14DE2" w:rsidRDefault="00E14DE2" w:rsidP="00AD101B">
      <w:pPr>
        <w:rPr>
          <w:rFonts w:ascii="Times New Roman" w:hAnsi="Times New Roman" w:cs="Times New Roman"/>
        </w:rPr>
      </w:pPr>
    </w:p>
    <w:p w:rsidR="00E14DE2" w:rsidRPr="00CB5647" w:rsidRDefault="00E14DE2" w:rsidP="00E14DE2">
      <w:pPr>
        <w:tabs>
          <w:tab w:val="left" w:pos="1440"/>
        </w:tabs>
        <w:suppressAutoHyphens/>
        <w:snapToGrid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Estimates of Public Reporting Burden:</w:t>
      </w:r>
    </w:p>
    <w:p w:rsidR="00E14DE2" w:rsidRDefault="00E14DE2" w:rsidP="00E14DE2">
      <w:pPr>
        <w:tabs>
          <w:tab w:val="left" w:pos="1440"/>
          <w:tab w:val="left" w:pos="5130"/>
        </w:tabs>
        <w:suppressAutoHyphens/>
        <w:snapToGri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anticipate approximately </w:t>
      </w:r>
      <w:r w:rsidR="009541C8">
        <w:rPr>
          <w:rFonts w:ascii="Times New Roman" w:hAnsi="Times New Roman" w:cs="Times New Roman"/>
        </w:rPr>
        <w:t>5,000,000</w:t>
      </w:r>
      <w:r>
        <w:rPr>
          <w:rFonts w:ascii="Times New Roman" w:hAnsi="Times New Roman" w:cs="Times New Roman"/>
        </w:rPr>
        <w:t xml:space="preserve"> respondents to the form SSA</w:t>
      </w:r>
      <w:r>
        <w:rPr>
          <w:rFonts w:ascii="Times New Roman" w:hAnsi="Times New Roman" w:cs="Times New Roman"/>
        </w:rPr>
        <w:noBreakHyphen/>
        <w:t>4641</w:t>
      </w:r>
      <w:r>
        <w:rPr>
          <w:rFonts w:ascii="Times New Roman" w:hAnsi="Times New Roman" w:cs="Times New Roman"/>
        </w:rPr>
        <w:noBreakHyphen/>
        <w:t xml:space="preserve">U2 and the e4641 during FY12. </w:t>
      </w:r>
      <w:r w:rsidR="00F124B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We es</w:t>
      </w:r>
      <w:r w:rsidR="00F33E73">
        <w:rPr>
          <w:rFonts w:ascii="Times New Roman" w:hAnsi="Times New Roman" w:cs="Times New Roman"/>
        </w:rPr>
        <w:t>timate the total annual burden will be</w:t>
      </w:r>
      <w:r w:rsidR="00F124BB">
        <w:rPr>
          <w:rFonts w:ascii="Times New Roman" w:hAnsi="Times New Roman" w:cs="Times New Roman"/>
        </w:rPr>
        <w:t xml:space="preserve"> 160,49</w:t>
      </w:r>
      <w:r w:rsidR="009541C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hours.</w:t>
      </w:r>
    </w:p>
    <w:p w:rsidR="00EB2349" w:rsidRDefault="00EB2349" w:rsidP="00E14DE2">
      <w:pPr>
        <w:tabs>
          <w:tab w:val="left" w:pos="1440"/>
          <w:tab w:val="left" w:pos="5130"/>
        </w:tabs>
        <w:suppressAutoHyphens/>
        <w:snapToGrid/>
        <w:rPr>
          <w:rFonts w:ascii="Times New Roman" w:hAnsi="Times New Roman" w:cs="Times New Roman"/>
        </w:rPr>
      </w:pPr>
    </w:p>
    <w:tbl>
      <w:tblPr>
        <w:tblW w:w="8370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2070"/>
        <w:gridCol w:w="1620"/>
        <w:gridCol w:w="1440"/>
        <w:gridCol w:w="1530"/>
        <w:gridCol w:w="1710"/>
      </w:tblGrid>
      <w:tr w:rsidR="00EB2349" w:rsidRPr="00AD101B" w:rsidTr="00F124BB">
        <w:trPr>
          <w:trHeight w:val="225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2349" w:rsidRPr="00EB2349" w:rsidRDefault="00EB2349" w:rsidP="00EB2349">
            <w:pPr>
              <w:widowControl/>
              <w:snapToGri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Collection Method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2349" w:rsidRPr="00EB2349" w:rsidRDefault="00EB2349" w:rsidP="00EB2349">
            <w:pPr>
              <w:widowControl/>
              <w:snapToGrid/>
              <w:rPr>
                <w:rFonts w:ascii="Times New Roman" w:hAnsi="Times New Roman" w:cs="Times New Roman"/>
                <w:b/>
              </w:rPr>
            </w:pPr>
            <w:r w:rsidRPr="00EB2349">
              <w:rPr>
                <w:rFonts w:ascii="Times New Roman" w:hAnsi="Times New Roman" w:cs="Times New Roman"/>
                <w:b/>
              </w:rPr>
              <w:t>Number of Respondents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2349" w:rsidRPr="00EB2349" w:rsidRDefault="00EB2349" w:rsidP="00EB2349">
            <w:pPr>
              <w:widowControl/>
              <w:snapToGrid/>
              <w:rPr>
                <w:rFonts w:ascii="Times New Roman" w:hAnsi="Times New Roman" w:cs="Times New Roman"/>
                <w:b/>
              </w:rPr>
            </w:pPr>
            <w:r w:rsidRPr="00EB2349">
              <w:rPr>
                <w:rFonts w:ascii="Times New Roman" w:hAnsi="Times New Roman" w:cs="Times New Roman"/>
                <w:b/>
              </w:rPr>
              <w:t>Frequency of Response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B2349" w:rsidRPr="00EB2349" w:rsidRDefault="00EB2349" w:rsidP="00EB2349">
            <w:pPr>
              <w:widowControl/>
              <w:snapToGrid/>
              <w:rPr>
                <w:rFonts w:ascii="Times New Roman" w:hAnsi="Times New Roman" w:cs="Times New Roman"/>
                <w:b/>
              </w:rPr>
            </w:pPr>
            <w:r w:rsidRPr="00EB2349">
              <w:rPr>
                <w:rFonts w:ascii="Times New Roman" w:hAnsi="Times New Roman" w:cs="Times New Roman"/>
                <w:b/>
              </w:rPr>
              <w:t>Average Burden Per Response (minutes)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B2349" w:rsidRPr="00EB2349" w:rsidRDefault="00EB2349" w:rsidP="00EB2349">
            <w:pPr>
              <w:widowControl/>
              <w:snapToGri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Estimated </w:t>
            </w:r>
            <w:r w:rsidRPr="00EB2349">
              <w:rPr>
                <w:rFonts w:ascii="Times New Roman" w:hAnsi="Times New Roman" w:cs="Times New Roman"/>
                <w:b/>
              </w:rPr>
              <w:t>Total Annual Burden (hours)</w:t>
            </w:r>
          </w:p>
        </w:tc>
      </w:tr>
      <w:tr w:rsidR="00EB2349" w:rsidRPr="00AD101B" w:rsidTr="00F124BB">
        <w:trPr>
          <w:trHeight w:val="225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2349" w:rsidRPr="00EB2349" w:rsidRDefault="00EB2349" w:rsidP="00AD101B">
            <w:pPr>
              <w:widowControl/>
              <w:snapToGri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SSA-4641 (paper)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2349" w:rsidRPr="00EB2349" w:rsidRDefault="00EB2349" w:rsidP="00F124BB">
            <w:pPr>
              <w:widowControl/>
              <w:snapToGrid/>
              <w:jc w:val="right"/>
              <w:rPr>
                <w:rFonts w:ascii="Times New Roman" w:hAnsi="Times New Roman" w:cs="Times New Roman"/>
              </w:rPr>
            </w:pPr>
            <w:r w:rsidRPr="00EB2349">
              <w:rPr>
                <w:rFonts w:ascii="Times New Roman" w:hAnsi="Times New Roman" w:cs="Times New Roman"/>
              </w:rPr>
              <w:t xml:space="preserve">31,576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2349" w:rsidRPr="00EB2349" w:rsidRDefault="00EB2349" w:rsidP="00F124BB">
            <w:pPr>
              <w:widowControl/>
              <w:snapToGrid/>
              <w:jc w:val="right"/>
              <w:rPr>
                <w:rFonts w:ascii="Times New Roman" w:hAnsi="Times New Roman" w:cs="Times New Roman"/>
              </w:rPr>
            </w:pPr>
            <w:r w:rsidRPr="00EB23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B2349" w:rsidRPr="00EB2349" w:rsidRDefault="00EB2349" w:rsidP="00F124BB">
            <w:pPr>
              <w:widowControl/>
              <w:snapToGrid/>
              <w:jc w:val="right"/>
              <w:rPr>
                <w:rFonts w:ascii="Times New Roman" w:hAnsi="Times New Roman" w:cs="Times New Roman"/>
              </w:rPr>
            </w:pPr>
            <w:r w:rsidRPr="00EB23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B2349" w:rsidRPr="00EB2349" w:rsidRDefault="00EB2349" w:rsidP="00F124BB">
            <w:pPr>
              <w:widowControl/>
              <w:snapToGrid/>
              <w:jc w:val="right"/>
              <w:rPr>
                <w:rFonts w:ascii="Times New Roman" w:hAnsi="Times New Roman" w:cs="Times New Roman"/>
              </w:rPr>
            </w:pPr>
            <w:r w:rsidRPr="00EB2349">
              <w:rPr>
                <w:rFonts w:ascii="Times New Roman" w:hAnsi="Times New Roman" w:cs="Times New Roman"/>
              </w:rPr>
              <w:t xml:space="preserve">3,158 </w:t>
            </w:r>
          </w:p>
        </w:tc>
      </w:tr>
      <w:tr w:rsidR="00EB2349" w:rsidRPr="00AD101B" w:rsidTr="00F124BB">
        <w:trPr>
          <w:trHeight w:val="225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2349" w:rsidRPr="00EB2349" w:rsidRDefault="00EB2349" w:rsidP="00EB2349">
            <w:pPr>
              <w:widowControl/>
              <w:snapToGrid/>
              <w:rPr>
                <w:rFonts w:ascii="Times New Roman" w:hAnsi="Times New Roman" w:cs="Times New Roman"/>
              </w:rPr>
            </w:pPr>
            <w:r w:rsidRPr="00EB2349">
              <w:rPr>
                <w:rFonts w:ascii="Times New Roman" w:hAnsi="Times New Roman" w:cs="Times New Roman"/>
              </w:rPr>
              <w:t>e4641</w:t>
            </w:r>
            <w:r>
              <w:rPr>
                <w:rFonts w:ascii="Times New Roman" w:hAnsi="Times New Roman" w:cs="Times New Roman"/>
              </w:rPr>
              <w:t xml:space="preserve"> (electronic)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2349" w:rsidRPr="00EB2349" w:rsidRDefault="00EB2349" w:rsidP="00F124BB">
            <w:pPr>
              <w:widowControl/>
              <w:snapToGrid/>
              <w:jc w:val="right"/>
              <w:rPr>
                <w:rFonts w:ascii="Times New Roman" w:hAnsi="Times New Roman" w:cs="Times New Roman"/>
              </w:rPr>
            </w:pPr>
            <w:r w:rsidRPr="00EB2349">
              <w:rPr>
                <w:rFonts w:ascii="Times New Roman" w:hAnsi="Times New Roman" w:cs="Times New Roman"/>
              </w:rPr>
              <w:t xml:space="preserve">4,968,424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2349" w:rsidRPr="00EB2349" w:rsidRDefault="00EB2349" w:rsidP="00F124BB">
            <w:pPr>
              <w:widowControl/>
              <w:snapToGrid/>
              <w:jc w:val="right"/>
              <w:rPr>
                <w:rFonts w:ascii="Times New Roman" w:hAnsi="Times New Roman" w:cs="Times New Roman"/>
              </w:rPr>
            </w:pPr>
            <w:r w:rsidRPr="00EB23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B2349" w:rsidRPr="00EB2349" w:rsidRDefault="00EB2349" w:rsidP="00F124BB">
            <w:pPr>
              <w:widowControl/>
              <w:snapToGrid/>
              <w:jc w:val="right"/>
              <w:rPr>
                <w:rFonts w:ascii="Times New Roman" w:hAnsi="Times New Roman" w:cs="Times New Roman"/>
              </w:rPr>
            </w:pPr>
            <w:r w:rsidRPr="00EB2349">
              <w:rPr>
                <w:rFonts w:ascii="Times New Roman" w:hAnsi="Times New Roman" w:cs="Times New Roman"/>
              </w:rPr>
              <w:t>1.9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B2349" w:rsidRPr="00EB2349" w:rsidRDefault="00EB2349" w:rsidP="00F124BB">
            <w:pPr>
              <w:widowControl/>
              <w:snapToGrid/>
              <w:jc w:val="right"/>
              <w:rPr>
                <w:rFonts w:ascii="Times New Roman" w:hAnsi="Times New Roman" w:cs="Times New Roman"/>
              </w:rPr>
            </w:pPr>
            <w:r w:rsidRPr="00EB2349">
              <w:rPr>
                <w:rFonts w:ascii="Times New Roman" w:hAnsi="Times New Roman" w:cs="Times New Roman"/>
              </w:rPr>
              <w:t>157,333</w:t>
            </w:r>
          </w:p>
        </w:tc>
      </w:tr>
      <w:tr w:rsidR="00EB2349" w:rsidRPr="00AD101B" w:rsidTr="00F124BB">
        <w:trPr>
          <w:trHeight w:val="240"/>
        </w:trPr>
        <w:tc>
          <w:tcPr>
            <w:tcW w:w="20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B2349" w:rsidRPr="00EB2349" w:rsidRDefault="00EB2349" w:rsidP="00EB2349">
            <w:pPr>
              <w:widowControl/>
              <w:snapToGrid/>
              <w:rPr>
                <w:rFonts w:ascii="Times New Roman" w:hAnsi="Times New Roman" w:cs="Times New Roman"/>
                <w:b/>
              </w:rPr>
            </w:pPr>
            <w:r w:rsidRPr="00EB2349">
              <w:rPr>
                <w:rFonts w:ascii="Times New Roman" w:hAnsi="Times New Roman" w:cs="Times New Roman"/>
                <w:b/>
              </w:rPr>
              <w:t>Total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2349" w:rsidRPr="00EB2349" w:rsidRDefault="00EB2349" w:rsidP="00F124BB">
            <w:pPr>
              <w:widowControl/>
              <w:snapToGrid/>
              <w:jc w:val="right"/>
              <w:rPr>
                <w:rFonts w:ascii="Times New Roman" w:hAnsi="Times New Roman" w:cs="Times New Roman"/>
                <w:b/>
              </w:rPr>
            </w:pPr>
            <w:r w:rsidRPr="00EB2349">
              <w:rPr>
                <w:rFonts w:ascii="Times New Roman" w:hAnsi="Times New Roman" w:cs="Times New Roman"/>
                <w:b/>
              </w:rPr>
              <w:t xml:space="preserve">5,000,000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B2349" w:rsidRPr="00EB2349" w:rsidRDefault="00EB2349" w:rsidP="00F124BB">
            <w:pPr>
              <w:widowControl/>
              <w:snapToGrid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EB2349" w:rsidRPr="00EB2349" w:rsidRDefault="00EB2349" w:rsidP="00F124BB">
            <w:pPr>
              <w:widowControl/>
              <w:snapToGrid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B2349" w:rsidRPr="00EB2349" w:rsidRDefault="00EB2349" w:rsidP="00F124BB">
            <w:pPr>
              <w:widowControl/>
              <w:snapToGrid/>
              <w:jc w:val="right"/>
              <w:rPr>
                <w:rFonts w:ascii="Times New Roman" w:hAnsi="Times New Roman" w:cs="Times New Roman"/>
                <w:b/>
              </w:rPr>
            </w:pPr>
            <w:r w:rsidRPr="00EB2349">
              <w:rPr>
                <w:rFonts w:ascii="Times New Roman" w:hAnsi="Times New Roman" w:cs="Times New Roman"/>
                <w:b/>
              </w:rPr>
              <w:t>160,491</w:t>
            </w:r>
          </w:p>
        </w:tc>
      </w:tr>
    </w:tbl>
    <w:p w:rsidR="00AD101B" w:rsidRDefault="00AD101B" w:rsidP="00B94C81">
      <w:pPr>
        <w:tabs>
          <w:tab w:val="left" w:pos="2880"/>
        </w:tabs>
        <w:rPr>
          <w:rFonts w:ascii="Times New Roman" w:hAnsi="Times New Roman" w:cs="Times New Roman"/>
        </w:rPr>
      </w:pPr>
    </w:p>
    <w:sectPr w:rsidR="00AD101B" w:rsidSect="00B61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DB62EDB"/>
    <w:multiLevelType w:val="hybridMultilevel"/>
    <w:tmpl w:val="93D604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17328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50491"/>
    <w:rsid w:val="00050608"/>
    <w:rsid w:val="00052363"/>
    <w:rsid w:val="000554F4"/>
    <w:rsid w:val="000570EB"/>
    <w:rsid w:val="00060518"/>
    <w:rsid w:val="00060882"/>
    <w:rsid w:val="00062F1D"/>
    <w:rsid w:val="00063EC6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4476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1B7A"/>
    <w:rsid w:val="00132EDF"/>
    <w:rsid w:val="0013493F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B07"/>
    <w:rsid w:val="00160D7C"/>
    <w:rsid w:val="001630D7"/>
    <w:rsid w:val="00163D17"/>
    <w:rsid w:val="00163D2D"/>
    <w:rsid w:val="001678D3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58D9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CA6"/>
    <w:rsid w:val="001C536A"/>
    <w:rsid w:val="001C5567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1FC9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5DC5"/>
    <w:rsid w:val="00267C8A"/>
    <w:rsid w:val="00273EF0"/>
    <w:rsid w:val="00277558"/>
    <w:rsid w:val="00281449"/>
    <w:rsid w:val="00281502"/>
    <w:rsid w:val="00284A5F"/>
    <w:rsid w:val="00284DB4"/>
    <w:rsid w:val="0028678A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2043"/>
    <w:rsid w:val="002E2AF5"/>
    <w:rsid w:val="002E676D"/>
    <w:rsid w:val="002E6D36"/>
    <w:rsid w:val="002F5CE6"/>
    <w:rsid w:val="00300366"/>
    <w:rsid w:val="00300EA9"/>
    <w:rsid w:val="00303EA6"/>
    <w:rsid w:val="00304CD3"/>
    <w:rsid w:val="003061C7"/>
    <w:rsid w:val="003115D5"/>
    <w:rsid w:val="003135EE"/>
    <w:rsid w:val="003163FD"/>
    <w:rsid w:val="00317EB7"/>
    <w:rsid w:val="00320347"/>
    <w:rsid w:val="0032243F"/>
    <w:rsid w:val="00324E4F"/>
    <w:rsid w:val="00324F66"/>
    <w:rsid w:val="00325DC6"/>
    <w:rsid w:val="003276B7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57CE5"/>
    <w:rsid w:val="003622A2"/>
    <w:rsid w:val="00364B34"/>
    <w:rsid w:val="00365395"/>
    <w:rsid w:val="00370F0C"/>
    <w:rsid w:val="0037379A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C3BFE"/>
    <w:rsid w:val="003C4D0B"/>
    <w:rsid w:val="003C4F5E"/>
    <w:rsid w:val="003C5E4B"/>
    <w:rsid w:val="003C6050"/>
    <w:rsid w:val="003D6EF1"/>
    <w:rsid w:val="003D72B1"/>
    <w:rsid w:val="003E0BD3"/>
    <w:rsid w:val="003E2ABF"/>
    <w:rsid w:val="003E466D"/>
    <w:rsid w:val="003E553B"/>
    <w:rsid w:val="003E7036"/>
    <w:rsid w:val="003F0208"/>
    <w:rsid w:val="003F04CD"/>
    <w:rsid w:val="003F1CB9"/>
    <w:rsid w:val="003F4380"/>
    <w:rsid w:val="003F5082"/>
    <w:rsid w:val="003F5EC0"/>
    <w:rsid w:val="003F6DE1"/>
    <w:rsid w:val="003F79F3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09CA"/>
    <w:rsid w:val="00441630"/>
    <w:rsid w:val="00441B8F"/>
    <w:rsid w:val="00441BC2"/>
    <w:rsid w:val="0044264E"/>
    <w:rsid w:val="00447287"/>
    <w:rsid w:val="00447A20"/>
    <w:rsid w:val="00451FD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7F3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A7D7C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1E5C"/>
    <w:rsid w:val="004F2FB2"/>
    <w:rsid w:val="004F38BB"/>
    <w:rsid w:val="004F4FB9"/>
    <w:rsid w:val="004F52A1"/>
    <w:rsid w:val="004F5B5F"/>
    <w:rsid w:val="005024DB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9C"/>
    <w:rsid w:val="005267D9"/>
    <w:rsid w:val="00527FB2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0324"/>
    <w:rsid w:val="005C19C1"/>
    <w:rsid w:val="005C22A3"/>
    <w:rsid w:val="005C22B3"/>
    <w:rsid w:val="005C4299"/>
    <w:rsid w:val="005C4386"/>
    <w:rsid w:val="005C4BF8"/>
    <w:rsid w:val="005C5ED5"/>
    <w:rsid w:val="005C7E9F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5F5C"/>
    <w:rsid w:val="006378E8"/>
    <w:rsid w:val="006405D2"/>
    <w:rsid w:val="006407FF"/>
    <w:rsid w:val="00641BB8"/>
    <w:rsid w:val="00641E92"/>
    <w:rsid w:val="006422C5"/>
    <w:rsid w:val="0064262E"/>
    <w:rsid w:val="00644A2A"/>
    <w:rsid w:val="0064525F"/>
    <w:rsid w:val="00650C53"/>
    <w:rsid w:val="006518E1"/>
    <w:rsid w:val="00651C97"/>
    <w:rsid w:val="00654030"/>
    <w:rsid w:val="00656712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05CC"/>
    <w:rsid w:val="00683AE0"/>
    <w:rsid w:val="006865DF"/>
    <w:rsid w:val="00686A71"/>
    <w:rsid w:val="00686AC5"/>
    <w:rsid w:val="00690691"/>
    <w:rsid w:val="0069099B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0797"/>
    <w:rsid w:val="006B18F7"/>
    <w:rsid w:val="006B34BF"/>
    <w:rsid w:val="006B4D35"/>
    <w:rsid w:val="006B5244"/>
    <w:rsid w:val="006B5613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692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14A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4A3A"/>
    <w:rsid w:val="00746647"/>
    <w:rsid w:val="0075132E"/>
    <w:rsid w:val="00751BEA"/>
    <w:rsid w:val="00753BA5"/>
    <w:rsid w:val="0075748A"/>
    <w:rsid w:val="00763277"/>
    <w:rsid w:val="007674A8"/>
    <w:rsid w:val="007676CE"/>
    <w:rsid w:val="007712AD"/>
    <w:rsid w:val="00771360"/>
    <w:rsid w:val="00771E65"/>
    <w:rsid w:val="007731CB"/>
    <w:rsid w:val="00773C3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6043"/>
    <w:rsid w:val="0081729A"/>
    <w:rsid w:val="00817762"/>
    <w:rsid w:val="00817DD5"/>
    <w:rsid w:val="0082121A"/>
    <w:rsid w:val="008234FC"/>
    <w:rsid w:val="00824A29"/>
    <w:rsid w:val="008273A1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5062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159"/>
    <w:rsid w:val="008838BE"/>
    <w:rsid w:val="00887C88"/>
    <w:rsid w:val="008912EE"/>
    <w:rsid w:val="0089474B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2973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8F7E52"/>
    <w:rsid w:val="009004A8"/>
    <w:rsid w:val="0090086F"/>
    <w:rsid w:val="00900CA8"/>
    <w:rsid w:val="00900EFA"/>
    <w:rsid w:val="00902199"/>
    <w:rsid w:val="00902B1F"/>
    <w:rsid w:val="009035B5"/>
    <w:rsid w:val="00910DD0"/>
    <w:rsid w:val="00911142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1C8"/>
    <w:rsid w:val="009545B6"/>
    <w:rsid w:val="00954B07"/>
    <w:rsid w:val="009606C1"/>
    <w:rsid w:val="00962099"/>
    <w:rsid w:val="00963CA2"/>
    <w:rsid w:val="009711C4"/>
    <w:rsid w:val="00973205"/>
    <w:rsid w:val="009749F5"/>
    <w:rsid w:val="00975F9E"/>
    <w:rsid w:val="0098037B"/>
    <w:rsid w:val="0098490C"/>
    <w:rsid w:val="00985243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7924"/>
    <w:rsid w:val="009F020E"/>
    <w:rsid w:val="009F0852"/>
    <w:rsid w:val="009F2050"/>
    <w:rsid w:val="009F48B7"/>
    <w:rsid w:val="009F60E4"/>
    <w:rsid w:val="009F678C"/>
    <w:rsid w:val="009F7F54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3C2A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67FA2"/>
    <w:rsid w:val="00A7206B"/>
    <w:rsid w:val="00A72AEF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B4D33"/>
    <w:rsid w:val="00AC01DE"/>
    <w:rsid w:val="00AC2EEB"/>
    <w:rsid w:val="00AD101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17EA8"/>
    <w:rsid w:val="00B200C6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465D"/>
    <w:rsid w:val="00B56E7B"/>
    <w:rsid w:val="00B6087F"/>
    <w:rsid w:val="00B61A87"/>
    <w:rsid w:val="00B6383B"/>
    <w:rsid w:val="00B67763"/>
    <w:rsid w:val="00B6794B"/>
    <w:rsid w:val="00B76768"/>
    <w:rsid w:val="00B77AA8"/>
    <w:rsid w:val="00B836E0"/>
    <w:rsid w:val="00B83A4E"/>
    <w:rsid w:val="00B846D2"/>
    <w:rsid w:val="00B877E3"/>
    <w:rsid w:val="00B91B55"/>
    <w:rsid w:val="00B91FB7"/>
    <w:rsid w:val="00B94959"/>
    <w:rsid w:val="00B94C81"/>
    <w:rsid w:val="00B953EB"/>
    <w:rsid w:val="00B95D98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2BB4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25E5"/>
    <w:rsid w:val="00C231B1"/>
    <w:rsid w:val="00C27AFE"/>
    <w:rsid w:val="00C3006C"/>
    <w:rsid w:val="00C30296"/>
    <w:rsid w:val="00C3360D"/>
    <w:rsid w:val="00C35526"/>
    <w:rsid w:val="00C36531"/>
    <w:rsid w:val="00C402E0"/>
    <w:rsid w:val="00C441C0"/>
    <w:rsid w:val="00C44E2F"/>
    <w:rsid w:val="00C45DA8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1B5A"/>
    <w:rsid w:val="00C828B5"/>
    <w:rsid w:val="00C85AB3"/>
    <w:rsid w:val="00C876D7"/>
    <w:rsid w:val="00C87901"/>
    <w:rsid w:val="00C87E00"/>
    <w:rsid w:val="00C910E3"/>
    <w:rsid w:val="00C918C5"/>
    <w:rsid w:val="00C92338"/>
    <w:rsid w:val="00C96C7F"/>
    <w:rsid w:val="00CA1705"/>
    <w:rsid w:val="00CA5467"/>
    <w:rsid w:val="00CB0121"/>
    <w:rsid w:val="00CB0D60"/>
    <w:rsid w:val="00CB0F9E"/>
    <w:rsid w:val="00CB1B9D"/>
    <w:rsid w:val="00CB1F3D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C7B4F"/>
    <w:rsid w:val="00CD03F7"/>
    <w:rsid w:val="00CD1D8D"/>
    <w:rsid w:val="00CE07FB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265"/>
    <w:rsid w:val="00D43314"/>
    <w:rsid w:val="00D51CAF"/>
    <w:rsid w:val="00D539AC"/>
    <w:rsid w:val="00D54557"/>
    <w:rsid w:val="00D55F40"/>
    <w:rsid w:val="00D64CF8"/>
    <w:rsid w:val="00D70F3C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6BD1"/>
    <w:rsid w:val="00DD7945"/>
    <w:rsid w:val="00DE2695"/>
    <w:rsid w:val="00DE7712"/>
    <w:rsid w:val="00DF21AB"/>
    <w:rsid w:val="00DF4321"/>
    <w:rsid w:val="00E01241"/>
    <w:rsid w:val="00E03CC3"/>
    <w:rsid w:val="00E10A54"/>
    <w:rsid w:val="00E115E9"/>
    <w:rsid w:val="00E14DE2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25BF"/>
    <w:rsid w:val="00E476E7"/>
    <w:rsid w:val="00E478D5"/>
    <w:rsid w:val="00E531D5"/>
    <w:rsid w:val="00E538CC"/>
    <w:rsid w:val="00E574E7"/>
    <w:rsid w:val="00E60ACC"/>
    <w:rsid w:val="00E67F5D"/>
    <w:rsid w:val="00E72262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91A30"/>
    <w:rsid w:val="00EA13AE"/>
    <w:rsid w:val="00EA259F"/>
    <w:rsid w:val="00EA36EE"/>
    <w:rsid w:val="00EA6B29"/>
    <w:rsid w:val="00EB0A2E"/>
    <w:rsid w:val="00EB122D"/>
    <w:rsid w:val="00EB1C70"/>
    <w:rsid w:val="00EB2349"/>
    <w:rsid w:val="00EB321A"/>
    <w:rsid w:val="00EB34AA"/>
    <w:rsid w:val="00EC6A7D"/>
    <w:rsid w:val="00EC6CAF"/>
    <w:rsid w:val="00ED1BF5"/>
    <w:rsid w:val="00ED3F8C"/>
    <w:rsid w:val="00ED5D9F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24BB"/>
    <w:rsid w:val="00F145D5"/>
    <w:rsid w:val="00F149DB"/>
    <w:rsid w:val="00F15072"/>
    <w:rsid w:val="00F154D3"/>
    <w:rsid w:val="00F16169"/>
    <w:rsid w:val="00F16376"/>
    <w:rsid w:val="00F16C48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3E73"/>
    <w:rsid w:val="00F348A1"/>
    <w:rsid w:val="00F36085"/>
    <w:rsid w:val="00F36104"/>
    <w:rsid w:val="00F36887"/>
    <w:rsid w:val="00F37794"/>
    <w:rsid w:val="00F421C3"/>
    <w:rsid w:val="00F430E6"/>
    <w:rsid w:val="00F43CBC"/>
    <w:rsid w:val="00F462CE"/>
    <w:rsid w:val="00F47470"/>
    <w:rsid w:val="00F47AA7"/>
    <w:rsid w:val="00F530A3"/>
    <w:rsid w:val="00F53241"/>
    <w:rsid w:val="00F53427"/>
    <w:rsid w:val="00F53444"/>
    <w:rsid w:val="00F5391F"/>
    <w:rsid w:val="00F53DD1"/>
    <w:rsid w:val="00F5489E"/>
    <w:rsid w:val="00F548F1"/>
    <w:rsid w:val="00F562B4"/>
    <w:rsid w:val="00F566FF"/>
    <w:rsid w:val="00F56FEE"/>
    <w:rsid w:val="00F60BA4"/>
    <w:rsid w:val="00F63477"/>
    <w:rsid w:val="00F64CBA"/>
    <w:rsid w:val="00F67606"/>
    <w:rsid w:val="00F72452"/>
    <w:rsid w:val="00F7548E"/>
    <w:rsid w:val="00F7784B"/>
    <w:rsid w:val="00F82CC0"/>
    <w:rsid w:val="00F84745"/>
    <w:rsid w:val="00F85933"/>
    <w:rsid w:val="00F85DF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200B"/>
    <w:rsid w:val="00FC221A"/>
    <w:rsid w:val="00FC2B02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0A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36EE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3EDF"/>
    <w:pPr>
      <w:keepNext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0A5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A36EE"/>
    <w:rPr>
      <w:rFonts w:ascii="Calibri" w:hAnsi="Calibri" w:cs="Calibri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72262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rsid w:val="00EA36EE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A36EE"/>
    <w:pPr>
      <w:widowControl/>
      <w:snapToGrid/>
      <w:spacing w:before="48" w:after="48"/>
    </w:pPr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 w:cs="Courie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30A53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36EE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3EDF"/>
    <w:pPr>
      <w:keepNext/>
      <w:outlineLvl w:val="6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30A53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EA36EE"/>
    <w:rPr>
      <w:rFonts w:ascii="Calibri" w:hAnsi="Calibri" w:cs="Calibri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72262"/>
    <w:rPr>
      <w:rFonts w:ascii="Calibri" w:hAnsi="Calibri" w:cs="Calibri"/>
      <w:sz w:val="24"/>
      <w:szCs w:val="24"/>
    </w:rPr>
  </w:style>
  <w:style w:type="character" w:styleId="Hyperlink">
    <w:name w:val="Hyperlink"/>
    <w:basedOn w:val="DefaultParagraphFont"/>
    <w:uiPriority w:val="99"/>
    <w:rsid w:val="00EA36EE"/>
    <w:rPr>
      <w:rFonts w:ascii="Times New Roman" w:hAnsi="Times New Roman"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EA36EE"/>
    <w:pPr>
      <w:widowControl/>
      <w:snapToGrid/>
      <w:spacing w:before="48" w:after="48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202852">
              <w:marLeft w:val="129"/>
              <w:marRight w:val="10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0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202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creator>Naomi</dc:creator>
  <cp:lastModifiedBy>Naomi</cp:lastModifiedBy>
  <cp:revision>2</cp:revision>
  <cp:lastPrinted>2011-12-12T19:29:00Z</cp:lastPrinted>
  <dcterms:created xsi:type="dcterms:W3CDTF">2011-12-30T18:16:00Z</dcterms:created>
  <dcterms:modified xsi:type="dcterms:W3CDTF">2011-12-30T18:16:00Z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996958249</vt:i4>
  </property>
  <property fmtid="{D5CDD505-2E9C-101B-9397-08002B2CF9AE}" pid="4" name="_EmailSubject">
    <vt:lpwstr>Change request for the SSA-4641 (AFI)</vt:lpwstr>
  </property>
  <property fmtid="{D5CDD505-2E9C-101B-9397-08002B2CF9AE}" pid="5" name="_AuthorEmail">
    <vt:lpwstr>Eric.Skidmore@ssa.gov</vt:lpwstr>
  </property>
  <property fmtid="{D5CDD505-2E9C-101B-9397-08002B2CF9AE}" pid="6" name="_AuthorEmailDisplayName">
    <vt:lpwstr>Skidmore, Eric</vt:lpwstr>
  </property>
  <property fmtid="{D5CDD505-2E9C-101B-9397-08002B2CF9AE}" pid="7" name="_ReviewingToolsShownOnce">
    <vt:lpwstr/>
  </property>
</Properties>
</file>