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82" w:rsidRDefault="00843682" w:rsidP="003D6796">
      <w:pPr>
        <w:jc w:val="center"/>
        <w:rPr>
          <w:b/>
          <w:bCs/>
        </w:rPr>
      </w:pPr>
      <w:r>
        <w:rPr>
          <w:b/>
          <w:bCs/>
        </w:rPr>
        <w:t>SUPPORTING STATEMENT</w:t>
      </w:r>
    </w:p>
    <w:p w:rsidR="00843682" w:rsidRDefault="00843682" w:rsidP="003D6796">
      <w:pPr>
        <w:jc w:val="center"/>
        <w:rPr>
          <w:b/>
          <w:bCs/>
        </w:rPr>
      </w:pPr>
    </w:p>
    <w:p w:rsidR="00843682" w:rsidRDefault="00843682" w:rsidP="003D6796">
      <w:pPr>
        <w:jc w:val="center"/>
      </w:pPr>
      <w:r w:rsidRPr="00FE66E8">
        <w:rPr>
          <w:b/>
        </w:rPr>
        <w:t xml:space="preserve">Migrant and Seasonal Farmworker (MSFW) Monitoring Report and </w:t>
      </w:r>
      <w:smartTag w:uri="urn:schemas-microsoft-com:office:smarttags" w:element="place">
        <w:smartTag w:uri="urn:schemas-microsoft-com:office:smarttags" w:element="PlaceName">
          <w:r w:rsidRPr="00FE66E8">
            <w:rPr>
              <w:b/>
            </w:rPr>
            <w:t>One-Stop</w:t>
          </w:r>
        </w:smartTag>
        <w:r w:rsidRPr="00FE66E8">
          <w:rPr>
            <w:b/>
          </w:rPr>
          <w:t xml:space="preserve"> </w:t>
        </w:r>
        <w:smartTag w:uri="urn:schemas-microsoft-com:office:smarttags" w:element="PlaceName">
          <w:r w:rsidRPr="00FE66E8">
            <w:rPr>
              <w:b/>
            </w:rPr>
            <w:t>Career</w:t>
          </w:r>
        </w:smartTag>
        <w:r w:rsidRPr="00FE66E8">
          <w:rPr>
            <w:b/>
          </w:rPr>
          <w:t xml:space="preserve"> </w:t>
        </w:r>
        <w:smartTag w:uri="urn:schemas-microsoft-com:office:smarttags" w:element="PlaceType">
          <w:r w:rsidRPr="00FE66E8">
            <w:rPr>
              <w:b/>
            </w:rPr>
            <w:t>Center</w:t>
          </w:r>
        </w:smartTag>
      </w:smartTag>
      <w:r w:rsidRPr="00FE66E8">
        <w:rPr>
          <w:b/>
        </w:rPr>
        <w:t xml:space="preserve"> Complaint/Referral Record</w:t>
      </w:r>
      <w:r>
        <w:rPr>
          <w:b/>
        </w:rPr>
        <w:t xml:space="preserve">: </w:t>
      </w:r>
      <w:r>
        <w:rPr>
          <w:b/>
          <w:bCs/>
        </w:rPr>
        <w:t>OMB CONTROL NO. 1205-0039</w:t>
      </w:r>
    </w:p>
    <w:p w:rsidR="00843682" w:rsidRDefault="00843682" w:rsidP="003D6796">
      <w:pPr>
        <w:rPr>
          <w:b/>
        </w:rPr>
      </w:pPr>
    </w:p>
    <w:p w:rsidR="00843682" w:rsidRDefault="00843682">
      <w:pPr>
        <w:rPr>
          <w:b/>
        </w:rPr>
      </w:pPr>
    </w:p>
    <w:p w:rsidR="00843682" w:rsidRPr="00FE66E8" w:rsidRDefault="00843682">
      <w:pPr>
        <w:rPr>
          <w:u w:val="single"/>
        </w:rPr>
      </w:pPr>
      <w:r w:rsidRPr="00FE66E8">
        <w:rPr>
          <w:b/>
          <w:bCs/>
        </w:rPr>
        <w:t xml:space="preserve"> </w:t>
      </w:r>
      <w:r w:rsidRPr="00FE66E8">
        <w:rPr>
          <w:b/>
        </w:rPr>
        <w:t>A.</w:t>
      </w:r>
      <w:r w:rsidRPr="00FE66E8">
        <w:tab/>
      </w:r>
      <w:r w:rsidRPr="00FE66E8">
        <w:rPr>
          <w:b/>
          <w:u w:val="single"/>
        </w:rPr>
        <w:t>J</w:t>
      </w:r>
      <w:r>
        <w:rPr>
          <w:b/>
          <w:u w:val="single"/>
        </w:rPr>
        <w:t>USTIFICATION</w:t>
      </w:r>
    </w:p>
    <w:p w:rsidR="00843682" w:rsidRPr="00FE66E8" w:rsidRDefault="00843682">
      <w:pPr>
        <w:tabs>
          <w:tab w:val="left" w:pos="360"/>
        </w:tabs>
        <w:ind w:left="360"/>
        <w:rPr>
          <w:b/>
          <w:bCs/>
        </w:rPr>
      </w:pPr>
    </w:p>
    <w:p w:rsidR="00843682" w:rsidRDefault="00843682" w:rsidP="00856383">
      <w:r>
        <w:rPr>
          <w:b/>
          <w:bCs/>
        </w:rPr>
        <w:t xml:space="preserve">1.  </w:t>
      </w:r>
      <w:r>
        <w:rPr>
          <w:b/>
          <w:bCs/>
          <w:u w:val="single"/>
        </w:rPr>
        <w:t>Explain the circumstances that make the collection of information necessary.</w:t>
      </w:r>
    </w:p>
    <w:p w:rsidR="00843682" w:rsidRPr="00856383" w:rsidRDefault="00843682">
      <w:pPr>
        <w:rPr>
          <w:b/>
          <w:bCs/>
          <w:iCs/>
        </w:rPr>
      </w:pPr>
    </w:p>
    <w:p w:rsidR="00843682" w:rsidRPr="00FE66E8" w:rsidRDefault="00843682" w:rsidP="00B33ECF">
      <w:r w:rsidRPr="00FE66E8">
        <w:t>Employment and Training Administration (ETA) regulations at 20 CFR 651, 653, and 658 under the Wagner-Peyser Act, as amended by the 1998 Workforce Investment Act (WIA), set forth the requirements to ensure that Migrant and Seasonal Farmworkers (MSFWs) receive services that are qualitatively equivalent and quantitatively proportionate to the services proved to non-MSFWs.  Quarterly MSFW reporting is required by 20 CFR 653.108 (q)</w:t>
      </w:r>
      <w:r>
        <w:t>,</w:t>
      </w:r>
      <w:r w:rsidRPr="00FE66E8">
        <w:t xml:space="preserve"> which mandates State Workforce Agencies (SWAs) to review their performance on a quarterly basis to ensure compliance with CFR 653.100.   The data collected represents the minimum information necessary to assure SWA compliance with federal regulations.  (See 20 CFR 653.100 through 653.113)</w:t>
      </w:r>
      <w:r>
        <w:t>.</w:t>
      </w:r>
    </w:p>
    <w:p w:rsidR="00843682" w:rsidRPr="00FE66E8" w:rsidRDefault="00843682" w:rsidP="00FD7ACC"/>
    <w:p w:rsidR="00843682" w:rsidRPr="00FE66E8" w:rsidRDefault="00843682" w:rsidP="009F6999">
      <w:r w:rsidRPr="00FE66E8">
        <w:t xml:space="preserve">Federal regulations at 20 CFR 658, Subpart E, established the Employment Service (ES) Complaint System.  With Integration of ES into the </w:t>
      </w:r>
      <w:smartTag w:uri="urn:schemas-microsoft-com:office:smarttags" w:element="place">
        <w:smartTag w:uri="urn:schemas-microsoft-com:office:smarttags" w:element="PlaceName">
          <w:r w:rsidRPr="00FE66E8">
            <w:t>One-Stop</w:t>
          </w:r>
        </w:smartTag>
        <w:r w:rsidRPr="00FE66E8">
          <w:t xml:space="preserve"> </w:t>
        </w:r>
        <w:smartTag w:uri="urn:schemas-microsoft-com:office:smarttags" w:element="PlaceType">
          <w:smartTag w:uri="urn:schemas-microsoft-com:office:smarttags" w:element="PlaceName">
            <w:r w:rsidRPr="00FE66E8">
              <w:t>Career</w:t>
            </w:r>
          </w:smartTag>
        </w:smartTag>
        <w:r w:rsidRPr="00FE66E8">
          <w:t xml:space="preserve"> </w:t>
        </w:r>
        <w:smartTag w:uri="urn:schemas-microsoft-com:office:smarttags" w:element="place">
          <w:r w:rsidRPr="00FE66E8">
            <w:t>Center</w:t>
          </w:r>
        </w:smartTag>
      </w:smartTag>
      <w:r w:rsidRPr="00FE66E8">
        <w:t xml:space="preserve"> system, the name of the complaint form system has been changed to reflect that reality and is now know as the One-Stop Career Center Complaint /Referral Record.  To reflect this integration effort we are changing the title of this Information Collection to “Migrant and Seasonal Farmworker (MSFW) Monitoring Report and One-Stop Career Center Complaint/Referral Record.” </w:t>
      </w:r>
    </w:p>
    <w:p w:rsidR="00843682" w:rsidRPr="00FE66E8" w:rsidRDefault="00843682" w:rsidP="009F6999"/>
    <w:p w:rsidR="00843682" w:rsidRPr="00FE66E8" w:rsidRDefault="00843682" w:rsidP="009F6999">
      <w:r w:rsidRPr="00FE66E8">
        <w:t>The regulations at 20 CFR 658.400 through 658.418 ensure that SWAs handle complaints appropriately and uniformly.   The One-Stop Career Center (OSCC) Complaint/Referral Record, ETA Form 8429 is required to be used by SWAs to process complaints pursuant to 20 CFR 658.413. (See 20 CFR 658.400 through 658.418)</w:t>
      </w:r>
    </w:p>
    <w:p w:rsidR="00843682" w:rsidRPr="00FE66E8" w:rsidRDefault="00843682" w:rsidP="00C62679"/>
    <w:p w:rsidR="00843682" w:rsidRDefault="00843682" w:rsidP="0031454F">
      <w:r>
        <w:rPr>
          <w:b/>
          <w:bCs/>
        </w:rPr>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843682" w:rsidRDefault="00843682" w:rsidP="00B33ECF">
      <w:pPr>
        <w:rPr>
          <w:bCs/>
        </w:rPr>
      </w:pPr>
    </w:p>
    <w:p w:rsidR="00843682" w:rsidRPr="00FE66E8" w:rsidRDefault="00843682" w:rsidP="008F293D">
      <w:r w:rsidRPr="00FE66E8">
        <w:rPr>
          <w:bCs/>
        </w:rPr>
        <w:t>The Services to MSFW Report, ETA Form 5148</w:t>
      </w:r>
      <w:r>
        <w:rPr>
          <w:bCs/>
        </w:rPr>
        <w:t>,</w:t>
      </w:r>
      <w:r w:rsidRPr="00FE66E8">
        <w:rPr>
          <w:bCs/>
        </w:rPr>
        <w:t xml:space="preserve"> </w:t>
      </w:r>
      <w:r w:rsidRPr="00FE66E8">
        <w:t xml:space="preserve">is used to collect data which are used by the Department of Labor (DOL) and SWAs to monitor and measure the extent and effectiveness of SWA service delivery to MSFWs. </w:t>
      </w:r>
      <w:r>
        <w:t xml:space="preserve"> </w:t>
      </w:r>
      <w:r w:rsidRPr="00FE66E8">
        <w:t xml:space="preserve">In compliance with 20 CFR 653.109, DOL established record-keeping requirements to allow for the efficient and effective monitoring of SWAs regulatory compliance.  Quarterly reports are submitted to DOL by SWAs on the services they provide to MSFWs using the Services to MSFWs Report, ETA Form 5148.  These quarterly reports are used to identify the level of services provided to MSFWs through the One-Stop Career Centers and ensure that they are receiving services that are “qualitatively equivalent and quantitatively proportionate” to the services provided to non-MSFWs.  </w:t>
      </w:r>
    </w:p>
    <w:p w:rsidR="00843682" w:rsidRPr="00FE66E8" w:rsidRDefault="00843682" w:rsidP="00B33ECF"/>
    <w:p w:rsidR="00843682" w:rsidRPr="00FE66E8" w:rsidRDefault="00843682" w:rsidP="009F6999">
      <w:r w:rsidRPr="00FE66E8">
        <w:rPr>
          <w:bCs/>
        </w:rPr>
        <w:t>The OSCC Complaint Referral Record, ETA Form 8429 i</w:t>
      </w:r>
      <w:r w:rsidRPr="00FE66E8">
        <w:t xml:space="preserve">s used by SWAs to record and process complaints.  Complaints from MSFWs are coded to receive expedient handling.  Expeditious handling is necessary to ensure that complaints have a greater probability of being resolved before MSFWs move to another area.  </w:t>
      </w:r>
    </w:p>
    <w:p w:rsidR="00843682" w:rsidRDefault="00843682" w:rsidP="0031454F">
      <w:pPr>
        <w:tabs>
          <w:tab w:val="left" w:pos="240"/>
        </w:tabs>
      </w:pPr>
    </w:p>
    <w:p w:rsidR="00843682" w:rsidRDefault="00843682" w:rsidP="0031454F">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843682" w:rsidRPr="00FE66E8" w:rsidRDefault="00843682" w:rsidP="0031454F">
      <w:pPr>
        <w:tabs>
          <w:tab w:val="left" w:pos="240"/>
        </w:tabs>
      </w:pPr>
    </w:p>
    <w:p w:rsidR="00843682" w:rsidRPr="00FE66E8" w:rsidRDefault="00843682">
      <w:pPr>
        <w:tabs>
          <w:tab w:val="left" w:pos="0"/>
        </w:tabs>
      </w:pPr>
      <w:r w:rsidRPr="00FE66E8">
        <w:t>Reports are produced electronically through ETA’s Enterprise Information Management Systems (EIMS) which can be accessed by SWAs via the Internet.   Some data elements are generated from the ETA’s 9002 Report (i.e., number of applicants and types of services) others items such as outreach contacts and complaints are manually compiled at the state level.</w:t>
      </w:r>
    </w:p>
    <w:p w:rsidR="00843682" w:rsidRPr="00FE66E8" w:rsidRDefault="00843682">
      <w:pPr>
        <w:tabs>
          <w:tab w:val="left" w:pos="0"/>
        </w:tabs>
      </w:pPr>
    </w:p>
    <w:p w:rsidR="00843682" w:rsidRPr="00FE66E8" w:rsidRDefault="00843682">
      <w:pPr>
        <w:tabs>
          <w:tab w:val="left" w:pos="0"/>
        </w:tabs>
      </w:pPr>
      <w:r>
        <w:t>ETA at this time does not believe</w:t>
      </w:r>
      <w:r w:rsidRPr="00FE66E8">
        <w:t xml:space="preserve"> that the automation of OSCC Complaint/Referral Record, ETA Form 8429 is beneficial or cost effective.  This form is available electronically and can be accessed via the Internet at </w:t>
      </w:r>
      <w:hyperlink r:id="rId7" w:history="1">
        <w:r w:rsidRPr="00FE66E8">
          <w:rPr>
            <w:rStyle w:val="Hyperlink"/>
          </w:rPr>
          <w:t>http://www.doleta.gov/programs/MSFW.cfm</w:t>
        </w:r>
      </w:hyperlink>
      <w:r w:rsidRPr="00FE66E8">
        <w:t xml:space="preserve">.  This allows individuals to access the electronic version for downloading, faxing or e-mailing to SWAs for review and processing.  </w:t>
      </w:r>
    </w:p>
    <w:p w:rsidR="00843682" w:rsidRPr="00FE66E8" w:rsidRDefault="00843682">
      <w:pPr>
        <w:tabs>
          <w:tab w:val="left" w:pos="0"/>
        </w:tabs>
      </w:pPr>
    </w:p>
    <w:p w:rsidR="00843682" w:rsidRPr="000D0800" w:rsidRDefault="00843682" w:rsidP="000D0800">
      <w:pPr>
        <w:numPr>
          <w:ilvl w:val="0"/>
          <w:numId w:val="25"/>
        </w:numPr>
        <w:tabs>
          <w:tab w:val="left" w:pos="0"/>
        </w:tabs>
      </w:pPr>
      <w:r w:rsidRPr="008E3EE7">
        <w:rPr>
          <w:b/>
          <w:bCs/>
          <w:u w:val="single"/>
        </w:rPr>
        <w:t>Describe efforts to identify duplication</w:t>
      </w:r>
      <w:r w:rsidRPr="00FE66E8">
        <w:rPr>
          <w:b/>
          <w:bCs/>
        </w:rPr>
        <w:t>.</w:t>
      </w:r>
    </w:p>
    <w:p w:rsidR="00843682" w:rsidRPr="00FE66E8" w:rsidRDefault="00843682" w:rsidP="000D0800">
      <w:pPr>
        <w:tabs>
          <w:tab w:val="left" w:pos="0"/>
        </w:tabs>
      </w:pPr>
      <w:r w:rsidRPr="00FE66E8">
        <w:rPr>
          <w:b/>
          <w:bCs/>
        </w:rPr>
        <w:t xml:space="preserve">  </w:t>
      </w:r>
    </w:p>
    <w:p w:rsidR="00843682" w:rsidRPr="00FE66E8" w:rsidRDefault="00843682" w:rsidP="00862F04">
      <w:r w:rsidRPr="00FE66E8">
        <w:t xml:space="preserve">Efforts are continually underway to identify duplication.  None of the information recorded on OSCC Complaint Referral Form, ETA Form 8429 is duplicative of any other information that is already captured by the SWAs.  Likewise, the information captured on Parts 1, 2, &amp; 4 of the Services to MSFW Report; ETA 5148 is unique and not captured elsewhere.  There is some duplication on the collection of information on Part 3 of ETA Form 5148.  Some of the data elements that comprise the Equity Indicators (Part 3) are derived from the current ETA 9002 reporting system.  The burden to the states of extracting data from ETA 9002 reporting system and inserting it into the Services to MSFW, ETA Form 5148 is minimal and allows State Monitor Advocates, states and federal staff to have a complete view of services to MSFWs in one document.  </w:t>
      </w:r>
    </w:p>
    <w:p w:rsidR="00843682" w:rsidRDefault="00843682" w:rsidP="000508EB"/>
    <w:p w:rsidR="00843682" w:rsidRPr="00FE66E8" w:rsidRDefault="00843682" w:rsidP="000508EB">
      <w:pPr>
        <w:tabs>
          <w:tab w:val="left" w:pos="240"/>
        </w:tabs>
        <w:rPr>
          <w:b/>
          <w:bCs/>
        </w:rPr>
      </w:pPr>
      <w:r>
        <w:rPr>
          <w:b/>
          <w:bCs/>
        </w:rPr>
        <w:t xml:space="preserve">5.  </w:t>
      </w:r>
      <w:r>
        <w:rPr>
          <w:b/>
          <w:bCs/>
          <w:u w:val="single"/>
        </w:rPr>
        <w:t>If the collection of information involves small businesses or other small entities, describe the methods used to minimize burden</w:t>
      </w:r>
    </w:p>
    <w:p w:rsidR="00843682" w:rsidRDefault="00843682"/>
    <w:p w:rsidR="00843682" w:rsidRPr="00FE66E8" w:rsidRDefault="00843682">
      <w:r w:rsidRPr="00FE66E8">
        <w:t>There is no impact to small businesses or other small entities.</w:t>
      </w:r>
    </w:p>
    <w:p w:rsidR="00843682" w:rsidRPr="00FE66E8" w:rsidRDefault="00843682"/>
    <w:p w:rsidR="00843682" w:rsidRDefault="00843682" w:rsidP="000508EB">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843682" w:rsidRPr="00FE66E8" w:rsidRDefault="00843682"/>
    <w:p w:rsidR="00843682" w:rsidRPr="00FE66E8" w:rsidRDefault="00843682">
      <w:r w:rsidRPr="00FE66E8">
        <w:t xml:space="preserve">If data were not collected quarterly, SWAs and DOL would not be in compliance with federal regulations at 20 CFR 653.100 </w:t>
      </w:r>
      <w:r w:rsidRPr="00FE66E8">
        <w:rPr>
          <w:u w:val="single"/>
        </w:rPr>
        <w:t>et</w:t>
      </w:r>
      <w:r w:rsidRPr="00FE66E8">
        <w:t xml:space="preserve">. </w:t>
      </w:r>
      <w:r w:rsidRPr="00FE66E8">
        <w:rPr>
          <w:i/>
          <w:u w:val="single"/>
        </w:rPr>
        <w:t>seq</w:t>
      </w:r>
      <w:r w:rsidRPr="00FE66E8">
        <w:t>.</w:t>
      </w:r>
    </w:p>
    <w:p w:rsidR="00843682" w:rsidRDefault="00843682"/>
    <w:p w:rsidR="00843682" w:rsidRDefault="00843682" w:rsidP="000508EB">
      <w:r>
        <w:rPr>
          <w:b/>
          <w:bCs/>
        </w:rPr>
        <w:t xml:space="preserve">7.  </w:t>
      </w:r>
      <w:r>
        <w:rPr>
          <w:b/>
          <w:bCs/>
          <w:u w:val="single"/>
        </w:rPr>
        <w:t>Explain any special circumstances that require the collection to be conducted in a manner inconsistent with OMB guidelines</w:t>
      </w:r>
      <w:r>
        <w:rPr>
          <w:b/>
          <w:bCs/>
        </w:rPr>
        <w:t xml:space="preserve">. </w:t>
      </w:r>
    </w:p>
    <w:p w:rsidR="00843682" w:rsidRPr="00FE66E8" w:rsidRDefault="00843682"/>
    <w:p w:rsidR="00843682" w:rsidRPr="00FE66E8" w:rsidRDefault="00843682">
      <w:pPr>
        <w:numPr>
          <w:ilvl w:val="0"/>
          <w:numId w:val="1"/>
        </w:numPr>
        <w:rPr>
          <w:b/>
          <w:bCs/>
          <w:i/>
          <w:iCs/>
        </w:rPr>
      </w:pPr>
      <w:r w:rsidRPr="00FE66E8">
        <w:rPr>
          <w:b/>
          <w:bCs/>
          <w:i/>
          <w:iCs/>
        </w:rPr>
        <w:t>requiring respondents to report information to the agency more often than quarterly;</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requiring respondents to prepare a written response to a collection of information in fewer than 30 days after receipt of it;</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requiring respondents to submit more than an original and two copies of any document;</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requiring respondents to retain records, other than health, medical, government contract, grant-in-aid, or tax records for more than three years;</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 xml:space="preserve">In connection with a statistical survey, that is not designed to produce valid and reliable results that can be generalized to the universe of study; </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requiring the use of a statistical data classification that has not been reviewed and approved by OMB;</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43682" w:rsidRPr="00FE66E8" w:rsidRDefault="00843682">
      <w:pPr>
        <w:ind w:left="360"/>
        <w:rPr>
          <w:b/>
          <w:bCs/>
          <w:i/>
          <w:iCs/>
        </w:rPr>
      </w:pPr>
    </w:p>
    <w:p w:rsidR="00843682" w:rsidRPr="00FE66E8" w:rsidRDefault="00843682">
      <w:pPr>
        <w:numPr>
          <w:ilvl w:val="0"/>
          <w:numId w:val="1"/>
        </w:numPr>
        <w:rPr>
          <w:b/>
          <w:bCs/>
          <w:i/>
          <w:iCs/>
        </w:rPr>
      </w:pPr>
      <w:r w:rsidRPr="00FE66E8">
        <w:rPr>
          <w:b/>
          <w:bCs/>
          <w:i/>
          <w:iCs/>
        </w:rPr>
        <w:t>requiring respondents to submit proprietary trade secret, or other confidential information unless the agency can demonstrate that it has instituted procedures to protect the information's confidentiality to the extent permitted by law.</w:t>
      </w:r>
    </w:p>
    <w:p w:rsidR="00843682" w:rsidRPr="00FE66E8" w:rsidRDefault="00843682"/>
    <w:p w:rsidR="00843682" w:rsidRPr="00FE66E8" w:rsidRDefault="00843682">
      <w:r w:rsidRPr="00FE66E8">
        <w:t>There are no special circumstances concerning the information collection process.</w:t>
      </w:r>
    </w:p>
    <w:p w:rsidR="00843682" w:rsidRPr="00FE66E8" w:rsidRDefault="00843682"/>
    <w:p w:rsidR="00843682" w:rsidRDefault="00843682" w:rsidP="00B85A0A">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843682" w:rsidRDefault="00843682" w:rsidP="00B85A0A">
      <w:pPr>
        <w:tabs>
          <w:tab w:val="left" w:pos="360"/>
          <w:tab w:val="left" w:pos="480"/>
        </w:tabs>
        <w:rPr>
          <w:b/>
          <w:bCs/>
        </w:rPr>
      </w:pPr>
    </w:p>
    <w:p w:rsidR="00843682" w:rsidRDefault="00843682">
      <w:r w:rsidRPr="00FE66E8">
        <w:t>As required by 5 CFR 1320.8(d),</w:t>
      </w:r>
      <w:r>
        <w:t xml:space="preserve"> a Notice was published in the Federal Register on October 3, 2011 (Vol. 76, p. 61115), offering the public sixty days to comment on this information collection.  The Agency received one comment, which appears summarized below, with the Agency’s r</w:t>
      </w:r>
      <w:r w:rsidRPr="00FE66E8">
        <w:t>esponse</w:t>
      </w:r>
      <w:r>
        <w:t>.</w:t>
      </w:r>
    </w:p>
    <w:p w:rsidR="00843682" w:rsidRDefault="00843682"/>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640"/>
      </w:tblGrid>
      <w:tr w:rsidR="00843682" w:rsidTr="0004071F">
        <w:tc>
          <w:tcPr>
            <w:tcW w:w="4788" w:type="dxa"/>
          </w:tcPr>
          <w:p w:rsidR="00843682" w:rsidRDefault="00843682" w:rsidP="003F6091">
            <w:r>
              <w:t>COMMENT</w:t>
            </w:r>
          </w:p>
        </w:tc>
        <w:tc>
          <w:tcPr>
            <w:tcW w:w="5640" w:type="dxa"/>
          </w:tcPr>
          <w:p w:rsidR="00843682" w:rsidRDefault="00843682" w:rsidP="003F6091">
            <w:r>
              <w:t>AGENCY RESPONSE</w:t>
            </w:r>
          </w:p>
        </w:tc>
      </w:tr>
      <w:tr w:rsidR="00843682" w:rsidTr="0004071F">
        <w:tc>
          <w:tcPr>
            <w:tcW w:w="4788" w:type="dxa"/>
          </w:tcPr>
          <w:p w:rsidR="00843682" w:rsidRPr="0004071F" w:rsidRDefault="00843682" w:rsidP="00333FEE">
            <w:pPr>
              <w:rPr>
                <w:rFonts w:ascii="sans serif" w:hAnsi="sans serif"/>
                <w:color w:val="000000"/>
              </w:rPr>
            </w:pPr>
            <w:r w:rsidRPr="0004071F">
              <w:rPr>
                <w:sz w:val="22"/>
                <w:szCs w:val="22"/>
              </w:rPr>
              <w:t>The commentator indicated that “While USDOL has OMB approval for ETA 5148, which permits data requests from the states and electronic submissions four times annually, a separate report, "</w:t>
            </w:r>
            <w:r w:rsidRPr="0004071F">
              <w:rPr>
                <w:rStyle w:val="Strong"/>
                <w:b w:val="0"/>
                <w:bCs w:val="0"/>
                <w:i/>
                <w:iCs/>
                <w:sz w:val="22"/>
                <w:szCs w:val="22"/>
              </w:rPr>
              <w:t>Annual Report on Services to Migrant and Seasonal Farmworkers for Program Year (PY) 2010,</w:t>
            </w:r>
            <w:r w:rsidRPr="0004071F">
              <w:rPr>
                <w:sz w:val="22"/>
                <w:szCs w:val="22"/>
              </w:rPr>
              <w:t>" constitutes a fifth submission under 1205-0039 and requests additional information not collected on ETA 5148.”  The commentator also asked the following question: “Where is the authority by OMB listed for the attached request?” </w:t>
            </w:r>
          </w:p>
        </w:tc>
        <w:tc>
          <w:tcPr>
            <w:tcW w:w="5640" w:type="dxa"/>
          </w:tcPr>
          <w:p w:rsidR="00843682" w:rsidRPr="0004071F" w:rsidRDefault="00843682" w:rsidP="003F6091">
            <w:pPr>
              <w:rPr>
                <w:color w:val="000000"/>
                <w:sz w:val="22"/>
                <w:szCs w:val="22"/>
              </w:rPr>
            </w:pPr>
            <w:r w:rsidRPr="0004071F">
              <w:rPr>
                <w:sz w:val="22"/>
                <w:szCs w:val="22"/>
              </w:rPr>
              <w:t xml:space="preserve">Program regulations at </w:t>
            </w:r>
            <w:hyperlink r:id="rId8" w:anchor="20:3.0.2.1.33.2.2.10" w:tooltip="http://ecfr.gpoaccess.gov/cgi/t/text/text-idx?c=ecfr&amp;sid=c8d63a7d2f53ffb305a03b6976438d03&amp;rgn=div5&amp;view=text&amp;node=20:3.0.2.1.33&amp;idno=20#20:3.0.2.1.33.2.2.10" w:history="1">
              <w:r w:rsidRPr="0004071F">
                <w:rPr>
                  <w:rStyle w:val="Hyperlink"/>
                  <w:sz w:val="22"/>
                  <w:szCs w:val="22"/>
                </w:rPr>
                <w:t>20 CFR 653. 109(f)</w:t>
              </w:r>
            </w:hyperlink>
            <w:r w:rsidRPr="0004071F">
              <w:rPr>
                <w:rStyle w:val="updatebodytest1"/>
                <w:rFonts w:ascii="Times New Roman" w:hAnsi="Times New Roman" w:cs="Times New Roman"/>
                <w:sz w:val="22"/>
                <w:szCs w:val="22"/>
              </w:rPr>
              <w:t xml:space="preserve"> and</w:t>
            </w:r>
            <w:r w:rsidRPr="0004071F">
              <w:rPr>
                <w:sz w:val="22"/>
                <w:szCs w:val="22"/>
              </w:rPr>
              <w:t xml:space="preserve"> </w:t>
            </w:r>
            <w:hyperlink r:id="rId9" w:anchor="20:3.0.2.1.33.2.2.9" w:tooltip="http://ecfr.gpoaccess.gov/cgi/t/text/text-idx?c=ecfr&amp;sid=45fea0d9d9d4347321cee81d5dc5de85&amp;rgn=div5&amp;view=text&amp;node=20:3.0.2.1.33&amp;idno=20#20:3.0.2.1.33.2.2.9" w:history="1">
              <w:r w:rsidRPr="0004071F">
                <w:rPr>
                  <w:rStyle w:val="Hyperlink"/>
                  <w:sz w:val="22"/>
                  <w:szCs w:val="22"/>
                </w:rPr>
                <w:t>20 CFR 653.108(t)</w:t>
              </w:r>
            </w:hyperlink>
            <w:r w:rsidRPr="0004071F">
              <w:rPr>
                <w:color w:val="0000FF"/>
                <w:sz w:val="22"/>
                <w:szCs w:val="22"/>
              </w:rPr>
              <w:t xml:space="preserve"> </w:t>
            </w:r>
            <w:r w:rsidRPr="0004071F">
              <w:rPr>
                <w:sz w:val="22"/>
                <w:szCs w:val="22"/>
              </w:rPr>
              <w:t>provide ETA with the authority to request the annual report from states.  Further, the annual report is approved under OMB control number 1205-0039.</w:t>
            </w:r>
          </w:p>
          <w:p w:rsidR="00843682" w:rsidRPr="0004071F" w:rsidRDefault="00843682" w:rsidP="003F6091">
            <w:pPr>
              <w:rPr>
                <w:sz w:val="22"/>
                <w:szCs w:val="22"/>
              </w:rPr>
            </w:pPr>
          </w:p>
          <w:p w:rsidR="00843682" w:rsidRPr="0004071F" w:rsidRDefault="00843682" w:rsidP="003F6091">
            <w:pPr>
              <w:rPr>
                <w:sz w:val="22"/>
                <w:szCs w:val="22"/>
              </w:rPr>
            </w:pPr>
            <w:r w:rsidRPr="0004071F">
              <w:rPr>
                <w:sz w:val="22"/>
                <w:szCs w:val="22"/>
              </w:rPr>
              <w:t>To respond to the comment, ETA can more explicitly indicate that the annual report is part of this information collection.  Therefore, we have changed the number of reports under the collection (from 4 to 5) and adjusted the estimated burden hours.</w:t>
            </w:r>
          </w:p>
          <w:p w:rsidR="00843682" w:rsidRPr="0004071F" w:rsidRDefault="00843682" w:rsidP="003F6091">
            <w:pPr>
              <w:rPr>
                <w:sz w:val="16"/>
                <w:szCs w:val="16"/>
              </w:rPr>
            </w:pPr>
          </w:p>
          <w:p w:rsidR="00843682" w:rsidRPr="0004071F" w:rsidRDefault="00843682" w:rsidP="0004071F">
            <w:pPr>
              <w:ind w:left="480"/>
              <w:rPr>
                <w:rStyle w:val="updatebodytest1"/>
                <w:color w:val="000080"/>
                <w:sz w:val="22"/>
                <w:szCs w:val="22"/>
              </w:rPr>
            </w:pPr>
          </w:p>
          <w:p w:rsidR="00843682" w:rsidRPr="0004071F" w:rsidRDefault="00843682" w:rsidP="003F6091">
            <w:pPr>
              <w:rPr>
                <w:rFonts w:ascii="sans serif" w:hAnsi="sans serif"/>
                <w:color w:val="000000"/>
              </w:rPr>
            </w:pPr>
          </w:p>
        </w:tc>
      </w:tr>
    </w:tbl>
    <w:p w:rsidR="00843682" w:rsidRDefault="00843682">
      <w:pPr>
        <w:rPr>
          <w:bCs/>
          <w:color w:val="000000"/>
        </w:rPr>
      </w:pPr>
    </w:p>
    <w:p w:rsidR="00843682" w:rsidRPr="00FE66E8" w:rsidRDefault="00843682">
      <w:pPr>
        <w:rPr>
          <w:bCs/>
          <w:color w:val="000000"/>
        </w:rPr>
      </w:pPr>
    </w:p>
    <w:p w:rsidR="00843682" w:rsidRPr="00FE66E8" w:rsidRDefault="00843682" w:rsidP="001C2D0F">
      <w:pPr>
        <w:numPr>
          <w:ilvl w:val="0"/>
          <w:numId w:val="26"/>
        </w:numPr>
        <w:rPr>
          <w:b/>
          <w:bCs/>
        </w:rPr>
      </w:pPr>
      <w:r>
        <w:rPr>
          <w:b/>
          <w:bCs/>
        </w:rPr>
        <w:t xml:space="preserve"> </w:t>
      </w:r>
      <w:r w:rsidRPr="002D38B2">
        <w:rPr>
          <w:b/>
          <w:bCs/>
          <w:u w:val="single"/>
        </w:rPr>
        <w:t>Explain any decision to provide any payment or gift to respondents, other than re-numeration of contractors or grantees</w:t>
      </w:r>
      <w:r w:rsidRPr="00FE66E8">
        <w:rPr>
          <w:b/>
          <w:bCs/>
        </w:rPr>
        <w:t>.</w:t>
      </w:r>
    </w:p>
    <w:p w:rsidR="00843682" w:rsidRPr="00FE66E8" w:rsidRDefault="00843682"/>
    <w:p w:rsidR="00843682" w:rsidRPr="00FE66E8" w:rsidRDefault="00843682">
      <w:r w:rsidRPr="00FE66E8">
        <w:t>There is no payment or gift to respondents.</w:t>
      </w:r>
    </w:p>
    <w:p w:rsidR="00843682" w:rsidRDefault="00843682" w:rsidP="001C2D0F">
      <w:pPr>
        <w:rPr>
          <w:b/>
          <w:bCs/>
        </w:rPr>
      </w:pPr>
    </w:p>
    <w:p w:rsidR="00843682" w:rsidRDefault="00843682" w:rsidP="001C2D0F">
      <w:r>
        <w:rPr>
          <w:b/>
          <w:bCs/>
        </w:rPr>
        <w:t xml:space="preserve">10.  </w:t>
      </w:r>
      <w:r>
        <w:rPr>
          <w:b/>
          <w:bCs/>
          <w:u w:val="single"/>
        </w:rPr>
        <w:t>Describe any assurance of confidentiality provided to respondents and the basis for assurance in statute, regulation, or agency policy</w:t>
      </w:r>
      <w:r>
        <w:rPr>
          <w:b/>
          <w:bCs/>
        </w:rPr>
        <w:t>.</w:t>
      </w:r>
    </w:p>
    <w:p w:rsidR="00843682" w:rsidRPr="00FE66E8" w:rsidRDefault="00843682"/>
    <w:p w:rsidR="00843682" w:rsidRPr="00FE66E8" w:rsidRDefault="00843682">
      <w:r w:rsidRPr="00FE66E8">
        <w:t>There is no assurance of confidentiality of the information collected.  There are no individuals identifiers on the report submitted to the National Office.</w:t>
      </w:r>
    </w:p>
    <w:p w:rsidR="00843682" w:rsidRPr="00FE66E8" w:rsidRDefault="00843682"/>
    <w:p w:rsidR="00843682" w:rsidRDefault="00843682" w:rsidP="001C2D0F">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843682" w:rsidRPr="00FE66E8" w:rsidRDefault="00843682"/>
    <w:p w:rsidR="00843682" w:rsidRPr="00FE66E8" w:rsidRDefault="00843682">
      <w:r w:rsidRPr="00FE66E8">
        <w:t>There are no questions of a sensitive nature.</w:t>
      </w:r>
    </w:p>
    <w:p w:rsidR="00843682" w:rsidRPr="00FE66E8" w:rsidRDefault="00843682"/>
    <w:p w:rsidR="00843682" w:rsidRDefault="00843682" w:rsidP="00757A9D">
      <w:r>
        <w:rPr>
          <w:b/>
          <w:bCs/>
        </w:rPr>
        <w:t xml:space="preserve">12.  </w:t>
      </w:r>
      <w:r>
        <w:rPr>
          <w:b/>
          <w:bCs/>
          <w:u w:val="single"/>
        </w:rPr>
        <w:t>Provide an estimate in hours of the burden of the collection of information</w:t>
      </w:r>
      <w:r>
        <w:rPr>
          <w:b/>
          <w:bCs/>
        </w:rPr>
        <w:t>.</w:t>
      </w:r>
    </w:p>
    <w:p w:rsidR="00843682" w:rsidRPr="00757A9D" w:rsidRDefault="00843682">
      <w:pPr>
        <w:rPr>
          <w:b/>
          <w:bCs/>
          <w:iCs/>
        </w:rPr>
      </w:pPr>
    </w:p>
    <w:p w:rsidR="00843682" w:rsidRPr="00FE66E8" w:rsidRDefault="00843682">
      <w:pPr>
        <w:numPr>
          <w:ilvl w:val="0"/>
          <w:numId w:val="2"/>
        </w:numPr>
        <w:rPr>
          <w:b/>
          <w:bCs/>
          <w:i/>
          <w:iCs/>
        </w:rPr>
      </w:pPr>
      <w:r w:rsidRPr="00FE66E8">
        <w:rPr>
          <w:b/>
          <w:bCs/>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rsidR="00843682" w:rsidRPr="00FE66E8" w:rsidRDefault="00843682">
      <w:pPr>
        <w:ind w:left="360"/>
        <w:rPr>
          <w:b/>
          <w:bCs/>
          <w:i/>
          <w:iCs/>
        </w:rPr>
      </w:pPr>
    </w:p>
    <w:p w:rsidR="00843682" w:rsidRPr="00FE66E8" w:rsidRDefault="00843682">
      <w:pPr>
        <w:numPr>
          <w:ilvl w:val="0"/>
          <w:numId w:val="2"/>
        </w:numPr>
        <w:rPr>
          <w:b/>
          <w:bCs/>
          <w:i/>
          <w:iCs/>
        </w:rPr>
      </w:pPr>
      <w:r w:rsidRPr="00FE66E8">
        <w:rPr>
          <w:b/>
          <w:bCs/>
          <w:i/>
          <w:iCs/>
        </w:rPr>
        <w:t>If this request for approval covers more than one form, provide separate hour burden estimates for each form and aggregate the hour burdens in Item 13 of OMB Form 83-I.</w:t>
      </w:r>
    </w:p>
    <w:p w:rsidR="00843682" w:rsidRPr="00FE66E8" w:rsidRDefault="00843682">
      <w:pPr>
        <w:ind w:left="360"/>
        <w:rPr>
          <w:b/>
          <w:bCs/>
          <w:i/>
          <w:iCs/>
        </w:rPr>
      </w:pPr>
    </w:p>
    <w:p w:rsidR="00843682" w:rsidRPr="00FE66E8" w:rsidRDefault="00843682">
      <w:pPr>
        <w:numPr>
          <w:ilvl w:val="0"/>
          <w:numId w:val="2"/>
        </w:numPr>
        <w:rPr>
          <w:b/>
          <w:bCs/>
          <w:i/>
          <w:iCs/>
        </w:rPr>
      </w:pPr>
      <w:r w:rsidRPr="00FE66E8">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843682" w:rsidRPr="00FE66E8" w:rsidRDefault="00843682"/>
    <w:p w:rsidR="00843682" w:rsidRPr="000E6290" w:rsidRDefault="00843682">
      <w:r w:rsidRPr="00FE66E8">
        <w:t xml:space="preserve">Estimates of the following burden hours of collection of information were derived after consultations with a number of State Monitor Advocates that are intensively involved with these activities. </w:t>
      </w:r>
      <w:r>
        <w:t xml:space="preserve">  </w:t>
      </w:r>
      <w:r w:rsidRPr="000E6290">
        <w:t>State Monitor Advocates have determined from years of experience that they spend 3.428 hours annually doing the recordkeeping involved for (ETA 5158, LEARS).</w:t>
      </w:r>
    </w:p>
    <w:p w:rsidR="00843682" w:rsidRPr="00FE66E8" w:rsidRDefault="00843682" w:rsidP="00D8229C">
      <w:pPr>
        <w:ind w:firstLine="720"/>
        <w:rPr>
          <w:b/>
          <w:bCs/>
        </w:rPr>
      </w:pPr>
      <w:r w:rsidRPr="000E6290">
        <w:rPr>
          <w:b/>
          <w:bCs/>
        </w:rPr>
        <w:t>COMPLAINT LOG (ETA Form 8429)</w:t>
      </w:r>
    </w:p>
    <w:p w:rsidR="00843682" w:rsidRPr="00FE66E8" w:rsidRDefault="00843682" w:rsidP="00D8229C">
      <w:pPr>
        <w:ind w:firstLine="720"/>
        <w:rPr>
          <w:b/>
          <w:bCs/>
        </w:rPr>
      </w:pPr>
    </w:p>
    <w:p w:rsidR="00843682" w:rsidRPr="00FE66E8" w:rsidRDefault="00843682" w:rsidP="00117091">
      <w:pPr>
        <w:numPr>
          <w:ilvl w:val="1"/>
          <w:numId w:val="16"/>
        </w:numPr>
      </w:pPr>
      <w:r w:rsidRPr="00FE66E8">
        <w:rPr>
          <w:b/>
        </w:rPr>
        <w:t>Recordkeeping:</w:t>
      </w:r>
    </w:p>
    <w:p w:rsidR="00843682" w:rsidRPr="00FE66E8" w:rsidRDefault="00843682" w:rsidP="008C4296">
      <w:pPr>
        <w:numPr>
          <w:ilvl w:val="0"/>
          <w:numId w:val="14"/>
        </w:numPr>
      </w:pPr>
      <w:r>
        <w:t>Annual average n</w:t>
      </w:r>
      <w:r w:rsidRPr="00FE66E8">
        <w:t>umber of</w:t>
      </w:r>
      <w:r>
        <w:t xml:space="preserve"> complaints:</w:t>
      </w:r>
      <w:r>
        <w:tab/>
      </w:r>
      <w:r>
        <w:tab/>
      </w:r>
      <w:r>
        <w:tab/>
        <w:t>3,000*</w:t>
      </w:r>
    </w:p>
    <w:p w:rsidR="00843682" w:rsidRPr="00FE66E8" w:rsidRDefault="00843682" w:rsidP="008C4296">
      <w:pPr>
        <w:numPr>
          <w:ilvl w:val="0"/>
          <w:numId w:val="14"/>
        </w:numPr>
      </w:pPr>
      <w:r>
        <w:t>Annual minutes per intake:</w:t>
      </w:r>
      <w:r>
        <w:tab/>
        <w:t xml:space="preserve">                   </w:t>
      </w:r>
      <w:r>
        <w:tab/>
      </w:r>
      <w:r>
        <w:tab/>
        <w:t>8</w:t>
      </w:r>
    </w:p>
    <w:p w:rsidR="00843682" w:rsidRPr="00FE66E8" w:rsidRDefault="00843682" w:rsidP="008C4296">
      <w:pPr>
        <w:numPr>
          <w:ilvl w:val="0"/>
          <w:numId w:val="14"/>
        </w:numPr>
      </w:pPr>
      <w:r w:rsidRPr="00FE66E8">
        <w:t xml:space="preserve">Total </w:t>
      </w:r>
      <w:r>
        <w:t>burden hours:</w:t>
      </w:r>
      <w:r>
        <w:tab/>
      </w:r>
      <w:r>
        <w:tab/>
        <w:t xml:space="preserve">   </w:t>
      </w:r>
      <w:r>
        <w:tab/>
      </w:r>
      <w:r>
        <w:tab/>
      </w:r>
      <w:r>
        <w:tab/>
        <w:t>400</w:t>
      </w:r>
      <w:r w:rsidRPr="00FE66E8">
        <w:t xml:space="preserve"> </w:t>
      </w:r>
    </w:p>
    <w:p w:rsidR="00843682" w:rsidRPr="00FE66E8" w:rsidRDefault="00843682" w:rsidP="00D8229C">
      <w:pPr>
        <w:ind w:firstLine="720"/>
      </w:pPr>
    </w:p>
    <w:p w:rsidR="00843682" w:rsidRPr="00FE66E8" w:rsidRDefault="00843682" w:rsidP="00117091">
      <w:pPr>
        <w:numPr>
          <w:ilvl w:val="1"/>
          <w:numId w:val="14"/>
        </w:numPr>
        <w:rPr>
          <w:b/>
        </w:rPr>
      </w:pPr>
      <w:r>
        <w:rPr>
          <w:b/>
        </w:rPr>
        <w:t>Reporting</w:t>
      </w:r>
      <w:r w:rsidRPr="00FE66E8">
        <w:rPr>
          <w:b/>
        </w:rPr>
        <w:t>:</w:t>
      </w:r>
    </w:p>
    <w:p w:rsidR="00843682" w:rsidRPr="00FE66E8" w:rsidRDefault="00843682" w:rsidP="00B0764E">
      <w:pPr>
        <w:numPr>
          <w:ilvl w:val="0"/>
          <w:numId w:val="20"/>
        </w:numPr>
      </w:pPr>
      <w:r w:rsidRPr="00FE66E8">
        <w:t>Annual average number of forms</w:t>
      </w:r>
      <w:r>
        <w:t>:</w:t>
      </w:r>
      <w:r>
        <w:tab/>
      </w:r>
      <w:r>
        <w:tab/>
        <w:t xml:space="preserve"> </w:t>
      </w:r>
      <w:r>
        <w:tab/>
      </w:r>
      <w:r>
        <w:tab/>
        <w:t>3</w:t>
      </w:r>
      <w:r w:rsidRPr="00FE66E8">
        <w:t>,</w:t>
      </w:r>
      <w:r>
        <w:t>000*</w:t>
      </w:r>
    </w:p>
    <w:p w:rsidR="00843682" w:rsidRPr="00FE66E8" w:rsidRDefault="00843682" w:rsidP="00B0764E">
      <w:pPr>
        <w:numPr>
          <w:ilvl w:val="0"/>
          <w:numId w:val="20"/>
        </w:numPr>
      </w:pPr>
      <w:r w:rsidRPr="00FE66E8">
        <w:t>Minutes per form</w:t>
      </w:r>
      <w:r>
        <w:t>:</w:t>
      </w:r>
      <w:r>
        <w:tab/>
      </w:r>
      <w:r>
        <w:tab/>
      </w:r>
      <w:r>
        <w:tab/>
      </w:r>
      <w:r>
        <w:tab/>
        <w:t xml:space="preserve">    </w:t>
      </w:r>
      <w:r>
        <w:tab/>
      </w:r>
      <w:r>
        <w:tab/>
        <w:t xml:space="preserve">   120</w:t>
      </w:r>
    </w:p>
    <w:p w:rsidR="00843682" w:rsidRPr="00FE66E8" w:rsidRDefault="00843682" w:rsidP="00B0764E">
      <w:pPr>
        <w:numPr>
          <w:ilvl w:val="0"/>
          <w:numId w:val="20"/>
        </w:numPr>
      </w:pPr>
      <w:r>
        <w:t>Total reporting</w:t>
      </w:r>
      <w:r w:rsidRPr="00FE66E8">
        <w:t xml:space="preserve"> hours</w:t>
      </w:r>
      <w:r>
        <w:t>:</w:t>
      </w:r>
      <w:r>
        <w:tab/>
      </w:r>
      <w:r>
        <w:tab/>
      </w:r>
      <w:r>
        <w:tab/>
        <w:t xml:space="preserve"> </w:t>
      </w:r>
      <w:r>
        <w:tab/>
      </w:r>
      <w:r>
        <w:tab/>
      </w:r>
      <w:r w:rsidRPr="00FE66E8">
        <w:t>6</w:t>
      </w:r>
      <w:r>
        <w:t>,000</w:t>
      </w:r>
      <w:r w:rsidRPr="00FE66E8">
        <w:t xml:space="preserve"> </w:t>
      </w:r>
    </w:p>
    <w:p w:rsidR="00843682" w:rsidRPr="00FE66E8" w:rsidRDefault="00843682" w:rsidP="00D8229C">
      <w:pPr>
        <w:ind w:firstLine="720"/>
      </w:pPr>
    </w:p>
    <w:p w:rsidR="00843682" w:rsidRDefault="00843682" w:rsidP="00D8229C">
      <w:r w:rsidRPr="00FE66E8">
        <w:t xml:space="preserve">*Not all complaints that are logged utilize the Employment Service Complaint/Referral Record, ETA Form 8429.  The SWA’s are only required to utilize this form for MSFW complaints and ES related complaints from non-MSFWs.  Based upon contacts with those states with the highest level of reported complaint activity, we believe that </w:t>
      </w:r>
      <w:r>
        <w:t>approximately</w:t>
      </w:r>
      <w:r w:rsidRPr="00FE66E8">
        <w:t xml:space="preserve"> </w:t>
      </w:r>
      <w:r>
        <w:t>3</w:t>
      </w:r>
      <w:r w:rsidRPr="00FE66E8">
        <w:t>,</w:t>
      </w:r>
      <w:r>
        <w:t>000</w:t>
      </w:r>
      <w:r w:rsidRPr="00FE66E8">
        <w:t xml:space="preserve"> complaints were captured on the ETA Forms 8429 in the previous program year.  </w:t>
      </w:r>
    </w:p>
    <w:p w:rsidR="00843682" w:rsidRDefault="00843682" w:rsidP="00D8229C"/>
    <w:p w:rsidR="00843682" w:rsidRPr="00FE66E8" w:rsidRDefault="00843682" w:rsidP="00D8229C">
      <w:r w:rsidRPr="00D92B14">
        <w:t>TOTAL burden hours for ETA 8429:  400 (recordkeeping) + 6,000 (reporting) = 6,400 hours</w:t>
      </w:r>
    </w:p>
    <w:p w:rsidR="00843682" w:rsidRPr="00FE66E8" w:rsidRDefault="00843682" w:rsidP="00D8229C"/>
    <w:p w:rsidR="00843682" w:rsidRPr="00FE66E8" w:rsidRDefault="00843682" w:rsidP="00D8229C">
      <w:pPr>
        <w:ind w:firstLine="720"/>
        <w:rPr>
          <w:b/>
          <w:bCs/>
        </w:rPr>
      </w:pPr>
      <w:r w:rsidRPr="00FE66E8">
        <w:rPr>
          <w:b/>
          <w:bCs/>
        </w:rPr>
        <w:t>OUTREACH LOG (ETA Form 5148)</w:t>
      </w:r>
    </w:p>
    <w:p w:rsidR="00843682" w:rsidRPr="00FE66E8" w:rsidRDefault="00843682" w:rsidP="00D8229C">
      <w:pPr>
        <w:ind w:left="360"/>
      </w:pPr>
    </w:p>
    <w:p w:rsidR="00843682" w:rsidRPr="00FE66E8" w:rsidRDefault="00843682" w:rsidP="00EF449A">
      <w:pPr>
        <w:numPr>
          <w:ilvl w:val="0"/>
          <w:numId w:val="21"/>
        </w:numPr>
      </w:pPr>
      <w:r w:rsidRPr="00FE66E8">
        <w:rPr>
          <w:b/>
        </w:rPr>
        <w:t>Recordkeeping:</w:t>
      </w:r>
    </w:p>
    <w:p w:rsidR="00843682" w:rsidRPr="00FE66E8" w:rsidRDefault="00843682" w:rsidP="00EF449A">
      <w:pPr>
        <w:numPr>
          <w:ilvl w:val="0"/>
          <w:numId w:val="23"/>
        </w:numPr>
      </w:pPr>
      <w:r w:rsidRPr="00FE66E8">
        <w:t>Number of record keepers</w:t>
      </w:r>
      <w:r>
        <w:t>:</w:t>
      </w:r>
      <w:r>
        <w:tab/>
      </w:r>
      <w:r>
        <w:tab/>
      </w:r>
      <w:r>
        <w:tab/>
        <w:t xml:space="preserve">       200  (state monitor advocates)</w:t>
      </w:r>
    </w:p>
    <w:p w:rsidR="00843682" w:rsidRPr="00FE66E8" w:rsidRDefault="00843682" w:rsidP="00C07205">
      <w:pPr>
        <w:numPr>
          <w:ilvl w:val="0"/>
          <w:numId w:val="23"/>
        </w:numPr>
      </w:pPr>
      <w:r w:rsidRPr="00FE66E8">
        <w:t xml:space="preserve">Estimated </w:t>
      </w:r>
      <w:r>
        <w:t xml:space="preserve">annual </w:t>
      </w:r>
      <w:r w:rsidRPr="00FE66E8">
        <w:t>hours</w:t>
      </w:r>
      <w:r>
        <w:t xml:space="preserve"> per record keeper         3.428 </w:t>
      </w:r>
    </w:p>
    <w:p w:rsidR="00843682" w:rsidRDefault="00843682" w:rsidP="00C07205">
      <w:pPr>
        <w:numPr>
          <w:ilvl w:val="1"/>
          <w:numId w:val="23"/>
        </w:numPr>
      </w:pPr>
      <w:r w:rsidRPr="00FE66E8">
        <w:t xml:space="preserve">Estimated </w:t>
      </w:r>
      <w:r>
        <w:t>annual hours for all</w:t>
      </w:r>
      <w:r w:rsidRPr="00FE66E8">
        <w:t xml:space="preserve"> </w:t>
      </w:r>
      <w:r>
        <w:t xml:space="preserve">200 </w:t>
      </w:r>
      <w:r w:rsidRPr="00FE66E8">
        <w:t>record keeper</w:t>
      </w:r>
      <w:r>
        <w:t>s = 685.6</w:t>
      </w:r>
    </w:p>
    <w:p w:rsidR="00843682" w:rsidRPr="00FE66E8" w:rsidRDefault="00843682" w:rsidP="000762D5">
      <w:pPr>
        <w:ind w:left="1152"/>
      </w:pPr>
      <w:r>
        <w:t>or 4 state monitor advocates per state (50 state (respondents)</w:t>
      </w:r>
      <w:r>
        <w:tab/>
        <w:t xml:space="preserve">                                              </w:t>
      </w:r>
    </w:p>
    <w:p w:rsidR="00843682" w:rsidRDefault="00843682" w:rsidP="00C07205">
      <w:pPr>
        <w:ind w:left="1440"/>
      </w:pPr>
      <w:r>
        <w:t>=  685.6 (686) divided by 4 = 171.4</w:t>
      </w:r>
    </w:p>
    <w:p w:rsidR="00843682" w:rsidRPr="00FE66E8" w:rsidRDefault="00843682" w:rsidP="00C07205">
      <w:pPr>
        <w:ind w:left="1440"/>
      </w:pPr>
      <w:r>
        <w:t>x 50 (states, respondents) = 685.6 or 686 annual recordkeeping hours</w:t>
      </w:r>
    </w:p>
    <w:p w:rsidR="00843682" w:rsidRPr="00FE66E8" w:rsidRDefault="00843682" w:rsidP="00EF449A">
      <w:pPr>
        <w:ind w:firstLine="720"/>
      </w:pPr>
    </w:p>
    <w:p w:rsidR="00843682" w:rsidRPr="00FE66E8" w:rsidRDefault="00843682" w:rsidP="00EF449A">
      <w:pPr>
        <w:numPr>
          <w:ilvl w:val="0"/>
          <w:numId w:val="22"/>
        </w:numPr>
      </w:pPr>
      <w:r>
        <w:rPr>
          <w:b/>
        </w:rPr>
        <w:t xml:space="preserve">Reporting, </w:t>
      </w:r>
      <w:r w:rsidRPr="00FE66E8">
        <w:rPr>
          <w:b/>
        </w:rPr>
        <w:t xml:space="preserve">ETA 5148 </w:t>
      </w:r>
      <w:r>
        <w:rPr>
          <w:b/>
        </w:rPr>
        <w:t>Reports:</w:t>
      </w:r>
    </w:p>
    <w:p w:rsidR="00843682" w:rsidRPr="00FE66E8" w:rsidRDefault="00843682" w:rsidP="00EF449A">
      <w:pPr>
        <w:numPr>
          <w:ilvl w:val="0"/>
          <w:numId w:val="24"/>
        </w:numPr>
      </w:pPr>
      <w:r w:rsidRPr="00FE66E8">
        <w:t>Annual number of reports</w:t>
      </w:r>
      <w:r>
        <w:t>:</w:t>
      </w:r>
      <w:r>
        <w:tab/>
      </w:r>
      <w:r>
        <w:tab/>
      </w:r>
      <w:r>
        <w:tab/>
        <w:t xml:space="preserve">   250</w:t>
      </w:r>
    </w:p>
    <w:p w:rsidR="00843682" w:rsidRPr="00FE66E8" w:rsidRDefault="00843682" w:rsidP="00EF449A">
      <w:pPr>
        <w:ind w:left="1440"/>
      </w:pPr>
      <w:r>
        <w:t>(5 reports multiplied by 50</w:t>
      </w:r>
      <w:r w:rsidRPr="00FE66E8">
        <w:t xml:space="preserve"> respondents)</w:t>
      </w:r>
      <w:r w:rsidRPr="00FE66E8">
        <w:tab/>
      </w:r>
      <w:r w:rsidRPr="00FE66E8">
        <w:tab/>
      </w:r>
    </w:p>
    <w:p w:rsidR="00843682" w:rsidRPr="00FE66E8" w:rsidRDefault="00843682" w:rsidP="00EF449A">
      <w:pPr>
        <w:numPr>
          <w:ilvl w:val="0"/>
          <w:numId w:val="24"/>
        </w:numPr>
      </w:pPr>
      <w:r w:rsidRPr="00FE66E8">
        <w:t>Estimated minutes per report</w:t>
      </w:r>
      <w:r>
        <w:t>:</w:t>
      </w:r>
      <w:r>
        <w:tab/>
      </w:r>
      <w:r>
        <w:tab/>
      </w:r>
      <w:r>
        <w:tab/>
        <w:t xml:space="preserve">     </w:t>
      </w:r>
      <w:r w:rsidRPr="00FE66E8">
        <w:t>70</w:t>
      </w:r>
    </w:p>
    <w:p w:rsidR="00843682" w:rsidRDefault="00843682" w:rsidP="00EF449A">
      <w:pPr>
        <w:numPr>
          <w:ilvl w:val="0"/>
          <w:numId w:val="24"/>
        </w:numPr>
      </w:pPr>
      <w:r w:rsidRPr="00FE66E8">
        <w:t>Total record keeping hours</w:t>
      </w:r>
      <w:r>
        <w:t>:</w:t>
      </w:r>
      <w:r>
        <w:tab/>
      </w:r>
      <w:r>
        <w:tab/>
      </w:r>
      <w:r>
        <w:tab/>
        <w:t xml:space="preserve">   </w:t>
      </w:r>
      <w:r w:rsidRPr="00FE66E8">
        <w:t>2</w:t>
      </w:r>
      <w:r>
        <w:t>91.66, or 292</w:t>
      </w:r>
    </w:p>
    <w:p w:rsidR="00843682" w:rsidRPr="00FE66E8" w:rsidRDefault="00843682" w:rsidP="009F1380">
      <w:pPr>
        <w:ind w:left="1152"/>
      </w:pPr>
      <w:r>
        <w:t>(50 x 5 x 70 minutes divided by 1 hour (60 minutes)</w:t>
      </w:r>
    </w:p>
    <w:p w:rsidR="00843682" w:rsidRPr="00FE66E8" w:rsidRDefault="00843682" w:rsidP="00EF449A">
      <w:pPr>
        <w:ind w:firstLine="720"/>
      </w:pPr>
    </w:p>
    <w:p w:rsidR="00843682" w:rsidRDefault="00843682" w:rsidP="00EF449A">
      <w:pPr>
        <w:ind w:left="360"/>
      </w:pPr>
      <w:r w:rsidRPr="000E6290">
        <w:rPr>
          <w:b/>
        </w:rPr>
        <w:t xml:space="preserve">Estimated total Burden Hours for ETA 5148 = 978 </w:t>
      </w:r>
      <w:r w:rsidRPr="000E6290">
        <w:t>(686 + 292)</w:t>
      </w:r>
    </w:p>
    <w:p w:rsidR="00843682" w:rsidRPr="000E6290" w:rsidRDefault="00843682" w:rsidP="00EF449A">
      <w:pPr>
        <w:ind w:left="360"/>
      </w:pPr>
    </w:p>
    <w:p w:rsidR="00843682" w:rsidRDefault="00843682" w:rsidP="00EF449A">
      <w:pPr>
        <w:ind w:left="360"/>
      </w:pPr>
      <w:r w:rsidRPr="000E6290">
        <w:t>Any differences in ROCIS are due to rounding off to whole numbers.</w:t>
      </w:r>
    </w:p>
    <w:p w:rsidR="00843682" w:rsidRDefault="00843682" w:rsidP="00EF449A">
      <w:pPr>
        <w:ind w:left="360"/>
      </w:pPr>
    </w:p>
    <w:p w:rsidR="00843682" w:rsidRPr="000E6290" w:rsidRDefault="00843682" w:rsidP="00EF449A">
      <w:pPr>
        <w:ind w:left="360"/>
      </w:pPr>
      <w:r>
        <w:t>TOTAL respondents for ETA 5148:  50</w:t>
      </w:r>
    </w:p>
    <w:p w:rsidR="00843682" w:rsidRPr="000E6290" w:rsidRDefault="00843682" w:rsidP="00EF449A">
      <w:pPr>
        <w:ind w:left="360"/>
      </w:pPr>
    </w:p>
    <w:p w:rsidR="00843682" w:rsidRDefault="00843682" w:rsidP="00EF449A">
      <w:pPr>
        <w:ind w:left="360"/>
      </w:pPr>
      <w:r w:rsidRPr="000E6290">
        <w:t xml:space="preserve">TOTAL burden hours for ETA 8429 </w:t>
      </w:r>
      <w:r>
        <w:t xml:space="preserve">(6,400 hours) </w:t>
      </w:r>
    </w:p>
    <w:p w:rsidR="00843682" w:rsidRDefault="00843682" w:rsidP="00EF449A">
      <w:pPr>
        <w:ind w:left="360"/>
      </w:pPr>
      <w:r>
        <w:t>plus ETA 5148 (686 + 292) = (978 hours)</w:t>
      </w:r>
    </w:p>
    <w:p w:rsidR="00843682" w:rsidRDefault="00843682" w:rsidP="00EF449A">
      <w:pPr>
        <w:ind w:left="360"/>
      </w:pPr>
    </w:p>
    <w:p w:rsidR="00843682" w:rsidRDefault="00843682" w:rsidP="00EF449A">
      <w:pPr>
        <w:ind w:left="360"/>
      </w:pPr>
      <w:r>
        <w:t xml:space="preserve">6,400 hours + </w:t>
      </w:r>
      <w:r w:rsidRPr="000E6290">
        <w:t xml:space="preserve"> </w:t>
      </w:r>
      <w:r>
        <w:t>978 hours = 7378</w:t>
      </w:r>
      <w:r w:rsidRPr="000E6290">
        <w:t xml:space="preserve"> hours.</w:t>
      </w:r>
    </w:p>
    <w:p w:rsidR="00843682" w:rsidRPr="00FE66E8" w:rsidRDefault="00843682" w:rsidP="00EF449A">
      <w:pPr>
        <w:ind w:left="360"/>
      </w:pPr>
    </w:p>
    <w:p w:rsidR="00843682" w:rsidRDefault="00843682" w:rsidP="00757A9D">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843682" w:rsidRPr="00FE66E8" w:rsidRDefault="00843682" w:rsidP="007B247E">
      <w:pPr>
        <w:rPr>
          <w:b/>
          <w:bCs/>
        </w:rPr>
      </w:pPr>
    </w:p>
    <w:p w:rsidR="00843682" w:rsidRPr="00FE66E8" w:rsidRDefault="00843682">
      <w:pPr>
        <w:rPr>
          <w:b/>
          <w:bCs/>
          <w:i/>
          <w:iCs/>
        </w:rPr>
      </w:pPr>
    </w:p>
    <w:p w:rsidR="00843682" w:rsidRPr="00FE66E8" w:rsidRDefault="00843682">
      <w:pPr>
        <w:numPr>
          <w:ilvl w:val="0"/>
          <w:numId w:val="3"/>
        </w:numPr>
      </w:pPr>
      <w:r w:rsidRPr="00FE66E8">
        <w:rPr>
          <w:b/>
          <w:bCs/>
          <w:i/>
          <w:iCs/>
        </w:rPr>
        <w:t>The cost estimate should be split into two components:  (a) a total capital and start-up cost component (annualized over its expected useful life); and (b) a total operation and maintenance and 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3682" w:rsidRPr="00FE66E8" w:rsidRDefault="00843682">
      <w:pPr>
        <w:ind w:left="360"/>
      </w:pPr>
    </w:p>
    <w:p w:rsidR="00843682" w:rsidRPr="00FE66E8" w:rsidRDefault="00843682">
      <w:pPr>
        <w:numPr>
          <w:ilvl w:val="0"/>
          <w:numId w:val="3"/>
        </w:numPr>
      </w:pPr>
      <w:r w:rsidRPr="00FE66E8">
        <w:rPr>
          <w:b/>
          <w:bCs/>
          <w:i/>
          <w:iCs/>
        </w:rPr>
        <w:t>If cost estimates are expected to vary widely, agencies should present ranges of cost burdens and explain the reasons for the variance.  The cost of purchasing or contracting out information collection services should be part of this cost burden estim1ate.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43682" w:rsidRDefault="00843682">
      <w:pPr>
        <w:ind w:left="360"/>
      </w:pPr>
    </w:p>
    <w:p w:rsidR="00843682" w:rsidRPr="00FE66E8" w:rsidRDefault="00843682">
      <w:pPr>
        <w:numPr>
          <w:ilvl w:val="0"/>
          <w:numId w:val="3"/>
        </w:numPr>
      </w:pPr>
      <w:r w:rsidRPr="00FE66E8">
        <w:rPr>
          <w:b/>
          <w:bCs/>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3682" w:rsidRPr="00FE66E8" w:rsidRDefault="00843682">
      <w:pPr>
        <w:ind w:left="360"/>
      </w:pPr>
    </w:p>
    <w:p w:rsidR="00843682" w:rsidRPr="00FE66E8" w:rsidRDefault="00843682">
      <w:r w:rsidRPr="00FE66E8">
        <w:t>There are no annual reporting and recordkeeping cost burdens under this collection.</w:t>
      </w:r>
    </w:p>
    <w:p w:rsidR="00843682" w:rsidRPr="00FE66E8" w:rsidRDefault="00843682"/>
    <w:p w:rsidR="00843682" w:rsidRDefault="00843682" w:rsidP="00B53341">
      <w:r>
        <w:rPr>
          <w:b/>
          <w:bCs/>
        </w:rPr>
        <w:t xml:space="preserve">14.  </w:t>
      </w:r>
      <w:r>
        <w:rPr>
          <w:b/>
          <w:bCs/>
          <w:u w:val="single"/>
        </w:rPr>
        <w:t>Provide estimates of annualized cost to the Federal government</w:t>
      </w:r>
      <w:r>
        <w:rPr>
          <w:b/>
          <w:bCs/>
        </w:rPr>
        <w:t>.</w:t>
      </w:r>
    </w:p>
    <w:p w:rsidR="00843682" w:rsidRPr="00FE66E8" w:rsidRDefault="00843682" w:rsidP="00B726D9"/>
    <w:p w:rsidR="00843682" w:rsidRPr="00FE66E8" w:rsidRDefault="00843682" w:rsidP="00B726D9">
      <w:r w:rsidRPr="00FE66E8">
        <w:t>Based on the annual salary of GS-13 Monitor Advocates in each region ($1</w:t>
      </w:r>
      <w:r>
        <w:t>00</w:t>
      </w:r>
      <w:r w:rsidRPr="00FE66E8">
        <w:t>,</w:t>
      </w:r>
      <w:r>
        <w:t>000</w:t>
      </w:r>
      <w:r w:rsidRPr="00FE66E8">
        <w:t>) who spend approximately 40 hours @ $</w:t>
      </w:r>
      <w:r>
        <w:t>1,923.08 ($100K ÷ 52 weeks)</w:t>
      </w:r>
      <w:r w:rsidRPr="00FE66E8">
        <w:t xml:space="preserve"> per year to review the complaint form, brings the average Federal cost to $1,</w:t>
      </w:r>
      <w:r>
        <w:t>923</w:t>
      </w:r>
      <w:r w:rsidRPr="00FE66E8">
        <w:t>.0</w:t>
      </w:r>
      <w:r>
        <w:t>8</w:t>
      </w:r>
      <w:r w:rsidRPr="00FE66E8">
        <w:t xml:space="preserve"> x 6 regions = $</w:t>
      </w:r>
      <w:r>
        <w:t>11,538.48.</w:t>
      </w:r>
    </w:p>
    <w:p w:rsidR="00843682" w:rsidRPr="00FE66E8" w:rsidRDefault="00843682">
      <w:pPr>
        <w:rPr>
          <w:strike/>
        </w:rPr>
      </w:pPr>
    </w:p>
    <w:p w:rsidR="00843682" w:rsidRDefault="00843682" w:rsidP="00B53341">
      <w:r>
        <w:rPr>
          <w:b/>
          <w:bCs/>
        </w:rPr>
        <w:t xml:space="preserve">15.  </w:t>
      </w:r>
      <w:r>
        <w:rPr>
          <w:b/>
          <w:bCs/>
          <w:u w:val="single"/>
        </w:rPr>
        <w:t xml:space="preserve">Explain the reasons for any program changes or adjustments </w:t>
      </w:r>
    </w:p>
    <w:p w:rsidR="00843682" w:rsidRPr="00FE66E8" w:rsidRDefault="00843682"/>
    <w:p w:rsidR="00843682" w:rsidRDefault="00843682">
      <w:r w:rsidRPr="00B15ABD">
        <w:t>First, the number of complaints has increased over the previous submission's estimates, and the number of reports is now more correctly re</w:t>
      </w:r>
      <w:r>
        <w:t>ported as 5 (rather than the 4 q</w:t>
      </w:r>
      <w:r w:rsidRPr="00B15ABD">
        <w:t>uarterly reports).  Second, in the previous submission the processing for ETA 8429 was calculated incorrectly, resulting in an underreporting of processing burden.  That has been corrected.</w:t>
      </w:r>
    </w:p>
    <w:p w:rsidR="00843682" w:rsidRDefault="00843682"/>
    <w:p w:rsidR="00843682" w:rsidRPr="0000129C" w:rsidRDefault="00843682">
      <w:r w:rsidRPr="0000129C">
        <w:t xml:space="preserve">While not affecting burden, minor changes have been made to ETA Form 8429, (1) In Part I, of item 8, increased the space provided for description of complaint, (2) in Part II, of items 2 and 3, added the word </w:t>
      </w:r>
      <w:r>
        <w:t>“</w:t>
      </w:r>
      <w:r w:rsidRPr="0000129C">
        <w:t>Job Service,</w:t>
      </w:r>
      <w:r>
        <w:t>”</w:t>
      </w:r>
      <w:r w:rsidRPr="0000129C">
        <w:t xml:space="preserve"> and (3) Part II, item 9 at the bottom added </w:t>
      </w:r>
      <w:r>
        <w:t>“</w:t>
      </w:r>
      <w:r w:rsidRPr="0000129C">
        <w:t xml:space="preserve">Complaint resolved? b Yes b No—If </w:t>
      </w:r>
      <w:r>
        <w:t>‘</w:t>
      </w:r>
      <w:r w:rsidRPr="0000129C">
        <w:t>No,</w:t>
      </w:r>
      <w:r>
        <w:t>’</w:t>
      </w:r>
      <w:r w:rsidRPr="0000129C">
        <w:t xml:space="preserve"> explain.</w:t>
      </w:r>
      <w:r>
        <w:t>”</w:t>
      </w:r>
    </w:p>
    <w:p w:rsidR="00843682" w:rsidRPr="00FE66E8" w:rsidRDefault="00843682">
      <w:r w:rsidRPr="00B15ABD">
        <w:t xml:space="preserve">  </w:t>
      </w:r>
    </w:p>
    <w:p w:rsidR="00843682" w:rsidRPr="00FE66E8" w:rsidRDefault="00843682">
      <w:r>
        <w:rPr>
          <w:b/>
          <w:bCs/>
        </w:rPr>
        <w:t xml:space="preserve">16.  </w:t>
      </w:r>
      <w:r>
        <w:rPr>
          <w:b/>
          <w:bCs/>
          <w:u w:val="single"/>
        </w:rPr>
        <w:t>For collections whose results will be published, outline the plans for tabulation and publication</w:t>
      </w:r>
    </w:p>
    <w:p w:rsidR="00843682" w:rsidRDefault="00843682"/>
    <w:p w:rsidR="00843682" w:rsidRDefault="00843682">
      <w:r w:rsidRPr="00FE66E8">
        <w:t>At this present time there are no plans to publish data.  Other job seekers service outcome data is published in the ETA 9002 Annual Report.</w:t>
      </w:r>
    </w:p>
    <w:p w:rsidR="00843682" w:rsidRPr="00FE66E8" w:rsidRDefault="00843682"/>
    <w:p w:rsidR="00843682" w:rsidRDefault="00843682" w:rsidP="00D5253D">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843682" w:rsidRPr="00FE66E8" w:rsidRDefault="00843682">
      <w:r w:rsidRPr="00FE66E8">
        <w:t xml:space="preserve"> </w:t>
      </w:r>
    </w:p>
    <w:p w:rsidR="00843682" w:rsidRPr="00FE66E8" w:rsidRDefault="00843682">
      <w:r w:rsidRPr="00FE66E8">
        <w:t>No request for approval to not display the expiration date from OMB approval of the information collection.</w:t>
      </w:r>
    </w:p>
    <w:p w:rsidR="00843682" w:rsidRDefault="00843682"/>
    <w:p w:rsidR="00843682" w:rsidRDefault="00843682" w:rsidP="00D5253D">
      <w:pPr>
        <w:rPr>
          <w:b/>
          <w:bCs/>
          <w:u w:val="single"/>
        </w:rPr>
      </w:pPr>
      <w:r>
        <w:rPr>
          <w:b/>
          <w:bCs/>
        </w:rPr>
        <w:t xml:space="preserve">18.  </w:t>
      </w:r>
      <w:r>
        <w:rPr>
          <w:b/>
          <w:bCs/>
          <w:u w:val="single"/>
        </w:rPr>
        <w:t xml:space="preserve">Explain each exception to the certification statement identified in Item 19 of the </w:t>
      </w:r>
    </w:p>
    <w:p w:rsidR="00843682" w:rsidRDefault="00843682" w:rsidP="00D5253D">
      <w:r>
        <w:rPr>
          <w:b/>
          <w:bCs/>
          <w:u w:val="single"/>
        </w:rPr>
        <w:t>OMB 83-I</w:t>
      </w:r>
      <w:r>
        <w:rPr>
          <w:b/>
          <w:bCs/>
        </w:rPr>
        <w:t>.</w:t>
      </w:r>
    </w:p>
    <w:p w:rsidR="00843682" w:rsidRPr="00FE66E8" w:rsidRDefault="00843682"/>
    <w:p w:rsidR="00843682" w:rsidRPr="00FE66E8" w:rsidRDefault="00843682">
      <w:r w:rsidRPr="00FE66E8">
        <w:t>There are no exceptions.</w:t>
      </w:r>
    </w:p>
    <w:p w:rsidR="00843682" w:rsidRPr="00FE66E8" w:rsidRDefault="00843682"/>
    <w:p w:rsidR="00843682" w:rsidRDefault="00843682" w:rsidP="00D5253D">
      <w:r>
        <w:rPr>
          <w:b/>
          <w:bCs/>
        </w:rPr>
        <w:t>B.  COLLECTIONS OF INFORMATION EMPLOYING STATISTICAL METHODS</w:t>
      </w:r>
    </w:p>
    <w:p w:rsidR="00843682" w:rsidRDefault="00843682" w:rsidP="00D5253D"/>
    <w:p w:rsidR="00843682" w:rsidRDefault="00843682" w:rsidP="00D5253D">
      <w:pPr>
        <w:rPr>
          <w:iCs/>
        </w:rPr>
      </w:pPr>
      <w:r>
        <w:rPr>
          <w:i/>
          <w:iCs/>
        </w:rPr>
        <w:t>(If your collection does not employ statistical methods, just say that and delete the following five questions from the forma.).</w:t>
      </w:r>
    </w:p>
    <w:p w:rsidR="00843682" w:rsidRDefault="00843682" w:rsidP="00D5253D">
      <w:pPr>
        <w:rPr>
          <w:iCs/>
        </w:rPr>
      </w:pPr>
    </w:p>
    <w:p w:rsidR="00843682" w:rsidRPr="00741B7E" w:rsidRDefault="00843682" w:rsidP="00D5253D">
      <w:r>
        <w:rPr>
          <w:iCs/>
        </w:rPr>
        <w:t>This collection of information does not employ statistical methodologies.</w:t>
      </w:r>
    </w:p>
    <w:p w:rsidR="00843682" w:rsidRDefault="00843682" w:rsidP="00D5253D"/>
    <w:sectPr w:rsidR="00843682" w:rsidSect="00FE66E8">
      <w:footerReference w:type="even" r:id="rId10"/>
      <w:footerReference w:type="default" r:id="rId11"/>
      <w:pgSz w:w="12240" w:h="15840" w:code="1"/>
      <w:pgMar w:top="1008"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682" w:rsidRDefault="00843682">
      <w:r>
        <w:separator/>
      </w:r>
    </w:p>
  </w:endnote>
  <w:endnote w:type="continuationSeparator" w:id="0">
    <w:p w:rsidR="00843682" w:rsidRDefault="008436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82" w:rsidRDefault="00843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43682" w:rsidRDefault="00843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682" w:rsidRDefault="00843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43682" w:rsidRDefault="00843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682" w:rsidRDefault="00843682">
      <w:r>
        <w:separator/>
      </w:r>
    </w:p>
  </w:footnote>
  <w:footnote w:type="continuationSeparator" w:id="0">
    <w:p w:rsidR="00843682" w:rsidRDefault="00843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031"/>
    <w:multiLevelType w:val="hybridMultilevel"/>
    <w:tmpl w:val="0194EC26"/>
    <w:lvl w:ilvl="0" w:tplc="E46A7946">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
    <w:nsid w:val="07B60159"/>
    <w:multiLevelType w:val="multilevel"/>
    <w:tmpl w:val="8A00A4F4"/>
    <w:lvl w:ilvl="0">
      <w:start w:val="1"/>
      <w:numFmt w:val="bullet"/>
      <w:lvlText w:val=""/>
      <w:lvlJc w:val="left"/>
      <w:pPr>
        <w:tabs>
          <w:tab w:val="num" w:pos="1728"/>
        </w:tabs>
        <w:ind w:left="1728" w:hanging="288"/>
      </w:pPr>
      <w:rPr>
        <w:rFonts w:ascii="Wingdings" w:hAnsi="Wingdings" w:hint="default"/>
        <w:color w:val="auto"/>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112D14AA"/>
    <w:multiLevelType w:val="hybridMultilevel"/>
    <w:tmpl w:val="98F0DC64"/>
    <w:lvl w:ilvl="0" w:tplc="CD70CC42">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
    <w:nsid w:val="14DF523C"/>
    <w:multiLevelType w:val="hybridMultilevel"/>
    <w:tmpl w:val="A320B1AE"/>
    <w:lvl w:ilvl="0" w:tplc="133C5C20">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
    <w:nsid w:val="1D5340A0"/>
    <w:multiLevelType w:val="hybridMultilevel"/>
    <w:tmpl w:val="07CED9FE"/>
    <w:lvl w:ilvl="0" w:tplc="69BCAC22">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F3B28BF2">
      <w:start w:val="2"/>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4DF3A68"/>
    <w:multiLevelType w:val="hybridMultilevel"/>
    <w:tmpl w:val="FDF679A4"/>
    <w:lvl w:ilvl="0" w:tplc="36C81E76">
      <w:start w:val="4"/>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A455B19"/>
    <w:multiLevelType w:val="hybridMultilevel"/>
    <w:tmpl w:val="E618ED98"/>
    <w:lvl w:ilvl="0" w:tplc="8480A954">
      <w:start w:val="2"/>
      <w:numFmt w:val="lowerLetter"/>
      <w:lvlText w:val="%1."/>
      <w:lvlJc w:val="left"/>
      <w:pPr>
        <w:tabs>
          <w:tab w:val="num" w:pos="1152"/>
        </w:tabs>
        <w:ind w:left="1152" w:hanging="432"/>
      </w:pPr>
      <w:rPr>
        <w:rFonts w:cs="Times New Roman"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rPr>
        <w:rFonts w:cs="Times New Roman"/>
      </w:rPr>
    </w:lvl>
    <w:lvl w:ilvl="3" w:tplc="0409000F">
      <w:start w:val="1"/>
      <w:numFmt w:val="decimal"/>
      <w:lvlText w:val="%4."/>
      <w:lvlJc w:val="left"/>
      <w:pPr>
        <w:tabs>
          <w:tab w:val="num" w:pos="1296"/>
        </w:tabs>
        <w:ind w:left="1296" w:hanging="360"/>
      </w:pPr>
      <w:rPr>
        <w:rFonts w:cs="Times New Roman"/>
      </w:rPr>
    </w:lvl>
    <w:lvl w:ilvl="4" w:tplc="04090019">
      <w:start w:val="1"/>
      <w:numFmt w:val="lowerLetter"/>
      <w:lvlText w:val="%5."/>
      <w:lvlJc w:val="left"/>
      <w:pPr>
        <w:tabs>
          <w:tab w:val="num" w:pos="2016"/>
        </w:tabs>
        <w:ind w:left="2016" w:hanging="360"/>
      </w:pPr>
      <w:rPr>
        <w:rFonts w:cs="Times New Roman"/>
      </w:rPr>
    </w:lvl>
    <w:lvl w:ilvl="5" w:tplc="0409001B" w:tentative="1">
      <w:start w:val="1"/>
      <w:numFmt w:val="lowerRoman"/>
      <w:lvlText w:val="%6."/>
      <w:lvlJc w:val="right"/>
      <w:pPr>
        <w:tabs>
          <w:tab w:val="num" w:pos="2736"/>
        </w:tabs>
        <w:ind w:left="2736" w:hanging="180"/>
      </w:pPr>
      <w:rPr>
        <w:rFonts w:cs="Times New Roman"/>
      </w:rPr>
    </w:lvl>
    <w:lvl w:ilvl="6" w:tplc="0409000F" w:tentative="1">
      <w:start w:val="1"/>
      <w:numFmt w:val="decimal"/>
      <w:lvlText w:val="%7."/>
      <w:lvlJc w:val="left"/>
      <w:pPr>
        <w:tabs>
          <w:tab w:val="num" w:pos="3456"/>
        </w:tabs>
        <w:ind w:left="3456" w:hanging="360"/>
      </w:pPr>
      <w:rPr>
        <w:rFonts w:cs="Times New Roman"/>
      </w:rPr>
    </w:lvl>
    <w:lvl w:ilvl="7" w:tplc="04090019" w:tentative="1">
      <w:start w:val="1"/>
      <w:numFmt w:val="lowerLetter"/>
      <w:lvlText w:val="%8."/>
      <w:lvlJc w:val="left"/>
      <w:pPr>
        <w:tabs>
          <w:tab w:val="num" w:pos="4176"/>
        </w:tabs>
        <w:ind w:left="4176" w:hanging="360"/>
      </w:pPr>
      <w:rPr>
        <w:rFonts w:cs="Times New Roman"/>
      </w:rPr>
    </w:lvl>
    <w:lvl w:ilvl="8" w:tplc="0409001B" w:tentative="1">
      <w:start w:val="1"/>
      <w:numFmt w:val="lowerRoman"/>
      <w:lvlText w:val="%9."/>
      <w:lvlJc w:val="right"/>
      <w:pPr>
        <w:tabs>
          <w:tab w:val="num" w:pos="4896"/>
        </w:tabs>
        <w:ind w:left="4896" w:hanging="180"/>
      </w:pPr>
      <w:rPr>
        <w:rFonts w:cs="Times New Roman"/>
      </w:rPr>
    </w:lvl>
  </w:abstractNum>
  <w:abstractNum w:abstractNumId="9">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cs="Times New Roman"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33A68F2"/>
    <w:multiLevelType w:val="hybridMultilevel"/>
    <w:tmpl w:val="5D40D19C"/>
    <w:lvl w:ilvl="0" w:tplc="75781328">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1">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77D05"/>
    <w:multiLevelType w:val="hybridMultilevel"/>
    <w:tmpl w:val="F6E448F6"/>
    <w:lvl w:ilvl="0" w:tplc="BBC8868A">
      <w:start w:val="3"/>
      <w:numFmt w:val="decimal"/>
      <w:lvlText w:val="%1."/>
      <w:lvlJc w:val="left"/>
      <w:pPr>
        <w:tabs>
          <w:tab w:val="num" w:pos="600"/>
        </w:tabs>
        <w:ind w:left="600" w:hanging="360"/>
      </w:pPr>
      <w:rPr>
        <w:rFonts w:cs="Times New Roman" w:hint="default"/>
        <w:b w:val="0"/>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4">
    <w:nsid w:val="39703C99"/>
    <w:multiLevelType w:val="multilevel"/>
    <w:tmpl w:val="A37443FE"/>
    <w:lvl w:ilvl="0">
      <w:start w:val="1"/>
      <w:numFmt w:val="lowerLetter"/>
      <w:lvlText w:val="%1."/>
      <w:lvlJc w:val="left"/>
      <w:pPr>
        <w:tabs>
          <w:tab w:val="num" w:pos="2016"/>
        </w:tabs>
        <w:ind w:left="2016"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09A250C"/>
    <w:multiLevelType w:val="hybridMultilevel"/>
    <w:tmpl w:val="523890F2"/>
    <w:lvl w:ilvl="0" w:tplc="32DEFE38">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6">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519A4B82"/>
    <w:multiLevelType w:val="multilevel"/>
    <w:tmpl w:val="D6A07AA4"/>
    <w:lvl w:ilvl="0">
      <w:start w:val="1"/>
      <w:numFmt w:val="lowerLetter"/>
      <w:lvlText w:val="%1."/>
      <w:lvlJc w:val="left"/>
      <w:pPr>
        <w:tabs>
          <w:tab w:val="num" w:pos="2016"/>
        </w:tabs>
        <w:ind w:left="2016" w:hanging="432"/>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9EF6C13"/>
    <w:multiLevelType w:val="hybridMultilevel"/>
    <w:tmpl w:val="9C1666D8"/>
    <w:lvl w:ilvl="0" w:tplc="EB56E92E">
      <w:start w:val="1"/>
      <w:numFmt w:val="lowerLetter"/>
      <w:lvlText w:val="%1."/>
      <w:lvlJc w:val="left"/>
      <w:pPr>
        <w:tabs>
          <w:tab w:val="num" w:pos="1152"/>
        </w:tabs>
        <w:ind w:left="1152" w:hanging="432"/>
      </w:pPr>
      <w:rPr>
        <w:rFonts w:cs="Times New Roman" w:hint="default"/>
        <w:b/>
      </w:rPr>
    </w:lvl>
    <w:lvl w:ilvl="1" w:tplc="04090019">
      <w:start w:val="1"/>
      <w:numFmt w:val="lowerLetter"/>
      <w:lvlText w:val="%2."/>
      <w:lvlJc w:val="left"/>
      <w:pPr>
        <w:tabs>
          <w:tab w:val="num" w:pos="576"/>
        </w:tabs>
        <w:ind w:left="576" w:hanging="360"/>
      </w:pPr>
      <w:rPr>
        <w:rFonts w:cs="Times New Roman"/>
      </w:rPr>
    </w:lvl>
    <w:lvl w:ilvl="2" w:tplc="0409001B" w:tentative="1">
      <w:start w:val="1"/>
      <w:numFmt w:val="lowerRoman"/>
      <w:lvlText w:val="%3."/>
      <w:lvlJc w:val="right"/>
      <w:pPr>
        <w:tabs>
          <w:tab w:val="num" w:pos="1296"/>
        </w:tabs>
        <w:ind w:left="1296" w:hanging="180"/>
      </w:pPr>
      <w:rPr>
        <w:rFonts w:cs="Times New Roman"/>
      </w:rPr>
    </w:lvl>
    <w:lvl w:ilvl="3" w:tplc="0409000F" w:tentative="1">
      <w:start w:val="1"/>
      <w:numFmt w:val="decimal"/>
      <w:lvlText w:val="%4."/>
      <w:lvlJc w:val="left"/>
      <w:pPr>
        <w:tabs>
          <w:tab w:val="num" w:pos="2016"/>
        </w:tabs>
        <w:ind w:left="2016" w:hanging="360"/>
      </w:pPr>
      <w:rPr>
        <w:rFonts w:cs="Times New Roman"/>
      </w:rPr>
    </w:lvl>
    <w:lvl w:ilvl="4" w:tplc="04090019" w:tentative="1">
      <w:start w:val="1"/>
      <w:numFmt w:val="lowerLetter"/>
      <w:lvlText w:val="%5."/>
      <w:lvlJc w:val="left"/>
      <w:pPr>
        <w:tabs>
          <w:tab w:val="num" w:pos="2736"/>
        </w:tabs>
        <w:ind w:left="2736" w:hanging="360"/>
      </w:pPr>
      <w:rPr>
        <w:rFonts w:cs="Times New Roman"/>
      </w:rPr>
    </w:lvl>
    <w:lvl w:ilvl="5" w:tplc="0409001B" w:tentative="1">
      <w:start w:val="1"/>
      <w:numFmt w:val="lowerRoman"/>
      <w:lvlText w:val="%6."/>
      <w:lvlJc w:val="right"/>
      <w:pPr>
        <w:tabs>
          <w:tab w:val="num" w:pos="3456"/>
        </w:tabs>
        <w:ind w:left="3456" w:hanging="180"/>
      </w:pPr>
      <w:rPr>
        <w:rFonts w:cs="Times New Roman"/>
      </w:rPr>
    </w:lvl>
    <w:lvl w:ilvl="6" w:tplc="0409000F" w:tentative="1">
      <w:start w:val="1"/>
      <w:numFmt w:val="decimal"/>
      <w:lvlText w:val="%7."/>
      <w:lvlJc w:val="left"/>
      <w:pPr>
        <w:tabs>
          <w:tab w:val="num" w:pos="4176"/>
        </w:tabs>
        <w:ind w:left="4176" w:hanging="360"/>
      </w:pPr>
      <w:rPr>
        <w:rFonts w:cs="Times New Roman"/>
      </w:rPr>
    </w:lvl>
    <w:lvl w:ilvl="7" w:tplc="04090019" w:tentative="1">
      <w:start w:val="1"/>
      <w:numFmt w:val="lowerLetter"/>
      <w:lvlText w:val="%8."/>
      <w:lvlJc w:val="left"/>
      <w:pPr>
        <w:tabs>
          <w:tab w:val="num" w:pos="4896"/>
        </w:tabs>
        <w:ind w:left="4896" w:hanging="360"/>
      </w:pPr>
      <w:rPr>
        <w:rFonts w:cs="Times New Roman"/>
      </w:rPr>
    </w:lvl>
    <w:lvl w:ilvl="8" w:tplc="0409001B" w:tentative="1">
      <w:start w:val="1"/>
      <w:numFmt w:val="lowerRoman"/>
      <w:lvlText w:val="%9."/>
      <w:lvlJc w:val="right"/>
      <w:pPr>
        <w:tabs>
          <w:tab w:val="num" w:pos="5616"/>
        </w:tabs>
        <w:ind w:left="5616" w:hanging="180"/>
      </w:pPr>
      <w:rPr>
        <w:rFonts w:cs="Times New Roman"/>
      </w:rPr>
    </w:lvl>
  </w:abstractNum>
  <w:abstractNum w:abstractNumId="20">
    <w:nsid w:val="62744180"/>
    <w:multiLevelType w:val="hybridMultilevel"/>
    <w:tmpl w:val="8F182ECA"/>
    <w:lvl w:ilvl="0" w:tplc="7DC8F4EC">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B557299"/>
    <w:multiLevelType w:val="hybridMultilevel"/>
    <w:tmpl w:val="B09A7F70"/>
    <w:lvl w:ilvl="0" w:tplc="C7D032FE">
      <w:start w:val="5"/>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2">
    <w:nsid w:val="7558751B"/>
    <w:multiLevelType w:val="multilevel"/>
    <w:tmpl w:val="D6A07AA4"/>
    <w:lvl w:ilvl="0">
      <w:start w:val="1"/>
      <w:numFmt w:val="lowerLetter"/>
      <w:lvlText w:val="%1."/>
      <w:lvlJc w:val="left"/>
      <w:pPr>
        <w:tabs>
          <w:tab w:val="num" w:pos="2016"/>
        </w:tabs>
        <w:ind w:left="2016" w:hanging="432"/>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86A4732"/>
    <w:multiLevelType w:val="hybridMultilevel"/>
    <w:tmpl w:val="D1008DA0"/>
    <w:lvl w:ilvl="0" w:tplc="BD445DF4">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7BA24FF6"/>
    <w:multiLevelType w:val="hybridMultilevel"/>
    <w:tmpl w:val="D60E5296"/>
    <w:lvl w:ilvl="0" w:tplc="E68069BE">
      <w:start w:val="1"/>
      <w:numFmt w:val="lowerLetter"/>
      <w:lvlText w:val="%1."/>
      <w:lvlJc w:val="left"/>
      <w:pPr>
        <w:tabs>
          <w:tab w:val="num" w:pos="2016"/>
        </w:tabs>
        <w:ind w:left="2016" w:hanging="432"/>
      </w:pPr>
      <w:rPr>
        <w:rFonts w:cs="Times New Roman" w:hint="default"/>
      </w:rPr>
    </w:lvl>
    <w:lvl w:ilvl="1" w:tplc="9B523742">
      <w:start w:val="1"/>
      <w:numFmt w:val="lowerLetter"/>
      <w:lvlText w:val="%2."/>
      <w:lvlJc w:val="left"/>
      <w:pPr>
        <w:tabs>
          <w:tab w:val="num" w:pos="1440"/>
        </w:tabs>
        <w:ind w:left="144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F8F61A8"/>
    <w:multiLevelType w:val="hybridMultilevel"/>
    <w:tmpl w:val="BDE45EAA"/>
    <w:lvl w:ilvl="0" w:tplc="DFF455CA">
      <w:start w:val="3"/>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num w:numId="1">
    <w:abstractNumId w:val="0"/>
  </w:num>
  <w:num w:numId="2">
    <w:abstractNumId w:val="16"/>
  </w:num>
  <w:num w:numId="3">
    <w:abstractNumId w:val="12"/>
  </w:num>
  <w:num w:numId="4">
    <w:abstractNumId w:val="13"/>
  </w:num>
  <w:num w:numId="5">
    <w:abstractNumId w:val="15"/>
  </w:num>
  <w:num w:numId="6">
    <w:abstractNumId w:val="25"/>
  </w:num>
  <w:num w:numId="7">
    <w:abstractNumId w:val="4"/>
  </w:num>
  <w:num w:numId="8">
    <w:abstractNumId w:val="10"/>
  </w:num>
  <w:num w:numId="9">
    <w:abstractNumId w:val="1"/>
  </w:num>
  <w:num w:numId="10">
    <w:abstractNumId w:val="5"/>
  </w:num>
  <w:num w:numId="11">
    <w:abstractNumId w:val="21"/>
  </w:num>
  <w:num w:numId="12">
    <w:abstractNumId w:val="6"/>
  </w:num>
  <w:num w:numId="13">
    <w:abstractNumId w:val="23"/>
  </w:num>
  <w:num w:numId="14">
    <w:abstractNumId w:val="9"/>
  </w:num>
  <w:num w:numId="15">
    <w:abstractNumId w:val="2"/>
  </w:num>
  <w:num w:numId="16">
    <w:abstractNumId w:val="24"/>
  </w:num>
  <w:num w:numId="17">
    <w:abstractNumId w:val="14"/>
  </w:num>
  <w:num w:numId="18">
    <w:abstractNumId w:val="18"/>
  </w:num>
  <w:num w:numId="19">
    <w:abstractNumId w:val="22"/>
  </w:num>
  <w:num w:numId="20">
    <w:abstractNumId w:val="11"/>
  </w:num>
  <w:num w:numId="21">
    <w:abstractNumId w:val="19"/>
  </w:num>
  <w:num w:numId="22">
    <w:abstractNumId w:val="8"/>
  </w:num>
  <w:num w:numId="23">
    <w:abstractNumId w:val="3"/>
  </w:num>
  <w:num w:numId="24">
    <w:abstractNumId w:val="17"/>
  </w:num>
  <w:num w:numId="25">
    <w:abstractNumId w:val="7"/>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F62"/>
    <w:rsid w:val="0000129C"/>
    <w:rsid w:val="000051A6"/>
    <w:rsid w:val="000077C1"/>
    <w:rsid w:val="0001288B"/>
    <w:rsid w:val="00014387"/>
    <w:rsid w:val="00020506"/>
    <w:rsid w:val="00035CF7"/>
    <w:rsid w:val="0004071F"/>
    <w:rsid w:val="00047A7D"/>
    <w:rsid w:val="000508EB"/>
    <w:rsid w:val="00051438"/>
    <w:rsid w:val="000762D5"/>
    <w:rsid w:val="00076493"/>
    <w:rsid w:val="0007780A"/>
    <w:rsid w:val="000A7737"/>
    <w:rsid w:val="000C21F6"/>
    <w:rsid w:val="000D0800"/>
    <w:rsid w:val="000E05A6"/>
    <w:rsid w:val="000E6290"/>
    <w:rsid w:val="00106BC8"/>
    <w:rsid w:val="00113F64"/>
    <w:rsid w:val="00117091"/>
    <w:rsid w:val="00131D1C"/>
    <w:rsid w:val="00150702"/>
    <w:rsid w:val="00150F72"/>
    <w:rsid w:val="001515E9"/>
    <w:rsid w:val="001849D6"/>
    <w:rsid w:val="00186F46"/>
    <w:rsid w:val="00190D27"/>
    <w:rsid w:val="001931F3"/>
    <w:rsid w:val="001A4336"/>
    <w:rsid w:val="001A653F"/>
    <w:rsid w:val="001B50DE"/>
    <w:rsid w:val="001C2D0F"/>
    <w:rsid w:val="001C43D4"/>
    <w:rsid w:val="001C7272"/>
    <w:rsid w:val="001D1CF7"/>
    <w:rsid w:val="001F3AC1"/>
    <w:rsid w:val="00202894"/>
    <w:rsid w:val="00207869"/>
    <w:rsid w:val="00230D05"/>
    <w:rsid w:val="0023544C"/>
    <w:rsid w:val="00247000"/>
    <w:rsid w:val="00277D9A"/>
    <w:rsid w:val="00281DB4"/>
    <w:rsid w:val="00282A03"/>
    <w:rsid w:val="00282AAD"/>
    <w:rsid w:val="002906BD"/>
    <w:rsid w:val="002A1055"/>
    <w:rsid w:val="002A34F3"/>
    <w:rsid w:val="002A4BD6"/>
    <w:rsid w:val="002A50D5"/>
    <w:rsid w:val="002A63A9"/>
    <w:rsid w:val="002B568D"/>
    <w:rsid w:val="002B6341"/>
    <w:rsid w:val="002B660A"/>
    <w:rsid w:val="002C6381"/>
    <w:rsid w:val="002D38B2"/>
    <w:rsid w:val="002E6549"/>
    <w:rsid w:val="002F15CE"/>
    <w:rsid w:val="0031454F"/>
    <w:rsid w:val="003310D0"/>
    <w:rsid w:val="00333FEE"/>
    <w:rsid w:val="00334A60"/>
    <w:rsid w:val="0034798F"/>
    <w:rsid w:val="003601CA"/>
    <w:rsid w:val="00377284"/>
    <w:rsid w:val="003848FC"/>
    <w:rsid w:val="0038779D"/>
    <w:rsid w:val="003A45A4"/>
    <w:rsid w:val="003D2B69"/>
    <w:rsid w:val="003D6796"/>
    <w:rsid w:val="003E1A97"/>
    <w:rsid w:val="003F6091"/>
    <w:rsid w:val="004076B1"/>
    <w:rsid w:val="00430B79"/>
    <w:rsid w:val="00431CC2"/>
    <w:rsid w:val="0043510A"/>
    <w:rsid w:val="00446389"/>
    <w:rsid w:val="004507DE"/>
    <w:rsid w:val="004513DF"/>
    <w:rsid w:val="00451D93"/>
    <w:rsid w:val="00465302"/>
    <w:rsid w:val="00466951"/>
    <w:rsid w:val="004708BF"/>
    <w:rsid w:val="004A73B3"/>
    <w:rsid w:val="004B4609"/>
    <w:rsid w:val="004C2A76"/>
    <w:rsid w:val="004D17D5"/>
    <w:rsid w:val="004D7964"/>
    <w:rsid w:val="004E5BB4"/>
    <w:rsid w:val="004E6FA6"/>
    <w:rsid w:val="004E7F56"/>
    <w:rsid w:val="004F2FFE"/>
    <w:rsid w:val="00502067"/>
    <w:rsid w:val="00523CE6"/>
    <w:rsid w:val="00552078"/>
    <w:rsid w:val="00553F65"/>
    <w:rsid w:val="005B56C0"/>
    <w:rsid w:val="005D30D3"/>
    <w:rsid w:val="005D4AF1"/>
    <w:rsid w:val="005D7D57"/>
    <w:rsid w:val="005F291E"/>
    <w:rsid w:val="00603542"/>
    <w:rsid w:val="00607DF9"/>
    <w:rsid w:val="00615B7F"/>
    <w:rsid w:val="00617C76"/>
    <w:rsid w:val="006248FB"/>
    <w:rsid w:val="00626865"/>
    <w:rsid w:val="00666A35"/>
    <w:rsid w:val="00667188"/>
    <w:rsid w:val="00667C51"/>
    <w:rsid w:val="006923C7"/>
    <w:rsid w:val="006A76D7"/>
    <w:rsid w:val="006B3FD5"/>
    <w:rsid w:val="006B55F1"/>
    <w:rsid w:val="006C3E76"/>
    <w:rsid w:val="006C5490"/>
    <w:rsid w:val="006E5B41"/>
    <w:rsid w:val="00730533"/>
    <w:rsid w:val="00741B7E"/>
    <w:rsid w:val="00757A9D"/>
    <w:rsid w:val="00776A3E"/>
    <w:rsid w:val="00776B5A"/>
    <w:rsid w:val="007B247E"/>
    <w:rsid w:val="007C17BD"/>
    <w:rsid w:val="007C755B"/>
    <w:rsid w:val="007D1355"/>
    <w:rsid w:val="007D57A9"/>
    <w:rsid w:val="007D7B8A"/>
    <w:rsid w:val="007F7467"/>
    <w:rsid w:val="008067D0"/>
    <w:rsid w:val="00835A99"/>
    <w:rsid w:val="00843682"/>
    <w:rsid w:val="00856383"/>
    <w:rsid w:val="00862F04"/>
    <w:rsid w:val="00863415"/>
    <w:rsid w:val="00864399"/>
    <w:rsid w:val="008A6167"/>
    <w:rsid w:val="008B31F3"/>
    <w:rsid w:val="008C4296"/>
    <w:rsid w:val="008C6395"/>
    <w:rsid w:val="008D0C6D"/>
    <w:rsid w:val="008E3EE7"/>
    <w:rsid w:val="008E455D"/>
    <w:rsid w:val="008F0F73"/>
    <w:rsid w:val="008F293D"/>
    <w:rsid w:val="00925345"/>
    <w:rsid w:val="00933F85"/>
    <w:rsid w:val="00940362"/>
    <w:rsid w:val="00957E64"/>
    <w:rsid w:val="009603E2"/>
    <w:rsid w:val="00967342"/>
    <w:rsid w:val="00972CCC"/>
    <w:rsid w:val="009A1B64"/>
    <w:rsid w:val="009B7A37"/>
    <w:rsid w:val="009C467C"/>
    <w:rsid w:val="009C52E8"/>
    <w:rsid w:val="009F1380"/>
    <w:rsid w:val="009F4006"/>
    <w:rsid w:val="009F6999"/>
    <w:rsid w:val="00A0609A"/>
    <w:rsid w:val="00A25764"/>
    <w:rsid w:val="00A25E01"/>
    <w:rsid w:val="00A27ADE"/>
    <w:rsid w:val="00A33D4A"/>
    <w:rsid w:val="00A40E35"/>
    <w:rsid w:val="00A53D1C"/>
    <w:rsid w:val="00A845A9"/>
    <w:rsid w:val="00A87C0A"/>
    <w:rsid w:val="00A9710A"/>
    <w:rsid w:val="00AB2B42"/>
    <w:rsid w:val="00AC2446"/>
    <w:rsid w:val="00AD5187"/>
    <w:rsid w:val="00AE5134"/>
    <w:rsid w:val="00AE7D37"/>
    <w:rsid w:val="00AF6972"/>
    <w:rsid w:val="00B0764E"/>
    <w:rsid w:val="00B15ABD"/>
    <w:rsid w:val="00B169FB"/>
    <w:rsid w:val="00B24E1D"/>
    <w:rsid w:val="00B33ECF"/>
    <w:rsid w:val="00B44794"/>
    <w:rsid w:val="00B53341"/>
    <w:rsid w:val="00B57EED"/>
    <w:rsid w:val="00B62DA4"/>
    <w:rsid w:val="00B65412"/>
    <w:rsid w:val="00B65534"/>
    <w:rsid w:val="00B726D9"/>
    <w:rsid w:val="00B85A0A"/>
    <w:rsid w:val="00B96BD5"/>
    <w:rsid w:val="00B96EC2"/>
    <w:rsid w:val="00BA196E"/>
    <w:rsid w:val="00BB1024"/>
    <w:rsid w:val="00BB3B60"/>
    <w:rsid w:val="00BB4DA2"/>
    <w:rsid w:val="00BC1180"/>
    <w:rsid w:val="00BD25A6"/>
    <w:rsid w:val="00BD6EC7"/>
    <w:rsid w:val="00BF14A7"/>
    <w:rsid w:val="00BF76F6"/>
    <w:rsid w:val="00C07205"/>
    <w:rsid w:val="00C07F09"/>
    <w:rsid w:val="00C10246"/>
    <w:rsid w:val="00C11227"/>
    <w:rsid w:val="00C24F62"/>
    <w:rsid w:val="00C3071E"/>
    <w:rsid w:val="00C40FF8"/>
    <w:rsid w:val="00C60932"/>
    <w:rsid w:val="00C62679"/>
    <w:rsid w:val="00C626E5"/>
    <w:rsid w:val="00C653CA"/>
    <w:rsid w:val="00C82D87"/>
    <w:rsid w:val="00C95E0C"/>
    <w:rsid w:val="00CA564F"/>
    <w:rsid w:val="00CD45EB"/>
    <w:rsid w:val="00CF3072"/>
    <w:rsid w:val="00D117FF"/>
    <w:rsid w:val="00D12BCE"/>
    <w:rsid w:val="00D14331"/>
    <w:rsid w:val="00D144C5"/>
    <w:rsid w:val="00D163EA"/>
    <w:rsid w:val="00D16D6C"/>
    <w:rsid w:val="00D26612"/>
    <w:rsid w:val="00D30741"/>
    <w:rsid w:val="00D33650"/>
    <w:rsid w:val="00D43486"/>
    <w:rsid w:val="00D5253D"/>
    <w:rsid w:val="00D54A3D"/>
    <w:rsid w:val="00D54AC9"/>
    <w:rsid w:val="00D6489A"/>
    <w:rsid w:val="00D64F1C"/>
    <w:rsid w:val="00D7412D"/>
    <w:rsid w:val="00D8229C"/>
    <w:rsid w:val="00D87632"/>
    <w:rsid w:val="00D92B14"/>
    <w:rsid w:val="00DB1C49"/>
    <w:rsid w:val="00DB268E"/>
    <w:rsid w:val="00DB35FF"/>
    <w:rsid w:val="00DB5A76"/>
    <w:rsid w:val="00DB68CE"/>
    <w:rsid w:val="00DC7BAB"/>
    <w:rsid w:val="00DD22C1"/>
    <w:rsid w:val="00DF4208"/>
    <w:rsid w:val="00DF5351"/>
    <w:rsid w:val="00DF596A"/>
    <w:rsid w:val="00DF59AC"/>
    <w:rsid w:val="00E1279D"/>
    <w:rsid w:val="00E17918"/>
    <w:rsid w:val="00E24DFA"/>
    <w:rsid w:val="00E304DE"/>
    <w:rsid w:val="00E34E87"/>
    <w:rsid w:val="00E72360"/>
    <w:rsid w:val="00E81360"/>
    <w:rsid w:val="00E823C6"/>
    <w:rsid w:val="00E873C7"/>
    <w:rsid w:val="00E91227"/>
    <w:rsid w:val="00E934AF"/>
    <w:rsid w:val="00EB6CB8"/>
    <w:rsid w:val="00EC6A51"/>
    <w:rsid w:val="00ED2239"/>
    <w:rsid w:val="00ED72C5"/>
    <w:rsid w:val="00EE206D"/>
    <w:rsid w:val="00EE2EA5"/>
    <w:rsid w:val="00EE35CE"/>
    <w:rsid w:val="00EF1163"/>
    <w:rsid w:val="00EF449A"/>
    <w:rsid w:val="00F07083"/>
    <w:rsid w:val="00F16DD6"/>
    <w:rsid w:val="00F25CCF"/>
    <w:rsid w:val="00F26973"/>
    <w:rsid w:val="00F504C6"/>
    <w:rsid w:val="00F61B48"/>
    <w:rsid w:val="00F70EBF"/>
    <w:rsid w:val="00F71684"/>
    <w:rsid w:val="00F76D37"/>
    <w:rsid w:val="00F77849"/>
    <w:rsid w:val="00F85878"/>
    <w:rsid w:val="00FB22E0"/>
    <w:rsid w:val="00FB4796"/>
    <w:rsid w:val="00FB563A"/>
    <w:rsid w:val="00FC1195"/>
    <w:rsid w:val="00FC7EF7"/>
    <w:rsid w:val="00FD2706"/>
    <w:rsid w:val="00FD7ACC"/>
    <w:rsid w:val="00FE2988"/>
    <w:rsid w:val="00FE66E8"/>
    <w:rsid w:val="00FF7B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customStyle="1" w:styleId="FooterChar">
    <w:name w:val="Footer Char"/>
    <w:basedOn w:val="DefaultParagraphFont"/>
    <w:link w:val="Footer"/>
    <w:uiPriority w:val="99"/>
    <w:semiHidden/>
    <w:rsid w:val="00950C70"/>
    <w:rPr>
      <w:sz w:val="24"/>
      <w:szCs w:val="24"/>
    </w:rPr>
  </w:style>
  <w:style w:type="character" w:styleId="PageNumber">
    <w:name w:val="page number"/>
    <w:basedOn w:val="DefaultParagraphFont"/>
    <w:uiPriority w:val="99"/>
    <w:rsid w:val="004D17D5"/>
    <w:rPr>
      <w:rFonts w:cs="Times New Roman"/>
    </w:rPr>
  </w:style>
  <w:style w:type="character" w:styleId="Hyperlink">
    <w:name w:val="Hyperlink"/>
    <w:basedOn w:val="DefaultParagraphFont"/>
    <w:uiPriority w:val="99"/>
    <w:rsid w:val="00465302"/>
    <w:rPr>
      <w:rFonts w:cs="Times New Roman"/>
      <w:color w:val="0000FF"/>
      <w:u w:val="single"/>
    </w:rPr>
  </w:style>
  <w:style w:type="paragraph" w:styleId="Header">
    <w:name w:val="header"/>
    <w:basedOn w:val="Normal"/>
    <w:link w:val="HeaderChar"/>
    <w:uiPriority w:val="99"/>
    <w:rsid w:val="00B24E1D"/>
    <w:pPr>
      <w:tabs>
        <w:tab w:val="center" w:pos="4320"/>
        <w:tab w:val="right" w:pos="8640"/>
      </w:tabs>
    </w:pPr>
  </w:style>
  <w:style w:type="character" w:customStyle="1" w:styleId="HeaderChar">
    <w:name w:val="Header Char"/>
    <w:basedOn w:val="DefaultParagraphFont"/>
    <w:link w:val="Header"/>
    <w:uiPriority w:val="99"/>
    <w:semiHidden/>
    <w:rsid w:val="00950C70"/>
    <w:rPr>
      <w:sz w:val="24"/>
      <w:szCs w:val="24"/>
    </w:rPr>
  </w:style>
  <w:style w:type="paragraph" w:styleId="BalloonText">
    <w:name w:val="Balloon Text"/>
    <w:basedOn w:val="Normal"/>
    <w:link w:val="BalloonTextChar"/>
    <w:uiPriority w:val="99"/>
    <w:semiHidden/>
    <w:rsid w:val="00FD7ACC"/>
    <w:rPr>
      <w:rFonts w:ascii="Tahoma" w:hAnsi="Tahoma" w:cs="Tahoma"/>
      <w:sz w:val="16"/>
      <w:szCs w:val="16"/>
    </w:rPr>
  </w:style>
  <w:style w:type="character" w:customStyle="1" w:styleId="BalloonTextChar">
    <w:name w:val="Balloon Text Char"/>
    <w:basedOn w:val="DefaultParagraphFont"/>
    <w:link w:val="BalloonText"/>
    <w:uiPriority w:val="99"/>
    <w:semiHidden/>
    <w:rsid w:val="00950C70"/>
    <w:rPr>
      <w:sz w:val="0"/>
      <w:szCs w:val="0"/>
    </w:rPr>
  </w:style>
  <w:style w:type="character" w:styleId="CommentReference">
    <w:name w:val="annotation reference"/>
    <w:basedOn w:val="DefaultParagraphFont"/>
    <w:uiPriority w:val="99"/>
    <w:semiHidden/>
    <w:rsid w:val="00020506"/>
    <w:rPr>
      <w:rFonts w:cs="Times New Roman"/>
      <w:sz w:val="16"/>
      <w:szCs w:val="16"/>
    </w:rPr>
  </w:style>
  <w:style w:type="paragraph" w:styleId="CommentText">
    <w:name w:val="annotation text"/>
    <w:basedOn w:val="Normal"/>
    <w:link w:val="CommentTextChar"/>
    <w:uiPriority w:val="99"/>
    <w:semiHidden/>
    <w:rsid w:val="00020506"/>
    <w:rPr>
      <w:sz w:val="20"/>
      <w:szCs w:val="20"/>
    </w:rPr>
  </w:style>
  <w:style w:type="character" w:customStyle="1" w:styleId="CommentTextChar">
    <w:name w:val="Comment Text Char"/>
    <w:basedOn w:val="DefaultParagraphFont"/>
    <w:link w:val="CommentText"/>
    <w:uiPriority w:val="99"/>
    <w:semiHidden/>
    <w:rsid w:val="00950C70"/>
    <w:rPr>
      <w:sz w:val="20"/>
      <w:szCs w:val="20"/>
    </w:rPr>
  </w:style>
  <w:style w:type="paragraph" w:styleId="CommentSubject">
    <w:name w:val="annotation subject"/>
    <w:basedOn w:val="CommentText"/>
    <w:next w:val="CommentText"/>
    <w:link w:val="CommentSubjectChar"/>
    <w:uiPriority w:val="99"/>
    <w:semiHidden/>
    <w:rsid w:val="00020506"/>
    <w:rPr>
      <w:b/>
      <w:bCs/>
    </w:rPr>
  </w:style>
  <w:style w:type="character" w:customStyle="1" w:styleId="CommentSubjectChar">
    <w:name w:val="Comment Subject Char"/>
    <w:basedOn w:val="CommentTextChar"/>
    <w:link w:val="CommentSubject"/>
    <w:uiPriority w:val="99"/>
    <w:semiHidden/>
    <w:rsid w:val="00950C70"/>
    <w:rPr>
      <w:b/>
      <w:bCs/>
    </w:rPr>
  </w:style>
  <w:style w:type="table" w:styleId="TableGrid">
    <w:name w:val="Table Grid"/>
    <w:basedOn w:val="TableNormal"/>
    <w:uiPriority w:val="99"/>
    <w:rsid w:val="002B63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41">
    <w:name w:val="EmailStyle29"/>
    <w:aliases w:val="EmailStyle29"/>
    <w:basedOn w:val="DefaultParagraphFont"/>
    <w:uiPriority w:val="99"/>
    <w:semiHidden/>
    <w:personal/>
    <w:rsid w:val="00DB1C49"/>
    <w:rPr>
      <w:rFonts w:ascii="Arial" w:hAnsi="Arial" w:cs="Arial"/>
      <w:color w:val="auto"/>
      <w:sz w:val="20"/>
      <w:szCs w:val="20"/>
    </w:rPr>
  </w:style>
  <w:style w:type="character" w:styleId="FollowedHyperlink">
    <w:name w:val="FollowedHyperlink"/>
    <w:basedOn w:val="DefaultParagraphFont"/>
    <w:uiPriority w:val="99"/>
    <w:rsid w:val="00D8229C"/>
    <w:rPr>
      <w:rFonts w:cs="Times New Roman"/>
      <w:color w:val="800080"/>
      <w:u w:val="single"/>
    </w:rPr>
  </w:style>
  <w:style w:type="character" w:styleId="Strong">
    <w:name w:val="Strong"/>
    <w:basedOn w:val="DefaultParagraphFont"/>
    <w:uiPriority w:val="99"/>
    <w:qFormat/>
    <w:rsid w:val="006E5B41"/>
    <w:rPr>
      <w:rFonts w:cs="Times New Roman"/>
      <w:b/>
      <w:bCs/>
    </w:rPr>
  </w:style>
  <w:style w:type="character" w:customStyle="1" w:styleId="updatebodytest1">
    <w:name w:val="updatebodytest1"/>
    <w:basedOn w:val="DefaultParagraphFont"/>
    <w:uiPriority w:val="99"/>
    <w:rsid w:val="006E5B4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182357599">
      <w:marLeft w:val="0"/>
      <w:marRight w:val="0"/>
      <w:marTop w:val="0"/>
      <w:marBottom w:val="450"/>
      <w:divBdr>
        <w:top w:val="none" w:sz="0" w:space="0" w:color="auto"/>
        <w:left w:val="none" w:sz="0" w:space="0" w:color="auto"/>
        <w:bottom w:val="none" w:sz="0" w:space="0" w:color="auto"/>
        <w:right w:val="none" w:sz="0" w:space="0" w:color="auto"/>
      </w:divBdr>
      <w:divsChild>
        <w:div w:id="118235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c8d63a7d2f53ffb305a03b6976438d03&amp;rgn=div5&amp;view=text&amp;node=20:3.0.2.1.33&amp;idno=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leta.gov/programs/MSFW.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fr.gpoaccess.gov/cgi/t/text/text-idx?c=ecfr&amp;sid=45fea0d9d9d4347321cee81d5dc5de85&amp;rgn=div5&amp;view=text&amp;node=20:3.0.2.1.33&amp;idno=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2659</Words>
  <Characters>15159</Characters>
  <Application>Microsoft Office Outlook</Application>
  <DocSecurity>0</DocSecurity>
  <Lines>0</Lines>
  <Paragraphs>0</Paragraphs>
  <ScaleCrop>false</ScaleCrop>
  <Company>Department of Labor - 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subject/>
  <dc:creator>drussell</dc:creator>
  <cp:keywords/>
  <dc:description/>
  <cp:lastModifiedBy>Michel Smyth</cp:lastModifiedBy>
  <cp:revision>2</cp:revision>
  <cp:lastPrinted>2012-02-15T21:08:00Z</cp:lastPrinted>
  <dcterms:created xsi:type="dcterms:W3CDTF">2012-02-23T16:22:00Z</dcterms:created>
  <dcterms:modified xsi:type="dcterms:W3CDTF">2012-02-23T16:22:00Z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