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33" w:rsidRDefault="009F2633" w:rsidP="00BB78AB">
      <w:pPr>
        <w:pStyle w:val="Title"/>
        <w:keepNext w:val="0"/>
        <w:keepLines w:val="0"/>
        <w:pBdr>
          <w:top w:val="none" w:sz="0" w:space="0" w:color="auto"/>
        </w:pBdr>
        <w:spacing w:before="0" w:after="0" w:line="240" w:lineRule="auto"/>
        <w:rPr>
          <w:rFonts w:ascii="Times New Roman" w:hAnsi="Times New Roman"/>
          <w:spacing w:val="0"/>
          <w:sz w:val="24"/>
        </w:rPr>
      </w:pPr>
    </w:p>
    <w:p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Default="009F2633" w:rsidP="00BB78AB">
      <w:pPr>
        <w:keepNext/>
        <w:numPr>
          <w:ilvl w:val="12"/>
          <w:numId w:val="0"/>
        </w:numPr>
        <w:ind w:left="360"/>
      </w:pPr>
    </w:p>
    <w:p w:rsidR="00CE55F5" w:rsidRPr="00CE55F5" w:rsidRDefault="00CE55F5" w:rsidP="00CE55F5">
      <w:pPr>
        <w:numPr>
          <w:ilvl w:val="12"/>
          <w:numId w:val="0"/>
        </w:numPr>
        <w:ind w:left="360"/>
      </w:pPr>
      <w:r w:rsidRPr="00CE55F5">
        <w:t>The Transportation Security Administration has statutory mandate to assess a security risk for any mode of transportation, develop security measures for dealing with that risk, and enforce compliance with those measures.</w:t>
      </w:r>
      <w:r w:rsidRPr="00CE55F5">
        <w:rPr>
          <w:vertAlign w:val="superscript"/>
        </w:rPr>
        <w:footnoteReference w:id="1"/>
      </w:r>
      <w:r w:rsidRPr="00CE55F5">
        <w:t xml:space="preserve">    TSA also has the primary federal role to enhance security for all modes of transportation, “including security responsibilities . . . over modes of transportation that are exercised by the Department of Transportation.”</w:t>
      </w:r>
      <w:r w:rsidRPr="00CE55F5">
        <w:rPr>
          <w:b/>
          <w:bCs/>
        </w:rPr>
        <w:t xml:space="preserve"> </w:t>
      </w:r>
      <w:r w:rsidRPr="00CE55F5">
        <w:rPr>
          <w:vertAlign w:val="superscript"/>
        </w:rPr>
        <w:footnoteReference w:id="2"/>
      </w:r>
      <w:r w:rsidRPr="00CE55F5">
        <w:t xml:space="preserve">    </w:t>
      </w:r>
    </w:p>
    <w:p w:rsidR="00CE55F5" w:rsidRPr="00CE55F5" w:rsidRDefault="00CE55F5" w:rsidP="00CE55F5">
      <w:pPr>
        <w:numPr>
          <w:ilvl w:val="12"/>
          <w:numId w:val="0"/>
        </w:numPr>
        <w:ind w:left="360"/>
      </w:pPr>
    </w:p>
    <w:p w:rsidR="00CE55F5" w:rsidRPr="00CE55F5" w:rsidRDefault="008A441A" w:rsidP="00CE55F5">
      <w:pPr>
        <w:numPr>
          <w:ilvl w:val="12"/>
          <w:numId w:val="0"/>
        </w:numPr>
        <w:spacing w:before="240"/>
        <w:ind w:left="360"/>
      </w:pPr>
      <w:r>
        <w:t xml:space="preserve">Section 1407 of the </w:t>
      </w:r>
      <w:r w:rsidR="00CE55F5" w:rsidRPr="00CE55F5">
        <w:rPr>
          <w:i/>
        </w:rPr>
        <w:t>Implementing Recommendations of the 9/11 Commission Act of 2007</w:t>
      </w:r>
      <w:r w:rsidR="005E5131">
        <w:rPr>
          <w:i/>
        </w:rPr>
        <w:t xml:space="preserve"> </w:t>
      </w:r>
      <w:r w:rsidR="005E5131">
        <w:t>(</w:t>
      </w:r>
      <w:r w:rsidR="005E5131" w:rsidRPr="00395D82">
        <w:rPr>
          <w:szCs w:val="24"/>
        </w:rPr>
        <w:t>911 Act</w:t>
      </w:r>
      <w:r w:rsidR="005E5131">
        <w:rPr>
          <w:szCs w:val="24"/>
        </w:rPr>
        <w:t>)</w:t>
      </w:r>
      <w:r w:rsidR="005E5131" w:rsidRPr="00395D82">
        <w:rPr>
          <w:szCs w:val="24"/>
        </w:rPr>
        <w:t xml:space="preserve"> </w:t>
      </w:r>
      <w:r w:rsidR="00CE55F5" w:rsidRPr="00CE55F5">
        <w:t xml:space="preserve">(Pub. L. 110-53, 121 Stat. 408, Aug. 3, 2007, </w:t>
      </w:r>
      <w:r w:rsidR="00CE55F5" w:rsidRPr="00CE55F5">
        <w:rPr>
          <w:rFonts w:cs="Times New Roman"/>
          <w:color w:val="auto"/>
          <w:szCs w:val="24"/>
        </w:rPr>
        <w:t>(codified at 6 U.S.C. 1136)</w:t>
      </w:r>
      <w:r w:rsidR="00CE55F5" w:rsidRPr="00CE55F5">
        <w:t>) requires the Transportation Security Administration (TSA) to:</w:t>
      </w:r>
    </w:p>
    <w:p w:rsidR="00CE55F5" w:rsidRPr="00CE55F5" w:rsidRDefault="00CE55F5" w:rsidP="00CE55F5">
      <w:pPr>
        <w:numPr>
          <w:ilvl w:val="12"/>
          <w:numId w:val="0"/>
        </w:numPr>
        <w:ind w:left="360"/>
      </w:pPr>
    </w:p>
    <w:p w:rsidR="00CE55F5" w:rsidRPr="00CE55F5" w:rsidRDefault="00CE55F5" w:rsidP="00CE55F5">
      <w:pPr>
        <w:autoSpaceDE w:val="0"/>
        <w:autoSpaceDN w:val="0"/>
        <w:adjustRightInd w:val="0"/>
        <w:ind w:left="720" w:right="720"/>
        <w:jc w:val="both"/>
        <w:rPr>
          <w:rFonts w:cs="Times New Roman"/>
          <w:color w:val="auto"/>
          <w:szCs w:val="24"/>
        </w:rPr>
      </w:pPr>
      <w:r w:rsidRPr="00CE55F5">
        <w:rPr>
          <w:rFonts w:cs="Times New Roman"/>
          <w:color w:val="auto"/>
          <w:szCs w:val="24"/>
        </w:rPr>
        <w:t xml:space="preserve">…[Establish] a program for conducting security exercises for public transportation agencies for the purpose of assessing and improving [their] capabilities…to prevent, prepare for, mitigate against, respond to, and recover from acts of terrorism. </w:t>
      </w:r>
    </w:p>
    <w:p w:rsidR="00CE55F5" w:rsidRPr="00CE55F5" w:rsidRDefault="00CE55F5" w:rsidP="00CE55F5">
      <w:pPr>
        <w:autoSpaceDE w:val="0"/>
        <w:autoSpaceDN w:val="0"/>
        <w:adjustRightInd w:val="0"/>
        <w:ind w:left="720" w:right="720"/>
        <w:jc w:val="both"/>
        <w:rPr>
          <w:rFonts w:cs="Times New Roman"/>
        </w:rPr>
      </w:pPr>
    </w:p>
    <w:p w:rsidR="005E5131" w:rsidRDefault="005E5131" w:rsidP="005E5131">
      <w:pPr>
        <w:numPr>
          <w:ilvl w:val="12"/>
          <w:numId w:val="0"/>
        </w:numPr>
        <w:ind w:left="360"/>
      </w:pPr>
      <w:r>
        <w:t xml:space="preserve">Section 1516 of the 9/11 Act </w:t>
      </w:r>
      <w:r w:rsidRPr="00A730AE">
        <w:rPr>
          <w:rFonts w:cs="Times New Roman"/>
          <w:color w:val="auto"/>
          <w:szCs w:val="24"/>
        </w:rPr>
        <w:t>(</w:t>
      </w:r>
      <w:r>
        <w:rPr>
          <w:rFonts w:cs="Times New Roman"/>
          <w:color w:val="auto"/>
          <w:szCs w:val="24"/>
        </w:rPr>
        <w:t xml:space="preserve">codified at </w:t>
      </w:r>
      <w:r w:rsidRPr="00A730AE">
        <w:rPr>
          <w:rFonts w:cs="Times New Roman"/>
          <w:color w:val="auto"/>
          <w:szCs w:val="24"/>
        </w:rPr>
        <w:t>6 U.S.C. 11</w:t>
      </w:r>
      <w:r>
        <w:rPr>
          <w:rFonts w:cs="Times New Roman"/>
          <w:color w:val="auto"/>
          <w:szCs w:val="24"/>
        </w:rPr>
        <w:t>6</w:t>
      </w:r>
      <w:r w:rsidRPr="00A730AE">
        <w:rPr>
          <w:rFonts w:cs="Times New Roman"/>
          <w:color w:val="auto"/>
          <w:szCs w:val="24"/>
        </w:rPr>
        <w:t>6)</w:t>
      </w:r>
      <w:r>
        <w:t>) requires TSA to:</w:t>
      </w:r>
    </w:p>
    <w:p w:rsidR="005E5131" w:rsidRDefault="005E5131" w:rsidP="005E5131">
      <w:pPr>
        <w:numPr>
          <w:ilvl w:val="12"/>
          <w:numId w:val="0"/>
        </w:numPr>
        <w:ind w:left="360"/>
      </w:pPr>
    </w:p>
    <w:p w:rsidR="005E5131" w:rsidRDefault="005E5131" w:rsidP="005E5131">
      <w:pPr>
        <w:autoSpaceDE w:val="0"/>
        <w:autoSpaceDN w:val="0"/>
        <w:adjustRightInd w:val="0"/>
        <w:ind w:left="720" w:right="720"/>
        <w:jc w:val="both"/>
        <w:rPr>
          <w:rFonts w:cs="Times New Roman"/>
          <w:color w:val="auto"/>
          <w:szCs w:val="24"/>
        </w:rPr>
      </w:pPr>
      <w:r>
        <w:rPr>
          <w:rFonts w:cs="Times New Roman"/>
          <w:color w:val="auto"/>
          <w:szCs w:val="24"/>
        </w:rPr>
        <w:t>…[Establish]</w:t>
      </w:r>
      <w:r w:rsidRPr="0079131A">
        <w:rPr>
          <w:rFonts w:cs="Times New Roman"/>
          <w:color w:val="auto"/>
          <w:szCs w:val="24"/>
        </w:rPr>
        <w:t xml:space="preserve"> a program for conducting security exercises for </w:t>
      </w:r>
      <w:r>
        <w:rPr>
          <w:rFonts w:cs="Times New Roman"/>
          <w:color w:val="auto"/>
          <w:szCs w:val="24"/>
        </w:rPr>
        <w:t>railroad carriers</w:t>
      </w:r>
      <w:r w:rsidRPr="0079131A">
        <w:rPr>
          <w:rFonts w:cs="Times New Roman"/>
          <w:color w:val="auto"/>
          <w:szCs w:val="24"/>
        </w:rPr>
        <w:t xml:space="preserve"> for the purpose of assessing and improving </w:t>
      </w:r>
      <w:r>
        <w:rPr>
          <w:rFonts w:cs="Times New Roman"/>
          <w:color w:val="auto"/>
          <w:szCs w:val="24"/>
        </w:rPr>
        <w:t>[their] capabilities…</w:t>
      </w:r>
      <w:r w:rsidRPr="0079131A">
        <w:rPr>
          <w:rFonts w:cs="Times New Roman"/>
          <w:color w:val="auto"/>
          <w:szCs w:val="24"/>
        </w:rPr>
        <w:t>to prevent, prepare for, mitigate against, respond to, and recover from acts of terrorism.</w:t>
      </w:r>
      <w:r w:rsidRPr="00A730AE">
        <w:rPr>
          <w:rFonts w:cs="Times New Roman"/>
          <w:color w:val="auto"/>
          <w:szCs w:val="24"/>
        </w:rPr>
        <w:t xml:space="preserve"> </w:t>
      </w:r>
    </w:p>
    <w:p w:rsidR="005E5131" w:rsidRDefault="005E5131" w:rsidP="005E5131">
      <w:pPr>
        <w:numPr>
          <w:ilvl w:val="12"/>
          <w:numId w:val="0"/>
        </w:numPr>
        <w:ind w:left="360"/>
      </w:pPr>
    </w:p>
    <w:p w:rsidR="005E5131" w:rsidRDefault="005E5131" w:rsidP="005E5131">
      <w:pPr>
        <w:numPr>
          <w:ilvl w:val="12"/>
          <w:numId w:val="0"/>
        </w:numPr>
        <w:ind w:left="360"/>
      </w:pPr>
      <w:r>
        <w:t xml:space="preserve">Section 1533 of the 9/11 Act </w:t>
      </w:r>
      <w:r w:rsidRPr="00A730AE">
        <w:rPr>
          <w:rFonts w:cs="Times New Roman"/>
          <w:color w:val="auto"/>
          <w:szCs w:val="24"/>
        </w:rPr>
        <w:t>(</w:t>
      </w:r>
      <w:r>
        <w:rPr>
          <w:rFonts w:cs="Times New Roman"/>
          <w:color w:val="auto"/>
          <w:szCs w:val="24"/>
        </w:rPr>
        <w:t xml:space="preserve">codified at </w:t>
      </w:r>
      <w:r w:rsidRPr="00A730AE">
        <w:rPr>
          <w:rFonts w:cs="Times New Roman"/>
          <w:color w:val="auto"/>
          <w:szCs w:val="24"/>
        </w:rPr>
        <w:t>6 U.S.C. 11</w:t>
      </w:r>
      <w:r>
        <w:rPr>
          <w:rFonts w:cs="Times New Roman"/>
          <w:color w:val="auto"/>
          <w:szCs w:val="24"/>
        </w:rPr>
        <w:t>83</w:t>
      </w:r>
      <w:r w:rsidRPr="00A730AE">
        <w:rPr>
          <w:rFonts w:cs="Times New Roman"/>
          <w:color w:val="auto"/>
          <w:szCs w:val="24"/>
        </w:rPr>
        <w:t>)</w:t>
      </w:r>
      <w:r>
        <w:t>) requires TSA to:</w:t>
      </w:r>
    </w:p>
    <w:p w:rsidR="005E5131" w:rsidRDefault="005E5131" w:rsidP="005E5131">
      <w:pPr>
        <w:numPr>
          <w:ilvl w:val="12"/>
          <w:numId w:val="0"/>
        </w:numPr>
        <w:ind w:left="360"/>
      </w:pPr>
    </w:p>
    <w:p w:rsidR="005E5131" w:rsidRDefault="005E5131" w:rsidP="005E5131">
      <w:pPr>
        <w:autoSpaceDE w:val="0"/>
        <w:autoSpaceDN w:val="0"/>
        <w:adjustRightInd w:val="0"/>
        <w:ind w:left="720" w:right="720"/>
        <w:jc w:val="both"/>
        <w:rPr>
          <w:rFonts w:cs="Times New Roman"/>
          <w:color w:val="auto"/>
          <w:szCs w:val="24"/>
        </w:rPr>
      </w:pPr>
      <w:r>
        <w:rPr>
          <w:rFonts w:cs="Times New Roman"/>
          <w:color w:val="auto"/>
          <w:szCs w:val="24"/>
        </w:rPr>
        <w:t>…[Establish]</w:t>
      </w:r>
      <w:r w:rsidRPr="0079131A">
        <w:rPr>
          <w:rFonts w:cs="Times New Roman"/>
          <w:color w:val="auto"/>
          <w:szCs w:val="24"/>
        </w:rPr>
        <w:t xml:space="preserve"> a program for conducting security exercises for </w:t>
      </w:r>
      <w:r>
        <w:rPr>
          <w:rFonts w:cs="Times New Roman"/>
          <w:color w:val="auto"/>
          <w:szCs w:val="24"/>
        </w:rPr>
        <w:t xml:space="preserve">over-the-road bus transportation </w:t>
      </w:r>
      <w:r w:rsidRPr="0079131A">
        <w:rPr>
          <w:rFonts w:cs="Times New Roman"/>
          <w:color w:val="auto"/>
          <w:szCs w:val="24"/>
        </w:rPr>
        <w:t xml:space="preserve">for the purpose of assessing and improving </w:t>
      </w:r>
      <w:r>
        <w:rPr>
          <w:rFonts w:cs="Times New Roman"/>
          <w:color w:val="auto"/>
          <w:szCs w:val="24"/>
        </w:rPr>
        <w:t>[their] capabilities…</w:t>
      </w:r>
      <w:r w:rsidRPr="0079131A">
        <w:rPr>
          <w:rFonts w:cs="Times New Roman"/>
          <w:color w:val="auto"/>
          <w:szCs w:val="24"/>
        </w:rPr>
        <w:t>to prevent, prepare for, mitigate against, respond to, and recover from acts of terrorism.</w:t>
      </w:r>
      <w:r w:rsidRPr="00A730AE">
        <w:rPr>
          <w:rFonts w:cs="Times New Roman"/>
          <w:color w:val="auto"/>
          <w:szCs w:val="24"/>
        </w:rPr>
        <w:t xml:space="preserve"> </w:t>
      </w:r>
    </w:p>
    <w:p w:rsidR="00CE55F5" w:rsidRPr="00CE55F5" w:rsidRDefault="00CE55F5" w:rsidP="00CE55F5">
      <w:pPr>
        <w:numPr>
          <w:ilvl w:val="12"/>
          <w:numId w:val="0"/>
        </w:numPr>
        <w:ind w:left="360"/>
      </w:pPr>
      <w:r w:rsidRPr="00CE55F5">
        <w:t xml:space="preserve">In addition, the </w:t>
      </w:r>
      <w:r w:rsidRPr="00CE55F5">
        <w:rPr>
          <w:i/>
        </w:rPr>
        <w:t xml:space="preserve">Security and Accountability </w:t>
      </w:r>
      <w:proofErr w:type="gramStart"/>
      <w:r w:rsidRPr="00CE55F5">
        <w:rPr>
          <w:i/>
        </w:rPr>
        <w:t>For</w:t>
      </w:r>
      <w:proofErr w:type="gramEnd"/>
      <w:r w:rsidRPr="00CE55F5">
        <w:rPr>
          <w:i/>
        </w:rPr>
        <w:t xml:space="preserve"> Every Port Act of 2006</w:t>
      </w:r>
      <w:r w:rsidRPr="00CE55F5">
        <w:t xml:space="preserve"> (Pub. L. 109-347, 120 Stat. 1895-96, Oct. 13, 2006, codified at </w:t>
      </w:r>
      <w:r w:rsidRPr="00CE55F5">
        <w:rPr>
          <w:rFonts w:cs="Times New Roman"/>
          <w:color w:val="auto"/>
          <w:szCs w:val="24"/>
        </w:rPr>
        <w:t>6 U.S.C. 911(a) and 912(a)</w:t>
      </w:r>
      <w:r w:rsidRPr="00CE55F5">
        <w:t>), requires The Department of Homeland Security to:</w:t>
      </w:r>
    </w:p>
    <w:p w:rsidR="00CE55F5" w:rsidRPr="00CE55F5" w:rsidRDefault="00CE55F5" w:rsidP="00CE55F5">
      <w:pPr>
        <w:numPr>
          <w:ilvl w:val="12"/>
          <w:numId w:val="0"/>
        </w:numPr>
        <w:ind w:left="360"/>
      </w:pPr>
    </w:p>
    <w:p w:rsidR="00CE55F5" w:rsidRPr="00CE55F5" w:rsidRDefault="00CE55F5" w:rsidP="00CE55F5">
      <w:pPr>
        <w:autoSpaceDE w:val="0"/>
        <w:autoSpaceDN w:val="0"/>
        <w:adjustRightInd w:val="0"/>
        <w:ind w:left="360" w:right="720"/>
        <w:jc w:val="both"/>
        <w:rPr>
          <w:rFonts w:cs="Times New Roman"/>
          <w:color w:val="auto"/>
          <w:szCs w:val="24"/>
        </w:rPr>
      </w:pPr>
      <w:proofErr w:type="gramStart"/>
      <w:r w:rsidRPr="00CE55F5">
        <w:rPr>
          <w:rFonts w:cs="Times New Roman"/>
          <w:color w:val="auto"/>
          <w:szCs w:val="24"/>
        </w:rPr>
        <w:t>…[</w:t>
      </w:r>
      <w:proofErr w:type="gramEnd"/>
      <w:r w:rsidRPr="00CE55F5">
        <w:rPr>
          <w:rFonts w:cs="Times New Roman"/>
          <w:color w:val="auto"/>
          <w:szCs w:val="24"/>
        </w:rPr>
        <w:t xml:space="preserve">Establish] a Port Security Training Program…for the purpose of enhancing the capabilities of each [maritime transportation facility and/or vessel] …to prevent, prepare for, respond to, mitigate against, and recover from threatened or actual acts of terrorism, natural disasters, and other emergencies. </w:t>
      </w:r>
    </w:p>
    <w:p w:rsidR="00CE55F5" w:rsidRPr="00CE55F5" w:rsidRDefault="00CE55F5" w:rsidP="00CE55F5">
      <w:pPr>
        <w:autoSpaceDE w:val="0"/>
        <w:autoSpaceDN w:val="0"/>
        <w:adjustRightInd w:val="0"/>
        <w:ind w:left="720" w:right="720" w:firstLine="720"/>
        <w:jc w:val="both"/>
        <w:rPr>
          <w:rFonts w:cs="Times New Roman"/>
          <w:color w:val="auto"/>
          <w:szCs w:val="24"/>
        </w:rPr>
      </w:pPr>
    </w:p>
    <w:p w:rsidR="00CE55F5" w:rsidRPr="00CE55F5" w:rsidRDefault="00CE55F5" w:rsidP="00CE55F5">
      <w:pPr>
        <w:autoSpaceDE w:val="0"/>
        <w:autoSpaceDN w:val="0"/>
        <w:adjustRightInd w:val="0"/>
        <w:ind w:left="360" w:right="720"/>
        <w:jc w:val="both"/>
        <w:rPr>
          <w:rFonts w:cs="Times New Roman"/>
          <w:color w:val="auto"/>
          <w:szCs w:val="24"/>
        </w:rPr>
      </w:pPr>
      <w:r w:rsidRPr="00CE55F5">
        <w:rPr>
          <w:rFonts w:cs="Times New Roman"/>
          <w:color w:val="auto"/>
          <w:szCs w:val="24"/>
        </w:rPr>
        <w:t xml:space="preserve">…[Establish] a Port Security Exercise Program… for the purpose of testing and evaluating the capabilities of Federal, State, local, and foreign governments, commercial seaport personnel and management, governmental and nongovernmental emergency response providers, the private sector…to prevent, prepare for, mitigate against, respond to, and recover from acts of terrorism, natural disasters, and other emergencies…. </w:t>
      </w:r>
    </w:p>
    <w:p w:rsidR="00CE55F5" w:rsidRPr="00CE55F5" w:rsidRDefault="00CE55F5" w:rsidP="00CE55F5">
      <w:pPr>
        <w:autoSpaceDE w:val="0"/>
        <w:autoSpaceDN w:val="0"/>
        <w:adjustRightInd w:val="0"/>
        <w:ind w:left="720" w:right="720"/>
        <w:jc w:val="both"/>
        <w:rPr>
          <w:rFonts w:cs="Times New Roman"/>
          <w:color w:val="auto"/>
          <w:szCs w:val="24"/>
        </w:rPr>
      </w:pPr>
    </w:p>
    <w:p w:rsidR="00CE55F5" w:rsidRPr="00CE55F5" w:rsidRDefault="00CE55F5" w:rsidP="00CE55F5">
      <w:pPr>
        <w:autoSpaceDE w:val="0"/>
        <w:autoSpaceDN w:val="0"/>
        <w:adjustRightInd w:val="0"/>
        <w:ind w:left="360" w:right="720"/>
        <w:jc w:val="both"/>
      </w:pPr>
      <w:r w:rsidRPr="00CE55F5">
        <w:rPr>
          <w:rFonts w:cs="Times New Roman"/>
          <w:color w:val="auto"/>
          <w:szCs w:val="24"/>
        </w:rPr>
        <w:t xml:space="preserve">These requirements are fulfilled through the </w:t>
      </w:r>
      <w:r w:rsidRPr="00CE55F5">
        <w:t xml:space="preserve">Intermodal Security Training and Exercise Program (I-STEP). I-STEP is a design, development, and tracking resource of security exercises that can assess and improve the capabilities of all surface transportation modes to prevent, prepare for, </w:t>
      </w:r>
      <w:proofErr w:type="gramStart"/>
      <w:r w:rsidRPr="00CE55F5">
        <w:t>mitigate</w:t>
      </w:r>
      <w:proofErr w:type="gramEnd"/>
      <w:r w:rsidRPr="00CE55F5">
        <w:t xml:space="preserve"> against, respond to, and recover from acts of terrorism. </w:t>
      </w:r>
    </w:p>
    <w:p w:rsidR="00CE55F5" w:rsidRPr="00CE55F5" w:rsidRDefault="00CE55F5" w:rsidP="00CE55F5">
      <w:pPr>
        <w:autoSpaceDE w:val="0"/>
        <w:autoSpaceDN w:val="0"/>
        <w:adjustRightInd w:val="0"/>
        <w:ind w:left="1080" w:right="720"/>
        <w:jc w:val="both"/>
      </w:pPr>
    </w:p>
    <w:p w:rsidR="00CE55F5" w:rsidRPr="00CE55F5" w:rsidRDefault="00CE55F5" w:rsidP="00CE55F5">
      <w:pPr>
        <w:autoSpaceDE w:val="0"/>
        <w:autoSpaceDN w:val="0"/>
        <w:adjustRightInd w:val="0"/>
        <w:ind w:left="360" w:right="720"/>
        <w:jc w:val="both"/>
        <w:rPr>
          <w:szCs w:val="24"/>
        </w:rPr>
      </w:pPr>
      <w:r w:rsidRPr="00CE55F5">
        <w:t xml:space="preserve">The personnel resource requirements for conducting a security exercise using the resources of the I-STEP program team limit the availability of this resource to transportation stakeholders.  The Exercise Information System (EXIS) is a voluntary, online tool developed by TSA that supports the I-STEP mission by expanding the availability of these resources.  Using EXIS, transportation stakeholders have access to a </w:t>
      </w:r>
      <w:r w:rsidRPr="00CE55F5">
        <w:rPr>
          <w:szCs w:val="24"/>
        </w:rPr>
        <w:t xml:space="preserve">system that will allow them to generate and conduct security exercises, expanding the reach and effectiveness of the I-STEP program and its mission to improve the capabilities of all surface transportation modes to prevent, prepare for, </w:t>
      </w:r>
      <w:proofErr w:type="gramStart"/>
      <w:r w:rsidRPr="00CE55F5">
        <w:rPr>
          <w:szCs w:val="24"/>
        </w:rPr>
        <w:t>mitigate</w:t>
      </w:r>
      <w:proofErr w:type="gramEnd"/>
      <w:r w:rsidRPr="00CE55F5">
        <w:rPr>
          <w:szCs w:val="24"/>
        </w:rPr>
        <w:t xml:space="preserve"> against, respond to, and recover from acts of terrorism.   EXIS also collects lessons learned and best practices from such exercises and makes them available for the benefit of members of the TSS that participate in EXIS. </w:t>
      </w:r>
    </w:p>
    <w:p w:rsidR="00CE55F5" w:rsidRPr="00CE55F5" w:rsidRDefault="00CE55F5" w:rsidP="00CE55F5">
      <w:pPr>
        <w:autoSpaceDE w:val="0"/>
        <w:autoSpaceDN w:val="0"/>
        <w:adjustRightInd w:val="0"/>
        <w:ind w:left="1440" w:right="720"/>
        <w:jc w:val="both"/>
        <w:rPr>
          <w:szCs w:val="24"/>
        </w:rPr>
      </w:pPr>
    </w:p>
    <w:p w:rsidR="005E5131" w:rsidRPr="005E5131" w:rsidRDefault="005E5131" w:rsidP="005E5131">
      <w:pPr>
        <w:autoSpaceDE w:val="0"/>
        <w:autoSpaceDN w:val="0"/>
        <w:adjustRightInd w:val="0"/>
        <w:ind w:left="360" w:right="720"/>
        <w:jc w:val="both"/>
        <w:rPr>
          <w:szCs w:val="24"/>
        </w:rPr>
      </w:pPr>
      <w:r w:rsidRPr="005E5131">
        <w:rPr>
          <w:szCs w:val="24"/>
        </w:rPr>
        <w:t>Why the collection is necessary:</w:t>
      </w:r>
    </w:p>
    <w:p w:rsidR="005E5131" w:rsidRPr="005E5131" w:rsidRDefault="005E5131" w:rsidP="005E5131">
      <w:pPr>
        <w:autoSpaceDE w:val="0"/>
        <w:autoSpaceDN w:val="0"/>
        <w:adjustRightInd w:val="0"/>
        <w:ind w:left="1080" w:right="720"/>
        <w:jc w:val="both"/>
        <w:rPr>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There has been growing demand among government and industry security partners across the nation to expand I-STEP, which TSA developed and implemented to fulfill the 911 Act’s requirement for DHS to establish an exercise program for the Transportation Systems Sector (TSS).  I-STEP brings public and private sector partners together to exercise, train, share information, and address transportation security issues to protect travelers, commerce, and infrastructure. Through the program, TSA facilitates modal and intermodal exercises and workshops throughout the country. The program also provides training support to help modal operators meet their training objectives.</w:t>
      </w:r>
    </w:p>
    <w:p w:rsidR="00CE55F5" w:rsidRPr="00CE55F5" w:rsidRDefault="00CE55F5" w:rsidP="00CE55F5">
      <w:pPr>
        <w:ind w:left="360"/>
        <w:rPr>
          <w:rFonts w:eastAsia="Calibri" w:cs="Times New Roman"/>
          <w:color w:val="auto"/>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Because I-STEP is a labor intensive program that requires extensive travel and other resource commitments (for both the government and stakeholders involved in the exercise), the number of exercises TSA can conduct on an annual basis is limited.</w:t>
      </w:r>
    </w:p>
    <w:p w:rsidR="005E5131" w:rsidRPr="005E5131" w:rsidRDefault="005E5131" w:rsidP="005E5131">
      <w:pPr>
        <w:ind w:left="1080"/>
        <w:rPr>
          <w:rFonts w:eastAsia="Calibri" w:cs="Times New Roman"/>
          <w:color w:val="auto"/>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lastRenderedPageBreak/>
        <w:t xml:space="preserve">Based on consultations with its TSS stakeholders, TSA has developed the Exercise Information System (EXIS) as a technology platform that expands the capabilities of the I-STEP for TSS operators.  EXIS was designed by the Federal government with input from industry partners to support their risk reduction efforts.  As a result, it will both enhance security and reduce costs. </w:t>
      </w:r>
    </w:p>
    <w:p w:rsidR="005E5131" w:rsidRPr="005E5131" w:rsidRDefault="005E5131" w:rsidP="005E5131">
      <w:pPr>
        <w:ind w:left="1080"/>
        <w:rPr>
          <w:rFonts w:eastAsia="Calibri" w:cs="Times New Roman"/>
          <w:color w:val="auto"/>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 xml:space="preserve">EXIS allows government to provide a voluntary electronic, exercise design and tracking tool that would be accessible to 100,000+ TSS operators.  Currently, security partners from industry in the TSS have limited or no ability to obtain training on designing security exercises. The availability of EXIS would provide a TSS operator with a tool to assist in their risk reduction efforts.  The availability of EXIS would provide these stakeholders with current and consistent information and data to design and track security exercises.  </w:t>
      </w:r>
    </w:p>
    <w:p w:rsidR="005E5131" w:rsidRPr="005E5131" w:rsidRDefault="005E5131" w:rsidP="005E5131">
      <w:pPr>
        <w:ind w:left="1080"/>
        <w:rPr>
          <w:rFonts w:eastAsia="Calibri" w:cs="Times New Roman"/>
          <w:color w:val="auto"/>
          <w:szCs w:val="24"/>
        </w:rPr>
      </w:pPr>
      <w:r w:rsidRPr="005E5131">
        <w:rPr>
          <w:rFonts w:eastAsia="Calibri" w:cs="Times New Roman"/>
          <w:color w:val="auto"/>
          <w:szCs w:val="24"/>
        </w:rPr>
        <w:t xml:space="preserve"> </w:t>
      </w: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The availability and use of EXIS would result in an overall decrease in the cost of exercise requirements. EXIS would decrease the administrative, and acquisition, cost of exercise design by allowing for electronic collaboration between planners.  This reduces the costs associated with government and industry travel to a central location to discuss exercise design specifications.  It also would allow larger operators to cover multiple asset sites with a single exercise design tool.</w:t>
      </w:r>
    </w:p>
    <w:p w:rsidR="005E5131" w:rsidRPr="005E5131" w:rsidRDefault="005E5131" w:rsidP="005E5131">
      <w:pPr>
        <w:ind w:left="1080"/>
        <w:rPr>
          <w:rFonts w:eastAsia="Calibri" w:cs="Times New Roman"/>
          <w:color w:val="auto"/>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EXIS has additional benefits.  It is designed to support a TSS operator in designing and tracking security exercises without formal training.  Other EXIS benefits include: access to current information/data without need to publish and send hardcopies; access to current transportation security information</w:t>
      </w:r>
      <w:proofErr w:type="gramStart"/>
      <w:r w:rsidRPr="005E5131">
        <w:rPr>
          <w:rFonts w:eastAsia="Calibri" w:cs="Times New Roman"/>
          <w:color w:val="auto"/>
          <w:szCs w:val="24"/>
        </w:rPr>
        <w:t>;  a</w:t>
      </w:r>
      <w:proofErr w:type="gramEnd"/>
      <w:r w:rsidRPr="005E5131">
        <w:rPr>
          <w:rFonts w:eastAsia="Calibri" w:cs="Times New Roman"/>
          <w:color w:val="auto"/>
          <w:szCs w:val="24"/>
        </w:rPr>
        <w:t xml:space="preserve"> "one-stop-shop" for exercise directors to access lessons learned, best practices and "clear and consistent performance measures" for exercise design; and intuitive electronic self-help features that reduce the need for contractor assistance to setup exercises.</w:t>
      </w:r>
    </w:p>
    <w:p w:rsidR="005E5131" w:rsidRPr="005E5131" w:rsidRDefault="005E5131" w:rsidP="005E5131">
      <w:pPr>
        <w:ind w:left="1080"/>
        <w:rPr>
          <w:rFonts w:eastAsia="Calibri" w:cs="Times New Roman"/>
          <w:color w:val="auto"/>
          <w:szCs w:val="24"/>
        </w:rPr>
      </w:pPr>
    </w:p>
    <w:p w:rsidR="005E5131" w:rsidRPr="005E5131" w:rsidRDefault="005E5131" w:rsidP="005E5131">
      <w:pPr>
        <w:ind w:left="360"/>
        <w:rPr>
          <w:rFonts w:ascii="Consolas" w:eastAsia="Calibri" w:hAnsi="Consolas" w:cs="Times New Roman"/>
          <w:color w:val="auto"/>
          <w:szCs w:val="24"/>
        </w:rPr>
      </w:pPr>
      <w:r w:rsidRPr="005E5131">
        <w:rPr>
          <w:rFonts w:eastAsia="Calibri" w:cs="Times New Roman"/>
          <w:color w:val="auto"/>
          <w:szCs w:val="24"/>
        </w:rPr>
        <w:t>Use of EXIS is completely voluntary for industry and government operators in the TSS.  While the 9/11 Act requires TSA to issue regulations to require security training for public transportation, railroad carrier, and over-the-road bus frontline employees, including a requirement to address “live situational training exercises regarding various threat conditions, including tunnel evacuation procedures” (</w:t>
      </w:r>
      <w:r w:rsidRPr="005E5131">
        <w:rPr>
          <w:rFonts w:eastAsia="Calibri" w:cs="Times New Roman"/>
          <w:color w:val="auto"/>
          <w:szCs w:val="24"/>
          <w:u w:val="single"/>
        </w:rPr>
        <w:t>see</w:t>
      </w:r>
      <w:r w:rsidRPr="005E5131">
        <w:rPr>
          <w:rFonts w:eastAsia="Calibri" w:cs="Times New Roman"/>
          <w:color w:val="auto"/>
          <w:szCs w:val="24"/>
        </w:rPr>
        <w:t xml:space="preserve"> sections 1407(c)(7), 1517(c)(8), and 1534(c)(8) of the 9/11 Act, respectively), TSA does not anticipate including a requirement for covered owner/operators to use EXIS.  As applicable, EXIS would, however, be available to them to help reduce the costs of any security exercises they conduct. </w:t>
      </w:r>
      <w:r w:rsidRPr="005E5131">
        <w:rPr>
          <w:rFonts w:ascii="Consolas" w:eastAsia="Calibri" w:hAnsi="Consolas" w:cs="Times New Roman"/>
          <w:color w:val="auto"/>
          <w:szCs w:val="24"/>
        </w:rPr>
        <w:t xml:space="preserve"> </w:t>
      </w:r>
    </w:p>
    <w:p w:rsidR="005E5131" w:rsidRPr="005E5131" w:rsidRDefault="005E5131" w:rsidP="005E5131">
      <w:pPr>
        <w:ind w:left="1080"/>
        <w:rPr>
          <w:rFonts w:ascii="Consolas" w:eastAsia="Calibri" w:hAnsi="Consolas" w:cs="Times New Roman"/>
          <w:color w:val="auto"/>
          <w:szCs w:val="24"/>
        </w:rPr>
      </w:pPr>
    </w:p>
    <w:p w:rsidR="005E5131" w:rsidRPr="005E5131" w:rsidRDefault="005E5131" w:rsidP="005E5131">
      <w:pPr>
        <w:ind w:left="360"/>
        <w:rPr>
          <w:rFonts w:eastAsia="Calibri" w:cs="Times New Roman"/>
          <w:color w:val="auto"/>
          <w:szCs w:val="24"/>
        </w:rPr>
      </w:pPr>
      <w:r w:rsidRPr="005E5131">
        <w:rPr>
          <w:rFonts w:eastAsia="Calibri" w:cs="Times New Roman"/>
          <w:color w:val="auto"/>
          <w:szCs w:val="24"/>
        </w:rPr>
        <w:t xml:space="preserve">EXIS satisfies the “Industry Engagement” portion of the TSA Office of Security Policy and Industry Engagement’s mission, which is the office that manages EXIS. The “Industry Engagement” portion of the mission originated from the premise that regulation alone does not make the nation more secure. Much more is accomplished in the way of transportation security when the agency works with stakeholders to engage in activities that have been mutually determined to reduce risk and increase the security posture of the nation. </w:t>
      </w:r>
    </w:p>
    <w:p w:rsidR="005E5131" w:rsidRDefault="005E5131" w:rsidP="005E5131">
      <w:pPr>
        <w:ind w:left="360"/>
        <w:rPr>
          <w:rFonts w:eastAsia="Calibri" w:cs="Times New Roman"/>
          <w:color w:val="auto"/>
          <w:szCs w:val="24"/>
        </w:rPr>
      </w:pPr>
      <w:r w:rsidRPr="005E5131">
        <w:rPr>
          <w:rFonts w:eastAsia="Calibri" w:cs="Times New Roman"/>
          <w:color w:val="auto"/>
          <w:szCs w:val="24"/>
        </w:rPr>
        <w:t xml:space="preserve">TSA research has shown that 100% of the largest, highest grossing TSS operators conduct at least one transportation security exercise annually as an industry best practice. All business </w:t>
      </w:r>
      <w:r w:rsidRPr="005E5131">
        <w:rPr>
          <w:rFonts w:eastAsia="Calibri" w:cs="Times New Roman"/>
          <w:color w:val="auto"/>
          <w:szCs w:val="24"/>
        </w:rPr>
        <w:lastRenderedPageBreak/>
        <w:t xml:space="preserve">owners/operators, including TSS companies, are aware of liability considerations, and security exercises may reduce the cost of some corporate insurance policies.  </w:t>
      </w:r>
    </w:p>
    <w:p w:rsidR="00B46BF2" w:rsidRPr="00B46BF2" w:rsidRDefault="00B46BF2" w:rsidP="005E5131">
      <w:pPr>
        <w:ind w:left="360"/>
        <w:rPr>
          <w:rFonts w:eastAsia="Calibri" w:cs="Times New Roman"/>
          <w:color w:val="auto"/>
          <w:szCs w:val="24"/>
        </w:rPr>
      </w:pPr>
    </w:p>
    <w:p w:rsidR="000B3FFA" w:rsidRPr="00B46BF2" w:rsidRDefault="000B3FFA" w:rsidP="000B3FFA">
      <w:pPr>
        <w:ind w:left="360"/>
        <w:rPr>
          <w:rFonts w:eastAsia="Calibri" w:cs="Times New Roman"/>
          <w:color w:val="auto"/>
          <w:szCs w:val="24"/>
        </w:rPr>
      </w:pPr>
      <w:r>
        <w:rPr>
          <w:rFonts w:eastAsia="Calibri" w:cs="Times New Roman"/>
          <w:color w:val="auto"/>
          <w:szCs w:val="24"/>
        </w:rPr>
        <w:t xml:space="preserve">While TSA expects the EXIS tool to be useful to industry, as described above, use of the system would not guarantee compliance with any existing or future TSA, DHS, or other Federal regulation. </w:t>
      </w:r>
    </w:p>
    <w:p w:rsidR="009F2633" w:rsidRDefault="009F2633" w:rsidP="00BB78AB">
      <w:pPr>
        <w:pStyle w:val="IndexHeading"/>
        <w:keepNext w:val="0"/>
        <w:tabs>
          <w:tab w:val="left" w:pos="360"/>
        </w:tabs>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RDefault="009F2633" w:rsidP="00BB78AB">
      <w:pPr>
        <w:keepNext/>
        <w:numPr>
          <w:ilvl w:val="12"/>
          <w:numId w:val="0"/>
        </w:numPr>
        <w:ind w:left="360"/>
      </w:pPr>
    </w:p>
    <w:p w:rsidR="00CE55F5" w:rsidRPr="00CE55F5" w:rsidRDefault="00CE55F5" w:rsidP="00CE55F5">
      <w:pPr>
        <w:numPr>
          <w:ilvl w:val="12"/>
          <w:numId w:val="0"/>
        </w:numPr>
        <w:ind w:left="360"/>
      </w:pPr>
      <w:r w:rsidRPr="00CE55F5">
        <w:t xml:space="preserve">EXIS is intended to be used by stakeholders in the </w:t>
      </w:r>
      <w:r w:rsidR="008A441A">
        <w:t xml:space="preserve">TSS </w:t>
      </w:r>
      <w:r w:rsidRPr="00CE55F5">
        <w:t xml:space="preserve">with a </w:t>
      </w:r>
      <w:r w:rsidR="008A441A">
        <w:t>desire</w:t>
      </w:r>
      <w:r w:rsidR="008A441A" w:rsidRPr="00CE55F5">
        <w:t xml:space="preserve"> </w:t>
      </w:r>
      <w:r w:rsidRPr="00CE55F5">
        <w:t xml:space="preserve">to conduct security exercises, including TSA’s internal stakeholders (such as Federal Security Directors) and publicly- or privately-owned transportation companies or assets. TSA will collect five kinds of information online from transportation stakeholders: (1) user registration information; (2) nature and scope of exercise; (3) corrective actions/lessons learned/best practices; (4) evaluation feedback on EXIS itself; and (5) After-Action Reports.  </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 xml:space="preserve">TSA will collect registration information from all EXIS users. Most likely, these users will be mid-level staffers at the transportation company/agency. TSA will use the information to ensure only those who are involved in transportation security with a “need-to-know” can utilize the features of EXIS, which is necessary because the context may contain Sensitive Security Information (SSI).  </w:t>
      </w:r>
      <w:r w:rsidR="008A441A" w:rsidRPr="00CE55F5">
        <w:rPr>
          <w:u w:val="single"/>
        </w:rPr>
        <w:t>See</w:t>
      </w:r>
      <w:r w:rsidR="008A441A" w:rsidRPr="00CE55F5">
        <w:t xml:space="preserve"> 49 CFR </w:t>
      </w:r>
      <w:proofErr w:type="gramStart"/>
      <w:r w:rsidR="008A441A" w:rsidRPr="00CE55F5">
        <w:t>Part</w:t>
      </w:r>
      <w:proofErr w:type="gramEnd"/>
      <w:r w:rsidR="008A441A" w:rsidRPr="00CE55F5">
        <w:t xml:space="preserve"> 1520.  </w:t>
      </w:r>
      <w:r w:rsidRPr="00CE55F5">
        <w:t xml:space="preserve">Although participation in EXIS is voluntary, for those who choose to participate, TSA requires those respondents to submit the following registration information: </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t>First and Last Name</w:t>
      </w:r>
    </w:p>
    <w:p w:rsidR="00CE55F5" w:rsidRPr="00CE55F5" w:rsidRDefault="00CE55F5" w:rsidP="00CE55F5">
      <w:pPr>
        <w:numPr>
          <w:ilvl w:val="0"/>
          <w:numId w:val="22"/>
        </w:numPr>
      </w:pPr>
      <w:r w:rsidRPr="00CE55F5">
        <w:t>Agency/Organization Type and Name</w:t>
      </w:r>
    </w:p>
    <w:p w:rsidR="00CE55F5" w:rsidRPr="00CE55F5" w:rsidRDefault="00CE55F5" w:rsidP="00CE55F5">
      <w:pPr>
        <w:numPr>
          <w:ilvl w:val="0"/>
          <w:numId w:val="22"/>
        </w:numPr>
      </w:pPr>
      <w:r w:rsidRPr="00CE55F5">
        <w:t>Job Title</w:t>
      </w:r>
    </w:p>
    <w:p w:rsidR="00CE55F5" w:rsidRPr="00CE55F5" w:rsidRDefault="00CE55F5" w:rsidP="00CE55F5">
      <w:pPr>
        <w:numPr>
          <w:ilvl w:val="0"/>
          <w:numId w:val="22"/>
        </w:numPr>
      </w:pPr>
      <w:r w:rsidRPr="00CE55F5">
        <w:t>Employer Name</w:t>
      </w:r>
    </w:p>
    <w:p w:rsidR="00CE55F5" w:rsidRPr="00CE55F5" w:rsidRDefault="00CE55F5" w:rsidP="00CE55F5">
      <w:pPr>
        <w:numPr>
          <w:ilvl w:val="0"/>
          <w:numId w:val="22"/>
        </w:numPr>
      </w:pPr>
      <w:r w:rsidRPr="00CE55F5">
        <w:t>Professional Phone Number</w:t>
      </w:r>
    </w:p>
    <w:p w:rsidR="00CE55F5" w:rsidRPr="00CE55F5" w:rsidRDefault="00CE55F5" w:rsidP="00CE55F5">
      <w:pPr>
        <w:numPr>
          <w:ilvl w:val="0"/>
          <w:numId w:val="22"/>
        </w:numPr>
      </w:pPr>
      <w:r w:rsidRPr="00CE55F5">
        <w:t>Professional E-mail Address</w:t>
      </w:r>
    </w:p>
    <w:p w:rsidR="00CE55F5" w:rsidRPr="00CE55F5" w:rsidRDefault="00CE55F5" w:rsidP="00CE55F5">
      <w:pPr>
        <w:numPr>
          <w:ilvl w:val="0"/>
          <w:numId w:val="22"/>
        </w:numPr>
      </w:pPr>
      <w:r w:rsidRPr="00CE55F5">
        <w:t>Employment Verification Contact Name</w:t>
      </w:r>
    </w:p>
    <w:p w:rsidR="00CE55F5" w:rsidRPr="00CE55F5" w:rsidRDefault="00CE55F5" w:rsidP="00CE55F5">
      <w:pPr>
        <w:numPr>
          <w:ilvl w:val="0"/>
          <w:numId w:val="22"/>
        </w:numPr>
      </w:pPr>
      <w:r w:rsidRPr="00CE55F5">
        <w:t>Employment Verification Phone Number</w:t>
      </w:r>
    </w:p>
    <w:p w:rsidR="00CE55F5" w:rsidRPr="00CE55F5" w:rsidRDefault="00CE55F5" w:rsidP="00CE55F5">
      <w:pPr>
        <w:numPr>
          <w:ilvl w:val="12"/>
          <w:numId w:val="0"/>
        </w:numPr>
        <w:ind w:left="360"/>
      </w:pPr>
    </w:p>
    <w:p w:rsidR="000B3FFA" w:rsidRPr="00CE55F5" w:rsidRDefault="00CE55F5" w:rsidP="000B3FFA">
      <w:pPr>
        <w:numPr>
          <w:ilvl w:val="12"/>
          <w:numId w:val="0"/>
        </w:numPr>
        <w:ind w:left="360"/>
      </w:pPr>
      <w:r w:rsidRPr="00CE55F5">
        <w:t xml:space="preserve">In addition, because EXIS content may contain SSI, all users are also required to submit </w:t>
      </w:r>
      <w:r w:rsidR="00B46BF2">
        <w:t xml:space="preserve">an electronic </w:t>
      </w:r>
      <w:r w:rsidRPr="00CE55F5">
        <w:t xml:space="preserve">non-disclosure agreement </w:t>
      </w:r>
      <w:r w:rsidR="00C365EE">
        <w:t xml:space="preserve">(NDA) </w:t>
      </w:r>
      <w:r w:rsidRPr="00CE55F5">
        <w:t>pertaining to SSI usage.</w:t>
      </w:r>
      <w:r w:rsidRPr="00CE55F5">
        <w:rPr>
          <w:vertAlign w:val="superscript"/>
        </w:rPr>
        <w:t xml:space="preserve"> </w:t>
      </w:r>
      <w:r w:rsidRPr="00CE55F5">
        <w:rPr>
          <w:vertAlign w:val="superscript"/>
        </w:rPr>
        <w:footnoteReference w:id="3"/>
      </w:r>
      <w:r w:rsidRPr="00CE55F5">
        <w:t xml:space="preserve"> Furthermore, all users will </w:t>
      </w:r>
      <w:r w:rsidR="000B3FFA">
        <w:t>be required to review and acknowledge review of SSI handling and protection requirements</w:t>
      </w:r>
      <w:r w:rsidR="000B3FFA" w:rsidRPr="00CE55F5">
        <w:t xml:space="preserve">. </w:t>
      </w:r>
      <w:r w:rsidR="000B3FFA">
        <w:t>The burden of reading and acknowledging the NDA and the SSI handling and protection requirements is accounted for in the registration burden estimate under Question 12.</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TSA also requests the following optional registration information:</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lastRenderedPageBreak/>
        <w:t>Certifications</w:t>
      </w:r>
    </w:p>
    <w:p w:rsidR="00CE55F5" w:rsidRPr="00CE55F5" w:rsidRDefault="00CE55F5" w:rsidP="00CE55F5">
      <w:pPr>
        <w:numPr>
          <w:ilvl w:val="0"/>
          <w:numId w:val="22"/>
        </w:numPr>
      </w:pPr>
      <w:r w:rsidRPr="00CE55F5">
        <w:t>Professional Address, City, State, and Zip</w:t>
      </w:r>
    </w:p>
    <w:p w:rsidR="00CE55F5" w:rsidRPr="00CE55F5" w:rsidRDefault="00CE55F5" w:rsidP="00CE55F5">
      <w:pPr>
        <w:numPr>
          <w:ilvl w:val="0"/>
          <w:numId w:val="22"/>
        </w:numPr>
      </w:pPr>
      <w:r w:rsidRPr="00CE55F5">
        <w:t>Alternate Phone Number</w:t>
      </w:r>
    </w:p>
    <w:p w:rsidR="00CE55F5" w:rsidRPr="00CE55F5" w:rsidRDefault="00CE55F5" w:rsidP="00CE55F5">
      <w:pPr>
        <w:numPr>
          <w:ilvl w:val="0"/>
          <w:numId w:val="22"/>
        </w:numPr>
      </w:pPr>
      <w:r w:rsidRPr="00CE55F5">
        <w:t>Professional Fax Number</w:t>
      </w:r>
    </w:p>
    <w:p w:rsidR="00CE55F5" w:rsidRPr="00CE55F5" w:rsidRDefault="00CE55F5" w:rsidP="00CE55F5">
      <w:pPr>
        <w:numPr>
          <w:ilvl w:val="0"/>
          <w:numId w:val="22"/>
        </w:numPr>
      </w:pPr>
      <w:r w:rsidRPr="00CE55F5">
        <w:t>Alternate E-mail</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After users are registered, the EXIS user can provide information regarding the nature and scope of the exercise that they would like to conduct. TSA then can access this information in order to generate an appropriate exercise for the user. Such information includes:</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t>Exercise Properties</w:t>
      </w:r>
    </w:p>
    <w:p w:rsidR="00CE55F5" w:rsidRPr="00CE55F5" w:rsidRDefault="00CE55F5" w:rsidP="00CE55F5">
      <w:pPr>
        <w:numPr>
          <w:ilvl w:val="0"/>
          <w:numId w:val="22"/>
        </w:numPr>
      </w:pPr>
      <w:r w:rsidRPr="00CE55F5">
        <w:t>Objectives</w:t>
      </w:r>
    </w:p>
    <w:p w:rsidR="00CE55F5" w:rsidRPr="00CE55F5" w:rsidRDefault="00CE55F5" w:rsidP="00CE55F5">
      <w:pPr>
        <w:numPr>
          <w:ilvl w:val="0"/>
          <w:numId w:val="22"/>
        </w:numPr>
      </w:pPr>
      <w:r w:rsidRPr="00CE55F5">
        <w:t>Scenario Events</w:t>
      </w:r>
    </w:p>
    <w:p w:rsidR="00CE55F5" w:rsidRPr="00CE55F5" w:rsidRDefault="00CE55F5" w:rsidP="00CE55F5">
      <w:pPr>
        <w:numPr>
          <w:ilvl w:val="0"/>
          <w:numId w:val="22"/>
        </w:numPr>
      </w:pPr>
      <w:r w:rsidRPr="00CE55F5">
        <w:t>Participating Agencies</w:t>
      </w:r>
    </w:p>
    <w:p w:rsidR="00CE55F5" w:rsidRPr="00CE55F5" w:rsidRDefault="00CE55F5" w:rsidP="00CE55F5">
      <w:pPr>
        <w:numPr>
          <w:ilvl w:val="0"/>
          <w:numId w:val="22"/>
        </w:numPr>
      </w:pPr>
      <w:r w:rsidRPr="00CE55F5">
        <w:t>Pre-Exercise Data (to assess the user’s state of readiness for a transportation security incident prior to initiating the training exercise)</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After the completion of the exercise, the EXIS user can input information regarding the exercise.  The EXIS user can ultimately use this information for generating an “After Action Report”.  TSA will also collect this information in order to capture lessons learned and best practices. Such information includes:</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t>Corrective Actions</w:t>
      </w:r>
    </w:p>
    <w:p w:rsidR="00CE55F5" w:rsidRPr="00CE55F5" w:rsidRDefault="00CE55F5" w:rsidP="00CE55F5">
      <w:pPr>
        <w:numPr>
          <w:ilvl w:val="0"/>
          <w:numId w:val="22"/>
        </w:numPr>
      </w:pPr>
      <w:r w:rsidRPr="00CE55F5">
        <w:t>Best Practices</w:t>
      </w:r>
    </w:p>
    <w:p w:rsidR="00CE55F5" w:rsidRPr="00CE55F5" w:rsidRDefault="00CE55F5" w:rsidP="00CE55F5">
      <w:pPr>
        <w:numPr>
          <w:ilvl w:val="0"/>
          <w:numId w:val="22"/>
        </w:numPr>
      </w:pPr>
      <w:r w:rsidRPr="00CE55F5">
        <w:t>Lessons Learned</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Users can submit feedback on EXIS itself through a voluntary evaluation survey called the “Evaluation Team Feedback”. This survey encompasses:</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t>Evaluation Materials</w:t>
      </w:r>
    </w:p>
    <w:p w:rsidR="00CE55F5" w:rsidRPr="00CE55F5" w:rsidRDefault="00CE55F5" w:rsidP="00CE55F5">
      <w:pPr>
        <w:numPr>
          <w:ilvl w:val="0"/>
          <w:numId w:val="22"/>
        </w:numPr>
      </w:pPr>
      <w:r w:rsidRPr="00CE55F5">
        <w:t>Evaluator Training</w:t>
      </w:r>
    </w:p>
    <w:p w:rsidR="00CE55F5" w:rsidRPr="00CE55F5" w:rsidRDefault="00CE55F5" w:rsidP="00CE55F5">
      <w:pPr>
        <w:numPr>
          <w:ilvl w:val="0"/>
          <w:numId w:val="22"/>
        </w:numPr>
      </w:pPr>
      <w:r w:rsidRPr="00CE55F5">
        <w:t>Team Composition</w:t>
      </w:r>
    </w:p>
    <w:p w:rsidR="00CE55F5" w:rsidRPr="00CE55F5" w:rsidRDefault="00CE55F5" w:rsidP="00CE55F5">
      <w:pPr>
        <w:numPr>
          <w:ilvl w:val="0"/>
          <w:numId w:val="22"/>
        </w:numPr>
      </w:pPr>
      <w:r w:rsidRPr="00CE55F5">
        <w:t>Logistics</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Finally, as previously mentioned, EXIS users can access data to generate and/or submit formal “After Action Reports” which may include:</w:t>
      </w:r>
    </w:p>
    <w:p w:rsidR="00CE55F5" w:rsidRPr="00CE55F5" w:rsidRDefault="00CE55F5" w:rsidP="00CE55F5">
      <w:pPr>
        <w:numPr>
          <w:ilvl w:val="12"/>
          <w:numId w:val="0"/>
        </w:numPr>
        <w:ind w:left="360"/>
      </w:pPr>
    </w:p>
    <w:p w:rsidR="00CE55F5" w:rsidRPr="00CE55F5" w:rsidRDefault="00CE55F5" w:rsidP="00CE55F5">
      <w:pPr>
        <w:numPr>
          <w:ilvl w:val="0"/>
          <w:numId w:val="22"/>
        </w:numPr>
      </w:pPr>
      <w:r w:rsidRPr="00CE55F5">
        <w:t>Exercise Overview</w:t>
      </w:r>
    </w:p>
    <w:p w:rsidR="00CE55F5" w:rsidRPr="00CE55F5" w:rsidRDefault="00CE55F5" w:rsidP="00CE55F5">
      <w:pPr>
        <w:numPr>
          <w:ilvl w:val="0"/>
          <w:numId w:val="22"/>
        </w:numPr>
      </w:pPr>
      <w:r w:rsidRPr="00CE55F5">
        <w:t>Goals and Objectives</w:t>
      </w:r>
    </w:p>
    <w:p w:rsidR="00CE55F5" w:rsidRPr="00CE55F5" w:rsidRDefault="00CE55F5" w:rsidP="00CE55F5">
      <w:pPr>
        <w:numPr>
          <w:ilvl w:val="0"/>
          <w:numId w:val="22"/>
        </w:numPr>
      </w:pPr>
      <w:r w:rsidRPr="00CE55F5">
        <w:t>Event Synopsis</w:t>
      </w:r>
    </w:p>
    <w:p w:rsidR="00CE55F5" w:rsidRPr="00CE55F5" w:rsidRDefault="00CE55F5" w:rsidP="00CE55F5">
      <w:pPr>
        <w:numPr>
          <w:ilvl w:val="0"/>
          <w:numId w:val="22"/>
        </w:numPr>
      </w:pPr>
      <w:r w:rsidRPr="00CE55F5">
        <w:t>Analysis of Critical Issues</w:t>
      </w:r>
    </w:p>
    <w:p w:rsidR="00CE55F5" w:rsidRPr="00CE55F5" w:rsidRDefault="00CE55F5" w:rsidP="00CE55F5">
      <w:pPr>
        <w:numPr>
          <w:ilvl w:val="0"/>
          <w:numId w:val="22"/>
        </w:numPr>
      </w:pPr>
      <w:r w:rsidRPr="00CE55F5">
        <w:t>Exercise Design Characteristics</w:t>
      </w:r>
    </w:p>
    <w:p w:rsidR="00CE55F5" w:rsidRPr="00CE55F5" w:rsidRDefault="00CE55F5" w:rsidP="00CE55F5">
      <w:pPr>
        <w:numPr>
          <w:ilvl w:val="0"/>
          <w:numId w:val="22"/>
        </w:numPr>
      </w:pPr>
      <w:r w:rsidRPr="00CE55F5">
        <w:t>Conclusions</w:t>
      </w:r>
    </w:p>
    <w:p w:rsidR="00CE55F5" w:rsidRPr="00CE55F5" w:rsidRDefault="00CE55F5" w:rsidP="00CE55F5">
      <w:pPr>
        <w:numPr>
          <w:ilvl w:val="0"/>
          <w:numId w:val="22"/>
        </w:numPr>
      </w:pPr>
      <w:r w:rsidRPr="00CE55F5">
        <w:t>Executive Summary</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lastRenderedPageBreak/>
        <w:t xml:space="preserve">An EXIS user has the ability to limit the availability of his/her exercise information to a select group of other EXIS users by creating an exercise community.  By creating an exercise community, the EXIS user groups exercises and data under a private sub-site within EXIS and can control community access by choosing which other EXIS users to invite to his/her community and/or by rejecting any requests from other users to join.  </w:t>
      </w:r>
      <w:proofErr w:type="gramStart"/>
      <w:r w:rsidRPr="00CE55F5">
        <w:t>All EXIS users, whether TSA or non-TSA, have this ability.</w:t>
      </w:r>
      <w:proofErr w:type="gramEnd"/>
      <w:r w:rsidRPr="00CE55F5">
        <w:t xml:space="preserve">  Regardless of whether the community organizer is TSA or non-TSA, TSA will have the ability to access and moderate all communities, although TSA will not actively do so.  TSA will only step in to moderate if an issue arises in a particular community. </w:t>
      </w:r>
    </w:p>
    <w:p w:rsidR="00CE55F5" w:rsidRPr="00CE55F5" w:rsidRDefault="00CE55F5" w:rsidP="00CE55F5">
      <w:pPr>
        <w:numPr>
          <w:ilvl w:val="12"/>
          <w:numId w:val="0"/>
        </w:numPr>
        <w:ind w:left="360"/>
      </w:pPr>
    </w:p>
    <w:p w:rsidR="00CE55F5" w:rsidRPr="00CE55F5" w:rsidRDefault="00CE55F5" w:rsidP="00CE55F5">
      <w:pPr>
        <w:numPr>
          <w:ilvl w:val="12"/>
          <w:numId w:val="0"/>
        </w:numPr>
        <w:ind w:left="360"/>
      </w:pPr>
      <w:r w:rsidRPr="00CE55F5">
        <w:t xml:space="preserve">EXIS communities are not “bulletin boards” in the sense that all members of the community can contribute information. Rather, the community owner can post information regarding his/her exercise and other community members can only observe the posted information. Because such information may be SSI, all EXIS users will have unique usernames and passwords that meet or exceed the DHS standards of SSI access to log into EXIS.  An SSI Content Management Plan has been approved for EXIS by the Office of Intelligence, and EXIS hardware and software have been approved to handle SSI by the Office of Information Technology. </w:t>
      </w:r>
    </w:p>
    <w:p w:rsidR="00CE55F5" w:rsidRPr="00CE55F5" w:rsidRDefault="00CE55F5" w:rsidP="00CE55F5">
      <w:pPr>
        <w:numPr>
          <w:ilvl w:val="12"/>
          <w:numId w:val="0"/>
        </w:numPr>
        <w:ind w:left="360"/>
      </w:pP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RDefault="009F2633" w:rsidP="00BB78AB">
      <w:pPr>
        <w:keepNext/>
        <w:numPr>
          <w:ilvl w:val="12"/>
          <w:numId w:val="0"/>
        </w:numPr>
        <w:ind w:left="360"/>
      </w:pPr>
    </w:p>
    <w:p w:rsidR="00CE55F5" w:rsidRDefault="00CE55F5" w:rsidP="00CE55F5">
      <w:pPr>
        <w:numPr>
          <w:ilvl w:val="12"/>
          <w:numId w:val="0"/>
        </w:numPr>
        <w:ind w:left="360"/>
      </w:pPr>
      <w:r>
        <w:t>EXIS is an electronic system, accessible through the Internet, and all information is collected electronically; thus this information collection is compliant with GPEA.  The basis for adopting an online submission process include ease of accessibility for EXIS users, ease of information storage, and ease of control over information dissemination. Users can go to “</w:t>
      </w:r>
      <w:hyperlink r:id="rId12" w:history="1">
        <w:r w:rsidRPr="009F36EC">
          <w:rPr>
            <w:rStyle w:val="Hyperlink"/>
          </w:rPr>
          <w:t>https://exis.tsa.dhs.gov/default.aspx</w:t>
        </w:r>
      </w:hyperlink>
      <w:r>
        <w:t xml:space="preserve">” to access the public-facing EXIS site and to request access by inputting registration information.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RDefault="009F2633" w:rsidP="00BB78AB">
      <w:pPr>
        <w:keepNext/>
        <w:numPr>
          <w:ilvl w:val="12"/>
          <w:numId w:val="0"/>
        </w:numPr>
        <w:ind w:left="360"/>
      </w:pPr>
    </w:p>
    <w:p w:rsidR="00CE55F5" w:rsidRDefault="00CE55F5" w:rsidP="00CE55F5">
      <w:pPr>
        <w:numPr>
          <w:ilvl w:val="12"/>
          <w:numId w:val="0"/>
        </w:numPr>
        <w:ind w:left="360"/>
      </w:pPr>
      <w:r>
        <w:t xml:space="preserve">TSA is not aware of any other web portal in the government that is designed to generate transportation security training exercises and to record the data/results of such exercises. The purpose of EXIS is unique, and therefore any similar information already available cannot be modified to accomplish it.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9F2633" w:rsidRDefault="009F2633" w:rsidP="00BB78AB">
      <w:pPr>
        <w:keepNext/>
        <w:numPr>
          <w:ilvl w:val="12"/>
          <w:numId w:val="0"/>
        </w:numPr>
        <w:ind w:left="360"/>
      </w:pPr>
    </w:p>
    <w:p w:rsidR="00CE55F5" w:rsidRDefault="00CE55F5" w:rsidP="00CE55F5">
      <w:pPr>
        <w:numPr>
          <w:ilvl w:val="12"/>
          <w:numId w:val="0"/>
        </w:numPr>
        <w:ind w:left="360"/>
      </w:pPr>
      <w:r>
        <w:t xml:space="preserve">The collection of information will not have a significant impact on a substantial number of small businesses or other small entities.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RDefault="009F2633" w:rsidP="00BB78AB">
      <w:pPr>
        <w:keepNext/>
        <w:numPr>
          <w:ilvl w:val="12"/>
          <w:numId w:val="0"/>
        </w:numPr>
        <w:ind w:left="360"/>
      </w:pPr>
    </w:p>
    <w:p w:rsidR="00CE55F5" w:rsidRDefault="00CE55F5" w:rsidP="00CE55F5">
      <w:pPr>
        <w:numPr>
          <w:ilvl w:val="12"/>
          <w:numId w:val="0"/>
        </w:numPr>
        <w:ind w:left="360"/>
      </w:pPr>
      <w:r>
        <w:t xml:space="preserve">The </w:t>
      </w:r>
      <w:r w:rsidR="007B3BD6">
        <w:t xml:space="preserve">TSS </w:t>
      </w:r>
      <w:r>
        <w:t xml:space="preserve">has over 100,000 operators which need support from TSA, and insufficient awareness, prevention, response, and recovery to a transportation security incident will result in increased vulnerability of the U.S. transportation network and a reduced ability of DHS to assess system readiness.  Failure to collect this information will limit TSA’s ability to effectively test security countermeasures, security plans, and the ability of a modal operator to respond to and quickly recover after a transportation security incident. </w:t>
      </w:r>
    </w:p>
    <w:p w:rsidR="00CE55F5" w:rsidRDefault="00CE55F5" w:rsidP="00CE55F5">
      <w:pPr>
        <w:numPr>
          <w:ilvl w:val="12"/>
          <w:numId w:val="0"/>
        </w:numPr>
        <w:ind w:left="360"/>
      </w:pPr>
    </w:p>
    <w:p w:rsidR="00CE55F5" w:rsidRDefault="00CE55F5" w:rsidP="00CE55F5">
      <w:pPr>
        <w:numPr>
          <w:ilvl w:val="12"/>
          <w:numId w:val="0"/>
        </w:numPr>
        <w:ind w:left="360"/>
      </w:pPr>
      <w:r>
        <w:t xml:space="preserve">EXIS is an SSI-level system.  Therefore, collection of registration information is necessary in order to determine whether users should have access to the system.  Thus, failure to collect user registration information will prevent TSA from making this system available to transportation stakeholders as it would not have the ability to evaluate whether transportation stakeholders have a “need-to-know” in order to access and use EXIS.  </w:t>
      </w:r>
    </w:p>
    <w:p w:rsidR="00CE55F5" w:rsidRDefault="00CE55F5" w:rsidP="00CE55F5">
      <w:pPr>
        <w:numPr>
          <w:ilvl w:val="12"/>
          <w:numId w:val="0"/>
        </w:numPr>
        <w:ind w:left="360"/>
      </w:pPr>
    </w:p>
    <w:p w:rsidR="00CE55F5" w:rsidRDefault="00CE55F5" w:rsidP="00CE55F5">
      <w:pPr>
        <w:numPr>
          <w:ilvl w:val="12"/>
          <w:numId w:val="0"/>
        </w:numPr>
        <w:ind w:left="360"/>
      </w:pPr>
      <w:r>
        <w:t xml:space="preserve">In addition, failure to collect/monitor information regarding the nature and scope of the user’s desired exercise will prevent TSA from properly generating a relevant and useful training exercise for the user.  A failure to collect corrective actions, best practices, lessons learned, and After-Action Reports from the user once the exercise is complete will hamper TSA’s attempt to record and document security feedback as well as TSA’s ability to disseminate such information to other members of the </w:t>
      </w:r>
      <w:r w:rsidR="007B3BD6">
        <w:t>TSS</w:t>
      </w:r>
      <w:r>
        <w:t xml:space="preserve">.  Finally, a failure to collect feedback on EXIS’s performance will limit TSA from adjusting the properties and capabilities of EXIS to better suit the needs of the </w:t>
      </w:r>
      <w:r w:rsidR="007B3BD6">
        <w:t>TSS</w:t>
      </w:r>
      <w:r>
        <w:t xml:space="preserv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rsidR="009F2633" w:rsidRDefault="009F2633" w:rsidP="00BB78AB">
      <w:pPr>
        <w:keepNext/>
        <w:numPr>
          <w:ilvl w:val="12"/>
          <w:numId w:val="0"/>
        </w:numPr>
        <w:ind w:left="360"/>
      </w:pPr>
    </w:p>
    <w:p w:rsidR="007B3BD6" w:rsidRDefault="007B3BD6" w:rsidP="007B3BD6">
      <w:pPr>
        <w:numPr>
          <w:ilvl w:val="12"/>
          <w:numId w:val="0"/>
        </w:numPr>
        <w:ind w:left="360"/>
      </w:pPr>
      <w:r>
        <w:t>TSA will conduct this collection in a manner consistent with the general information collection guidelines in 5 CFR 1320.5(d</w:t>
      </w:r>
      <w:proofErr w:type="gramStart"/>
      <w:r>
        <w:t>)(</w:t>
      </w:r>
      <w:proofErr w:type="gramEnd"/>
      <w:r>
        <w:t xml:space="preserve">2).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9F2633" w:rsidRDefault="009F2633" w:rsidP="00BB78AB">
      <w:pPr>
        <w:keepNext/>
        <w:numPr>
          <w:ilvl w:val="12"/>
          <w:numId w:val="0"/>
        </w:numPr>
        <w:ind w:left="360"/>
      </w:pPr>
    </w:p>
    <w:p w:rsidR="007B3BD6" w:rsidRDefault="007B3BD6" w:rsidP="007B3BD6">
      <w:pPr>
        <w:numPr>
          <w:ilvl w:val="12"/>
          <w:numId w:val="0"/>
        </w:numPr>
        <w:ind w:left="360"/>
      </w:pPr>
      <w:r>
        <w:t xml:space="preserve">Pursuant to 5 CFR 1320.8(d), TSA published a 60-day notice soliciting comments from persons outside of the agency regarding the data collection procedures of EXIS.  This notice was published on January 6, 2011 (76 FR 792).  We received three comments. The first comment was from a contractor in the Infrastructure Protection Disaster Management Division of the Science and Technology Directorate at DHS.  This comment sought more information in regards to the program manager of EXIS and its role/capabilities in exercise training.  TSA responded by referring the commentator to the appropriate EXIS personnel. The second comment came from a transportation security inspector in South Carolina seeking more information on the capabilities of EXIS.  TSA responded by electronically sending the commentator an EXIS information brochure and referring the commentator to the EXIS email address for any additional questions.  The third comment came from a writer with Chemical Facility Security News. This comment inquired about the type of information requested during EXIS registration. The writer’s comments are addressed in Question #2 of this Supporting Statement. To our knowledge, no additional comments have been received.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RDefault="009F2633" w:rsidP="00BB78AB">
      <w:pPr>
        <w:keepNext/>
        <w:numPr>
          <w:ilvl w:val="12"/>
          <w:numId w:val="0"/>
        </w:numPr>
        <w:ind w:left="360"/>
      </w:pPr>
    </w:p>
    <w:p w:rsidR="007B3BD6" w:rsidRDefault="007B3BD6" w:rsidP="007B3BD6">
      <w:pPr>
        <w:numPr>
          <w:ilvl w:val="12"/>
          <w:numId w:val="0"/>
        </w:numPr>
        <w:ind w:left="360"/>
      </w:pPr>
      <w:r>
        <w:t>TSA will not provide payment or gifts to respondents.</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RDefault="009F2633" w:rsidP="00BB78AB">
      <w:pPr>
        <w:keepNext/>
        <w:numPr>
          <w:ilvl w:val="12"/>
          <w:numId w:val="0"/>
        </w:numPr>
        <w:ind w:left="360"/>
      </w:pPr>
    </w:p>
    <w:p w:rsidR="007B3BD6" w:rsidRDefault="007B3BD6" w:rsidP="007B3BD6">
      <w:pPr>
        <w:numPr>
          <w:ilvl w:val="12"/>
          <w:numId w:val="0"/>
        </w:numPr>
        <w:ind w:left="360"/>
      </w:pPr>
      <w:r>
        <w:t>TSA will not provide any assurance of confidentiality to respondents.  TSA will gather and store all information pursuant to the Privacy Act, as applicable, as well as any information deemed SSI pursuant to 49 CFR Part 1520.</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RDefault="009F2633" w:rsidP="001F0623">
      <w:pPr>
        <w:keepNext/>
        <w:numPr>
          <w:ilvl w:val="12"/>
          <w:numId w:val="0"/>
        </w:numPr>
        <w:ind w:left="360"/>
      </w:pPr>
    </w:p>
    <w:p w:rsidR="007B3BD6" w:rsidRDefault="007B3BD6" w:rsidP="007B3BD6">
      <w:pPr>
        <w:numPr>
          <w:ilvl w:val="12"/>
          <w:numId w:val="0"/>
        </w:numPr>
        <w:ind w:left="360"/>
      </w:pPr>
      <w:r>
        <w:t xml:space="preserve">TSA does not ask questions of a private, sensitive nature.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Provide estimates of hour burden of the collection of information.</w:t>
      </w:r>
    </w:p>
    <w:p w:rsidR="009F2633" w:rsidRDefault="009F2633" w:rsidP="00BB78AB">
      <w:pPr>
        <w:keepNext/>
        <w:numPr>
          <w:ilvl w:val="12"/>
          <w:numId w:val="0"/>
        </w:numPr>
        <w:ind w:left="360"/>
      </w:pPr>
    </w:p>
    <w:p w:rsidR="007B3BD6" w:rsidRDefault="007B3BD6" w:rsidP="007B3BD6">
      <w:pPr>
        <w:numPr>
          <w:ilvl w:val="12"/>
          <w:numId w:val="0"/>
        </w:numPr>
        <w:ind w:left="360"/>
      </w:pPr>
      <w:r>
        <w:t xml:space="preserve">The total annual hour burden estimate for EXIS’s collection of </w:t>
      </w:r>
      <w:r w:rsidRPr="00416514">
        <w:rPr>
          <w:rFonts w:cs="Times New Roman"/>
          <w:szCs w:val="24"/>
        </w:rPr>
        <w:t>information is 392,385</w:t>
      </w:r>
      <w:r>
        <w:rPr>
          <w:rFonts w:ascii="Calibri" w:hAnsi="Calibri" w:cs="Times New Roman"/>
          <w:sz w:val="22"/>
          <w:szCs w:val="22"/>
        </w:rPr>
        <w:t xml:space="preserve"> </w:t>
      </w:r>
      <w:r w:rsidRPr="00AC2161">
        <w:rPr>
          <w:rFonts w:cs="Times New Roman"/>
          <w:szCs w:val="24"/>
        </w:rPr>
        <w:t>hours</w:t>
      </w:r>
      <w:r>
        <w:t>.  This was calculated by first, estimating the average annual number of unique respondents (112,109).  The average annual number of unique respondents was then multiplied by an estimated annual response frequency (</w:t>
      </w:r>
      <w:r w:rsidRPr="00416514">
        <w:t>one-half of the EXIS user population will conduct one exercise per year, while the other one-half will not conduct any exercises per year)</w:t>
      </w:r>
      <w:r>
        <w:t xml:space="preserve"> and hours per response (seven hours).  A more detailed explanation of how these estimates were derived is provided below.  </w:t>
      </w:r>
    </w:p>
    <w:p w:rsidR="007B3BD6" w:rsidRDefault="007B3BD6" w:rsidP="007B3BD6">
      <w:pPr>
        <w:numPr>
          <w:ilvl w:val="12"/>
          <w:numId w:val="0"/>
        </w:numPr>
        <w:ind w:left="360"/>
      </w:pPr>
    </w:p>
    <w:p w:rsidR="007B3BD6" w:rsidRDefault="007B3BD6" w:rsidP="007B3BD6">
      <w:pPr>
        <w:numPr>
          <w:ilvl w:val="12"/>
          <w:numId w:val="0"/>
        </w:numPr>
        <w:ind w:left="360"/>
      </w:pPr>
      <w:r>
        <w:lastRenderedPageBreak/>
        <w:t xml:space="preserve">First, TSA used data from TSA Modal Annex reports, the Association of American Railroads (AAR), and the 2008 Motor Coach Census to estimate current surface transportation industry populations which were used as year one estimates.  An annual growth rate of 0.54 percent was used to obtain year two and year three Freight Rail population estimates.  The Freight Rail growth rate is based on 2006-2008 AAR statistics.  An annual growth rate of 1.81 percent was applied to the remaining populations to obtain year two and year three population estimates.  The 1.81 percent growth rate was based on 1999-2009 U.S. Gross Domestic Product data from the Bureau of Economic Analysis.  Table 1 displays the estimated transportation surface population.  </w:t>
      </w:r>
    </w:p>
    <w:p w:rsidR="007B3BD6" w:rsidRDefault="007B3BD6" w:rsidP="007B3BD6">
      <w:pPr>
        <w:numPr>
          <w:ilvl w:val="12"/>
          <w:numId w:val="0"/>
        </w:numPr>
        <w:ind w:left="360"/>
      </w:pPr>
    </w:p>
    <w:p w:rsidR="007B3BD6" w:rsidRDefault="007B3BD6" w:rsidP="007B3BD6">
      <w:pPr>
        <w:numPr>
          <w:ilvl w:val="12"/>
          <w:numId w:val="0"/>
        </w:numPr>
        <w:ind w:left="360"/>
      </w:pPr>
    </w:p>
    <w:tbl>
      <w:tblPr>
        <w:tblW w:w="7156" w:type="dxa"/>
        <w:jc w:val="center"/>
        <w:tblInd w:w="108" w:type="dxa"/>
        <w:tblLook w:val="04A0" w:firstRow="1" w:lastRow="0" w:firstColumn="1" w:lastColumn="0" w:noHBand="0" w:noVBand="1"/>
      </w:tblPr>
      <w:tblGrid>
        <w:gridCol w:w="1320"/>
        <w:gridCol w:w="1199"/>
        <w:gridCol w:w="1040"/>
        <w:gridCol w:w="1199"/>
        <w:gridCol w:w="1199"/>
        <w:gridCol w:w="1199"/>
      </w:tblGrid>
      <w:tr w:rsidR="007B3BD6" w:rsidRPr="00E8230E" w:rsidTr="007B3BD6">
        <w:trPr>
          <w:trHeight w:val="300"/>
          <w:jc w:val="center"/>
        </w:trPr>
        <w:tc>
          <w:tcPr>
            <w:tcW w:w="7156" w:type="dxa"/>
            <w:gridSpan w:val="6"/>
            <w:tcBorders>
              <w:top w:val="nil"/>
              <w:left w:val="nil"/>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b/>
                <w:bCs/>
                <w:sz w:val="22"/>
                <w:szCs w:val="22"/>
              </w:rPr>
            </w:pPr>
            <w:r w:rsidRPr="00E8230E">
              <w:rPr>
                <w:rFonts w:ascii="Calibri" w:hAnsi="Calibri" w:cs="Times New Roman"/>
                <w:b/>
                <w:bCs/>
                <w:sz w:val="22"/>
                <w:szCs w:val="22"/>
              </w:rPr>
              <w:t>Table 1: Transportation Surface Population</w:t>
            </w:r>
            <w:r>
              <w:rPr>
                <w:rFonts w:ascii="Calibri" w:hAnsi="Calibri" w:cs="Times New Roman"/>
                <w:b/>
                <w:bCs/>
                <w:sz w:val="22"/>
                <w:szCs w:val="22"/>
              </w:rPr>
              <w:t>*</w:t>
            </w:r>
          </w:p>
        </w:tc>
      </w:tr>
      <w:tr w:rsidR="007B3BD6" w:rsidRPr="00E8230E" w:rsidTr="007B3BD6">
        <w:trPr>
          <w:trHeight w:val="780"/>
          <w:jc w:val="center"/>
        </w:trPr>
        <w:tc>
          <w:tcPr>
            <w:tcW w:w="1320" w:type="dxa"/>
            <w:tcBorders>
              <w:top w:val="nil"/>
              <w:left w:val="single" w:sz="4" w:space="0" w:color="auto"/>
              <w:bottom w:val="nil"/>
              <w:right w:val="single" w:sz="4" w:space="0" w:color="auto"/>
            </w:tcBorders>
            <w:shd w:val="clear" w:color="auto" w:fill="auto"/>
            <w:vAlign w:val="bottom"/>
            <w:hideMark/>
          </w:tcPr>
          <w:p w:rsidR="007B3BD6" w:rsidRPr="00E8230E" w:rsidRDefault="007B3BD6" w:rsidP="007B3BD6">
            <w:pPr>
              <w:rPr>
                <w:rFonts w:ascii="Calibri" w:hAnsi="Calibri" w:cs="Times New Roman"/>
                <w:b/>
                <w:bCs/>
                <w:sz w:val="20"/>
              </w:rPr>
            </w:pPr>
            <w:r w:rsidRPr="00E8230E">
              <w:rPr>
                <w:rFonts w:ascii="Calibri" w:hAnsi="Calibri" w:cs="Times New Roman"/>
                <w:b/>
                <w:bCs/>
                <w:sz w:val="20"/>
              </w:rPr>
              <w:t>Respondent Category</w:t>
            </w:r>
          </w:p>
        </w:tc>
        <w:tc>
          <w:tcPr>
            <w:tcW w:w="1199" w:type="dxa"/>
            <w:tcBorders>
              <w:top w:val="nil"/>
              <w:left w:val="nil"/>
              <w:bottom w:val="nil"/>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Current Industry Population</w:t>
            </w:r>
          </w:p>
        </w:tc>
        <w:tc>
          <w:tcPr>
            <w:tcW w:w="1040" w:type="dxa"/>
            <w:tcBorders>
              <w:top w:val="nil"/>
              <w:left w:val="nil"/>
              <w:bottom w:val="nil"/>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Annual Growth</w:t>
            </w:r>
          </w:p>
        </w:tc>
        <w:tc>
          <w:tcPr>
            <w:tcW w:w="1199" w:type="dxa"/>
            <w:tcBorders>
              <w:top w:val="nil"/>
              <w:left w:val="nil"/>
              <w:bottom w:val="nil"/>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Year 1 Population</w:t>
            </w:r>
          </w:p>
        </w:tc>
        <w:tc>
          <w:tcPr>
            <w:tcW w:w="1199" w:type="dxa"/>
            <w:tcBorders>
              <w:top w:val="nil"/>
              <w:left w:val="nil"/>
              <w:bottom w:val="nil"/>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Year 2 Population</w:t>
            </w:r>
          </w:p>
        </w:tc>
        <w:tc>
          <w:tcPr>
            <w:tcW w:w="1199" w:type="dxa"/>
            <w:tcBorders>
              <w:top w:val="nil"/>
              <w:left w:val="nil"/>
              <w:bottom w:val="nil"/>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Year 3 Population</w:t>
            </w:r>
          </w:p>
        </w:tc>
      </w:tr>
      <w:tr w:rsidR="007B3BD6" w:rsidRPr="00E8230E" w:rsidTr="007B3BD6">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6" w:rsidRPr="00E8230E" w:rsidRDefault="007B3BD6" w:rsidP="007B3BD6">
            <w:pPr>
              <w:rPr>
                <w:rFonts w:ascii="Calibri" w:hAnsi="Calibri" w:cs="Times New Roman"/>
                <w:b/>
                <w:bCs/>
                <w:sz w:val="20"/>
              </w:rPr>
            </w:pPr>
          </w:p>
        </w:tc>
        <w:tc>
          <w:tcPr>
            <w:tcW w:w="1199" w:type="dxa"/>
            <w:tcBorders>
              <w:top w:val="single" w:sz="4" w:space="0" w:color="auto"/>
              <w:left w:val="nil"/>
              <w:bottom w:val="single" w:sz="4" w:space="0" w:color="auto"/>
              <w:right w:val="single" w:sz="4" w:space="0" w:color="auto"/>
            </w:tcBorders>
            <w:shd w:val="clear" w:color="auto" w:fill="auto"/>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A</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B</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C=A</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D=A*(1+B)</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b/>
                <w:bCs/>
                <w:sz w:val="20"/>
              </w:rPr>
            </w:pPr>
            <w:r w:rsidRPr="00E8230E">
              <w:rPr>
                <w:rFonts w:ascii="Calibri" w:hAnsi="Calibri" w:cs="Times New Roman"/>
                <w:b/>
                <w:bCs/>
                <w:sz w:val="20"/>
              </w:rPr>
              <w:t>E=D*(1+B)</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Freight Rail</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563</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0.54%</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563</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566</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569</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Mass Transit</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6,000</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1.81%</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6,000</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6,109</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6,220</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Highway</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1,075,000</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1.81%</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1,075,000</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1,094,498</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1,114,350</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School Bus</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14,000</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1.81%</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14,000</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14,254</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14,512</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Pipeline</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2,304</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1.81%</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2,304</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2,346</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2,388</w:t>
            </w:r>
          </w:p>
        </w:tc>
      </w:tr>
      <w:tr w:rsidR="007B3BD6" w:rsidRPr="00E8230E" w:rsidTr="007B3BD6">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rsidR="007B3BD6" w:rsidRPr="00E8230E" w:rsidRDefault="007B3BD6" w:rsidP="007B3BD6">
            <w:pPr>
              <w:rPr>
                <w:rFonts w:ascii="Calibri" w:hAnsi="Calibri" w:cs="Times New Roman"/>
                <w:sz w:val="20"/>
              </w:rPr>
            </w:pPr>
            <w:r w:rsidRPr="00E8230E">
              <w:rPr>
                <w:rFonts w:ascii="Calibri" w:hAnsi="Calibri" w:cs="Times New Roman"/>
                <w:sz w:val="20"/>
              </w:rPr>
              <w:t>Motor Coach</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3,137</w:t>
            </w:r>
          </w:p>
        </w:tc>
        <w:tc>
          <w:tcPr>
            <w:tcW w:w="1040"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1.81%</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3,137</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3,194</w:t>
            </w:r>
          </w:p>
        </w:tc>
        <w:tc>
          <w:tcPr>
            <w:tcW w:w="1199" w:type="dxa"/>
            <w:tcBorders>
              <w:top w:val="nil"/>
              <w:left w:val="nil"/>
              <w:bottom w:val="single" w:sz="4" w:space="0" w:color="auto"/>
              <w:right w:val="single" w:sz="4" w:space="0" w:color="auto"/>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3,252</w:t>
            </w:r>
          </w:p>
        </w:tc>
      </w:tr>
      <w:tr w:rsidR="007B3BD6" w:rsidRPr="00E8230E" w:rsidTr="007B3BD6">
        <w:trPr>
          <w:trHeight w:val="300"/>
          <w:jc w:val="center"/>
        </w:trPr>
        <w:tc>
          <w:tcPr>
            <w:tcW w:w="1320" w:type="dxa"/>
            <w:tcBorders>
              <w:top w:val="nil"/>
              <w:left w:val="nil"/>
              <w:bottom w:val="nil"/>
              <w:right w:val="nil"/>
            </w:tcBorders>
            <w:shd w:val="clear" w:color="auto" w:fill="auto"/>
            <w:noWrap/>
            <w:vAlign w:val="bottom"/>
            <w:hideMark/>
          </w:tcPr>
          <w:p w:rsidR="007B3BD6" w:rsidRPr="00E8230E" w:rsidRDefault="007B3BD6" w:rsidP="007B3BD6">
            <w:pPr>
              <w:rPr>
                <w:rFonts w:ascii="Calibri" w:hAnsi="Calibri" w:cs="Times New Roman"/>
                <w:b/>
                <w:bCs/>
                <w:sz w:val="20"/>
              </w:rPr>
            </w:pPr>
            <w:r w:rsidRPr="00E8230E">
              <w:rPr>
                <w:rFonts w:ascii="Calibri" w:hAnsi="Calibri" w:cs="Times New Roman"/>
                <w:b/>
                <w:bCs/>
                <w:sz w:val="20"/>
              </w:rPr>
              <w:t>Total</w:t>
            </w:r>
          </w:p>
        </w:tc>
        <w:tc>
          <w:tcPr>
            <w:tcW w:w="1199" w:type="dxa"/>
            <w:tcBorders>
              <w:top w:val="nil"/>
              <w:left w:val="nil"/>
              <w:bottom w:val="nil"/>
              <w:right w:val="nil"/>
            </w:tcBorders>
            <w:shd w:val="clear" w:color="auto" w:fill="auto"/>
            <w:noWrap/>
            <w:vAlign w:val="bottom"/>
            <w:hideMark/>
          </w:tcPr>
          <w:p w:rsidR="007B3BD6" w:rsidRPr="00E8230E" w:rsidRDefault="007B3BD6" w:rsidP="007B3BD6">
            <w:pPr>
              <w:rPr>
                <w:rFonts w:ascii="Calibri" w:hAnsi="Calibri" w:cs="Times New Roman"/>
                <w:sz w:val="22"/>
                <w:szCs w:val="22"/>
              </w:rPr>
            </w:pPr>
          </w:p>
        </w:tc>
        <w:tc>
          <w:tcPr>
            <w:tcW w:w="1040" w:type="dxa"/>
            <w:tcBorders>
              <w:top w:val="nil"/>
              <w:left w:val="nil"/>
              <w:bottom w:val="nil"/>
              <w:right w:val="nil"/>
            </w:tcBorders>
            <w:shd w:val="clear" w:color="auto" w:fill="auto"/>
            <w:noWrap/>
            <w:vAlign w:val="bottom"/>
            <w:hideMark/>
          </w:tcPr>
          <w:p w:rsidR="007B3BD6" w:rsidRPr="00E8230E" w:rsidRDefault="007B3BD6" w:rsidP="007B3BD6">
            <w:pPr>
              <w:rPr>
                <w:rFonts w:ascii="Calibri" w:hAnsi="Calibri" w:cs="Times New Roman"/>
                <w:sz w:val="22"/>
                <w:szCs w:val="22"/>
              </w:rPr>
            </w:pPr>
          </w:p>
        </w:tc>
        <w:tc>
          <w:tcPr>
            <w:tcW w:w="1199" w:type="dxa"/>
            <w:tcBorders>
              <w:top w:val="nil"/>
              <w:left w:val="nil"/>
              <w:bottom w:val="nil"/>
              <w:right w:val="nil"/>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1,101,004</w:t>
            </w:r>
          </w:p>
        </w:tc>
        <w:tc>
          <w:tcPr>
            <w:tcW w:w="1199" w:type="dxa"/>
            <w:tcBorders>
              <w:top w:val="nil"/>
              <w:left w:val="nil"/>
              <w:bottom w:val="nil"/>
              <w:right w:val="nil"/>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1,120,967</w:t>
            </w:r>
          </w:p>
        </w:tc>
        <w:tc>
          <w:tcPr>
            <w:tcW w:w="1199" w:type="dxa"/>
            <w:tcBorders>
              <w:top w:val="nil"/>
              <w:left w:val="nil"/>
              <w:bottom w:val="nil"/>
              <w:right w:val="nil"/>
            </w:tcBorders>
            <w:shd w:val="clear" w:color="auto" w:fill="auto"/>
            <w:noWrap/>
            <w:vAlign w:val="bottom"/>
            <w:hideMark/>
          </w:tcPr>
          <w:p w:rsidR="007B3BD6" w:rsidRPr="00E8230E" w:rsidRDefault="007B3BD6" w:rsidP="007B3BD6">
            <w:pPr>
              <w:jc w:val="center"/>
              <w:rPr>
                <w:rFonts w:ascii="Calibri" w:hAnsi="Calibri" w:cs="Times New Roman"/>
                <w:sz w:val="20"/>
              </w:rPr>
            </w:pPr>
            <w:r w:rsidRPr="00E8230E">
              <w:rPr>
                <w:rFonts w:ascii="Calibri" w:hAnsi="Calibri" w:cs="Times New Roman"/>
                <w:sz w:val="20"/>
              </w:rPr>
              <w:t>1,141,291</w:t>
            </w:r>
          </w:p>
        </w:tc>
      </w:tr>
      <w:tr w:rsidR="007B3BD6" w:rsidRPr="00E8230E" w:rsidTr="007B3BD6">
        <w:trPr>
          <w:trHeight w:val="300"/>
          <w:jc w:val="center"/>
        </w:trPr>
        <w:tc>
          <w:tcPr>
            <w:tcW w:w="7156" w:type="dxa"/>
            <w:gridSpan w:val="6"/>
            <w:tcBorders>
              <w:top w:val="nil"/>
              <w:left w:val="nil"/>
              <w:bottom w:val="nil"/>
              <w:right w:val="nil"/>
            </w:tcBorders>
            <w:shd w:val="clear" w:color="auto" w:fill="auto"/>
            <w:noWrap/>
            <w:vAlign w:val="bottom"/>
            <w:hideMark/>
          </w:tcPr>
          <w:p w:rsidR="007B3BD6" w:rsidRPr="00E8230E" w:rsidRDefault="007B3BD6" w:rsidP="007B3BD6">
            <w:pPr>
              <w:rPr>
                <w:rFonts w:ascii="Calibri" w:hAnsi="Calibri" w:cs="Times New Roman"/>
                <w:sz w:val="16"/>
                <w:szCs w:val="16"/>
              </w:rPr>
            </w:pPr>
            <w:r w:rsidRPr="00E8230E">
              <w:rPr>
                <w:rFonts w:ascii="Calibri" w:hAnsi="Calibri" w:cs="Times New Roman"/>
                <w:sz w:val="16"/>
                <w:szCs w:val="16"/>
              </w:rPr>
              <w:t>*</w:t>
            </w:r>
            <w:r w:rsidRPr="00C736D9">
              <w:rPr>
                <w:rFonts w:ascii="Calibri" w:hAnsi="Calibri" w:cs="Times New Roman"/>
                <w:sz w:val="16"/>
                <w:szCs w:val="16"/>
              </w:rPr>
              <w:t>Transportation surface populations are rounded to nearest whole number</w:t>
            </w:r>
          </w:p>
        </w:tc>
      </w:tr>
    </w:tbl>
    <w:p w:rsidR="007B3BD6" w:rsidRDefault="007B3BD6" w:rsidP="007B3BD6">
      <w:pPr>
        <w:numPr>
          <w:ilvl w:val="12"/>
          <w:numId w:val="0"/>
        </w:numPr>
        <w:ind w:left="360"/>
      </w:pPr>
    </w:p>
    <w:p w:rsidR="007B3BD6" w:rsidRDefault="007B3BD6" w:rsidP="007B3BD6">
      <w:pPr>
        <w:numPr>
          <w:ilvl w:val="12"/>
          <w:numId w:val="0"/>
        </w:numPr>
        <w:ind w:left="360"/>
      </w:pPr>
      <w:r>
        <w:t xml:space="preserve">To determine the number of unique respondents, TSA assumed a ten percent industry response rate and applied it annually.  The average annual number of unique respondents was then calculated by averaging the number of unique respondents over the three years of this analysis.  Table 2 displays the average annual unique respondents based on a ten percent industry response rate.     </w:t>
      </w:r>
    </w:p>
    <w:p w:rsidR="007B3BD6" w:rsidRDefault="007B3BD6" w:rsidP="007B3BD6">
      <w:pPr>
        <w:numPr>
          <w:ilvl w:val="12"/>
          <w:numId w:val="0"/>
        </w:numPr>
      </w:pPr>
    </w:p>
    <w:p w:rsidR="007B3BD6" w:rsidRDefault="007B3BD6" w:rsidP="007B3BD6">
      <w:pPr>
        <w:numPr>
          <w:ilvl w:val="12"/>
          <w:numId w:val="0"/>
        </w:numPr>
      </w:pPr>
    </w:p>
    <w:tbl>
      <w:tblPr>
        <w:tblW w:w="7156" w:type="dxa"/>
        <w:jc w:val="center"/>
        <w:tblInd w:w="108" w:type="dxa"/>
        <w:tblLook w:val="04A0" w:firstRow="1" w:lastRow="0" w:firstColumn="1" w:lastColumn="0" w:noHBand="0" w:noVBand="1"/>
      </w:tblPr>
      <w:tblGrid>
        <w:gridCol w:w="1360"/>
        <w:gridCol w:w="1168"/>
        <w:gridCol w:w="1088"/>
        <w:gridCol w:w="1126"/>
        <w:gridCol w:w="1126"/>
        <w:gridCol w:w="1288"/>
      </w:tblGrid>
      <w:tr w:rsidR="007B3BD6" w:rsidRPr="00C736D9" w:rsidTr="007B3BD6">
        <w:trPr>
          <w:trHeight w:val="300"/>
          <w:jc w:val="center"/>
        </w:trPr>
        <w:tc>
          <w:tcPr>
            <w:tcW w:w="7156" w:type="dxa"/>
            <w:gridSpan w:val="6"/>
            <w:tcBorders>
              <w:top w:val="nil"/>
              <w:left w:val="nil"/>
              <w:bottom w:val="nil"/>
              <w:right w:val="nil"/>
            </w:tcBorders>
            <w:shd w:val="clear" w:color="auto" w:fill="auto"/>
            <w:noWrap/>
            <w:vAlign w:val="bottom"/>
            <w:hideMark/>
          </w:tcPr>
          <w:p w:rsidR="007B3BD6" w:rsidRPr="00C736D9" w:rsidRDefault="007B3BD6" w:rsidP="007B3BD6">
            <w:pPr>
              <w:rPr>
                <w:rFonts w:ascii="Calibri" w:hAnsi="Calibri" w:cs="Times New Roman"/>
                <w:b/>
                <w:bCs/>
                <w:sz w:val="22"/>
                <w:szCs w:val="22"/>
              </w:rPr>
            </w:pPr>
            <w:r w:rsidRPr="00C736D9">
              <w:rPr>
                <w:rFonts w:ascii="Calibri" w:hAnsi="Calibri" w:cs="Times New Roman"/>
                <w:b/>
                <w:bCs/>
                <w:sz w:val="22"/>
                <w:szCs w:val="22"/>
              </w:rPr>
              <w:t>Table 2: Respondents*</w:t>
            </w:r>
          </w:p>
        </w:tc>
      </w:tr>
      <w:tr w:rsidR="007B3BD6" w:rsidRPr="00C736D9" w:rsidTr="007B3BD6">
        <w:trPr>
          <w:trHeight w:val="499"/>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B3BD6" w:rsidRPr="00C736D9" w:rsidRDefault="007B3BD6" w:rsidP="007B3BD6">
            <w:pPr>
              <w:rPr>
                <w:rFonts w:ascii="Calibri" w:hAnsi="Calibri" w:cs="Times New Roman"/>
                <w:b/>
                <w:bCs/>
                <w:sz w:val="20"/>
              </w:rPr>
            </w:pPr>
            <w:r w:rsidRPr="00C736D9">
              <w:rPr>
                <w:rFonts w:ascii="Calibri" w:hAnsi="Calibri" w:cs="Times New Roman"/>
                <w:b/>
                <w:bCs/>
                <w:sz w:val="20"/>
              </w:rPr>
              <w:t>Respondent Category</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Industry Response Rate*</w:t>
            </w:r>
            <w:r>
              <w:rPr>
                <w:rFonts w:ascii="Calibri" w:hAnsi="Calibri" w:cs="Times New Roman"/>
                <w:b/>
                <w:bCs/>
                <w:sz w:val="20"/>
              </w:rPr>
              <w:t>*</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Unique Respondents</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Average Annual Unique Respondent</w:t>
            </w:r>
          </w:p>
        </w:tc>
      </w:tr>
      <w:tr w:rsidR="007B3BD6" w:rsidRPr="00C736D9" w:rsidTr="007B3BD6">
        <w:trPr>
          <w:trHeight w:val="499"/>
          <w:jc w:val="center"/>
        </w:trPr>
        <w:tc>
          <w:tcPr>
            <w:tcW w:w="1360" w:type="dxa"/>
            <w:vMerge/>
            <w:tcBorders>
              <w:top w:val="single" w:sz="4" w:space="0" w:color="auto"/>
              <w:left w:val="single" w:sz="4" w:space="0" w:color="auto"/>
              <w:bottom w:val="single" w:sz="4" w:space="0" w:color="auto"/>
              <w:right w:val="single" w:sz="4" w:space="0" w:color="auto"/>
            </w:tcBorders>
            <w:vAlign w:val="center"/>
            <w:hideMark/>
          </w:tcPr>
          <w:p w:rsidR="007B3BD6" w:rsidRPr="00C736D9" w:rsidRDefault="007B3BD6" w:rsidP="007B3BD6">
            <w:pPr>
              <w:rPr>
                <w:rFonts w:ascii="Calibri" w:hAnsi="Calibri" w:cs="Times New Roman"/>
                <w:b/>
                <w:bCs/>
                <w:sz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B3BD6" w:rsidRPr="00C736D9" w:rsidRDefault="007B3BD6" w:rsidP="007B3BD6">
            <w:pPr>
              <w:rPr>
                <w:rFonts w:ascii="Calibri" w:hAnsi="Calibri" w:cs="Times New Roman"/>
                <w:b/>
                <w:bCs/>
                <w:sz w:val="20"/>
              </w:rPr>
            </w:pPr>
          </w:p>
        </w:tc>
        <w:tc>
          <w:tcPr>
            <w:tcW w:w="1088" w:type="dxa"/>
            <w:tcBorders>
              <w:top w:val="nil"/>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Year 1</w:t>
            </w:r>
          </w:p>
        </w:tc>
        <w:tc>
          <w:tcPr>
            <w:tcW w:w="1126" w:type="dxa"/>
            <w:tcBorders>
              <w:top w:val="nil"/>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Year 2</w:t>
            </w:r>
          </w:p>
        </w:tc>
        <w:tc>
          <w:tcPr>
            <w:tcW w:w="1126" w:type="dxa"/>
            <w:tcBorders>
              <w:top w:val="nil"/>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Year 3</w:t>
            </w: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7B3BD6" w:rsidRPr="00C736D9" w:rsidRDefault="007B3BD6" w:rsidP="007B3BD6">
            <w:pPr>
              <w:rPr>
                <w:rFonts w:ascii="Calibri" w:hAnsi="Calibri" w:cs="Times New Roman"/>
                <w:b/>
                <w:bCs/>
                <w:sz w:val="20"/>
              </w:rPr>
            </w:pP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B3BD6" w:rsidRPr="00C736D9" w:rsidRDefault="007B3BD6" w:rsidP="007B3BD6">
            <w:pPr>
              <w:rPr>
                <w:rFonts w:ascii="Calibri" w:hAnsi="Calibri" w:cs="Times New Roman"/>
                <w:b/>
                <w:bCs/>
                <w:sz w:val="20"/>
              </w:rPr>
            </w:pPr>
            <w:r w:rsidRPr="00C736D9">
              <w:rPr>
                <w:rFonts w:ascii="Calibri" w:hAnsi="Calibri" w:cs="Times New Roman"/>
                <w:b/>
                <w:bCs/>
                <w:sz w:val="20"/>
              </w:rPr>
              <w:t> </w:t>
            </w:r>
          </w:p>
        </w:tc>
        <w:tc>
          <w:tcPr>
            <w:tcW w:w="1168" w:type="dxa"/>
            <w:tcBorders>
              <w:top w:val="nil"/>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F</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G=C*F</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H=D*F</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b/>
                <w:bCs/>
                <w:sz w:val="18"/>
                <w:szCs w:val="18"/>
              </w:rPr>
            </w:pPr>
            <w:r w:rsidRPr="00C736D9">
              <w:rPr>
                <w:rFonts w:ascii="Calibri" w:hAnsi="Calibri" w:cs="Times New Roman"/>
                <w:b/>
                <w:bCs/>
                <w:sz w:val="18"/>
                <w:szCs w:val="18"/>
              </w:rPr>
              <w:t>I=E*F</w:t>
            </w:r>
          </w:p>
        </w:tc>
        <w:tc>
          <w:tcPr>
            <w:tcW w:w="1288" w:type="dxa"/>
            <w:tcBorders>
              <w:top w:val="nil"/>
              <w:left w:val="nil"/>
              <w:bottom w:val="single" w:sz="4" w:space="0" w:color="auto"/>
              <w:right w:val="single" w:sz="4" w:space="0" w:color="auto"/>
            </w:tcBorders>
            <w:shd w:val="clear" w:color="auto" w:fill="auto"/>
            <w:vAlign w:val="bottom"/>
            <w:hideMark/>
          </w:tcPr>
          <w:p w:rsidR="007B3BD6" w:rsidRPr="00C736D9" w:rsidRDefault="007B3BD6" w:rsidP="007B3BD6">
            <w:pPr>
              <w:jc w:val="center"/>
              <w:rPr>
                <w:rFonts w:ascii="Calibri" w:hAnsi="Calibri" w:cs="Times New Roman"/>
                <w:b/>
                <w:bCs/>
                <w:sz w:val="20"/>
              </w:rPr>
            </w:pPr>
            <w:r w:rsidRPr="00C736D9">
              <w:rPr>
                <w:rFonts w:ascii="Calibri" w:hAnsi="Calibri" w:cs="Times New Roman"/>
                <w:b/>
                <w:bCs/>
                <w:sz w:val="20"/>
              </w:rPr>
              <w:t>J=(G+H+I)/3</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Freight Rail</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56</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57</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57</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57</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Mass Transit</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600</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611</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622</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611</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Highway</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107,500</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109,450</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111,435</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109,462</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School Bus</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1,400</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1,425</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1,451</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1,425</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Pipeline</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230</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235</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239</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235</w:t>
            </w:r>
          </w:p>
        </w:tc>
      </w:tr>
      <w:tr w:rsidR="007B3BD6" w:rsidRPr="00C736D9" w:rsidTr="007B3BD6">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B3BD6" w:rsidRPr="00C736D9" w:rsidRDefault="007B3BD6" w:rsidP="007B3BD6">
            <w:pPr>
              <w:rPr>
                <w:rFonts w:ascii="Calibri" w:hAnsi="Calibri" w:cs="Times New Roman"/>
                <w:sz w:val="20"/>
              </w:rPr>
            </w:pPr>
            <w:r w:rsidRPr="00C736D9">
              <w:rPr>
                <w:rFonts w:ascii="Calibri" w:hAnsi="Calibri" w:cs="Times New Roman"/>
                <w:sz w:val="20"/>
              </w:rPr>
              <w:t>Motor Coach</w:t>
            </w:r>
          </w:p>
        </w:tc>
        <w:tc>
          <w:tcPr>
            <w:tcW w:w="116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10</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314</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319</w:t>
            </w:r>
          </w:p>
        </w:tc>
        <w:tc>
          <w:tcPr>
            <w:tcW w:w="112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325</w:t>
            </w:r>
          </w:p>
        </w:tc>
        <w:tc>
          <w:tcPr>
            <w:tcW w:w="1288"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319</w:t>
            </w:r>
          </w:p>
        </w:tc>
      </w:tr>
      <w:tr w:rsidR="007B3BD6" w:rsidRPr="00C736D9" w:rsidTr="007B3BD6">
        <w:trPr>
          <w:trHeight w:val="300"/>
          <w:jc w:val="center"/>
        </w:trPr>
        <w:tc>
          <w:tcPr>
            <w:tcW w:w="1360" w:type="dxa"/>
            <w:tcBorders>
              <w:top w:val="nil"/>
              <w:left w:val="nil"/>
              <w:bottom w:val="nil"/>
              <w:right w:val="nil"/>
            </w:tcBorders>
            <w:shd w:val="clear" w:color="auto" w:fill="auto"/>
            <w:noWrap/>
            <w:vAlign w:val="bottom"/>
            <w:hideMark/>
          </w:tcPr>
          <w:p w:rsidR="007B3BD6" w:rsidRPr="00C736D9" w:rsidRDefault="007B3BD6" w:rsidP="007B3BD6">
            <w:pPr>
              <w:rPr>
                <w:rFonts w:ascii="Calibri" w:hAnsi="Calibri" w:cs="Times New Roman"/>
                <w:b/>
                <w:bCs/>
                <w:sz w:val="20"/>
              </w:rPr>
            </w:pPr>
            <w:r w:rsidRPr="00C736D9">
              <w:rPr>
                <w:rFonts w:ascii="Calibri" w:hAnsi="Calibri" w:cs="Times New Roman"/>
                <w:b/>
                <w:bCs/>
                <w:sz w:val="20"/>
              </w:rPr>
              <w:t>Total</w:t>
            </w:r>
          </w:p>
        </w:tc>
        <w:tc>
          <w:tcPr>
            <w:tcW w:w="1168" w:type="dxa"/>
            <w:tcBorders>
              <w:top w:val="nil"/>
              <w:left w:val="nil"/>
              <w:bottom w:val="nil"/>
              <w:right w:val="nil"/>
            </w:tcBorders>
            <w:shd w:val="clear" w:color="auto" w:fill="auto"/>
            <w:noWrap/>
            <w:vAlign w:val="bottom"/>
            <w:hideMark/>
          </w:tcPr>
          <w:p w:rsidR="007B3BD6" w:rsidRPr="00C736D9" w:rsidRDefault="007B3BD6" w:rsidP="007B3BD6">
            <w:pPr>
              <w:rPr>
                <w:rFonts w:ascii="Calibri" w:hAnsi="Calibri" w:cs="Times New Roman"/>
                <w:sz w:val="22"/>
                <w:szCs w:val="22"/>
              </w:rPr>
            </w:pPr>
          </w:p>
        </w:tc>
        <w:tc>
          <w:tcPr>
            <w:tcW w:w="1088" w:type="dxa"/>
            <w:tcBorders>
              <w:top w:val="nil"/>
              <w:left w:val="nil"/>
              <w:bottom w:val="nil"/>
              <w:right w:val="nil"/>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110,100</w:t>
            </w:r>
          </w:p>
        </w:tc>
        <w:tc>
          <w:tcPr>
            <w:tcW w:w="1126" w:type="dxa"/>
            <w:tcBorders>
              <w:top w:val="nil"/>
              <w:left w:val="nil"/>
              <w:bottom w:val="nil"/>
              <w:right w:val="nil"/>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112,097</w:t>
            </w:r>
          </w:p>
        </w:tc>
        <w:tc>
          <w:tcPr>
            <w:tcW w:w="1126" w:type="dxa"/>
            <w:tcBorders>
              <w:top w:val="nil"/>
              <w:left w:val="nil"/>
              <w:bottom w:val="nil"/>
              <w:right w:val="nil"/>
            </w:tcBorders>
            <w:shd w:val="clear" w:color="auto" w:fill="auto"/>
            <w:noWrap/>
            <w:vAlign w:val="bottom"/>
            <w:hideMark/>
          </w:tcPr>
          <w:p w:rsidR="007B3BD6" w:rsidRPr="00C736D9" w:rsidRDefault="007B3BD6" w:rsidP="007B3BD6">
            <w:pPr>
              <w:jc w:val="center"/>
              <w:rPr>
                <w:rFonts w:ascii="Calibri" w:hAnsi="Calibri" w:cs="Times New Roman"/>
                <w:sz w:val="20"/>
              </w:rPr>
            </w:pPr>
            <w:r>
              <w:rPr>
                <w:rFonts w:ascii="Calibri" w:hAnsi="Calibri" w:cs="Times New Roman"/>
                <w:sz w:val="20"/>
              </w:rPr>
              <w:t>114,129</w:t>
            </w:r>
          </w:p>
        </w:tc>
        <w:tc>
          <w:tcPr>
            <w:tcW w:w="1288" w:type="dxa"/>
            <w:tcBorders>
              <w:top w:val="nil"/>
              <w:left w:val="nil"/>
              <w:bottom w:val="nil"/>
              <w:right w:val="nil"/>
            </w:tcBorders>
            <w:shd w:val="clear" w:color="auto" w:fill="auto"/>
            <w:noWrap/>
            <w:vAlign w:val="bottom"/>
            <w:hideMark/>
          </w:tcPr>
          <w:p w:rsidR="007B3BD6" w:rsidRPr="00C736D9" w:rsidRDefault="007B3BD6" w:rsidP="007B3BD6">
            <w:pPr>
              <w:jc w:val="center"/>
              <w:rPr>
                <w:rFonts w:ascii="Calibri" w:hAnsi="Calibri" w:cs="Times New Roman"/>
                <w:b/>
                <w:bCs/>
                <w:sz w:val="22"/>
                <w:szCs w:val="22"/>
              </w:rPr>
            </w:pPr>
            <w:r>
              <w:rPr>
                <w:rFonts w:ascii="Calibri" w:hAnsi="Calibri" w:cs="Times New Roman"/>
                <w:b/>
                <w:bCs/>
                <w:sz w:val="22"/>
                <w:szCs w:val="22"/>
              </w:rPr>
              <w:t>112,109</w:t>
            </w:r>
          </w:p>
        </w:tc>
      </w:tr>
      <w:tr w:rsidR="007B3BD6" w:rsidRPr="00C736D9" w:rsidTr="007B3BD6">
        <w:trPr>
          <w:trHeight w:val="300"/>
          <w:jc w:val="center"/>
        </w:trPr>
        <w:tc>
          <w:tcPr>
            <w:tcW w:w="7156" w:type="dxa"/>
            <w:gridSpan w:val="6"/>
            <w:tcBorders>
              <w:top w:val="nil"/>
              <w:left w:val="nil"/>
              <w:bottom w:val="nil"/>
              <w:right w:val="nil"/>
            </w:tcBorders>
            <w:shd w:val="clear" w:color="auto" w:fill="auto"/>
            <w:noWrap/>
            <w:vAlign w:val="bottom"/>
            <w:hideMark/>
          </w:tcPr>
          <w:p w:rsidR="007B3BD6" w:rsidRPr="00C736D9" w:rsidRDefault="007B3BD6" w:rsidP="007B3BD6">
            <w:pPr>
              <w:rPr>
                <w:rFonts w:ascii="Calibri" w:hAnsi="Calibri" w:cs="Times New Roman"/>
                <w:sz w:val="16"/>
                <w:szCs w:val="16"/>
              </w:rPr>
            </w:pPr>
            <w:r w:rsidRPr="00C736D9">
              <w:rPr>
                <w:rFonts w:ascii="Calibri" w:hAnsi="Calibri" w:cs="Times New Roman"/>
                <w:sz w:val="16"/>
                <w:szCs w:val="16"/>
              </w:rPr>
              <w:lastRenderedPageBreak/>
              <w:t>*Respondents are rounded to nearest whole number</w:t>
            </w:r>
          </w:p>
        </w:tc>
      </w:tr>
      <w:tr w:rsidR="007B3BD6" w:rsidRPr="00C736D9" w:rsidTr="007B3BD6">
        <w:trPr>
          <w:trHeight w:val="300"/>
          <w:jc w:val="center"/>
        </w:trPr>
        <w:tc>
          <w:tcPr>
            <w:tcW w:w="7156" w:type="dxa"/>
            <w:gridSpan w:val="6"/>
            <w:tcBorders>
              <w:top w:val="nil"/>
              <w:left w:val="nil"/>
              <w:bottom w:val="nil"/>
              <w:right w:val="nil"/>
            </w:tcBorders>
            <w:shd w:val="clear" w:color="auto" w:fill="auto"/>
            <w:noWrap/>
            <w:vAlign w:val="bottom"/>
            <w:hideMark/>
          </w:tcPr>
          <w:p w:rsidR="007B3BD6" w:rsidRPr="00C736D9" w:rsidRDefault="007B3BD6" w:rsidP="007B3BD6">
            <w:pPr>
              <w:rPr>
                <w:rFonts w:ascii="Calibri" w:hAnsi="Calibri" w:cs="Times New Roman"/>
                <w:sz w:val="16"/>
                <w:szCs w:val="16"/>
              </w:rPr>
            </w:pPr>
            <w:r w:rsidRPr="00C736D9">
              <w:rPr>
                <w:rFonts w:ascii="Calibri" w:hAnsi="Calibri" w:cs="Times New Roman"/>
                <w:sz w:val="16"/>
                <w:szCs w:val="16"/>
              </w:rPr>
              <w:t>* *Estimated Industry Response Rate is (1/</w:t>
            </w:r>
            <w:r>
              <w:rPr>
                <w:rFonts w:ascii="Calibri" w:hAnsi="Calibri" w:cs="Times New Roman"/>
                <w:sz w:val="16"/>
                <w:szCs w:val="16"/>
              </w:rPr>
              <w:t>10</w:t>
            </w:r>
            <w:r w:rsidRPr="00C736D9">
              <w:rPr>
                <w:rFonts w:ascii="Calibri" w:hAnsi="Calibri" w:cs="Times New Roman"/>
                <w:sz w:val="16"/>
                <w:szCs w:val="16"/>
              </w:rPr>
              <w:t>)</w:t>
            </w:r>
          </w:p>
        </w:tc>
      </w:tr>
    </w:tbl>
    <w:p w:rsidR="007B3BD6" w:rsidRDefault="007B3BD6" w:rsidP="007B3BD6">
      <w:pPr>
        <w:numPr>
          <w:ilvl w:val="12"/>
          <w:numId w:val="0"/>
        </w:numPr>
        <w:ind w:left="360"/>
      </w:pPr>
    </w:p>
    <w:p w:rsidR="007B3BD6" w:rsidRDefault="007B3BD6" w:rsidP="007B3BD6">
      <w:pPr>
        <w:numPr>
          <w:ilvl w:val="12"/>
          <w:numId w:val="0"/>
        </w:numPr>
        <w:ind w:left="360"/>
      </w:pPr>
    </w:p>
    <w:p w:rsidR="007B3BD6" w:rsidRDefault="007B3BD6" w:rsidP="007B3BD6">
      <w:pPr>
        <w:numPr>
          <w:ilvl w:val="12"/>
          <w:numId w:val="0"/>
        </w:numPr>
        <w:ind w:left="360"/>
      </w:pPr>
      <w:r w:rsidRPr="00E61F52">
        <w:t xml:space="preserve">TSA estimates that </w:t>
      </w:r>
      <w:r>
        <w:t>one-half of the</w:t>
      </w:r>
      <w:r w:rsidRPr="00E61F52">
        <w:t xml:space="preserve"> respondents will conduct one training exercise per year, while the </w:t>
      </w:r>
      <w:r>
        <w:t>other half</w:t>
      </w:r>
      <w:r w:rsidRPr="00E61F52">
        <w:t xml:space="preserve"> won’t conduct any exercises</w:t>
      </w:r>
      <w:r>
        <w:t>.</w:t>
      </w:r>
      <w:r w:rsidRPr="00E61F52">
        <w:t xml:space="preserve"> Therefore, the resulting average</w:t>
      </w:r>
      <w:r>
        <w:t xml:space="preserve"> annual number of responses is 56,055. TSA also estimates the burden associated with each of the EXIS information collection categories as follows: </w:t>
      </w:r>
    </w:p>
    <w:p w:rsidR="007B3BD6" w:rsidRDefault="007B3BD6" w:rsidP="007B3BD6">
      <w:pPr>
        <w:numPr>
          <w:ilvl w:val="12"/>
          <w:numId w:val="0"/>
        </w:numPr>
        <w:ind w:left="360"/>
      </w:pPr>
    </w:p>
    <w:p w:rsidR="007B3BD6" w:rsidRDefault="007B3BD6" w:rsidP="007B3BD6">
      <w:pPr>
        <w:numPr>
          <w:ilvl w:val="0"/>
          <w:numId w:val="23"/>
        </w:numPr>
      </w:pPr>
      <w:r>
        <w:t>Registration, 0.5 hours;</w:t>
      </w:r>
    </w:p>
    <w:p w:rsidR="007B3BD6" w:rsidRDefault="007B3BD6" w:rsidP="007B3BD6">
      <w:pPr>
        <w:numPr>
          <w:ilvl w:val="0"/>
          <w:numId w:val="23"/>
        </w:numPr>
      </w:pPr>
      <w:r>
        <w:t>Creating an exercise, 2 hours;</w:t>
      </w:r>
    </w:p>
    <w:p w:rsidR="007B3BD6" w:rsidRDefault="007B3BD6" w:rsidP="007B3BD6">
      <w:pPr>
        <w:numPr>
          <w:ilvl w:val="0"/>
          <w:numId w:val="23"/>
        </w:numPr>
      </w:pPr>
      <w:r>
        <w:t>Inputting best practices, corrective actions, and lessons learned, 2 hours;</w:t>
      </w:r>
    </w:p>
    <w:p w:rsidR="007B3BD6" w:rsidRDefault="007B3BD6" w:rsidP="007B3BD6">
      <w:pPr>
        <w:numPr>
          <w:ilvl w:val="0"/>
          <w:numId w:val="23"/>
        </w:numPr>
      </w:pPr>
      <w:r>
        <w:t>After action reports, 2 hours; and</w:t>
      </w:r>
    </w:p>
    <w:p w:rsidR="007B3BD6" w:rsidRDefault="007B3BD6" w:rsidP="007B3BD6">
      <w:pPr>
        <w:numPr>
          <w:ilvl w:val="0"/>
          <w:numId w:val="23"/>
        </w:numPr>
      </w:pPr>
      <w:r>
        <w:t xml:space="preserve">Evaluation Team Feedback survey of EXIS, 0.5 hours.  </w:t>
      </w:r>
    </w:p>
    <w:p w:rsidR="007B3BD6" w:rsidRDefault="007B3BD6" w:rsidP="007B3BD6"/>
    <w:p w:rsidR="007B3BD6" w:rsidRDefault="007B3BD6" w:rsidP="007B3BD6">
      <w:pPr>
        <w:ind w:left="360"/>
      </w:pPr>
      <w:r>
        <w:t xml:space="preserve">Thus, TSA estimates each respondent will spend approximately seven hours to respond.  The average annual hour burden was calculated by multiplying average annual responses by the estimated hours per response as displayed in Table 3 below.    </w:t>
      </w:r>
    </w:p>
    <w:p w:rsidR="007B3BD6" w:rsidRDefault="007B3BD6" w:rsidP="007B3BD6">
      <w:pPr>
        <w:numPr>
          <w:ilvl w:val="12"/>
          <w:numId w:val="0"/>
        </w:numPr>
        <w:ind w:left="360"/>
      </w:pPr>
      <w:r>
        <w:t xml:space="preserve">  </w:t>
      </w:r>
    </w:p>
    <w:p w:rsidR="007B3BD6" w:rsidRDefault="007B3BD6" w:rsidP="007B3BD6">
      <w:pPr>
        <w:numPr>
          <w:ilvl w:val="12"/>
          <w:numId w:val="0"/>
        </w:numPr>
        <w:ind w:left="360"/>
      </w:pPr>
    </w:p>
    <w:tbl>
      <w:tblPr>
        <w:tblW w:w="7179" w:type="dxa"/>
        <w:jc w:val="center"/>
        <w:tblInd w:w="108" w:type="dxa"/>
        <w:tblLook w:val="04A0" w:firstRow="1" w:lastRow="0" w:firstColumn="1" w:lastColumn="0" w:noHBand="0" w:noVBand="1"/>
      </w:tblPr>
      <w:tblGrid>
        <w:gridCol w:w="1297"/>
        <w:gridCol w:w="1296"/>
        <w:gridCol w:w="1152"/>
        <w:gridCol w:w="1159"/>
        <w:gridCol w:w="1114"/>
        <w:gridCol w:w="1161"/>
      </w:tblGrid>
      <w:tr w:rsidR="007B3BD6" w:rsidRPr="003E2C7C" w:rsidTr="007B3BD6">
        <w:trPr>
          <w:trHeight w:val="300"/>
          <w:jc w:val="center"/>
        </w:trPr>
        <w:tc>
          <w:tcPr>
            <w:tcW w:w="7179" w:type="dxa"/>
            <w:gridSpan w:val="6"/>
            <w:tcBorders>
              <w:top w:val="nil"/>
              <w:left w:val="nil"/>
              <w:bottom w:val="single" w:sz="4" w:space="0" w:color="auto"/>
              <w:right w:val="nil"/>
            </w:tcBorders>
            <w:shd w:val="clear" w:color="auto" w:fill="auto"/>
            <w:noWrap/>
            <w:vAlign w:val="bottom"/>
            <w:hideMark/>
          </w:tcPr>
          <w:p w:rsidR="007B3BD6" w:rsidRPr="003E2C7C" w:rsidRDefault="007B3BD6" w:rsidP="007B3BD6">
            <w:pPr>
              <w:rPr>
                <w:rFonts w:ascii="Calibri" w:hAnsi="Calibri" w:cs="Times New Roman"/>
                <w:b/>
                <w:bCs/>
                <w:sz w:val="22"/>
                <w:szCs w:val="22"/>
              </w:rPr>
            </w:pPr>
            <w:r w:rsidRPr="003E2C7C">
              <w:rPr>
                <w:rFonts w:ascii="Calibri" w:hAnsi="Calibri" w:cs="Times New Roman"/>
                <w:b/>
                <w:bCs/>
                <w:sz w:val="22"/>
                <w:szCs w:val="22"/>
              </w:rPr>
              <w:t>Table 3: Average Annual Responses &amp; Hour Burden</w:t>
            </w:r>
          </w:p>
        </w:tc>
      </w:tr>
      <w:tr w:rsidR="007B3BD6" w:rsidRPr="003E2C7C" w:rsidTr="007B3BD6">
        <w:trPr>
          <w:trHeight w:val="1035"/>
          <w:jc w:val="center"/>
        </w:trPr>
        <w:tc>
          <w:tcPr>
            <w:tcW w:w="1297" w:type="dxa"/>
            <w:tcBorders>
              <w:top w:val="nil"/>
              <w:left w:val="single" w:sz="4" w:space="0" w:color="auto"/>
              <w:bottom w:val="single" w:sz="4" w:space="0" w:color="auto"/>
              <w:right w:val="single" w:sz="4" w:space="0" w:color="auto"/>
            </w:tcBorders>
            <w:shd w:val="clear" w:color="auto" w:fill="auto"/>
            <w:vAlign w:val="bottom"/>
            <w:hideMark/>
          </w:tcPr>
          <w:p w:rsidR="007B3BD6" w:rsidRPr="003E2C7C" w:rsidRDefault="007B3BD6" w:rsidP="007B3BD6">
            <w:pPr>
              <w:rPr>
                <w:rFonts w:ascii="Calibri" w:hAnsi="Calibri" w:cs="Times New Roman"/>
                <w:b/>
                <w:bCs/>
                <w:sz w:val="20"/>
              </w:rPr>
            </w:pPr>
            <w:r w:rsidRPr="003E2C7C">
              <w:rPr>
                <w:rFonts w:ascii="Calibri" w:hAnsi="Calibri" w:cs="Times New Roman"/>
                <w:b/>
                <w:bCs/>
                <w:sz w:val="20"/>
              </w:rPr>
              <w:t>Respondent Category</w:t>
            </w:r>
          </w:p>
        </w:tc>
        <w:tc>
          <w:tcPr>
            <w:tcW w:w="1296"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Average Annual Unique Respondents</w:t>
            </w:r>
          </w:p>
        </w:tc>
        <w:tc>
          <w:tcPr>
            <w:tcW w:w="1152"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Annual Response Frequency</w:t>
            </w:r>
          </w:p>
        </w:tc>
        <w:tc>
          <w:tcPr>
            <w:tcW w:w="1159"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Average Annual Responses</w:t>
            </w:r>
          </w:p>
        </w:tc>
        <w:tc>
          <w:tcPr>
            <w:tcW w:w="1114"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Hours per Response</w:t>
            </w:r>
          </w:p>
        </w:tc>
        <w:tc>
          <w:tcPr>
            <w:tcW w:w="1161"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color w:val="auto"/>
                <w:sz w:val="20"/>
              </w:rPr>
            </w:pPr>
            <w:r w:rsidRPr="003E2C7C">
              <w:rPr>
                <w:rFonts w:ascii="Calibri" w:hAnsi="Calibri" w:cs="Times New Roman"/>
                <w:b/>
                <w:bCs/>
                <w:color w:val="auto"/>
                <w:sz w:val="20"/>
              </w:rPr>
              <w:t>Average Annual Hour Burden</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7B3BD6" w:rsidRPr="003E2C7C" w:rsidRDefault="007B3BD6" w:rsidP="007B3BD6">
            <w:pPr>
              <w:rPr>
                <w:rFonts w:ascii="Calibri" w:hAnsi="Calibri" w:cs="Times New Roman"/>
                <w:b/>
                <w:bCs/>
                <w:sz w:val="20"/>
              </w:rPr>
            </w:pPr>
          </w:p>
        </w:tc>
        <w:tc>
          <w:tcPr>
            <w:tcW w:w="1296"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J</w:t>
            </w:r>
          </w:p>
        </w:tc>
        <w:tc>
          <w:tcPr>
            <w:tcW w:w="1152"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K</w:t>
            </w:r>
          </w:p>
        </w:tc>
        <w:tc>
          <w:tcPr>
            <w:tcW w:w="1159"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L=J*K</w:t>
            </w:r>
          </w:p>
        </w:tc>
        <w:tc>
          <w:tcPr>
            <w:tcW w:w="1114"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M</w:t>
            </w:r>
          </w:p>
        </w:tc>
        <w:tc>
          <w:tcPr>
            <w:tcW w:w="1161" w:type="dxa"/>
            <w:tcBorders>
              <w:top w:val="nil"/>
              <w:left w:val="nil"/>
              <w:bottom w:val="single" w:sz="4" w:space="0" w:color="auto"/>
              <w:right w:val="single" w:sz="4" w:space="0" w:color="auto"/>
            </w:tcBorders>
            <w:shd w:val="clear" w:color="auto" w:fill="auto"/>
            <w:vAlign w:val="bottom"/>
            <w:hideMark/>
          </w:tcPr>
          <w:p w:rsidR="007B3BD6" w:rsidRPr="003E2C7C" w:rsidRDefault="007B3BD6" w:rsidP="007B3BD6">
            <w:pPr>
              <w:jc w:val="center"/>
              <w:rPr>
                <w:rFonts w:ascii="Calibri" w:hAnsi="Calibri" w:cs="Times New Roman"/>
                <w:b/>
                <w:bCs/>
                <w:sz w:val="20"/>
              </w:rPr>
            </w:pPr>
            <w:r w:rsidRPr="003E2C7C">
              <w:rPr>
                <w:rFonts w:ascii="Calibri" w:hAnsi="Calibri" w:cs="Times New Roman"/>
                <w:b/>
                <w:bCs/>
                <w:sz w:val="20"/>
              </w:rPr>
              <w:t>N=L*M</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Freight Rail</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57</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29</w:t>
            </w:r>
          </w:p>
        </w:tc>
        <w:tc>
          <w:tcPr>
            <w:tcW w:w="11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7</w:t>
            </w: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203</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Mass Transit</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611</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306</w:t>
            </w:r>
          </w:p>
        </w:tc>
        <w:tc>
          <w:tcPr>
            <w:tcW w:w="1114" w:type="dxa"/>
            <w:vMerge/>
            <w:tcBorders>
              <w:top w:val="nil"/>
              <w:left w:val="single" w:sz="4" w:space="0" w:color="auto"/>
              <w:bottom w:val="single" w:sz="4" w:space="0" w:color="auto"/>
              <w:right w:val="single" w:sz="4" w:space="0" w:color="auto"/>
            </w:tcBorders>
            <w:vAlign w:val="center"/>
            <w:hideMark/>
          </w:tcPr>
          <w:p w:rsidR="007B3BD6" w:rsidRPr="003E2C7C" w:rsidRDefault="007B3BD6" w:rsidP="007B3BD6">
            <w:pPr>
              <w:rPr>
                <w:rFonts w:ascii="Calibri" w:hAnsi="Calibri" w:cs="Times New Roman"/>
                <w:sz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2,142</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Highway</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109,462</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54,731</w:t>
            </w:r>
          </w:p>
        </w:tc>
        <w:tc>
          <w:tcPr>
            <w:tcW w:w="1114" w:type="dxa"/>
            <w:vMerge/>
            <w:tcBorders>
              <w:top w:val="nil"/>
              <w:left w:val="single" w:sz="4" w:space="0" w:color="auto"/>
              <w:bottom w:val="single" w:sz="4" w:space="0" w:color="auto"/>
              <w:right w:val="single" w:sz="4" w:space="0" w:color="auto"/>
            </w:tcBorders>
            <w:vAlign w:val="center"/>
            <w:hideMark/>
          </w:tcPr>
          <w:p w:rsidR="007B3BD6" w:rsidRPr="003E2C7C" w:rsidRDefault="007B3BD6" w:rsidP="007B3BD6">
            <w:pPr>
              <w:rPr>
                <w:rFonts w:ascii="Calibri" w:hAnsi="Calibri" w:cs="Times New Roman"/>
                <w:sz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383,117</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School Bus</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1,425</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713</w:t>
            </w:r>
          </w:p>
        </w:tc>
        <w:tc>
          <w:tcPr>
            <w:tcW w:w="1114" w:type="dxa"/>
            <w:vMerge/>
            <w:tcBorders>
              <w:top w:val="nil"/>
              <w:left w:val="single" w:sz="4" w:space="0" w:color="auto"/>
              <w:bottom w:val="single" w:sz="4" w:space="0" w:color="auto"/>
              <w:right w:val="single" w:sz="4" w:space="0" w:color="auto"/>
            </w:tcBorders>
            <w:vAlign w:val="center"/>
            <w:hideMark/>
          </w:tcPr>
          <w:p w:rsidR="007B3BD6" w:rsidRPr="003E2C7C" w:rsidRDefault="007B3BD6" w:rsidP="007B3BD6">
            <w:pPr>
              <w:rPr>
                <w:rFonts w:ascii="Calibri" w:hAnsi="Calibri" w:cs="Times New Roman"/>
                <w:sz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4,991</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Pipeline</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235</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118</w:t>
            </w:r>
          </w:p>
        </w:tc>
        <w:tc>
          <w:tcPr>
            <w:tcW w:w="1114" w:type="dxa"/>
            <w:vMerge/>
            <w:tcBorders>
              <w:top w:val="nil"/>
              <w:left w:val="single" w:sz="4" w:space="0" w:color="auto"/>
              <w:bottom w:val="single" w:sz="4" w:space="0" w:color="auto"/>
              <w:right w:val="single" w:sz="4" w:space="0" w:color="auto"/>
            </w:tcBorders>
            <w:vAlign w:val="center"/>
            <w:hideMark/>
          </w:tcPr>
          <w:p w:rsidR="007B3BD6" w:rsidRPr="003E2C7C" w:rsidRDefault="007B3BD6" w:rsidP="007B3BD6">
            <w:pPr>
              <w:rPr>
                <w:rFonts w:ascii="Calibri" w:hAnsi="Calibri" w:cs="Times New Roman"/>
                <w:sz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826</w:t>
            </w:r>
          </w:p>
        </w:tc>
      </w:tr>
      <w:tr w:rsidR="007B3BD6" w:rsidRPr="003E2C7C" w:rsidTr="007B3BD6">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7B3BD6" w:rsidRPr="003E2C7C" w:rsidRDefault="007B3BD6" w:rsidP="007B3BD6">
            <w:pPr>
              <w:rPr>
                <w:rFonts w:ascii="Calibri" w:hAnsi="Calibri" w:cs="Times New Roman"/>
                <w:sz w:val="20"/>
              </w:rPr>
            </w:pPr>
            <w:r w:rsidRPr="003E2C7C">
              <w:rPr>
                <w:rFonts w:ascii="Calibri" w:hAnsi="Calibri" w:cs="Times New Roman"/>
                <w:sz w:val="20"/>
              </w:rPr>
              <w:t>Motor Coach</w:t>
            </w:r>
          </w:p>
        </w:tc>
        <w:tc>
          <w:tcPr>
            <w:tcW w:w="1296" w:type="dxa"/>
            <w:tcBorders>
              <w:top w:val="nil"/>
              <w:left w:val="nil"/>
              <w:bottom w:val="single" w:sz="4" w:space="0" w:color="auto"/>
              <w:right w:val="single" w:sz="4" w:space="0" w:color="auto"/>
            </w:tcBorders>
            <w:shd w:val="clear" w:color="auto" w:fill="auto"/>
            <w:noWrap/>
            <w:vAlign w:val="bottom"/>
            <w:hideMark/>
          </w:tcPr>
          <w:p w:rsidR="007B3BD6" w:rsidRPr="00C736D9" w:rsidRDefault="007B3BD6" w:rsidP="007B3BD6">
            <w:pPr>
              <w:jc w:val="center"/>
              <w:rPr>
                <w:rFonts w:ascii="Calibri" w:hAnsi="Calibri" w:cs="Times New Roman"/>
                <w:sz w:val="22"/>
                <w:szCs w:val="22"/>
              </w:rPr>
            </w:pPr>
            <w:r>
              <w:rPr>
                <w:rFonts w:ascii="Calibri" w:hAnsi="Calibri" w:cs="Times New Roman"/>
                <w:sz w:val="22"/>
                <w:szCs w:val="22"/>
              </w:rPr>
              <w:t>319</w:t>
            </w:r>
          </w:p>
        </w:tc>
        <w:tc>
          <w:tcPr>
            <w:tcW w:w="1152" w:type="dxa"/>
            <w:tcBorders>
              <w:top w:val="nil"/>
              <w:left w:val="nil"/>
              <w:bottom w:val="single" w:sz="4" w:space="0" w:color="auto"/>
              <w:right w:val="single" w:sz="4" w:space="0" w:color="auto"/>
            </w:tcBorders>
            <w:shd w:val="clear" w:color="auto" w:fill="auto"/>
            <w:noWrap/>
            <w:vAlign w:val="center"/>
            <w:hideMark/>
          </w:tcPr>
          <w:p w:rsidR="007B3BD6" w:rsidRPr="003E2C7C" w:rsidRDefault="007B3BD6" w:rsidP="007B3BD6">
            <w:pPr>
              <w:jc w:val="center"/>
              <w:rPr>
                <w:rFonts w:ascii="Calibri" w:hAnsi="Calibri" w:cs="Times New Roman"/>
                <w:sz w:val="20"/>
              </w:rPr>
            </w:pPr>
            <w:r>
              <w:rPr>
                <w:rFonts w:ascii="Calibri" w:hAnsi="Calibri" w:cs="Times New Roman"/>
                <w:sz w:val="20"/>
              </w:rPr>
              <w:t>0.5</w:t>
            </w:r>
          </w:p>
        </w:tc>
        <w:tc>
          <w:tcPr>
            <w:tcW w:w="1159"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160</w:t>
            </w:r>
          </w:p>
        </w:tc>
        <w:tc>
          <w:tcPr>
            <w:tcW w:w="1114" w:type="dxa"/>
            <w:vMerge/>
            <w:tcBorders>
              <w:top w:val="nil"/>
              <w:left w:val="single" w:sz="4" w:space="0" w:color="auto"/>
              <w:bottom w:val="single" w:sz="4" w:space="0" w:color="auto"/>
              <w:right w:val="single" w:sz="4" w:space="0" w:color="auto"/>
            </w:tcBorders>
            <w:vAlign w:val="center"/>
            <w:hideMark/>
          </w:tcPr>
          <w:p w:rsidR="007B3BD6" w:rsidRPr="003E2C7C" w:rsidRDefault="007B3BD6" w:rsidP="007B3BD6">
            <w:pPr>
              <w:rPr>
                <w:rFonts w:ascii="Calibri" w:hAnsi="Calibri" w:cs="Times New Roman"/>
                <w:sz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7B3BD6" w:rsidRPr="003E2C7C" w:rsidRDefault="007B3BD6" w:rsidP="007B3BD6">
            <w:pPr>
              <w:jc w:val="center"/>
              <w:rPr>
                <w:rFonts w:ascii="Calibri" w:hAnsi="Calibri" w:cs="Times New Roman"/>
                <w:sz w:val="20"/>
              </w:rPr>
            </w:pPr>
            <w:r>
              <w:rPr>
                <w:rFonts w:ascii="Calibri" w:hAnsi="Calibri" w:cs="Times New Roman"/>
                <w:sz w:val="20"/>
              </w:rPr>
              <w:t>1120</w:t>
            </w:r>
          </w:p>
        </w:tc>
      </w:tr>
      <w:tr w:rsidR="007B3BD6" w:rsidRPr="003E2C7C" w:rsidTr="007B3BD6">
        <w:trPr>
          <w:trHeight w:val="300"/>
          <w:jc w:val="center"/>
        </w:trPr>
        <w:tc>
          <w:tcPr>
            <w:tcW w:w="1297" w:type="dxa"/>
            <w:tcBorders>
              <w:top w:val="nil"/>
              <w:left w:val="nil"/>
              <w:bottom w:val="nil"/>
              <w:right w:val="nil"/>
            </w:tcBorders>
            <w:shd w:val="clear" w:color="auto" w:fill="auto"/>
            <w:noWrap/>
            <w:vAlign w:val="bottom"/>
            <w:hideMark/>
          </w:tcPr>
          <w:p w:rsidR="007B3BD6" w:rsidRPr="003E2C7C" w:rsidRDefault="007B3BD6" w:rsidP="007B3BD6">
            <w:pPr>
              <w:rPr>
                <w:rFonts w:ascii="Calibri" w:hAnsi="Calibri" w:cs="Times New Roman"/>
                <w:b/>
                <w:bCs/>
                <w:sz w:val="20"/>
              </w:rPr>
            </w:pPr>
            <w:r w:rsidRPr="003E2C7C">
              <w:rPr>
                <w:rFonts w:ascii="Calibri" w:hAnsi="Calibri" w:cs="Times New Roman"/>
                <w:b/>
                <w:bCs/>
                <w:sz w:val="20"/>
              </w:rPr>
              <w:t>Total</w:t>
            </w:r>
          </w:p>
        </w:tc>
        <w:tc>
          <w:tcPr>
            <w:tcW w:w="1296" w:type="dxa"/>
            <w:tcBorders>
              <w:top w:val="nil"/>
              <w:left w:val="nil"/>
              <w:bottom w:val="nil"/>
              <w:right w:val="nil"/>
            </w:tcBorders>
            <w:shd w:val="clear" w:color="auto" w:fill="auto"/>
            <w:noWrap/>
            <w:vAlign w:val="bottom"/>
            <w:hideMark/>
          </w:tcPr>
          <w:p w:rsidR="007B3BD6" w:rsidRPr="00397918" w:rsidRDefault="007B3BD6" w:rsidP="007B3BD6">
            <w:pPr>
              <w:jc w:val="center"/>
              <w:rPr>
                <w:rFonts w:ascii="Calibri" w:hAnsi="Calibri" w:cs="Times New Roman"/>
                <w:sz w:val="22"/>
                <w:szCs w:val="22"/>
              </w:rPr>
            </w:pPr>
            <w:r w:rsidRPr="00397918">
              <w:rPr>
                <w:rFonts w:ascii="Calibri" w:hAnsi="Calibri" w:cs="Times New Roman"/>
                <w:bCs/>
                <w:sz w:val="22"/>
                <w:szCs w:val="22"/>
              </w:rPr>
              <w:t>112,109</w:t>
            </w:r>
          </w:p>
        </w:tc>
        <w:tc>
          <w:tcPr>
            <w:tcW w:w="1152" w:type="dxa"/>
            <w:tcBorders>
              <w:top w:val="nil"/>
              <w:left w:val="nil"/>
              <w:bottom w:val="nil"/>
              <w:right w:val="nil"/>
            </w:tcBorders>
            <w:shd w:val="clear" w:color="auto" w:fill="auto"/>
            <w:noWrap/>
            <w:vAlign w:val="bottom"/>
            <w:hideMark/>
          </w:tcPr>
          <w:p w:rsidR="007B3BD6" w:rsidRPr="003E2C7C" w:rsidRDefault="007B3BD6" w:rsidP="007B3BD6">
            <w:pPr>
              <w:jc w:val="center"/>
              <w:rPr>
                <w:rFonts w:ascii="Calibri" w:hAnsi="Calibri" w:cs="Times New Roman"/>
                <w:sz w:val="22"/>
                <w:szCs w:val="22"/>
              </w:rPr>
            </w:pPr>
          </w:p>
        </w:tc>
        <w:tc>
          <w:tcPr>
            <w:tcW w:w="1159" w:type="dxa"/>
            <w:tcBorders>
              <w:top w:val="nil"/>
              <w:left w:val="nil"/>
              <w:bottom w:val="nil"/>
              <w:right w:val="nil"/>
            </w:tcBorders>
            <w:shd w:val="clear" w:color="auto" w:fill="auto"/>
            <w:noWrap/>
            <w:vAlign w:val="bottom"/>
            <w:hideMark/>
          </w:tcPr>
          <w:p w:rsidR="007B3BD6" w:rsidRPr="003E2C7C" w:rsidRDefault="007B3BD6" w:rsidP="007B3BD6">
            <w:pPr>
              <w:jc w:val="center"/>
              <w:rPr>
                <w:rFonts w:ascii="Calibri" w:hAnsi="Calibri" w:cs="Times New Roman"/>
                <w:sz w:val="22"/>
                <w:szCs w:val="22"/>
              </w:rPr>
            </w:pPr>
            <w:r>
              <w:rPr>
                <w:rFonts w:ascii="Calibri" w:hAnsi="Calibri" w:cs="Times New Roman"/>
                <w:sz w:val="22"/>
                <w:szCs w:val="22"/>
              </w:rPr>
              <w:t>56,05</w:t>
            </w:r>
            <w:r w:rsidR="003C4782">
              <w:rPr>
                <w:rFonts w:ascii="Calibri" w:hAnsi="Calibri" w:cs="Times New Roman"/>
                <w:sz w:val="22"/>
                <w:szCs w:val="22"/>
              </w:rPr>
              <w:t>7</w:t>
            </w:r>
          </w:p>
        </w:tc>
        <w:tc>
          <w:tcPr>
            <w:tcW w:w="1114" w:type="dxa"/>
            <w:tcBorders>
              <w:top w:val="nil"/>
              <w:left w:val="nil"/>
              <w:bottom w:val="nil"/>
              <w:right w:val="nil"/>
            </w:tcBorders>
            <w:shd w:val="clear" w:color="auto" w:fill="auto"/>
            <w:noWrap/>
            <w:vAlign w:val="bottom"/>
            <w:hideMark/>
          </w:tcPr>
          <w:p w:rsidR="007B3BD6" w:rsidRPr="003E2C7C" w:rsidRDefault="007B3BD6" w:rsidP="007B3BD6">
            <w:pPr>
              <w:jc w:val="center"/>
              <w:rPr>
                <w:rFonts w:ascii="Calibri" w:hAnsi="Calibri" w:cs="Times New Roman"/>
                <w:sz w:val="22"/>
                <w:szCs w:val="22"/>
              </w:rPr>
            </w:pPr>
          </w:p>
        </w:tc>
        <w:tc>
          <w:tcPr>
            <w:tcW w:w="1161" w:type="dxa"/>
            <w:tcBorders>
              <w:top w:val="nil"/>
              <w:left w:val="nil"/>
              <w:bottom w:val="nil"/>
              <w:right w:val="nil"/>
            </w:tcBorders>
            <w:shd w:val="clear" w:color="auto" w:fill="auto"/>
            <w:noWrap/>
            <w:vAlign w:val="bottom"/>
            <w:hideMark/>
          </w:tcPr>
          <w:p w:rsidR="007B3BD6" w:rsidRPr="003E2C7C" w:rsidRDefault="007B3BD6" w:rsidP="007B3BD6">
            <w:pPr>
              <w:jc w:val="center"/>
              <w:rPr>
                <w:rFonts w:ascii="Calibri" w:hAnsi="Calibri" w:cs="Times New Roman"/>
                <w:sz w:val="22"/>
                <w:szCs w:val="22"/>
              </w:rPr>
            </w:pPr>
            <w:r>
              <w:rPr>
                <w:rFonts w:ascii="Calibri" w:hAnsi="Calibri" w:cs="Times New Roman"/>
                <w:sz w:val="22"/>
                <w:szCs w:val="22"/>
              </w:rPr>
              <w:t>392,3</w:t>
            </w:r>
            <w:r w:rsidR="003C4782">
              <w:rPr>
                <w:rFonts w:ascii="Calibri" w:hAnsi="Calibri" w:cs="Times New Roman"/>
                <w:sz w:val="22"/>
                <w:szCs w:val="22"/>
              </w:rPr>
              <w:t>99</w:t>
            </w:r>
          </w:p>
        </w:tc>
      </w:tr>
    </w:tbl>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bookmarkStart w:id="0" w:name="_GoBack"/>
      <w:bookmarkEnd w:id="0"/>
    </w:p>
    <w:p w:rsidR="009F2633" w:rsidRDefault="009F2633" w:rsidP="00BB78AB">
      <w:pPr>
        <w:keepNext/>
        <w:numPr>
          <w:ilvl w:val="12"/>
          <w:numId w:val="0"/>
        </w:numPr>
        <w:ind w:left="360"/>
      </w:pPr>
    </w:p>
    <w:p w:rsidR="009F2633" w:rsidRDefault="008A441A" w:rsidP="008A441A">
      <w:pPr>
        <w:pStyle w:val="IndexHeading"/>
        <w:keepNext w:val="0"/>
        <w:numPr>
          <w:ilvl w:val="12"/>
          <w:numId w:val="0"/>
        </w:numPr>
        <w:spacing w:line="240" w:lineRule="auto"/>
        <w:ind w:firstLine="360"/>
        <w:rPr>
          <w:rFonts w:ascii="Times New Roman" w:hAnsi="Times New Roman"/>
          <w:spacing w:val="0"/>
        </w:rPr>
      </w:pPr>
      <w:r w:rsidRPr="001472E9">
        <w:rPr>
          <w:rFonts w:ascii="Times New Roman" w:hAnsi="Times New Roman"/>
        </w:rPr>
        <w:t xml:space="preserve">Beyond the hourly burden, there </w:t>
      </w:r>
      <w:proofErr w:type="gramStart"/>
      <w:r w:rsidRPr="001472E9">
        <w:rPr>
          <w:rFonts w:ascii="Times New Roman" w:hAnsi="Times New Roman"/>
        </w:rPr>
        <w:t>are</w:t>
      </w:r>
      <w:proofErr w:type="gramEnd"/>
      <w:r w:rsidRPr="001472E9">
        <w:rPr>
          <w:rFonts w:ascii="Times New Roman" w:hAnsi="Times New Roman"/>
        </w:rPr>
        <w:t xml:space="preserve"> no industry costs estimated for this collection</w:t>
      </w:r>
      <w:r w:rsidDel="008A441A">
        <w:t xml:space="preserve"> </w:t>
      </w:r>
    </w:p>
    <w:p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RDefault="009F2633" w:rsidP="00BB78AB">
      <w:pPr>
        <w:keepNext/>
        <w:numPr>
          <w:ilvl w:val="12"/>
          <w:numId w:val="0"/>
        </w:numPr>
        <w:ind w:left="360"/>
      </w:pPr>
    </w:p>
    <w:p w:rsidR="007B3BD6" w:rsidRDefault="007B3BD6" w:rsidP="007B3BD6">
      <w:pPr>
        <w:numPr>
          <w:ilvl w:val="12"/>
          <w:numId w:val="0"/>
        </w:numPr>
        <w:ind w:left="360"/>
      </w:pPr>
      <w:r>
        <w:t xml:space="preserve">TSA estimates the total cost to the Federal government associated with the EXIS information collection request to be approximately $796,180 annually.  This includes TSA staff costs and </w:t>
      </w:r>
      <w:r>
        <w:lastRenderedPageBreak/>
        <w:t xml:space="preserve">other infrastructure costs to maintain and update EXIS.  TSA staff costs were calculated by assuming approximately three TSA </w:t>
      </w:r>
      <w:proofErr w:type="gramStart"/>
      <w:r>
        <w:t>H/I</w:t>
      </w:r>
      <w:proofErr w:type="gramEnd"/>
      <w:r>
        <w:t xml:space="preserve"> program analysts will spend roughly 20 hours per week on EXIS-related duties.  These estimates were used to calculate a TSA FTE of 1.5; 3 employees multiplied by 20 hours per week multiplied by 52 weeks divided by 2080 hours (standard work year).  The TSA FTE was then multiplied by a TSA H/I Hourly wage rate of $58.32 whose product was multiplied by 2080 hours for an average annual staff cost of $181,958.  Infrastructure cost is comprised of contractor costs paid to maintain and update EXIS which are as follows:</w:t>
      </w:r>
    </w:p>
    <w:p w:rsidR="007B3BD6" w:rsidRDefault="007B3BD6" w:rsidP="007B3BD6">
      <w:pPr>
        <w:numPr>
          <w:ilvl w:val="12"/>
          <w:numId w:val="0"/>
        </w:numPr>
        <w:ind w:left="360"/>
      </w:pPr>
    </w:p>
    <w:p w:rsidR="007B3BD6" w:rsidRDefault="007B3BD6" w:rsidP="007B3BD6">
      <w:pPr>
        <w:numPr>
          <w:ilvl w:val="0"/>
          <w:numId w:val="24"/>
        </w:numPr>
      </w:pPr>
      <w:r>
        <w:t>Year 1, $594,484;</w:t>
      </w:r>
    </w:p>
    <w:p w:rsidR="007B3BD6" w:rsidRDefault="007B3BD6" w:rsidP="007B3BD6">
      <w:pPr>
        <w:numPr>
          <w:ilvl w:val="0"/>
          <w:numId w:val="24"/>
        </w:numPr>
      </w:pPr>
      <w:r>
        <w:t>Year 2, $613,880; and</w:t>
      </w:r>
    </w:p>
    <w:p w:rsidR="007B3BD6" w:rsidRDefault="007B3BD6" w:rsidP="007B3BD6">
      <w:pPr>
        <w:numPr>
          <w:ilvl w:val="0"/>
          <w:numId w:val="24"/>
        </w:numPr>
      </w:pPr>
      <w:r>
        <w:t>Year 3, $634,300.</w:t>
      </w:r>
    </w:p>
    <w:p w:rsidR="007B3BD6" w:rsidRDefault="007B3BD6" w:rsidP="007B3BD6"/>
    <w:p w:rsidR="007B3BD6" w:rsidRDefault="007B3BD6" w:rsidP="007B3BD6">
      <w:pPr>
        <w:ind w:left="360"/>
      </w:pPr>
      <w:r>
        <w:t xml:space="preserve">Thus, the average annual infrastructure cost is $614,221.  Table 4 displays EXIS’s total cost to TSA.  </w:t>
      </w:r>
    </w:p>
    <w:p w:rsidR="007B3BD6" w:rsidRDefault="007B3BD6" w:rsidP="007B3BD6">
      <w:pPr>
        <w:numPr>
          <w:ilvl w:val="12"/>
          <w:numId w:val="0"/>
        </w:numPr>
        <w:ind w:left="360"/>
      </w:pPr>
    </w:p>
    <w:p w:rsidR="007B3BD6" w:rsidRDefault="007B3BD6" w:rsidP="007B3BD6">
      <w:pPr>
        <w:numPr>
          <w:ilvl w:val="12"/>
          <w:numId w:val="0"/>
        </w:numPr>
        <w:ind w:left="360"/>
      </w:pPr>
    </w:p>
    <w:tbl>
      <w:tblPr>
        <w:tblW w:w="7616" w:type="dxa"/>
        <w:jc w:val="center"/>
        <w:tblInd w:w="108" w:type="dxa"/>
        <w:tblLook w:val="04A0" w:firstRow="1" w:lastRow="0" w:firstColumn="1" w:lastColumn="0" w:noHBand="0" w:noVBand="1"/>
      </w:tblPr>
      <w:tblGrid>
        <w:gridCol w:w="1596"/>
        <w:gridCol w:w="797"/>
        <w:gridCol w:w="1093"/>
        <w:gridCol w:w="1462"/>
        <w:gridCol w:w="1453"/>
        <w:gridCol w:w="1215"/>
      </w:tblGrid>
      <w:tr w:rsidR="007B3BD6" w:rsidRPr="000E4D40" w:rsidTr="007B3BD6">
        <w:trPr>
          <w:trHeight w:val="300"/>
          <w:jc w:val="center"/>
        </w:trPr>
        <w:tc>
          <w:tcPr>
            <w:tcW w:w="7616" w:type="dxa"/>
            <w:gridSpan w:val="6"/>
            <w:tcBorders>
              <w:top w:val="nil"/>
              <w:left w:val="nil"/>
              <w:bottom w:val="single" w:sz="4" w:space="0" w:color="auto"/>
              <w:right w:val="nil"/>
            </w:tcBorders>
            <w:shd w:val="clear" w:color="auto" w:fill="auto"/>
            <w:noWrap/>
            <w:vAlign w:val="bottom"/>
            <w:hideMark/>
          </w:tcPr>
          <w:p w:rsidR="007B3BD6" w:rsidRPr="000E4D40" w:rsidRDefault="007B3BD6" w:rsidP="007B3BD6">
            <w:pPr>
              <w:rPr>
                <w:rFonts w:ascii="Calibri" w:hAnsi="Calibri" w:cs="Times New Roman"/>
                <w:b/>
                <w:bCs/>
                <w:sz w:val="22"/>
                <w:szCs w:val="22"/>
              </w:rPr>
            </w:pPr>
            <w:r w:rsidRPr="000E4D40">
              <w:rPr>
                <w:rFonts w:ascii="Calibri" w:hAnsi="Calibri" w:cs="Times New Roman"/>
                <w:b/>
                <w:bCs/>
                <w:sz w:val="22"/>
                <w:szCs w:val="22"/>
              </w:rPr>
              <w:t>Table 4: TSA Costs*</w:t>
            </w:r>
          </w:p>
        </w:tc>
      </w:tr>
      <w:tr w:rsidR="007B3BD6" w:rsidRPr="000E4D40" w:rsidTr="007B3BD6">
        <w:trPr>
          <w:trHeight w:val="525"/>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B3BD6" w:rsidRPr="000E4D40" w:rsidRDefault="007B3BD6" w:rsidP="007B3BD6">
            <w:pPr>
              <w:rPr>
                <w:rFonts w:ascii="Calibri" w:hAnsi="Calibri" w:cs="Times New Roman"/>
                <w:sz w:val="20"/>
              </w:rPr>
            </w:pPr>
          </w:p>
        </w:tc>
        <w:tc>
          <w:tcPr>
            <w:tcW w:w="797"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 xml:space="preserve">TSA FTE </w:t>
            </w:r>
          </w:p>
        </w:tc>
        <w:tc>
          <w:tcPr>
            <w:tcW w:w="1093"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TSA Wage Rate</w:t>
            </w:r>
          </w:p>
        </w:tc>
        <w:tc>
          <w:tcPr>
            <w:tcW w:w="1462"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TSA Staff Cost</w:t>
            </w:r>
          </w:p>
        </w:tc>
        <w:tc>
          <w:tcPr>
            <w:tcW w:w="1453"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Infrastructure Cost</w:t>
            </w:r>
          </w:p>
        </w:tc>
        <w:tc>
          <w:tcPr>
            <w:tcW w:w="1215"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Total</w:t>
            </w:r>
          </w:p>
        </w:tc>
      </w:tr>
      <w:tr w:rsidR="007B3BD6" w:rsidRPr="000E4D40" w:rsidTr="007B3BD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B3BD6" w:rsidRPr="000E4D40" w:rsidRDefault="007B3BD6" w:rsidP="007B3BD6">
            <w:pPr>
              <w:rPr>
                <w:rFonts w:ascii="Calibri" w:hAnsi="Calibri" w:cs="Times New Roman"/>
                <w:sz w:val="20"/>
              </w:rPr>
            </w:pPr>
          </w:p>
        </w:tc>
        <w:tc>
          <w:tcPr>
            <w:tcW w:w="797"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A</w:t>
            </w:r>
          </w:p>
        </w:tc>
        <w:tc>
          <w:tcPr>
            <w:tcW w:w="1093"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B</w:t>
            </w:r>
          </w:p>
        </w:tc>
        <w:tc>
          <w:tcPr>
            <w:tcW w:w="1462"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C=(A*B)*2080</w:t>
            </w:r>
          </w:p>
        </w:tc>
        <w:tc>
          <w:tcPr>
            <w:tcW w:w="1453"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D</w:t>
            </w:r>
          </w:p>
        </w:tc>
        <w:tc>
          <w:tcPr>
            <w:tcW w:w="1215" w:type="dxa"/>
            <w:tcBorders>
              <w:top w:val="nil"/>
              <w:left w:val="nil"/>
              <w:bottom w:val="single" w:sz="4" w:space="0" w:color="auto"/>
              <w:right w:val="single" w:sz="4" w:space="0" w:color="auto"/>
            </w:tcBorders>
            <w:shd w:val="clear" w:color="auto" w:fill="auto"/>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E=C+D</w:t>
            </w:r>
          </w:p>
        </w:tc>
      </w:tr>
      <w:tr w:rsidR="007B3BD6" w:rsidRPr="000E4D40" w:rsidTr="007B3BD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B3BD6" w:rsidRPr="000E4D40" w:rsidRDefault="007B3BD6" w:rsidP="007B3BD6">
            <w:pPr>
              <w:rPr>
                <w:rFonts w:ascii="Calibri" w:hAnsi="Calibri" w:cs="Times New Roman"/>
                <w:sz w:val="20"/>
              </w:rPr>
            </w:pPr>
            <w:r w:rsidRPr="000E4D40">
              <w:rPr>
                <w:rFonts w:ascii="Calibri" w:hAnsi="Calibri" w:cs="Times New Roman"/>
                <w:sz w:val="20"/>
              </w:rPr>
              <w:t>Year 1</w:t>
            </w:r>
          </w:p>
        </w:tc>
        <w:tc>
          <w:tcPr>
            <w:tcW w:w="797"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1.5</w:t>
            </w:r>
          </w:p>
        </w:tc>
        <w:tc>
          <w:tcPr>
            <w:tcW w:w="10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$58.32</w:t>
            </w:r>
          </w:p>
        </w:tc>
        <w:tc>
          <w:tcPr>
            <w:tcW w:w="1462"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$594,484</w:t>
            </w:r>
          </w:p>
        </w:tc>
        <w:tc>
          <w:tcPr>
            <w:tcW w:w="1215"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$776,442</w:t>
            </w:r>
          </w:p>
        </w:tc>
      </w:tr>
      <w:tr w:rsidR="007B3BD6" w:rsidRPr="000E4D40" w:rsidTr="007B3BD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B3BD6" w:rsidRPr="000E4D40" w:rsidRDefault="007B3BD6" w:rsidP="007B3BD6">
            <w:pPr>
              <w:rPr>
                <w:rFonts w:ascii="Calibri" w:hAnsi="Calibri" w:cs="Times New Roman"/>
                <w:sz w:val="20"/>
              </w:rPr>
            </w:pPr>
            <w:r w:rsidRPr="000E4D40">
              <w:rPr>
                <w:rFonts w:ascii="Calibri" w:hAnsi="Calibri" w:cs="Times New Roman"/>
                <w:sz w:val="20"/>
              </w:rPr>
              <w:t>Year 2</w:t>
            </w:r>
          </w:p>
        </w:tc>
        <w:tc>
          <w:tcPr>
            <w:tcW w:w="797"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1.5</w:t>
            </w:r>
          </w:p>
        </w:tc>
        <w:tc>
          <w:tcPr>
            <w:tcW w:w="1093" w:type="dxa"/>
            <w:vMerge/>
            <w:tcBorders>
              <w:top w:val="nil"/>
              <w:left w:val="single" w:sz="4" w:space="0" w:color="auto"/>
              <w:bottom w:val="single" w:sz="4" w:space="0" w:color="auto"/>
              <w:right w:val="single" w:sz="4" w:space="0" w:color="auto"/>
            </w:tcBorders>
            <w:vAlign w:val="center"/>
            <w:hideMark/>
          </w:tcPr>
          <w:p w:rsidR="007B3BD6" w:rsidRPr="000E4D40" w:rsidRDefault="007B3BD6" w:rsidP="007B3BD6">
            <w:pPr>
              <w:rPr>
                <w:rFonts w:ascii="Calibri" w:hAnsi="Calibri" w:cs="Times New Roman"/>
                <w:sz w:val="20"/>
              </w:rPr>
            </w:pPr>
          </w:p>
        </w:tc>
        <w:tc>
          <w:tcPr>
            <w:tcW w:w="1462"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$613,880</w:t>
            </w:r>
          </w:p>
        </w:tc>
        <w:tc>
          <w:tcPr>
            <w:tcW w:w="1215"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$795,838</w:t>
            </w:r>
          </w:p>
        </w:tc>
      </w:tr>
      <w:tr w:rsidR="007B3BD6" w:rsidRPr="000E4D40" w:rsidTr="007B3BD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B3BD6" w:rsidRPr="000E4D40" w:rsidRDefault="007B3BD6" w:rsidP="007B3BD6">
            <w:pPr>
              <w:rPr>
                <w:rFonts w:ascii="Calibri" w:hAnsi="Calibri" w:cs="Times New Roman"/>
                <w:sz w:val="20"/>
              </w:rPr>
            </w:pPr>
            <w:r w:rsidRPr="000E4D40">
              <w:rPr>
                <w:rFonts w:ascii="Calibri" w:hAnsi="Calibri" w:cs="Times New Roman"/>
                <w:sz w:val="20"/>
              </w:rPr>
              <w:t>Year 3</w:t>
            </w:r>
          </w:p>
        </w:tc>
        <w:tc>
          <w:tcPr>
            <w:tcW w:w="797"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1.5</w:t>
            </w:r>
          </w:p>
        </w:tc>
        <w:tc>
          <w:tcPr>
            <w:tcW w:w="1093" w:type="dxa"/>
            <w:vMerge/>
            <w:tcBorders>
              <w:top w:val="nil"/>
              <w:left w:val="single" w:sz="4" w:space="0" w:color="auto"/>
              <w:bottom w:val="single" w:sz="4" w:space="0" w:color="auto"/>
              <w:right w:val="single" w:sz="4" w:space="0" w:color="auto"/>
            </w:tcBorders>
            <w:vAlign w:val="center"/>
            <w:hideMark/>
          </w:tcPr>
          <w:p w:rsidR="007B3BD6" w:rsidRPr="000E4D40" w:rsidRDefault="007B3BD6" w:rsidP="007B3BD6">
            <w:pPr>
              <w:rPr>
                <w:rFonts w:ascii="Calibri" w:hAnsi="Calibri" w:cs="Times New Roman"/>
                <w:sz w:val="20"/>
              </w:rPr>
            </w:pPr>
          </w:p>
        </w:tc>
        <w:tc>
          <w:tcPr>
            <w:tcW w:w="1462"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$634,300</w:t>
            </w:r>
          </w:p>
        </w:tc>
        <w:tc>
          <w:tcPr>
            <w:tcW w:w="1215" w:type="dxa"/>
            <w:tcBorders>
              <w:top w:val="nil"/>
              <w:left w:val="nil"/>
              <w:bottom w:val="single" w:sz="4" w:space="0" w:color="auto"/>
              <w:right w:val="single" w:sz="4" w:space="0" w:color="auto"/>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$816,258</w:t>
            </w:r>
          </w:p>
        </w:tc>
      </w:tr>
      <w:tr w:rsidR="007B3BD6" w:rsidRPr="000E4D40" w:rsidTr="007B3BD6">
        <w:trPr>
          <w:trHeight w:val="300"/>
          <w:jc w:val="center"/>
        </w:trPr>
        <w:tc>
          <w:tcPr>
            <w:tcW w:w="1596" w:type="dxa"/>
            <w:tcBorders>
              <w:top w:val="nil"/>
              <w:left w:val="nil"/>
              <w:bottom w:val="nil"/>
              <w:right w:val="nil"/>
            </w:tcBorders>
            <w:shd w:val="clear" w:color="auto" w:fill="auto"/>
            <w:noWrap/>
            <w:vAlign w:val="bottom"/>
            <w:hideMark/>
          </w:tcPr>
          <w:p w:rsidR="007B3BD6" w:rsidRPr="000E4D40" w:rsidRDefault="007B3BD6" w:rsidP="007B3BD6">
            <w:pPr>
              <w:rPr>
                <w:rFonts w:ascii="Calibri" w:hAnsi="Calibri" w:cs="Times New Roman"/>
                <w:b/>
                <w:bCs/>
                <w:sz w:val="20"/>
              </w:rPr>
            </w:pPr>
            <w:r w:rsidRPr="000E4D40">
              <w:rPr>
                <w:rFonts w:ascii="Calibri" w:hAnsi="Calibri" w:cs="Times New Roman"/>
                <w:b/>
                <w:bCs/>
                <w:sz w:val="20"/>
              </w:rPr>
              <w:t>Average Annual</w:t>
            </w:r>
          </w:p>
        </w:tc>
        <w:tc>
          <w:tcPr>
            <w:tcW w:w="797" w:type="dxa"/>
            <w:tcBorders>
              <w:top w:val="nil"/>
              <w:left w:val="nil"/>
              <w:bottom w:val="nil"/>
              <w:right w:val="nil"/>
            </w:tcBorders>
            <w:shd w:val="clear" w:color="auto" w:fill="auto"/>
            <w:noWrap/>
            <w:vAlign w:val="bottom"/>
            <w:hideMark/>
          </w:tcPr>
          <w:p w:rsidR="007B3BD6" w:rsidRPr="000E4D40" w:rsidRDefault="007B3BD6" w:rsidP="007B3BD6">
            <w:pPr>
              <w:jc w:val="center"/>
              <w:rPr>
                <w:rFonts w:ascii="Calibri" w:hAnsi="Calibri" w:cs="Times New Roman"/>
                <w:sz w:val="20"/>
              </w:rPr>
            </w:pPr>
          </w:p>
        </w:tc>
        <w:tc>
          <w:tcPr>
            <w:tcW w:w="1093" w:type="dxa"/>
            <w:tcBorders>
              <w:top w:val="nil"/>
              <w:left w:val="nil"/>
              <w:bottom w:val="nil"/>
              <w:right w:val="nil"/>
            </w:tcBorders>
            <w:shd w:val="clear" w:color="auto" w:fill="auto"/>
            <w:noWrap/>
            <w:vAlign w:val="bottom"/>
            <w:hideMark/>
          </w:tcPr>
          <w:p w:rsidR="007B3BD6" w:rsidRPr="000E4D40" w:rsidRDefault="007B3BD6" w:rsidP="007B3BD6">
            <w:pPr>
              <w:jc w:val="center"/>
              <w:rPr>
                <w:rFonts w:ascii="Calibri" w:hAnsi="Calibri" w:cs="Times New Roman"/>
                <w:sz w:val="20"/>
              </w:rPr>
            </w:pPr>
          </w:p>
        </w:tc>
        <w:tc>
          <w:tcPr>
            <w:tcW w:w="1462" w:type="dxa"/>
            <w:tcBorders>
              <w:top w:val="nil"/>
              <w:left w:val="nil"/>
              <w:bottom w:val="nil"/>
              <w:right w:val="nil"/>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nil"/>
              <w:right w:val="nil"/>
            </w:tcBorders>
            <w:shd w:val="clear" w:color="auto" w:fill="auto"/>
            <w:noWrap/>
            <w:vAlign w:val="bottom"/>
            <w:hideMark/>
          </w:tcPr>
          <w:p w:rsidR="007B3BD6" w:rsidRPr="000E4D40" w:rsidRDefault="007B3BD6" w:rsidP="007B3BD6">
            <w:pPr>
              <w:jc w:val="center"/>
              <w:rPr>
                <w:rFonts w:ascii="Calibri" w:hAnsi="Calibri" w:cs="Times New Roman"/>
                <w:sz w:val="20"/>
              </w:rPr>
            </w:pPr>
            <w:r w:rsidRPr="000E4D40">
              <w:rPr>
                <w:rFonts w:ascii="Calibri" w:hAnsi="Calibri" w:cs="Times New Roman"/>
                <w:sz w:val="20"/>
              </w:rPr>
              <w:t>$614,221</w:t>
            </w:r>
          </w:p>
        </w:tc>
        <w:tc>
          <w:tcPr>
            <w:tcW w:w="1215" w:type="dxa"/>
            <w:tcBorders>
              <w:top w:val="nil"/>
              <w:left w:val="nil"/>
              <w:bottom w:val="nil"/>
              <w:right w:val="nil"/>
            </w:tcBorders>
            <w:shd w:val="clear" w:color="auto" w:fill="auto"/>
            <w:noWrap/>
            <w:vAlign w:val="bottom"/>
            <w:hideMark/>
          </w:tcPr>
          <w:p w:rsidR="007B3BD6" w:rsidRPr="000E4D40" w:rsidRDefault="007B3BD6" w:rsidP="007B3BD6">
            <w:pPr>
              <w:jc w:val="center"/>
              <w:rPr>
                <w:rFonts w:ascii="Calibri" w:hAnsi="Calibri" w:cs="Times New Roman"/>
                <w:b/>
                <w:bCs/>
                <w:sz w:val="20"/>
              </w:rPr>
            </w:pPr>
            <w:r w:rsidRPr="000E4D40">
              <w:rPr>
                <w:rFonts w:ascii="Calibri" w:hAnsi="Calibri" w:cs="Times New Roman"/>
                <w:b/>
                <w:bCs/>
                <w:sz w:val="20"/>
              </w:rPr>
              <w:t>$796,180</w:t>
            </w:r>
          </w:p>
        </w:tc>
      </w:tr>
      <w:tr w:rsidR="007B3BD6" w:rsidRPr="000E4D40" w:rsidTr="007B3BD6">
        <w:trPr>
          <w:trHeight w:val="300"/>
          <w:jc w:val="center"/>
        </w:trPr>
        <w:tc>
          <w:tcPr>
            <w:tcW w:w="7616" w:type="dxa"/>
            <w:gridSpan w:val="6"/>
            <w:tcBorders>
              <w:top w:val="nil"/>
              <w:left w:val="nil"/>
              <w:bottom w:val="nil"/>
              <w:right w:val="nil"/>
            </w:tcBorders>
            <w:shd w:val="clear" w:color="auto" w:fill="auto"/>
            <w:noWrap/>
            <w:vAlign w:val="bottom"/>
            <w:hideMark/>
          </w:tcPr>
          <w:p w:rsidR="007B3BD6" w:rsidRPr="000E4D40" w:rsidRDefault="007B3BD6" w:rsidP="007B3BD6">
            <w:pPr>
              <w:rPr>
                <w:rFonts w:ascii="Calibri" w:hAnsi="Calibri" w:cs="Times New Roman"/>
                <w:sz w:val="16"/>
                <w:szCs w:val="16"/>
              </w:rPr>
            </w:pPr>
            <w:r w:rsidRPr="000E4D40">
              <w:rPr>
                <w:rFonts w:ascii="Calibri" w:hAnsi="Calibri" w:cs="Times New Roman"/>
                <w:sz w:val="16"/>
                <w:szCs w:val="16"/>
              </w:rPr>
              <w:t>*Costs are rounded to nearest dollar</w:t>
            </w:r>
          </w:p>
        </w:tc>
      </w:tr>
    </w:tbl>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rsidR="009F2633" w:rsidRDefault="009F2633" w:rsidP="00BB78AB">
      <w:pPr>
        <w:keepNext/>
        <w:numPr>
          <w:ilvl w:val="12"/>
          <w:numId w:val="0"/>
        </w:numPr>
        <w:ind w:left="360"/>
      </w:pPr>
    </w:p>
    <w:p w:rsidR="009F2633" w:rsidRDefault="00CB1E0F" w:rsidP="00BB78AB">
      <w:pPr>
        <w:pStyle w:val="IndexHeading"/>
        <w:keepNext w:val="0"/>
        <w:numPr>
          <w:ilvl w:val="12"/>
          <w:numId w:val="0"/>
        </w:numPr>
        <w:spacing w:line="240" w:lineRule="auto"/>
        <w:rPr>
          <w:rFonts w:ascii="Times New Roman" w:hAnsi="Times New Roman"/>
          <w:spacing w:val="0"/>
        </w:rPr>
      </w:pPr>
      <w:r>
        <w:t>This is a new collection, thus no changes or adjustments have been reported.</w:t>
      </w:r>
    </w:p>
    <w:p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Default="009F2633" w:rsidP="00BB78AB">
      <w:pPr>
        <w:keepNext/>
        <w:numPr>
          <w:ilvl w:val="12"/>
          <w:numId w:val="0"/>
        </w:numPr>
        <w:ind w:left="360"/>
      </w:pPr>
    </w:p>
    <w:p w:rsidR="008A441A" w:rsidRDefault="008A441A" w:rsidP="008A441A">
      <w:pPr>
        <w:keepNext/>
        <w:numPr>
          <w:ilvl w:val="12"/>
          <w:numId w:val="0"/>
        </w:numPr>
        <w:ind w:left="360"/>
      </w:pPr>
      <w:r>
        <w:t xml:space="preserve">User registration information will not be published.  Information regarding exercise properties, lessons learned, and best practices from past exercises will be made available online to certain users in the aggregate after removal of personal, proprietary, time, date, and location information. </w:t>
      </w:r>
    </w:p>
    <w:p w:rsidR="008A441A" w:rsidRDefault="008A441A" w:rsidP="008A441A">
      <w:pPr>
        <w:keepNext/>
        <w:numPr>
          <w:ilvl w:val="12"/>
          <w:numId w:val="0"/>
        </w:numPr>
        <w:ind w:left="360"/>
      </w:pPr>
    </w:p>
    <w:p w:rsidR="008A441A" w:rsidRDefault="008A441A" w:rsidP="008A441A">
      <w:pPr>
        <w:ind w:left="360"/>
      </w:pPr>
      <w:r>
        <w:t xml:space="preserve">As previously discussed, an EXIS user has the ability to limit the availability of his/her exercise information to a select group of other EXIS users by creating an exercise community. By creating an exercise community, the EXIS user groups exercises and data </w:t>
      </w:r>
      <w:r>
        <w:lastRenderedPageBreak/>
        <w:t xml:space="preserve">under a private sub-site within EXIS and can control community access by choosing which other EXIS users to invite to his/her community and/or by rejecting any requests from other users to join. </w:t>
      </w:r>
      <w:proofErr w:type="gramStart"/>
      <w:r>
        <w:t>All EXIS users, whether TSA or non-TSA, have this ability.</w:t>
      </w:r>
      <w:proofErr w:type="gramEnd"/>
      <w:r>
        <w:t xml:space="preserve"> Regardless of whether the community organizer is TSA or non-TSA, TSA will have the ability to access and moderate all communities, although TSA will not actively do so. TSA will only step in to moderate if an issue arises in a particular community. </w:t>
      </w:r>
    </w:p>
    <w:p w:rsidR="008A441A" w:rsidRDefault="008A441A" w:rsidP="008A441A">
      <w:pPr>
        <w:ind w:left="360"/>
      </w:pPr>
    </w:p>
    <w:p w:rsidR="008A441A" w:rsidRDefault="008A441A" w:rsidP="008A441A">
      <w:pPr>
        <w:ind w:left="360"/>
      </w:pPr>
      <w:r>
        <w:t xml:space="preserve">EXIS communities are not “bulletin boards” in the sense that all members of the community can contribute information. Rather, the community owner can post information regarding his/her exercise and other community members can only observe the posted information. Because such information may be SSI, all EXIS users will have unique usernames and passwords that meet or exceed the DHS standards of SSI access to log into EXIS. An SSI Content Management Plan has been approved for EXIS by the Office of Intelligence, and EXIS hardware and software have been approved to handle SSI by the Office of Information Technology.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RDefault="009F2633" w:rsidP="00BB78AB">
      <w:pPr>
        <w:keepNext/>
        <w:numPr>
          <w:ilvl w:val="12"/>
          <w:numId w:val="0"/>
        </w:numPr>
        <w:ind w:left="360"/>
      </w:pPr>
    </w:p>
    <w:p w:rsidR="008A441A" w:rsidRDefault="008A441A" w:rsidP="008A441A">
      <w:pPr>
        <w:numPr>
          <w:ilvl w:val="12"/>
          <w:numId w:val="0"/>
        </w:numPr>
        <w:ind w:left="360"/>
      </w:pPr>
      <w:r>
        <w:t>Not applicable.</w:t>
      </w:r>
    </w:p>
    <w:p w:rsidR="009F2633" w:rsidRDefault="009F2633" w:rsidP="00BB78AB">
      <w:pPr>
        <w:numPr>
          <w:ilvl w:val="12"/>
          <w:numId w:val="0"/>
        </w:numPr>
        <w:tabs>
          <w:tab w:val="left" w:pos="360"/>
        </w:tabs>
      </w:pPr>
    </w:p>
    <w:p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RDefault="009F2633" w:rsidP="00BB78AB">
      <w:pPr>
        <w:keepNext/>
        <w:numPr>
          <w:ilvl w:val="12"/>
          <w:numId w:val="0"/>
        </w:numPr>
        <w:ind w:left="360"/>
      </w:pPr>
    </w:p>
    <w:p w:rsidR="008A441A" w:rsidRDefault="008A441A" w:rsidP="008A441A">
      <w:pPr>
        <w:numPr>
          <w:ilvl w:val="12"/>
          <w:numId w:val="0"/>
        </w:numPr>
        <w:ind w:left="360"/>
      </w:pPr>
      <w:r>
        <w:t>Not applicable.</w:t>
      </w:r>
    </w:p>
    <w:p w:rsidR="009F2633" w:rsidRPr="008167AF" w:rsidRDefault="009F2633" w:rsidP="008167AF"/>
    <w:sectPr w:rsidR="009F2633" w:rsidRPr="008167AF"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D3" w:rsidRDefault="001F44D3">
      <w:r>
        <w:separator/>
      </w:r>
    </w:p>
  </w:endnote>
  <w:endnote w:type="continuationSeparator" w:id="0">
    <w:p w:rsidR="001F44D3" w:rsidRDefault="001F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31" w:rsidRPr="00B55414" w:rsidRDefault="005E5131">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D3" w:rsidRDefault="001F44D3">
      <w:r>
        <w:separator/>
      </w:r>
    </w:p>
  </w:footnote>
  <w:footnote w:type="continuationSeparator" w:id="0">
    <w:p w:rsidR="001F44D3" w:rsidRDefault="001F44D3">
      <w:r>
        <w:continuationSeparator/>
      </w:r>
    </w:p>
  </w:footnote>
  <w:footnote w:id="1">
    <w:p w:rsidR="005E5131" w:rsidRDefault="005E5131" w:rsidP="00CE55F5">
      <w:pPr>
        <w:pStyle w:val="FootnoteText"/>
      </w:pPr>
      <w:r>
        <w:rPr>
          <w:rStyle w:val="FootnoteReference"/>
        </w:rPr>
        <w:footnoteRef/>
      </w:r>
      <w:r>
        <w:t xml:space="preserve"> </w:t>
      </w:r>
      <w:proofErr w:type="gramStart"/>
      <w:r>
        <w:t>49 U.S.C. 114(f).</w:t>
      </w:r>
      <w:proofErr w:type="gramEnd"/>
      <w:r>
        <w:t xml:space="preserve">  </w:t>
      </w:r>
    </w:p>
  </w:footnote>
  <w:footnote w:id="2">
    <w:p w:rsidR="005E5131" w:rsidRDefault="005E5131" w:rsidP="00CE55F5">
      <w:pPr>
        <w:pStyle w:val="FootnoteText"/>
      </w:pPr>
      <w:r>
        <w:rPr>
          <w:rStyle w:val="FootnoteReference"/>
        </w:rPr>
        <w:footnoteRef/>
      </w:r>
      <w:r>
        <w:t xml:space="preserve"> </w:t>
      </w:r>
      <w:r w:rsidRPr="00FD32E7">
        <w:rPr>
          <w:u w:val="single"/>
        </w:rPr>
        <w:t>See</w:t>
      </w:r>
      <w:r>
        <w:t xml:space="preserve"> 49 U.S.C. 114(d).  </w:t>
      </w:r>
      <w:proofErr w:type="gramStart"/>
      <w:r>
        <w:t>Section 403(2) of the Homeland Security Act (HSA) of 2002, Pub.</w:t>
      </w:r>
      <w:proofErr w:type="gramEnd"/>
      <w:r>
        <w:t xml:space="preserve"> L. 107-296, 116 Stat. 2315 (2002), transferred all functions of TSA, including those of the Secretary of Transportation and the Under Secretary of Transportation of Security related to TSA, to the Secretary of Homeland Security.  The TSA Administrator’s current authorities under The Aviation and Transportation Security Act (ATSA) have been delegated to him her by the Secretary of Homeland Security.  Pursuant to DHS Delegation Number 7060.2, the Secretary delegated to the Administrator, subject to the Secretary’s guidance and control, the authority vested in the Secretary with respect to TSA, including that in sec. 403(2) of the HSA.</w:t>
      </w:r>
    </w:p>
  </w:footnote>
  <w:footnote w:id="3">
    <w:p w:rsidR="005E5131" w:rsidRDefault="005E5131" w:rsidP="00CE55F5">
      <w:pPr>
        <w:pStyle w:val="FootnoteText"/>
      </w:pPr>
      <w:r>
        <w:rPr>
          <w:rStyle w:val="FootnoteReference"/>
        </w:rPr>
        <w:footnoteRef/>
      </w:r>
      <w:r>
        <w:t xml:space="preserve"> To the extent that exercise information and results may be Sensitive Security Information (SSI) in accordance with 49 U.S.C. 114(r) and 49 CFR Part 1520, TSA will protect it as such.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31" w:rsidRDefault="002A7D1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5E5131">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C4782">
      <w:rPr>
        <w:rStyle w:val="PageNumber"/>
        <w:rFonts w:ascii="Times New Roman" w:hAnsi="Times New Roman"/>
        <w:noProof/>
        <w:sz w:val="24"/>
      </w:rPr>
      <w:t>3</w:t>
    </w:r>
    <w:r>
      <w:rPr>
        <w:rStyle w:val="PageNumber"/>
        <w:rFonts w:ascii="Times New Roman" w:hAnsi="Times New Roman"/>
        <w:sz w:val="24"/>
      </w:rPr>
      <w:fldChar w:fldCharType="end"/>
    </w:r>
  </w:p>
  <w:p w:rsidR="005E5131" w:rsidRPr="00320387" w:rsidRDefault="005E5131">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31" w:rsidRDefault="005E513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5E5131" w:rsidRDefault="005E5131">
    <w:pPr>
      <w:jc w:val="center"/>
      <w:rPr>
        <w:rFonts w:cs="Times New Roman"/>
        <w:b/>
        <w:sz w:val="28"/>
      </w:rPr>
    </w:pPr>
  </w:p>
  <w:p w:rsidR="00D06C1A" w:rsidRDefault="00D06C1A" w:rsidP="00D06C1A">
    <w:pPr>
      <w:jc w:val="center"/>
      <w:rPr>
        <w:rFonts w:cs="Times New Roman"/>
        <w:b/>
        <w:sz w:val="28"/>
      </w:rPr>
    </w:pPr>
    <w:r>
      <w:rPr>
        <w:rFonts w:cs="Times New Roman"/>
        <w:b/>
        <w:sz w:val="28"/>
      </w:rPr>
      <w:t>Exercise Information System (EXIS)</w:t>
    </w:r>
  </w:p>
  <w:p w:rsidR="005E5131" w:rsidRDefault="005E5131"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9A59CA"/>
    <w:multiLevelType w:val="hybridMultilevel"/>
    <w:tmpl w:val="1E065786"/>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7A5C6986"/>
    <w:multiLevelType w:val="singleLevel"/>
    <w:tmpl w:val="0409000F"/>
    <w:lvl w:ilvl="0">
      <w:start w:val="1"/>
      <w:numFmt w:val="decimal"/>
      <w:lvlText w:val="%1."/>
      <w:lvlJc w:val="left"/>
      <w:pPr>
        <w:tabs>
          <w:tab w:val="num" w:pos="360"/>
        </w:tabs>
        <w:ind w:left="360" w:hanging="360"/>
      </w:pPr>
    </w:lvl>
  </w:abstractNum>
  <w:abstractNum w:abstractNumId="21">
    <w:nsid w:val="7AA85F46"/>
    <w:multiLevelType w:val="singleLevel"/>
    <w:tmpl w:val="0409001B"/>
    <w:lvl w:ilvl="0">
      <w:start w:val="1"/>
      <w:numFmt w:val="lowerRoman"/>
      <w:lvlText w:val="%1."/>
      <w:lvlJc w:val="right"/>
      <w:pPr>
        <w:tabs>
          <w:tab w:val="num" w:pos="504"/>
        </w:tabs>
        <w:ind w:left="504" w:hanging="216"/>
      </w:pPr>
    </w:lvl>
  </w:abstractNum>
  <w:abstractNum w:abstractNumId="22">
    <w:nsid w:val="7BBB0034"/>
    <w:multiLevelType w:val="singleLevel"/>
    <w:tmpl w:val="01AA2A8A"/>
    <w:lvl w:ilvl="0">
      <w:numFmt w:val="decimal"/>
      <w:lvlText w:val="%1"/>
      <w:legacy w:legacy="1" w:legacySpace="0" w:legacyIndent="0"/>
      <w:lvlJc w:val="left"/>
    </w:lvl>
  </w:abstractNum>
  <w:abstractNum w:abstractNumId="23">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1"/>
  </w:num>
  <w:num w:numId="14">
    <w:abstractNumId w:val="11"/>
  </w:num>
  <w:num w:numId="15">
    <w:abstractNumId w:val="12"/>
  </w:num>
  <w:num w:numId="16">
    <w:abstractNumId w:val="13"/>
  </w:num>
  <w:num w:numId="17">
    <w:abstractNumId w:val="19"/>
  </w:num>
  <w:num w:numId="18">
    <w:abstractNumId w:val="14"/>
  </w:num>
  <w:num w:numId="19">
    <w:abstractNumId w:val="23"/>
  </w:num>
  <w:num w:numId="20">
    <w:abstractNumId w:val="15"/>
  </w:num>
  <w:num w:numId="21">
    <w:abstractNumId w:val="20"/>
  </w:num>
  <w:num w:numId="22">
    <w:abstractNumId w:val="17"/>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4FB9"/>
    <w:rsid w:val="0003285E"/>
    <w:rsid w:val="000902E9"/>
    <w:rsid w:val="000B3FFA"/>
    <w:rsid w:val="000E719E"/>
    <w:rsid w:val="0017334A"/>
    <w:rsid w:val="001F0623"/>
    <w:rsid w:val="001F44D3"/>
    <w:rsid w:val="00242FEB"/>
    <w:rsid w:val="002A7D1A"/>
    <w:rsid w:val="00354F39"/>
    <w:rsid w:val="003C4782"/>
    <w:rsid w:val="003D5FD9"/>
    <w:rsid w:val="003F493E"/>
    <w:rsid w:val="004318EC"/>
    <w:rsid w:val="004A2391"/>
    <w:rsid w:val="00515651"/>
    <w:rsid w:val="005264D0"/>
    <w:rsid w:val="00552C70"/>
    <w:rsid w:val="005623A8"/>
    <w:rsid w:val="005E5131"/>
    <w:rsid w:val="006835A3"/>
    <w:rsid w:val="006B342F"/>
    <w:rsid w:val="006D1DAE"/>
    <w:rsid w:val="00780D1E"/>
    <w:rsid w:val="007B3BD6"/>
    <w:rsid w:val="007E13EF"/>
    <w:rsid w:val="007E7433"/>
    <w:rsid w:val="008167AF"/>
    <w:rsid w:val="00822EAC"/>
    <w:rsid w:val="008A441A"/>
    <w:rsid w:val="008C46C0"/>
    <w:rsid w:val="00904302"/>
    <w:rsid w:val="009107A4"/>
    <w:rsid w:val="009F2633"/>
    <w:rsid w:val="00A22ED4"/>
    <w:rsid w:val="00B46BF2"/>
    <w:rsid w:val="00B471A4"/>
    <w:rsid w:val="00B55414"/>
    <w:rsid w:val="00BB78AB"/>
    <w:rsid w:val="00BF1B64"/>
    <w:rsid w:val="00C036F4"/>
    <w:rsid w:val="00C365EE"/>
    <w:rsid w:val="00CB1E0F"/>
    <w:rsid w:val="00CE55F5"/>
    <w:rsid w:val="00D06C1A"/>
    <w:rsid w:val="00D60E67"/>
    <w:rsid w:val="00D6589B"/>
    <w:rsid w:val="00EA6B42"/>
    <w:rsid w:val="00EC3BCD"/>
    <w:rsid w:val="00FB27E9"/>
    <w:rsid w:val="00FE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CE55F5"/>
    <w:rPr>
      <w:sz w:val="20"/>
    </w:rPr>
  </w:style>
  <w:style w:type="character" w:customStyle="1" w:styleId="FootnoteTextChar">
    <w:name w:val="Footnote Text Char"/>
    <w:basedOn w:val="DefaultParagraphFont"/>
    <w:link w:val="FootnoteText"/>
    <w:rsid w:val="00CE55F5"/>
    <w:rPr>
      <w:rFonts w:cs="Arial"/>
      <w:color w:val="000000"/>
    </w:rPr>
  </w:style>
  <w:style w:type="character" w:styleId="FootnoteReference">
    <w:name w:val="footnote reference"/>
    <w:rsid w:val="00CE55F5"/>
    <w:rPr>
      <w:vertAlign w:val="superscript"/>
    </w:rPr>
  </w:style>
  <w:style w:type="character" w:styleId="Hyperlink">
    <w:name w:val="Hyperlink"/>
    <w:rsid w:val="00CE55F5"/>
    <w:rPr>
      <w:color w:val="0000FF"/>
      <w:u w:val="single"/>
    </w:rPr>
  </w:style>
  <w:style w:type="paragraph" w:styleId="BalloonText">
    <w:name w:val="Balloon Text"/>
    <w:basedOn w:val="Normal"/>
    <w:link w:val="BalloonTextChar"/>
    <w:rsid w:val="008A441A"/>
    <w:rPr>
      <w:rFonts w:ascii="Tahoma" w:hAnsi="Tahoma" w:cs="Tahoma"/>
      <w:sz w:val="16"/>
      <w:szCs w:val="16"/>
    </w:rPr>
  </w:style>
  <w:style w:type="character" w:customStyle="1" w:styleId="BalloonTextChar">
    <w:name w:val="Balloon Text Char"/>
    <w:basedOn w:val="DefaultParagraphFont"/>
    <w:link w:val="BalloonText"/>
    <w:rsid w:val="008A441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CE55F5"/>
    <w:rPr>
      <w:sz w:val="20"/>
    </w:rPr>
  </w:style>
  <w:style w:type="character" w:customStyle="1" w:styleId="FootnoteTextChar">
    <w:name w:val="Footnote Text Char"/>
    <w:basedOn w:val="DefaultParagraphFont"/>
    <w:link w:val="FootnoteText"/>
    <w:rsid w:val="00CE55F5"/>
    <w:rPr>
      <w:rFonts w:cs="Arial"/>
      <w:color w:val="000000"/>
    </w:rPr>
  </w:style>
  <w:style w:type="character" w:styleId="FootnoteReference">
    <w:name w:val="footnote reference"/>
    <w:rsid w:val="00CE55F5"/>
    <w:rPr>
      <w:vertAlign w:val="superscript"/>
    </w:rPr>
  </w:style>
  <w:style w:type="character" w:styleId="Hyperlink">
    <w:name w:val="Hyperlink"/>
    <w:rsid w:val="00CE55F5"/>
    <w:rPr>
      <w:color w:val="0000FF"/>
      <w:u w:val="single"/>
    </w:rPr>
  </w:style>
  <w:style w:type="paragraph" w:styleId="BalloonText">
    <w:name w:val="Balloon Text"/>
    <w:basedOn w:val="Normal"/>
    <w:link w:val="BalloonTextChar"/>
    <w:rsid w:val="008A441A"/>
    <w:rPr>
      <w:rFonts w:ascii="Tahoma" w:hAnsi="Tahoma" w:cs="Tahoma"/>
      <w:sz w:val="16"/>
      <w:szCs w:val="16"/>
    </w:rPr>
  </w:style>
  <w:style w:type="character" w:customStyle="1" w:styleId="BalloonTextChar">
    <w:name w:val="Balloon Text Char"/>
    <w:basedOn w:val="DefaultParagraphFont"/>
    <w:link w:val="BalloonText"/>
    <w:rsid w:val="008A441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xis.tsa.dhs.gov/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2B587D5D85443A521297C5DBD5AD6" ma:contentTypeVersion="6" ma:contentTypeDescription="Create a new document." ma:contentTypeScope="" ma:versionID="1ac39543729d5f8e251f3e3bd027dc55">
  <xsd:schema xmlns:xsd="http://www.w3.org/2001/XMLSchema" xmlns:p="http://schemas.microsoft.com/office/2006/metadata/properties" targetNamespace="http://schemas.microsoft.com/office/2006/metadata/properties" ma:root="true" ma:fieldsID="52bcdf5ef3ec3a3daa4133044f76bc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EE3D6-B41A-4FB8-B56B-C34C39896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4F932C-DF81-497F-891A-12DE8DCB0BFD}">
  <ds:schemaRefs>
    <ds:schemaRef ds:uri="http://schemas.microsoft.com/sharepoint/v3/contenttype/forms"/>
  </ds:schemaRefs>
</ds:datastoreItem>
</file>

<file path=customXml/itemProps3.xml><?xml version="1.0" encoding="utf-8"?>
<ds:datastoreItem xmlns:ds="http://schemas.openxmlformats.org/officeDocument/2006/customXml" ds:itemID="{8F3B58BB-BC60-44A6-9C4D-929678FB8220}">
  <ds:schemaRefs>
    <ds:schemaRef ds:uri="http://schemas.microsoft.com/office/2006/metadata/properties"/>
  </ds:schemaRefs>
</ds:datastoreItem>
</file>

<file path=customXml/itemProps4.xml><?xml version="1.0" encoding="utf-8"?>
<ds:datastoreItem xmlns:ds="http://schemas.openxmlformats.org/officeDocument/2006/customXml" ds:itemID="{C2A16F9C-84DB-40BA-9B63-C0511A0E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29220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lastModifiedBy>Susan Perkins</cp:lastModifiedBy>
  <cp:revision>3</cp:revision>
  <dcterms:created xsi:type="dcterms:W3CDTF">2013-01-31T12:53:00Z</dcterms:created>
  <dcterms:modified xsi:type="dcterms:W3CDTF">2013-01-31T18:57:00Z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-185871057</vt:i4>
  </property>
  <property fmtid="{D5CDD505-2E9C-101B-9397-08002B2CF9AE}" pid="3" name="_NewReviewCycle">
    <vt:lpwstr/>
  </property>
  <property fmtid="{D5CDD505-2E9C-101B-9397-08002B2CF9AE}" pid="4" name="_EmailSubject">
    <vt:lpwstr>New Bridge number for 9:30 call with OMB-updated EXIS SS</vt:lpwstr>
  </property>
  <property fmtid="{D5CDD505-2E9C-101B-9397-08002B2CF9AE}" pid="5" name="_AuthorEmail">
    <vt:lpwstr>Katrina.Wawer@tsa.dhs.gov</vt:lpwstr>
  </property>
  <property fmtid="{D5CDD505-2E9C-101B-9397-08002B2CF9AE}" pid="6" name="_AuthorEmailDisplayName">
    <vt:lpwstr>Kletzly, Katrina &lt;TSA OCC&gt;</vt:lpwstr>
  </property>
  <property fmtid="{D5CDD505-2E9C-101B-9397-08002B2CF9AE}" pid="7" name="_PreviousAdHocReviewCycleID">
    <vt:i4>2098243206</vt:i4>
  </property>
  <property fmtid="{D5CDD505-2E9C-101B-9397-08002B2CF9AE}" pid="8" name="_ReviewingToolsShownOnce">
    <vt:lpwstr/>
  </property>
</Properties>
</file>