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D5" w:rsidRDefault="00AA1CD5" w:rsidP="0064035F">
      <w:pPr>
        <w:widowControl/>
        <w:ind w:left="1440" w:firstLine="720"/>
        <w:rPr>
          <w:rFonts w:ascii="Times New Roman" w:hAnsi="Times New Roman"/>
          <w:sz w:val="22"/>
          <w:szCs w:val="22"/>
        </w:rPr>
      </w:pPr>
      <w:r>
        <w:rPr>
          <w:lang w:val="en-CA"/>
        </w:rPr>
        <w:fldChar w:fldCharType="begin"/>
      </w:r>
      <w:r>
        <w:rPr>
          <w:lang w:val="en-CA"/>
        </w:rPr>
        <w:instrText xml:space="preserve"> SEQ CHAPTER \h \r 1</w:instrText>
      </w:r>
      <w:r>
        <w:rPr>
          <w:lang w:val="en-CA"/>
        </w:rPr>
        <w:fldChar w:fldCharType="end"/>
      </w:r>
      <w:r>
        <w:rPr>
          <w:rFonts w:ascii="Times New Roman" w:hAnsi="Times New Roman"/>
          <w:b/>
          <w:bCs/>
          <w:sz w:val="22"/>
          <w:szCs w:val="22"/>
        </w:rPr>
        <w:t>ICR SUPPORTING STATEMENT</w:t>
      </w:r>
    </w:p>
    <w:p w:rsidR="00AA1CD5" w:rsidRDefault="00AA1CD5">
      <w:pPr>
        <w:widowControl/>
        <w:rPr>
          <w:rFonts w:ascii="Times New Roman" w:hAnsi="Times New Roman"/>
          <w:sz w:val="22"/>
          <w:szCs w:val="22"/>
        </w:rPr>
      </w:pPr>
    </w:p>
    <w:p w:rsidR="00AA1CD5" w:rsidRDefault="00AA1CD5">
      <w:pPr>
        <w:widowControl/>
        <w:rPr>
          <w:rFonts w:ascii="Times New Roman" w:hAnsi="Times New Roman"/>
          <w:sz w:val="22"/>
          <w:szCs w:val="22"/>
        </w:rPr>
      </w:pPr>
    </w:p>
    <w:p w:rsidR="00AA1CD5" w:rsidRDefault="00AA1CD5">
      <w:pPr>
        <w:widowControl/>
        <w:rPr>
          <w:rFonts w:ascii="Times New Roman" w:hAnsi="Times New Roman"/>
          <w:sz w:val="22"/>
          <w:szCs w:val="22"/>
        </w:rPr>
      </w:pPr>
      <w:r>
        <w:rPr>
          <w:rFonts w:ascii="Times New Roman" w:hAnsi="Times New Roman"/>
          <w:b/>
          <w:bCs/>
          <w:sz w:val="22"/>
          <w:szCs w:val="22"/>
        </w:rPr>
        <w:t>1.</w:t>
      </w:r>
      <w:r>
        <w:rPr>
          <w:rFonts w:ascii="Times New Roman" w:hAnsi="Times New Roman"/>
          <w:b/>
          <w:bCs/>
          <w:sz w:val="22"/>
          <w:szCs w:val="22"/>
        </w:rPr>
        <w:tab/>
      </w:r>
      <w:r>
        <w:rPr>
          <w:rFonts w:ascii="Times New Roman" w:hAnsi="Times New Roman"/>
          <w:b/>
          <w:bCs/>
          <w:sz w:val="22"/>
          <w:szCs w:val="22"/>
          <w:u w:val="single"/>
        </w:rPr>
        <w:t>IDENTIFICATION OF THE INFORMATION COLLECTION</w:t>
      </w:r>
    </w:p>
    <w:p w:rsidR="00AA1CD5" w:rsidRDefault="00AA1CD5">
      <w:pPr>
        <w:widowControl/>
        <w:rPr>
          <w:rFonts w:ascii="Times New Roman" w:hAnsi="Times New Roman"/>
          <w:sz w:val="22"/>
          <w:szCs w:val="22"/>
        </w:rPr>
      </w:pPr>
    </w:p>
    <w:p w:rsidR="00AA1CD5" w:rsidRDefault="00AA1CD5">
      <w:pPr>
        <w:widowControl/>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1(a)</w:t>
      </w:r>
      <w:r>
        <w:rPr>
          <w:rFonts w:ascii="Times New Roman" w:hAnsi="Times New Roman"/>
          <w:b/>
          <w:bCs/>
          <w:sz w:val="22"/>
          <w:szCs w:val="22"/>
        </w:rPr>
        <w:tab/>
        <w:t>TITLE AND NUMBER OF THE INFORMATION COLLECTION</w:t>
      </w:r>
    </w:p>
    <w:p w:rsidR="00AA1CD5" w:rsidRDefault="00AA1CD5">
      <w:pPr>
        <w:widowControl/>
        <w:rPr>
          <w:rFonts w:ascii="Times New Roman" w:hAnsi="Times New Roman"/>
          <w:sz w:val="22"/>
          <w:szCs w:val="22"/>
        </w:rPr>
      </w:pPr>
    </w:p>
    <w:p w:rsidR="00AA1CD5" w:rsidRDefault="00AA1CD5">
      <w:pPr>
        <w:widowControl/>
        <w:ind w:left="720"/>
        <w:rPr>
          <w:rFonts w:ascii="Times New Roman" w:hAnsi="Times New Roman"/>
          <w:sz w:val="22"/>
          <w:szCs w:val="22"/>
        </w:rPr>
      </w:pPr>
      <w:bookmarkStart w:id="0" w:name="OLE_LINK7"/>
      <w:bookmarkStart w:id="1" w:name="OLE_LINK8"/>
      <w:r>
        <w:rPr>
          <w:rFonts w:ascii="Times New Roman" w:hAnsi="Times New Roman"/>
          <w:sz w:val="22"/>
          <w:szCs w:val="22"/>
        </w:rPr>
        <w:t xml:space="preserve">National Water Quality Inventory Reports </w:t>
      </w:r>
      <w:r w:rsidR="00703974">
        <w:rPr>
          <w:rFonts w:ascii="Times New Roman" w:hAnsi="Times New Roman"/>
          <w:sz w:val="22"/>
          <w:szCs w:val="22"/>
        </w:rPr>
        <w:t>(Renewal)</w:t>
      </w:r>
      <w:bookmarkEnd w:id="0"/>
      <w:bookmarkEnd w:id="1"/>
      <w:r>
        <w:rPr>
          <w:rFonts w:ascii="Times New Roman" w:hAnsi="Times New Roman"/>
          <w:sz w:val="22"/>
          <w:szCs w:val="22"/>
        </w:rPr>
        <w:t>.</w:t>
      </w:r>
    </w:p>
    <w:p w:rsidR="00AA1CD5" w:rsidRDefault="00AA1CD5">
      <w:pPr>
        <w:widowControl/>
        <w:rPr>
          <w:rFonts w:ascii="Times New Roman" w:hAnsi="Times New Roman"/>
          <w:sz w:val="22"/>
          <w:szCs w:val="22"/>
        </w:rPr>
      </w:pPr>
    </w:p>
    <w:p w:rsidR="00BF088C" w:rsidRPr="00BF088C" w:rsidRDefault="00BF088C" w:rsidP="00BF088C">
      <w:pPr>
        <w:widowControl/>
        <w:ind w:left="720"/>
        <w:rPr>
          <w:rFonts w:ascii="Times New Roman" w:hAnsi="Times New Roman"/>
          <w:bCs/>
          <w:sz w:val="22"/>
          <w:szCs w:val="22"/>
        </w:rPr>
      </w:pPr>
      <w:r>
        <w:rPr>
          <w:rFonts w:ascii="Times New Roman" w:hAnsi="Times New Roman"/>
          <w:bCs/>
          <w:sz w:val="22"/>
          <w:szCs w:val="22"/>
        </w:rPr>
        <w:t>EPA ICR No. 1560.10</w:t>
      </w:r>
    </w:p>
    <w:p w:rsidR="00AA1CD5" w:rsidRDefault="00AA1CD5">
      <w:pPr>
        <w:widowControl/>
        <w:rPr>
          <w:rFonts w:ascii="Times New Roman" w:hAnsi="Times New Roman"/>
          <w:sz w:val="22"/>
          <w:szCs w:val="22"/>
        </w:rPr>
      </w:pPr>
    </w:p>
    <w:p w:rsidR="00AA1CD5" w:rsidRDefault="00AA1CD5">
      <w:pPr>
        <w:widowControl/>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1(b)</w:t>
      </w:r>
      <w:r>
        <w:rPr>
          <w:rFonts w:ascii="Times New Roman" w:hAnsi="Times New Roman"/>
          <w:b/>
          <w:bCs/>
          <w:sz w:val="22"/>
          <w:szCs w:val="22"/>
        </w:rPr>
        <w:tab/>
        <w:t>SHORT CHARACTERIZATION</w:t>
      </w:r>
    </w:p>
    <w:p w:rsidR="00AA1CD5" w:rsidRDefault="00AA1CD5">
      <w:pPr>
        <w:widowControl/>
        <w:rPr>
          <w:rFonts w:ascii="Times New Roman" w:hAnsi="Times New Roman"/>
          <w:sz w:val="22"/>
          <w:szCs w:val="22"/>
        </w:rPr>
      </w:pPr>
    </w:p>
    <w:p w:rsidR="00AA1CD5" w:rsidRDefault="00AA1CD5">
      <w:pPr>
        <w:widowControl/>
        <w:ind w:left="720"/>
        <w:rPr>
          <w:rFonts w:ascii="Times New Roman" w:hAnsi="Times New Roman"/>
          <w:sz w:val="22"/>
          <w:szCs w:val="22"/>
        </w:rPr>
      </w:pPr>
      <w:r>
        <w:rPr>
          <w:rFonts w:ascii="Times New Roman" w:hAnsi="Times New Roman"/>
          <w:sz w:val="22"/>
          <w:szCs w:val="22"/>
        </w:rPr>
        <w:t xml:space="preserve">Section 303(d) of the Clean Water Act requires States to identify and rank waters which cannot meet water quality standards (WQS) following the implementation of technology-based controls.  Under Section 303(d), States are also required to establish total maximum daily loads (TMDLs) for listed waters not meeting standards as a result of pollutant discharges.  In developing the Section 303(d) lists, States are required to consider various sources of water-quality related data and information, including the Section 305(b) State water quality reports.  The </w:t>
      </w:r>
      <w:r w:rsidR="00D90E64">
        <w:rPr>
          <w:rFonts w:ascii="Times New Roman" w:hAnsi="Times New Roman"/>
          <w:sz w:val="22"/>
          <w:szCs w:val="22"/>
        </w:rPr>
        <w:t xml:space="preserve">State </w:t>
      </w:r>
      <w:r>
        <w:rPr>
          <w:rFonts w:ascii="Times New Roman" w:hAnsi="Times New Roman"/>
          <w:sz w:val="22"/>
          <w:szCs w:val="22"/>
        </w:rPr>
        <w:t xml:space="preserve">Section 305(b) reports contain information on the extent of water quality degradation, the pollutants and sources affecting water quality, and State progress in controlling water pollution. </w:t>
      </w:r>
    </w:p>
    <w:p w:rsidR="00AA1CD5" w:rsidRDefault="00AA1CD5">
      <w:pPr>
        <w:widowControl/>
        <w:rPr>
          <w:rFonts w:ascii="Times New Roman" w:hAnsi="Times New Roman"/>
          <w:sz w:val="22"/>
          <w:szCs w:val="22"/>
        </w:rPr>
      </w:pPr>
    </w:p>
    <w:p w:rsidR="00AA1CD5" w:rsidRDefault="00AA1CD5">
      <w:pPr>
        <w:widowControl/>
        <w:ind w:left="720"/>
        <w:rPr>
          <w:rFonts w:ascii="Times New Roman" w:hAnsi="Times New Roman"/>
          <w:sz w:val="22"/>
          <w:szCs w:val="22"/>
        </w:rPr>
      </w:pPr>
      <w:r>
        <w:rPr>
          <w:rFonts w:ascii="Times New Roman" w:hAnsi="Times New Roman"/>
          <w:sz w:val="22"/>
          <w:szCs w:val="22"/>
        </w:rPr>
        <w:t xml:space="preserve">EPA’s Assessment and Watershed Protection Division (AWPD) works with its Regional counterparts to review and approve or disapprove State Section 303(d) lists and TMDLs from 56 respondents (the 50 States, the </w:t>
      </w:r>
      <w:smartTag w:uri="urn:schemas-microsoft-com:office:smarttags" w:element="place">
        <w:smartTag w:uri="urn:schemas-microsoft-com:office:smarttags" w:element="State">
          <w:r>
            <w:rPr>
              <w:rFonts w:ascii="Times New Roman" w:hAnsi="Times New Roman"/>
              <w:sz w:val="22"/>
              <w:szCs w:val="22"/>
            </w:rPr>
            <w:t>District of Columbia</w:t>
          </w:r>
        </w:smartTag>
      </w:smartTag>
      <w:r>
        <w:rPr>
          <w:rFonts w:ascii="Times New Roman" w:hAnsi="Times New Roman"/>
          <w:sz w:val="22"/>
          <w:szCs w:val="22"/>
        </w:rPr>
        <w:t xml:space="preserve">, and the five Territories).  Section 303(d) specifically requires States to develop lists and TMDLs “from time to time” and EPA to review and approve or disapprove the lists and the TMDLs.  EPA also collects State 305(b) reports from 59 respondents (the 50 States, the </w:t>
      </w:r>
      <w:smartTag w:uri="urn:schemas-microsoft-com:office:smarttags" w:element="place">
        <w:smartTag w:uri="urn:schemas-microsoft-com:office:smarttags" w:element="State">
          <w:r>
            <w:rPr>
              <w:rFonts w:ascii="Times New Roman" w:hAnsi="Times New Roman"/>
              <w:sz w:val="22"/>
              <w:szCs w:val="22"/>
            </w:rPr>
            <w:t>District of Columbia</w:t>
          </w:r>
        </w:smartTag>
      </w:smartTag>
      <w:r>
        <w:rPr>
          <w:rFonts w:ascii="Times New Roman" w:hAnsi="Times New Roman"/>
          <w:sz w:val="22"/>
          <w:szCs w:val="22"/>
        </w:rPr>
        <w:t>, five Territories, and 3 River Basin commissions).</w:t>
      </w:r>
    </w:p>
    <w:p w:rsidR="00AA1CD5" w:rsidRDefault="00AA1CD5">
      <w:pPr>
        <w:widowControl/>
        <w:rPr>
          <w:rFonts w:ascii="Times New Roman" w:hAnsi="Times New Roman"/>
          <w:sz w:val="22"/>
          <w:szCs w:val="22"/>
        </w:rPr>
      </w:pPr>
    </w:p>
    <w:p w:rsidR="00AA1CD5" w:rsidRDefault="00AA1CD5">
      <w:pPr>
        <w:widowControl/>
        <w:ind w:left="720"/>
        <w:rPr>
          <w:rFonts w:ascii="Times New Roman" w:hAnsi="Times New Roman"/>
          <w:sz w:val="22"/>
          <w:szCs w:val="22"/>
        </w:rPr>
      </w:pPr>
      <w:r>
        <w:rPr>
          <w:rFonts w:ascii="Times New Roman" w:hAnsi="Times New Roman"/>
          <w:sz w:val="22"/>
          <w:szCs w:val="22"/>
        </w:rPr>
        <w:t>The Office of Management and Budget (OMB) previously approved information collection authority for the submission of State 305(b) reports under 40 CFR 130.10(a) of the EPA Water Quality Management Standards under OMB Num</w:t>
      </w:r>
      <w:r w:rsidR="00D90E64">
        <w:rPr>
          <w:rFonts w:ascii="Times New Roman" w:hAnsi="Times New Roman"/>
          <w:sz w:val="22"/>
          <w:szCs w:val="22"/>
        </w:rPr>
        <w:t xml:space="preserve">ber 2040-0071 (ICR Number 1560.1). </w:t>
      </w:r>
      <w:r>
        <w:rPr>
          <w:rFonts w:ascii="Times New Roman" w:hAnsi="Times New Roman"/>
          <w:sz w:val="22"/>
          <w:szCs w:val="22"/>
        </w:rPr>
        <w:t>In 1992, OMB approved an addendum to ICR 1560.1 clarifying the burden associated with preparing State 303(d) lists of waters for inclusion in the 305(b) reports.  OMB reapproved the ICR for the period 1993 -1995, 1996 - 1998, 1999 - 2003</w:t>
      </w:r>
      <w:r w:rsidR="00D90E64">
        <w:rPr>
          <w:rFonts w:ascii="Times New Roman" w:hAnsi="Times New Roman"/>
          <w:sz w:val="22"/>
          <w:szCs w:val="22"/>
        </w:rPr>
        <w:t>, 2003-2007</w:t>
      </w:r>
      <w:r w:rsidR="00860990">
        <w:rPr>
          <w:rFonts w:ascii="Times New Roman" w:hAnsi="Times New Roman"/>
          <w:sz w:val="22"/>
          <w:szCs w:val="22"/>
        </w:rPr>
        <w:t xml:space="preserve">, </w:t>
      </w:r>
      <w:r w:rsidR="00F41ED2">
        <w:rPr>
          <w:rFonts w:ascii="Times New Roman" w:hAnsi="Times New Roman"/>
          <w:sz w:val="22"/>
          <w:szCs w:val="22"/>
        </w:rPr>
        <w:t>and 2007-2011.</w:t>
      </w:r>
    </w:p>
    <w:p w:rsidR="00AA1CD5" w:rsidRDefault="00AA1CD5">
      <w:pPr>
        <w:widowControl/>
        <w:rPr>
          <w:rFonts w:ascii="Times New Roman" w:hAnsi="Times New Roman"/>
          <w:sz w:val="22"/>
          <w:szCs w:val="22"/>
        </w:rPr>
      </w:pPr>
    </w:p>
    <w:p w:rsidR="00AA1CD5" w:rsidRDefault="00AA1CD5">
      <w:pPr>
        <w:widowControl/>
        <w:rPr>
          <w:sz w:val="22"/>
          <w:szCs w:val="22"/>
        </w:rPr>
        <w:sectPr w:rsidR="00AA1CD5">
          <w:headerReference w:type="default" r:id="rId8"/>
          <w:type w:val="continuous"/>
          <w:pgSz w:w="12240" w:h="15840"/>
          <w:pgMar w:top="1987" w:right="1440" w:bottom="844" w:left="1440" w:header="1728" w:footer="1440" w:gutter="0"/>
          <w:cols w:space="720"/>
          <w:noEndnote/>
        </w:sectPr>
      </w:pPr>
    </w:p>
    <w:p w:rsidR="00D90E64" w:rsidRPr="003D6447" w:rsidRDefault="00D90E64" w:rsidP="00860990">
      <w:pPr>
        <w:widowControl/>
        <w:ind w:left="720"/>
        <w:rPr>
          <w:rFonts w:ascii="Times New Roman" w:hAnsi="Times New Roman"/>
          <w:color w:val="FF0000"/>
          <w:sz w:val="22"/>
          <w:szCs w:val="22"/>
        </w:rPr>
      </w:pPr>
      <w:r>
        <w:rPr>
          <w:rFonts w:ascii="Times New Roman" w:hAnsi="Times New Roman"/>
          <w:sz w:val="22"/>
          <w:szCs w:val="22"/>
        </w:rPr>
        <w:lastRenderedPageBreak/>
        <w:t xml:space="preserve">The agency </w:t>
      </w:r>
      <w:r w:rsidR="00EF1F21">
        <w:rPr>
          <w:rFonts w:ascii="Times New Roman" w:hAnsi="Times New Roman"/>
          <w:sz w:val="22"/>
          <w:szCs w:val="22"/>
        </w:rPr>
        <w:t xml:space="preserve">encourages integration of </w:t>
      </w:r>
      <w:r w:rsidR="00AA1CD5">
        <w:rPr>
          <w:rFonts w:ascii="Times New Roman" w:hAnsi="Times New Roman"/>
          <w:sz w:val="22"/>
          <w:szCs w:val="22"/>
        </w:rPr>
        <w:t>reporting for 305(b) and 303(d) into one report</w:t>
      </w:r>
      <w:r w:rsidR="00AA1CD5" w:rsidRPr="003D6447">
        <w:rPr>
          <w:rFonts w:ascii="Times New Roman" w:hAnsi="Times New Roman"/>
          <w:color w:val="FF0000"/>
          <w:sz w:val="22"/>
          <w:szCs w:val="22"/>
        </w:rPr>
        <w:t xml:space="preserve">.  </w:t>
      </w:r>
      <w:r w:rsidRPr="003D6447">
        <w:rPr>
          <w:rFonts w:ascii="Times New Roman" w:hAnsi="Times New Roman"/>
          <w:sz w:val="22"/>
          <w:szCs w:val="22"/>
        </w:rPr>
        <w:t>EPA has published guidance</w:t>
      </w:r>
      <w:r w:rsidR="00AA1CD5" w:rsidRPr="003D6447">
        <w:rPr>
          <w:rFonts w:ascii="Times New Roman" w:hAnsi="Times New Roman"/>
          <w:sz w:val="22"/>
          <w:szCs w:val="22"/>
        </w:rPr>
        <w:t xml:space="preserve"> in 2001 for the 2002 reports</w:t>
      </w:r>
      <w:r w:rsidRPr="003D6447">
        <w:rPr>
          <w:rFonts w:ascii="Times New Roman" w:hAnsi="Times New Roman"/>
          <w:sz w:val="22"/>
          <w:szCs w:val="22"/>
        </w:rPr>
        <w:t>; r</w:t>
      </w:r>
      <w:r w:rsidR="00AA1CD5" w:rsidRPr="003D6447">
        <w:rPr>
          <w:rFonts w:ascii="Times New Roman" w:hAnsi="Times New Roman"/>
          <w:sz w:val="22"/>
          <w:szCs w:val="22"/>
        </w:rPr>
        <w:t xml:space="preserve">evised </w:t>
      </w:r>
      <w:r w:rsidRPr="003D6447">
        <w:rPr>
          <w:rFonts w:ascii="Times New Roman" w:hAnsi="Times New Roman"/>
          <w:sz w:val="22"/>
          <w:szCs w:val="22"/>
        </w:rPr>
        <w:t xml:space="preserve">the guidance </w:t>
      </w:r>
      <w:r w:rsidR="00AA1CD5" w:rsidRPr="003D6447">
        <w:rPr>
          <w:rFonts w:ascii="Times New Roman" w:hAnsi="Times New Roman"/>
          <w:sz w:val="22"/>
          <w:szCs w:val="22"/>
        </w:rPr>
        <w:t xml:space="preserve">in 2003 for the 2004 reports (“Guidance for 2004 Assessment, Listing and Reporting Requirements </w:t>
      </w:r>
      <w:r w:rsidR="00AA1CD5" w:rsidRPr="00CD07C2">
        <w:rPr>
          <w:rFonts w:ascii="Times New Roman" w:hAnsi="Times New Roman"/>
          <w:sz w:val="22"/>
          <w:szCs w:val="22"/>
        </w:rPr>
        <w:t>Pursuant to Sections 303(d) and 305(b) of the Clean Water Act,” July 21, 2003)</w:t>
      </w:r>
      <w:r w:rsidRPr="00CD07C2">
        <w:rPr>
          <w:rFonts w:ascii="Times New Roman" w:hAnsi="Times New Roman"/>
          <w:sz w:val="22"/>
          <w:szCs w:val="22"/>
        </w:rPr>
        <w:t>; and issued revised guidance</w:t>
      </w:r>
      <w:r w:rsidR="0016382F" w:rsidRPr="00CD07C2">
        <w:rPr>
          <w:rFonts w:ascii="Times New Roman" w:hAnsi="Times New Roman"/>
          <w:sz w:val="22"/>
          <w:szCs w:val="22"/>
        </w:rPr>
        <w:t xml:space="preserve"> for the 2006 reports on July 29, 2005</w:t>
      </w:r>
      <w:r w:rsidRPr="00CD07C2">
        <w:rPr>
          <w:rFonts w:ascii="Times New Roman" w:hAnsi="Times New Roman"/>
          <w:sz w:val="22"/>
          <w:szCs w:val="22"/>
        </w:rPr>
        <w:t xml:space="preserve"> (“Guidance for 2006 Assessment, Listing, and Reporting Requirements Pursuant to Sections 305(b), 303(d), and 314 of the Clean Water Act”)</w:t>
      </w:r>
      <w:r w:rsidR="00860990">
        <w:rPr>
          <w:rFonts w:ascii="Times New Roman" w:hAnsi="Times New Roman"/>
          <w:sz w:val="22"/>
          <w:szCs w:val="22"/>
        </w:rPr>
        <w:t>.</w:t>
      </w:r>
      <w:r w:rsidRPr="00CD07C2">
        <w:rPr>
          <w:rFonts w:ascii="Times New Roman" w:hAnsi="Times New Roman"/>
          <w:sz w:val="22"/>
          <w:szCs w:val="22"/>
        </w:rPr>
        <w:t xml:space="preserve">  EPA also issued updated guidance for the 2008 reports (“Information concerning 2008 Sections 305(b), 303(d), and 314 Integrated </w:t>
      </w:r>
      <w:r w:rsidR="00CD07C2">
        <w:rPr>
          <w:rFonts w:ascii="Times New Roman" w:hAnsi="Times New Roman"/>
          <w:sz w:val="22"/>
          <w:szCs w:val="22"/>
        </w:rPr>
        <w:t>Reporting and Listing Decisions</w:t>
      </w:r>
      <w:r w:rsidRPr="00CD07C2">
        <w:rPr>
          <w:rFonts w:ascii="Times New Roman" w:hAnsi="Times New Roman"/>
          <w:sz w:val="22"/>
          <w:szCs w:val="22"/>
        </w:rPr>
        <w:t>”)</w:t>
      </w:r>
      <w:r w:rsidR="0016382F" w:rsidRPr="00CD07C2">
        <w:rPr>
          <w:rFonts w:ascii="Times New Roman" w:hAnsi="Times New Roman"/>
          <w:sz w:val="22"/>
          <w:szCs w:val="22"/>
        </w:rPr>
        <w:t xml:space="preserve"> on October 12, 2006</w:t>
      </w:r>
      <w:r w:rsidR="0064035F">
        <w:rPr>
          <w:rFonts w:ascii="Times New Roman" w:hAnsi="Times New Roman"/>
          <w:sz w:val="22"/>
          <w:szCs w:val="22"/>
        </w:rPr>
        <w:t xml:space="preserve"> memorandum for the 2010 reports (“Information Concerning 2010 Clean Water Act Sections 303(d), 305(b), and </w:t>
      </w:r>
      <w:r w:rsidR="0064035F" w:rsidRPr="00CD07C2">
        <w:rPr>
          <w:rFonts w:ascii="Times New Roman" w:hAnsi="Times New Roman"/>
          <w:sz w:val="22"/>
          <w:szCs w:val="22"/>
        </w:rPr>
        <w:t xml:space="preserve">314 Integrated </w:t>
      </w:r>
      <w:r w:rsidR="0064035F">
        <w:rPr>
          <w:rFonts w:ascii="Times New Roman" w:hAnsi="Times New Roman"/>
          <w:sz w:val="22"/>
          <w:szCs w:val="22"/>
        </w:rPr>
        <w:t xml:space="preserve">Reporting and Listing Decisions”) on May 5, 2009, and memorandum for the 2012 reports (“Information Concerning 2012 Clean Water Act Sections 303(d), 305(b), and </w:t>
      </w:r>
      <w:r w:rsidR="0064035F" w:rsidRPr="00CD07C2">
        <w:rPr>
          <w:rFonts w:ascii="Times New Roman" w:hAnsi="Times New Roman"/>
          <w:sz w:val="22"/>
          <w:szCs w:val="22"/>
        </w:rPr>
        <w:t xml:space="preserve">314 Integrated </w:t>
      </w:r>
      <w:r w:rsidR="0064035F">
        <w:rPr>
          <w:rFonts w:ascii="Times New Roman" w:hAnsi="Times New Roman"/>
          <w:sz w:val="22"/>
          <w:szCs w:val="22"/>
        </w:rPr>
        <w:t>Reporting and Listing Decisions”) on March 21, 2011</w:t>
      </w:r>
      <w:r w:rsidR="00860990">
        <w:rPr>
          <w:rFonts w:ascii="Times New Roman" w:hAnsi="Times New Roman"/>
          <w:sz w:val="22"/>
          <w:szCs w:val="22"/>
        </w:rPr>
        <w:t>.</w:t>
      </w:r>
    </w:p>
    <w:p w:rsidR="00D90E64" w:rsidRPr="003D6447" w:rsidRDefault="00D90E64">
      <w:pPr>
        <w:widowControl/>
        <w:ind w:left="720"/>
        <w:rPr>
          <w:rFonts w:ascii="Times New Roman" w:hAnsi="Times New Roman"/>
          <w:color w:val="FF0000"/>
          <w:sz w:val="22"/>
          <w:szCs w:val="22"/>
        </w:rPr>
      </w:pPr>
    </w:p>
    <w:p w:rsidR="00AA1CD5" w:rsidRDefault="0016382F">
      <w:pPr>
        <w:widowControl/>
        <w:ind w:left="720"/>
        <w:rPr>
          <w:rFonts w:ascii="Times New Roman" w:hAnsi="Times New Roman"/>
          <w:sz w:val="22"/>
          <w:szCs w:val="22"/>
        </w:rPr>
      </w:pPr>
      <w:r>
        <w:rPr>
          <w:rFonts w:ascii="Times New Roman" w:hAnsi="Times New Roman"/>
          <w:sz w:val="22"/>
          <w:szCs w:val="22"/>
        </w:rPr>
        <w:t>Since 2002, the A</w:t>
      </w:r>
      <w:r w:rsidR="00AA1CD5">
        <w:rPr>
          <w:rFonts w:ascii="Times New Roman" w:hAnsi="Times New Roman"/>
          <w:sz w:val="22"/>
          <w:szCs w:val="22"/>
        </w:rPr>
        <w:t xml:space="preserve">gency </w:t>
      </w:r>
      <w:r>
        <w:rPr>
          <w:rFonts w:ascii="Times New Roman" w:hAnsi="Times New Roman"/>
          <w:sz w:val="22"/>
          <w:szCs w:val="22"/>
        </w:rPr>
        <w:t>has encouraged</w:t>
      </w:r>
      <w:r w:rsidR="00AA1CD5">
        <w:rPr>
          <w:rFonts w:ascii="Times New Roman" w:hAnsi="Times New Roman"/>
          <w:sz w:val="22"/>
          <w:szCs w:val="22"/>
        </w:rPr>
        <w:t xml:space="preserve"> </w:t>
      </w:r>
      <w:r>
        <w:rPr>
          <w:rFonts w:ascii="Times New Roman" w:hAnsi="Times New Roman"/>
          <w:sz w:val="22"/>
          <w:szCs w:val="22"/>
        </w:rPr>
        <w:t xml:space="preserve">States to combine the information required by Section 303(d) and 305(b) in an “Integrated Report” and to array the information among five specific categories of waters.  However, although </w:t>
      </w:r>
      <w:r w:rsidR="00AA1CD5">
        <w:rPr>
          <w:rFonts w:ascii="Times New Roman" w:hAnsi="Times New Roman"/>
          <w:sz w:val="22"/>
          <w:szCs w:val="22"/>
        </w:rPr>
        <w:t>the Agency recommends integration, throughout the bulk of th</w:t>
      </w:r>
      <w:r>
        <w:rPr>
          <w:rFonts w:ascii="Times New Roman" w:hAnsi="Times New Roman"/>
          <w:sz w:val="22"/>
          <w:szCs w:val="22"/>
        </w:rPr>
        <w:t xml:space="preserve">is supporting statement </w:t>
      </w:r>
      <w:r w:rsidR="00AA1CD5">
        <w:rPr>
          <w:rFonts w:ascii="Times New Roman" w:hAnsi="Times New Roman"/>
          <w:sz w:val="22"/>
          <w:szCs w:val="22"/>
        </w:rPr>
        <w:t>the 305(b) and 303(d) reports are discussed separately to provide consistency with earlier information requests</w:t>
      </w:r>
      <w:r>
        <w:rPr>
          <w:rFonts w:ascii="Times New Roman" w:hAnsi="Times New Roman"/>
          <w:sz w:val="22"/>
          <w:szCs w:val="22"/>
        </w:rPr>
        <w:t>.</w:t>
      </w:r>
    </w:p>
    <w:p w:rsidR="00AA1CD5" w:rsidRDefault="00AA1CD5">
      <w:pPr>
        <w:widowControl/>
        <w:rPr>
          <w:rFonts w:ascii="Times New Roman" w:hAnsi="Times New Roman"/>
          <w:sz w:val="22"/>
          <w:szCs w:val="22"/>
        </w:rPr>
      </w:pPr>
    </w:p>
    <w:p w:rsidR="00D90E64" w:rsidRDefault="00AA1CD5">
      <w:pPr>
        <w:widowControl/>
        <w:ind w:left="720"/>
        <w:rPr>
          <w:rFonts w:ascii="Times New Roman" w:hAnsi="Times New Roman"/>
          <w:sz w:val="22"/>
          <w:szCs w:val="22"/>
        </w:rPr>
      </w:pPr>
      <w:r>
        <w:rPr>
          <w:rFonts w:ascii="Times New Roman" w:hAnsi="Times New Roman"/>
          <w:sz w:val="22"/>
          <w:szCs w:val="22"/>
        </w:rPr>
        <w:t xml:space="preserve">This Supporting Statement requests </w:t>
      </w:r>
      <w:proofErr w:type="spellStart"/>
      <w:r>
        <w:rPr>
          <w:rFonts w:ascii="Times New Roman" w:hAnsi="Times New Roman"/>
          <w:sz w:val="22"/>
          <w:szCs w:val="22"/>
        </w:rPr>
        <w:t>reapproval</w:t>
      </w:r>
      <w:proofErr w:type="spellEnd"/>
      <w:r>
        <w:rPr>
          <w:rFonts w:ascii="Times New Roman" w:hAnsi="Times New Roman"/>
          <w:sz w:val="22"/>
          <w:szCs w:val="22"/>
        </w:rPr>
        <w:t xml:space="preserve"> of current, ongoing activities related to 305(b) and 303(d) reporting and TMDL development for the period of</w:t>
      </w:r>
      <w:r w:rsidR="00D90E64">
        <w:rPr>
          <w:rFonts w:ascii="Times New Roman" w:hAnsi="Times New Roman"/>
          <w:sz w:val="22"/>
          <w:szCs w:val="22"/>
        </w:rPr>
        <w:t xml:space="preserve"> December 1, 20</w:t>
      </w:r>
      <w:r w:rsidR="00F41ED2">
        <w:rPr>
          <w:rFonts w:ascii="Times New Roman" w:hAnsi="Times New Roman"/>
          <w:sz w:val="22"/>
          <w:szCs w:val="22"/>
        </w:rPr>
        <w:t>11</w:t>
      </w:r>
      <w:r>
        <w:rPr>
          <w:rFonts w:ascii="Times New Roman" w:hAnsi="Times New Roman"/>
          <w:sz w:val="22"/>
          <w:szCs w:val="22"/>
        </w:rPr>
        <w:t xml:space="preserve"> through</w:t>
      </w:r>
    </w:p>
    <w:p w:rsidR="00AA1CD5" w:rsidRDefault="00D90E64">
      <w:pPr>
        <w:widowControl/>
        <w:ind w:left="720"/>
        <w:rPr>
          <w:rFonts w:ascii="Times New Roman" w:hAnsi="Times New Roman"/>
          <w:sz w:val="22"/>
          <w:szCs w:val="22"/>
        </w:rPr>
      </w:pPr>
      <w:r>
        <w:rPr>
          <w:rFonts w:ascii="Times New Roman" w:hAnsi="Times New Roman"/>
          <w:sz w:val="22"/>
          <w:szCs w:val="22"/>
        </w:rPr>
        <w:t>November 30, 201</w:t>
      </w:r>
      <w:r w:rsidR="00F41ED2">
        <w:rPr>
          <w:rFonts w:ascii="Times New Roman" w:hAnsi="Times New Roman"/>
          <w:sz w:val="22"/>
          <w:szCs w:val="22"/>
        </w:rPr>
        <w:t>4</w:t>
      </w:r>
      <w:r w:rsidR="00AA1CD5">
        <w:rPr>
          <w:rFonts w:ascii="Times New Roman" w:hAnsi="Times New Roman"/>
          <w:sz w:val="22"/>
          <w:szCs w:val="22"/>
        </w:rPr>
        <w:t xml:space="preserve">. </w:t>
      </w:r>
    </w:p>
    <w:p w:rsidR="00AA1CD5" w:rsidRDefault="00AA1CD5">
      <w:pPr>
        <w:widowControl/>
        <w:rPr>
          <w:rFonts w:ascii="Times New Roman" w:hAnsi="Times New Roman"/>
          <w:sz w:val="22"/>
          <w:szCs w:val="22"/>
        </w:rPr>
      </w:pPr>
    </w:p>
    <w:p w:rsidR="00AA1CD5" w:rsidRDefault="00AA1CD5">
      <w:pPr>
        <w:widowControl/>
        <w:ind w:left="720"/>
        <w:rPr>
          <w:rFonts w:ascii="Times New Roman" w:hAnsi="Times New Roman"/>
          <w:sz w:val="22"/>
          <w:szCs w:val="22"/>
        </w:rPr>
      </w:pPr>
      <w:r>
        <w:rPr>
          <w:rFonts w:ascii="Times New Roman" w:hAnsi="Times New Roman"/>
          <w:sz w:val="22"/>
          <w:szCs w:val="22"/>
        </w:rPr>
        <w:t>During the period covered by this ICR renewal, ongoing current activities include:</w:t>
      </w:r>
    </w:p>
    <w:p w:rsidR="00AA1CD5" w:rsidRDefault="00AA1CD5">
      <w:pPr>
        <w:widowControl/>
        <w:rPr>
          <w:rFonts w:ascii="Times New Roman" w:hAnsi="Times New Roman"/>
          <w:sz w:val="22"/>
          <w:szCs w:val="22"/>
        </w:rPr>
      </w:pPr>
    </w:p>
    <w:p w:rsidR="00AA1CD5" w:rsidRDefault="00AA1CD5">
      <w:pPr>
        <w:widowControl/>
        <w:rPr>
          <w:sz w:val="22"/>
          <w:szCs w:val="22"/>
        </w:rPr>
        <w:sectPr w:rsidR="00AA1CD5">
          <w:headerReference w:type="default" r:id="rId9"/>
          <w:footerReference w:type="default" r:id="rId10"/>
          <w:type w:val="continuous"/>
          <w:pgSz w:w="12240" w:h="15840"/>
          <w:pgMar w:top="1987" w:right="1440" w:bottom="844" w:left="1440" w:header="1728" w:footer="1440" w:gutter="0"/>
          <w:cols w:space="720"/>
          <w:noEndnote/>
        </w:sectPr>
      </w:pPr>
    </w:p>
    <w:p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Pr>
          <w:rFonts w:ascii="Times New Roman" w:hAnsi="Times New Roman"/>
          <w:sz w:val="22"/>
          <w:szCs w:val="22"/>
        </w:rPr>
        <w:lastRenderedPageBreak/>
        <w:t>resp</w:t>
      </w:r>
      <w:r w:rsidR="00D90E64">
        <w:rPr>
          <w:rFonts w:ascii="Times New Roman" w:hAnsi="Times New Roman"/>
          <w:sz w:val="22"/>
          <w:szCs w:val="22"/>
        </w:rPr>
        <w:t xml:space="preserve">ondents will complete their </w:t>
      </w:r>
      <w:r w:rsidR="00D90E64" w:rsidRPr="00CD07C2">
        <w:rPr>
          <w:rFonts w:ascii="Times New Roman" w:hAnsi="Times New Roman"/>
          <w:sz w:val="22"/>
          <w:szCs w:val="22"/>
        </w:rPr>
        <w:t>20</w:t>
      </w:r>
      <w:r w:rsidR="00F41ED2">
        <w:rPr>
          <w:rFonts w:ascii="Times New Roman" w:hAnsi="Times New Roman"/>
          <w:sz w:val="22"/>
          <w:szCs w:val="22"/>
        </w:rPr>
        <w:t>12</w:t>
      </w:r>
      <w:r w:rsidR="00D90E64" w:rsidRPr="00CD07C2">
        <w:rPr>
          <w:rFonts w:ascii="Times New Roman" w:hAnsi="Times New Roman"/>
          <w:sz w:val="22"/>
          <w:szCs w:val="22"/>
        </w:rPr>
        <w:t xml:space="preserve"> 305(b) reports and 20</w:t>
      </w:r>
      <w:r w:rsidR="00F41ED2">
        <w:rPr>
          <w:rFonts w:ascii="Times New Roman" w:hAnsi="Times New Roman"/>
          <w:sz w:val="22"/>
          <w:szCs w:val="22"/>
        </w:rPr>
        <w:t>12</w:t>
      </w:r>
      <w:r w:rsidRPr="00CD07C2">
        <w:rPr>
          <w:rFonts w:ascii="Times New Roman" w:hAnsi="Times New Roman"/>
          <w:sz w:val="22"/>
          <w:szCs w:val="22"/>
        </w:rPr>
        <w:t xml:space="preserve"> 303(d) lists; </w:t>
      </w:r>
    </w:p>
    <w:p w:rsidR="00AA1CD5" w:rsidRPr="00CD07C2" w:rsidRDefault="00AA1CD5" w:rsidP="00AA1CD5">
      <w:pPr>
        <w:widowControl/>
        <w:numPr>
          <w:ilvl w:val="12"/>
          <w:numId w:val="0"/>
        </w:numPr>
        <w:rPr>
          <w:rFonts w:ascii="Times New Roman" w:hAnsi="Times New Roman"/>
          <w:sz w:val="22"/>
          <w:szCs w:val="22"/>
        </w:rPr>
      </w:pPr>
    </w:p>
    <w:p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respondents will complete</w:t>
      </w:r>
      <w:r w:rsidR="00D90E64" w:rsidRPr="00CD07C2">
        <w:rPr>
          <w:rFonts w:ascii="Times New Roman" w:hAnsi="Times New Roman"/>
          <w:sz w:val="22"/>
          <w:szCs w:val="22"/>
        </w:rPr>
        <w:t xml:space="preserve"> their 201</w:t>
      </w:r>
      <w:r w:rsidR="00F41ED2">
        <w:rPr>
          <w:rFonts w:ascii="Times New Roman" w:hAnsi="Times New Roman"/>
          <w:sz w:val="22"/>
          <w:szCs w:val="22"/>
        </w:rPr>
        <w:t>4</w:t>
      </w:r>
      <w:r w:rsidR="00D90E64" w:rsidRPr="00CD07C2">
        <w:rPr>
          <w:rFonts w:ascii="Times New Roman" w:hAnsi="Times New Roman"/>
          <w:sz w:val="22"/>
          <w:szCs w:val="22"/>
        </w:rPr>
        <w:t xml:space="preserve"> 305(b) reports and 201</w:t>
      </w:r>
      <w:r w:rsidR="00F41ED2">
        <w:rPr>
          <w:rFonts w:ascii="Times New Roman" w:hAnsi="Times New Roman"/>
          <w:sz w:val="22"/>
          <w:szCs w:val="22"/>
        </w:rPr>
        <w:t>4</w:t>
      </w:r>
      <w:r w:rsidRPr="00CD07C2">
        <w:rPr>
          <w:rFonts w:ascii="Times New Roman" w:hAnsi="Times New Roman"/>
          <w:sz w:val="22"/>
          <w:szCs w:val="22"/>
        </w:rPr>
        <w:t xml:space="preserve"> 303(d) lists;</w:t>
      </w:r>
    </w:p>
    <w:p w:rsidR="00AA1CD5" w:rsidRPr="00CD07C2" w:rsidRDefault="00AA1CD5" w:rsidP="00AA1CD5">
      <w:pPr>
        <w:widowControl/>
        <w:numPr>
          <w:ilvl w:val="12"/>
          <w:numId w:val="0"/>
        </w:numPr>
        <w:rPr>
          <w:rFonts w:ascii="Times New Roman" w:hAnsi="Times New Roman"/>
          <w:sz w:val="22"/>
          <w:szCs w:val="22"/>
        </w:rPr>
      </w:pPr>
    </w:p>
    <w:p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respondents will transmit annual electronic updates o</w:t>
      </w:r>
      <w:r w:rsidR="00D90E64" w:rsidRPr="00CD07C2">
        <w:rPr>
          <w:rFonts w:ascii="Times New Roman" w:hAnsi="Times New Roman"/>
          <w:sz w:val="22"/>
          <w:szCs w:val="22"/>
        </w:rPr>
        <w:t>f their 305(b) databases in 20</w:t>
      </w:r>
      <w:r w:rsidR="00F41ED2">
        <w:rPr>
          <w:rFonts w:ascii="Times New Roman" w:hAnsi="Times New Roman"/>
          <w:sz w:val="22"/>
          <w:szCs w:val="22"/>
        </w:rPr>
        <w:t>12</w:t>
      </w:r>
      <w:r w:rsidR="00D90E64" w:rsidRPr="00CD07C2">
        <w:rPr>
          <w:rFonts w:ascii="Times New Roman" w:hAnsi="Times New Roman"/>
          <w:sz w:val="22"/>
          <w:szCs w:val="22"/>
        </w:rPr>
        <w:t xml:space="preserve"> through 201</w:t>
      </w:r>
      <w:r w:rsidR="00F41ED2">
        <w:rPr>
          <w:rFonts w:ascii="Times New Roman" w:hAnsi="Times New Roman"/>
          <w:sz w:val="22"/>
          <w:szCs w:val="22"/>
        </w:rPr>
        <w:t>4</w:t>
      </w:r>
      <w:r w:rsidRPr="00CD07C2">
        <w:rPr>
          <w:rFonts w:ascii="Times New Roman" w:hAnsi="Times New Roman"/>
          <w:sz w:val="22"/>
          <w:szCs w:val="22"/>
        </w:rPr>
        <w:t xml:space="preserve">; and </w:t>
      </w:r>
    </w:p>
    <w:p w:rsidR="00AA1CD5" w:rsidRPr="00CD07C2" w:rsidRDefault="00AA1CD5" w:rsidP="00AA1CD5">
      <w:pPr>
        <w:widowControl/>
        <w:numPr>
          <w:ilvl w:val="12"/>
          <w:numId w:val="0"/>
        </w:numPr>
        <w:ind w:left="1440"/>
        <w:rPr>
          <w:rFonts w:ascii="Times New Roman" w:hAnsi="Times New Roman"/>
          <w:sz w:val="22"/>
          <w:szCs w:val="22"/>
        </w:rPr>
      </w:pPr>
    </w:p>
    <w:p w:rsidR="00AA1CD5" w:rsidRPr="00CD07C2"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respondents will continue to develop TMDLs according t</w:t>
      </w:r>
      <w:r w:rsidR="003D6447" w:rsidRPr="00CD07C2">
        <w:rPr>
          <w:rFonts w:ascii="Times New Roman" w:hAnsi="Times New Roman"/>
          <w:sz w:val="22"/>
          <w:szCs w:val="22"/>
        </w:rPr>
        <w:t>o their established schedules;</w:t>
      </w:r>
    </w:p>
    <w:p w:rsidR="003D6447" w:rsidRPr="00CD07C2" w:rsidRDefault="003D6447" w:rsidP="003D6447">
      <w:pPr>
        <w:pStyle w:val="Level1"/>
        <w:widowControl/>
        <w:tabs>
          <w:tab w:val="left" w:pos="720"/>
          <w:tab w:val="left" w:pos="1440"/>
        </w:tabs>
        <w:ind w:left="0"/>
        <w:jc w:val="left"/>
        <w:rPr>
          <w:rFonts w:ascii="Times New Roman" w:hAnsi="Times New Roman"/>
          <w:sz w:val="22"/>
          <w:szCs w:val="22"/>
        </w:rPr>
      </w:pPr>
    </w:p>
    <w:p w:rsidR="003D6447" w:rsidRPr="00CD07C2" w:rsidRDefault="003D6447"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sidRPr="00CD07C2">
        <w:rPr>
          <w:rFonts w:ascii="Times New Roman" w:hAnsi="Times New Roman"/>
          <w:sz w:val="22"/>
          <w:szCs w:val="22"/>
        </w:rPr>
        <w:t>EPA will update electronic state data on the Web;</w:t>
      </w:r>
    </w:p>
    <w:p w:rsidR="00AA1CD5" w:rsidRDefault="00AA1CD5" w:rsidP="00AA1CD5">
      <w:pPr>
        <w:widowControl/>
        <w:numPr>
          <w:ilvl w:val="12"/>
          <w:numId w:val="0"/>
        </w:numPr>
        <w:rPr>
          <w:rFonts w:ascii="Times New Roman" w:hAnsi="Times New Roman"/>
          <w:sz w:val="22"/>
          <w:szCs w:val="22"/>
        </w:rPr>
      </w:pPr>
    </w:p>
    <w:p w:rsidR="00AA1CD5" w:rsidRPr="00D90E64" w:rsidRDefault="003D6447" w:rsidP="00D90E64">
      <w:pPr>
        <w:pStyle w:val="Level1"/>
        <w:widowControl/>
        <w:numPr>
          <w:ilvl w:val="0"/>
          <w:numId w:val="1"/>
        </w:numPr>
        <w:tabs>
          <w:tab w:val="left" w:pos="720"/>
          <w:tab w:val="left" w:pos="1440"/>
        </w:tabs>
        <w:ind w:left="2160" w:hanging="720"/>
        <w:jc w:val="left"/>
        <w:rPr>
          <w:rFonts w:ascii="Times New Roman" w:hAnsi="Times New Roman"/>
        </w:rPr>
      </w:pPr>
      <w:r>
        <w:rPr>
          <w:rFonts w:ascii="Times New Roman" w:hAnsi="Times New Roman"/>
        </w:rPr>
        <w:t xml:space="preserve">EPA will prepare </w:t>
      </w:r>
      <w:r w:rsidR="00AA1CD5" w:rsidRPr="00D90E64">
        <w:rPr>
          <w:rFonts w:ascii="Times New Roman" w:hAnsi="Times New Roman"/>
        </w:rPr>
        <w:t>biennial R</w:t>
      </w:r>
      <w:r w:rsidR="00D90E64" w:rsidRPr="00D90E64">
        <w:rPr>
          <w:rFonts w:ascii="Times New Roman" w:hAnsi="Times New Roman"/>
        </w:rPr>
        <w:t>eports to C</w:t>
      </w:r>
      <w:r>
        <w:rPr>
          <w:rFonts w:ascii="Times New Roman" w:hAnsi="Times New Roman"/>
        </w:rPr>
        <w:t xml:space="preserve">ongress, post them on the Web, </w:t>
      </w:r>
      <w:r w:rsidR="00D90E64" w:rsidRPr="00D90E64">
        <w:rPr>
          <w:rFonts w:ascii="Times New Roman" w:hAnsi="Times New Roman"/>
        </w:rPr>
        <w:t>and transmit them to Congress</w:t>
      </w:r>
      <w:r>
        <w:rPr>
          <w:rFonts w:ascii="Times New Roman" w:hAnsi="Times New Roman"/>
        </w:rPr>
        <w:t>’</w:t>
      </w:r>
    </w:p>
    <w:p w:rsidR="00D90E64" w:rsidRDefault="00D90E64" w:rsidP="00D90E64">
      <w:pPr>
        <w:pStyle w:val="Level1"/>
        <w:widowControl/>
        <w:tabs>
          <w:tab w:val="left" w:pos="720"/>
          <w:tab w:val="left" w:pos="1440"/>
        </w:tabs>
        <w:ind w:left="0"/>
        <w:jc w:val="left"/>
      </w:pPr>
    </w:p>
    <w:p w:rsidR="00AA1CD5" w:rsidRDefault="00AA1CD5" w:rsidP="00AA1CD5">
      <w:pPr>
        <w:pStyle w:val="Level1"/>
        <w:widowControl/>
        <w:numPr>
          <w:ilvl w:val="0"/>
          <w:numId w:val="1"/>
        </w:numPr>
        <w:tabs>
          <w:tab w:val="left" w:pos="720"/>
          <w:tab w:val="left" w:pos="1440"/>
        </w:tabs>
        <w:ind w:left="2160" w:hanging="720"/>
        <w:jc w:val="left"/>
        <w:rPr>
          <w:rFonts w:ascii="Times New Roman" w:hAnsi="Times New Roman"/>
          <w:sz w:val="22"/>
          <w:szCs w:val="22"/>
        </w:rPr>
      </w:pPr>
      <w:r>
        <w:rPr>
          <w:rFonts w:ascii="Times New Roman" w:hAnsi="Times New Roman"/>
          <w:sz w:val="22"/>
          <w:szCs w:val="22"/>
        </w:rPr>
        <w:t>EPA will review TMDL submissions from respondents.</w:t>
      </w:r>
    </w:p>
    <w:p w:rsidR="00AA1CD5" w:rsidRDefault="00AA1CD5" w:rsidP="00AA1CD5">
      <w:pPr>
        <w:widowControl/>
        <w:numPr>
          <w:ilvl w:val="12"/>
          <w:numId w:val="0"/>
        </w:numPr>
        <w:rPr>
          <w:rFonts w:ascii="Times New Roman" w:hAnsi="Times New Roman"/>
          <w:sz w:val="22"/>
          <w:szCs w:val="22"/>
        </w:rPr>
      </w:pPr>
    </w:p>
    <w:p w:rsidR="00AA1CD5" w:rsidRDefault="00AA1CD5" w:rsidP="00AA1CD5">
      <w:pPr>
        <w:widowControl/>
        <w:numPr>
          <w:ilvl w:val="12"/>
          <w:numId w:val="0"/>
        </w:numPr>
        <w:ind w:left="720"/>
        <w:rPr>
          <w:rFonts w:ascii="Times New Roman" w:hAnsi="Times New Roman"/>
          <w:sz w:val="22"/>
          <w:szCs w:val="22"/>
        </w:rPr>
      </w:pPr>
    </w:p>
    <w:p w:rsidR="00AA1CD5" w:rsidRDefault="00AA1CD5" w:rsidP="00AA1CD5">
      <w:pPr>
        <w:widowControl/>
        <w:numPr>
          <w:ilvl w:val="12"/>
          <w:numId w:val="0"/>
        </w:numPr>
        <w:rPr>
          <w:rFonts w:ascii="Times New Roman" w:hAnsi="Times New Roman"/>
          <w:b/>
          <w:bCs/>
          <w:sz w:val="22"/>
          <w:szCs w:val="22"/>
        </w:rPr>
      </w:pPr>
    </w:p>
    <w:p w:rsidR="00AA1CD5" w:rsidRDefault="00AA1CD5" w:rsidP="00AA1CD5">
      <w:pPr>
        <w:widowControl/>
        <w:numPr>
          <w:ilvl w:val="12"/>
          <w:numId w:val="0"/>
        </w:numPr>
        <w:rPr>
          <w:rFonts w:ascii="Times New Roman" w:hAnsi="Times New Roman"/>
          <w:sz w:val="22"/>
          <w:szCs w:val="22"/>
        </w:rPr>
      </w:pPr>
      <w:r>
        <w:rPr>
          <w:sz w:val="22"/>
          <w:szCs w:val="22"/>
        </w:rPr>
        <w:br w:type="page"/>
      </w:r>
      <w:r>
        <w:rPr>
          <w:rFonts w:ascii="Times New Roman" w:hAnsi="Times New Roman"/>
          <w:b/>
          <w:bCs/>
          <w:sz w:val="22"/>
          <w:szCs w:val="22"/>
        </w:rPr>
        <w:lastRenderedPageBreak/>
        <w:t>2.</w:t>
      </w:r>
      <w:r>
        <w:rPr>
          <w:rFonts w:ascii="Times New Roman" w:hAnsi="Times New Roman"/>
          <w:b/>
          <w:bCs/>
          <w:sz w:val="22"/>
          <w:szCs w:val="22"/>
        </w:rPr>
        <w:tab/>
      </w:r>
      <w:r>
        <w:rPr>
          <w:rFonts w:ascii="Times New Roman" w:hAnsi="Times New Roman"/>
          <w:b/>
          <w:bCs/>
          <w:sz w:val="22"/>
          <w:szCs w:val="22"/>
          <w:u w:val="single"/>
        </w:rPr>
        <w:t>NEED FOR AND USE OF THE COLLECTION</w:t>
      </w:r>
    </w:p>
    <w:p w:rsidR="00AA1CD5" w:rsidRDefault="00AA1CD5" w:rsidP="00AA1CD5">
      <w:pPr>
        <w:widowControl/>
        <w:numPr>
          <w:ilvl w:val="12"/>
          <w:numId w:val="0"/>
        </w:numPr>
        <w:rPr>
          <w:rFonts w:ascii="Times New Roman" w:hAnsi="Times New Roman"/>
          <w:sz w:val="22"/>
          <w:szCs w:val="22"/>
        </w:rPr>
      </w:pPr>
    </w:p>
    <w:p w:rsidR="00AA1CD5" w:rsidRDefault="00AA1CD5" w:rsidP="00AA1CD5">
      <w:pPr>
        <w:widowControl/>
        <w:numPr>
          <w:ilvl w:val="12"/>
          <w:numId w:val="0"/>
        </w:numPr>
        <w:ind w:left="720"/>
        <w:rPr>
          <w:rFonts w:ascii="Times New Roman" w:hAnsi="Times New Roman"/>
          <w:sz w:val="22"/>
          <w:szCs w:val="22"/>
        </w:rPr>
      </w:pPr>
      <w:r>
        <w:rPr>
          <w:rFonts w:ascii="Times New Roman" w:hAnsi="Times New Roman"/>
          <w:b/>
          <w:bCs/>
          <w:sz w:val="22"/>
          <w:szCs w:val="22"/>
        </w:rPr>
        <w:t>2(a)</w:t>
      </w:r>
      <w:r>
        <w:rPr>
          <w:rFonts w:ascii="Times New Roman" w:hAnsi="Times New Roman"/>
          <w:b/>
          <w:bCs/>
          <w:sz w:val="22"/>
          <w:szCs w:val="22"/>
        </w:rPr>
        <w:tab/>
        <w:t>NEED/AUTHORITY FOR THE COLLECTION</w:t>
      </w:r>
    </w:p>
    <w:p w:rsidR="00AA1CD5" w:rsidRDefault="00AA1CD5" w:rsidP="00AA1CD5">
      <w:pPr>
        <w:widowControl/>
        <w:numPr>
          <w:ilvl w:val="12"/>
          <w:numId w:val="0"/>
        </w:numPr>
        <w:rPr>
          <w:rFonts w:ascii="Times New Roman" w:hAnsi="Times New Roman"/>
          <w:sz w:val="22"/>
          <w:szCs w:val="22"/>
        </w:rPr>
      </w:pPr>
    </w:p>
    <w:p w:rsidR="00AA1CD5" w:rsidRDefault="00AA1CD5" w:rsidP="00AA1CD5">
      <w:pPr>
        <w:widowControl/>
        <w:numPr>
          <w:ilvl w:val="12"/>
          <w:numId w:val="0"/>
        </w:numPr>
        <w:ind w:left="720"/>
        <w:rPr>
          <w:rFonts w:ascii="Times New Roman" w:hAnsi="Times New Roman"/>
          <w:sz w:val="22"/>
          <w:szCs w:val="22"/>
        </w:rPr>
      </w:pPr>
      <w:r>
        <w:rPr>
          <w:rFonts w:ascii="Times New Roman" w:hAnsi="Times New Roman"/>
          <w:sz w:val="22"/>
          <w:szCs w:val="22"/>
        </w:rPr>
        <w:t xml:space="preserve">Section 303(d) of the CWA establishes the total maximum daily load (TMDL) process to provide for more stringent water-quality based controls when required controls are inadequate to achieve State water quality standards. States must identify waters that do not or are not expected to meet applicable water quality standards solely through the implementation of technology based controls. These waters are referred to as water-quality limited waters. </w:t>
      </w:r>
    </w:p>
    <w:p w:rsidR="00AA1CD5" w:rsidRDefault="00AA1CD5" w:rsidP="00AA1CD5">
      <w:pPr>
        <w:widowControl/>
        <w:numPr>
          <w:ilvl w:val="12"/>
          <w:numId w:val="0"/>
        </w:numPr>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“(d</w:t>
      </w:r>
      <w:proofErr w:type="gramStart"/>
      <w:r>
        <w:rPr>
          <w:rFonts w:ascii="Times New Roman" w:hAnsi="Times New Roman"/>
          <w:sz w:val="22"/>
          <w:szCs w:val="22"/>
        </w:rPr>
        <w:t>)(</w:t>
      </w:r>
      <w:proofErr w:type="gramEnd"/>
      <w:r>
        <w:rPr>
          <w:rFonts w:ascii="Times New Roman" w:hAnsi="Times New Roman"/>
          <w:sz w:val="22"/>
          <w:szCs w:val="22"/>
        </w:rPr>
        <w:t>1)(A)</w:t>
      </w:r>
      <w:r>
        <w:rPr>
          <w:rFonts w:ascii="Times New Roman" w:hAnsi="Times New Roman"/>
          <w:sz w:val="22"/>
          <w:szCs w:val="22"/>
        </w:rPr>
        <w:tab/>
        <w:t>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 waters.</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 xml:space="preserve">           (B)</w:t>
      </w:r>
      <w:r>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 xml:space="preserve">           (C)</w:t>
      </w:r>
      <w:r>
        <w:rPr>
          <w:rFonts w:ascii="Times New Roman" w:hAnsi="Times New Roman"/>
          <w:sz w:val="22"/>
          <w:szCs w:val="22"/>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 xml:space="preserve">           (D)</w:t>
      </w:r>
      <w:r>
        <w:rPr>
          <w:rFonts w:ascii="Times New Roman" w:hAnsi="Times New Roman"/>
          <w:sz w:val="22"/>
          <w:szCs w:val="22"/>
        </w:rPr>
        <w:tab/>
        <w:t>Each State shall estimate for the waters identified in paragraph (1</w:t>
      </w:r>
      <w:proofErr w:type="gramStart"/>
      <w:r>
        <w:rPr>
          <w:rFonts w:ascii="Times New Roman" w:hAnsi="Times New Roman"/>
          <w:sz w:val="22"/>
          <w:szCs w:val="22"/>
        </w:rPr>
        <w:t>)(</w:t>
      </w:r>
      <w:proofErr w:type="gramEnd"/>
      <w:r>
        <w:rPr>
          <w:rFonts w:ascii="Times New Roman" w:hAnsi="Times New Roman"/>
          <w:sz w:val="22"/>
          <w:szCs w:val="22"/>
        </w:rPr>
        <w:t>B) of this subsection the total maximum daily thermal load required to assure protection and propagation of a balanced, indigenous population of shellfish, fish, and wildlife...”</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Section 303(d</w:t>
      </w:r>
      <w:proofErr w:type="gramStart"/>
      <w:r>
        <w:rPr>
          <w:rFonts w:ascii="Times New Roman" w:hAnsi="Times New Roman"/>
          <w:sz w:val="22"/>
          <w:szCs w:val="22"/>
        </w:rPr>
        <w:t>)(</w:t>
      </w:r>
      <w:proofErr w:type="gramEnd"/>
      <w:r>
        <w:rPr>
          <w:rFonts w:ascii="Times New Roman" w:hAnsi="Times New Roman"/>
          <w:sz w:val="22"/>
          <w:szCs w:val="22"/>
        </w:rPr>
        <w:t xml:space="preserve">2) requires States to submit the lists of water-quality limited waters and associated TMDLs to the EPA “from time to time.”  </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1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w:t>
      </w:r>
      <w:proofErr w:type="gramStart"/>
      <w:r>
        <w:rPr>
          <w:rFonts w:ascii="Times New Roman" w:hAnsi="Times New Roman"/>
          <w:sz w:val="22"/>
          <w:szCs w:val="22"/>
        </w:rPr>
        <w:t>)(</w:t>
      </w:r>
      <w:proofErr w:type="gramEnd"/>
      <w:r>
        <w:rPr>
          <w:rFonts w:ascii="Times New Roman" w:hAnsi="Times New Roman"/>
          <w:sz w:val="22"/>
          <w:szCs w:val="22"/>
        </w:rPr>
        <w:t>2)(D), for his approval the waters identified and the loads established under paragraphs (1)(A), (1)(B), (1)(C), and (1)(D) of this subsection...”</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 EPA’s Water Quality Planning and Management regulation (40 CFR 130) defines “from time to time” as a biennial reporting requirement for submitting prioritized lists of water-quality limited waters still requiring TMDLs.  (Note that the regulatory revisions pertain exclusively to 303(d) lists of waters requiring TMDLs and do </w:t>
      </w:r>
      <w:r>
        <w:rPr>
          <w:rFonts w:ascii="Times New Roman" w:hAnsi="Times New Roman"/>
          <w:sz w:val="22"/>
          <w:szCs w:val="22"/>
          <w:u w:val="single"/>
        </w:rPr>
        <w:t>not</w:t>
      </w:r>
      <w:r>
        <w:rPr>
          <w:rFonts w:ascii="Times New Roman" w:hAnsi="Times New Roman"/>
          <w:sz w:val="22"/>
          <w:szCs w:val="22"/>
        </w:rPr>
        <w:t xml:space="preserve"> require biennial submittals of TMDLs.) The regulations also specify that the State submittals under Section 303(d) coincide with State submittals under Section 305(b).</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TMDLs are required for 303(d)-listed waters when other Federal, State and local controls will not lead to the achievement of water quality standards. TMDLs provide a rational method for weighing competing water quality concerns and developing an integrated strategy for point and nonpoint sources. </w:t>
      </w:r>
      <w:proofErr w:type="gramStart"/>
      <w:r>
        <w:rPr>
          <w:rFonts w:ascii="Times New Roman" w:hAnsi="Times New Roman"/>
          <w:sz w:val="22"/>
          <w:szCs w:val="22"/>
        </w:rPr>
        <w:t>TMDLs encourage a holistic view of water quality problems considering all contributions to stream water quality and provides</w:t>
      </w:r>
      <w:proofErr w:type="gramEnd"/>
      <w:r>
        <w:rPr>
          <w:rFonts w:ascii="Times New Roman" w:hAnsi="Times New Roman"/>
          <w:sz w:val="22"/>
          <w:szCs w:val="22"/>
        </w:rPr>
        <w:t xml:space="preserve"> a method to allocate those contributions so that water quality standards will be met.</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4035F" w:rsidRDefault="0064035F" w:rsidP="0064035F">
      <w:pPr>
        <w:widowControl/>
        <w:numPr>
          <w:ilvl w:val="12"/>
          <w:numId w:val="0"/>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Evaluations</w:t>
      </w:r>
      <w:r w:rsidRPr="00411CB9">
        <w:rPr>
          <w:rFonts w:ascii="Times New Roman" w:hAnsi="Times New Roman"/>
          <w:sz w:val="22"/>
          <w:szCs w:val="22"/>
        </w:rPr>
        <w:t xml:space="preserve"> by EPA’s Office of Inspector General (OIG) and General Accounting Office (GAO) of </w:t>
      </w:r>
      <w:r>
        <w:rPr>
          <w:rFonts w:ascii="Times New Roman" w:hAnsi="Times New Roman"/>
          <w:sz w:val="22"/>
          <w:szCs w:val="22"/>
        </w:rPr>
        <w:t xml:space="preserve">the </w:t>
      </w:r>
      <w:r w:rsidRPr="00411CB9">
        <w:rPr>
          <w:rFonts w:ascii="Times New Roman" w:hAnsi="Times New Roman"/>
          <w:sz w:val="22"/>
          <w:szCs w:val="22"/>
        </w:rPr>
        <w:t>TMDL program</w:t>
      </w:r>
      <w:r>
        <w:rPr>
          <w:rFonts w:ascii="Times New Roman" w:hAnsi="Times New Roman"/>
          <w:sz w:val="22"/>
          <w:szCs w:val="22"/>
        </w:rPr>
        <w:t xml:space="preserve"> have been conducted</w:t>
      </w:r>
      <w:r w:rsidRPr="00411CB9">
        <w:rPr>
          <w:rFonts w:ascii="Times New Roman" w:hAnsi="Times New Roman"/>
          <w:sz w:val="22"/>
          <w:szCs w:val="22"/>
        </w:rPr>
        <w:t xml:space="preserve">.  </w:t>
      </w:r>
      <w:r>
        <w:rPr>
          <w:rFonts w:ascii="Times New Roman" w:hAnsi="Times New Roman"/>
          <w:sz w:val="22"/>
          <w:szCs w:val="22"/>
        </w:rPr>
        <w:t>EPA</w:t>
      </w:r>
      <w:r w:rsidRPr="00411CB9">
        <w:rPr>
          <w:rFonts w:ascii="Times New Roman" w:hAnsi="Times New Roman"/>
          <w:sz w:val="22"/>
          <w:szCs w:val="22"/>
        </w:rPr>
        <w:t xml:space="preserve"> is tasked to evaluate not only the actions related to listing impaired waters and developing TMDLs, but also how these actions translate to meeting water quality standards.  </w:t>
      </w:r>
      <w:r>
        <w:rPr>
          <w:rFonts w:ascii="Times New Roman" w:hAnsi="Times New Roman"/>
          <w:sz w:val="22"/>
          <w:szCs w:val="22"/>
        </w:rPr>
        <w:t>EPA</w:t>
      </w:r>
      <w:r w:rsidRPr="00411CB9">
        <w:rPr>
          <w:rFonts w:ascii="Times New Roman" w:hAnsi="Times New Roman"/>
          <w:sz w:val="22"/>
          <w:szCs w:val="22"/>
        </w:rPr>
        <w:t xml:space="preserve"> occasionally </w:t>
      </w:r>
      <w:r>
        <w:rPr>
          <w:rFonts w:ascii="Times New Roman" w:hAnsi="Times New Roman"/>
          <w:sz w:val="22"/>
          <w:szCs w:val="22"/>
        </w:rPr>
        <w:t>relies</w:t>
      </w:r>
      <w:r w:rsidRPr="00411CB9">
        <w:rPr>
          <w:rFonts w:ascii="Times New Roman" w:hAnsi="Times New Roman"/>
          <w:sz w:val="22"/>
          <w:szCs w:val="22"/>
        </w:rPr>
        <w:t xml:space="preserve"> on States’ vast experience to gain insight on TMDL-related actions, their effectiveness and possible efficiencies that can be gained within the program.</w:t>
      </w:r>
      <w:r>
        <w:rPr>
          <w:rFonts w:ascii="Times New Roman" w:hAnsi="Times New Roman"/>
          <w:sz w:val="22"/>
          <w:szCs w:val="22"/>
        </w:rPr>
        <w:t xml:space="preserve"> </w:t>
      </w:r>
    </w:p>
    <w:p w:rsidR="0064035F" w:rsidRDefault="0064035F"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Section 305(b</w:t>
      </w:r>
      <w:proofErr w:type="gramStart"/>
      <w:r>
        <w:rPr>
          <w:rFonts w:ascii="Times New Roman" w:hAnsi="Times New Roman"/>
          <w:sz w:val="22"/>
          <w:szCs w:val="22"/>
        </w:rPr>
        <w:t>)(</w:t>
      </w:r>
      <w:proofErr w:type="gramEnd"/>
      <w:r>
        <w:rPr>
          <w:rFonts w:ascii="Times New Roman" w:hAnsi="Times New Roman"/>
          <w:sz w:val="22"/>
          <w:szCs w:val="22"/>
        </w:rPr>
        <w:t>1) requires States to prepare and submit a biennial water quality assessment report:</w:t>
      </w:r>
    </w:p>
    <w:p w:rsidR="00AA1CD5" w:rsidRDefault="00AA1CD5" w:rsidP="00AA1CD5">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Each State shall prepare and submit to the Administrator by April 1, 1975, and shall bring up to date by April 1, 1976, and biennially thereafter, a report which shall include -</w:t>
      </w:r>
      <w:r>
        <w:rPr>
          <w:rFonts w:ascii="Times New Roman" w:hAnsi="Times New Roman"/>
          <w:sz w:val="22"/>
          <w:szCs w:val="22"/>
        </w:rPr>
        <w:softHyphen/>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paragraph;</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an analysis of the extent to which all navigable waters of such State provide for the protection and propagation of a balanced population of shellfish, fish, and wildlife, and allow recreational activities in and on the water;</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an analysis of the extent to which the elimination of the discharge of pollutants and a level of water quality which provides for the protection and propagation of a balanced population of shellfish, fish, and wildlife </w:t>
      </w:r>
      <w:r>
        <w:rPr>
          <w:rFonts w:ascii="Times New Roman" w:hAnsi="Times New Roman"/>
          <w:sz w:val="22"/>
          <w:szCs w:val="22"/>
        </w:rPr>
        <w:lastRenderedPageBreak/>
        <w:t>and allows recreational activities in and on the water, have been or will be achieved by the requirements of this Act, together with recommendations as to additional action necessary to achieve such objectives and for what waters such additional action is necessary;</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an estimate of (</w:t>
      </w:r>
      <w:proofErr w:type="spellStart"/>
      <w:r>
        <w:rPr>
          <w:rFonts w:ascii="Times New Roman" w:hAnsi="Times New Roman"/>
          <w:sz w:val="22"/>
          <w:szCs w:val="22"/>
        </w:rPr>
        <w:t>i</w:t>
      </w:r>
      <w:proofErr w:type="spellEnd"/>
      <w:r>
        <w:rPr>
          <w:rFonts w:ascii="Times New Roman" w:hAnsi="Times New Roman"/>
          <w:sz w:val="22"/>
          <w:szCs w:val="22"/>
        </w:rPr>
        <w:t>) the environmental impact, (ii) the economic and social costs necessary to achieve the objective of this Act in such State, (iii) the economic and social benefits of such achievement, and (iv) an estimate of the date of such achievement; and</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proofErr w:type="gramStart"/>
      <w:r>
        <w:rPr>
          <w:rFonts w:ascii="Times New Roman" w:hAnsi="Times New Roman"/>
          <w:sz w:val="22"/>
          <w:szCs w:val="22"/>
        </w:rPr>
        <w:t>a</w:t>
      </w:r>
      <w:proofErr w:type="gramEnd"/>
      <w:r>
        <w:rPr>
          <w:rFonts w:ascii="Times New Roman" w:hAnsi="Times New Roman"/>
          <w:sz w:val="22"/>
          <w:szCs w:val="22"/>
        </w:rPr>
        <w:t xml:space="preserve"> description of the nature and extent of nonpoint sources of pollutants and recommendations as to the programs which must be undertaken to control each category of such sources, including an estimate of the costs of implementing such programs.”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Under Section 314(a</w:t>
      </w:r>
      <w:proofErr w:type="gramStart"/>
      <w:r>
        <w:rPr>
          <w:rFonts w:ascii="Times New Roman" w:hAnsi="Times New Roman"/>
          <w:sz w:val="22"/>
          <w:szCs w:val="22"/>
        </w:rPr>
        <w:t>)(</w:t>
      </w:r>
      <w:proofErr w:type="gramEnd"/>
      <w:r>
        <w:rPr>
          <w:rFonts w:ascii="Times New Roman" w:hAnsi="Times New Roman"/>
          <w:sz w:val="22"/>
          <w:szCs w:val="22"/>
        </w:rPr>
        <w:t>2), States must incorporate their Clean Lakes Report into the 305(b) reports.  Section 314(a</w:t>
      </w:r>
      <w:proofErr w:type="gramStart"/>
      <w:r>
        <w:rPr>
          <w:rFonts w:ascii="Times New Roman" w:hAnsi="Times New Roman"/>
          <w:sz w:val="22"/>
          <w:szCs w:val="22"/>
        </w:rPr>
        <w:t>)(</w:t>
      </w:r>
      <w:proofErr w:type="gramEnd"/>
      <w:r>
        <w:rPr>
          <w:rFonts w:ascii="Times New Roman" w:hAnsi="Times New Roman"/>
          <w:sz w:val="22"/>
          <w:szCs w:val="22"/>
        </w:rPr>
        <w:t>1) specifies the contents of the Clean Lakes Reports: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EF1F21"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sz w:val="22"/>
          <w:szCs w:val="22"/>
        </w:rPr>
      </w:pPr>
      <w:r>
        <w:rPr>
          <w:rFonts w:ascii="Times New Roman" w:hAnsi="Times New Roman"/>
          <w:sz w:val="22"/>
          <w:szCs w:val="22"/>
        </w:rPr>
        <w:t>“(1</w:t>
      </w:r>
      <w:proofErr w:type="gramStart"/>
      <w:r>
        <w:rPr>
          <w:rFonts w:ascii="Times New Roman" w:hAnsi="Times New Roman"/>
          <w:sz w:val="22"/>
          <w:szCs w:val="22"/>
        </w:rPr>
        <w:t xml:space="preserve">)  </w:t>
      </w:r>
      <w:r w:rsidR="00AA1CD5">
        <w:rPr>
          <w:rFonts w:ascii="Times New Roman" w:hAnsi="Times New Roman"/>
          <w:sz w:val="22"/>
          <w:szCs w:val="22"/>
        </w:rPr>
        <w:t>State</w:t>
      </w:r>
      <w:proofErr w:type="gramEnd"/>
      <w:r w:rsidR="00AA1CD5">
        <w:rPr>
          <w:rFonts w:ascii="Times New Roman" w:hAnsi="Times New Roman"/>
          <w:sz w:val="22"/>
          <w:szCs w:val="22"/>
        </w:rPr>
        <w:t xml:space="preserve"> program requirements.  – Each State on a biennial basis shall prepare and submit to the Administrator for his </w:t>
      </w:r>
      <w:proofErr w:type="gramStart"/>
      <w:r w:rsidR="00AA1CD5">
        <w:rPr>
          <w:rFonts w:ascii="Times New Roman" w:hAnsi="Times New Roman"/>
          <w:sz w:val="22"/>
          <w:szCs w:val="22"/>
        </w:rPr>
        <w:t>approval  –</w:t>
      </w:r>
      <w:proofErr w:type="gramEnd"/>
      <w:r w:rsidR="00AA1CD5">
        <w:rPr>
          <w:rFonts w:ascii="Times New Roman" w:hAnsi="Times New Roman"/>
          <w:sz w:val="22"/>
          <w:szCs w:val="22"/>
        </w:rPr>
        <w:t xml:space="preserve"> </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proofErr w:type="gramStart"/>
      <w:r>
        <w:rPr>
          <w:rFonts w:ascii="Times New Roman" w:hAnsi="Times New Roman"/>
          <w:sz w:val="22"/>
          <w:szCs w:val="22"/>
        </w:rPr>
        <w:t>an</w:t>
      </w:r>
      <w:proofErr w:type="gramEnd"/>
      <w:r>
        <w:rPr>
          <w:rFonts w:ascii="Times New Roman" w:hAnsi="Times New Roman"/>
          <w:sz w:val="22"/>
          <w:szCs w:val="22"/>
        </w:rPr>
        <w:t xml:space="preserve"> identification and classification according to </w:t>
      </w:r>
      <w:proofErr w:type="spellStart"/>
      <w:r>
        <w:rPr>
          <w:rFonts w:ascii="Times New Roman" w:hAnsi="Times New Roman"/>
          <w:sz w:val="22"/>
          <w:szCs w:val="22"/>
        </w:rPr>
        <w:t>eutrophic</w:t>
      </w:r>
      <w:proofErr w:type="spellEnd"/>
      <w:r>
        <w:rPr>
          <w:rFonts w:ascii="Times New Roman" w:hAnsi="Times New Roman"/>
          <w:sz w:val="22"/>
          <w:szCs w:val="22"/>
        </w:rPr>
        <w:t xml:space="preserve"> condition of all publicly owned lakes in such State;</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a</w:t>
      </w:r>
      <w:proofErr w:type="gramEnd"/>
      <w:r>
        <w:rPr>
          <w:rFonts w:ascii="Times New Roman" w:hAnsi="Times New Roman"/>
          <w:sz w:val="22"/>
          <w:szCs w:val="22"/>
        </w:rPr>
        <w:t xml:space="preserve"> description of the procedures, processes, and methods (including land use requirements) to control sources of pollution of such lakes;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proofErr w:type="gramStart"/>
      <w:r>
        <w:rPr>
          <w:rFonts w:ascii="Times New Roman" w:hAnsi="Times New Roman"/>
          <w:sz w:val="22"/>
          <w:szCs w:val="22"/>
        </w:rPr>
        <w:t>a</w:t>
      </w:r>
      <w:proofErr w:type="gramEnd"/>
      <w:r>
        <w:rPr>
          <w:rFonts w:ascii="Times New Roman" w:hAnsi="Times New Roman"/>
          <w:sz w:val="22"/>
          <w:szCs w:val="22"/>
        </w:rPr>
        <w:t xml:space="preserve"> description of the methods and procedures, in conjunction with appropriate Federal agencies, to restore the quality of such lakes;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methods and procedures to mitigate the harmful effects of high acidity, including innovative methods of neutralizing and restoring buffering capacity of lakes and methods of removing from lakes toxic metals and other toxic substances mobilized by acidity;</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as a result of high acidity that may reasonably be due to acid deposition; and</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 xml:space="preserve">an assessment of the status and trends of water quality in lakes in such State, including but not limited to, the nature and extent of pollution </w:t>
      </w:r>
      <w:r>
        <w:rPr>
          <w:rFonts w:ascii="Times New Roman" w:hAnsi="Times New Roman"/>
          <w:sz w:val="22"/>
          <w:szCs w:val="22"/>
        </w:rPr>
        <w:lastRenderedPageBreak/>
        <w:t>loading from point and nonpoint sources and the extent to which the use of lakes is impaired as a result of such pollution, particularly with respect to toxic pollution.</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Submission as Part 305(b</w:t>
      </w:r>
      <w:proofErr w:type="gramStart"/>
      <w:r>
        <w:rPr>
          <w:rFonts w:ascii="Times New Roman" w:hAnsi="Times New Roman"/>
          <w:sz w:val="22"/>
          <w:szCs w:val="22"/>
        </w:rPr>
        <w:t>)(</w:t>
      </w:r>
      <w:proofErr w:type="gramEnd"/>
      <w:r>
        <w:rPr>
          <w:rFonts w:ascii="Times New Roman" w:hAnsi="Times New Roman"/>
          <w:sz w:val="22"/>
          <w:szCs w:val="22"/>
        </w:rPr>
        <w:t>1) Report. –  The information required under paragraph (1) shall be included in the report required under section 305(b)(1) of this Act, beginning with the report required under such section by April 1, 1988.”</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Section 106(e) requires States to include information on monitoring activities implemented to evaluate the quality of surface waters and ground water in the 305(b) reports: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EF1F2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Pr>
          <w:rFonts w:ascii="Times New Roman" w:hAnsi="Times New Roman"/>
          <w:sz w:val="22"/>
          <w:szCs w:val="22"/>
        </w:rPr>
        <w:t>“(e</w:t>
      </w:r>
      <w:proofErr w:type="gramStart"/>
      <w:r>
        <w:rPr>
          <w:rFonts w:ascii="Times New Roman" w:hAnsi="Times New Roman"/>
          <w:sz w:val="22"/>
          <w:szCs w:val="22"/>
        </w:rPr>
        <w:t xml:space="preserve">)  </w:t>
      </w:r>
      <w:r w:rsidR="00AA1CD5">
        <w:rPr>
          <w:rFonts w:ascii="Times New Roman" w:hAnsi="Times New Roman"/>
          <w:sz w:val="22"/>
          <w:szCs w:val="22"/>
        </w:rPr>
        <w:t>Beginning</w:t>
      </w:r>
      <w:proofErr w:type="gramEnd"/>
      <w:r w:rsidR="00AA1CD5">
        <w:rPr>
          <w:rFonts w:ascii="Times New Roman" w:hAnsi="Times New Roman"/>
          <w:sz w:val="22"/>
          <w:szCs w:val="22"/>
        </w:rPr>
        <w:t xml:space="preserve"> in fiscal year 1974 the Administrator shall not make any grant under this section to any State which has not provided or is not carrying</w:t>
      </w:r>
      <w:r>
        <w:rPr>
          <w:rFonts w:ascii="Times New Roman" w:hAnsi="Times New Roman"/>
          <w:sz w:val="22"/>
          <w:szCs w:val="22"/>
        </w:rPr>
        <w:t xml:space="preserve"> out as a part of its program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EF1F21"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sz w:val="22"/>
          <w:szCs w:val="22"/>
        </w:rPr>
      </w:pPr>
      <w:r>
        <w:rPr>
          <w:rFonts w:ascii="Times New Roman" w:hAnsi="Times New Roman"/>
          <w:sz w:val="22"/>
          <w:szCs w:val="22"/>
        </w:rPr>
        <w:t xml:space="preserve">(1) </w:t>
      </w:r>
      <w:r w:rsidR="00AA1CD5">
        <w:rPr>
          <w:rFonts w:ascii="Times New Roman" w:hAnsi="Times New Roman"/>
          <w:sz w:val="22"/>
          <w:szCs w:val="22"/>
        </w:rPr>
        <w:t xml:space="preserve">the establishment and operation of the appropriate devices, methods, systems, and procedures necessary to monitor, and to compile and analyze data on (including classification according to </w:t>
      </w:r>
      <w:proofErr w:type="spellStart"/>
      <w:r w:rsidR="00AA1CD5">
        <w:rPr>
          <w:rFonts w:ascii="Times New Roman" w:hAnsi="Times New Roman"/>
          <w:sz w:val="22"/>
          <w:szCs w:val="22"/>
        </w:rPr>
        <w:t>eutrophic</w:t>
      </w:r>
      <w:proofErr w:type="spellEnd"/>
      <w:r w:rsidR="00AA1CD5">
        <w:rPr>
          <w:rFonts w:ascii="Times New Roman" w:hAnsi="Times New Roman"/>
          <w:sz w:val="22"/>
          <w:szCs w:val="22"/>
        </w:rPr>
        <w:t xml:space="preserve"> condition), the quality of navigable waters and to the extent practicable, ground waters including biological monitoring; and provision for annually updating such data and including it in the report required under section 305 of this Act;”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2(b) USE / USERS OF THE DATA</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305(b) reporting process is an essential component of the EPA water pollution control program.  EPA’s Assessment and Watershed Protection Division (AWPD) uses the State reports as the principal information source for assessing nationwide water quality, the progress made in maintaining and restoring water quality, and the extent of remaining water pollution problems.  AWPD prepares the National Water Quality Inventory Report to Congress and evaluates impacts of EPA’s water pollution control programs with the information and data supplied in the State 305(b) reports</w:t>
      </w:r>
      <w:r w:rsidR="006C33A6">
        <w:rPr>
          <w:rFonts w:ascii="Times New Roman" w:hAnsi="Times New Roman"/>
          <w:sz w:val="22"/>
          <w:szCs w:val="22"/>
        </w:rPr>
        <w:t>, via</w:t>
      </w:r>
      <w:r w:rsidR="0079318B">
        <w:rPr>
          <w:rFonts w:ascii="Times New Roman" w:hAnsi="Times New Roman"/>
          <w:sz w:val="22"/>
          <w:szCs w:val="22"/>
        </w:rPr>
        <w:t xml:space="preserve"> </w:t>
      </w:r>
      <w:r>
        <w:rPr>
          <w:rFonts w:ascii="Times New Roman" w:hAnsi="Times New Roman"/>
          <w:sz w:val="22"/>
          <w:szCs w:val="22"/>
        </w:rPr>
        <w:t xml:space="preserve">the Assessment </w:t>
      </w:r>
      <w:r w:rsidR="0079318B">
        <w:rPr>
          <w:rFonts w:ascii="Times New Roman" w:hAnsi="Times New Roman"/>
          <w:sz w:val="22"/>
          <w:szCs w:val="22"/>
        </w:rPr>
        <w:t xml:space="preserve"> </w:t>
      </w:r>
      <w:r>
        <w:rPr>
          <w:rFonts w:ascii="Times New Roman" w:hAnsi="Times New Roman"/>
          <w:sz w:val="22"/>
          <w:szCs w:val="22"/>
        </w:rPr>
        <w:t>Database (ADB)</w:t>
      </w:r>
      <w:r w:rsidR="006C33A6">
        <w:rPr>
          <w:rFonts w:ascii="Times New Roman" w:hAnsi="Times New Roman"/>
          <w:sz w:val="22"/>
          <w:szCs w:val="22"/>
        </w:rPr>
        <w:t>, and presented  in the ATTAINS database available on the EPA website.</w:t>
      </w:r>
      <w:r w:rsidR="0079318B">
        <w:rPr>
          <w:rFonts w:ascii="Times New Roman" w:hAnsi="Times New Roman"/>
          <w:sz w:val="22"/>
          <w:szCs w:val="22"/>
        </w:rPr>
        <w:t xml:space="preserve">  </w:t>
      </w:r>
      <w:r>
        <w:rPr>
          <w:rFonts w:ascii="Times New Roman" w:hAnsi="Times New Roman"/>
          <w:sz w:val="22"/>
          <w:szCs w:val="22"/>
        </w:rPr>
        <w:t>The Office of Water uses the Report to Congress to target persistent and emerging water quality problems with new initiatives and to improve or eliminate ineffective programs.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AWPD </w:t>
      </w:r>
      <w:r w:rsidR="003F750E">
        <w:rPr>
          <w:rFonts w:ascii="Times New Roman" w:hAnsi="Times New Roman"/>
          <w:sz w:val="22"/>
          <w:szCs w:val="22"/>
        </w:rPr>
        <w:t xml:space="preserve">also </w:t>
      </w:r>
      <w:r>
        <w:rPr>
          <w:rFonts w:ascii="Times New Roman" w:hAnsi="Times New Roman"/>
          <w:sz w:val="22"/>
          <w:szCs w:val="22"/>
        </w:rPr>
        <w:t>uses the information submitted under Section 314 to evaluate the status of lake water quality in reports issued by the Section 314 Clea</w:t>
      </w:r>
      <w:r w:rsidR="00EF1F21">
        <w:rPr>
          <w:rFonts w:ascii="Times New Roman" w:hAnsi="Times New Roman"/>
          <w:sz w:val="22"/>
          <w:szCs w:val="22"/>
        </w:rPr>
        <w:t xml:space="preserve">n Lakes Program.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 addition to AWPD, several branches within EPA utilize the</w:t>
      </w:r>
      <w:r w:rsidR="0079318B">
        <w:rPr>
          <w:rFonts w:ascii="Times New Roman" w:hAnsi="Times New Roman"/>
          <w:sz w:val="22"/>
          <w:szCs w:val="22"/>
        </w:rPr>
        <w:t xml:space="preserve"> </w:t>
      </w:r>
      <w:r w:rsidR="006C33A6">
        <w:rPr>
          <w:rFonts w:ascii="Times New Roman" w:hAnsi="Times New Roman"/>
          <w:sz w:val="22"/>
          <w:szCs w:val="22"/>
        </w:rPr>
        <w:t>state data.</w:t>
      </w:r>
      <w:r>
        <w:rPr>
          <w:rFonts w:ascii="Times New Roman" w:hAnsi="Times New Roman"/>
          <w:sz w:val="22"/>
          <w:szCs w:val="22"/>
        </w:rPr>
        <w:t xml:space="preserve">  EPA Regional permit enforcement branches have used the </w:t>
      </w:r>
      <w:r w:rsidR="006C33A6">
        <w:rPr>
          <w:rFonts w:ascii="Times New Roman" w:hAnsi="Times New Roman"/>
          <w:sz w:val="22"/>
          <w:szCs w:val="22"/>
        </w:rPr>
        <w:t xml:space="preserve">data </w:t>
      </w:r>
      <w:r>
        <w:rPr>
          <w:rFonts w:ascii="Times New Roman" w:hAnsi="Times New Roman"/>
          <w:sz w:val="22"/>
          <w:szCs w:val="22"/>
        </w:rPr>
        <w:t xml:space="preserve">to verify that State NPDES (National Pollutant Discharge Elimination System) permits address causes and sources of pollution in degraded waters.  Others, such as the Great Lakes Task Force, can use the </w:t>
      </w:r>
      <w:r w:rsidR="006C33A6">
        <w:rPr>
          <w:rFonts w:ascii="Times New Roman" w:hAnsi="Times New Roman"/>
          <w:sz w:val="22"/>
          <w:szCs w:val="22"/>
        </w:rPr>
        <w:t xml:space="preserve">ATTAINS </w:t>
      </w:r>
      <w:r>
        <w:rPr>
          <w:rFonts w:ascii="Times New Roman" w:hAnsi="Times New Roman"/>
          <w:sz w:val="22"/>
          <w:szCs w:val="22"/>
        </w:rPr>
        <w:t>database to summarize water pollution information by interstate and interregional hydrological units.  Other agencies, including the National Oceanic and Atmospheric Administration (NOAA) and the U.S. D</w:t>
      </w:r>
      <w:r w:rsidR="00EF1F21">
        <w:rPr>
          <w:rFonts w:ascii="Times New Roman" w:hAnsi="Times New Roman"/>
          <w:sz w:val="22"/>
          <w:szCs w:val="22"/>
        </w:rPr>
        <w:t xml:space="preserve">epartment of Agriculture, have </w:t>
      </w:r>
      <w:r>
        <w:rPr>
          <w:rFonts w:ascii="Times New Roman" w:hAnsi="Times New Roman"/>
          <w:sz w:val="22"/>
          <w:szCs w:val="22"/>
        </w:rPr>
        <w:t xml:space="preserve">used </w:t>
      </w:r>
      <w:r w:rsidR="006C33A6">
        <w:rPr>
          <w:rFonts w:ascii="Times New Roman" w:hAnsi="Times New Roman"/>
          <w:sz w:val="22"/>
          <w:szCs w:val="22"/>
        </w:rPr>
        <w:t xml:space="preserve"> ATTAINS </w:t>
      </w:r>
      <w:r>
        <w:rPr>
          <w:rFonts w:ascii="Times New Roman" w:hAnsi="Times New Roman"/>
          <w:sz w:val="22"/>
          <w:szCs w:val="22"/>
        </w:rPr>
        <w:t xml:space="preserve">data to summarize the extent of water quality </w:t>
      </w:r>
      <w:r>
        <w:rPr>
          <w:rFonts w:ascii="Times New Roman" w:hAnsi="Times New Roman"/>
          <w:sz w:val="22"/>
          <w:szCs w:val="22"/>
        </w:rPr>
        <w:lastRenderedPageBreak/>
        <w:t xml:space="preserve">problems in coastal waters and the national extent of watersheds impaired by agricultural nonpoint sources.  Also, the respondents use </w:t>
      </w:r>
      <w:r w:rsidR="006C33A6">
        <w:rPr>
          <w:rFonts w:ascii="Times New Roman" w:hAnsi="Times New Roman"/>
          <w:sz w:val="22"/>
          <w:szCs w:val="22"/>
        </w:rPr>
        <w:t xml:space="preserve">ATTAINs </w:t>
      </w:r>
      <w:r>
        <w:rPr>
          <w:rFonts w:ascii="Times New Roman" w:hAnsi="Times New Roman"/>
          <w:sz w:val="22"/>
          <w:szCs w:val="22"/>
        </w:rPr>
        <w:t>and other assessment databases in their water quality management programs to identify problem areas, track progress in pollution control, and to set priorities.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AWPD uses the information submitted under Section 303(d) to track State progress in preparing TMDLs for water-quality limited waters still requiring TMDLs. Consistent with the requirements of Section 303(d), AWPD and its Regional counterparts review the Section 303(d) lists submitted by the States to review whether they comply with the requirements of the statute and EPA’s regulations and reflect an accurate State-by-State accounting of waters not meeting water quality standards (WQS) after the application of technology-based controls. Also as required by Section 303(d), EPA reviews TMDLs developed and submitted by the States to determine their technical sufficiency and whether they otherwise comply with the requirements of Section 303(d) and the EPA regulations. </w:t>
      </w:r>
    </w:p>
    <w:p w:rsidR="00AA1CD5" w:rsidRDefault="003F750E" w:rsidP="003F750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Occasionally, EPA also </w:t>
      </w:r>
      <w:r w:rsidRPr="00626FB1">
        <w:rPr>
          <w:rFonts w:ascii="Times New Roman" w:hAnsi="Times New Roman"/>
          <w:sz w:val="22"/>
          <w:szCs w:val="22"/>
        </w:rPr>
        <w:t>report</w:t>
      </w:r>
      <w:r>
        <w:rPr>
          <w:rFonts w:ascii="Times New Roman" w:hAnsi="Times New Roman"/>
          <w:sz w:val="22"/>
          <w:szCs w:val="22"/>
        </w:rPr>
        <w:t>s</w:t>
      </w:r>
      <w:r w:rsidRPr="00626FB1">
        <w:rPr>
          <w:rFonts w:ascii="Times New Roman" w:hAnsi="Times New Roman"/>
          <w:sz w:val="22"/>
          <w:szCs w:val="22"/>
        </w:rPr>
        <w:t xml:space="preserve"> to </w:t>
      </w:r>
      <w:r>
        <w:rPr>
          <w:rFonts w:ascii="Times New Roman" w:hAnsi="Times New Roman"/>
          <w:sz w:val="22"/>
          <w:szCs w:val="22"/>
        </w:rPr>
        <w:t>internal and external parties</w:t>
      </w:r>
      <w:r w:rsidRPr="00626FB1">
        <w:rPr>
          <w:rFonts w:ascii="Times New Roman" w:hAnsi="Times New Roman"/>
          <w:sz w:val="22"/>
          <w:szCs w:val="22"/>
        </w:rPr>
        <w:t xml:space="preserve"> on the effectiveness of the TMDL program.</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sz w:val="22"/>
          <w:szCs w:val="22"/>
        </w:rPr>
        <w:br w:type="page"/>
      </w:r>
      <w:r>
        <w:rPr>
          <w:rFonts w:ascii="Times New Roman" w:hAnsi="Times New Roman"/>
          <w:b/>
          <w:bCs/>
          <w:sz w:val="22"/>
          <w:szCs w:val="22"/>
        </w:rPr>
        <w:lastRenderedPageBreak/>
        <w:t>3.</w:t>
      </w:r>
      <w:r>
        <w:rPr>
          <w:rFonts w:ascii="Times New Roman" w:hAnsi="Times New Roman"/>
          <w:b/>
          <w:bCs/>
          <w:sz w:val="22"/>
          <w:szCs w:val="22"/>
        </w:rPr>
        <w:tab/>
      </w:r>
      <w:r>
        <w:rPr>
          <w:rFonts w:ascii="Times New Roman" w:hAnsi="Times New Roman"/>
          <w:b/>
          <w:bCs/>
          <w:sz w:val="22"/>
          <w:szCs w:val="22"/>
          <w:u w:val="single"/>
        </w:rPr>
        <w:t>THE RESPONDENTS AND THE INFORMATION REQUESTED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b/>
          <w:bCs/>
          <w:sz w:val="22"/>
          <w:szCs w:val="22"/>
        </w:rPr>
        <w:t>3(a)</w:t>
      </w:r>
      <w:r>
        <w:rPr>
          <w:rFonts w:ascii="Times New Roman" w:hAnsi="Times New Roman"/>
          <w:b/>
          <w:bCs/>
          <w:sz w:val="22"/>
          <w:szCs w:val="22"/>
        </w:rPr>
        <w:tab/>
        <w:t xml:space="preserve">RESPONDENTS / </w:t>
      </w:r>
      <w:r w:rsidR="00D913D0">
        <w:rPr>
          <w:rFonts w:ascii="Times New Roman" w:hAnsi="Times New Roman"/>
          <w:b/>
          <w:bCs/>
          <w:sz w:val="22"/>
          <w:szCs w:val="22"/>
        </w:rPr>
        <w:t xml:space="preserve">NAICS </w:t>
      </w:r>
      <w:r>
        <w:rPr>
          <w:rFonts w:ascii="Times New Roman" w:hAnsi="Times New Roman"/>
          <w:b/>
          <w:bCs/>
          <w:sz w:val="22"/>
          <w:szCs w:val="22"/>
        </w:rPr>
        <w:t>CODES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F1F21" w:rsidRPr="00CD07C2" w:rsidRDefault="00AA1CD5" w:rsidP="00EF1F21">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respondent community for 305(b) reporting consists of 50 States, the District of Columbia, 5 Territories (Puerto Rico, the Virgin Islands, Guam, American Samoa, and the Northern Mariana Islands), and 3 River Basin Commissions.  The Ohio River Valley Sanitation Commission, the Delaware River Basin Commission, and the Interstate Sanitation Commission have jurisdiction over basins that lie in multiple States for the purposes of 305(b) reporting only.  </w:t>
      </w:r>
      <w:r w:rsidR="00EF1F21">
        <w:rPr>
          <w:rFonts w:ascii="Times New Roman" w:hAnsi="Times New Roman"/>
          <w:sz w:val="22"/>
          <w:szCs w:val="22"/>
        </w:rPr>
        <w:t xml:space="preserve">The </w:t>
      </w:r>
      <w:r w:rsidR="00D913D0">
        <w:rPr>
          <w:rFonts w:ascii="Times New Roman" w:hAnsi="Times New Roman"/>
          <w:sz w:val="22"/>
          <w:szCs w:val="22"/>
        </w:rPr>
        <w:t xml:space="preserve">NAICS </w:t>
      </w:r>
      <w:r w:rsidR="00EF1F21">
        <w:rPr>
          <w:rFonts w:ascii="Times New Roman" w:hAnsi="Times New Roman"/>
          <w:sz w:val="22"/>
          <w:szCs w:val="22"/>
        </w:rPr>
        <w:t xml:space="preserve">code for respondents is </w:t>
      </w:r>
      <w:r w:rsidR="00D913D0">
        <w:rPr>
          <w:rFonts w:ascii="Times New Roman" w:hAnsi="Times New Roman"/>
          <w:sz w:val="22"/>
          <w:szCs w:val="22"/>
        </w:rPr>
        <w:t xml:space="preserve">92411 </w:t>
      </w:r>
      <w:r w:rsidR="00EF1F21">
        <w:rPr>
          <w:rFonts w:ascii="Times New Roman" w:hAnsi="Times New Roman"/>
          <w:sz w:val="22"/>
          <w:szCs w:val="22"/>
        </w:rPr>
        <w:t xml:space="preserve">(Administration of Environmental Quality Programs: Air and Water Resources and Solid Waste Management).  </w:t>
      </w:r>
      <w:r w:rsidR="00EF1F21" w:rsidRPr="00CD07C2">
        <w:rPr>
          <w:rFonts w:ascii="Times New Roman" w:hAnsi="Times New Roman"/>
        </w:rPr>
        <w:t>Tribes are not required to submit 305(b) reports. However, to meet the needs of Tribes at all levels of development, EPA has prepared Guidance that presents the basic steps a Tribe should take to collect the water quality information it needs to make effective decisions about its program, its goals, and its future directions.</w:t>
      </w:r>
      <w:r w:rsidR="00EF1F21" w:rsidRPr="00CD07C2">
        <w:rPr>
          <w:rFonts w:ascii="Times New Roman" w:hAnsi="Times New Roman"/>
          <w:sz w:val="22"/>
          <w:szCs w:val="22"/>
        </w:rPr>
        <w:t xml:space="preserve">  Tribal water quality monitoring and reporting activities are covered under the Section 106 Tribal Grants Program and not included in the burden estimates for this ICR.</w:t>
      </w:r>
    </w:p>
    <w:p w:rsidR="00AA1CD5" w:rsidRPr="00CD07C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respondent community for 303(d) activities consists of 50 States, the District of Columbia, and 5 Territories (Puerto Rico, the Virgin Islands, Guam, American Samoa, and the Northern Mariana Islands).</w:t>
      </w:r>
      <w:r>
        <w:rPr>
          <w:vertAlign w:val="superscript"/>
        </w:rPr>
        <w:footnoteReference w:customMarkFollows="1" w:id="1"/>
        <w:t>2</w:t>
      </w:r>
      <w:r>
        <w:rPr>
          <w:rFonts w:ascii="Times New Roman" w:hAnsi="Times New Roman"/>
          <w:sz w:val="22"/>
          <w:szCs w:val="22"/>
        </w:rPr>
        <w:t xml:space="preserve">  The </w:t>
      </w:r>
      <w:r w:rsidR="00D913D0">
        <w:rPr>
          <w:rFonts w:ascii="Times New Roman" w:hAnsi="Times New Roman"/>
          <w:sz w:val="22"/>
          <w:szCs w:val="22"/>
        </w:rPr>
        <w:t xml:space="preserve">NAICS </w:t>
      </w:r>
      <w:r>
        <w:rPr>
          <w:rFonts w:ascii="Times New Roman" w:hAnsi="Times New Roman"/>
          <w:sz w:val="22"/>
          <w:szCs w:val="22"/>
        </w:rPr>
        <w:t xml:space="preserve">code for respondents is </w:t>
      </w:r>
      <w:r w:rsidR="00D913D0">
        <w:rPr>
          <w:rFonts w:ascii="Times New Roman" w:hAnsi="Times New Roman"/>
          <w:sz w:val="22"/>
          <w:szCs w:val="22"/>
        </w:rPr>
        <w:t xml:space="preserve">92411 </w:t>
      </w:r>
      <w:r>
        <w:rPr>
          <w:rFonts w:ascii="Times New Roman" w:hAnsi="Times New Roman"/>
          <w:sz w:val="22"/>
          <w:szCs w:val="22"/>
        </w:rPr>
        <w:t xml:space="preserve">(Administration of Environmental Quality Programs: Air and Water Resources and Solid Waste Management). </w:t>
      </w:r>
      <w:r w:rsidR="00EF1F21">
        <w:rPr>
          <w:rFonts w:ascii="Times New Roman" w:hAnsi="Times New Roman"/>
          <w:sz w:val="22"/>
          <w:szCs w:val="22"/>
        </w:rPr>
        <w:t xml:space="preserve"> </w:t>
      </w:r>
      <w:r>
        <w:rPr>
          <w:rFonts w:ascii="Times New Roman" w:hAnsi="Times New Roman"/>
          <w:sz w:val="22"/>
          <w:szCs w:val="22"/>
        </w:rPr>
        <w:t>Although Indian Tribes can be authorized to meet 303(d) requirements, none are currently authorized nor have applied for authorization. Further, very few Tribes have established water quality standards. Therefore, we assume that there would no burden to Indian Tribes over the period covered by this ICR for 303(d) activities.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 summary, there are 56 respondents for 303(d) activities (including TMDL development activi</w:t>
      </w:r>
      <w:r w:rsidR="00067218">
        <w:rPr>
          <w:rFonts w:ascii="Times New Roman" w:hAnsi="Times New Roman"/>
          <w:sz w:val="22"/>
          <w:szCs w:val="22"/>
        </w:rPr>
        <w:t>ties) and 59 respondents for 305</w:t>
      </w:r>
      <w:r>
        <w:rPr>
          <w:rFonts w:ascii="Times New Roman" w:hAnsi="Times New Roman"/>
          <w:sz w:val="22"/>
          <w:szCs w:val="22"/>
        </w:rPr>
        <w:t>(b) reporting (56 respondents, plus 3 River Basins with only 305(b) reporting requirements).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b/>
          <w:bCs/>
          <w:sz w:val="22"/>
          <w:szCs w:val="22"/>
        </w:rPr>
        <w:t>3(b)</w:t>
      </w:r>
      <w:r>
        <w:rPr>
          <w:rFonts w:ascii="Times New Roman" w:hAnsi="Times New Roman"/>
          <w:b/>
          <w:bCs/>
          <w:sz w:val="22"/>
          <w:szCs w:val="22"/>
        </w:rPr>
        <w:tab/>
        <w:t>INFORMATION REQUESTED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w:t>
      </w:r>
      <w:proofErr w:type="spellStart"/>
      <w:r>
        <w:rPr>
          <w:rFonts w:ascii="Times New Roman" w:hAnsi="Times New Roman"/>
          <w:b/>
          <w:bCs/>
          <w:sz w:val="22"/>
          <w:szCs w:val="22"/>
        </w:rPr>
        <w:t>i</w:t>
      </w:r>
      <w:proofErr w:type="spellEnd"/>
      <w:r>
        <w:rPr>
          <w:rFonts w:ascii="Times New Roman" w:hAnsi="Times New Roman"/>
          <w:b/>
          <w:bCs/>
          <w:sz w:val="22"/>
          <w:szCs w:val="22"/>
        </w:rPr>
        <w:t>)</w:t>
      </w:r>
      <w:r>
        <w:rPr>
          <w:rFonts w:ascii="Times New Roman" w:hAnsi="Times New Roman"/>
          <w:b/>
          <w:bCs/>
          <w:sz w:val="22"/>
          <w:szCs w:val="22"/>
        </w:rPr>
        <w:tab/>
        <w:t>Data Items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305(b) report can serve as an “umbrella” to encompass a broad range of information and data on water quality required by the CWA.  The respondents will report on the following items in their 305(b) reports (the CWA section requiring each item is highlighted in brackets):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 description of the State’s water quality [Section 305(b</w:t>
      </w:r>
      <w:proofErr w:type="gramStart"/>
      <w:r>
        <w:rPr>
          <w:rFonts w:ascii="Times New Roman" w:hAnsi="Times New Roman"/>
          <w:sz w:val="22"/>
          <w:szCs w:val="22"/>
        </w:rPr>
        <w:t>)(</w:t>
      </w:r>
      <w:proofErr w:type="gramEnd"/>
      <w:r>
        <w:rPr>
          <w:rFonts w:ascii="Times New Roman" w:hAnsi="Times New Roman"/>
          <w:sz w:val="22"/>
          <w:szCs w:val="22"/>
        </w:rPr>
        <w:t xml:space="preserve">1)(A)].  Respondents will include both narrative descriptions and numerical summary tables for this </w:t>
      </w:r>
      <w:r>
        <w:rPr>
          <w:rFonts w:ascii="Times New Roman" w:hAnsi="Times New Roman"/>
          <w:sz w:val="22"/>
          <w:szCs w:val="22"/>
        </w:rPr>
        <w:lastRenderedPageBreak/>
        <w:t xml:space="preserve">item, as specified in EPA’s </w:t>
      </w:r>
      <w:r>
        <w:rPr>
          <w:rFonts w:ascii="Times New Roman" w:hAnsi="Times New Roman"/>
          <w:i/>
          <w:iCs/>
          <w:sz w:val="22"/>
          <w:szCs w:val="22"/>
        </w:rPr>
        <w:t>Guidance for 2004 Assessment, Listing and Reporting Requirements Pursuant to Sections 303(d) and 305(b) of the Clean Water Act</w:t>
      </w:r>
      <w:r>
        <w:rPr>
          <w:rFonts w:ascii="Times New Roman" w:hAnsi="Times New Roman"/>
          <w:sz w:val="22"/>
          <w:szCs w:val="22"/>
        </w:rPr>
        <w:t>” July 21, 2003</w:t>
      </w:r>
      <w:r w:rsidR="002B0689">
        <w:rPr>
          <w:rFonts w:ascii="Times New Roman" w:hAnsi="Times New Roman"/>
          <w:sz w:val="22"/>
          <w:szCs w:val="22"/>
        </w:rPr>
        <w:t>.</w:t>
      </w:r>
      <w:r>
        <w:rPr>
          <w:rFonts w:ascii="Times New Roman" w:hAnsi="Times New Roman"/>
          <w:sz w:val="22"/>
          <w:szCs w:val="22"/>
        </w:rPr>
        <w:t xml:space="preserve">  EPA requests that the States describe water quality in terms of the support of beneficial uses (e.g., aquatic life use, swimming use, drinking water su</w:t>
      </w:r>
      <w:r w:rsidR="002B0689">
        <w:rPr>
          <w:rFonts w:ascii="Times New Roman" w:hAnsi="Times New Roman"/>
          <w:sz w:val="22"/>
          <w:szCs w:val="22"/>
        </w:rPr>
        <w:t xml:space="preserve">pply use).  CWA Section 303(c) </w:t>
      </w:r>
      <w:r>
        <w:rPr>
          <w:rFonts w:ascii="Times New Roman" w:hAnsi="Times New Roman"/>
          <w:sz w:val="22"/>
          <w:szCs w:val="22"/>
        </w:rPr>
        <w:t xml:space="preserve">requires States to designate standards (comprised of beneficial uses paired with criteria for attaining each use) to all navigable waters of the State.  Each beneficial use has its own criteria for defining the degree of support (i.e., whether the water is fully </w:t>
      </w:r>
      <w:proofErr w:type="gramStart"/>
      <w:r>
        <w:rPr>
          <w:rFonts w:ascii="Times New Roman" w:hAnsi="Times New Roman"/>
          <w:sz w:val="22"/>
          <w:szCs w:val="22"/>
        </w:rPr>
        <w:t>supporting  a</w:t>
      </w:r>
      <w:proofErr w:type="gramEnd"/>
      <w:r>
        <w:rPr>
          <w:rFonts w:ascii="Times New Roman" w:hAnsi="Times New Roman"/>
          <w:sz w:val="22"/>
          <w:szCs w:val="22"/>
        </w:rPr>
        <w:t xml:space="preserve"> beneficial use or impaired for that use).  For example, a State aquatic life criterion for selenium might be “no greater than a concentration of 20 micrograms per liter" while the drinking water criterion for selenium might be "no greater than 50 micrograms per liter.”  In this State, </w:t>
      </w:r>
      <w:proofErr w:type="gramStart"/>
      <w:r>
        <w:rPr>
          <w:rFonts w:ascii="Times New Roman" w:hAnsi="Times New Roman"/>
          <w:sz w:val="22"/>
          <w:szCs w:val="22"/>
        </w:rPr>
        <w:t>a water</w:t>
      </w:r>
      <w:proofErr w:type="gramEnd"/>
      <w:r>
        <w:rPr>
          <w:rFonts w:ascii="Times New Roman" w:hAnsi="Times New Roman"/>
          <w:sz w:val="22"/>
          <w:szCs w:val="22"/>
        </w:rPr>
        <w:t xml:space="preserve"> with consist</w:t>
      </w:r>
      <w:r w:rsidR="002B0689">
        <w:rPr>
          <w:rFonts w:ascii="Times New Roman" w:hAnsi="Times New Roman"/>
          <w:sz w:val="22"/>
          <w:szCs w:val="22"/>
        </w:rPr>
        <w:t xml:space="preserve">ent selenium concentrations of </w:t>
      </w:r>
      <w:r>
        <w:rPr>
          <w:rFonts w:ascii="Times New Roman" w:hAnsi="Times New Roman"/>
          <w:sz w:val="22"/>
          <w:szCs w:val="22"/>
        </w:rPr>
        <w:t xml:space="preserve">40 micrograms per liter could fully support the drinking water use but not the aquatic life use.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 xml:space="preserv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t>An analysis of attainment of the CWA fishable and swimmable goals [Section 305(b</w:t>
      </w:r>
      <w:proofErr w:type="gramStart"/>
      <w:r>
        <w:rPr>
          <w:rFonts w:ascii="Times New Roman" w:hAnsi="Times New Roman"/>
          <w:sz w:val="22"/>
          <w:szCs w:val="22"/>
        </w:rPr>
        <w:t>)(</w:t>
      </w:r>
      <w:proofErr w:type="gramEnd"/>
      <w:r>
        <w:rPr>
          <w:rFonts w:ascii="Times New Roman" w:hAnsi="Times New Roman"/>
          <w:sz w:val="22"/>
          <w:szCs w:val="22"/>
        </w:rPr>
        <w:t>1)(B)].  The fishable goal strives for the protection and propagation of a balanced population of shellfish, fish and wildlife in the nation’s navigable waters.  The swimmable goal seeks water quality that can support safe recreational use in and on the nation’s waters.  To minimize duplication of effort, EPA requests that States define attainment of the CWA fishable and swimmable goals in terms of support of beneficial uses.  As a result, States can satisfy CWA goal reporting requirements while describing beneficial use support.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t>Recommendations of additional actions needed to achieve the fishable and swimmable goals of the CWA, and a list of the waters where additional actions are needed [Section 305(b</w:t>
      </w:r>
      <w:proofErr w:type="gramStart"/>
      <w:r>
        <w:rPr>
          <w:rFonts w:ascii="Times New Roman" w:hAnsi="Times New Roman"/>
          <w:sz w:val="22"/>
          <w:szCs w:val="22"/>
        </w:rPr>
        <w:t>)(</w:t>
      </w:r>
      <w:proofErr w:type="gramEnd"/>
      <w:r>
        <w:rPr>
          <w:rFonts w:ascii="Times New Roman" w:hAnsi="Times New Roman"/>
          <w:sz w:val="22"/>
          <w:szCs w:val="22"/>
        </w:rPr>
        <w:t>1)(C)].  EPA requests that States define waters needing additional action as those waters partially supporting, not supporting, or unable to attain their beneficial uses.  To identify additional actions needed to meet the goals of the CWA, EPA requests that the States identify and list the pollutants causing less than full support of beneficial uses (e.g., dissolved oxygen, pH, temperature, toxic contaminants), and the sources of pollutants causing less than full support (e.g., municipal point sources, combined sewer overflows, agricultural runoff, urban runoff).</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4.</w:t>
      </w:r>
      <w:r>
        <w:rPr>
          <w:rFonts w:ascii="Times New Roman" w:hAnsi="Times New Roman"/>
          <w:sz w:val="22"/>
          <w:szCs w:val="22"/>
        </w:rPr>
        <w:tab/>
        <w:t>An estimate of the environmental impact, the benefits and economic and social costs of achieving the CWA goals in the State, and an estimate of the date when the State will achieve the goals [Section 305(b</w:t>
      </w:r>
      <w:proofErr w:type="gramStart"/>
      <w:r>
        <w:rPr>
          <w:rFonts w:ascii="Times New Roman" w:hAnsi="Times New Roman"/>
          <w:sz w:val="22"/>
          <w:szCs w:val="22"/>
        </w:rPr>
        <w:t>)(</w:t>
      </w:r>
      <w:proofErr w:type="gramEnd"/>
      <w:r>
        <w:rPr>
          <w:rFonts w:ascii="Times New Roman" w:hAnsi="Times New Roman"/>
          <w:sz w:val="22"/>
          <w:szCs w:val="22"/>
        </w:rPr>
        <w:t xml:space="preserve">1)(D)].  The EPA recognizes that this information may not be readily available due to the complexities of the analyses involved.  Therefore, respondents provide information (to the extent possible) on the costs of pollution control activities, capital investment in municipal and industrial facilities (including the costs of operating these facilities), and the costs of administering State and local water pollution control </w:t>
      </w:r>
      <w:r>
        <w:rPr>
          <w:rFonts w:ascii="Times New Roman" w:hAnsi="Times New Roman"/>
          <w:sz w:val="22"/>
          <w:szCs w:val="22"/>
        </w:rPr>
        <w:lastRenderedPageBreak/>
        <w:t>activities.  Respondents also provide, if possible, information on the beneficial actions taken to maintain or improve water quality conditions.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t>A description of nonpoint sources of pollutants degrading water quality and recommendations for controlling each nonpoint source category [Section 305(b</w:t>
      </w:r>
      <w:proofErr w:type="gramStart"/>
      <w:r>
        <w:rPr>
          <w:rFonts w:ascii="Times New Roman" w:hAnsi="Times New Roman"/>
          <w:sz w:val="22"/>
          <w:szCs w:val="22"/>
        </w:rPr>
        <w:t>)(</w:t>
      </w:r>
      <w:proofErr w:type="gramEnd"/>
      <w:r>
        <w:rPr>
          <w:rFonts w:ascii="Times New Roman" w:hAnsi="Times New Roman"/>
          <w:sz w:val="22"/>
          <w:szCs w:val="22"/>
        </w:rPr>
        <w:t>1)(E)].  To minimize burden, EPA suggests that States address this requirement by updating the nonpoint source assessment reports required under Section 319 of the CWA.</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6.</w:t>
      </w:r>
      <w:r>
        <w:rPr>
          <w:rFonts w:ascii="Times New Roman" w:hAnsi="Times New Roman"/>
          <w:sz w:val="22"/>
          <w:szCs w:val="22"/>
        </w:rPr>
        <w:tab/>
        <w:t>A list of water-quality limited waters needing TMDLs [Section 303(d</w:t>
      </w:r>
      <w:proofErr w:type="gramStart"/>
      <w:r>
        <w:rPr>
          <w:rFonts w:ascii="Times New Roman" w:hAnsi="Times New Roman"/>
          <w:sz w:val="22"/>
          <w:szCs w:val="22"/>
        </w:rPr>
        <w:t>)(</w:t>
      </w:r>
      <w:proofErr w:type="gramEnd"/>
      <w:r>
        <w:rPr>
          <w:rFonts w:ascii="Times New Roman" w:hAnsi="Times New Roman"/>
          <w:sz w:val="22"/>
          <w:szCs w:val="22"/>
        </w:rPr>
        <w:t xml:space="preserve">1)].  States are required to establish a priority ranking for these waters taking into account the severity of the pollution problems and the designated uses </w:t>
      </w:r>
      <w:proofErr w:type="gramStart"/>
      <w:r>
        <w:rPr>
          <w:rFonts w:ascii="Times New Roman" w:hAnsi="Times New Roman"/>
          <w:sz w:val="22"/>
          <w:szCs w:val="22"/>
        </w:rPr>
        <w:t>of each water</w:t>
      </w:r>
      <w:proofErr w:type="gramEnd"/>
      <w:r>
        <w:rPr>
          <w:rFonts w:ascii="Times New Roman" w:hAnsi="Times New Roman"/>
          <w:sz w:val="22"/>
          <w:szCs w:val="22"/>
        </w:rPr>
        <w:t xml:space="preserve">.  In conformance with the CWA, States apply individual approaches to assign priority to the order in which TMDLs will be established </w:t>
      </w:r>
      <w:proofErr w:type="gramStart"/>
      <w:r>
        <w:rPr>
          <w:rFonts w:ascii="Times New Roman" w:hAnsi="Times New Roman"/>
          <w:sz w:val="22"/>
          <w:szCs w:val="22"/>
        </w:rPr>
        <w:t>for each identified water</w:t>
      </w:r>
      <w:proofErr w:type="gramEnd"/>
      <w:r>
        <w:rPr>
          <w:rFonts w:ascii="Times New Roman" w:hAnsi="Times New Roman"/>
          <w:sz w:val="22"/>
          <w:szCs w:val="22"/>
        </w:rPr>
        <w:t xml:space="preserve"> and targeted for development during a specific period of time.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7.</w:t>
      </w:r>
      <w:r>
        <w:rPr>
          <w:rFonts w:ascii="Times New Roman" w:hAnsi="Times New Roman"/>
          <w:sz w:val="22"/>
          <w:szCs w:val="22"/>
        </w:rPr>
        <w:tab/>
        <w:t xml:space="preserve">A list of publicly-owned lakes ranked by </w:t>
      </w:r>
      <w:proofErr w:type="spellStart"/>
      <w:r>
        <w:rPr>
          <w:rFonts w:ascii="Times New Roman" w:hAnsi="Times New Roman"/>
          <w:sz w:val="22"/>
          <w:szCs w:val="22"/>
        </w:rPr>
        <w:t>trophic</w:t>
      </w:r>
      <w:proofErr w:type="spellEnd"/>
      <w:r>
        <w:rPr>
          <w:rFonts w:ascii="Times New Roman" w:hAnsi="Times New Roman"/>
          <w:sz w:val="22"/>
          <w:szCs w:val="22"/>
        </w:rPr>
        <w:t xml:space="preserve"> status and a list of significant publicly-owned lakes with impaired water quality, including lakes affected by high acidity [Sections 314(a</w:t>
      </w:r>
      <w:proofErr w:type="gramStart"/>
      <w:r>
        <w:rPr>
          <w:rFonts w:ascii="Times New Roman" w:hAnsi="Times New Roman"/>
          <w:sz w:val="22"/>
          <w:szCs w:val="22"/>
        </w:rPr>
        <w:t>)(</w:t>
      </w:r>
      <w:proofErr w:type="gramEnd"/>
      <w:r>
        <w:rPr>
          <w:rFonts w:ascii="Times New Roman" w:hAnsi="Times New Roman"/>
          <w:sz w:val="22"/>
          <w:szCs w:val="22"/>
        </w:rPr>
        <w:t>1)(A) and 314(a)(1)(E)].  Summary statistics on impaired and threatened lakes can be reported separately or in conjunction with information on beneficial use support for navigable waters described under item 1 above.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b/>
          <w:bCs/>
          <w:sz w:val="22"/>
          <w:szCs w:val="22"/>
        </w:rPr>
      </w:pPr>
      <w:r>
        <w:rPr>
          <w:rFonts w:ascii="Times New Roman" w:hAnsi="Times New Roman"/>
          <w:sz w:val="22"/>
          <w:szCs w:val="22"/>
        </w:rPr>
        <w:tab/>
      </w:r>
      <w:r>
        <w:rPr>
          <w:rFonts w:ascii="Times New Roman" w:hAnsi="Times New Roman"/>
          <w:sz w:val="22"/>
          <w:szCs w:val="22"/>
        </w:rPr>
        <w:tab/>
        <w:t>8.</w:t>
      </w:r>
      <w:r>
        <w:rPr>
          <w:rFonts w:ascii="Times New Roman" w:hAnsi="Times New Roman"/>
          <w:sz w:val="22"/>
          <w:szCs w:val="22"/>
        </w:rPr>
        <w:tab/>
        <w:t>A description of methods implemented to control sources of pollution and restore water quality in publicly-owned lakes [Sections 314(a</w:t>
      </w:r>
      <w:proofErr w:type="gramStart"/>
      <w:r>
        <w:rPr>
          <w:rFonts w:ascii="Times New Roman" w:hAnsi="Times New Roman"/>
          <w:sz w:val="22"/>
          <w:szCs w:val="22"/>
        </w:rPr>
        <w:t>)(</w:t>
      </w:r>
      <w:proofErr w:type="gramEnd"/>
      <w:r>
        <w:rPr>
          <w:rFonts w:ascii="Times New Roman" w:hAnsi="Times New Roman"/>
          <w:sz w:val="22"/>
          <w:szCs w:val="22"/>
        </w:rPr>
        <w:t>1)(B) and 314(a)(1)(C)].</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9.</w:t>
      </w:r>
      <w:r>
        <w:rPr>
          <w:rFonts w:ascii="Times New Roman" w:hAnsi="Times New Roman"/>
          <w:sz w:val="22"/>
          <w:szCs w:val="22"/>
        </w:rPr>
        <w:tab/>
        <w:t>A description of methods to mitigate high acidity in lakes [Section 314(a</w:t>
      </w:r>
      <w:proofErr w:type="gramStart"/>
      <w:r>
        <w:rPr>
          <w:rFonts w:ascii="Times New Roman" w:hAnsi="Times New Roman"/>
          <w:sz w:val="22"/>
          <w:szCs w:val="22"/>
        </w:rPr>
        <w:t>)(</w:t>
      </w:r>
      <w:proofErr w:type="gramEnd"/>
      <w:r>
        <w:rPr>
          <w:rFonts w:ascii="Times New Roman" w:hAnsi="Times New Roman"/>
          <w:sz w:val="22"/>
          <w:szCs w:val="22"/>
        </w:rPr>
        <w:t>1)(D)].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AA1CD5">
          <w:headerReference w:type="default" r:id="rId11"/>
          <w:footerReference w:type="default" r:id="rId12"/>
          <w:type w:val="continuous"/>
          <w:pgSz w:w="12240" w:h="15840"/>
          <w:pgMar w:top="1987" w:right="1440" w:bottom="844" w:left="1440" w:header="1728" w:footer="1440" w:gutter="0"/>
          <w:cols w:space="720"/>
          <w:noEndnote/>
        </w:sect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t>10.</w:t>
      </w:r>
      <w:r>
        <w:rPr>
          <w:rFonts w:ascii="Times New Roman" w:hAnsi="Times New Roman"/>
          <w:sz w:val="22"/>
          <w:szCs w:val="22"/>
        </w:rPr>
        <w:tab/>
        <w:t>An assessment of the status and trends of lake water quality [Section 314(a</w:t>
      </w:r>
      <w:proofErr w:type="gramStart"/>
      <w:r>
        <w:rPr>
          <w:rFonts w:ascii="Times New Roman" w:hAnsi="Times New Roman"/>
          <w:sz w:val="22"/>
          <w:szCs w:val="22"/>
        </w:rPr>
        <w:t>)(</w:t>
      </w:r>
      <w:proofErr w:type="gramEnd"/>
      <w:r>
        <w:rPr>
          <w:rFonts w:ascii="Times New Roman" w:hAnsi="Times New Roman"/>
          <w:sz w:val="22"/>
          <w:szCs w:val="22"/>
        </w:rPr>
        <w:t>1)(F)].</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11.</w:t>
      </w:r>
      <w:r>
        <w:rPr>
          <w:rFonts w:ascii="Times New Roman" w:hAnsi="Times New Roman"/>
          <w:sz w:val="22"/>
          <w:szCs w:val="22"/>
        </w:rPr>
        <w:tab/>
        <w:t xml:space="preserve">A description of groundwater quality (in narrative and quantitative form) [Section 106(e)].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12.</w:t>
      </w:r>
      <w:r>
        <w:rPr>
          <w:rFonts w:ascii="Times New Roman" w:hAnsi="Times New Roman"/>
          <w:sz w:val="22"/>
          <w:szCs w:val="22"/>
        </w:rPr>
        <w:tab/>
        <w:t>A description of State monitoring programs designed to evaluate surface water quality and groundwater quality [Section 106(e)].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43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85BEF">
        <w:rPr>
          <w:rFonts w:ascii="Times New Roman" w:hAnsi="Times New Roman"/>
          <w:sz w:val="22"/>
          <w:szCs w:val="22"/>
        </w:rPr>
        <w:tab/>
      </w:r>
      <w:r w:rsidR="00785BEF">
        <w:rPr>
          <w:rFonts w:ascii="Times New Roman" w:hAnsi="Times New Roman"/>
          <w:sz w:val="22"/>
          <w:szCs w:val="22"/>
        </w:rPr>
        <w:tab/>
      </w:r>
      <w:r>
        <w:rPr>
          <w:rFonts w:ascii="Times New Roman" w:hAnsi="Times New Roman"/>
          <w:sz w:val="22"/>
          <w:szCs w:val="22"/>
        </w:rPr>
        <w:t>13.</w:t>
      </w:r>
      <w:r>
        <w:rPr>
          <w:rFonts w:ascii="Times New Roman" w:hAnsi="Times New Roman"/>
          <w:sz w:val="22"/>
          <w:szCs w:val="22"/>
        </w:rPr>
        <w:tab/>
        <w:t xml:space="preserve">Annual electronic datasets containing information </w:t>
      </w:r>
      <w:proofErr w:type="gramStart"/>
      <w:r>
        <w:rPr>
          <w:rFonts w:ascii="Times New Roman" w:hAnsi="Times New Roman"/>
          <w:sz w:val="22"/>
          <w:szCs w:val="22"/>
        </w:rPr>
        <w:t>for each assessed water</w:t>
      </w:r>
      <w:proofErr w:type="gramEnd"/>
      <w:r>
        <w:rPr>
          <w:rFonts w:ascii="Times New Roman" w:hAnsi="Times New Roman"/>
          <w:sz w:val="22"/>
          <w:szCs w:val="22"/>
        </w:rPr>
        <w:t xml:space="preserve"> used to prepare the summary information in the items 1, 2, 3, 5, and 7 above.  These can be ADB datasets or datasets in a format that EPA can convert electronically to ADB.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06721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lastRenderedPageBreak/>
        <w:t xml:space="preserve">In accordance </w:t>
      </w:r>
      <w:r w:rsidR="00AA1CD5">
        <w:rPr>
          <w:rFonts w:ascii="Times New Roman" w:hAnsi="Times New Roman"/>
          <w:sz w:val="22"/>
          <w:szCs w:val="22"/>
        </w:rPr>
        <w:t>with Section 303(d)(1), States submit to EPA for review and approval/disapproval action a list of waters not attaining standards after the application of technology-based controls. The statute requires States to establish a priority ranking for these waters taking into account the severity of the pollution problems and th</w:t>
      </w:r>
      <w:r w:rsidR="0042241F">
        <w:rPr>
          <w:rFonts w:ascii="Times New Roman" w:hAnsi="Times New Roman"/>
          <w:sz w:val="22"/>
          <w:szCs w:val="22"/>
        </w:rPr>
        <w:t xml:space="preserve">e designated uses </w:t>
      </w:r>
      <w:proofErr w:type="gramStart"/>
      <w:r w:rsidR="0042241F">
        <w:rPr>
          <w:rFonts w:ascii="Times New Roman" w:hAnsi="Times New Roman"/>
          <w:sz w:val="22"/>
          <w:szCs w:val="22"/>
        </w:rPr>
        <w:t>of each water</w:t>
      </w:r>
      <w:proofErr w:type="gramEnd"/>
      <w:r w:rsidR="0042241F">
        <w:rPr>
          <w:rFonts w:ascii="Times New Roman" w:hAnsi="Times New Roman"/>
          <w:sz w:val="22"/>
          <w:szCs w:val="22"/>
        </w:rPr>
        <w:t xml:space="preserve">. </w:t>
      </w:r>
      <w:r w:rsidR="00AA1CD5">
        <w:rPr>
          <w:rFonts w:ascii="Times New Roman" w:hAnsi="Times New Roman"/>
          <w:sz w:val="22"/>
          <w:szCs w:val="22"/>
        </w:rPr>
        <w:t xml:space="preserve"> In conformance with the CWA, States apply individual approaches to assign priority to the order in which TMDLs will be established </w:t>
      </w:r>
      <w:proofErr w:type="gramStart"/>
      <w:r w:rsidR="00AA1CD5">
        <w:rPr>
          <w:rFonts w:ascii="Times New Roman" w:hAnsi="Times New Roman"/>
          <w:sz w:val="22"/>
          <w:szCs w:val="22"/>
        </w:rPr>
        <w:t>for each identified water</w:t>
      </w:r>
      <w:proofErr w:type="gramEnd"/>
      <w:r w:rsidR="00AA1CD5">
        <w:rPr>
          <w:rFonts w:ascii="Times New Roman" w:hAnsi="Times New Roman"/>
          <w:sz w:val="22"/>
          <w:szCs w:val="22"/>
        </w:rPr>
        <w: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06721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In accordance </w:t>
      </w:r>
      <w:r w:rsidR="00AA1CD5">
        <w:rPr>
          <w:rFonts w:ascii="Times New Roman" w:hAnsi="Times New Roman"/>
          <w:sz w:val="22"/>
          <w:szCs w:val="22"/>
        </w:rPr>
        <w:t>with Section 303(d</w:t>
      </w:r>
      <w:proofErr w:type="gramStart"/>
      <w:r w:rsidR="00AA1CD5">
        <w:rPr>
          <w:rFonts w:ascii="Times New Roman" w:hAnsi="Times New Roman"/>
          <w:sz w:val="22"/>
          <w:szCs w:val="22"/>
        </w:rPr>
        <w:t>)(</w:t>
      </w:r>
      <w:proofErr w:type="gramEnd"/>
      <w:r w:rsidR="00AA1CD5">
        <w:rPr>
          <w:rFonts w:ascii="Times New Roman" w:hAnsi="Times New Roman"/>
          <w:sz w:val="22"/>
          <w:szCs w:val="22"/>
        </w:rPr>
        <w:t>2), States establish TMDLs for waters not meeting water quality standards as a result of pollutant discharges. A TMDL is a written, quantitative assessment of water quality problems and contributing pollutant sources. It specifies the amount that pollutant loadings need to be reduced for the water to attain water quality standards and allocates pollutant load reductions among sources in a watershed. Section 303(d) requires States to submit TMDLs to EPA for review and approval/disapproval action.</w:t>
      </w:r>
      <w:r w:rsidR="003F750E">
        <w:rPr>
          <w:rFonts w:ascii="Times New Roman" w:hAnsi="Times New Roman"/>
          <w:sz w:val="22"/>
          <w:szCs w:val="22"/>
        </w:rPr>
        <w:t xml:space="preserve"> </w:t>
      </w:r>
      <w:r w:rsidR="003F750E" w:rsidRPr="00407D47">
        <w:rPr>
          <w:rFonts w:ascii="Times New Roman" w:hAnsi="Times New Roman"/>
          <w:sz w:val="22"/>
          <w:szCs w:val="22"/>
        </w:rPr>
        <w:t xml:space="preserve">Occasionally EPA might </w:t>
      </w:r>
      <w:r w:rsidR="003F750E">
        <w:rPr>
          <w:rFonts w:ascii="Times New Roman" w:hAnsi="Times New Roman"/>
          <w:sz w:val="22"/>
          <w:szCs w:val="22"/>
        </w:rPr>
        <w:t xml:space="preserve">also </w:t>
      </w:r>
      <w:r w:rsidR="003F750E" w:rsidRPr="00407D47">
        <w:rPr>
          <w:rFonts w:ascii="Times New Roman" w:hAnsi="Times New Roman"/>
          <w:sz w:val="22"/>
          <w:szCs w:val="22"/>
        </w:rPr>
        <w:t>seek additional information from States to evaluate how well</w:t>
      </w:r>
      <w:r w:rsidR="003F750E">
        <w:rPr>
          <w:rFonts w:ascii="Times New Roman" w:hAnsi="Times New Roman"/>
          <w:sz w:val="22"/>
          <w:szCs w:val="22"/>
        </w:rPr>
        <w:t xml:space="preserve"> the</w:t>
      </w:r>
      <w:r w:rsidR="003F750E" w:rsidRPr="00407D47">
        <w:rPr>
          <w:rFonts w:ascii="Times New Roman" w:hAnsi="Times New Roman"/>
          <w:sz w:val="22"/>
          <w:szCs w:val="22"/>
        </w:rPr>
        <w:t xml:space="preserve"> </w:t>
      </w:r>
      <w:r w:rsidR="003F750E">
        <w:rPr>
          <w:rFonts w:ascii="Times New Roman" w:hAnsi="Times New Roman"/>
          <w:sz w:val="22"/>
          <w:szCs w:val="22"/>
        </w:rPr>
        <w:t xml:space="preserve">TMDL program </w:t>
      </w:r>
      <w:r w:rsidR="0079318B">
        <w:rPr>
          <w:rFonts w:ascii="Times New Roman" w:hAnsi="Times New Roman"/>
          <w:sz w:val="22"/>
          <w:szCs w:val="22"/>
        </w:rPr>
        <w:t xml:space="preserve">is </w:t>
      </w:r>
      <w:r w:rsidR="003F750E" w:rsidRPr="00407D47">
        <w:rPr>
          <w:rFonts w:ascii="Times New Roman" w:hAnsi="Times New Roman"/>
          <w:sz w:val="22"/>
          <w:szCs w:val="22"/>
        </w:rPr>
        <w:t>workin</w:t>
      </w:r>
      <w:r w:rsidR="003F750E">
        <w:rPr>
          <w:rFonts w:ascii="Times New Roman" w:hAnsi="Times New Roman"/>
          <w:sz w:val="22"/>
          <w:szCs w:val="22"/>
        </w:rPr>
        <w:t>g.</w:t>
      </w:r>
      <w:r w:rsidR="00AA1CD5">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(ii)</w:t>
      </w:r>
      <w:r>
        <w:rPr>
          <w:rFonts w:ascii="Times New Roman" w:hAnsi="Times New Roman"/>
          <w:b/>
          <w:bCs/>
          <w:sz w:val="22"/>
          <w:szCs w:val="22"/>
        </w:rPr>
        <w:tab/>
        <w:t>Respondent Activities</w:t>
      </w: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During the period covered by this ICR renewal, the three respondents with only 305(b) reporting requi</w:t>
      </w:r>
      <w:r w:rsidR="002B0689">
        <w:rPr>
          <w:rFonts w:ascii="Times New Roman" w:hAnsi="Times New Roman"/>
          <w:sz w:val="22"/>
          <w:szCs w:val="22"/>
        </w:rPr>
        <w:t>rements will complete their 20</w:t>
      </w:r>
      <w:r w:rsidR="00612581">
        <w:rPr>
          <w:rFonts w:ascii="Times New Roman" w:hAnsi="Times New Roman"/>
          <w:sz w:val="22"/>
          <w:szCs w:val="22"/>
        </w:rPr>
        <w:t>12</w:t>
      </w:r>
      <w:r w:rsidR="002B0689">
        <w:rPr>
          <w:rFonts w:ascii="Times New Roman" w:hAnsi="Times New Roman"/>
          <w:sz w:val="22"/>
          <w:szCs w:val="22"/>
        </w:rPr>
        <w:t xml:space="preserve"> 305(b) reports and their 201</w:t>
      </w:r>
      <w:r w:rsidR="00612581">
        <w:rPr>
          <w:rFonts w:ascii="Times New Roman" w:hAnsi="Times New Roman"/>
          <w:sz w:val="22"/>
          <w:szCs w:val="22"/>
        </w:rPr>
        <w:t>4</w:t>
      </w:r>
      <w:r>
        <w:rPr>
          <w:rFonts w:ascii="Times New Roman" w:hAnsi="Times New Roman"/>
          <w:sz w:val="22"/>
          <w:szCs w:val="22"/>
        </w:rPr>
        <w:t xml:space="preserve"> 305(b) reports.  The remaining 56 resp</w:t>
      </w:r>
      <w:r w:rsidR="002B0689">
        <w:rPr>
          <w:rFonts w:ascii="Times New Roman" w:hAnsi="Times New Roman"/>
          <w:sz w:val="22"/>
          <w:szCs w:val="22"/>
        </w:rPr>
        <w:t>ondents will complete their 20</w:t>
      </w:r>
      <w:r w:rsidR="00612581">
        <w:rPr>
          <w:rFonts w:ascii="Times New Roman" w:hAnsi="Times New Roman"/>
          <w:sz w:val="22"/>
          <w:szCs w:val="22"/>
        </w:rPr>
        <w:t>12</w:t>
      </w:r>
      <w:r w:rsidR="002B0689">
        <w:rPr>
          <w:rFonts w:ascii="Times New Roman" w:hAnsi="Times New Roman"/>
          <w:sz w:val="22"/>
          <w:szCs w:val="22"/>
        </w:rPr>
        <w:t xml:space="preserve"> 305(b) reports; their 20</w:t>
      </w:r>
      <w:r w:rsidR="00612581">
        <w:rPr>
          <w:rFonts w:ascii="Times New Roman" w:hAnsi="Times New Roman"/>
          <w:sz w:val="22"/>
          <w:szCs w:val="22"/>
        </w:rPr>
        <w:t>12</w:t>
      </w:r>
      <w:r>
        <w:rPr>
          <w:rFonts w:ascii="Times New Roman" w:hAnsi="Times New Roman"/>
          <w:sz w:val="22"/>
          <w:szCs w:val="22"/>
        </w:rPr>
        <w:t xml:space="preserve"> </w:t>
      </w:r>
      <w:r w:rsidR="002B0689">
        <w:rPr>
          <w:rFonts w:ascii="Times New Roman" w:hAnsi="Times New Roman"/>
          <w:sz w:val="22"/>
          <w:szCs w:val="22"/>
        </w:rPr>
        <w:t>303(d) lists; their 201</w:t>
      </w:r>
      <w:r w:rsidR="00612581">
        <w:rPr>
          <w:rFonts w:ascii="Times New Roman" w:hAnsi="Times New Roman"/>
          <w:sz w:val="22"/>
          <w:szCs w:val="22"/>
        </w:rPr>
        <w:t>4</w:t>
      </w:r>
      <w:r w:rsidR="002B0689">
        <w:rPr>
          <w:rFonts w:ascii="Times New Roman" w:hAnsi="Times New Roman"/>
          <w:sz w:val="22"/>
          <w:szCs w:val="22"/>
        </w:rPr>
        <w:t xml:space="preserve"> 305(b) reports; and their 201</w:t>
      </w:r>
      <w:r w:rsidR="00612581">
        <w:rPr>
          <w:rFonts w:ascii="Times New Roman" w:hAnsi="Times New Roman"/>
          <w:sz w:val="22"/>
          <w:szCs w:val="22"/>
        </w:rPr>
        <w:t>4</w:t>
      </w:r>
      <w:r>
        <w:rPr>
          <w:rFonts w:ascii="Times New Roman" w:hAnsi="Times New Roman"/>
          <w:sz w:val="22"/>
          <w:szCs w:val="22"/>
        </w:rPr>
        <w:t xml:space="preserve"> 303(d) lists, preferably in an integrated report.  During this period, all 59 respondents will also transmit annual electronic updates o</w:t>
      </w:r>
      <w:r w:rsidR="002B0689">
        <w:rPr>
          <w:rFonts w:ascii="Times New Roman" w:hAnsi="Times New Roman"/>
          <w:sz w:val="22"/>
          <w:szCs w:val="22"/>
        </w:rPr>
        <w:t>f their 305(b) databases in 20</w:t>
      </w:r>
      <w:r w:rsidR="00612581">
        <w:rPr>
          <w:rFonts w:ascii="Times New Roman" w:hAnsi="Times New Roman"/>
          <w:sz w:val="22"/>
          <w:szCs w:val="22"/>
        </w:rPr>
        <w:t>12</w:t>
      </w:r>
      <w:r w:rsidR="002B0689">
        <w:rPr>
          <w:rFonts w:ascii="Times New Roman" w:hAnsi="Times New Roman"/>
          <w:sz w:val="22"/>
          <w:szCs w:val="22"/>
        </w:rPr>
        <w:t xml:space="preserve"> through 201</w:t>
      </w:r>
      <w:r w:rsidR="00612581">
        <w:rPr>
          <w:rFonts w:ascii="Times New Roman" w:hAnsi="Times New Roman"/>
          <w:sz w:val="22"/>
          <w:szCs w:val="22"/>
        </w:rPr>
        <w:t>4</w:t>
      </w:r>
      <w:r>
        <w:rPr>
          <w:rFonts w:ascii="Times New Roman" w:hAnsi="Times New Roman"/>
          <w:sz w:val="22"/>
          <w:szCs w:val="22"/>
        </w:rPr>
        <w:t xml:space="preserve">.  The 56 respondents with 303(d) responsibility will continue to develop TMDLs according to their established schedules.  The specific activities that respondents undertake as part of their 305(b) and 303(d) programs are derived from an ongoing project among EPA, States and other interested stakeholders to develop a tool for estimating the States’ resource needs for State water quality management programs.  This project has developed the State Water Quality Management Workload Model (SWQMWM), which estimates and sums the workload involved in more than one hundred activities or tasks comprising a State water quality management program. For the purposes of 305(b) and 303(d) activities, EPA assumes that all respondents (including territories and river basins) are adequately represented by the level of needs reported by States in the SWQMWM.  According to the SWQMWM, the States will carry out the following activities or tasks to meet the 305(b) and 303(d) reporting requirements.  In general, respondents have conducted each of these reporting and record keeping activities for past 305(b) and 303(d) reporting cycles and thus have staff and procedures in place to continue their 305(b) and 303(d) </w:t>
      </w:r>
      <w:proofErr w:type="gramStart"/>
      <w:r>
        <w:rPr>
          <w:rFonts w:ascii="Times New Roman" w:hAnsi="Times New Roman"/>
          <w:sz w:val="22"/>
          <w:szCs w:val="22"/>
        </w:rPr>
        <w:t>reporting  programs</w:t>
      </w:r>
      <w:proofErr w:type="gramEnd"/>
      <w:r>
        <w:rPr>
          <w:rFonts w:ascii="Times New Roman" w:hAnsi="Times New Roman"/>
          <w:sz w:val="22"/>
          <w:szCs w:val="22"/>
        </w:rPr>
        <w:t xml:space="preserv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Pr>
          <w:rFonts w:ascii="Times New Roman" w:hAnsi="Times New Roman"/>
          <w:b/>
          <w:bCs/>
          <w:sz w:val="22"/>
          <w:szCs w:val="22"/>
        </w:rPr>
        <w:t>Activities for 56 Respondents with Both 305(b) and 303(d) Responsibility: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1. </w:t>
      </w:r>
      <w:r>
        <w:rPr>
          <w:rFonts w:ascii="Times New Roman" w:hAnsi="Times New Roman"/>
          <w:sz w:val="22"/>
          <w:szCs w:val="22"/>
        </w:rPr>
        <w:tab/>
        <w:t>Review Regulations and Guidance for CWA 305(b) and CWA 303(d).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 xml:space="preserve">Plan and Coordinate Data Acquisition and Compile and Screen Data for Assessments.  Specific activities include: planning data acquisition strategy; issuing solicitation for data from other agencies, universities, the public, etc.; </w:t>
      </w:r>
      <w:r>
        <w:rPr>
          <w:rFonts w:ascii="Times New Roman" w:hAnsi="Times New Roman"/>
          <w:sz w:val="22"/>
          <w:szCs w:val="22"/>
        </w:rPr>
        <w:lastRenderedPageBreak/>
        <w:t>developing data screening programs; gathering and compiling appropriate data; and determining the availability of sufficient data.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2B0689"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 xml:space="preserve">Develop and Submit Complete 305(b) Report and Respond to EPA Comments. Specific activities include:  internal circulation, review, and revision of all aspects of the report </w:t>
      </w:r>
      <w:r w:rsidR="002B0689">
        <w:rPr>
          <w:rFonts w:ascii="Times New Roman" w:hAnsi="Times New Roman"/>
          <w:sz w:val="22"/>
          <w:szCs w:val="22"/>
        </w:rPr>
        <w:t xml:space="preserve">prior to submission to EPA and </w:t>
      </w:r>
      <w:r>
        <w:rPr>
          <w:rFonts w:ascii="Times New Roman" w:hAnsi="Times New Roman"/>
          <w:sz w:val="22"/>
          <w:szCs w:val="22"/>
        </w:rPr>
        <w:t xml:space="preserve">information regarding the ability </w:t>
      </w:r>
      <w:proofErr w:type="gramStart"/>
      <w:r>
        <w:rPr>
          <w:rFonts w:ascii="Times New Roman" w:hAnsi="Times New Roman"/>
          <w:sz w:val="22"/>
          <w:szCs w:val="22"/>
        </w:rPr>
        <w:t>of each individual water</w:t>
      </w:r>
      <w:proofErr w:type="gramEnd"/>
      <w:r>
        <w:rPr>
          <w:rFonts w:ascii="Times New Roman" w:hAnsi="Times New Roman"/>
          <w:sz w:val="22"/>
          <w:szCs w:val="22"/>
        </w:rPr>
        <w:t xml:space="preserve"> (including rivers and streams, lakes, estuaries, wetlands, and coastal and marine waters) to meet its designated use.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t xml:space="preserve">Develop, Review, and Update 303(d) </w:t>
      </w:r>
      <w:r w:rsidR="00067218">
        <w:rPr>
          <w:rFonts w:ascii="Times New Roman" w:hAnsi="Times New Roman"/>
          <w:sz w:val="22"/>
          <w:szCs w:val="22"/>
        </w:rPr>
        <w:t xml:space="preserve">Assessment </w:t>
      </w:r>
      <w:r>
        <w:rPr>
          <w:rFonts w:ascii="Times New Roman" w:hAnsi="Times New Roman"/>
          <w:sz w:val="22"/>
          <w:szCs w:val="22"/>
        </w:rPr>
        <w:t xml:space="preserve">Methodology.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Prepare 303(d) List.  Specific activities include:  identifying waters (including wetlands and coastal and marine waters), establishing priorities, and determining schedules and targets.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6.  </w:t>
      </w:r>
      <w:r>
        <w:rPr>
          <w:rFonts w:ascii="Times New Roman" w:hAnsi="Times New Roman"/>
          <w:sz w:val="22"/>
          <w:szCs w:val="22"/>
        </w:rPr>
        <w:tab/>
        <w:t xml:space="preserve">Conduct Public Participation </w:t>
      </w:r>
      <w:proofErr w:type="gramStart"/>
      <w:r>
        <w:rPr>
          <w:rFonts w:ascii="Times New Roman" w:hAnsi="Times New Roman"/>
          <w:sz w:val="22"/>
          <w:szCs w:val="22"/>
        </w:rPr>
        <w:t>Required</w:t>
      </w:r>
      <w:proofErr w:type="gramEnd"/>
      <w:r>
        <w:rPr>
          <w:rFonts w:ascii="Times New Roman" w:hAnsi="Times New Roman"/>
          <w:sz w:val="22"/>
          <w:szCs w:val="22"/>
        </w:rPr>
        <w:t xml:space="preserve"> for the 303(d) list.  Specific activities include:  issuing public notice(s) and developing responses to public comments on the list, priorities, and schedules.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7.  </w:t>
      </w:r>
      <w:r>
        <w:rPr>
          <w:rFonts w:ascii="Times New Roman" w:hAnsi="Times New Roman"/>
          <w:sz w:val="22"/>
          <w:szCs w:val="22"/>
        </w:rPr>
        <w:tab/>
        <w:t>Submit 303(d) List to EPA and Respond to EPA Comments.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8.  </w:t>
      </w:r>
      <w:r>
        <w:rPr>
          <w:rFonts w:ascii="Times New Roman" w:hAnsi="Times New Roman"/>
          <w:sz w:val="22"/>
          <w:szCs w:val="22"/>
        </w:rPr>
        <w:tab/>
        <w:t>Prepare Annual Electronic Updates.  This activity includes inputting geo-referenced assessment findings into the Assessment Database (or a compatible format) and submitting that database to EPA on an annual basis.</w:t>
      </w:r>
    </w:p>
    <w:p w:rsidR="003F750E" w:rsidRDefault="003F750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p>
    <w:p w:rsidR="003F750E" w:rsidRDefault="003F750E"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9.  </w:t>
      </w:r>
      <w:r>
        <w:rPr>
          <w:rFonts w:ascii="Times New Roman" w:hAnsi="Times New Roman"/>
          <w:sz w:val="22"/>
          <w:szCs w:val="22"/>
        </w:rPr>
        <w:tab/>
        <w:t xml:space="preserve">Occasionally assist EPA with evaluating program management and its </w:t>
      </w:r>
      <w:proofErr w:type="gramStart"/>
      <w:r>
        <w:rPr>
          <w:rFonts w:ascii="Times New Roman" w:hAnsi="Times New Roman"/>
          <w:sz w:val="22"/>
          <w:szCs w:val="22"/>
        </w:rPr>
        <w:t>effectiveness  in</w:t>
      </w:r>
      <w:proofErr w:type="gramEnd"/>
      <w:r>
        <w:rPr>
          <w:rFonts w:ascii="Times New Roman" w:hAnsi="Times New Roman"/>
          <w:sz w:val="22"/>
          <w:szCs w:val="22"/>
        </w:rPr>
        <w:t xml:space="preserve"> attaining water quality standards.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2"/>
          <w:szCs w:val="22"/>
        </w:rPr>
      </w:pPr>
      <w:r>
        <w:rPr>
          <w:rFonts w:ascii="Times New Roman" w:hAnsi="Times New Roman"/>
          <w:b/>
          <w:bCs/>
          <w:sz w:val="22"/>
          <w:szCs w:val="22"/>
        </w:rPr>
        <w:t>Activities for 3 Respondents with 305(b) Responsibility Only: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Review Regulations and Guidance for CWA 305(b) and CWA 303(d).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Plan and Coordinate Data Acquisition and Compile and Screen Data for Assessments.  Specific activities include: planning data acquisition strategy; issuing solicitation for data from other agencies, universities, the public, etc.; developing data screening programs; gathering and compiling appropriate data; and determining the availability of sufficient data.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 xml:space="preserve">Develop and Submit Complete 305(b) Report and Respond to EPA Comments. Specific activities include:  internal circulation, review, and revision of all aspects of the report prior to submission to EPA and information regarding the ability </w:t>
      </w:r>
      <w:proofErr w:type="gramStart"/>
      <w:r>
        <w:rPr>
          <w:rFonts w:ascii="Times New Roman" w:hAnsi="Times New Roman"/>
          <w:sz w:val="22"/>
          <w:szCs w:val="22"/>
        </w:rPr>
        <w:t>of each individual water</w:t>
      </w:r>
      <w:proofErr w:type="gramEnd"/>
      <w:r>
        <w:rPr>
          <w:rFonts w:ascii="Times New Roman" w:hAnsi="Times New Roman"/>
          <w:sz w:val="22"/>
          <w:szCs w:val="22"/>
        </w:rPr>
        <w:t xml:space="preserve"> (including rivers and streams, lakes, estuaries, wetlands, and coastal and marine waters) to meet its designated use.</w:t>
      </w: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8C0C4D"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lastRenderedPageBreak/>
        <w:t>4</w:t>
      </w:r>
      <w:r w:rsidR="00AA1CD5">
        <w:rPr>
          <w:rFonts w:ascii="Times New Roman" w:hAnsi="Times New Roman"/>
          <w:sz w:val="22"/>
          <w:szCs w:val="22"/>
        </w:rPr>
        <w:t xml:space="preserve">.  </w:t>
      </w:r>
      <w:r w:rsidR="00AA1CD5">
        <w:rPr>
          <w:rFonts w:ascii="Times New Roman" w:hAnsi="Times New Roman"/>
          <w:sz w:val="22"/>
          <w:szCs w:val="22"/>
        </w:rPr>
        <w:tab/>
        <w:t>Prepare Annual Electronic Updates.  This activity includes inputting geo-referenced assessment findings into the Assessment Database (or a compatible format) and submitting that database to EPA on an annual basis.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An additional activity not included in the SWQMWM involves an enhanced assessment of the benefits and costs of achieving water quality goals.  The program requires that the 305(b) biennial water quality reports include an estimate of the environmental impact, the benefits and economic and social costs of achieving the CWA goals in the State, and an estimate of the date when the State will achieve the goals. In previous ICRs, EPA has recognized that this information may not be readily available due to the complexities of the analysis involved. 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improve water quality conditions. As a Term of Clearance for a</w:t>
      </w:r>
      <w:r w:rsidR="002B0689">
        <w:rPr>
          <w:rFonts w:ascii="Times New Roman" w:hAnsi="Times New Roman"/>
          <w:sz w:val="22"/>
          <w:szCs w:val="22"/>
        </w:rPr>
        <w:t xml:space="preserve"> previous ICR (1560.05), OMB</w:t>
      </w:r>
      <w:r>
        <w:rPr>
          <w:rFonts w:ascii="Times New Roman" w:hAnsi="Times New Roman"/>
          <w:sz w:val="22"/>
          <w:szCs w:val="22"/>
        </w:rPr>
        <w:t xml:space="preserve"> required that an estimate be made of the burden that would be associated with all States estimating costs and benefits for achieving WQS.  </w:t>
      </w:r>
      <w:r w:rsidRPr="00CD07C2">
        <w:rPr>
          <w:rFonts w:ascii="Times New Roman" w:hAnsi="Times New Roman"/>
          <w:sz w:val="22"/>
          <w:szCs w:val="22"/>
        </w:rPr>
        <w:t>These activities</w:t>
      </w:r>
      <w:r w:rsidR="002B0689" w:rsidRPr="00CD07C2">
        <w:rPr>
          <w:rFonts w:ascii="Times New Roman" w:hAnsi="Times New Roman"/>
          <w:sz w:val="22"/>
          <w:szCs w:val="22"/>
        </w:rPr>
        <w:t xml:space="preserve"> </w:t>
      </w:r>
      <w:r w:rsidRPr="00CD07C2">
        <w:rPr>
          <w:rFonts w:ascii="Times New Roman" w:hAnsi="Times New Roman"/>
          <w:sz w:val="22"/>
          <w:szCs w:val="22"/>
        </w:rPr>
        <w:t>have not yet been implemented pending revisions to the</w:t>
      </w:r>
      <w:r w:rsidR="00B94893" w:rsidRPr="00CD07C2">
        <w:rPr>
          <w:rFonts w:ascii="Times New Roman" w:hAnsi="Times New Roman"/>
          <w:sz w:val="22"/>
          <w:szCs w:val="22"/>
        </w:rPr>
        <w:t xml:space="preserve"> program; they</w:t>
      </w:r>
      <w:r w:rsidR="002B0689" w:rsidRPr="00CD07C2">
        <w:rPr>
          <w:rFonts w:ascii="Times New Roman" w:hAnsi="Times New Roman"/>
          <w:sz w:val="22"/>
          <w:szCs w:val="22"/>
        </w:rPr>
        <w:t xml:space="preserve"> </w:t>
      </w:r>
      <w:r w:rsidRPr="00CD07C2">
        <w:rPr>
          <w:rFonts w:ascii="Times New Roman" w:hAnsi="Times New Roman"/>
          <w:sz w:val="22"/>
          <w:szCs w:val="22"/>
        </w:rPr>
        <w:t>are included in this ICR.</w:t>
      </w:r>
      <w:r>
        <w:rPr>
          <w:rFonts w:ascii="Times New Roman" w:hAnsi="Times New Roman"/>
          <w:sz w:val="22"/>
          <w:szCs w:val="22"/>
        </w:rPr>
        <w:t xml:space="preserve">  Thus, this ICR estimates the burden to the Agency of providing respondents with data, methods, templates and workshops for use in estimating costs and benefits (consistent with Section 305(b)(1)(D)), and the burden to all 59 respondents of applying this guidance to improve their </w:t>
      </w:r>
      <w:r w:rsidR="00FD7314">
        <w:rPr>
          <w:rFonts w:ascii="Times New Roman" w:hAnsi="Times New Roman"/>
          <w:sz w:val="22"/>
          <w:szCs w:val="22"/>
        </w:rPr>
        <w:t xml:space="preserve"> </w:t>
      </w:r>
      <w:r>
        <w:rPr>
          <w:rFonts w:ascii="Times New Roman" w:hAnsi="Times New Roman"/>
          <w:sz w:val="22"/>
          <w:szCs w:val="22"/>
        </w:rPr>
        <w:t>estimates.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In addition, 56 respondents with 303(d) responsibilities will conduct activities associated with TMDL development.  </w:t>
      </w:r>
      <w:r w:rsidRPr="00B94893">
        <w:rPr>
          <w:rFonts w:ascii="Times New Roman" w:hAnsi="Times New Roman"/>
          <w:sz w:val="22"/>
          <w:szCs w:val="22"/>
        </w:rPr>
        <w:t>The activities associated with TMDL development have been analyzed in detail as part of the EPA draft report,</w:t>
      </w:r>
      <w:r w:rsidRPr="00B94893">
        <w:rPr>
          <w:rFonts w:ascii="Times New Roman" w:hAnsi="Times New Roman"/>
          <w:i/>
          <w:iCs/>
          <w:sz w:val="22"/>
          <w:szCs w:val="22"/>
        </w:rPr>
        <w:t xml:space="preserve"> The National Costs to Develop TMDLs (Draft Report): Support Document #1</w:t>
      </w:r>
      <w:r w:rsidRPr="00B94893">
        <w:rPr>
          <w:rFonts w:ascii="Times New Roman" w:hAnsi="Times New Roman"/>
          <w:sz w:val="22"/>
          <w:szCs w:val="22"/>
        </w:rPr>
        <w:t xml:space="preserve"> (July 31, 2001).</w:t>
      </w:r>
      <w:r>
        <w:rPr>
          <w:rFonts w:ascii="Times New Roman" w:hAnsi="Times New Roman"/>
          <w:sz w:val="22"/>
          <w:szCs w:val="22"/>
        </w:rPr>
        <w:t xml:space="preserve">  </w:t>
      </w:r>
      <w:r w:rsidR="003F750E">
        <w:rPr>
          <w:rFonts w:ascii="Times New Roman" w:hAnsi="Times New Roman"/>
          <w:sz w:val="22"/>
          <w:szCs w:val="22"/>
        </w:rPr>
        <w:t>R</w:t>
      </w:r>
      <w:r>
        <w:rPr>
          <w:rFonts w:ascii="Times New Roman" w:hAnsi="Times New Roman"/>
          <w:sz w:val="22"/>
          <w:szCs w:val="22"/>
        </w:rPr>
        <w:t>espondents will engage in the following activities to develop a TMDL under the current 303(d) program.</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1. </w:t>
      </w:r>
      <w:r>
        <w:rPr>
          <w:rFonts w:ascii="Times New Roman" w:hAnsi="Times New Roman"/>
          <w:sz w:val="22"/>
          <w:szCs w:val="22"/>
        </w:rPr>
        <w:tab/>
        <w:t>Watershed characterization.  Compile available information, create database or electronic files, review available information, and select the technical approach.</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ab/>
        <w:t>Modeling and analysis.  Select final model, model setup and calibration.  Evaluate existing conditions.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ab/>
        <w:t>Allocation analysis.  Evaluate allocation scenarios and select final allocation.</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rPr>
        <w:tab/>
        <w:t>Development of TMDL document for public review.  Prepare technical report documenting analysis and assumptions.  Document the TMDL (i.e., Waste Load Allocation (WLA), Load Allocation (LA), loading capacity, margin of safety, seasonality).  Prepare administrative record.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t xml:space="preserve">Public outreach.  </w:t>
      </w:r>
      <w:proofErr w:type="gramStart"/>
      <w:r>
        <w:rPr>
          <w:rFonts w:ascii="Times New Roman" w:hAnsi="Times New Roman"/>
          <w:sz w:val="22"/>
          <w:szCs w:val="22"/>
        </w:rPr>
        <w:t>Public meetings and dissemination of information prior to TMDL submittal.</w:t>
      </w:r>
      <w:proofErr w:type="gramEnd"/>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lastRenderedPageBreak/>
        <w:t>6.</w:t>
      </w:r>
      <w:r w:rsidR="00CD07C2">
        <w:rPr>
          <w:rFonts w:ascii="Times New Roman" w:hAnsi="Times New Roman"/>
          <w:sz w:val="22"/>
          <w:szCs w:val="22"/>
        </w:rPr>
        <w:t xml:space="preserve"> </w:t>
      </w:r>
      <w:r w:rsidR="00CD07C2">
        <w:rPr>
          <w:rFonts w:ascii="Times New Roman" w:hAnsi="Times New Roman"/>
          <w:sz w:val="22"/>
          <w:szCs w:val="22"/>
        </w:rPr>
        <w:tab/>
        <w:t xml:space="preserve">Formal public participation. </w:t>
      </w:r>
      <w:proofErr w:type="gramStart"/>
      <w:r>
        <w:rPr>
          <w:rFonts w:ascii="Times New Roman" w:hAnsi="Times New Roman"/>
          <w:sz w:val="22"/>
          <w:szCs w:val="22"/>
        </w:rPr>
        <w:t>Announcement of TMDL and formal public meeting.</w:t>
      </w:r>
      <w:proofErr w:type="gramEnd"/>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 xml:space="preserve">7. </w:t>
      </w:r>
      <w:r>
        <w:rPr>
          <w:rFonts w:ascii="Times New Roman" w:hAnsi="Times New Roman"/>
          <w:sz w:val="22"/>
          <w:szCs w:val="22"/>
        </w:rPr>
        <w:tab/>
        <w:t>Tracking, planning, legal support, etc.  Miscellaneous tasks needed to support TMDL development.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burden associated with these tasks under the program is estimated in this ICR for the total number of TMDLs that may be submitted during the period covered by this ICR.</w:t>
      </w:r>
    </w:p>
    <w:p w:rsidR="003A645C" w:rsidRDefault="003A645C"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3F750E">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4.</w:t>
      </w:r>
      <w:r>
        <w:rPr>
          <w:rFonts w:ascii="Times New Roman" w:hAnsi="Times New Roman"/>
          <w:b/>
          <w:bCs/>
          <w:sz w:val="22"/>
          <w:szCs w:val="22"/>
        </w:rPr>
        <w:tab/>
      </w:r>
      <w:r>
        <w:rPr>
          <w:rFonts w:ascii="Times New Roman" w:hAnsi="Times New Roman"/>
          <w:b/>
          <w:bCs/>
          <w:sz w:val="22"/>
          <w:szCs w:val="22"/>
          <w:u w:val="single"/>
        </w:rPr>
        <w:t>THE INFORMATION COLLECTED -- AGENCY ACTIVITIES COLLECTION METHODOLOGY, AND INFORMATION MANAGEMENT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4(a)</w:t>
      </w:r>
      <w:r>
        <w:rPr>
          <w:rFonts w:ascii="Times New Roman" w:hAnsi="Times New Roman"/>
          <w:b/>
          <w:bCs/>
          <w:sz w:val="22"/>
          <w:szCs w:val="22"/>
        </w:rPr>
        <w:tab/>
        <w:t>AGENCY ACTIVITIES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1.</w:t>
      </w:r>
      <w:r>
        <w:rPr>
          <w:rFonts w:ascii="Times New Roman" w:hAnsi="Times New Roman"/>
          <w:sz w:val="22"/>
          <w:szCs w:val="22"/>
        </w:rPr>
        <w:tab/>
      </w:r>
      <w:r w:rsidR="00FD7314">
        <w:rPr>
          <w:rFonts w:ascii="Times New Roman" w:hAnsi="Times New Roman"/>
          <w:sz w:val="22"/>
          <w:szCs w:val="22"/>
          <w:u w:val="single"/>
        </w:rPr>
        <w:t>Revise the Integrated Reporting</w:t>
      </w:r>
      <w:r>
        <w:rPr>
          <w:rFonts w:ascii="Times New Roman" w:hAnsi="Times New Roman"/>
          <w:sz w:val="22"/>
          <w:szCs w:val="22"/>
          <w:u w:val="single"/>
        </w:rPr>
        <w:t xml:space="preserve"> guidance document for distribution to the</w:t>
      </w:r>
      <w:r>
        <w:rPr>
          <w:rFonts w:ascii="Times New Roman" w:hAnsi="Times New Roman"/>
          <w:sz w:val="22"/>
          <w:szCs w:val="22"/>
        </w:rPr>
        <w:t xml:space="preserve"> </w:t>
      </w:r>
      <w:r>
        <w:rPr>
          <w:rFonts w:ascii="Times New Roman" w:hAnsi="Times New Roman"/>
          <w:sz w:val="22"/>
          <w:szCs w:val="22"/>
          <w:u w:val="single"/>
        </w:rPr>
        <w:t>respondents.</w:t>
      </w:r>
      <w:r>
        <w:rPr>
          <w:rFonts w:ascii="Times New Roman" w:hAnsi="Times New Roman"/>
          <w:sz w:val="22"/>
          <w:szCs w:val="22"/>
        </w:rPr>
        <w:t xml:space="preserve"> The guidance document provides essential instructions to the respondents on the organization, format, and content of the </w:t>
      </w:r>
      <w:r w:rsidR="00FD7314">
        <w:rPr>
          <w:rFonts w:ascii="Times New Roman" w:hAnsi="Times New Roman"/>
          <w:sz w:val="22"/>
          <w:szCs w:val="22"/>
        </w:rPr>
        <w:t xml:space="preserve">integrated </w:t>
      </w:r>
      <w:r>
        <w:rPr>
          <w:rFonts w:ascii="Times New Roman" w:hAnsi="Times New Roman"/>
          <w:sz w:val="22"/>
          <w:szCs w:val="22"/>
        </w:rPr>
        <w:t>305(b)</w:t>
      </w:r>
      <w:r w:rsidR="00FD7314">
        <w:rPr>
          <w:rFonts w:ascii="Times New Roman" w:hAnsi="Times New Roman"/>
          <w:sz w:val="22"/>
          <w:szCs w:val="22"/>
        </w:rPr>
        <w:t>/303(d)</w:t>
      </w:r>
      <w:r>
        <w:rPr>
          <w:rFonts w:ascii="Times New Roman" w:hAnsi="Times New Roman"/>
          <w:sz w:val="22"/>
          <w:szCs w:val="22"/>
        </w:rPr>
        <w:t xml:space="preserve"> reports. The guidance encourages the States to submit information in a consistent format which enables EPA to extract and summarize State information for the Report to Congress.  EPA’s most recent guidance document covers </w:t>
      </w:r>
      <w:r w:rsidR="00067218">
        <w:rPr>
          <w:rFonts w:ascii="Times New Roman" w:hAnsi="Times New Roman"/>
          <w:sz w:val="22"/>
          <w:szCs w:val="22"/>
        </w:rPr>
        <w:t>Integrated R</w:t>
      </w:r>
      <w:r w:rsidR="00FD7314">
        <w:rPr>
          <w:rFonts w:ascii="Times New Roman" w:hAnsi="Times New Roman"/>
          <w:sz w:val="22"/>
          <w:szCs w:val="22"/>
        </w:rPr>
        <w:t>eports due in 20</w:t>
      </w:r>
      <w:r w:rsidR="006C33A6">
        <w:rPr>
          <w:rFonts w:ascii="Times New Roman" w:hAnsi="Times New Roman"/>
          <w:sz w:val="22"/>
          <w:szCs w:val="22"/>
        </w:rPr>
        <w:t>12</w:t>
      </w:r>
      <w:proofErr w:type="gramStart"/>
      <w:r w:rsidR="006C33A6">
        <w:rPr>
          <w:rFonts w:ascii="Times New Roman" w:hAnsi="Times New Roman"/>
          <w:sz w:val="22"/>
          <w:szCs w:val="22"/>
        </w:rPr>
        <w:t>.</w:t>
      </w:r>
      <w:r>
        <w:rPr>
          <w:rFonts w:ascii="Times New Roman" w:hAnsi="Times New Roman"/>
          <w:sz w:val="22"/>
          <w:szCs w:val="22"/>
        </w:rPr>
        <w:t>.</w:t>
      </w:r>
      <w:proofErr w:type="gramEnd"/>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Pr>
          <w:rFonts w:ascii="Times New Roman" w:hAnsi="Times New Roman"/>
          <w:sz w:val="22"/>
          <w:szCs w:val="22"/>
          <w:u w:val="single"/>
        </w:rPr>
        <w:t>Prepare the National Water Quality Inventory Report to Congress.</w:t>
      </w:r>
      <w:r>
        <w:rPr>
          <w:rFonts w:ascii="Times New Roman" w:hAnsi="Times New Roman"/>
          <w:sz w:val="22"/>
          <w:szCs w:val="22"/>
        </w:rPr>
        <w:t xml:space="preserve"> AWPD will biennially consolidate the water quality assessment information contained in the </w:t>
      </w:r>
      <w:r w:rsidR="00FD7314">
        <w:rPr>
          <w:rFonts w:ascii="Times New Roman" w:hAnsi="Times New Roman"/>
          <w:sz w:val="22"/>
          <w:szCs w:val="22"/>
        </w:rPr>
        <w:t>state Integrated R</w:t>
      </w:r>
      <w:r>
        <w:rPr>
          <w:rFonts w:ascii="Times New Roman" w:hAnsi="Times New Roman"/>
          <w:sz w:val="22"/>
          <w:szCs w:val="22"/>
        </w:rPr>
        <w:t xml:space="preserve">eports and electronic updates into the Report to Congress.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3.</w:t>
      </w:r>
      <w:r>
        <w:rPr>
          <w:rFonts w:ascii="Times New Roman" w:hAnsi="Times New Roman"/>
          <w:sz w:val="22"/>
          <w:szCs w:val="22"/>
        </w:rPr>
        <w:tab/>
      </w:r>
      <w:r>
        <w:rPr>
          <w:rFonts w:ascii="Times New Roman" w:hAnsi="Times New Roman"/>
          <w:sz w:val="22"/>
          <w:szCs w:val="22"/>
          <w:u w:val="single"/>
        </w:rPr>
        <w:t>Review the draft 305(b) reports.</w:t>
      </w:r>
      <w:r>
        <w:rPr>
          <w:rFonts w:ascii="Times New Roman" w:hAnsi="Times New Roman"/>
          <w:sz w:val="22"/>
          <w:szCs w:val="22"/>
        </w:rPr>
        <w:t xml:space="preserve">   EPA Headquarters staff and Regional 305(b) Coordinators will review the draft submittals biennially. The 303(d) lists of waters needing TMDLs will be forwarded to the Regional 303(d) Coordinators for review.</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Pr>
          <w:rFonts w:ascii="Times New Roman" w:hAnsi="Times New Roman"/>
          <w:sz w:val="22"/>
          <w:szCs w:val="22"/>
          <w:u w:val="single"/>
        </w:rPr>
        <w:t>Review the final 305(b) reports.</w:t>
      </w:r>
      <w:r>
        <w:rPr>
          <w:rFonts w:ascii="Times New Roman" w:hAnsi="Times New Roman"/>
          <w:sz w:val="22"/>
          <w:szCs w:val="22"/>
        </w:rPr>
        <w:t xml:space="preserve">   Headquarters and Regional personnel review the final 305(b) reports and electronic updates biennially.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w:t>
      </w:r>
      <w:r>
        <w:rPr>
          <w:rFonts w:ascii="Times New Roman" w:hAnsi="Times New Roman"/>
          <w:sz w:val="22"/>
          <w:szCs w:val="22"/>
        </w:rPr>
        <w:tab/>
      </w:r>
      <w:r>
        <w:rPr>
          <w:rFonts w:ascii="Times New Roman" w:hAnsi="Times New Roman"/>
          <w:sz w:val="22"/>
          <w:szCs w:val="22"/>
          <w:u w:val="single"/>
        </w:rPr>
        <w:t>Review the annual electronic updates.</w:t>
      </w:r>
      <w:r>
        <w:rPr>
          <w:rFonts w:ascii="Times New Roman" w:hAnsi="Times New Roman"/>
          <w:sz w:val="22"/>
          <w:szCs w:val="22"/>
        </w:rPr>
        <w:t xml:space="preserve">   Headquarters and</w:t>
      </w:r>
      <w:r w:rsidR="00FD7314">
        <w:rPr>
          <w:rFonts w:ascii="Times New Roman" w:hAnsi="Times New Roman"/>
          <w:sz w:val="22"/>
          <w:szCs w:val="22"/>
        </w:rPr>
        <w:t xml:space="preserve"> Regional personnel review the </w:t>
      </w:r>
      <w:r>
        <w:rPr>
          <w:rFonts w:ascii="Times New Roman" w:hAnsi="Times New Roman"/>
          <w:sz w:val="22"/>
          <w:szCs w:val="22"/>
        </w:rPr>
        <w:t xml:space="preserve">electronic updates of State databases for data quality and completeness and </w:t>
      </w:r>
      <w:proofErr w:type="gramStart"/>
      <w:r>
        <w:rPr>
          <w:rFonts w:ascii="Times New Roman" w:hAnsi="Times New Roman"/>
          <w:sz w:val="22"/>
          <w:szCs w:val="22"/>
        </w:rPr>
        <w:t>provide</w:t>
      </w:r>
      <w:proofErr w:type="gramEnd"/>
      <w:r>
        <w:rPr>
          <w:rFonts w:ascii="Times New Roman" w:hAnsi="Times New Roman"/>
          <w:sz w:val="22"/>
          <w:szCs w:val="22"/>
        </w:rPr>
        <w:t xml:space="preserve"> feedback to the States, and incorporate these data into the national </w:t>
      </w:r>
      <w:r w:rsidR="00612581">
        <w:rPr>
          <w:rFonts w:ascii="Times New Roman" w:hAnsi="Times New Roman"/>
          <w:sz w:val="22"/>
          <w:szCs w:val="22"/>
        </w:rPr>
        <w:t>ATTAINS</w:t>
      </w:r>
      <w:r>
        <w:rPr>
          <w:rFonts w:ascii="Times New Roman" w:hAnsi="Times New Roman"/>
          <w:sz w:val="22"/>
          <w:szCs w:val="22"/>
        </w:rPr>
        <w:t xml:space="preserve"> </w:t>
      </w:r>
      <w:r w:rsidR="00612581">
        <w:rPr>
          <w:rFonts w:ascii="Times New Roman" w:hAnsi="Times New Roman"/>
          <w:sz w:val="22"/>
          <w:szCs w:val="22"/>
        </w:rPr>
        <w:t>database</w:t>
      </w:r>
      <w:r>
        <w:rPr>
          <w:rFonts w:ascii="Times New Roman" w:hAnsi="Times New Roman"/>
          <w:sz w:val="22"/>
          <w:szCs w:val="22"/>
        </w:rPr>
        <w:t xml:space="preserve">.  The </w:t>
      </w:r>
      <w:r w:rsidR="007C6957">
        <w:rPr>
          <w:rFonts w:ascii="Times New Roman" w:hAnsi="Times New Roman"/>
          <w:sz w:val="22"/>
          <w:szCs w:val="22"/>
        </w:rPr>
        <w:t xml:space="preserve">information in the </w:t>
      </w:r>
      <w:r>
        <w:rPr>
          <w:rFonts w:ascii="Times New Roman" w:hAnsi="Times New Roman"/>
          <w:sz w:val="22"/>
          <w:szCs w:val="22"/>
        </w:rPr>
        <w:t xml:space="preserve">national </w:t>
      </w:r>
      <w:r w:rsidR="00612581">
        <w:rPr>
          <w:rFonts w:ascii="Times New Roman" w:hAnsi="Times New Roman"/>
          <w:sz w:val="22"/>
          <w:szCs w:val="22"/>
        </w:rPr>
        <w:t>ATTAINS database</w:t>
      </w:r>
      <w:r w:rsidR="00B46E76">
        <w:rPr>
          <w:rFonts w:ascii="Times New Roman" w:hAnsi="Times New Roman"/>
          <w:sz w:val="22"/>
          <w:szCs w:val="22"/>
        </w:rPr>
        <w:t xml:space="preserve"> </w:t>
      </w:r>
      <w:r>
        <w:rPr>
          <w:rFonts w:ascii="Times New Roman" w:hAnsi="Times New Roman"/>
          <w:sz w:val="22"/>
          <w:szCs w:val="22"/>
        </w:rPr>
        <w:t>will be used in preparation of the Reports to Congress.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6.</w:t>
      </w:r>
      <w:r>
        <w:rPr>
          <w:rFonts w:ascii="Times New Roman" w:hAnsi="Times New Roman"/>
          <w:sz w:val="22"/>
          <w:szCs w:val="22"/>
        </w:rPr>
        <w:tab/>
      </w:r>
      <w:r>
        <w:rPr>
          <w:rFonts w:ascii="Times New Roman" w:hAnsi="Times New Roman"/>
          <w:sz w:val="22"/>
          <w:szCs w:val="22"/>
          <w:u w:val="single"/>
        </w:rPr>
        <w:t>Provide assistance to the States in implementing the ADB indexing</w:t>
      </w:r>
      <w:r>
        <w:rPr>
          <w:rFonts w:ascii="Times New Roman" w:hAnsi="Times New Roman"/>
          <w:sz w:val="22"/>
          <w:szCs w:val="22"/>
        </w:rPr>
        <w:t xml:space="preserve">.  EPA has provided technical support to States and other respondents for implementing 305(b) </w:t>
      </w:r>
      <w:r w:rsidR="00FD7314">
        <w:rPr>
          <w:rFonts w:ascii="Times New Roman" w:hAnsi="Times New Roman"/>
          <w:sz w:val="22"/>
          <w:szCs w:val="22"/>
        </w:rPr>
        <w:t>assessment databases for over 12</w:t>
      </w:r>
      <w:r>
        <w:rPr>
          <w:rFonts w:ascii="Times New Roman" w:hAnsi="Times New Roman"/>
          <w:sz w:val="22"/>
          <w:szCs w:val="22"/>
        </w:rPr>
        <w:t xml:space="preserve"> years.  Initially, the States needed extensive assistance to utilize the ADB database. In 1998, EPA upgraded the ADB to a user-friendly format and developed on-screen tutorials, thereby </w:t>
      </w:r>
      <w:r>
        <w:rPr>
          <w:rFonts w:ascii="Times New Roman" w:hAnsi="Times New Roman"/>
          <w:sz w:val="22"/>
          <w:szCs w:val="22"/>
        </w:rPr>
        <w:lastRenderedPageBreak/>
        <w:t xml:space="preserve">reducing the need for direct user-support. </w:t>
      </w:r>
      <w:r w:rsidRPr="00CD07C2">
        <w:rPr>
          <w:rFonts w:ascii="Times New Roman" w:hAnsi="Times New Roman"/>
          <w:sz w:val="22"/>
          <w:szCs w:val="22"/>
        </w:rPr>
        <w:t xml:space="preserve">EPA is dedicated to </w:t>
      </w:r>
      <w:r w:rsidR="0042241F" w:rsidRPr="00CD07C2">
        <w:rPr>
          <w:rFonts w:ascii="Times New Roman" w:hAnsi="Times New Roman"/>
          <w:sz w:val="22"/>
          <w:szCs w:val="22"/>
        </w:rPr>
        <w:t>upgrading</w:t>
      </w:r>
      <w:r w:rsidRPr="00CD07C2">
        <w:rPr>
          <w:rFonts w:ascii="Times New Roman" w:hAnsi="Times New Roman"/>
          <w:sz w:val="22"/>
          <w:szCs w:val="22"/>
        </w:rPr>
        <w:t xml:space="preserve"> the ADB to address needs specified by ADB users and the </w:t>
      </w:r>
      <w:r w:rsidR="0042241F" w:rsidRPr="00CD07C2">
        <w:rPr>
          <w:rFonts w:ascii="Times New Roman" w:hAnsi="Times New Roman"/>
          <w:sz w:val="22"/>
          <w:szCs w:val="22"/>
        </w:rPr>
        <w:t xml:space="preserve">IR </w:t>
      </w:r>
      <w:r w:rsidRPr="00CD07C2">
        <w:rPr>
          <w:rFonts w:ascii="Times New Roman" w:hAnsi="Times New Roman"/>
          <w:sz w:val="22"/>
          <w:szCs w:val="22"/>
        </w:rPr>
        <w:t>guidance</w:t>
      </w:r>
      <w:r w:rsidR="0042241F" w:rsidRPr="00CD07C2">
        <w:rPr>
          <w:rFonts w:ascii="Times New Roman" w:hAnsi="Times New Roman"/>
          <w:sz w:val="22"/>
          <w:szCs w:val="22"/>
        </w:rPr>
        <w:t>.</w:t>
      </w:r>
      <w:r>
        <w:rPr>
          <w:rFonts w:ascii="Times New Roman" w:hAnsi="Times New Roman"/>
          <w:sz w:val="22"/>
          <w:szCs w:val="22"/>
        </w:rPr>
        <w:t xml:space="preserve">  Since 1994, EPA also has provided technical support to States for linking their 305(b) databases to the EPA Reach File.  This support enables States to</w:t>
      </w:r>
      <w:r w:rsidR="00FD7314">
        <w:rPr>
          <w:rFonts w:ascii="Times New Roman" w:hAnsi="Times New Roman"/>
          <w:sz w:val="22"/>
          <w:szCs w:val="22"/>
        </w:rPr>
        <w:t xml:space="preserve"> generate maps and do other spat</w:t>
      </w:r>
      <w:r>
        <w:rPr>
          <w:rFonts w:ascii="Times New Roman" w:hAnsi="Times New Roman"/>
          <w:sz w:val="22"/>
          <w:szCs w:val="22"/>
        </w:rPr>
        <w:t>ial analyses (e.g., summarize data at the watershed and reach level).  EPA will continue this support, although at a reduced level as many States have fully linked their 305(b) databases to the EPA Reach File.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7.</w:t>
      </w:r>
      <w:r>
        <w:rPr>
          <w:rFonts w:ascii="Times New Roman" w:hAnsi="Times New Roman"/>
          <w:sz w:val="22"/>
          <w:szCs w:val="22"/>
        </w:rPr>
        <w:tab/>
      </w:r>
      <w:r>
        <w:rPr>
          <w:rFonts w:ascii="Times New Roman" w:hAnsi="Times New Roman"/>
          <w:sz w:val="22"/>
          <w:szCs w:val="22"/>
          <w:u w:val="single"/>
        </w:rPr>
        <w:t>Maintain the ADB database</w:t>
      </w:r>
      <w:r>
        <w:rPr>
          <w:rFonts w:ascii="Times New Roman" w:hAnsi="Times New Roman"/>
          <w:sz w:val="22"/>
          <w:szCs w:val="22"/>
        </w:rPr>
        <w:t>.  Maintenance activities include preparation of user manuals; running quality control checks on respondent datasets, and programming improvements to the ADB.  Other activities include transferring electronic updates of State databases into</w:t>
      </w:r>
      <w:r w:rsidR="00B46E76">
        <w:rPr>
          <w:rFonts w:ascii="Times New Roman" w:hAnsi="Times New Roman"/>
          <w:sz w:val="22"/>
          <w:szCs w:val="22"/>
        </w:rPr>
        <w:t xml:space="preserve"> </w:t>
      </w:r>
      <w:r w:rsidR="00903271">
        <w:rPr>
          <w:rFonts w:ascii="Times New Roman" w:hAnsi="Times New Roman"/>
          <w:sz w:val="22"/>
          <w:szCs w:val="22"/>
        </w:rPr>
        <w:t>ATTAINS.  I</w:t>
      </w:r>
      <w:r w:rsidR="007C6957">
        <w:rPr>
          <w:rFonts w:ascii="Times New Roman" w:hAnsi="Times New Roman"/>
          <w:sz w:val="22"/>
          <w:szCs w:val="22"/>
        </w:rPr>
        <w:t xml:space="preserve">nformation in ATTAINS </w:t>
      </w:r>
      <w:r>
        <w:rPr>
          <w:rFonts w:ascii="Times New Roman" w:hAnsi="Times New Roman"/>
          <w:sz w:val="22"/>
          <w:szCs w:val="22"/>
        </w:rPr>
        <w:t>will be used in preparation of the Reports to Congress to document types and locations of water quality impairment and will be a</w:t>
      </w:r>
      <w:r w:rsidR="00B94893">
        <w:rPr>
          <w:rFonts w:ascii="Times New Roman" w:hAnsi="Times New Roman"/>
          <w:sz w:val="22"/>
          <w:szCs w:val="22"/>
        </w:rPr>
        <w:t>vailable to the public via the W</w:t>
      </w:r>
      <w:r>
        <w:rPr>
          <w:rFonts w:ascii="Times New Roman" w:hAnsi="Times New Roman"/>
          <w:sz w:val="22"/>
          <w:szCs w:val="22"/>
        </w:rPr>
        <w:t>eb.</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Pr>
          <w:rFonts w:ascii="Times New Roman" w:hAnsi="Times New Roman"/>
          <w:sz w:val="22"/>
          <w:szCs w:val="22"/>
          <w:u w:val="single"/>
        </w:rPr>
        <w:t>Prepare 303(d) guidance</w:t>
      </w:r>
      <w:r>
        <w:rPr>
          <w:rFonts w:ascii="Times New Roman" w:hAnsi="Times New Roman"/>
          <w:sz w:val="22"/>
          <w:szCs w:val="22"/>
        </w:rPr>
        <w:t xml:space="preserv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Pr>
          <w:rFonts w:ascii="Times New Roman" w:hAnsi="Times New Roman"/>
          <w:sz w:val="22"/>
          <w:szCs w:val="22"/>
          <w:u w:val="single"/>
        </w:rPr>
        <w:t>Provide technical assistance to States for 303(d) listing.</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10.</w:t>
      </w:r>
      <w:r>
        <w:rPr>
          <w:rFonts w:ascii="Times New Roman" w:hAnsi="Times New Roman"/>
          <w:sz w:val="22"/>
          <w:szCs w:val="22"/>
        </w:rPr>
        <w:tab/>
      </w:r>
      <w:r>
        <w:rPr>
          <w:rFonts w:ascii="Times New Roman" w:hAnsi="Times New Roman"/>
          <w:sz w:val="22"/>
          <w:szCs w:val="22"/>
          <w:u w:val="single"/>
        </w:rPr>
        <w:t>Review draft 303(d) lists.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Times New Roman" w:hAnsi="Times New Roman"/>
          <w:sz w:val="22"/>
          <w:szCs w:val="22"/>
        </w:rPr>
      </w:pPr>
      <w:r>
        <w:rPr>
          <w:rFonts w:ascii="Times New Roman" w:hAnsi="Times New Roman"/>
          <w:sz w:val="22"/>
          <w:szCs w:val="22"/>
        </w:rPr>
        <w:t>11.</w:t>
      </w:r>
      <w:r>
        <w:rPr>
          <w:rFonts w:ascii="Times New Roman" w:hAnsi="Times New Roman"/>
          <w:sz w:val="22"/>
          <w:szCs w:val="22"/>
        </w:rPr>
        <w:tab/>
      </w:r>
      <w:r>
        <w:rPr>
          <w:rFonts w:ascii="Times New Roman" w:hAnsi="Times New Roman"/>
          <w:sz w:val="22"/>
          <w:szCs w:val="22"/>
          <w:u w:val="single"/>
        </w:rPr>
        <w:t>Review final 303(d) lists and resolve disapprovals.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 conformance with OMB’s Terms of Clearance for the current approved ICR, this ICR includes the additional burden to the Agency associated with developing guidance for States to use in estimating</w:t>
      </w:r>
      <w:r w:rsidR="00903271">
        <w:rPr>
          <w:rFonts w:ascii="Times New Roman" w:hAnsi="Times New Roman"/>
          <w:sz w:val="22"/>
          <w:szCs w:val="22"/>
        </w:rPr>
        <w:t>,</w:t>
      </w:r>
      <w:r>
        <w:rPr>
          <w:rFonts w:ascii="Times New Roman" w:hAnsi="Times New Roman"/>
          <w:sz w:val="22"/>
          <w:szCs w:val="22"/>
        </w:rPr>
        <w:t xml:space="preserve"> for their 305(b) biennial water quality reports, the benefits and economic and social costs of achieving the CWA goals in the State.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With regard to TMDL submitted to EPA for approval: EPA must review and act on the TMDL submissions within 30 days of the State submission and, if it disapproves a State TMDL, EPA must issue a TMDL for the State within 30 days of its disapproval.</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ab/>
        <w:t>4(b)</w:t>
      </w:r>
      <w:r>
        <w:rPr>
          <w:rFonts w:ascii="Times New Roman" w:hAnsi="Times New Roman"/>
          <w:b/>
          <w:bCs/>
          <w:sz w:val="22"/>
          <w:szCs w:val="22"/>
        </w:rPr>
        <w:tab/>
        <w:t>COLLECTION METHODOLOGY AND MANAGEMENT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7C6957"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respondents will submit their 305(b) and 303(d) reports in either hard copy or electronic formats. The respondents will also submit their use support information and 303(d) lists in </w:t>
      </w:r>
      <w:proofErr w:type="gramStart"/>
      <w:r>
        <w:rPr>
          <w:rFonts w:ascii="Times New Roman" w:hAnsi="Times New Roman"/>
          <w:sz w:val="22"/>
          <w:szCs w:val="22"/>
        </w:rPr>
        <w:t>a</w:t>
      </w:r>
      <w:proofErr w:type="gramEnd"/>
      <w:r>
        <w:rPr>
          <w:rFonts w:ascii="Times New Roman" w:hAnsi="Times New Roman"/>
          <w:sz w:val="22"/>
          <w:szCs w:val="22"/>
        </w:rPr>
        <w:t xml:space="preserve"> ADB-compatible format. </w:t>
      </w:r>
      <w:r w:rsidR="007C6957" w:rsidRPr="00393545">
        <w:rPr>
          <w:rFonts w:ascii="Times New Roman" w:hAnsi="Times New Roman"/>
          <w:sz w:val="22"/>
          <w:szCs w:val="22"/>
        </w:rPr>
        <w:t xml:space="preserve">The respondents also have an option of utilizing the water quality assessment, impaired waters data exchange (OWIR) network for streamlining data submission into ADB. </w:t>
      </w:r>
      <w:r>
        <w:rPr>
          <w:rFonts w:ascii="Times New Roman" w:hAnsi="Times New Roman"/>
          <w:sz w:val="22"/>
          <w:szCs w:val="22"/>
        </w:rPr>
        <w:t xml:space="preserve">EPA developed the ADB </w:t>
      </w:r>
      <w:r w:rsidR="007C6957">
        <w:rPr>
          <w:rFonts w:ascii="Times New Roman" w:hAnsi="Times New Roman"/>
          <w:sz w:val="22"/>
          <w:szCs w:val="22"/>
        </w:rPr>
        <w:t xml:space="preserve">and OWIR </w:t>
      </w:r>
      <w:r w:rsidR="00B46E76">
        <w:rPr>
          <w:rFonts w:ascii="Times New Roman" w:hAnsi="Times New Roman"/>
          <w:sz w:val="22"/>
          <w:szCs w:val="22"/>
        </w:rPr>
        <w:t>t</w:t>
      </w:r>
      <w:r w:rsidR="007C6957">
        <w:rPr>
          <w:rFonts w:ascii="Times New Roman" w:hAnsi="Times New Roman"/>
          <w:sz w:val="22"/>
          <w:szCs w:val="22"/>
        </w:rPr>
        <w:t xml:space="preserve">o </w:t>
      </w:r>
      <w:r>
        <w:rPr>
          <w:rFonts w:ascii="Times New Roman" w:hAnsi="Times New Roman"/>
          <w:sz w:val="22"/>
          <w:szCs w:val="22"/>
        </w:rPr>
        <w:t>reduce the respondent burden associated with summarizing use support information. The respondents may submit their water-specific information by computerized data transfer or by submitting their data on diskette to the Regional ADB Coordinator.</w:t>
      </w:r>
      <w:r w:rsidR="007C6957">
        <w:rPr>
          <w:rFonts w:ascii="Times New Roman" w:hAnsi="Times New Roman"/>
          <w:sz w:val="22"/>
          <w:szCs w:val="22"/>
        </w:rPr>
        <w:t xml:space="preserve"> </w:t>
      </w:r>
      <w:r w:rsidR="007C6957" w:rsidRPr="00393545">
        <w:rPr>
          <w:rFonts w:ascii="Times New Roman" w:hAnsi="Times New Roman"/>
          <w:sz w:val="22"/>
          <w:szCs w:val="22"/>
        </w:rPr>
        <w:t xml:space="preserve">Currently few States are using OWIR but as respondents develop experience </w:t>
      </w:r>
      <w:r w:rsidR="007C6957" w:rsidRPr="00393545">
        <w:rPr>
          <w:rFonts w:ascii="Times New Roman" w:hAnsi="Times New Roman"/>
          <w:sz w:val="22"/>
          <w:szCs w:val="22"/>
        </w:rPr>
        <w:lastRenderedPageBreak/>
        <w:t xml:space="preserve">with the exchange network, they are expected to start switching </w:t>
      </w:r>
      <w:r w:rsidR="007C6957">
        <w:rPr>
          <w:rFonts w:ascii="Times New Roman" w:hAnsi="Times New Roman"/>
          <w:sz w:val="22"/>
          <w:szCs w:val="22"/>
        </w:rPr>
        <w:t>to</w:t>
      </w:r>
      <w:r w:rsidR="007C6957" w:rsidRPr="00393545">
        <w:rPr>
          <w:rFonts w:ascii="Times New Roman" w:hAnsi="Times New Roman"/>
          <w:sz w:val="22"/>
          <w:szCs w:val="22"/>
        </w:rPr>
        <w:t xml:space="preserve"> </w:t>
      </w:r>
      <w:r w:rsidR="007C6957">
        <w:rPr>
          <w:rFonts w:ascii="Times New Roman" w:hAnsi="Times New Roman"/>
          <w:sz w:val="22"/>
          <w:szCs w:val="22"/>
        </w:rPr>
        <w:t xml:space="preserve">the </w:t>
      </w:r>
      <w:r w:rsidR="007C6957" w:rsidRPr="00393545">
        <w:rPr>
          <w:rFonts w:ascii="Times New Roman" w:hAnsi="Times New Roman"/>
          <w:sz w:val="22"/>
          <w:szCs w:val="22"/>
        </w:rPr>
        <w:t xml:space="preserve">more efficient streamlining approach for </w:t>
      </w:r>
      <w:r w:rsidR="007C6957">
        <w:rPr>
          <w:rFonts w:ascii="Times New Roman" w:hAnsi="Times New Roman"/>
          <w:sz w:val="22"/>
          <w:szCs w:val="22"/>
        </w:rPr>
        <w:t xml:space="preserve">their </w:t>
      </w:r>
      <w:r w:rsidR="007C6957" w:rsidRPr="00393545">
        <w:rPr>
          <w:rFonts w:ascii="Times New Roman" w:hAnsi="Times New Roman"/>
          <w:sz w:val="22"/>
          <w:szCs w:val="22"/>
        </w:rPr>
        <w:t>data submission</w:t>
      </w:r>
      <w:proofErr w:type="gramStart"/>
      <w:r w:rsidR="007C6957" w:rsidRPr="00393545">
        <w:rPr>
          <w:rFonts w:ascii="Times New Roman" w:hAnsi="Times New Roman"/>
          <w:sz w:val="22"/>
          <w:szCs w:val="22"/>
        </w:rPr>
        <w:t>.</w:t>
      </w:r>
      <w:r w:rsidR="007C6957">
        <w:rPr>
          <w:rFonts w:ascii="Times New Roman" w:hAnsi="Times New Roman"/>
          <w:sz w:val="22"/>
          <w:szCs w:val="22"/>
        </w:rPr>
        <w:t>.</w:t>
      </w:r>
      <w:proofErr w:type="gramEnd"/>
    </w:p>
    <w:p w:rsidR="00AA1CD5"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States submit the Section 303(d) lists and priority rankings to the EPA Regions. The Regions review the State submissions and then issue a decision document approving or disapproving the State list. If EPA disapproves a State list, it must issue a public notice identifying the waters it is proposing to add to the State list.  In addition, States must submit each completed TMDL to the EPA Regions for review and action. If EPA disapproves the State submission, it must establish the TMDL for the State.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public can obtain a copy of the Report to Congress from the </w:t>
      </w:r>
      <w:r w:rsidR="00B94893">
        <w:rPr>
          <w:rFonts w:ascii="Times New Roman" w:hAnsi="Times New Roman"/>
          <w:sz w:val="22"/>
          <w:szCs w:val="22"/>
        </w:rPr>
        <w:t xml:space="preserve">AWPD in the EPA Office of Water </w:t>
      </w:r>
      <w:r w:rsidR="00B94893" w:rsidRPr="00CD07C2">
        <w:rPr>
          <w:rFonts w:ascii="Times New Roman" w:hAnsi="Times New Roman"/>
          <w:sz w:val="22"/>
          <w:szCs w:val="22"/>
        </w:rPr>
        <w:t xml:space="preserve">or view it on the web at </w:t>
      </w:r>
      <w:hyperlink r:id="rId13" w:history="1">
        <w:r w:rsidR="00B94893" w:rsidRPr="00CD07C2">
          <w:rPr>
            <w:rStyle w:val="Hyperlink"/>
            <w:rFonts w:ascii="Times New Roman" w:hAnsi="Times New Roman"/>
            <w:color w:val="auto"/>
            <w:sz w:val="22"/>
            <w:szCs w:val="22"/>
          </w:rPr>
          <w:t>www.epa.gov/305b</w:t>
        </w:r>
      </w:hyperlink>
      <w:r w:rsidR="00B94893" w:rsidRPr="00CD07C2">
        <w:rPr>
          <w:rFonts w:ascii="Times New Roman" w:hAnsi="Times New Roman"/>
          <w:sz w:val="22"/>
          <w:szCs w:val="22"/>
        </w:rPr>
        <w:t>.</w:t>
      </w:r>
      <w:r w:rsidR="00B94893">
        <w:rPr>
          <w:rFonts w:ascii="Times New Roman" w:hAnsi="Times New Roman"/>
          <w:sz w:val="22"/>
          <w:szCs w:val="22"/>
        </w:rPr>
        <w:t xml:space="preserve"> </w:t>
      </w:r>
      <w:r>
        <w:rPr>
          <w:rFonts w:ascii="Times New Roman" w:hAnsi="Times New Roman"/>
          <w:sz w:val="22"/>
          <w:szCs w:val="22"/>
        </w:rPr>
        <w:t xml:space="preserve"> The public can obtain a copy of the </w:t>
      </w:r>
      <w:r w:rsidR="00B94893">
        <w:rPr>
          <w:rFonts w:ascii="Times New Roman" w:hAnsi="Times New Roman"/>
          <w:sz w:val="22"/>
          <w:szCs w:val="22"/>
        </w:rPr>
        <w:t xml:space="preserve">state </w:t>
      </w:r>
      <w:r>
        <w:rPr>
          <w:rFonts w:ascii="Times New Roman" w:hAnsi="Times New Roman"/>
          <w:sz w:val="22"/>
          <w:szCs w:val="22"/>
        </w:rPr>
        <w:t xml:space="preserve">305(b) reports from the </w:t>
      </w:r>
      <w:r w:rsidR="00B94893" w:rsidRPr="00CD07C2">
        <w:rPr>
          <w:rFonts w:ascii="Times New Roman" w:hAnsi="Times New Roman"/>
          <w:sz w:val="22"/>
          <w:szCs w:val="22"/>
        </w:rPr>
        <w:t>state websites</w:t>
      </w:r>
      <w:r w:rsidR="00B94893">
        <w:rPr>
          <w:rFonts w:ascii="Times New Roman" w:hAnsi="Times New Roman"/>
          <w:sz w:val="22"/>
          <w:szCs w:val="22"/>
        </w:rPr>
        <w:t>, s</w:t>
      </w:r>
      <w:r>
        <w:rPr>
          <w:rFonts w:ascii="Times New Roman" w:hAnsi="Times New Roman"/>
          <w:sz w:val="22"/>
          <w:szCs w:val="22"/>
        </w:rPr>
        <w:t>tate contacts or from the EPA Regional 305(b) Coordinators</w:t>
      </w:r>
      <w:r w:rsidR="00B94893">
        <w:rPr>
          <w:rFonts w:ascii="Times New Roman" w:hAnsi="Times New Roman"/>
          <w:sz w:val="22"/>
          <w:szCs w:val="22"/>
        </w:rPr>
        <w:t>.</w:t>
      </w:r>
      <w:r>
        <w:rPr>
          <w:rFonts w:ascii="Times New Roman" w:hAnsi="Times New Roman"/>
          <w:sz w:val="22"/>
          <w:szCs w:val="22"/>
        </w:rPr>
        <w:t xml:space="preserve"> </w:t>
      </w:r>
    </w:p>
    <w:p w:rsidR="00785BEF" w:rsidRDefault="00785BE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proofErr w:type="gramStart"/>
      <w:r>
        <w:rPr>
          <w:rFonts w:ascii="Times New Roman" w:hAnsi="Times New Roman"/>
          <w:b/>
          <w:bCs/>
          <w:sz w:val="22"/>
          <w:szCs w:val="22"/>
        </w:rPr>
        <w:t>4(c)</w:t>
      </w:r>
      <w:r>
        <w:rPr>
          <w:rFonts w:ascii="Times New Roman" w:hAnsi="Times New Roman"/>
          <w:b/>
          <w:bCs/>
          <w:sz w:val="22"/>
          <w:szCs w:val="22"/>
        </w:rPr>
        <w:tab/>
        <w:t>SMALL ENTITY FLEXIBILITY</w:t>
      </w:r>
      <w:proofErr w:type="gramEnd"/>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This section is not applicable because the respondents are States and Territories which are not small businesses or organizations as defined by the Regulatory Flexibility Act, 5 U.S.C. Sections 601 (3) and (4).</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4(d)</w:t>
      </w:r>
      <w:r>
        <w:rPr>
          <w:rFonts w:ascii="Times New Roman" w:hAnsi="Times New Roman"/>
          <w:b/>
          <w:bCs/>
          <w:sz w:val="22"/>
          <w:szCs w:val="22"/>
        </w:rPr>
        <w:tab/>
        <w:t>COLLECTION SCHEDULE</w:t>
      </w: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275058"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Pr>
          <w:rFonts w:ascii="Times New Roman" w:hAnsi="Times New Roman"/>
          <w:sz w:val="22"/>
          <w:szCs w:val="22"/>
        </w:rPr>
        <w:tab/>
        <w:t>April 20</w:t>
      </w:r>
      <w:r w:rsidR="006C33A6">
        <w:rPr>
          <w:rFonts w:ascii="Times New Roman" w:hAnsi="Times New Roman"/>
          <w:sz w:val="22"/>
          <w:szCs w:val="22"/>
        </w:rPr>
        <w:t>12</w:t>
      </w:r>
      <w:r w:rsidR="00AA1CD5">
        <w:rPr>
          <w:rFonts w:ascii="Times New Roman" w:hAnsi="Times New Roman"/>
          <w:sz w:val="22"/>
          <w:szCs w:val="22"/>
        </w:rPr>
        <w:tab/>
      </w:r>
      <w:r w:rsidR="00AA1CD5">
        <w:rPr>
          <w:rFonts w:ascii="Times New Roman" w:hAnsi="Times New Roman"/>
          <w:sz w:val="22"/>
          <w:szCs w:val="22"/>
        </w:rPr>
        <w:tab/>
        <w:t>States, Territories, a</w:t>
      </w:r>
      <w:r>
        <w:rPr>
          <w:rFonts w:ascii="Times New Roman" w:hAnsi="Times New Roman"/>
          <w:sz w:val="22"/>
          <w:szCs w:val="22"/>
        </w:rPr>
        <w:t>nd Commissions submit 20</w:t>
      </w:r>
      <w:r w:rsidR="006C33A6">
        <w:rPr>
          <w:rFonts w:ascii="Times New Roman" w:hAnsi="Times New Roman"/>
          <w:sz w:val="22"/>
          <w:szCs w:val="22"/>
        </w:rPr>
        <w:t>12</w:t>
      </w:r>
      <w:r w:rsidR="00AA1CD5">
        <w:rPr>
          <w:rFonts w:ascii="Times New Roman" w:hAnsi="Times New Roman"/>
          <w:sz w:val="22"/>
          <w:szCs w:val="22"/>
        </w:rPr>
        <w:t xml:space="preserve"> Integrated 305(b) and 303(d) reports to EPA and transmit annual electronic updates.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785BEF">
        <w:rPr>
          <w:rFonts w:ascii="Times New Roman" w:hAnsi="Times New Roman"/>
          <w:sz w:val="22"/>
          <w:szCs w:val="22"/>
        </w:rPr>
        <w:tab/>
      </w:r>
      <w:r w:rsidR="00275058">
        <w:rPr>
          <w:rFonts w:ascii="Times New Roman" w:hAnsi="Times New Roman"/>
          <w:sz w:val="22"/>
          <w:szCs w:val="22"/>
        </w:rPr>
        <w:t>April 20</w:t>
      </w:r>
      <w:r w:rsidR="006C33A6">
        <w:rPr>
          <w:rFonts w:ascii="Times New Roman" w:hAnsi="Times New Roman"/>
          <w:sz w:val="22"/>
          <w:szCs w:val="22"/>
        </w:rPr>
        <w:t>13</w:t>
      </w:r>
      <w:r>
        <w:rPr>
          <w:rFonts w:ascii="Times New Roman" w:hAnsi="Times New Roman"/>
          <w:sz w:val="22"/>
          <w:szCs w:val="22"/>
        </w:rPr>
        <w:tab/>
        <w:t xml:space="preserve">Respondents transmit interim annual electronic updates. </w:t>
      </w: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27505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Times New Roman" w:hAnsi="Times New Roman"/>
          <w:sz w:val="22"/>
          <w:szCs w:val="22"/>
        </w:rPr>
      </w:pPr>
      <w:r>
        <w:rPr>
          <w:rFonts w:ascii="Times New Roman" w:hAnsi="Times New Roman"/>
          <w:sz w:val="22"/>
          <w:szCs w:val="22"/>
        </w:rPr>
        <w:tab/>
        <w:t>December 20</w:t>
      </w:r>
      <w:r w:rsidR="006C33A6">
        <w:rPr>
          <w:rFonts w:ascii="Times New Roman" w:hAnsi="Times New Roman"/>
          <w:sz w:val="22"/>
          <w:szCs w:val="22"/>
        </w:rPr>
        <w:t>13</w:t>
      </w:r>
      <w:r>
        <w:rPr>
          <w:rFonts w:ascii="Times New Roman" w:hAnsi="Times New Roman"/>
          <w:sz w:val="22"/>
          <w:szCs w:val="22"/>
        </w:rPr>
        <w:tab/>
        <w:t>EPA submits the 20</w:t>
      </w:r>
      <w:r w:rsidR="006C33A6">
        <w:rPr>
          <w:rFonts w:ascii="Times New Roman" w:hAnsi="Times New Roman"/>
          <w:sz w:val="22"/>
          <w:szCs w:val="22"/>
        </w:rPr>
        <w:t>12</w:t>
      </w:r>
      <w:r w:rsidR="00AA1CD5">
        <w:rPr>
          <w:rFonts w:ascii="Times New Roman" w:hAnsi="Times New Roman"/>
          <w:sz w:val="22"/>
          <w:szCs w:val="22"/>
        </w:rPr>
        <w:t xml:space="preserve"> Water Quali</w:t>
      </w:r>
      <w:r>
        <w:rPr>
          <w:rFonts w:ascii="Times New Roman" w:hAnsi="Times New Roman"/>
          <w:sz w:val="22"/>
          <w:szCs w:val="22"/>
        </w:rPr>
        <w:t>ty Inventory Report to Congress to OMB for approval</w:t>
      </w: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275058"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r>
        <w:rPr>
          <w:rFonts w:ascii="Times New Roman" w:hAnsi="Times New Roman"/>
          <w:sz w:val="22"/>
          <w:szCs w:val="22"/>
        </w:rPr>
        <w:t>April 201</w:t>
      </w:r>
      <w:r w:rsidR="006C33A6">
        <w:rPr>
          <w:rFonts w:ascii="Times New Roman" w:hAnsi="Times New Roman"/>
          <w:sz w:val="22"/>
          <w:szCs w:val="22"/>
        </w:rPr>
        <w:t>4</w:t>
      </w:r>
      <w:r w:rsidR="00AA1CD5">
        <w:rPr>
          <w:rFonts w:ascii="Times New Roman" w:hAnsi="Times New Roman"/>
          <w:sz w:val="22"/>
          <w:szCs w:val="22"/>
        </w:rPr>
        <w:tab/>
        <w:t>States, Territories, a</w:t>
      </w:r>
      <w:r>
        <w:rPr>
          <w:rFonts w:ascii="Times New Roman" w:hAnsi="Times New Roman"/>
          <w:sz w:val="22"/>
          <w:szCs w:val="22"/>
        </w:rPr>
        <w:t xml:space="preserve">nd Commissions submit </w:t>
      </w:r>
      <w:proofErr w:type="gramStart"/>
      <w:r>
        <w:rPr>
          <w:rFonts w:ascii="Times New Roman" w:hAnsi="Times New Roman"/>
          <w:sz w:val="22"/>
          <w:szCs w:val="22"/>
        </w:rPr>
        <w:t>201</w:t>
      </w:r>
      <w:r w:rsidR="006C33A6">
        <w:rPr>
          <w:rFonts w:ascii="Times New Roman" w:hAnsi="Times New Roman"/>
          <w:sz w:val="22"/>
          <w:szCs w:val="22"/>
        </w:rPr>
        <w:t>4</w:t>
      </w:r>
      <w:r w:rsidR="00B50DFB">
        <w:rPr>
          <w:rFonts w:ascii="Times New Roman" w:hAnsi="Times New Roman"/>
          <w:sz w:val="22"/>
          <w:szCs w:val="22"/>
        </w:rPr>
        <w:t xml:space="preserve"> </w:t>
      </w:r>
      <w:r w:rsidR="00AA1CD5">
        <w:rPr>
          <w:rFonts w:ascii="Times New Roman" w:hAnsi="Times New Roman"/>
          <w:sz w:val="22"/>
          <w:szCs w:val="22"/>
        </w:rPr>
        <w:t xml:space="preserve"> Integrated</w:t>
      </w:r>
      <w:proofErr w:type="gramEnd"/>
      <w:r w:rsidR="00AA1CD5">
        <w:rPr>
          <w:rFonts w:ascii="Times New Roman" w:hAnsi="Times New Roman"/>
          <w:sz w:val="22"/>
          <w:szCs w:val="22"/>
        </w:rPr>
        <w:t xml:space="preserve"> 305(b) and 303(d) reports to EPA and transmit annual electronic updates.</w:t>
      </w: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880"/>
        <w:rPr>
          <w:rFonts w:ascii="Times New Roman" w:hAnsi="Times New Roman"/>
          <w:sz w:val="22"/>
          <w:szCs w:val="22"/>
        </w:rPr>
      </w:pPr>
      <w:proofErr w:type="gramStart"/>
      <w:r>
        <w:rPr>
          <w:rFonts w:ascii="Times New Roman" w:hAnsi="Times New Roman"/>
          <w:sz w:val="22"/>
          <w:szCs w:val="22"/>
        </w:rPr>
        <w:t>Ongoing</w:t>
      </w:r>
      <w:r>
        <w:rPr>
          <w:rFonts w:ascii="Times New Roman" w:hAnsi="Times New Roman"/>
          <w:sz w:val="22"/>
          <w:szCs w:val="22"/>
        </w:rPr>
        <w:tab/>
        <w:t>TMDL development and review</w:t>
      </w:r>
      <w:r w:rsidR="007C6957">
        <w:rPr>
          <w:rFonts w:ascii="Times New Roman" w:hAnsi="Times New Roman"/>
          <w:sz w:val="22"/>
          <w:szCs w:val="22"/>
        </w:rPr>
        <w:t xml:space="preserve">; occasional assistance to EPA in TMDL program </w:t>
      </w:r>
      <w:r w:rsidR="00EF3BE9">
        <w:rPr>
          <w:rFonts w:ascii="Times New Roman" w:hAnsi="Times New Roman"/>
          <w:sz w:val="22"/>
          <w:szCs w:val="22"/>
        </w:rPr>
        <w:t>evaluation.</w:t>
      </w:r>
      <w:proofErr w:type="gramEnd"/>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States are required to develop TMDLs consistent with the State schedule and submit the TMDLs to EPA for review and approval/disapproval action.</w:t>
      </w: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b/>
          <w:bCs/>
          <w:sz w:val="22"/>
          <w:szCs w:val="22"/>
        </w:rPr>
        <w:t>5.</w:t>
      </w:r>
      <w:r>
        <w:rPr>
          <w:rFonts w:ascii="Times New Roman" w:hAnsi="Times New Roman"/>
          <w:b/>
          <w:bCs/>
          <w:sz w:val="22"/>
          <w:szCs w:val="22"/>
        </w:rPr>
        <w:tab/>
      </w:r>
      <w:r>
        <w:rPr>
          <w:rFonts w:ascii="Times New Roman" w:hAnsi="Times New Roman"/>
          <w:b/>
          <w:bCs/>
          <w:sz w:val="22"/>
          <w:szCs w:val="22"/>
          <w:u w:val="single"/>
        </w:rPr>
        <w:t>NONDUPLICATION, CONSULTATIONS. AND OTHER COLLECTION CRITERIA</w:t>
      </w: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5(a)</w:t>
      </w:r>
      <w:r>
        <w:rPr>
          <w:rFonts w:ascii="Times New Roman" w:hAnsi="Times New Roman"/>
          <w:b/>
          <w:bCs/>
          <w:sz w:val="22"/>
          <w:szCs w:val="22"/>
        </w:rPr>
        <w:tab/>
        <w:t>NONDUPLICATION</w:t>
      </w: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State 305(b) reports are the only direct vehicle for transmitting water quality information between the States and EPA.  Although other programs generate raw water quality data, the 305(b) reports are the only information collection mechanism for obtaining beneficial use support assessments.  Without the State 305(b) reports, EPA could not report to Congress on national attainment of beneficial uses, as required in the CWA.</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The Section 303(d) lists are the only State-by-State public accounting and ranking of waters not meeting water quality standards after the application of technology-based controls. Under Section 303(d), States must submit the Section 303(d) lists to EPA for review and approval/disapproval action. TMDLs are a unique and valuable tool that quantifies the maximum amount of a pollutant that </w:t>
      </w:r>
      <w:proofErr w:type="gramStart"/>
      <w:r>
        <w:rPr>
          <w:rFonts w:ascii="Times New Roman" w:hAnsi="Times New Roman"/>
          <w:sz w:val="22"/>
          <w:szCs w:val="22"/>
        </w:rPr>
        <w:t>a water</w:t>
      </w:r>
      <w:proofErr w:type="gramEnd"/>
      <w:r>
        <w:rPr>
          <w:rFonts w:ascii="Times New Roman" w:hAnsi="Times New Roman"/>
          <w:sz w:val="22"/>
          <w:szCs w:val="22"/>
        </w:rPr>
        <w:t xml:space="preserve"> can absorb and still meet water quality standards. They specify the amount that pollutant loadings need to be reduced for the water to attain water quality standards and allocate pollutant load reductions among sources in a watershed. Section 303(d) also requires EPA to review and approve or disapprove State-submitted TMDLs.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b/>
          <w:bCs/>
          <w:sz w:val="22"/>
          <w:szCs w:val="22"/>
        </w:rPr>
        <w:t>5(b)</w:t>
      </w:r>
      <w:r>
        <w:rPr>
          <w:rFonts w:ascii="Times New Roman" w:hAnsi="Times New Roman"/>
          <w:b/>
          <w:bCs/>
          <w:sz w:val="22"/>
          <w:szCs w:val="22"/>
        </w:rPr>
        <w:tab/>
        <w:t>PUBLIC NOTICE REQUIRED PRIOR TO ICR SUBMISSION TO OMB</w:t>
      </w: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On</w:t>
      </w:r>
      <w:r w:rsidR="00D04F4E">
        <w:rPr>
          <w:rFonts w:ascii="Times New Roman" w:hAnsi="Times New Roman"/>
          <w:sz w:val="22"/>
          <w:szCs w:val="22"/>
        </w:rPr>
        <w:t xml:space="preserve"> July</w:t>
      </w:r>
      <w:r w:rsidR="0080667A">
        <w:rPr>
          <w:rFonts w:ascii="Times New Roman" w:hAnsi="Times New Roman"/>
          <w:sz w:val="22"/>
          <w:szCs w:val="22"/>
        </w:rPr>
        <w:t>13</w:t>
      </w:r>
      <w:r w:rsidR="008D0E10">
        <w:rPr>
          <w:rFonts w:ascii="Times New Roman" w:hAnsi="Times New Roman"/>
          <w:sz w:val="22"/>
          <w:szCs w:val="22"/>
        </w:rPr>
        <w:t>,</w:t>
      </w:r>
      <w:r w:rsidR="00067218">
        <w:rPr>
          <w:rFonts w:ascii="Times New Roman" w:hAnsi="Times New Roman"/>
          <w:sz w:val="22"/>
          <w:szCs w:val="22"/>
        </w:rPr>
        <w:t xml:space="preserve"> </w:t>
      </w:r>
      <w:r w:rsidR="008D0E10">
        <w:rPr>
          <w:rFonts w:ascii="Times New Roman" w:hAnsi="Times New Roman"/>
          <w:sz w:val="22"/>
          <w:szCs w:val="22"/>
        </w:rPr>
        <w:t>20</w:t>
      </w:r>
      <w:r w:rsidR="00CD23FC">
        <w:rPr>
          <w:rFonts w:ascii="Times New Roman" w:hAnsi="Times New Roman"/>
          <w:sz w:val="22"/>
          <w:szCs w:val="22"/>
        </w:rPr>
        <w:t>11</w:t>
      </w:r>
      <w:r>
        <w:rPr>
          <w:rFonts w:ascii="Times New Roman" w:hAnsi="Times New Roman"/>
          <w:sz w:val="22"/>
          <w:szCs w:val="22"/>
        </w:rPr>
        <w:t xml:space="preserve">, a Federal Register notice </w:t>
      </w:r>
      <w:r w:rsidR="00D04F4E" w:rsidRPr="00DC71B1">
        <w:rPr>
          <w:rFonts w:ascii="Times New Roman" w:hAnsi="Times New Roman"/>
          <w:sz w:val="22"/>
          <w:szCs w:val="22"/>
        </w:rPr>
        <w:t>(</w:t>
      </w:r>
      <w:r w:rsidR="0080667A">
        <w:rPr>
          <w:rFonts w:ascii="Times New Roman" w:hAnsi="Times New Roman"/>
          <w:sz w:val="22"/>
          <w:szCs w:val="22"/>
        </w:rPr>
        <w:t>76 FR 41243</w:t>
      </w:r>
      <w:r w:rsidR="00DC71B1" w:rsidRPr="00DC71B1">
        <w:rPr>
          <w:rFonts w:ascii="Times New Roman" w:hAnsi="Times New Roman"/>
          <w:sz w:val="22"/>
          <w:szCs w:val="22"/>
        </w:rPr>
        <w:t>)</w:t>
      </w:r>
      <w:r w:rsidR="00DC71B1">
        <w:rPr>
          <w:rFonts w:ascii="Times New Roman" w:hAnsi="Times New Roman"/>
          <w:sz w:val="22"/>
          <w:szCs w:val="22"/>
        </w:rPr>
        <w:t xml:space="preserve"> </w:t>
      </w:r>
      <w:r>
        <w:rPr>
          <w:rFonts w:ascii="Times New Roman" w:hAnsi="Times New Roman"/>
          <w:sz w:val="22"/>
          <w:szCs w:val="22"/>
        </w:rPr>
        <w:t xml:space="preserve">required </w:t>
      </w:r>
      <w:proofErr w:type="gramStart"/>
      <w:r>
        <w:rPr>
          <w:rFonts w:ascii="Times New Roman" w:hAnsi="Times New Roman"/>
          <w:sz w:val="22"/>
          <w:szCs w:val="22"/>
        </w:rPr>
        <w:t>under</w:t>
      </w:r>
      <w:proofErr w:type="gramEnd"/>
      <w:r>
        <w:rPr>
          <w:rFonts w:ascii="Times New Roman" w:hAnsi="Times New Roman"/>
          <w:sz w:val="22"/>
          <w:szCs w:val="22"/>
        </w:rPr>
        <w:t xml:space="preserve"> 5 CFR 1320.8(d), solicited comments on this collection of information.  No comments were received.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5(c)</w:t>
      </w:r>
      <w:r>
        <w:rPr>
          <w:rFonts w:ascii="Times New Roman" w:hAnsi="Times New Roman"/>
          <w:b/>
          <w:bCs/>
          <w:sz w:val="22"/>
          <w:szCs w:val="22"/>
        </w:rPr>
        <w:tab/>
        <w:t>CONSULTATIONS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42241F" w:rsidRPr="00CD07C2"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CD07C2">
        <w:rPr>
          <w:rFonts w:ascii="Times New Roman" w:hAnsi="Times New Roman"/>
          <w:sz w:val="22"/>
          <w:szCs w:val="22"/>
        </w:rPr>
        <w:t xml:space="preserve">EPA annually conducts a number of workshops with </w:t>
      </w:r>
      <w:r w:rsidR="00411C42" w:rsidRPr="00CD07C2">
        <w:rPr>
          <w:rFonts w:ascii="Times New Roman" w:hAnsi="Times New Roman"/>
          <w:sz w:val="22"/>
          <w:szCs w:val="22"/>
        </w:rPr>
        <w:t>technical an</w:t>
      </w:r>
      <w:r w:rsidR="00D64D42" w:rsidRPr="00CD07C2">
        <w:rPr>
          <w:rFonts w:ascii="Times New Roman" w:hAnsi="Times New Roman"/>
          <w:sz w:val="22"/>
          <w:szCs w:val="22"/>
        </w:rPr>
        <w:t>d managerial state and territorial</w:t>
      </w:r>
      <w:r w:rsidR="00411C42" w:rsidRPr="00CD07C2">
        <w:rPr>
          <w:rFonts w:ascii="Times New Roman" w:hAnsi="Times New Roman"/>
          <w:sz w:val="22"/>
          <w:szCs w:val="22"/>
        </w:rPr>
        <w:t xml:space="preserve"> representatives</w:t>
      </w:r>
      <w:r w:rsidRPr="00CD07C2">
        <w:rPr>
          <w:rFonts w:ascii="Times New Roman" w:hAnsi="Times New Roman"/>
          <w:sz w:val="22"/>
          <w:szCs w:val="22"/>
        </w:rPr>
        <w:t xml:space="preserve"> </w:t>
      </w:r>
      <w:r w:rsidR="00D64D42" w:rsidRPr="00CD07C2">
        <w:rPr>
          <w:rFonts w:ascii="Times New Roman" w:hAnsi="Times New Roman"/>
          <w:sz w:val="22"/>
          <w:szCs w:val="22"/>
        </w:rPr>
        <w:t xml:space="preserve">around the country </w:t>
      </w:r>
      <w:r w:rsidRPr="00CD07C2">
        <w:rPr>
          <w:rFonts w:ascii="Times New Roman" w:hAnsi="Times New Roman"/>
          <w:sz w:val="22"/>
          <w:szCs w:val="22"/>
        </w:rPr>
        <w:t>on the use of the Assessment Database and the development of refin</w:t>
      </w:r>
      <w:r w:rsidR="00411C42" w:rsidRPr="00CD07C2">
        <w:rPr>
          <w:rFonts w:ascii="Times New Roman" w:hAnsi="Times New Roman"/>
          <w:sz w:val="22"/>
          <w:szCs w:val="22"/>
        </w:rPr>
        <w:t xml:space="preserve">ements and updates based on the latest </w:t>
      </w:r>
      <w:r w:rsidRPr="00CD07C2">
        <w:rPr>
          <w:rFonts w:ascii="Times New Roman" w:hAnsi="Times New Roman"/>
          <w:sz w:val="22"/>
          <w:szCs w:val="22"/>
        </w:rPr>
        <w:t xml:space="preserve">Integrated Reporting guidance.  Input from states and </w:t>
      </w:r>
      <w:proofErr w:type="gramStart"/>
      <w:r w:rsidRPr="00CD07C2">
        <w:rPr>
          <w:rFonts w:ascii="Times New Roman" w:hAnsi="Times New Roman"/>
          <w:sz w:val="22"/>
          <w:szCs w:val="22"/>
        </w:rPr>
        <w:t>territories is</w:t>
      </w:r>
      <w:proofErr w:type="gramEnd"/>
      <w:r w:rsidRPr="00CD07C2">
        <w:rPr>
          <w:rFonts w:ascii="Times New Roman" w:hAnsi="Times New Roman"/>
          <w:sz w:val="22"/>
          <w:szCs w:val="22"/>
        </w:rPr>
        <w:t xml:space="preserve"> solicited at these workshops and on regularly scheduled </w:t>
      </w:r>
      <w:r w:rsidR="00D64D42" w:rsidRPr="00CD07C2">
        <w:rPr>
          <w:rFonts w:ascii="Times New Roman" w:hAnsi="Times New Roman"/>
          <w:sz w:val="22"/>
          <w:szCs w:val="22"/>
        </w:rPr>
        <w:t xml:space="preserve">conference </w:t>
      </w:r>
      <w:r w:rsidRPr="00CD07C2">
        <w:rPr>
          <w:rFonts w:ascii="Times New Roman" w:hAnsi="Times New Roman"/>
          <w:sz w:val="22"/>
          <w:szCs w:val="22"/>
        </w:rPr>
        <w:t>calls.  EPA is also in frequent contact with state IR coordinators regarding approval/disapproval of 303(d) lists and uploading/review/approval of IR data to the Assessment Database.</w:t>
      </w:r>
    </w:p>
    <w:p w:rsidR="0042241F" w:rsidRPr="00CD07C2"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42241F"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CD07C2">
        <w:rPr>
          <w:rFonts w:ascii="Times New Roman" w:hAnsi="Times New Roman"/>
          <w:sz w:val="22"/>
          <w:szCs w:val="22"/>
        </w:rPr>
        <w:t xml:space="preserve">EPA </w:t>
      </w:r>
      <w:r w:rsidR="00AA1CD5" w:rsidRPr="00CD07C2">
        <w:rPr>
          <w:rFonts w:ascii="Times New Roman" w:hAnsi="Times New Roman"/>
          <w:sz w:val="22"/>
          <w:szCs w:val="22"/>
        </w:rPr>
        <w:t xml:space="preserve">distributes the draft </w:t>
      </w:r>
      <w:r w:rsidRPr="00CD07C2">
        <w:rPr>
          <w:rFonts w:ascii="Times New Roman" w:hAnsi="Times New Roman"/>
          <w:sz w:val="22"/>
          <w:szCs w:val="22"/>
        </w:rPr>
        <w:t xml:space="preserve">IR </w:t>
      </w:r>
      <w:r w:rsidR="00AA1CD5" w:rsidRPr="00CD07C2">
        <w:rPr>
          <w:rFonts w:ascii="Times New Roman" w:hAnsi="Times New Roman"/>
          <w:sz w:val="22"/>
          <w:szCs w:val="22"/>
        </w:rPr>
        <w:t>guidance to all respondent</w:t>
      </w:r>
      <w:r w:rsidRPr="00CD07C2">
        <w:rPr>
          <w:rFonts w:ascii="Times New Roman" w:hAnsi="Times New Roman"/>
          <w:sz w:val="22"/>
          <w:szCs w:val="22"/>
        </w:rPr>
        <w:t>s for comment before issuing</w:t>
      </w:r>
      <w:r w:rsidR="00AA1CD5" w:rsidRPr="00CD07C2">
        <w:rPr>
          <w:rFonts w:ascii="Times New Roman" w:hAnsi="Times New Roman"/>
          <w:sz w:val="22"/>
          <w:szCs w:val="22"/>
        </w:rPr>
        <w:t xml:space="preserve"> final guidance. EPA </w:t>
      </w:r>
      <w:r w:rsidR="007C6957">
        <w:rPr>
          <w:rFonts w:ascii="Times New Roman" w:hAnsi="Times New Roman"/>
          <w:sz w:val="22"/>
          <w:szCs w:val="22"/>
        </w:rPr>
        <w:t xml:space="preserve">may </w:t>
      </w:r>
      <w:r w:rsidR="00AA1CD5" w:rsidRPr="00CD07C2">
        <w:rPr>
          <w:rFonts w:ascii="Times New Roman" w:hAnsi="Times New Roman"/>
          <w:sz w:val="22"/>
          <w:szCs w:val="22"/>
        </w:rPr>
        <w:t>solicit comments on the draft guidance from other Federal agencies</w:t>
      </w:r>
      <w:r w:rsidR="007C6957">
        <w:rPr>
          <w:rFonts w:ascii="Times New Roman" w:hAnsi="Times New Roman"/>
          <w:sz w:val="22"/>
          <w:szCs w:val="22"/>
        </w:rPr>
        <w:t>.</w:t>
      </w:r>
    </w:p>
    <w:p w:rsidR="007C6957" w:rsidRDefault="007C6957"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sidRPr="00637C7F">
        <w:rPr>
          <w:rFonts w:ascii="Times New Roman" w:hAnsi="Times New Roman"/>
          <w:sz w:val="22"/>
          <w:szCs w:val="22"/>
        </w:rPr>
        <w:t>EPA may reach out to States occasionally to solicit their input on the effectiveness of the TMDL program in meeting the water quality standards. This information would facilitate the evaluation of the TMDL program to identify gaps and potential efficiencies that can be gained.</w:t>
      </w:r>
    </w:p>
    <w:p w:rsidR="007C6957" w:rsidRDefault="007C6957"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5(d)</w:t>
      </w:r>
      <w:r>
        <w:rPr>
          <w:rFonts w:ascii="Times New Roman" w:hAnsi="Times New Roman"/>
          <w:b/>
          <w:bCs/>
          <w:sz w:val="22"/>
          <w:szCs w:val="22"/>
        </w:rPr>
        <w:tab/>
        <w:t>EFFECTS OF LESS FREQUENT COLLECTION</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biennial frequency of the collection is mandated by Section 305(b</w:t>
      </w:r>
      <w:proofErr w:type="gramStart"/>
      <w:r>
        <w:rPr>
          <w:rFonts w:ascii="Times New Roman" w:hAnsi="Times New Roman"/>
          <w:sz w:val="22"/>
          <w:szCs w:val="22"/>
        </w:rPr>
        <w:t>)(</w:t>
      </w:r>
      <w:proofErr w:type="gramEnd"/>
      <w:r>
        <w:rPr>
          <w:rFonts w:ascii="Times New Roman" w:hAnsi="Times New Roman"/>
          <w:sz w:val="22"/>
          <w:szCs w:val="22"/>
        </w:rPr>
        <w:t xml:space="preserve">1) of the CWA. Section 305(b) originally required respondents to submit water quality reports on an annual basis. In 1977, the annual requirement was amended to a biennial requirement in the CWA.  EPA has determined that abbreviated reporting for hard-copy 305(b) reports, combined with annual electronic reporting using respondent databases, will meet the CWA reporting requirements </w:t>
      </w:r>
      <w:r>
        <w:rPr>
          <w:rFonts w:ascii="Times New Roman" w:hAnsi="Times New Roman"/>
          <w:sz w:val="22"/>
          <w:szCs w:val="22"/>
        </w:rPr>
        <w:lastRenderedPageBreak/>
        <w:t>while reducing burden to respondents.  The biennial period with annual electronic reporting ensures that information needed for analysis and water program decisions is reasonably current, yet abbreviated reporting requirements provides respondents with sufficient time to prepare the reports.  Less frequent collection would result in a declining level of State and EPA water quality analyses because they would be based on outdated information.</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5(e)</w:t>
      </w:r>
      <w:r>
        <w:rPr>
          <w:rFonts w:ascii="Times New Roman" w:hAnsi="Times New Roman"/>
          <w:b/>
          <w:bCs/>
          <w:sz w:val="22"/>
          <w:szCs w:val="22"/>
        </w:rPr>
        <w:tab/>
        <w:t>GENERAL GUIDELINES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proposed activities (i.e., collection of the State 305(b) reports and 303(d) lists, preparation of the summary Report to Congress, development and review of TMDLs, and preparation of the 305(b) guidance document) do not include any information collection activities that exceed Paperwork Reduction Act-imposed guidelines.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Information is not collected more often than quarterly.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Responses are not required in less than 30 days.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Respondents are not required to submit more than one original and two copies of any document.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 xml:space="preserve">The collection does not provide for </w:t>
      </w:r>
      <w:proofErr w:type="spellStart"/>
      <w:r>
        <w:rPr>
          <w:rFonts w:ascii="Times New Roman" w:hAnsi="Times New Roman"/>
          <w:sz w:val="22"/>
          <w:szCs w:val="22"/>
        </w:rPr>
        <w:t>renumeration</w:t>
      </w:r>
      <w:proofErr w:type="spellEnd"/>
      <w:r>
        <w:rPr>
          <w:rFonts w:ascii="Times New Roman" w:hAnsi="Times New Roman"/>
          <w:sz w:val="22"/>
          <w:szCs w:val="22"/>
        </w:rPr>
        <w:t xml:space="preserve"> of respondents.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The collection does not require records to be kept for more than three years.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The collection is not in conjunction with a statistical survey.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Provisions for small businesses and other small entities are appropriate.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numPr>
          <w:ilvl w:val="0"/>
          <w:numId w:val="2"/>
        </w:numPr>
        <w:tabs>
          <w:tab w:val="left" w:pos="-144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Times New Roman" w:hAnsi="Times New Roman"/>
          <w:sz w:val="22"/>
          <w:szCs w:val="22"/>
        </w:rPr>
      </w:pPr>
      <w:r>
        <w:rPr>
          <w:rFonts w:ascii="Times New Roman" w:hAnsi="Times New Roman"/>
          <w:sz w:val="22"/>
          <w:szCs w:val="22"/>
        </w:rPr>
        <w:t>Confidentiality is protected.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785BEF">
      <w:pPr>
        <w:pStyle w:val="Level1"/>
        <w:widowControl/>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rFonts w:ascii="Times New Roman" w:hAnsi="Times New Roman"/>
          <w:sz w:val="22"/>
          <w:szCs w:val="22"/>
        </w:rPr>
      </w:pPr>
      <w:r>
        <w:rPr>
          <w:rFonts w:ascii="Times New Roman" w:hAnsi="Times New Roman"/>
          <w:sz w:val="22"/>
          <w:szCs w:val="22"/>
        </w:rPr>
        <w:t>The collection does not require submission of information in a format other than that in which it is customarily maintained.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Regarding recordkeeping, EPA considers it appropriate that respondents keep copies of their 305(b) reports and annual electronic updates for a period of 3 years from the date they are transmitted to EPA.</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b/>
          <w:bCs/>
          <w:sz w:val="22"/>
          <w:szCs w:val="22"/>
        </w:rPr>
        <w:t>5(f)</w:t>
      </w:r>
      <w:r>
        <w:rPr>
          <w:rFonts w:ascii="Times New Roman" w:hAnsi="Times New Roman"/>
          <w:b/>
          <w:bCs/>
          <w:sz w:val="22"/>
          <w:szCs w:val="22"/>
        </w:rPr>
        <w:tab/>
        <w:t>CONFIDENTIALITY AND SENSITIVE QUESTIONS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bCs/>
          <w:sz w:val="22"/>
          <w:szCs w:val="22"/>
        </w:rPr>
      </w:pPr>
      <w:r>
        <w:rPr>
          <w:rFonts w:ascii="Times New Roman" w:hAnsi="Times New Roman"/>
          <w:b/>
          <w:bCs/>
          <w:sz w:val="22"/>
          <w:szCs w:val="22"/>
        </w:rPr>
        <w:tab/>
        <w:t>(</w:t>
      </w:r>
      <w:proofErr w:type="spellStart"/>
      <w:r>
        <w:rPr>
          <w:rFonts w:ascii="Times New Roman" w:hAnsi="Times New Roman"/>
          <w:b/>
          <w:bCs/>
          <w:sz w:val="22"/>
          <w:szCs w:val="22"/>
        </w:rPr>
        <w:t>i</w:t>
      </w:r>
      <w:proofErr w:type="spellEnd"/>
      <w:r>
        <w:rPr>
          <w:rFonts w:ascii="Times New Roman" w:hAnsi="Times New Roman"/>
          <w:b/>
          <w:bCs/>
          <w:sz w:val="22"/>
          <w:szCs w:val="22"/>
        </w:rPr>
        <w:t>)</w:t>
      </w:r>
      <w:r>
        <w:rPr>
          <w:rFonts w:ascii="Times New Roman" w:hAnsi="Times New Roman"/>
          <w:b/>
          <w:bCs/>
          <w:sz w:val="22"/>
          <w:szCs w:val="22"/>
        </w:rPr>
        <w:tab/>
        <w:t>Confidentiality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Information collected through the proposed activities is not confidential because all respondents are State agencies, Territorial agencies, Tribes, and public commissions working entirely in a public forum.</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lastRenderedPageBreak/>
        <w:tab/>
      </w:r>
      <w:r>
        <w:rPr>
          <w:rFonts w:ascii="Times New Roman" w:hAnsi="Times New Roman"/>
          <w:b/>
          <w:bCs/>
          <w:sz w:val="22"/>
          <w:szCs w:val="22"/>
        </w:rPr>
        <w:tab/>
        <w:t>(ii)</w:t>
      </w:r>
      <w:r>
        <w:rPr>
          <w:rFonts w:ascii="Times New Roman" w:hAnsi="Times New Roman"/>
          <w:b/>
          <w:bCs/>
          <w:sz w:val="22"/>
          <w:szCs w:val="22"/>
        </w:rPr>
        <w:tab/>
        <w:t>Sensitive Questions</w:t>
      </w: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proposed information collection activities do not request information of a sensitive nature from the State respondents.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sz w:val="22"/>
          <w:szCs w:val="22"/>
        </w:rPr>
        <w:br w:type="page"/>
      </w:r>
      <w:r>
        <w:rPr>
          <w:rFonts w:ascii="Times New Roman" w:hAnsi="Times New Roman"/>
          <w:b/>
          <w:bCs/>
          <w:sz w:val="22"/>
          <w:szCs w:val="22"/>
        </w:rPr>
        <w:lastRenderedPageBreak/>
        <w:t>6.</w:t>
      </w:r>
      <w:r>
        <w:rPr>
          <w:rFonts w:ascii="Times New Roman" w:hAnsi="Times New Roman"/>
          <w:b/>
          <w:bCs/>
          <w:sz w:val="22"/>
          <w:szCs w:val="22"/>
        </w:rPr>
        <w:tab/>
      </w:r>
      <w:r>
        <w:rPr>
          <w:rFonts w:ascii="Times New Roman" w:hAnsi="Times New Roman"/>
          <w:b/>
          <w:bCs/>
          <w:sz w:val="22"/>
          <w:szCs w:val="22"/>
          <w:u w:val="single"/>
        </w:rPr>
        <w:t>ESTIMATING THE BURDEN AND COST OF THE COLLECTION</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b/>
          <w:bCs/>
          <w:sz w:val="22"/>
          <w:szCs w:val="22"/>
        </w:rPr>
        <w:t>6(a)</w:t>
      </w:r>
      <w:r>
        <w:rPr>
          <w:rFonts w:ascii="Times New Roman" w:hAnsi="Times New Roman"/>
          <w:b/>
          <w:bCs/>
          <w:sz w:val="22"/>
          <w:szCs w:val="22"/>
        </w:rPr>
        <w:tab/>
        <w:t>ESTIMATING RESPONDENT BURDEN</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For current 305(b) and 303(d) reporting ac</w:t>
      </w:r>
      <w:r w:rsidR="00D7267B">
        <w:rPr>
          <w:rFonts w:ascii="Times New Roman" w:hAnsi="Times New Roman"/>
          <w:sz w:val="22"/>
          <w:szCs w:val="22"/>
        </w:rPr>
        <w:t xml:space="preserve">tivities, the primary source </w:t>
      </w:r>
      <w:r>
        <w:rPr>
          <w:rFonts w:ascii="Times New Roman" w:hAnsi="Times New Roman"/>
          <w:sz w:val="22"/>
          <w:szCs w:val="22"/>
        </w:rPr>
        <w:t>use</w:t>
      </w:r>
      <w:r w:rsidR="00D7267B">
        <w:rPr>
          <w:rFonts w:ascii="Times New Roman" w:hAnsi="Times New Roman"/>
          <w:sz w:val="22"/>
          <w:szCs w:val="22"/>
        </w:rPr>
        <w:t>d</w:t>
      </w:r>
      <w:r>
        <w:rPr>
          <w:rFonts w:ascii="Times New Roman" w:hAnsi="Times New Roman"/>
          <w:sz w:val="22"/>
          <w:szCs w:val="22"/>
        </w:rPr>
        <w:t xml:space="preserve"> in estimating burden is the State Water Quality Management Workload Model (SWQMWM), which estimates and sums the workload involved in more than one hundred activities or tasks comprising a State water quality management program.</w:t>
      </w:r>
      <w:r w:rsidR="00411C42">
        <w:rPr>
          <w:rFonts w:ascii="Times New Roman" w:hAnsi="Times New Roman"/>
          <w:sz w:val="22"/>
          <w:szCs w:val="22"/>
        </w:rPr>
        <w:t xml:space="preserve">  </w:t>
      </w:r>
      <w:r w:rsidR="00D7267B" w:rsidRPr="00302FD2">
        <w:rPr>
          <w:rFonts w:ascii="Times New Roman" w:hAnsi="Times New Roman"/>
          <w:sz w:val="22"/>
          <w:szCs w:val="22"/>
        </w:rPr>
        <w:t>The SWQMWM was developed in 2002; the workload burden estimates it generated remain applicable today.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D7267B"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SWQMWM was</w:t>
      </w:r>
      <w:r w:rsidR="00AA1CD5">
        <w:rPr>
          <w:rFonts w:ascii="Times New Roman" w:hAnsi="Times New Roman"/>
          <w:sz w:val="22"/>
          <w:szCs w:val="22"/>
        </w:rPr>
        <w:t xml:space="preserve"> designed to allow a State to enter its own values for workload to be accomplished, FTE hours required to perform tasks, and the average State salary per FTE hour.  Roughly half of the States used the model to develop their own estimate of their program “needs</w:t>
      </w:r>
      <w:r>
        <w:rPr>
          <w:rFonts w:ascii="Times New Roman" w:hAnsi="Times New Roman"/>
          <w:sz w:val="22"/>
          <w:szCs w:val="22"/>
        </w:rPr>
        <w:t>.”</w:t>
      </w:r>
      <w:r w:rsidR="00AA1CD5">
        <w:rPr>
          <w:rFonts w:ascii="Times New Roman" w:hAnsi="Times New Roman"/>
          <w:sz w:val="22"/>
          <w:szCs w:val="22"/>
        </w:rPr>
        <w:t xml:space="preserve"> </w:t>
      </w:r>
      <w:r>
        <w:rPr>
          <w:rFonts w:ascii="Times New Roman" w:hAnsi="Times New Roman"/>
          <w:sz w:val="22"/>
          <w:szCs w:val="22"/>
        </w:rPr>
        <w:t>Twenty States</w:t>
      </w:r>
      <w:r w:rsidR="00AA1CD5">
        <w:rPr>
          <w:rFonts w:ascii="Times New Roman" w:hAnsi="Times New Roman"/>
          <w:sz w:val="22"/>
          <w:szCs w:val="22"/>
        </w:rPr>
        <w:t xml:space="preserve"> used the model comprehensively, estimating their task-by-task needs for performing all activities.  According to the report on the model, “Though only one-third of States have submitted data, these States provide a representative cross-section of State water quality programs.  Participating States include large, medium, and small States; have a great deal of geographic diversity; and face a wide spectrum of water quality issues.”</w:t>
      </w:r>
      <w:r w:rsidR="00AA1CD5">
        <w:rPr>
          <w:vertAlign w:val="superscript"/>
        </w:rPr>
        <w:footnoteReference w:customMarkFollows="1" w:id="2"/>
        <w:t>3</w:t>
      </w:r>
      <w:r w:rsidR="00D64D42">
        <w:rPr>
          <w:rFonts w:ascii="Times New Roman" w:hAnsi="Times New Roman"/>
          <w:sz w:val="22"/>
          <w:szCs w:val="22"/>
        </w:rPr>
        <w:t xml:space="preserve"> </w:t>
      </w:r>
      <w:r w:rsidR="00AA1CD5">
        <w:rPr>
          <w:rFonts w:ascii="Times New Roman" w:hAnsi="Times New Roman"/>
          <w:sz w:val="22"/>
          <w:szCs w:val="22"/>
        </w:rPr>
        <w:t>For this analysis, we use the average “need” for a given task, estimated across these 20 States, as our estimate for the burden required for a typical respondent to perform this task.</w:t>
      </w:r>
      <w:r>
        <w:rPr>
          <w:rFonts w:ascii="Times New Roman" w:hAnsi="Times New Roman"/>
          <w:sz w:val="22"/>
          <w:szCs w:val="22"/>
        </w:rPr>
        <w:t xml:space="preserve">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Based on estimates derived from SWQMWM inputs, the average annual burden per respondent for the 3 respondents that only have 305(b) responsibility only is 2,969 hours.  The current burden for the 56 respondents with both 305(b) and 303(d) responsibilities is 6,491 hours for both 305(b) and 303(d) reporting activities.  Worksheet 1 displays a summary of the burden estimates and Appendix B provides details of the calculations.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SWQMWM does not include need estimates for one activity, an enhanced assessment of the benefits and costs of achieving water quality goals.  The additional burden for respondents to assess the costs and benefits of achieving water quality standards depends on the level of detail and sophistication that the respondents choose to provide as well as factors such as the number of impaired waters, the diversity of water resources, and the intensity of use of those resources. Appendix B details the estimate of the burden associated with the enhanced benefit cost analysis, resulting in an average increase in respondent burden of 690 hours annually.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Thus, the total annual reporting burden for the 3 respondents with 305(b) responsibilities only is estimated at 3,659 hours (2,969 + 690).  The total annual reporting burden for the 56 respondents with both 305(b) and 303(d) responsibilities is 7,181 hours (6,491 + 690).  The total annual burden for 305(b) and 303(d) reporting activities for all respondents is 413,113 hours (3 @ 3,659 hours + 56 @ 7,1</w:t>
      </w:r>
      <w:r w:rsidR="004E46AF">
        <w:rPr>
          <w:rFonts w:ascii="Times New Roman" w:hAnsi="Times New Roman"/>
          <w:sz w:val="22"/>
          <w:szCs w:val="22"/>
        </w:rPr>
        <w:t xml:space="preserve">81 </w:t>
      </w:r>
      <w:r>
        <w:rPr>
          <w:rFonts w:ascii="Times New Roman" w:hAnsi="Times New Roman"/>
          <w:sz w:val="22"/>
          <w:szCs w:val="22"/>
        </w:rPr>
        <w:t>hours).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7C6957" w:rsidRDefault="00AA1CD5" w:rsidP="007C6957">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lastRenderedPageBreak/>
        <w:t xml:space="preserve">We use a separate analysis to estimate the burden associated with current TMDL development because the number and pace of TMDL development varies greatly from State to State so that average responses in the SWQMWM were thought to be inappropriate.  Instead, information from </w:t>
      </w:r>
      <w:r>
        <w:rPr>
          <w:rFonts w:ascii="Times New Roman" w:hAnsi="Times New Roman"/>
          <w:i/>
          <w:iCs/>
          <w:sz w:val="22"/>
          <w:szCs w:val="22"/>
        </w:rPr>
        <w:t>The National Costs to Develop TMDLs (Draft Report): Support Document #1</w:t>
      </w:r>
      <w:r>
        <w:rPr>
          <w:rFonts w:ascii="Times New Roman" w:hAnsi="Times New Roman"/>
          <w:sz w:val="22"/>
          <w:szCs w:val="22"/>
        </w:rPr>
        <w:t xml:space="preserve"> is updated to reflect current TMDL schedules.  Based on estimates of the number of TMDLs per year (4,000), the total average current burden associated with developing TMDLs under the current 303(d) program is estimated to be 59,409 hours per respondent for the 56 respondents with 303(d) responsibility, and the total annual burden for all 56 respondents is estimated to be 3,326,904 hours.  </w:t>
      </w:r>
      <w:r w:rsidR="007C6957">
        <w:rPr>
          <w:rFonts w:ascii="Times New Roman" w:hAnsi="Times New Roman"/>
          <w:sz w:val="22"/>
          <w:szCs w:val="22"/>
        </w:rPr>
        <w:t>O</w:t>
      </w:r>
      <w:r w:rsidR="007C6957" w:rsidRPr="00D44474">
        <w:rPr>
          <w:rFonts w:ascii="Times New Roman" w:hAnsi="Times New Roman"/>
          <w:sz w:val="22"/>
          <w:szCs w:val="22"/>
        </w:rPr>
        <w:t>ccasional assistance to EPA to evaluate the TMDL programs is not expected to create any additional burden on States because States do not have to generate any new information or create new infrastructure.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Therefore, the total annual reporting burden for the 3 respondents with 305(b) responsibilities only is estimated at 10,977 hours (3@3659).  The total annual reporting burden for the other 56 respondents with both 305(b) and 303(d) including TMDL development responsibilities is 3,729,040 (56@7181 + 56@59,409).  Finally, the total annual burden for 305(b) and 303(d) reporting activities for all respondents is 3,740,017 (10,977 + 3,729,040).</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ab/>
        <w:t>6(b) ESTIMATING RESPONDENT COSTS</w:t>
      </w: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 xml:space="preserve">To estimate respondent costs, we applied an </w:t>
      </w:r>
      <w:r w:rsidR="00D7267B" w:rsidRPr="00302FD2">
        <w:rPr>
          <w:rFonts w:ascii="Times New Roman" w:hAnsi="Times New Roman"/>
          <w:sz w:val="22"/>
          <w:szCs w:val="22"/>
        </w:rPr>
        <w:t>updated,</w:t>
      </w:r>
      <w:r w:rsidR="00D7267B">
        <w:rPr>
          <w:rFonts w:ascii="Times New Roman" w:hAnsi="Times New Roman"/>
          <w:sz w:val="22"/>
          <w:szCs w:val="22"/>
        </w:rPr>
        <w:t xml:space="preserve"> </w:t>
      </w:r>
      <w:r>
        <w:rPr>
          <w:rFonts w:ascii="Times New Roman" w:hAnsi="Times New Roman"/>
          <w:sz w:val="22"/>
          <w:szCs w:val="22"/>
        </w:rPr>
        <w:t>average fully loaded cost per hour to the burden estimates in Worksheet 1.  As part of the SWQMWM development, States indicated the default value for a fully loaded labor rate for a “typical” or “average” State.  This fully loaded hourly labor rate represents the total cost for obtaining an hour’s worth of work, and includes: direct salary paid, paid or accrued vacation, paid or accrued sick leave, cost of other fringe benefits (e.g., health, pension, etc.), general training, indirect expenses such as professional support (e.g., clerical, accounting, supervisory, etc.), office space, utilities, telephone service, equipment (e.g., fax machines, basic computing needs such as hardware and software, etc.), etc.. This rate does not include the costs associated with computer maintenance, support or periodic upgrades of hardware or software.</w:t>
      </w:r>
      <w:r w:rsidR="00D7267B">
        <w:rPr>
          <w:rFonts w:ascii="Times New Roman" w:hAnsi="Times New Roman"/>
          <w:sz w:val="22"/>
          <w:szCs w:val="22"/>
        </w:rPr>
        <w:t xml:space="preserve"> </w:t>
      </w:r>
      <w:r w:rsidR="00D7267B" w:rsidRPr="00302FD2">
        <w:rPr>
          <w:rFonts w:ascii="Times New Roman" w:hAnsi="Times New Roman"/>
          <w:sz w:val="22"/>
          <w:szCs w:val="22"/>
        </w:rPr>
        <w:t>Updating the original SWQMWM calculations, t</w:t>
      </w:r>
      <w:r w:rsidRPr="00302FD2">
        <w:rPr>
          <w:rFonts w:ascii="Times New Roman" w:hAnsi="Times New Roman"/>
          <w:sz w:val="22"/>
          <w:szCs w:val="22"/>
        </w:rPr>
        <w:t xml:space="preserve">he “typical” loaded labor </w:t>
      </w:r>
      <w:r w:rsidR="00D7267B" w:rsidRPr="00302FD2">
        <w:rPr>
          <w:rFonts w:ascii="Times New Roman" w:hAnsi="Times New Roman"/>
          <w:sz w:val="22"/>
          <w:szCs w:val="22"/>
        </w:rPr>
        <w:t>rate identified as of November 200</w:t>
      </w:r>
      <w:r w:rsidR="005F776A">
        <w:rPr>
          <w:rFonts w:ascii="Times New Roman" w:hAnsi="Times New Roman"/>
          <w:sz w:val="22"/>
          <w:szCs w:val="22"/>
        </w:rPr>
        <w:t>7</w:t>
      </w:r>
      <w:r w:rsidR="00D7267B" w:rsidRPr="00302FD2">
        <w:rPr>
          <w:rFonts w:ascii="Times New Roman" w:hAnsi="Times New Roman"/>
          <w:sz w:val="22"/>
          <w:szCs w:val="22"/>
        </w:rPr>
        <w:t xml:space="preserve"> as</w:t>
      </w:r>
      <w:r w:rsidRPr="00302FD2">
        <w:rPr>
          <w:rFonts w:ascii="Times New Roman" w:hAnsi="Times New Roman"/>
          <w:sz w:val="22"/>
          <w:szCs w:val="22"/>
        </w:rPr>
        <w:t xml:space="preserve"> </w:t>
      </w:r>
      <w:r w:rsidR="00D7267B" w:rsidRPr="00302FD2">
        <w:rPr>
          <w:rFonts w:ascii="Times New Roman" w:hAnsi="Times New Roman"/>
          <w:sz w:val="22"/>
          <w:szCs w:val="22"/>
        </w:rPr>
        <w:t>$</w:t>
      </w:r>
      <w:r w:rsidR="005F776A">
        <w:rPr>
          <w:rFonts w:ascii="Times New Roman" w:hAnsi="Times New Roman"/>
          <w:sz w:val="22"/>
          <w:szCs w:val="22"/>
        </w:rPr>
        <w:t>47.55</w:t>
      </w:r>
      <w:r w:rsidR="00D7267B" w:rsidRPr="00302FD2">
        <w:rPr>
          <w:rFonts w:ascii="Times New Roman" w:hAnsi="Times New Roman"/>
          <w:sz w:val="22"/>
          <w:szCs w:val="22"/>
        </w:rPr>
        <w:t xml:space="preserve"> per hour. For 20</w:t>
      </w:r>
      <w:r w:rsidR="005F776A">
        <w:rPr>
          <w:rFonts w:ascii="Times New Roman" w:hAnsi="Times New Roman"/>
          <w:sz w:val="22"/>
          <w:szCs w:val="22"/>
        </w:rPr>
        <w:t>11</w:t>
      </w:r>
      <w:r w:rsidR="00D7267B" w:rsidRPr="00302FD2">
        <w:rPr>
          <w:rFonts w:ascii="Times New Roman" w:hAnsi="Times New Roman"/>
          <w:sz w:val="22"/>
          <w:szCs w:val="22"/>
        </w:rPr>
        <w:t>, w</w:t>
      </w:r>
      <w:r w:rsidRPr="00302FD2">
        <w:rPr>
          <w:rFonts w:ascii="Times New Roman" w:hAnsi="Times New Roman"/>
          <w:sz w:val="22"/>
          <w:szCs w:val="22"/>
        </w:rPr>
        <w:t>e update</w:t>
      </w:r>
      <w:r w:rsidR="00D7267B" w:rsidRPr="00302FD2">
        <w:rPr>
          <w:rFonts w:ascii="Times New Roman" w:hAnsi="Times New Roman"/>
          <w:sz w:val="22"/>
          <w:szCs w:val="22"/>
        </w:rPr>
        <w:t>d</w:t>
      </w:r>
      <w:r w:rsidRPr="00302FD2">
        <w:rPr>
          <w:rFonts w:ascii="Times New Roman" w:hAnsi="Times New Roman"/>
          <w:sz w:val="22"/>
          <w:szCs w:val="22"/>
        </w:rPr>
        <w:t xml:space="preserve"> the default labor rate to reflect the current time period by a factor of </w:t>
      </w:r>
      <w:r w:rsidR="00D7267B" w:rsidRPr="00302FD2">
        <w:rPr>
          <w:rFonts w:ascii="Times New Roman" w:hAnsi="Times New Roman"/>
          <w:sz w:val="22"/>
          <w:szCs w:val="22"/>
        </w:rPr>
        <w:t>1.</w:t>
      </w:r>
      <w:r w:rsidR="005F776A" w:rsidRPr="00302FD2" w:rsidDel="005F776A">
        <w:rPr>
          <w:rFonts w:ascii="Times New Roman" w:hAnsi="Times New Roman"/>
          <w:sz w:val="22"/>
          <w:szCs w:val="22"/>
        </w:rPr>
        <w:t xml:space="preserve"> </w:t>
      </w:r>
      <w:r w:rsidR="005F776A">
        <w:rPr>
          <w:rFonts w:ascii="Times New Roman" w:hAnsi="Times New Roman"/>
          <w:sz w:val="22"/>
          <w:szCs w:val="22"/>
        </w:rPr>
        <w:t>089</w:t>
      </w:r>
      <w:r w:rsidRPr="00302FD2">
        <w:rPr>
          <w:vertAlign w:val="superscript"/>
        </w:rPr>
        <w:footnoteReference w:customMarkFollows="1" w:id="3"/>
        <w:t>4</w:t>
      </w:r>
      <w:r w:rsidRPr="00302FD2">
        <w:rPr>
          <w:rFonts w:ascii="Times New Roman" w:hAnsi="Times New Roman"/>
          <w:sz w:val="22"/>
          <w:szCs w:val="22"/>
        </w:rPr>
        <w:t xml:space="preserve"> to derive a typical fully loaded labor rate of $</w:t>
      </w:r>
      <w:r w:rsidR="005F776A">
        <w:rPr>
          <w:rFonts w:ascii="Times New Roman" w:hAnsi="Times New Roman"/>
          <w:sz w:val="22"/>
          <w:szCs w:val="22"/>
        </w:rPr>
        <w:t>51.78</w:t>
      </w:r>
      <w:r w:rsidR="00D7267B" w:rsidRPr="00302FD2">
        <w:rPr>
          <w:rFonts w:ascii="Times New Roman" w:hAnsi="Times New Roman"/>
          <w:sz w:val="22"/>
          <w:szCs w:val="22"/>
        </w:rPr>
        <w:t xml:space="preserve"> </w:t>
      </w:r>
      <w:r w:rsidRPr="00302FD2">
        <w:rPr>
          <w:rFonts w:ascii="Times New Roman" w:hAnsi="Times New Roman"/>
          <w:sz w:val="22"/>
          <w:szCs w:val="22"/>
        </w:rPr>
        <w:t xml:space="preserve">per hour.  This value is used to estimate respondent costs in Worksheet 2. </w:t>
      </w:r>
    </w:p>
    <w:p w:rsidR="00AA1CD5"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 xml:space="preserve">The average annual cost to each respondent for current 305(b) and 303(d) reporting (including the enhanced benefit cost activities) is estimated to </w:t>
      </w:r>
      <w:r w:rsidRPr="00302FD2">
        <w:rPr>
          <w:rFonts w:ascii="Times New Roman" w:hAnsi="Times New Roman"/>
          <w:sz w:val="22"/>
          <w:szCs w:val="22"/>
        </w:rPr>
        <w:t>be $</w:t>
      </w:r>
      <w:r w:rsidR="005F776A">
        <w:rPr>
          <w:rFonts w:ascii="Times New Roman" w:hAnsi="Times New Roman"/>
          <w:sz w:val="22"/>
          <w:szCs w:val="22"/>
        </w:rPr>
        <w:t>371,832</w:t>
      </w:r>
      <w:r w:rsidR="00B67902">
        <w:rPr>
          <w:rFonts w:ascii="Times New Roman" w:hAnsi="Times New Roman"/>
          <w:sz w:val="22"/>
          <w:szCs w:val="22"/>
        </w:rPr>
        <w:t xml:space="preserve"> </w:t>
      </w:r>
      <w:r w:rsidRPr="00302FD2">
        <w:rPr>
          <w:rFonts w:ascii="Times New Roman" w:hAnsi="Times New Roman"/>
          <w:sz w:val="22"/>
          <w:szCs w:val="22"/>
        </w:rPr>
        <w:t>for the 56 respondents with 305(b) and 303(d) responsibilities.  The average annual cost to the 3 respondents with 3</w:t>
      </w:r>
      <w:r w:rsidR="004950C6" w:rsidRPr="00302FD2">
        <w:rPr>
          <w:rFonts w:ascii="Times New Roman" w:hAnsi="Times New Roman"/>
          <w:sz w:val="22"/>
          <w:szCs w:val="22"/>
        </w:rPr>
        <w:t xml:space="preserve">05(b) responsibility </w:t>
      </w:r>
      <w:r w:rsidR="00A47872">
        <w:rPr>
          <w:rFonts w:ascii="Times New Roman" w:hAnsi="Times New Roman"/>
          <w:sz w:val="22"/>
          <w:szCs w:val="22"/>
        </w:rPr>
        <w:t xml:space="preserve">only </w:t>
      </w:r>
      <w:r w:rsidR="004950C6" w:rsidRPr="00302FD2">
        <w:rPr>
          <w:rFonts w:ascii="Times New Roman" w:hAnsi="Times New Roman"/>
          <w:sz w:val="22"/>
          <w:szCs w:val="22"/>
        </w:rPr>
        <w:t>is $1</w:t>
      </w:r>
      <w:r w:rsidR="00A47872">
        <w:rPr>
          <w:rFonts w:ascii="Times New Roman" w:hAnsi="Times New Roman"/>
          <w:sz w:val="22"/>
          <w:szCs w:val="22"/>
        </w:rPr>
        <w:t>89,462</w:t>
      </w:r>
      <w:r w:rsidRPr="00302FD2">
        <w:rPr>
          <w:rFonts w:ascii="Times New Roman" w:hAnsi="Times New Roman"/>
          <w:sz w:val="22"/>
          <w:szCs w:val="22"/>
        </w:rPr>
        <w:t>.  The total annua</w:t>
      </w:r>
      <w:r w:rsidR="00760709" w:rsidRPr="00302FD2">
        <w:rPr>
          <w:rFonts w:ascii="Times New Roman" w:hAnsi="Times New Roman"/>
          <w:sz w:val="22"/>
          <w:szCs w:val="22"/>
        </w:rPr>
        <w:t>l cost</w:t>
      </w:r>
      <w:r w:rsidRPr="00302FD2">
        <w:rPr>
          <w:rFonts w:ascii="Times New Roman" w:hAnsi="Times New Roman"/>
          <w:sz w:val="22"/>
          <w:szCs w:val="22"/>
        </w:rPr>
        <w:t xml:space="preserve"> imposed on all 59 re</w:t>
      </w:r>
      <w:r w:rsidR="00760709" w:rsidRPr="00302FD2">
        <w:rPr>
          <w:rFonts w:ascii="Times New Roman" w:hAnsi="Times New Roman"/>
          <w:sz w:val="22"/>
          <w:szCs w:val="22"/>
        </w:rPr>
        <w:t>spondents is estimated to be $</w:t>
      </w:r>
      <w:r w:rsidR="00A47872">
        <w:rPr>
          <w:rFonts w:ascii="Times New Roman" w:hAnsi="Times New Roman"/>
          <w:sz w:val="22"/>
          <w:szCs w:val="22"/>
        </w:rPr>
        <w:t>21,390,991</w:t>
      </w:r>
      <w:r w:rsidRPr="00302FD2">
        <w:rPr>
          <w:rFonts w:ascii="Times New Roman" w:hAnsi="Times New Roman"/>
          <w:sz w:val="22"/>
          <w:szCs w:val="22"/>
        </w:rPr>
        <w:t xml:space="preserve">.  </w:t>
      </w:r>
    </w:p>
    <w:p w:rsidR="00AA1CD5"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302FD2">
        <w:rPr>
          <w:rFonts w:ascii="Times New Roman" w:hAnsi="Times New Roman"/>
          <w:sz w:val="22"/>
          <w:szCs w:val="22"/>
        </w:rPr>
        <w:lastRenderedPageBreak/>
        <w:t>Average annual respondent costs for current TMDL development is estimated at $</w:t>
      </w:r>
      <w:r w:rsidR="0048023F">
        <w:rPr>
          <w:rFonts w:ascii="Times New Roman" w:hAnsi="Times New Roman"/>
          <w:sz w:val="22"/>
          <w:szCs w:val="22"/>
        </w:rPr>
        <w:t xml:space="preserve">3,076,198 </w:t>
      </w:r>
      <w:r w:rsidRPr="00302FD2">
        <w:rPr>
          <w:rFonts w:ascii="Times New Roman" w:hAnsi="Times New Roman"/>
          <w:sz w:val="22"/>
          <w:szCs w:val="22"/>
        </w:rPr>
        <w:t>per respondent for the 56 respondents with 303(d) responsibilities, and $</w:t>
      </w:r>
      <w:r w:rsidR="0048023F">
        <w:rPr>
          <w:rFonts w:ascii="Times New Roman" w:hAnsi="Times New Roman"/>
          <w:sz w:val="22"/>
          <w:szCs w:val="22"/>
        </w:rPr>
        <w:t xml:space="preserve">172,267,089 </w:t>
      </w:r>
      <w:r w:rsidRPr="00302FD2">
        <w:rPr>
          <w:rFonts w:ascii="Times New Roman" w:hAnsi="Times New Roman"/>
          <w:sz w:val="22"/>
          <w:szCs w:val="22"/>
        </w:rPr>
        <w:t xml:space="preserve">for all 56 respondents (Worksheet 2). </w:t>
      </w: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302FD2">
        <w:rPr>
          <w:rFonts w:ascii="Times New Roman" w:hAnsi="Times New Roman"/>
          <w:sz w:val="22"/>
          <w:szCs w:val="22"/>
        </w:rPr>
        <w:t>Therefore the total annual cost for all respondents is $</w:t>
      </w:r>
      <w:r w:rsidR="0048023F">
        <w:rPr>
          <w:rFonts w:ascii="Times New Roman" w:hAnsi="Times New Roman"/>
          <w:sz w:val="22"/>
          <w:szCs w:val="22"/>
        </w:rPr>
        <w:t>193,658,080.</w:t>
      </w:r>
    </w:p>
    <w:p w:rsidR="00AA1CD5"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p>
    <w:p w:rsidR="00AA1CD5" w:rsidRDefault="00AA1CD5" w:rsidP="00AA1CD5">
      <w:pPr>
        <w:keepNext/>
        <w:keepLines/>
        <w:widowControl/>
        <w:numPr>
          <w:ilvl w:val="12"/>
          <w:numId w:val="0"/>
        </w:numPr>
        <w:tabs>
          <w:tab w:val="left" w:pos="720"/>
          <w:tab w:val="left" w:pos="1166"/>
          <w:tab w:val="right" w:pos="8696"/>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6(c) ESTIMATING AGENCY BURDEN AND COST</w:t>
      </w:r>
    </w:p>
    <w:p w:rsidR="00AA1CD5"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Agency burden estimates are presented in Worksheet 3 and Agency cost estimates are presented in Worksheet 4. The derivation of these estimates is explained in detail in Appendix B.  The burden estimates are based on AWPD’s prior experience in developing 305(b) and 303(d) guidance, preparing the Report to Congress, providing technical support to respondents, maintaining the ADB</w:t>
      </w:r>
      <w:r w:rsidR="00074104">
        <w:rPr>
          <w:rFonts w:ascii="Times New Roman" w:hAnsi="Times New Roman"/>
          <w:sz w:val="22"/>
          <w:szCs w:val="22"/>
        </w:rPr>
        <w:t xml:space="preserve"> and ATTAINS</w:t>
      </w:r>
      <w:r>
        <w:rPr>
          <w:rFonts w:ascii="Times New Roman" w:hAnsi="Times New Roman"/>
          <w:sz w:val="22"/>
          <w:szCs w:val="22"/>
        </w:rPr>
        <w:t>, and reviewing and approving/disapproving 303(d) lists and TMDL submissions. The hourly cost estimates were calculated for a technical federal position, Grade 10 Ste</w:t>
      </w:r>
      <w:r w:rsidR="00846F5D">
        <w:rPr>
          <w:rFonts w:ascii="Times New Roman" w:hAnsi="Times New Roman"/>
          <w:sz w:val="22"/>
          <w:szCs w:val="22"/>
        </w:rPr>
        <w:t xml:space="preserve">p 7 effective as of </w:t>
      </w:r>
      <w:r w:rsidR="00846F5D" w:rsidRPr="00302FD2">
        <w:rPr>
          <w:rFonts w:ascii="Times New Roman" w:hAnsi="Times New Roman"/>
          <w:sz w:val="22"/>
          <w:szCs w:val="22"/>
        </w:rPr>
        <w:t>January 2007</w:t>
      </w:r>
      <w:r w:rsidRPr="00302FD2">
        <w:rPr>
          <w:rFonts w:ascii="Times New Roman" w:hAnsi="Times New Roman"/>
          <w:sz w:val="22"/>
          <w:szCs w:val="22"/>
        </w:rPr>
        <w:t xml:space="preserve"> ($</w:t>
      </w:r>
      <w:r w:rsidR="00B50DFB">
        <w:rPr>
          <w:rFonts w:ascii="Times New Roman" w:hAnsi="Times New Roman"/>
          <w:sz w:val="22"/>
          <w:szCs w:val="22"/>
        </w:rPr>
        <w:t>26.32</w:t>
      </w:r>
      <w:r w:rsidRPr="00302FD2">
        <w:rPr>
          <w:rFonts w:ascii="Times New Roman" w:hAnsi="Times New Roman"/>
          <w:sz w:val="22"/>
          <w:szCs w:val="22"/>
        </w:rPr>
        <w:t xml:space="preserve">per hour). </w:t>
      </w:r>
      <w:r>
        <w:rPr>
          <w:rFonts w:ascii="Times New Roman" w:hAnsi="Times New Roman"/>
          <w:sz w:val="22"/>
          <w:szCs w:val="22"/>
        </w:rPr>
        <w:t xml:space="preserve">The total costs are based upon an overhead rate of 110 percent.  The average annual Agency burden for 305(b) and 303(d) reporting activities is estimated at 9,089 hours at a cost </w:t>
      </w:r>
      <w:r w:rsidRPr="00302FD2">
        <w:rPr>
          <w:rFonts w:ascii="Times New Roman" w:hAnsi="Times New Roman"/>
          <w:sz w:val="22"/>
          <w:szCs w:val="22"/>
        </w:rPr>
        <w:t>of $</w:t>
      </w:r>
      <w:r w:rsidR="0048023F">
        <w:rPr>
          <w:rFonts w:ascii="Times New Roman" w:hAnsi="Times New Roman"/>
          <w:sz w:val="22"/>
          <w:szCs w:val="22"/>
        </w:rPr>
        <w:t>646,872.</w:t>
      </w:r>
      <w:r>
        <w:rPr>
          <w:rFonts w:ascii="Times New Roman" w:hAnsi="Times New Roman"/>
          <w:sz w:val="22"/>
          <w:szCs w:val="22"/>
        </w:rPr>
        <w:t xml:space="preserve"> </w:t>
      </w:r>
    </w:p>
    <w:p w:rsidR="00AA1CD5"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Pr>
          <w:rFonts w:ascii="Times New Roman" w:hAnsi="Times New Roman"/>
          <w:sz w:val="22"/>
          <w:szCs w:val="22"/>
        </w:rPr>
        <w:t xml:space="preserve">The cost of the Agency’s additional burden to develop new guidance </w:t>
      </w:r>
      <w:r w:rsidR="000372C1">
        <w:rPr>
          <w:rFonts w:ascii="Times New Roman" w:hAnsi="Times New Roman"/>
          <w:sz w:val="22"/>
          <w:szCs w:val="22"/>
        </w:rPr>
        <w:t xml:space="preserve">to improve State </w:t>
      </w:r>
      <w:r>
        <w:rPr>
          <w:rFonts w:ascii="Times New Roman" w:hAnsi="Times New Roman"/>
          <w:sz w:val="22"/>
          <w:szCs w:val="22"/>
        </w:rPr>
        <w:t>estimates of the benefits and costs of achieving WQS is</w:t>
      </w:r>
      <w:r w:rsidR="006E6FEC">
        <w:rPr>
          <w:rFonts w:ascii="Times New Roman" w:hAnsi="Times New Roman"/>
          <w:sz w:val="22"/>
          <w:szCs w:val="22"/>
        </w:rPr>
        <w:t xml:space="preserve"> estimated at approximately $</w:t>
      </w:r>
      <w:r w:rsidR="0048023F">
        <w:rPr>
          <w:rFonts w:ascii="Times New Roman" w:hAnsi="Times New Roman"/>
          <w:sz w:val="22"/>
          <w:szCs w:val="22"/>
        </w:rPr>
        <w:t>351,070</w:t>
      </w:r>
      <w:r>
        <w:rPr>
          <w:rFonts w:ascii="Times New Roman" w:hAnsi="Times New Roman"/>
          <w:sz w:val="22"/>
          <w:szCs w:val="22"/>
        </w:rPr>
        <w:t>whi</w:t>
      </w:r>
      <w:r w:rsidR="00846F5D">
        <w:rPr>
          <w:rFonts w:ascii="Times New Roman" w:hAnsi="Times New Roman"/>
          <w:sz w:val="22"/>
          <w:szCs w:val="22"/>
        </w:rPr>
        <w:t xml:space="preserve">ch would be incurred </w:t>
      </w:r>
      <w:r w:rsidR="00846F5D" w:rsidRPr="00302FD2">
        <w:rPr>
          <w:rFonts w:ascii="Times New Roman" w:hAnsi="Times New Roman"/>
          <w:sz w:val="22"/>
          <w:szCs w:val="22"/>
        </w:rPr>
        <w:t xml:space="preserve">during </w:t>
      </w:r>
      <w:r w:rsidR="006E6FEC" w:rsidRPr="00302FD2">
        <w:rPr>
          <w:rFonts w:ascii="Times New Roman" w:hAnsi="Times New Roman"/>
          <w:sz w:val="22"/>
          <w:szCs w:val="22"/>
        </w:rPr>
        <w:t>20</w:t>
      </w:r>
      <w:r w:rsidR="0048023F">
        <w:rPr>
          <w:rFonts w:ascii="Times New Roman" w:hAnsi="Times New Roman"/>
          <w:sz w:val="22"/>
          <w:szCs w:val="22"/>
        </w:rPr>
        <w:t>11</w:t>
      </w:r>
      <w:r w:rsidR="006E6FEC" w:rsidRPr="00302FD2">
        <w:rPr>
          <w:rFonts w:ascii="Times New Roman" w:hAnsi="Times New Roman"/>
          <w:sz w:val="22"/>
          <w:szCs w:val="22"/>
        </w:rPr>
        <w:t xml:space="preserve"> through </w:t>
      </w:r>
      <w:r w:rsidR="00846F5D" w:rsidRPr="00302FD2">
        <w:rPr>
          <w:rFonts w:ascii="Times New Roman" w:hAnsi="Times New Roman"/>
          <w:sz w:val="22"/>
          <w:szCs w:val="22"/>
        </w:rPr>
        <w:t>20</w:t>
      </w:r>
      <w:r w:rsidR="0048023F">
        <w:rPr>
          <w:rFonts w:ascii="Times New Roman" w:hAnsi="Times New Roman"/>
          <w:sz w:val="22"/>
          <w:szCs w:val="22"/>
        </w:rPr>
        <w:t>14</w:t>
      </w:r>
      <w:r w:rsidRPr="00302FD2">
        <w:rPr>
          <w:rFonts w:ascii="Times New Roman" w:hAnsi="Times New Roman"/>
          <w:sz w:val="22"/>
          <w:szCs w:val="22"/>
        </w:rPr>
        <w:t>. Over the 3-year period of this IC</w:t>
      </w:r>
      <w:r w:rsidR="006E6FEC" w:rsidRPr="00302FD2">
        <w:rPr>
          <w:rFonts w:ascii="Times New Roman" w:hAnsi="Times New Roman"/>
          <w:sz w:val="22"/>
          <w:szCs w:val="22"/>
        </w:rPr>
        <w:t>R, the annual cost would be $</w:t>
      </w:r>
      <w:r w:rsidR="0048023F">
        <w:rPr>
          <w:rFonts w:ascii="Times New Roman" w:hAnsi="Times New Roman"/>
          <w:sz w:val="22"/>
          <w:szCs w:val="22"/>
        </w:rPr>
        <w:t xml:space="preserve">117,023 </w:t>
      </w:r>
      <w:r w:rsidRPr="00302FD2">
        <w:rPr>
          <w:rFonts w:ascii="Times New Roman" w:hAnsi="Times New Roman"/>
          <w:sz w:val="22"/>
          <w:szCs w:val="22"/>
        </w:rPr>
        <w:t xml:space="preserve">which translates into a burden of 2,117 hours annually. </w:t>
      </w: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r w:rsidRPr="00302FD2">
        <w:rPr>
          <w:rFonts w:ascii="Times New Roman" w:hAnsi="Times New Roman"/>
          <w:sz w:val="22"/>
          <w:szCs w:val="22"/>
        </w:rPr>
        <w:t xml:space="preserve">The annual average Agency burden and costs for TMDL review is </w:t>
      </w:r>
      <w:r w:rsidR="00846F5D" w:rsidRPr="00302FD2">
        <w:rPr>
          <w:rFonts w:ascii="Times New Roman" w:hAnsi="Times New Roman"/>
          <w:sz w:val="22"/>
          <w:szCs w:val="22"/>
        </w:rPr>
        <w:t xml:space="preserve">11,200 </w:t>
      </w:r>
      <w:r w:rsidRPr="00302FD2">
        <w:rPr>
          <w:rFonts w:ascii="Times New Roman" w:hAnsi="Times New Roman"/>
          <w:sz w:val="22"/>
          <w:szCs w:val="22"/>
        </w:rPr>
        <w:t>hours and $</w:t>
      </w:r>
      <w:r w:rsidR="0048023F">
        <w:rPr>
          <w:rFonts w:ascii="Times New Roman" w:hAnsi="Times New Roman"/>
          <w:sz w:val="22"/>
          <w:szCs w:val="22"/>
        </w:rPr>
        <w:t>619,024</w:t>
      </w:r>
      <w:r w:rsidRPr="00302FD2">
        <w:rPr>
          <w:rFonts w:ascii="Times New Roman" w:hAnsi="Times New Roman"/>
          <w:sz w:val="22"/>
          <w:szCs w:val="22"/>
        </w:rPr>
        <w:t>.</w:t>
      </w: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ind w:left="720"/>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b/>
          <w:bCs/>
          <w:sz w:val="22"/>
          <w:szCs w:val="22"/>
        </w:rPr>
        <w:t>6(d) BOTTOM LINE BURDEN HOURS AND COSTS / MASTER TABLE</w:t>
      </w: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b/>
          <w:bCs/>
          <w:sz w:val="22"/>
          <w:szCs w:val="22"/>
        </w:rPr>
        <w:t>(</w:t>
      </w:r>
      <w:proofErr w:type="spellStart"/>
      <w:r w:rsidRPr="00302FD2">
        <w:rPr>
          <w:rFonts w:ascii="Times New Roman" w:hAnsi="Times New Roman"/>
          <w:b/>
          <w:bCs/>
          <w:sz w:val="22"/>
          <w:szCs w:val="22"/>
        </w:rPr>
        <w:t>i</w:t>
      </w:r>
      <w:proofErr w:type="spellEnd"/>
      <w:r w:rsidRPr="00302FD2">
        <w:rPr>
          <w:rFonts w:ascii="Times New Roman" w:hAnsi="Times New Roman"/>
          <w:b/>
          <w:bCs/>
          <w:sz w:val="22"/>
          <w:szCs w:val="22"/>
        </w:rPr>
        <w:t>) Respondent Tally</w:t>
      </w:r>
    </w:p>
    <w:p w:rsidR="00AA1CD5" w:rsidRPr="00302FD2" w:rsidRDefault="00AA1CD5" w:rsidP="00AA1CD5">
      <w:pPr>
        <w:widowControl/>
        <w:numPr>
          <w:ilvl w:val="12"/>
          <w:numId w:val="0"/>
        </w:numPr>
        <w:tabs>
          <w:tab w:val="left" w:pos="720"/>
          <w:tab w:val="left" w:pos="1166"/>
          <w:tab w:val="right" w:pos="8696"/>
        </w:tabs>
        <w:rPr>
          <w:rFonts w:ascii="Times New Roman" w:hAnsi="Times New Roman"/>
          <w:sz w:val="22"/>
          <w:szCs w:val="22"/>
        </w:rPr>
      </w:pPr>
    </w:p>
    <w:p w:rsidR="00AA1CD5" w:rsidRPr="00302FD2"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sz w:val="22"/>
          <w:szCs w:val="22"/>
        </w:rPr>
        <w:tab/>
        <w:t>Annual Burden</w:t>
      </w:r>
      <w:r w:rsidRPr="00302FD2">
        <w:rPr>
          <w:rFonts w:ascii="Times New Roman" w:hAnsi="Times New Roman"/>
          <w:sz w:val="22"/>
          <w:szCs w:val="22"/>
        </w:rPr>
        <w:tab/>
      </w:r>
      <w:r w:rsidRPr="00302FD2">
        <w:rPr>
          <w:rFonts w:ascii="Times New Roman" w:hAnsi="Times New Roman"/>
          <w:b/>
          <w:bCs/>
          <w:sz w:val="22"/>
          <w:szCs w:val="22"/>
        </w:rPr>
        <w:t>3,740,017 hours per year</w:t>
      </w:r>
    </w:p>
    <w:p w:rsidR="00AA1CD5" w:rsidRPr="00302FD2"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Pr="00302FD2"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sidRPr="00302FD2">
        <w:rPr>
          <w:rFonts w:ascii="Times New Roman" w:hAnsi="Times New Roman"/>
        </w:rPr>
        <w:tab/>
      </w:r>
      <w:r w:rsidRPr="00302FD2">
        <w:rPr>
          <w:rFonts w:ascii="Times New Roman" w:hAnsi="Times New Roman"/>
        </w:rPr>
        <w:tab/>
      </w:r>
      <w:r w:rsidRPr="00302FD2">
        <w:rPr>
          <w:rFonts w:ascii="Times New Roman" w:hAnsi="Times New Roman"/>
          <w:sz w:val="22"/>
          <w:szCs w:val="22"/>
        </w:rPr>
        <w:t xml:space="preserve">Annual Costs </w:t>
      </w:r>
      <w:r w:rsidRPr="00302FD2">
        <w:rPr>
          <w:rFonts w:ascii="Times New Roman" w:hAnsi="Times New Roman"/>
          <w:sz w:val="22"/>
          <w:szCs w:val="22"/>
        </w:rPr>
        <w:tab/>
      </w:r>
      <w:r w:rsidRPr="00302FD2">
        <w:rPr>
          <w:rFonts w:ascii="Times New Roman" w:hAnsi="Times New Roman"/>
          <w:b/>
          <w:bCs/>
          <w:sz w:val="22"/>
          <w:szCs w:val="22"/>
        </w:rPr>
        <w:t>$</w:t>
      </w:r>
      <w:r w:rsidR="0048023F">
        <w:rPr>
          <w:rFonts w:ascii="Times New Roman" w:hAnsi="Times New Roman"/>
          <w:b/>
          <w:bCs/>
          <w:sz w:val="22"/>
          <w:szCs w:val="22"/>
        </w:rPr>
        <w:t xml:space="preserve">193,658,080 </w:t>
      </w:r>
      <w:r w:rsidRPr="00302FD2">
        <w:rPr>
          <w:rFonts w:ascii="Times New Roman" w:hAnsi="Times New Roman"/>
          <w:b/>
          <w:bCs/>
          <w:sz w:val="22"/>
          <w:szCs w:val="22"/>
        </w:rPr>
        <w:t>per year</w:t>
      </w: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ind w:left="720"/>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(ii) Agency Tally</w:t>
      </w: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Annual Burden</w:t>
      </w:r>
      <w:r>
        <w:rPr>
          <w:rFonts w:ascii="Times New Roman" w:hAnsi="Times New Roman"/>
          <w:sz w:val="22"/>
          <w:szCs w:val="22"/>
        </w:rPr>
        <w:tab/>
      </w:r>
      <w:r>
        <w:rPr>
          <w:rFonts w:ascii="Times New Roman" w:hAnsi="Times New Roman"/>
          <w:b/>
          <w:bCs/>
          <w:sz w:val="22"/>
          <w:szCs w:val="22"/>
        </w:rPr>
        <w:t>22,406 hours per year</w:t>
      </w: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Pr="00846F5D" w:rsidRDefault="00AA1CD5" w:rsidP="00AA1CD5">
      <w:pPr>
        <w:widowControl/>
        <w:numPr>
          <w:ilvl w:val="12"/>
          <w:numId w:val="0"/>
        </w:numPr>
        <w:tabs>
          <w:tab w:val="left" w:pos="720"/>
          <w:tab w:val="left" w:pos="1440"/>
          <w:tab w:val="right" w:pos="2606"/>
          <w:tab w:val="left" w:pos="3960"/>
        </w:tabs>
        <w:rPr>
          <w:rFonts w:ascii="Times New Roman" w:hAnsi="Times New Roman"/>
          <w:color w:val="FF0000"/>
          <w:sz w:val="22"/>
          <w:szCs w:val="22"/>
        </w:rPr>
      </w:pPr>
      <w:r>
        <w:rPr>
          <w:rFonts w:ascii="Times New Roman" w:hAnsi="Times New Roman"/>
        </w:rPr>
        <w:tab/>
      </w:r>
      <w:r>
        <w:rPr>
          <w:rFonts w:ascii="Times New Roman" w:hAnsi="Times New Roman"/>
        </w:rPr>
        <w:tab/>
      </w:r>
      <w:r>
        <w:rPr>
          <w:rFonts w:ascii="Times New Roman" w:hAnsi="Times New Roman"/>
          <w:sz w:val="22"/>
          <w:szCs w:val="22"/>
        </w:rPr>
        <w:t xml:space="preserve">Annual Costs </w:t>
      </w:r>
      <w:r>
        <w:rPr>
          <w:rFonts w:ascii="Times New Roman" w:hAnsi="Times New Roman"/>
          <w:sz w:val="22"/>
          <w:szCs w:val="22"/>
        </w:rPr>
        <w:tab/>
      </w:r>
      <w:r w:rsidRPr="00302FD2">
        <w:rPr>
          <w:rFonts w:ascii="Times New Roman" w:hAnsi="Times New Roman"/>
          <w:b/>
          <w:bCs/>
          <w:sz w:val="22"/>
          <w:szCs w:val="22"/>
        </w:rPr>
        <w:t>$</w:t>
      </w:r>
      <w:r w:rsidR="0048023F">
        <w:rPr>
          <w:rFonts w:ascii="Times New Roman" w:hAnsi="Times New Roman"/>
          <w:b/>
          <w:bCs/>
          <w:sz w:val="22"/>
          <w:szCs w:val="22"/>
        </w:rPr>
        <w:t>1,265,896</w:t>
      </w:r>
      <w:r w:rsidR="006D6572">
        <w:rPr>
          <w:rFonts w:ascii="Times New Roman" w:hAnsi="Times New Roman"/>
          <w:b/>
          <w:bCs/>
          <w:sz w:val="22"/>
          <w:szCs w:val="22"/>
        </w:rPr>
        <w:t xml:space="preserve"> </w:t>
      </w:r>
      <w:r w:rsidRPr="00302FD2">
        <w:rPr>
          <w:rFonts w:ascii="Times New Roman" w:hAnsi="Times New Roman"/>
          <w:b/>
          <w:bCs/>
          <w:sz w:val="22"/>
          <w:szCs w:val="22"/>
        </w:rPr>
        <w:t>per year</w:t>
      </w: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ind w:left="720"/>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6(e) REASONS FOR CHANGE IN BURDEN</w:t>
      </w:r>
    </w:p>
    <w:p w:rsidR="00AA1CD5" w:rsidRDefault="00AA1CD5" w:rsidP="00AA1CD5">
      <w:pPr>
        <w:widowControl/>
        <w:numPr>
          <w:ilvl w:val="12"/>
          <w:numId w:val="0"/>
        </w:numPr>
        <w:tabs>
          <w:tab w:val="left" w:pos="720"/>
          <w:tab w:val="left" w:pos="1440"/>
          <w:tab w:val="right" w:pos="2606"/>
          <w:tab w:val="left" w:pos="3960"/>
        </w:tabs>
        <w:rPr>
          <w:rFonts w:ascii="Times New Roman" w:hAnsi="Times New Roman"/>
          <w:sz w:val="22"/>
          <w:szCs w:val="22"/>
        </w:rPr>
      </w:pPr>
    </w:p>
    <w:p w:rsidR="00AA1CD5" w:rsidRDefault="00AA1CD5" w:rsidP="00AA1CD5">
      <w:pPr>
        <w:widowControl/>
        <w:numPr>
          <w:ilvl w:val="12"/>
          <w:numId w:val="0"/>
        </w:numPr>
        <w:tabs>
          <w:tab w:val="left" w:pos="720"/>
          <w:tab w:val="left" w:pos="1440"/>
          <w:tab w:val="right" w:pos="2606"/>
          <w:tab w:val="left" w:pos="3960"/>
        </w:tabs>
        <w:rPr>
          <w:sz w:val="22"/>
          <w:szCs w:val="22"/>
        </w:rPr>
        <w:sectPr w:rsidR="00AA1CD5">
          <w:headerReference w:type="default" r:id="rId14"/>
          <w:footerReference w:type="default" r:id="rId15"/>
          <w:type w:val="continuous"/>
          <w:pgSz w:w="12240" w:h="15840"/>
          <w:pgMar w:top="1987" w:right="1440" w:bottom="835" w:left="1440" w:header="1728" w:footer="1440" w:gutter="0"/>
          <w:cols w:space="720"/>
          <w:noEndnote/>
        </w:sectPr>
      </w:pPr>
    </w:p>
    <w:p w:rsidR="00AA1CD5" w:rsidRPr="00302FD2" w:rsidRDefault="00AA1CD5" w:rsidP="00AA1CD5">
      <w:pPr>
        <w:pStyle w:val="Level1"/>
        <w:widowControl/>
        <w:numPr>
          <w:ilvl w:val="0"/>
          <w:numId w:val="1"/>
        </w:numPr>
        <w:tabs>
          <w:tab w:val="left" w:pos="720"/>
          <w:tab w:val="left" w:pos="1440"/>
          <w:tab w:val="left" w:pos="2160"/>
          <w:tab w:val="left" w:pos="3132"/>
          <w:tab w:val="left" w:pos="3672"/>
          <w:tab w:val="right" w:pos="8830"/>
        </w:tabs>
        <w:ind w:left="1440" w:hanging="720"/>
        <w:jc w:val="left"/>
        <w:rPr>
          <w:rFonts w:ascii="Times New Roman" w:hAnsi="Times New Roman"/>
          <w:sz w:val="22"/>
          <w:szCs w:val="22"/>
        </w:rPr>
      </w:pPr>
      <w:r>
        <w:rPr>
          <w:rFonts w:ascii="Times New Roman" w:hAnsi="Times New Roman"/>
          <w:b/>
          <w:bCs/>
          <w:sz w:val="22"/>
          <w:szCs w:val="22"/>
        </w:rPr>
        <w:lastRenderedPageBreak/>
        <w:t>Changes in Burden for 305(b) and 303(d) reporting</w:t>
      </w:r>
      <w:r>
        <w:rPr>
          <w:rFonts w:ascii="Times New Roman" w:hAnsi="Times New Roman"/>
          <w:sz w:val="22"/>
          <w:szCs w:val="22"/>
        </w:rPr>
        <w:t>:</w:t>
      </w:r>
      <w:r w:rsidRPr="006E6FEC">
        <w:rPr>
          <w:rFonts w:ascii="Times New Roman" w:hAnsi="Times New Roman"/>
          <w:color w:val="FF0000"/>
          <w:sz w:val="22"/>
          <w:szCs w:val="22"/>
        </w:rPr>
        <w:t xml:space="preserve">  </w:t>
      </w:r>
      <w:r w:rsidR="00D55FAF" w:rsidRPr="00302FD2">
        <w:rPr>
          <w:rFonts w:ascii="Times New Roman" w:hAnsi="Times New Roman"/>
          <w:sz w:val="22"/>
          <w:szCs w:val="22"/>
        </w:rPr>
        <w:t>The</w:t>
      </w:r>
      <w:r w:rsidR="006E6FEC" w:rsidRPr="00302FD2">
        <w:rPr>
          <w:rFonts w:ascii="Times New Roman" w:hAnsi="Times New Roman"/>
          <w:sz w:val="22"/>
          <w:szCs w:val="22"/>
        </w:rPr>
        <w:t xml:space="preserve"> total annual respondent</w:t>
      </w:r>
      <w:r w:rsidR="00D55FAF" w:rsidRPr="00302FD2">
        <w:rPr>
          <w:rFonts w:ascii="Times New Roman" w:hAnsi="Times New Roman"/>
          <w:sz w:val="22"/>
          <w:szCs w:val="22"/>
        </w:rPr>
        <w:t xml:space="preserve"> hour burden </w:t>
      </w:r>
      <w:r w:rsidR="006E6FEC" w:rsidRPr="00302FD2">
        <w:rPr>
          <w:rFonts w:ascii="Times New Roman" w:hAnsi="Times New Roman"/>
          <w:sz w:val="22"/>
          <w:szCs w:val="22"/>
        </w:rPr>
        <w:t xml:space="preserve">for 303(d) and 305(b) reporting </w:t>
      </w:r>
      <w:r w:rsidR="00D55FAF" w:rsidRPr="00302FD2">
        <w:rPr>
          <w:rFonts w:ascii="Times New Roman" w:hAnsi="Times New Roman"/>
          <w:sz w:val="22"/>
          <w:szCs w:val="22"/>
        </w:rPr>
        <w:t>has not changed</w:t>
      </w:r>
      <w:r w:rsidR="0080667A">
        <w:rPr>
          <w:rFonts w:ascii="Times New Roman" w:hAnsi="Times New Roman"/>
          <w:sz w:val="22"/>
          <w:szCs w:val="22"/>
        </w:rPr>
        <w:t xml:space="preserve"> from ICR 1560.08</w:t>
      </w:r>
      <w:r w:rsidR="006E6FEC" w:rsidRPr="00302FD2">
        <w:rPr>
          <w:rFonts w:ascii="Times New Roman" w:hAnsi="Times New Roman"/>
          <w:sz w:val="22"/>
          <w:szCs w:val="22"/>
        </w:rPr>
        <w:t>.</w:t>
      </w:r>
      <w:r w:rsidR="00D55FAF" w:rsidRPr="00302FD2">
        <w:rPr>
          <w:rFonts w:ascii="Times New Roman" w:hAnsi="Times New Roman"/>
          <w:sz w:val="22"/>
          <w:szCs w:val="22"/>
        </w:rPr>
        <w:t xml:space="preserve">  </w:t>
      </w:r>
      <w:r w:rsidRPr="00302FD2">
        <w:rPr>
          <w:rFonts w:ascii="Times New Roman" w:hAnsi="Times New Roman"/>
          <w:sz w:val="22"/>
          <w:szCs w:val="22"/>
        </w:rPr>
        <w:t xml:space="preserve">In general, using the SWQMWM responses may result in an overestimate of respondent burden because the responses represent estimates of State </w:t>
      </w:r>
      <w:r w:rsidRPr="00302FD2">
        <w:rPr>
          <w:rFonts w:ascii="Times New Roman" w:hAnsi="Times New Roman"/>
          <w:i/>
          <w:iCs/>
          <w:sz w:val="22"/>
          <w:szCs w:val="22"/>
        </w:rPr>
        <w:t>need</w:t>
      </w:r>
      <w:r w:rsidRPr="00302FD2">
        <w:rPr>
          <w:rFonts w:ascii="Times New Roman" w:hAnsi="Times New Roman"/>
          <w:sz w:val="22"/>
          <w:szCs w:val="22"/>
        </w:rPr>
        <w:t xml:space="preserve"> to fulfill program activities, rather than actual spending.  </w:t>
      </w:r>
    </w:p>
    <w:p w:rsidR="00AA1CD5" w:rsidRPr="00302FD2" w:rsidRDefault="00AA1CD5" w:rsidP="00AA1CD5">
      <w:pPr>
        <w:widowControl/>
        <w:numPr>
          <w:ilvl w:val="12"/>
          <w:numId w:val="0"/>
        </w:numPr>
        <w:tabs>
          <w:tab w:val="left" w:pos="720"/>
          <w:tab w:val="left" w:pos="1440"/>
          <w:tab w:val="left" w:pos="2160"/>
          <w:tab w:val="left" w:pos="3132"/>
          <w:tab w:val="left" w:pos="3672"/>
          <w:tab w:val="right" w:pos="8830"/>
        </w:tabs>
        <w:rPr>
          <w:rFonts w:ascii="Times New Roman" w:hAnsi="Times New Roman"/>
          <w:sz w:val="22"/>
          <w:szCs w:val="22"/>
        </w:rPr>
      </w:pPr>
    </w:p>
    <w:p w:rsidR="00AA1CD5" w:rsidRPr="00302FD2" w:rsidRDefault="00AA1CD5" w:rsidP="00846F5D">
      <w:pPr>
        <w:pStyle w:val="Level1"/>
        <w:widowControl/>
        <w:numPr>
          <w:ilvl w:val="0"/>
          <w:numId w:val="1"/>
        </w:numPr>
        <w:tabs>
          <w:tab w:val="left" w:pos="720"/>
          <w:tab w:val="left" w:pos="1440"/>
          <w:tab w:val="left" w:pos="2160"/>
          <w:tab w:val="left" w:pos="3132"/>
          <w:tab w:val="left" w:pos="3672"/>
          <w:tab w:val="right" w:pos="8830"/>
        </w:tabs>
        <w:ind w:left="1440" w:hanging="720"/>
        <w:jc w:val="left"/>
        <w:rPr>
          <w:rFonts w:ascii="Times New Roman" w:hAnsi="Times New Roman"/>
        </w:rPr>
      </w:pPr>
      <w:r w:rsidRPr="00302FD2">
        <w:rPr>
          <w:rFonts w:ascii="Times New Roman" w:hAnsi="Times New Roman"/>
          <w:b/>
          <w:bCs/>
        </w:rPr>
        <w:t>Changes in Burden for TMDL development:</w:t>
      </w:r>
      <w:r w:rsidRPr="00302FD2">
        <w:rPr>
          <w:rFonts w:ascii="Times New Roman" w:hAnsi="Times New Roman"/>
        </w:rPr>
        <w:t xml:space="preserve"> The </w:t>
      </w:r>
      <w:r w:rsidR="006E6FEC" w:rsidRPr="00302FD2">
        <w:rPr>
          <w:rFonts w:ascii="Times New Roman" w:hAnsi="Times New Roman"/>
        </w:rPr>
        <w:t xml:space="preserve">total annual </w:t>
      </w:r>
      <w:r w:rsidRPr="00302FD2">
        <w:rPr>
          <w:rFonts w:ascii="Times New Roman" w:hAnsi="Times New Roman"/>
        </w:rPr>
        <w:t xml:space="preserve">respondent </w:t>
      </w:r>
      <w:r w:rsidR="006E6FEC" w:rsidRPr="00302FD2">
        <w:rPr>
          <w:rFonts w:ascii="Times New Roman" w:hAnsi="Times New Roman"/>
        </w:rPr>
        <w:t xml:space="preserve">hour burden </w:t>
      </w:r>
      <w:r w:rsidRPr="00302FD2">
        <w:rPr>
          <w:rFonts w:ascii="Times New Roman" w:hAnsi="Times New Roman"/>
        </w:rPr>
        <w:t xml:space="preserve">associated with TMDL development </w:t>
      </w:r>
      <w:r w:rsidR="006E6FEC" w:rsidRPr="00302FD2">
        <w:rPr>
          <w:rFonts w:ascii="Times New Roman" w:hAnsi="Times New Roman"/>
        </w:rPr>
        <w:t>has not changed from ICR 1560.0</w:t>
      </w:r>
      <w:r w:rsidR="0080667A">
        <w:rPr>
          <w:rFonts w:ascii="Times New Roman" w:hAnsi="Times New Roman"/>
        </w:rPr>
        <w:t>8</w:t>
      </w:r>
      <w:r w:rsidR="006E6FEC" w:rsidRPr="00302FD2">
        <w:rPr>
          <w:rFonts w:ascii="Times New Roman" w:hAnsi="Times New Roman"/>
        </w:rPr>
        <w:t>.</w:t>
      </w:r>
    </w:p>
    <w:p w:rsidR="006E6FEC" w:rsidRPr="00302FD2" w:rsidRDefault="006E6FEC" w:rsidP="006E6FEC">
      <w:pPr>
        <w:pStyle w:val="Level1"/>
        <w:widowControl/>
        <w:tabs>
          <w:tab w:val="left" w:pos="720"/>
          <w:tab w:val="left" w:pos="1440"/>
          <w:tab w:val="left" w:pos="2160"/>
          <w:tab w:val="left" w:pos="3132"/>
          <w:tab w:val="left" w:pos="3672"/>
          <w:tab w:val="right" w:pos="8830"/>
        </w:tabs>
        <w:ind w:left="0"/>
        <w:jc w:val="left"/>
        <w:rPr>
          <w:rFonts w:ascii="Times New Roman" w:hAnsi="Times New Roman"/>
        </w:rPr>
      </w:pPr>
    </w:p>
    <w:p w:rsidR="006E6FEC" w:rsidRPr="00302FD2" w:rsidRDefault="006E6FEC" w:rsidP="006E6FEC">
      <w:pPr>
        <w:pStyle w:val="Level1"/>
        <w:widowControl/>
        <w:tabs>
          <w:tab w:val="left" w:pos="720"/>
          <w:tab w:val="left" w:pos="1440"/>
          <w:tab w:val="left" w:pos="2160"/>
          <w:tab w:val="left" w:pos="3132"/>
          <w:tab w:val="left" w:pos="3672"/>
          <w:tab w:val="right" w:pos="8830"/>
        </w:tabs>
        <w:jc w:val="left"/>
        <w:rPr>
          <w:rFonts w:ascii="Times New Roman" w:hAnsi="Times New Roman"/>
        </w:rPr>
      </w:pPr>
      <w:r w:rsidRPr="00302FD2">
        <w:rPr>
          <w:rFonts w:ascii="Times New Roman" w:hAnsi="Times New Roman"/>
        </w:rPr>
        <w:t>In short, the only changes associated with 303(d)/305(b) reporting and TMDL development have been in cost due to rising wage rates from 200</w:t>
      </w:r>
      <w:r w:rsidR="003256A4">
        <w:rPr>
          <w:rFonts w:ascii="Times New Roman" w:hAnsi="Times New Roman"/>
        </w:rPr>
        <w:t>7</w:t>
      </w:r>
      <w:r w:rsidRPr="00302FD2">
        <w:rPr>
          <w:rFonts w:ascii="Times New Roman" w:hAnsi="Times New Roman"/>
        </w:rPr>
        <w:t xml:space="preserve"> to 20</w:t>
      </w:r>
      <w:r w:rsidR="003256A4">
        <w:rPr>
          <w:rFonts w:ascii="Times New Roman" w:hAnsi="Times New Roman"/>
        </w:rPr>
        <w:t>11</w:t>
      </w:r>
      <w:r w:rsidRPr="00302FD2">
        <w:rPr>
          <w:rFonts w:ascii="Times New Roman" w:hAnsi="Times New Roman"/>
        </w:rPr>
        <w:t>.</w:t>
      </w:r>
    </w:p>
    <w:p w:rsidR="00846F5D" w:rsidRPr="00302FD2" w:rsidRDefault="00846F5D" w:rsidP="00846F5D">
      <w:pPr>
        <w:pStyle w:val="Level1"/>
        <w:widowControl/>
        <w:tabs>
          <w:tab w:val="left" w:pos="720"/>
          <w:tab w:val="left" w:pos="1440"/>
          <w:tab w:val="left" w:pos="2160"/>
          <w:tab w:val="left" w:pos="3132"/>
          <w:tab w:val="left" w:pos="3672"/>
          <w:tab w:val="right" w:pos="8830"/>
        </w:tabs>
        <w:ind w:left="0"/>
        <w:jc w:val="left"/>
      </w:pPr>
    </w:p>
    <w:p w:rsidR="00AA1CD5" w:rsidRPr="00302FD2" w:rsidRDefault="00AA1CD5" w:rsidP="00AA1CD5">
      <w:pPr>
        <w:widowControl/>
        <w:numPr>
          <w:ilvl w:val="12"/>
          <w:numId w:val="0"/>
        </w:numPr>
        <w:tabs>
          <w:tab w:val="left" w:pos="720"/>
          <w:tab w:val="left" w:pos="1440"/>
          <w:tab w:val="left" w:pos="2160"/>
          <w:tab w:val="left" w:pos="3132"/>
          <w:tab w:val="left" w:pos="3672"/>
          <w:tab w:val="right" w:pos="8830"/>
        </w:tabs>
        <w:rPr>
          <w:rFonts w:ascii="Times New Roman" w:hAnsi="Times New Roman"/>
          <w:sz w:val="22"/>
          <w:szCs w:val="22"/>
        </w:rPr>
      </w:pPr>
    </w:p>
    <w:p w:rsidR="00AA1CD5" w:rsidRPr="00302FD2" w:rsidRDefault="00AA1CD5" w:rsidP="00AA1CD5">
      <w:pPr>
        <w:widowControl/>
        <w:numPr>
          <w:ilvl w:val="12"/>
          <w:numId w:val="0"/>
        </w:numPr>
        <w:tabs>
          <w:tab w:val="left" w:pos="144"/>
          <w:tab w:val="left" w:pos="792"/>
          <w:tab w:val="right" w:pos="6655"/>
        </w:tabs>
        <w:rPr>
          <w:rFonts w:ascii="Times New Roman" w:hAnsi="Times New Roman"/>
          <w:sz w:val="22"/>
          <w:szCs w:val="22"/>
        </w:rPr>
      </w:pPr>
      <w:r w:rsidRPr="00302FD2">
        <w:rPr>
          <w:rFonts w:ascii="Times New Roman" w:hAnsi="Times New Roman"/>
          <w:sz w:val="22"/>
          <w:szCs w:val="22"/>
        </w:rPr>
        <w:tab/>
      </w:r>
      <w:r w:rsidRPr="00302FD2">
        <w:rPr>
          <w:rFonts w:ascii="Times New Roman" w:hAnsi="Times New Roman"/>
          <w:b/>
          <w:bCs/>
          <w:sz w:val="22"/>
          <w:szCs w:val="22"/>
        </w:rPr>
        <w:t>6(f) BURDEN STATEMENT</w:t>
      </w:r>
    </w:p>
    <w:p w:rsidR="00AA1CD5" w:rsidRDefault="00AA1CD5" w:rsidP="00AA1CD5">
      <w:pPr>
        <w:widowControl/>
        <w:numPr>
          <w:ilvl w:val="12"/>
          <w:numId w:val="0"/>
        </w:numPr>
        <w:tabs>
          <w:tab w:val="left" w:pos="144"/>
          <w:tab w:val="left" w:pos="792"/>
          <w:tab w:val="right" w:pos="6655"/>
        </w:tabs>
        <w:rPr>
          <w:rFonts w:ascii="Times New Roman" w:hAnsi="Times New Roman"/>
          <w:sz w:val="22"/>
          <w:szCs w:val="22"/>
        </w:rPr>
      </w:pPr>
    </w:p>
    <w:p w:rsidR="00AA1CD5" w:rsidRPr="00F21E09"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rPr>
      </w:pPr>
      <w:r w:rsidRPr="00F21E09">
        <w:rPr>
          <w:rFonts w:ascii="Times New Roman" w:hAnsi="Times New Roman"/>
        </w:rPr>
        <w:t xml:space="preserve">Respondent reporting burden for this collection of information is estimated to average 66,590 hours per year per respondent for the 56 respondents with both 305(b) and 303(d) responsibilities for existing 305(b) and 303(d) reporting activities and TMDL development activities.  The average burden for the 3 respondents with 305(b) responsibilities only is estimated at 3,659 hours per year for 305(b) reporting activities.  </w:t>
      </w:r>
      <w:r w:rsidR="00441450" w:rsidRPr="00F21E09">
        <w:rPr>
          <w:rFonts w:ascii="Times New Roman" w:hAnsi="Times New Roman"/>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which have subsequently changed; train personnel to be able to respond to a collection of information; search data sources; complete and review the collection of information; and transmit or otherwise disclose the information.</w:t>
      </w:r>
      <w:r w:rsidRPr="00F21E09">
        <w:rPr>
          <w:rFonts w:ascii="Times New Roman" w:hAnsi="Times New Roman"/>
        </w:rPr>
        <w:t xml:space="preserve">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F21E09" w:rsidRDefault="00F21E09" w:rsidP="00AA1CD5">
      <w:pPr>
        <w:widowControl/>
        <w:numPr>
          <w:ilvl w:val="12"/>
          <w:numId w:val="0"/>
        </w:numPr>
        <w:tabs>
          <w:tab w:val="left" w:pos="720"/>
          <w:tab w:val="left" w:pos="1440"/>
          <w:tab w:val="left" w:pos="2160"/>
          <w:tab w:val="left" w:pos="2880"/>
          <w:tab w:val="right" w:pos="6655"/>
        </w:tabs>
        <w:ind w:left="720"/>
        <w:rPr>
          <w:rFonts w:ascii="Times New Roman" w:hAnsi="Times New Roman"/>
        </w:rPr>
      </w:pPr>
    </w:p>
    <w:p w:rsidR="00AA1CD5"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r>
        <w:rPr>
          <w:rFonts w:ascii="Times New Roman" w:hAnsi="Times New Roman"/>
        </w:rPr>
        <w:t>To comment on the Agency's need for this information, the accuracy of the provided burden estimates, and any suggested methods for minimizing respondent burden, including the use of automated collection techniques, EPA has established a public docket for</w:t>
      </w:r>
      <w:r w:rsidR="006E6FEC">
        <w:rPr>
          <w:rFonts w:ascii="Times New Roman" w:hAnsi="Times New Roman"/>
        </w:rPr>
        <w:t xml:space="preserve"> this ICR under Docket ID No. </w:t>
      </w:r>
      <w:r w:rsidR="00441450">
        <w:rPr>
          <w:rFonts w:ascii="Times New Roman" w:hAnsi="Times New Roman"/>
        </w:rPr>
        <w:t>EPA-HQ-</w:t>
      </w:r>
      <w:r w:rsidR="006E6FEC">
        <w:rPr>
          <w:rFonts w:ascii="Times New Roman" w:hAnsi="Times New Roman"/>
        </w:rPr>
        <w:t>OW</w:t>
      </w:r>
      <w:r>
        <w:rPr>
          <w:rFonts w:ascii="Times New Roman" w:hAnsi="Times New Roman"/>
        </w:rPr>
        <w:t>-2003-0026</w:t>
      </w:r>
      <w:r>
        <w:rPr>
          <w:rFonts w:ascii="Times New Roman" w:hAnsi="Times New Roman"/>
          <w:b/>
          <w:bCs/>
          <w:color w:val="008000"/>
        </w:rPr>
        <w:t>,</w:t>
      </w:r>
      <w:r>
        <w:rPr>
          <w:rFonts w:ascii="Times New Roman" w:hAnsi="Times New Roman"/>
        </w:rPr>
        <w:t xml:space="preserve"> which is available for public viewing at the Water Docket in the EPA Docket Center (EPA/DC), EPA West, Room </w:t>
      </w:r>
      <w:r w:rsidR="00441450">
        <w:rPr>
          <w:rFonts w:ascii="Times New Roman" w:hAnsi="Times New Roman"/>
        </w:rPr>
        <w:t>3334</w:t>
      </w:r>
      <w:r>
        <w:rPr>
          <w:rFonts w:ascii="Times New Roman" w:hAnsi="Times New Roman"/>
        </w:rPr>
        <w:t xml:space="preserve">, 1301 Constitution Ave., 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through </w:t>
      </w:r>
      <w:r w:rsidR="00441450">
        <w:rPr>
          <w:rFonts w:ascii="Times New Roman" w:hAnsi="Times New Roman"/>
        </w:rPr>
        <w:t>http://www.regulations.gov</w:t>
      </w:r>
      <w:r>
        <w:rPr>
          <w:rFonts w:ascii="Times New Roman" w:hAnsi="Times New Roman"/>
        </w:rPr>
        <w:t xml:space="preserve">.  Use </w:t>
      </w:r>
      <w:r w:rsidR="00441450">
        <w:rPr>
          <w:rFonts w:ascii="Times New Roman" w:hAnsi="Times New Roman"/>
        </w:rPr>
        <w:lastRenderedPageBreak/>
        <w:t xml:space="preserve">www.regulations.gov </w:t>
      </w:r>
      <w:r>
        <w:rPr>
          <w:rFonts w:ascii="Times New Roman" w:hAnsi="Times New Roman"/>
        </w:rPr>
        <w:t xml:space="preserve">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rFonts w:ascii="Times New Roman" w:hAnsi="Times New Roman"/>
            </w:rPr>
            <w:t>725 17th Street, NW</w:t>
          </w:r>
        </w:smartTag>
        <w:r>
          <w:rPr>
            <w:rFonts w:ascii="Times New Roman" w:hAnsi="Times New Roman"/>
          </w:rPr>
          <w:t xml:space="preserve">,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ostalCode">
          <w:r>
            <w:rPr>
              <w:rFonts w:ascii="Times New Roman" w:hAnsi="Times New Roman"/>
            </w:rPr>
            <w:t>20503</w:t>
          </w:r>
        </w:smartTag>
      </w:smartTag>
      <w:r>
        <w:rPr>
          <w:rFonts w:ascii="Times New Roman" w:hAnsi="Times New Roman"/>
        </w:rPr>
        <w:t xml:space="preserve">, Attention: Desk Office for EPA.  Please include the EPA Docket ID No. </w:t>
      </w:r>
      <w:proofErr w:type="gramStart"/>
      <w:r w:rsidR="00441450">
        <w:rPr>
          <w:rFonts w:ascii="Times New Roman" w:hAnsi="Times New Roman"/>
        </w:rPr>
        <w:t>EPA-HQ-</w:t>
      </w:r>
      <w:r>
        <w:rPr>
          <w:rFonts w:ascii="Times New Roman" w:hAnsi="Times New Roman"/>
        </w:rPr>
        <w:t>OW-2003-0026</w:t>
      </w:r>
      <w:r>
        <w:rPr>
          <w:rFonts w:ascii="Helv" w:hAnsi="Helv" w:cs="Helv"/>
          <w:sz w:val="20"/>
          <w:szCs w:val="20"/>
        </w:rPr>
        <w:t xml:space="preserve"> </w:t>
      </w:r>
      <w:r>
        <w:rPr>
          <w:rFonts w:ascii="Times New Roman" w:hAnsi="Times New Roman"/>
        </w:rPr>
        <w:t>and OMB Control Number 2040-0071 in any correspondence.</w:t>
      </w:r>
      <w:proofErr w:type="gramEnd"/>
      <w:r>
        <w:rPr>
          <w:rFonts w:ascii="Times New Roman" w:hAnsi="Times New Roman"/>
        </w:rPr>
        <w:t xml:space="preserve"> </w:t>
      </w: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Default="00AA1CD5" w:rsidP="00AA1CD5">
      <w:pPr>
        <w:widowControl/>
        <w:numPr>
          <w:ilvl w:val="12"/>
          <w:numId w:val="0"/>
        </w:numPr>
        <w:tabs>
          <w:tab w:val="left" w:pos="720"/>
          <w:tab w:val="left" w:pos="1440"/>
          <w:tab w:val="left" w:pos="2160"/>
          <w:tab w:val="left" w:pos="2880"/>
          <w:tab w:val="right" w:pos="6655"/>
        </w:tabs>
        <w:ind w:left="720"/>
        <w:rPr>
          <w:rFonts w:ascii="Times New Roman" w:hAnsi="Times New Roman"/>
          <w:sz w:val="22"/>
          <w:szCs w:val="22"/>
        </w:rPr>
      </w:pP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Pr>
          <w:rFonts w:ascii="Times New Roman" w:hAnsi="Times New Roman"/>
          <w:b/>
          <w:bCs/>
          <w:sz w:val="22"/>
          <w:szCs w:val="22"/>
        </w:rPr>
        <w:t>PART B:   COLLECTIONS OF INFORMATION EMPLOYING STATISTICAL METHODS</w:t>
      </w: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Pr="00302FD2"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sectPr w:rsidR="00AA1CD5" w:rsidRPr="00302FD2">
          <w:headerReference w:type="default" r:id="rId16"/>
          <w:footerReference w:type="default" r:id="rId17"/>
          <w:type w:val="continuous"/>
          <w:pgSz w:w="12240" w:h="15840"/>
          <w:pgMar w:top="1699" w:right="1440" w:bottom="1080" w:left="1440" w:header="1440" w:footer="1440" w:gutter="0"/>
          <w:cols w:space="720"/>
          <w:noEndnote/>
        </w:sectPr>
      </w:pPr>
      <w:r>
        <w:rPr>
          <w:rFonts w:ascii="Times New Roman" w:hAnsi="Times New Roman"/>
          <w:sz w:val="22"/>
          <w:szCs w:val="22"/>
        </w:rPr>
        <w:tab/>
        <w:t>This section is not applicable because no statistical procedures are employed for the information collection.</w:t>
      </w:r>
    </w:p>
    <w:p w:rsidR="00AA1CD5" w:rsidRDefault="00AA1CD5" w:rsidP="00AA1CD5">
      <w:pPr>
        <w:widowControl/>
        <w:numPr>
          <w:ilvl w:val="12"/>
          <w:numId w:val="0"/>
        </w:numPr>
        <w:tabs>
          <w:tab w:val="left" w:pos="720"/>
          <w:tab w:val="left" w:pos="1440"/>
          <w:tab w:val="left" w:pos="2160"/>
          <w:tab w:val="left" w:pos="2880"/>
          <w:tab w:val="right" w:pos="6655"/>
        </w:tabs>
        <w:jc w:val="center"/>
        <w:rPr>
          <w:rFonts w:ascii="Times New Roman" w:hAnsi="Times New Roman"/>
          <w:sz w:val="22"/>
          <w:szCs w:val="22"/>
        </w:rPr>
      </w:pPr>
      <w:r>
        <w:rPr>
          <w:rFonts w:ascii="Times New Roman" w:hAnsi="Times New Roman"/>
          <w:b/>
          <w:bCs/>
          <w:sz w:val="22"/>
          <w:szCs w:val="22"/>
        </w:rPr>
        <w:lastRenderedPageBreak/>
        <w:t>Worksheet 1:  Burden Estimates for Individual Respondents</w:t>
      </w:r>
      <w:r>
        <w:rPr>
          <w:rFonts w:ascii="Times New Roman" w:hAnsi="Times New Roman"/>
          <w:sz w:val="22"/>
          <w:szCs w:val="22"/>
        </w:rPr>
        <w:t xml:space="preserve"> </w:t>
      </w:r>
    </w:p>
    <w:p w:rsidR="00AA1CD5" w:rsidRDefault="00AA1CD5" w:rsidP="00AA1CD5">
      <w:pPr>
        <w:widowControl/>
        <w:numPr>
          <w:ilvl w:val="12"/>
          <w:numId w:val="0"/>
        </w:numPr>
        <w:tabs>
          <w:tab w:val="left" w:pos="720"/>
          <w:tab w:val="left" w:pos="1440"/>
          <w:tab w:val="left" w:pos="2160"/>
          <w:tab w:val="left" w:pos="2880"/>
          <w:tab w:val="right" w:pos="6655"/>
        </w:tabs>
        <w:jc w:val="center"/>
        <w:rPr>
          <w:rFonts w:ascii="Times New Roman" w:hAnsi="Times New Roman"/>
          <w:sz w:val="22"/>
          <w:szCs w:val="22"/>
        </w:rPr>
      </w:pPr>
    </w:p>
    <w:tbl>
      <w:tblPr>
        <w:tblW w:w="0" w:type="auto"/>
        <w:tblLayout w:type="fixed"/>
        <w:tblCellMar>
          <w:left w:w="0" w:type="dxa"/>
          <w:right w:w="0" w:type="dxa"/>
        </w:tblCellMar>
        <w:tblLook w:val="0000"/>
      </w:tblPr>
      <w:tblGrid>
        <w:gridCol w:w="630"/>
        <w:gridCol w:w="219"/>
        <w:gridCol w:w="4840"/>
        <w:gridCol w:w="1149"/>
        <w:gridCol w:w="1224"/>
        <w:gridCol w:w="1186"/>
        <w:gridCol w:w="1186"/>
        <w:gridCol w:w="1260"/>
        <w:gridCol w:w="1260"/>
      </w:tblGrid>
      <w:tr w:rsidR="00AA1CD5" w:rsidTr="00AA1CD5">
        <w:trPr>
          <w:trHeight w:hRule="exact" w:val="288"/>
        </w:trPr>
        <w:tc>
          <w:tcPr>
            <w:tcW w:w="630" w:type="dxa"/>
          </w:tcPr>
          <w:p w:rsidR="00AA1CD5" w:rsidRDefault="00AA1CD5" w:rsidP="00AA1CD5">
            <w:pPr>
              <w:widowControl/>
              <w:numPr>
                <w:ilvl w:val="12"/>
                <w:numId w:val="0"/>
              </w:numPr>
              <w:spacing w:before="24" w:after="24"/>
              <w:jc w:val="center"/>
              <w:rPr>
                <w:sz w:val="20"/>
                <w:szCs w:val="20"/>
              </w:rPr>
            </w:pPr>
          </w:p>
        </w:tc>
        <w:tc>
          <w:tcPr>
            <w:tcW w:w="219" w:type="dxa"/>
          </w:tcPr>
          <w:p w:rsidR="00AA1CD5" w:rsidRDefault="00AA1CD5" w:rsidP="00AA1CD5">
            <w:pPr>
              <w:widowControl/>
              <w:numPr>
                <w:ilvl w:val="12"/>
                <w:numId w:val="0"/>
              </w:numPr>
              <w:spacing w:before="24" w:after="24"/>
              <w:jc w:val="center"/>
              <w:rPr>
                <w:sz w:val="22"/>
                <w:szCs w:val="22"/>
              </w:rPr>
            </w:pPr>
          </w:p>
        </w:tc>
        <w:tc>
          <w:tcPr>
            <w:tcW w:w="4840" w:type="dxa"/>
          </w:tcPr>
          <w:p w:rsidR="00AA1CD5" w:rsidRDefault="00AA1CD5" w:rsidP="00AA1CD5">
            <w:pPr>
              <w:widowControl/>
              <w:numPr>
                <w:ilvl w:val="12"/>
                <w:numId w:val="0"/>
              </w:numPr>
              <w:tabs>
                <w:tab w:val="left" w:pos="720"/>
                <w:tab w:val="left" w:pos="1440"/>
                <w:tab w:val="left" w:pos="2160"/>
                <w:tab w:val="left" w:pos="2880"/>
              </w:tabs>
              <w:spacing w:before="24" w:after="24"/>
              <w:jc w:val="center"/>
              <w:rPr>
                <w:sz w:val="22"/>
                <w:szCs w:val="22"/>
              </w:rPr>
            </w:pPr>
          </w:p>
        </w:tc>
        <w:tc>
          <w:tcPr>
            <w:tcW w:w="1149" w:type="dxa"/>
            <w:gridSpan w:val="3"/>
          </w:tcPr>
          <w:p w:rsidR="00AA1CD5" w:rsidRDefault="00AA1CD5" w:rsidP="00AA1CD5">
            <w:pPr>
              <w:widowControl/>
              <w:numPr>
                <w:ilvl w:val="12"/>
                <w:numId w:val="0"/>
              </w:numPr>
              <w:tabs>
                <w:tab w:val="left" w:pos="720"/>
              </w:tabs>
              <w:spacing w:before="24" w:after="24"/>
              <w:jc w:val="center"/>
              <w:rPr>
                <w:sz w:val="20"/>
                <w:szCs w:val="20"/>
              </w:rPr>
            </w:pPr>
            <w:r>
              <w:rPr>
                <w:rFonts w:ascii="Arial" w:hAnsi="Arial" w:cs="Arial"/>
                <w:b/>
                <w:bCs/>
                <w:sz w:val="20"/>
                <w:szCs w:val="20"/>
              </w:rPr>
              <w:t>Burden by Year (Hours)</w:t>
            </w:r>
          </w:p>
        </w:tc>
        <w:tc>
          <w:tcPr>
            <w:tcW w:w="1186" w:type="dxa"/>
          </w:tcPr>
          <w:p w:rsidR="00AA1CD5" w:rsidRDefault="00AA1CD5" w:rsidP="00AA1CD5">
            <w:pPr>
              <w:widowControl/>
              <w:numPr>
                <w:ilvl w:val="12"/>
                <w:numId w:val="0"/>
              </w:numPr>
              <w:tabs>
                <w:tab w:val="left" w:pos="720"/>
              </w:tabs>
              <w:spacing w:before="24" w:after="24"/>
              <w:jc w:val="center"/>
              <w:rPr>
                <w:sz w:val="20"/>
                <w:szCs w:val="20"/>
              </w:rPr>
            </w:pPr>
            <w:r>
              <w:rPr>
                <w:rFonts w:ascii="Arial" w:hAnsi="Arial" w:cs="Arial"/>
                <w:b/>
                <w:bCs/>
                <w:sz w:val="20"/>
                <w:szCs w:val="20"/>
              </w:rPr>
              <w:t>3-Year</w:t>
            </w:r>
          </w:p>
        </w:tc>
        <w:tc>
          <w:tcPr>
            <w:tcW w:w="1260" w:type="dxa"/>
            <w:gridSpan w:val="2"/>
          </w:tcPr>
          <w:p w:rsidR="00AA1CD5" w:rsidRDefault="00AA1CD5" w:rsidP="00AA1CD5">
            <w:pPr>
              <w:widowControl/>
              <w:numPr>
                <w:ilvl w:val="12"/>
                <w:numId w:val="0"/>
              </w:numPr>
              <w:tabs>
                <w:tab w:val="left" w:pos="720"/>
              </w:tabs>
              <w:spacing w:before="24" w:after="24"/>
              <w:jc w:val="center"/>
              <w:rPr>
                <w:sz w:val="18"/>
                <w:szCs w:val="18"/>
              </w:rPr>
            </w:pPr>
            <w:r>
              <w:rPr>
                <w:rFonts w:ascii="Arial" w:hAnsi="Arial" w:cs="Arial"/>
                <w:b/>
                <w:bCs/>
                <w:sz w:val="18"/>
                <w:szCs w:val="18"/>
              </w:rPr>
              <w:t>Annual Average</w:t>
            </w:r>
          </w:p>
        </w:tc>
      </w:tr>
      <w:tr w:rsidR="00AA1CD5" w:rsidTr="00AA1CD5">
        <w:trPr>
          <w:trHeight w:hRule="exact" w:val="558"/>
        </w:trPr>
        <w:tc>
          <w:tcPr>
            <w:tcW w:w="630" w:type="dxa"/>
            <w:gridSpan w:val="3"/>
          </w:tcPr>
          <w:p w:rsidR="00AA1CD5" w:rsidRDefault="00AA1CD5" w:rsidP="00AA1CD5">
            <w:pPr>
              <w:widowControl/>
              <w:numPr>
                <w:ilvl w:val="12"/>
                <w:numId w:val="0"/>
              </w:numPr>
              <w:spacing w:before="24" w:after="24"/>
              <w:jc w:val="center"/>
              <w:rPr>
                <w:sz w:val="22"/>
                <w:szCs w:val="22"/>
              </w:rPr>
            </w:pPr>
            <w:r>
              <w:rPr>
                <w:rFonts w:ascii="Arial" w:hAnsi="Arial" w:cs="Arial"/>
                <w:b/>
                <w:bCs/>
                <w:sz w:val="20"/>
                <w:szCs w:val="20"/>
              </w:rPr>
              <w:t>Respondent Activities</w:t>
            </w:r>
          </w:p>
        </w:tc>
        <w:tc>
          <w:tcPr>
            <w:tcW w:w="1149" w:type="dxa"/>
          </w:tcPr>
          <w:p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 xml:space="preserve">Year 1 </w:t>
            </w:r>
          </w:p>
          <w:p w:rsidR="00AA1CD5" w:rsidRDefault="00AA1CD5" w:rsidP="00AA1CD5">
            <w:pPr>
              <w:widowControl/>
              <w:numPr>
                <w:ilvl w:val="12"/>
                <w:numId w:val="0"/>
              </w:numPr>
              <w:tabs>
                <w:tab w:val="left" w:pos="720"/>
              </w:tabs>
              <w:spacing w:after="24"/>
              <w:jc w:val="center"/>
              <w:rPr>
                <w:sz w:val="18"/>
                <w:szCs w:val="18"/>
              </w:rPr>
            </w:pPr>
            <w:r>
              <w:rPr>
                <w:rFonts w:ascii="Arial" w:hAnsi="Arial" w:cs="Arial"/>
                <w:b/>
                <w:bCs/>
                <w:sz w:val="18"/>
                <w:szCs w:val="18"/>
              </w:rPr>
              <w:t>(</w:t>
            </w:r>
            <w:r w:rsidR="0085589D">
              <w:rPr>
                <w:rFonts w:ascii="Arial" w:hAnsi="Arial" w:cs="Arial"/>
                <w:b/>
                <w:bCs/>
                <w:sz w:val="18"/>
                <w:szCs w:val="18"/>
              </w:rPr>
              <w:t>10/11</w:t>
            </w:r>
            <w:r w:rsidR="003708C2">
              <w:rPr>
                <w:rFonts w:ascii="Arial" w:hAnsi="Arial" w:cs="Arial"/>
                <w:b/>
                <w:bCs/>
                <w:sz w:val="18"/>
                <w:szCs w:val="18"/>
              </w:rPr>
              <w:t>-</w:t>
            </w:r>
            <w:r w:rsidR="0085589D">
              <w:rPr>
                <w:rFonts w:ascii="Arial" w:hAnsi="Arial" w:cs="Arial"/>
                <w:b/>
                <w:bCs/>
                <w:sz w:val="18"/>
                <w:szCs w:val="18"/>
              </w:rPr>
              <w:t>9/12</w:t>
            </w:r>
            <w:r>
              <w:rPr>
                <w:rFonts w:ascii="Arial" w:hAnsi="Arial" w:cs="Arial"/>
                <w:b/>
                <w:bCs/>
                <w:sz w:val="18"/>
                <w:szCs w:val="18"/>
              </w:rPr>
              <w:t>)</w:t>
            </w:r>
          </w:p>
        </w:tc>
        <w:tc>
          <w:tcPr>
            <w:tcW w:w="1224" w:type="dxa"/>
          </w:tcPr>
          <w:p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 xml:space="preserve">Year 2 </w:t>
            </w:r>
          </w:p>
          <w:p w:rsidR="00AA1CD5" w:rsidRDefault="0085589D" w:rsidP="00AA1CD5">
            <w:pPr>
              <w:widowControl/>
              <w:numPr>
                <w:ilvl w:val="12"/>
                <w:numId w:val="0"/>
              </w:numPr>
              <w:tabs>
                <w:tab w:val="left" w:pos="720"/>
              </w:tabs>
              <w:spacing w:after="24"/>
              <w:jc w:val="center"/>
              <w:rPr>
                <w:sz w:val="18"/>
                <w:szCs w:val="18"/>
              </w:rPr>
            </w:pPr>
            <w:r>
              <w:rPr>
                <w:rFonts w:ascii="Arial" w:hAnsi="Arial" w:cs="Arial"/>
                <w:b/>
                <w:bCs/>
                <w:sz w:val="18"/>
                <w:szCs w:val="18"/>
              </w:rPr>
              <w:t>(10/12-9/13</w:t>
            </w:r>
            <w:r w:rsidR="003708C2">
              <w:rPr>
                <w:rFonts w:ascii="Arial" w:hAnsi="Arial" w:cs="Arial"/>
                <w:b/>
                <w:bCs/>
                <w:sz w:val="18"/>
                <w:szCs w:val="18"/>
              </w:rPr>
              <w:t>)</w:t>
            </w:r>
          </w:p>
        </w:tc>
        <w:tc>
          <w:tcPr>
            <w:tcW w:w="1186" w:type="dxa"/>
          </w:tcPr>
          <w:p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 xml:space="preserve">Year 3 </w:t>
            </w:r>
          </w:p>
          <w:p w:rsidR="00AA1CD5" w:rsidRDefault="0085589D" w:rsidP="00AA1CD5">
            <w:pPr>
              <w:widowControl/>
              <w:numPr>
                <w:ilvl w:val="12"/>
                <w:numId w:val="0"/>
              </w:numPr>
              <w:tabs>
                <w:tab w:val="left" w:pos="720"/>
              </w:tabs>
              <w:spacing w:after="24"/>
              <w:jc w:val="center"/>
              <w:rPr>
                <w:sz w:val="18"/>
                <w:szCs w:val="18"/>
              </w:rPr>
            </w:pPr>
            <w:r>
              <w:rPr>
                <w:rFonts w:ascii="Arial" w:hAnsi="Arial" w:cs="Arial"/>
                <w:b/>
                <w:bCs/>
                <w:sz w:val="18"/>
                <w:szCs w:val="18"/>
              </w:rPr>
              <w:t>(10/13-9/14</w:t>
            </w:r>
            <w:r w:rsidR="00AA1CD5">
              <w:rPr>
                <w:rFonts w:ascii="Arial" w:hAnsi="Arial" w:cs="Arial"/>
                <w:b/>
                <w:bCs/>
                <w:sz w:val="18"/>
                <w:szCs w:val="18"/>
              </w:rPr>
              <w:t>)</w:t>
            </w:r>
          </w:p>
        </w:tc>
        <w:tc>
          <w:tcPr>
            <w:tcW w:w="1186" w:type="dxa"/>
          </w:tcPr>
          <w:p w:rsidR="00AA1CD5" w:rsidRDefault="00AA1CD5" w:rsidP="00AA1CD5">
            <w:pPr>
              <w:widowControl/>
              <w:numPr>
                <w:ilvl w:val="12"/>
                <w:numId w:val="0"/>
              </w:numPr>
              <w:tabs>
                <w:tab w:val="left" w:pos="720"/>
              </w:tabs>
              <w:spacing w:before="24"/>
              <w:jc w:val="center"/>
              <w:rPr>
                <w:rFonts w:ascii="Arial" w:hAnsi="Arial" w:cs="Arial"/>
                <w:b/>
                <w:bCs/>
                <w:sz w:val="18"/>
                <w:szCs w:val="18"/>
              </w:rPr>
            </w:pPr>
            <w:r>
              <w:rPr>
                <w:rFonts w:ascii="Arial" w:hAnsi="Arial" w:cs="Arial"/>
                <w:b/>
                <w:bCs/>
                <w:sz w:val="18"/>
                <w:szCs w:val="18"/>
              </w:rPr>
              <w:t>Total</w:t>
            </w:r>
          </w:p>
          <w:p w:rsidR="00AA1CD5" w:rsidRDefault="0085589D" w:rsidP="00AA1CD5">
            <w:pPr>
              <w:widowControl/>
              <w:numPr>
                <w:ilvl w:val="12"/>
                <w:numId w:val="0"/>
              </w:numPr>
              <w:tabs>
                <w:tab w:val="left" w:pos="720"/>
              </w:tabs>
              <w:spacing w:after="24"/>
              <w:jc w:val="center"/>
              <w:rPr>
                <w:sz w:val="18"/>
                <w:szCs w:val="18"/>
              </w:rPr>
            </w:pPr>
            <w:r>
              <w:rPr>
                <w:rFonts w:ascii="Arial" w:hAnsi="Arial" w:cs="Arial"/>
                <w:b/>
                <w:bCs/>
                <w:sz w:val="18"/>
                <w:szCs w:val="18"/>
              </w:rPr>
              <w:t xml:space="preserve"> (10/11 – 9/14</w:t>
            </w:r>
            <w:r w:rsidR="00AA1CD5">
              <w:rPr>
                <w:rFonts w:ascii="Arial" w:hAnsi="Arial" w:cs="Arial"/>
                <w:b/>
                <w:bCs/>
                <w:sz w:val="18"/>
                <w:szCs w:val="18"/>
              </w:rPr>
              <w:t>)</w:t>
            </w:r>
          </w:p>
        </w:tc>
        <w:tc>
          <w:tcPr>
            <w:tcW w:w="1260" w:type="dxa"/>
          </w:tcPr>
          <w:p w:rsidR="00AA1CD5" w:rsidRDefault="00AA1CD5" w:rsidP="00AA1CD5">
            <w:pPr>
              <w:widowControl/>
              <w:numPr>
                <w:ilvl w:val="12"/>
                <w:numId w:val="0"/>
              </w:numPr>
              <w:tabs>
                <w:tab w:val="left" w:pos="720"/>
              </w:tabs>
              <w:spacing w:before="24" w:after="24"/>
              <w:jc w:val="center"/>
              <w:rPr>
                <w:sz w:val="18"/>
                <w:szCs w:val="18"/>
              </w:rPr>
            </w:pPr>
            <w:r>
              <w:rPr>
                <w:rFonts w:ascii="Arial" w:hAnsi="Arial" w:cs="Arial"/>
                <w:b/>
                <w:bCs/>
                <w:sz w:val="18"/>
                <w:szCs w:val="18"/>
              </w:rPr>
              <w:t>Total</w:t>
            </w:r>
          </w:p>
        </w:tc>
        <w:tc>
          <w:tcPr>
            <w:tcW w:w="1260" w:type="dxa"/>
          </w:tcPr>
          <w:p w:rsidR="00AA1CD5" w:rsidRDefault="00AA1CD5" w:rsidP="00AA1CD5">
            <w:pPr>
              <w:widowControl/>
              <w:numPr>
                <w:ilvl w:val="12"/>
                <w:numId w:val="0"/>
              </w:numPr>
              <w:tabs>
                <w:tab w:val="left" w:pos="720"/>
              </w:tabs>
              <w:spacing w:before="24" w:after="24"/>
              <w:jc w:val="center"/>
              <w:rPr>
                <w:sz w:val="18"/>
                <w:szCs w:val="18"/>
              </w:rPr>
            </w:pPr>
            <w:r>
              <w:rPr>
                <w:rFonts w:ascii="Arial" w:hAnsi="Arial" w:cs="Arial"/>
                <w:b/>
                <w:bCs/>
                <w:sz w:val="18"/>
                <w:szCs w:val="18"/>
              </w:rPr>
              <w:t>Per Respondent</w:t>
            </w:r>
          </w:p>
        </w:tc>
      </w:tr>
      <w:tr w:rsidR="00AA1CD5" w:rsidTr="00AA1CD5">
        <w:trPr>
          <w:trHeight w:hRule="exact" w:val="288"/>
        </w:trPr>
        <w:tc>
          <w:tcPr>
            <w:tcW w:w="630" w:type="dxa"/>
            <w:gridSpan w:val="3"/>
          </w:tcPr>
          <w:p w:rsidR="00AA1CD5" w:rsidRDefault="00AA1CD5" w:rsidP="00AA1CD5">
            <w:pPr>
              <w:widowControl/>
              <w:numPr>
                <w:ilvl w:val="12"/>
                <w:numId w:val="0"/>
              </w:numPr>
              <w:spacing w:before="24" w:after="24"/>
              <w:rPr>
                <w:sz w:val="20"/>
                <w:szCs w:val="20"/>
              </w:rPr>
            </w:pPr>
            <w:r>
              <w:rPr>
                <w:rFonts w:ascii="Arial" w:hAnsi="Arial" w:cs="Arial"/>
                <w:b/>
                <w:bCs/>
                <w:sz w:val="20"/>
                <w:szCs w:val="20"/>
              </w:rPr>
              <w:t>305(b) and 303(d) Reporting Activities</w:t>
            </w:r>
          </w:p>
        </w:tc>
        <w:tc>
          <w:tcPr>
            <w:tcW w:w="1149" w:type="dxa"/>
          </w:tcPr>
          <w:p w:rsidR="00AA1CD5" w:rsidRDefault="00AA1CD5" w:rsidP="00AA1CD5">
            <w:pPr>
              <w:widowControl/>
              <w:numPr>
                <w:ilvl w:val="12"/>
                <w:numId w:val="0"/>
              </w:numPr>
              <w:tabs>
                <w:tab w:val="left" w:pos="720"/>
              </w:tabs>
              <w:spacing w:before="24" w:after="24"/>
              <w:jc w:val="right"/>
              <w:rPr>
                <w:sz w:val="20"/>
                <w:szCs w:val="20"/>
              </w:rPr>
            </w:pPr>
          </w:p>
        </w:tc>
        <w:tc>
          <w:tcPr>
            <w:tcW w:w="1224" w:type="dxa"/>
          </w:tcPr>
          <w:p w:rsidR="00AA1CD5" w:rsidRDefault="00AA1CD5" w:rsidP="00AA1CD5">
            <w:pPr>
              <w:widowControl/>
              <w:numPr>
                <w:ilvl w:val="12"/>
                <w:numId w:val="0"/>
              </w:numPr>
              <w:tabs>
                <w:tab w:val="left" w:pos="720"/>
              </w:tabs>
              <w:spacing w:before="24" w:after="24"/>
              <w:jc w:val="right"/>
              <w:rPr>
                <w:sz w:val="20"/>
                <w:szCs w:val="20"/>
              </w:rPr>
            </w:pPr>
          </w:p>
        </w:tc>
        <w:tc>
          <w:tcPr>
            <w:tcW w:w="1186" w:type="dxa"/>
          </w:tcPr>
          <w:p w:rsidR="00AA1CD5" w:rsidRDefault="00AA1CD5" w:rsidP="00AA1CD5">
            <w:pPr>
              <w:widowControl/>
              <w:numPr>
                <w:ilvl w:val="12"/>
                <w:numId w:val="0"/>
              </w:numPr>
              <w:tabs>
                <w:tab w:val="left" w:pos="720"/>
              </w:tabs>
              <w:spacing w:before="24" w:after="24"/>
              <w:jc w:val="right"/>
              <w:rPr>
                <w:sz w:val="20"/>
                <w:szCs w:val="20"/>
              </w:rPr>
            </w:pPr>
          </w:p>
        </w:tc>
        <w:tc>
          <w:tcPr>
            <w:tcW w:w="1186" w:type="dxa"/>
          </w:tcPr>
          <w:p w:rsidR="00AA1CD5" w:rsidRDefault="00AA1CD5" w:rsidP="00AA1CD5">
            <w:pPr>
              <w:widowControl/>
              <w:numPr>
                <w:ilvl w:val="12"/>
                <w:numId w:val="0"/>
              </w:numPr>
              <w:tabs>
                <w:tab w:val="left" w:pos="720"/>
              </w:tabs>
              <w:spacing w:before="24" w:after="24"/>
              <w:jc w:val="right"/>
              <w:rPr>
                <w:sz w:val="20"/>
                <w:szCs w:val="20"/>
              </w:rPr>
            </w:pPr>
          </w:p>
        </w:tc>
        <w:tc>
          <w:tcPr>
            <w:tcW w:w="1260" w:type="dxa"/>
          </w:tcPr>
          <w:p w:rsidR="00AA1CD5" w:rsidRDefault="00AA1CD5" w:rsidP="00AA1CD5">
            <w:pPr>
              <w:widowControl/>
              <w:numPr>
                <w:ilvl w:val="12"/>
                <w:numId w:val="0"/>
              </w:numPr>
              <w:tabs>
                <w:tab w:val="left" w:pos="720"/>
              </w:tabs>
              <w:spacing w:before="24" w:after="24"/>
              <w:jc w:val="right"/>
              <w:rPr>
                <w:sz w:val="20"/>
                <w:szCs w:val="20"/>
              </w:rPr>
            </w:pPr>
          </w:p>
        </w:tc>
        <w:tc>
          <w:tcPr>
            <w:tcW w:w="1260" w:type="dxa"/>
          </w:tcPr>
          <w:p w:rsidR="00AA1CD5" w:rsidRDefault="00AA1CD5" w:rsidP="00AA1CD5">
            <w:pPr>
              <w:widowControl/>
              <w:numPr>
                <w:ilvl w:val="12"/>
                <w:numId w:val="0"/>
              </w:numPr>
              <w:tabs>
                <w:tab w:val="left" w:pos="720"/>
              </w:tabs>
              <w:spacing w:before="24" w:after="24"/>
              <w:rPr>
                <w:sz w:val="20"/>
                <w:szCs w:val="20"/>
              </w:rPr>
            </w:pPr>
          </w:p>
        </w:tc>
      </w:tr>
      <w:tr w:rsidR="00AA1CD5" w:rsidTr="00AA1CD5">
        <w:trPr>
          <w:trHeight w:hRule="exact" w:val="288"/>
        </w:trPr>
        <w:tc>
          <w:tcPr>
            <w:tcW w:w="630" w:type="dxa"/>
          </w:tcPr>
          <w:p w:rsidR="00AA1CD5" w:rsidRDefault="00AA1CD5" w:rsidP="00AA1CD5">
            <w:pPr>
              <w:widowControl/>
              <w:numPr>
                <w:ilvl w:val="12"/>
                <w:numId w:val="0"/>
              </w:numPr>
              <w:spacing w:before="24" w:after="24"/>
              <w:jc w:val="right"/>
              <w:rPr>
                <w:sz w:val="20"/>
                <w:szCs w:val="20"/>
              </w:rPr>
            </w:pPr>
          </w:p>
        </w:tc>
        <w:tc>
          <w:tcPr>
            <w:tcW w:w="219" w:type="dxa"/>
            <w:gridSpan w:val="2"/>
          </w:tcPr>
          <w:p w:rsidR="00AA1CD5" w:rsidRDefault="00AA1CD5" w:rsidP="00AA1CD5">
            <w:pPr>
              <w:widowControl/>
              <w:numPr>
                <w:ilvl w:val="12"/>
                <w:numId w:val="0"/>
              </w:numPr>
              <w:spacing w:before="24" w:after="24"/>
              <w:rPr>
                <w:sz w:val="20"/>
                <w:szCs w:val="20"/>
              </w:rPr>
            </w:pPr>
            <w:r>
              <w:rPr>
                <w:rFonts w:ascii="Arial" w:hAnsi="Arial" w:cs="Arial"/>
                <w:b/>
                <w:bCs/>
                <w:sz w:val="20"/>
                <w:szCs w:val="20"/>
              </w:rPr>
              <w:t>Existing Program Activities</w:t>
            </w:r>
          </w:p>
        </w:tc>
        <w:tc>
          <w:tcPr>
            <w:tcW w:w="1149" w:type="dxa"/>
          </w:tcPr>
          <w:p w:rsidR="00AA1CD5" w:rsidRDefault="00AA1CD5" w:rsidP="00AA1CD5">
            <w:pPr>
              <w:widowControl/>
              <w:numPr>
                <w:ilvl w:val="12"/>
                <w:numId w:val="0"/>
              </w:numPr>
              <w:tabs>
                <w:tab w:val="left" w:pos="720"/>
              </w:tabs>
              <w:spacing w:before="24" w:after="24"/>
              <w:rPr>
                <w:sz w:val="20"/>
                <w:szCs w:val="20"/>
              </w:rPr>
            </w:pPr>
          </w:p>
        </w:tc>
        <w:tc>
          <w:tcPr>
            <w:tcW w:w="1224" w:type="dxa"/>
          </w:tcPr>
          <w:p w:rsidR="00AA1CD5" w:rsidRDefault="00AA1CD5" w:rsidP="00AA1CD5">
            <w:pPr>
              <w:widowControl/>
              <w:numPr>
                <w:ilvl w:val="12"/>
                <w:numId w:val="0"/>
              </w:numPr>
              <w:tabs>
                <w:tab w:val="left" w:pos="720"/>
              </w:tabs>
              <w:spacing w:before="24" w:after="24"/>
              <w:rPr>
                <w:sz w:val="20"/>
                <w:szCs w:val="20"/>
              </w:rPr>
            </w:pPr>
          </w:p>
        </w:tc>
        <w:tc>
          <w:tcPr>
            <w:tcW w:w="1186" w:type="dxa"/>
          </w:tcPr>
          <w:p w:rsidR="00AA1CD5" w:rsidRDefault="00AA1CD5" w:rsidP="00AA1CD5">
            <w:pPr>
              <w:widowControl/>
              <w:numPr>
                <w:ilvl w:val="12"/>
                <w:numId w:val="0"/>
              </w:numPr>
              <w:tabs>
                <w:tab w:val="left" w:pos="720"/>
              </w:tabs>
              <w:spacing w:before="24" w:after="24"/>
              <w:rPr>
                <w:sz w:val="20"/>
                <w:szCs w:val="20"/>
              </w:rPr>
            </w:pPr>
          </w:p>
        </w:tc>
        <w:tc>
          <w:tcPr>
            <w:tcW w:w="1186" w:type="dxa"/>
          </w:tcPr>
          <w:p w:rsidR="00AA1CD5" w:rsidRDefault="00AA1CD5" w:rsidP="00AA1CD5">
            <w:pPr>
              <w:widowControl/>
              <w:numPr>
                <w:ilvl w:val="12"/>
                <w:numId w:val="0"/>
              </w:numPr>
              <w:tabs>
                <w:tab w:val="left" w:pos="720"/>
              </w:tabs>
              <w:spacing w:before="24" w:after="24"/>
              <w:rPr>
                <w:sz w:val="20"/>
                <w:szCs w:val="20"/>
              </w:rPr>
            </w:pPr>
          </w:p>
        </w:tc>
        <w:tc>
          <w:tcPr>
            <w:tcW w:w="1260" w:type="dxa"/>
          </w:tcPr>
          <w:p w:rsidR="00AA1CD5" w:rsidRDefault="00AA1CD5" w:rsidP="00AA1CD5">
            <w:pPr>
              <w:widowControl/>
              <w:numPr>
                <w:ilvl w:val="12"/>
                <w:numId w:val="0"/>
              </w:numPr>
              <w:tabs>
                <w:tab w:val="left" w:pos="720"/>
              </w:tabs>
              <w:spacing w:before="24" w:after="24"/>
              <w:rPr>
                <w:sz w:val="20"/>
                <w:szCs w:val="20"/>
              </w:rPr>
            </w:pPr>
          </w:p>
        </w:tc>
        <w:tc>
          <w:tcPr>
            <w:tcW w:w="1260" w:type="dxa"/>
          </w:tcPr>
          <w:p w:rsidR="00AA1CD5" w:rsidRDefault="00AA1CD5" w:rsidP="00AA1CD5">
            <w:pPr>
              <w:widowControl/>
              <w:numPr>
                <w:ilvl w:val="12"/>
                <w:numId w:val="0"/>
              </w:numPr>
              <w:tabs>
                <w:tab w:val="left" w:pos="720"/>
              </w:tabs>
              <w:spacing w:before="24" w:after="24"/>
              <w:rPr>
                <w:sz w:val="20"/>
                <w:szCs w:val="20"/>
              </w:rPr>
            </w:pP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 xml:space="preserve">1.    Review </w:t>
            </w:r>
            <w:proofErr w:type="spellStart"/>
            <w:r>
              <w:rPr>
                <w:rFonts w:ascii="Arial" w:hAnsi="Arial" w:cs="Arial"/>
                <w:sz w:val="20"/>
                <w:szCs w:val="20"/>
              </w:rPr>
              <w:t>regs</w:t>
            </w:r>
            <w:proofErr w:type="spellEnd"/>
            <w:r>
              <w:rPr>
                <w:rFonts w:ascii="Arial" w:hAnsi="Arial" w:cs="Arial"/>
                <w:sz w:val="20"/>
                <w:szCs w:val="20"/>
              </w:rPr>
              <w:t xml:space="preserve"> and guidance</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7,434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7,434</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7,434</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22,302</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7,434</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126</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2.    Plan and coordinate data acquisition</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65,490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65,490</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65,490</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196,470</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65,490</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1,110</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3.    Develop/submit 305(b) report and respond to comments</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83,013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83,013</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83,013</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249,039</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83,013</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1,407</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4.    Develop, review and update 303(d) listing methodology</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46,536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46,536</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46,536</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139,608</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46,536</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831</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 xml:space="preserve">5.    Prepare 303(d) list </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123,648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123,648</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123,648</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370,944</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123,648</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2,208</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6.    Required public outreach for 303(d) list</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14,840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14,840</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14,840</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44,520</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14,840</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265</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7.    Submission of 303(d) list and response to EPA comments</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12,208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12,208</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12,208</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36,624</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12,208</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218</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8.    Prepare annual electronic updates</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 xml:space="preserve">19,234 </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19,234</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19,234</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57,702</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19,234</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326</w:t>
            </w: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18"/>
                <w:szCs w:val="18"/>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18"/>
                <w:szCs w:val="18"/>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18"/>
                <w:szCs w:val="18"/>
              </w:rPr>
            </w:pPr>
            <w:r>
              <w:rPr>
                <w:rFonts w:ascii="Arial" w:hAnsi="Arial" w:cs="Arial"/>
                <w:sz w:val="20"/>
                <w:szCs w:val="20"/>
              </w:rPr>
              <w:t>9.    Implement enhanced benefit cost of WQS</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122,130</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40,710</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690</w:t>
            </w:r>
          </w:p>
        </w:tc>
      </w:tr>
      <w:tr w:rsidR="00AA1CD5" w:rsidTr="00AA1CD5">
        <w:trPr>
          <w:trHeight w:hRule="exact" w:val="244"/>
        </w:trPr>
        <w:tc>
          <w:tcPr>
            <w:tcW w:w="630" w:type="dxa"/>
            <w:gridSpan w:val="3"/>
          </w:tcPr>
          <w:p w:rsidR="00AA1CD5" w:rsidRDefault="00AA1CD5" w:rsidP="00AA1CD5">
            <w:pPr>
              <w:widowControl/>
              <w:numPr>
                <w:ilvl w:val="12"/>
                <w:numId w:val="0"/>
              </w:numPr>
              <w:spacing w:before="24" w:after="24"/>
              <w:jc w:val="right"/>
              <w:rPr>
                <w:sz w:val="18"/>
                <w:szCs w:val="18"/>
              </w:rPr>
            </w:pPr>
          </w:p>
        </w:tc>
        <w:tc>
          <w:tcPr>
            <w:tcW w:w="1149" w:type="dxa"/>
          </w:tcPr>
          <w:p w:rsidR="00AA1CD5" w:rsidRDefault="00AA1CD5" w:rsidP="00AA1CD5">
            <w:pPr>
              <w:widowControl/>
              <w:numPr>
                <w:ilvl w:val="12"/>
                <w:numId w:val="0"/>
              </w:numPr>
              <w:tabs>
                <w:tab w:val="left" w:pos="720"/>
              </w:tabs>
              <w:spacing w:before="24" w:after="24"/>
              <w:rPr>
                <w:sz w:val="18"/>
                <w:szCs w:val="18"/>
              </w:rPr>
            </w:pPr>
          </w:p>
        </w:tc>
        <w:tc>
          <w:tcPr>
            <w:tcW w:w="1224"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r>
      <w:tr w:rsidR="00AA1CD5" w:rsidTr="00AA1CD5">
        <w:trPr>
          <w:trHeight w:hRule="exact" w:val="244"/>
        </w:trPr>
        <w:tc>
          <w:tcPr>
            <w:tcW w:w="630" w:type="dxa"/>
            <w:gridSpan w:val="3"/>
          </w:tcPr>
          <w:p w:rsidR="00AA1CD5" w:rsidRDefault="00AA1CD5" w:rsidP="00AA1CD5">
            <w:pPr>
              <w:widowControl/>
              <w:numPr>
                <w:ilvl w:val="12"/>
                <w:numId w:val="0"/>
              </w:numPr>
              <w:tabs>
                <w:tab w:val="left" w:pos="-1182"/>
              </w:tabs>
              <w:spacing w:before="24" w:after="24"/>
              <w:rPr>
                <w:sz w:val="20"/>
                <w:szCs w:val="20"/>
              </w:rPr>
            </w:pPr>
            <w:r>
              <w:rPr>
                <w:rFonts w:ascii="Arial" w:hAnsi="Arial" w:cs="Arial"/>
                <w:b/>
                <w:bCs/>
                <w:sz w:val="20"/>
                <w:szCs w:val="20"/>
              </w:rPr>
              <w:t>Total for 305(b) and 303(d) Reporting Activities</w:t>
            </w:r>
            <w:r>
              <w:rPr>
                <w:rFonts w:ascii="Arial" w:hAnsi="Arial" w:cs="Arial"/>
                <w:sz w:val="20"/>
                <w:szCs w:val="20"/>
              </w:rPr>
              <w:tab/>
            </w:r>
          </w:p>
        </w:tc>
        <w:tc>
          <w:tcPr>
            <w:tcW w:w="1149" w:type="dxa"/>
          </w:tcPr>
          <w:p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224" w:type="dxa"/>
          </w:tcPr>
          <w:p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186" w:type="dxa"/>
          </w:tcPr>
          <w:p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186" w:type="dxa"/>
          </w:tcPr>
          <w:p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1,239,339</w:t>
            </w:r>
          </w:p>
        </w:tc>
        <w:tc>
          <w:tcPr>
            <w:tcW w:w="1260" w:type="dxa"/>
          </w:tcPr>
          <w:p w:rsidR="00AA1CD5" w:rsidRDefault="00AA1CD5" w:rsidP="00AA1CD5">
            <w:pPr>
              <w:widowControl/>
              <w:numPr>
                <w:ilvl w:val="12"/>
                <w:numId w:val="0"/>
              </w:numPr>
              <w:tabs>
                <w:tab w:val="left" w:pos="-1182"/>
                <w:tab w:val="left" w:pos="720"/>
              </w:tabs>
              <w:spacing w:before="24" w:after="24"/>
              <w:rPr>
                <w:sz w:val="20"/>
                <w:szCs w:val="20"/>
              </w:rPr>
            </w:pPr>
            <w:r>
              <w:rPr>
                <w:rFonts w:ascii="Arial" w:hAnsi="Arial" w:cs="Arial"/>
                <w:b/>
                <w:bCs/>
                <w:sz w:val="20"/>
                <w:szCs w:val="20"/>
              </w:rPr>
              <w:t>413,113</w:t>
            </w:r>
          </w:p>
        </w:tc>
        <w:tc>
          <w:tcPr>
            <w:tcW w:w="1260" w:type="dxa"/>
          </w:tcPr>
          <w:p w:rsidR="00AA1CD5" w:rsidRDefault="00AA1CD5" w:rsidP="00AA1CD5">
            <w:pPr>
              <w:widowControl/>
              <w:numPr>
                <w:ilvl w:val="12"/>
                <w:numId w:val="0"/>
              </w:numPr>
              <w:tabs>
                <w:tab w:val="left" w:pos="720"/>
              </w:tabs>
              <w:spacing w:before="24" w:after="24"/>
              <w:rPr>
                <w:sz w:val="18"/>
                <w:szCs w:val="18"/>
              </w:rPr>
            </w:pPr>
            <w:r>
              <w:rPr>
                <w:rFonts w:ascii="Arial" w:hAnsi="Arial" w:cs="Arial"/>
                <w:b/>
                <w:bCs/>
                <w:sz w:val="20"/>
                <w:szCs w:val="20"/>
              </w:rPr>
              <w:t>7,181</w:t>
            </w:r>
          </w:p>
        </w:tc>
      </w:tr>
      <w:tr w:rsidR="00AA1CD5" w:rsidTr="00AA1CD5">
        <w:trPr>
          <w:trHeight w:hRule="exact" w:val="288"/>
        </w:trPr>
        <w:tc>
          <w:tcPr>
            <w:tcW w:w="630" w:type="dxa"/>
            <w:gridSpan w:val="3"/>
          </w:tcPr>
          <w:p w:rsidR="00AA1CD5" w:rsidRDefault="00AA1CD5" w:rsidP="00AA1CD5">
            <w:pPr>
              <w:widowControl/>
              <w:numPr>
                <w:ilvl w:val="12"/>
                <w:numId w:val="0"/>
              </w:numPr>
              <w:spacing w:before="24" w:after="24"/>
              <w:rPr>
                <w:sz w:val="18"/>
                <w:szCs w:val="18"/>
              </w:rPr>
            </w:pPr>
          </w:p>
        </w:tc>
        <w:tc>
          <w:tcPr>
            <w:tcW w:w="1149" w:type="dxa"/>
          </w:tcPr>
          <w:p w:rsidR="00AA1CD5" w:rsidRDefault="00AA1CD5" w:rsidP="00AA1CD5">
            <w:pPr>
              <w:widowControl/>
              <w:numPr>
                <w:ilvl w:val="12"/>
                <w:numId w:val="0"/>
              </w:numPr>
              <w:tabs>
                <w:tab w:val="left" w:pos="720"/>
              </w:tabs>
              <w:spacing w:before="24" w:after="24"/>
              <w:rPr>
                <w:sz w:val="20"/>
                <w:szCs w:val="20"/>
              </w:rPr>
            </w:pPr>
          </w:p>
        </w:tc>
        <w:tc>
          <w:tcPr>
            <w:tcW w:w="1224" w:type="dxa"/>
          </w:tcPr>
          <w:p w:rsidR="00AA1CD5" w:rsidRDefault="00AA1CD5" w:rsidP="00AA1CD5">
            <w:pPr>
              <w:widowControl/>
              <w:numPr>
                <w:ilvl w:val="12"/>
                <w:numId w:val="0"/>
              </w:numPr>
              <w:tabs>
                <w:tab w:val="left" w:pos="720"/>
              </w:tabs>
              <w:spacing w:before="24" w:after="24"/>
              <w:rPr>
                <w:sz w:val="20"/>
                <w:szCs w:val="20"/>
              </w:rPr>
            </w:pPr>
          </w:p>
        </w:tc>
        <w:tc>
          <w:tcPr>
            <w:tcW w:w="1186" w:type="dxa"/>
          </w:tcPr>
          <w:p w:rsidR="00AA1CD5" w:rsidRDefault="00AA1CD5" w:rsidP="00AA1CD5">
            <w:pPr>
              <w:widowControl/>
              <w:numPr>
                <w:ilvl w:val="12"/>
                <w:numId w:val="0"/>
              </w:numPr>
              <w:tabs>
                <w:tab w:val="left" w:pos="720"/>
              </w:tabs>
              <w:spacing w:before="24" w:after="24"/>
              <w:rPr>
                <w:sz w:val="20"/>
                <w:szCs w:val="20"/>
              </w:rPr>
            </w:pPr>
          </w:p>
        </w:tc>
        <w:tc>
          <w:tcPr>
            <w:tcW w:w="1186" w:type="dxa"/>
          </w:tcPr>
          <w:p w:rsidR="00AA1CD5" w:rsidRDefault="00AA1CD5" w:rsidP="00AA1CD5">
            <w:pPr>
              <w:widowControl/>
              <w:numPr>
                <w:ilvl w:val="12"/>
                <w:numId w:val="0"/>
              </w:numPr>
              <w:tabs>
                <w:tab w:val="left" w:pos="720"/>
              </w:tabs>
              <w:spacing w:before="24" w:after="24"/>
              <w:rPr>
                <w:sz w:val="20"/>
                <w:szCs w:val="20"/>
              </w:rPr>
            </w:pPr>
          </w:p>
        </w:tc>
        <w:tc>
          <w:tcPr>
            <w:tcW w:w="1260" w:type="dxa"/>
          </w:tcPr>
          <w:p w:rsidR="00AA1CD5" w:rsidRDefault="00AA1CD5" w:rsidP="00AA1CD5">
            <w:pPr>
              <w:widowControl/>
              <w:numPr>
                <w:ilvl w:val="12"/>
                <w:numId w:val="0"/>
              </w:numPr>
              <w:tabs>
                <w:tab w:val="left" w:pos="720"/>
              </w:tabs>
              <w:spacing w:before="24" w:after="24"/>
              <w:rPr>
                <w:sz w:val="20"/>
                <w:szCs w:val="20"/>
              </w:rPr>
            </w:pPr>
          </w:p>
        </w:tc>
        <w:tc>
          <w:tcPr>
            <w:tcW w:w="1260" w:type="dxa"/>
          </w:tcPr>
          <w:p w:rsidR="00AA1CD5" w:rsidRDefault="00AA1CD5" w:rsidP="00AA1CD5">
            <w:pPr>
              <w:widowControl/>
              <w:numPr>
                <w:ilvl w:val="12"/>
                <w:numId w:val="0"/>
              </w:numPr>
              <w:tabs>
                <w:tab w:val="left" w:pos="720"/>
              </w:tabs>
              <w:spacing w:before="24" w:after="24"/>
              <w:rPr>
                <w:sz w:val="18"/>
                <w:szCs w:val="18"/>
              </w:rPr>
            </w:pPr>
          </w:p>
        </w:tc>
      </w:tr>
      <w:tr w:rsidR="00AA1CD5" w:rsidTr="00AA1CD5">
        <w:trPr>
          <w:trHeight w:hRule="exact" w:val="288"/>
        </w:trPr>
        <w:tc>
          <w:tcPr>
            <w:tcW w:w="630" w:type="dxa"/>
            <w:gridSpan w:val="3"/>
          </w:tcPr>
          <w:p w:rsidR="00AA1CD5" w:rsidRDefault="00AA1CD5" w:rsidP="00AA1CD5">
            <w:pPr>
              <w:widowControl/>
              <w:numPr>
                <w:ilvl w:val="12"/>
                <w:numId w:val="0"/>
              </w:numPr>
              <w:spacing w:before="24" w:after="24"/>
              <w:rPr>
                <w:sz w:val="20"/>
                <w:szCs w:val="20"/>
              </w:rPr>
            </w:pPr>
            <w:r>
              <w:rPr>
                <w:rFonts w:ascii="Arial" w:hAnsi="Arial" w:cs="Arial"/>
                <w:b/>
                <w:bCs/>
                <w:sz w:val="20"/>
                <w:szCs w:val="20"/>
              </w:rPr>
              <w:t>TMDL Activities</w:t>
            </w:r>
          </w:p>
        </w:tc>
        <w:tc>
          <w:tcPr>
            <w:tcW w:w="1149" w:type="dxa"/>
          </w:tcPr>
          <w:p w:rsidR="00AA1CD5" w:rsidRDefault="00AA1CD5" w:rsidP="00AA1CD5">
            <w:pPr>
              <w:widowControl/>
              <w:numPr>
                <w:ilvl w:val="12"/>
                <w:numId w:val="0"/>
              </w:numPr>
              <w:tabs>
                <w:tab w:val="left" w:pos="720"/>
              </w:tabs>
              <w:spacing w:before="24" w:after="24"/>
              <w:rPr>
                <w:sz w:val="18"/>
                <w:szCs w:val="18"/>
              </w:rPr>
            </w:pPr>
          </w:p>
        </w:tc>
        <w:tc>
          <w:tcPr>
            <w:tcW w:w="1224"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r>
      <w:tr w:rsidR="00AA1CD5" w:rsidTr="00AA1CD5">
        <w:trPr>
          <w:trHeight w:hRule="exact" w:val="288"/>
        </w:trPr>
        <w:tc>
          <w:tcPr>
            <w:tcW w:w="630" w:type="dxa"/>
          </w:tcPr>
          <w:p w:rsidR="00AA1CD5" w:rsidRDefault="00AA1CD5" w:rsidP="00AA1CD5">
            <w:pPr>
              <w:widowControl/>
              <w:numPr>
                <w:ilvl w:val="12"/>
                <w:numId w:val="0"/>
              </w:numPr>
              <w:spacing w:before="24" w:after="24"/>
              <w:jc w:val="right"/>
              <w:rPr>
                <w:sz w:val="18"/>
                <w:szCs w:val="18"/>
              </w:rPr>
            </w:pPr>
          </w:p>
        </w:tc>
        <w:tc>
          <w:tcPr>
            <w:tcW w:w="219" w:type="dxa"/>
            <w:gridSpan w:val="2"/>
          </w:tcPr>
          <w:p w:rsidR="00AA1CD5" w:rsidRDefault="00AA1CD5" w:rsidP="00AA1CD5">
            <w:pPr>
              <w:widowControl/>
              <w:numPr>
                <w:ilvl w:val="12"/>
                <w:numId w:val="0"/>
              </w:numPr>
              <w:spacing w:before="24" w:after="24"/>
              <w:rPr>
                <w:sz w:val="18"/>
                <w:szCs w:val="18"/>
              </w:rPr>
            </w:pPr>
            <w:r>
              <w:rPr>
                <w:rFonts w:ascii="Arial" w:hAnsi="Arial" w:cs="Arial"/>
                <w:b/>
                <w:bCs/>
                <w:sz w:val="20"/>
                <w:szCs w:val="20"/>
              </w:rPr>
              <w:t>Existing Program Activities</w:t>
            </w:r>
          </w:p>
        </w:tc>
        <w:tc>
          <w:tcPr>
            <w:tcW w:w="1149" w:type="dxa"/>
          </w:tcPr>
          <w:p w:rsidR="00AA1CD5" w:rsidRDefault="00AA1CD5" w:rsidP="00AA1CD5">
            <w:pPr>
              <w:widowControl/>
              <w:numPr>
                <w:ilvl w:val="12"/>
                <w:numId w:val="0"/>
              </w:numPr>
              <w:tabs>
                <w:tab w:val="left" w:pos="720"/>
              </w:tabs>
              <w:spacing w:before="24" w:after="24"/>
              <w:rPr>
                <w:sz w:val="18"/>
                <w:szCs w:val="18"/>
              </w:rPr>
            </w:pPr>
          </w:p>
        </w:tc>
        <w:tc>
          <w:tcPr>
            <w:tcW w:w="1224"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r>
      <w:tr w:rsidR="00AA1CD5">
        <w:trPr>
          <w:trHeight w:hRule="exact" w:val="244"/>
        </w:trPr>
        <w:tc>
          <w:tcPr>
            <w:tcW w:w="630" w:type="dxa"/>
            <w:tcBorders>
              <w:top w:val="nil"/>
              <w:left w:val="single" w:sz="10" w:space="0" w:color="000000"/>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219" w:type="dxa"/>
            <w:tcBorders>
              <w:top w:val="nil"/>
              <w:left w:val="nil"/>
              <w:bottom w:val="nil"/>
              <w:right w:val="nil"/>
            </w:tcBorders>
            <w:vAlign w:val="center"/>
          </w:tcPr>
          <w:p w:rsidR="00AA1CD5" w:rsidRDefault="00AA1CD5" w:rsidP="00AA1CD5">
            <w:pPr>
              <w:widowControl/>
              <w:numPr>
                <w:ilvl w:val="12"/>
                <w:numId w:val="0"/>
              </w:numPr>
              <w:spacing w:before="24" w:after="24"/>
              <w:jc w:val="right"/>
              <w:rPr>
                <w:sz w:val="20"/>
                <w:szCs w:val="20"/>
              </w:rPr>
            </w:pPr>
          </w:p>
        </w:tc>
        <w:tc>
          <w:tcPr>
            <w:tcW w:w="484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 w:val="left" w:pos="1440"/>
                <w:tab w:val="left" w:pos="2160"/>
                <w:tab w:val="left" w:pos="2880"/>
              </w:tabs>
              <w:spacing w:before="24" w:after="24"/>
              <w:rPr>
                <w:sz w:val="20"/>
                <w:szCs w:val="20"/>
              </w:rPr>
            </w:pPr>
            <w:r>
              <w:rPr>
                <w:rFonts w:ascii="Arial" w:hAnsi="Arial" w:cs="Arial"/>
                <w:sz w:val="20"/>
                <w:szCs w:val="20"/>
              </w:rPr>
              <w:t>TMDL Development Activities</w:t>
            </w:r>
          </w:p>
        </w:tc>
        <w:tc>
          <w:tcPr>
            <w:tcW w:w="1149"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224"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186"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9,980,712</w:t>
            </w:r>
          </w:p>
        </w:tc>
        <w:tc>
          <w:tcPr>
            <w:tcW w:w="1260" w:type="dxa"/>
            <w:tcBorders>
              <w:top w:val="nil"/>
              <w:left w:val="nil"/>
              <w:bottom w:val="nil"/>
              <w:right w:val="single" w:sz="6"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3,326,904</w:t>
            </w:r>
          </w:p>
        </w:tc>
        <w:tc>
          <w:tcPr>
            <w:tcW w:w="1260" w:type="dxa"/>
            <w:tcBorders>
              <w:top w:val="nil"/>
              <w:left w:val="nil"/>
              <w:bottom w:val="nil"/>
              <w:right w:val="single" w:sz="10" w:space="0" w:color="000000"/>
            </w:tcBorders>
            <w:vAlign w:val="center"/>
          </w:tcPr>
          <w:p w:rsidR="00AA1CD5" w:rsidRDefault="00AA1CD5" w:rsidP="00AA1CD5">
            <w:pPr>
              <w:widowControl/>
              <w:numPr>
                <w:ilvl w:val="12"/>
                <w:numId w:val="0"/>
              </w:numPr>
              <w:tabs>
                <w:tab w:val="left" w:pos="720"/>
              </w:tabs>
              <w:spacing w:before="24" w:after="24"/>
              <w:rPr>
                <w:sz w:val="18"/>
                <w:szCs w:val="18"/>
              </w:rPr>
            </w:pPr>
            <w:r>
              <w:rPr>
                <w:rFonts w:ascii="Arial" w:hAnsi="Arial" w:cs="Arial"/>
                <w:sz w:val="18"/>
                <w:szCs w:val="18"/>
              </w:rPr>
              <w:t>59,409</w:t>
            </w:r>
          </w:p>
        </w:tc>
      </w:tr>
      <w:tr w:rsidR="00AA1CD5" w:rsidTr="00AA1CD5">
        <w:trPr>
          <w:trHeight w:hRule="exact" w:val="244"/>
        </w:trPr>
        <w:tc>
          <w:tcPr>
            <w:tcW w:w="630" w:type="dxa"/>
            <w:gridSpan w:val="3"/>
          </w:tcPr>
          <w:p w:rsidR="00AA1CD5" w:rsidRDefault="00AA1CD5" w:rsidP="00AA1CD5">
            <w:pPr>
              <w:widowControl/>
              <w:numPr>
                <w:ilvl w:val="12"/>
                <w:numId w:val="0"/>
              </w:numPr>
              <w:spacing w:before="24" w:after="24"/>
              <w:jc w:val="right"/>
              <w:rPr>
                <w:sz w:val="18"/>
                <w:szCs w:val="18"/>
              </w:rPr>
            </w:pPr>
          </w:p>
        </w:tc>
        <w:tc>
          <w:tcPr>
            <w:tcW w:w="1149" w:type="dxa"/>
          </w:tcPr>
          <w:p w:rsidR="00AA1CD5" w:rsidRDefault="00AA1CD5" w:rsidP="00AA1CD5">
            <w:pPr>
              <w:widowControl/>
              <w:numPr>
                <w:ilvl w:val="12"/>
                <w:numId w:val="0"/>
              </w:numPr>
              <w:tabs>
                <w:tab w:val="left" w:pos="720"/>
              </w:tabs>
              <w:spacing w:before="24" w:after="24"/>
              <w:rPr>
                <w:sz w:val="18"/>
                <w:szCs w:val="18"/>
              </w:rPr>
            </w:pPr>
          </w:p>
        </w:tc>
        <w:tc>
          <w:tcPr>
            <w:tcW w:w="1224"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r>
      <w:tr w:rsidR="00AA1CD5" w:rsidTr="00AA1CD5">
        <w:trPr>
          <w:trHeight w:hRule="exact" w:val="244"/>
        </w:trPr>
        <w:tc>
          <w:tcPr>
            <w:tcW w:w="630" w:type="dxa"/>
            <w:gridSpan w:val="3"/>
          </w:tcPr>
          <w:p w:rsidR="00AA1CD5" w:rsidRDefault="00AA1CD5" w:rsidP="00AA1CD5">
            <w:pPr>
              <w:widowControl/>
              <w:numPr>
                <w:ilvl w:val="12"/>
                <w:numId w:val="0"/>
              </w:numPr>
              <w:spacing w:before="24"/>
              <w:rPr>
                <w:rFonts w:ascii="Arial" w:hAnsi="Arial" w:cs="Arial"/>
                <w:sz w:val="20"/>
                <w:szCs w:val="20"/>
              </w:rPr>
            </w:pPr>
            <w:r>
              <w:rPr>
                <w:rFonts w:ascii="Arial" w:hAnsi="Arial" w:cs="Arial"/>
                <w:b/>
                <w:bCs/>
                <w:sz w:val="20"/>
                <w:szCs w:val="20"/>
              </w:rPr>
              <w:t>Total for TMDL Activities</w:t>
            </w:r>
            <w:r>
              <w:rPr>
                <w:rFonts w:ascii="Arial" w:hAnsi="Arial" w:cs="Arial"/>
                <w:sz w:val="20"/>
                <w:szCs w:val="20"/>
              </w:rPr>
              <w:tab/>
            </w:r>
          </w:p>
          <w:p w:rsidR="00AA1CD5" w:rsidRDefault="00AA1CD5" w:rsidP="00AA1CD5">
            <w:pPr>
              <w:widowControl/>
              <w:numPr>
                <w:ilvl w:val="12"/>
                <w:numId w:val="0"/>
              </w:numPr>
              <w:spacing w:after="24"/>
              <w:rPr>
                <w:sz w:val="20"/>
                <w:szCs w:val="20"/>
              </w:rPr>
            </w:pPr>
            <w:r>
              <w:rPr>
                <w:rFonts w:ascii="Arial" w:hAnsi="Arial" w:cs="Arial"/>
                <w:sz w:val="20"/>
                <w:szCs w:val="20"/>
              </w:rPr>
              <w:tab/>
            </w:r>
          </w:p>
        </w:tc>
        <w:tc>
          <w:tcPr>
            <w:tcW w:w="1149"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224"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186"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186"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9,980,712</w:t>
            </w:r>
          </w:p>
        </w:tc>
        <w:tc>
          <w:tcPr>
            <w:tcW w:w="1260"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3,326,904</w:t>
            </w:r>
          </w:p>
        </w:tc>
        <w:tc>
          <w:tcPr>
            <w:tcW w:w="1260" w:type="dxa"/>
          </w:tcPr>
          <w:p w:rsidR="00AA1CD5" w:rsidRDefault="00AA1CD5" w:rsidP="00AA1CD5">
            <w:pPr>
              <w:widowControl/>
              <w:numPr>
                <w:ilvl w:val="12"/>
                <w:numId w:val="0"/>
              </w:numPr>
              <w:tabs>
                <w:tab w:val="left" w:pos="720"/>
              </w:tabs>
              <w:spacing w:before="24" w:after="24"/>
              <w:rPr>
                <w:sz w:val="18"/>
                <w:szCs w:val="18"/>
              </w:rPr>
            </w:pPr>
            <w:r>
              <w:rPr>
                <w:rFonts w:ascii="Arial" w:hAnsi="Arial" w:cs="Arial"/>
                <w:b/>
                <w:bCs/>
                <w:sz w:val="20"/>
                <w:szCs w:val="20"/>
              </w:rPr>
              <w:t>59,409</w:t>
            </w:r>
          </w:p>
        </w:tc>
      </w:tr>
      <w:tr w:rsidR="00AA1CD5" w:rsidTr="00AA1CD5">
        <w:trPr>
          <w:trHeight w:hRule="exact" w:val="288"/>
        </w:trPr>
        <w:tc>
          <w:tcPr>
            <w:tcW w:w="630" w:type="dxa"/>
            <w:gridSpan w:val="3"/>
          </w:tcPr>
          <w:p w:rsidR="00AA1CD5" w:rsidRDefault="00AA1CD5" w:rsidP="00AA1CD5">
            <w:pPr>
              <w:widowControl/>
              <w:numPr>
                <w:ilvl w:val="12"/>
                <w:numId w:val="0"/>
              </w:numPr>
              <w:spacing w:before="24" w:after="24"/>
              <w:rPr>
                <w:sz w:val="18"/>
                <w:szCs w:val="18"/>
              </w:rPr>
            </w:pPr>
          </w:p>
        </w:tc>
        <w:tc>
          <w:tcPr>
            <w:tcW w:w="1149" w:type="dxa"/>
          </w:tcPr>
          <w:p w:rsidR="00AA1CD5" w:rsidRDefault="00AA1CD5" w:rsidP="00AA1CD5">
            <w:pPr>
              <w:widowControl/>
              <w:numPr>
                <w:ilvl w:val="12"/>
                <w:numId w:val="0"/>
              </w:numPr>
              <w:tabs>
                <w:tab w:val="left" w:pos="720"/>
              </w:tabs>
              <w:spacing w:before="24" w:after="24"/>
              <w:rPr>
                <w:sz w:val="18"/>
                <w:szCs w:val="18"/>
              </w:rPr>
            </w:pPr>
          </w:p>
        </w:tc>
        <w:tc>
          <w:tcPr>
            <w:tcW w:w="1224"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186"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c>
          <w:tcPr>
            <w:tcW w:w="1260" w:type="dxa"/>
          </w:tcPr>
          <w:p w:rsidR="00AA1CD5" w:rsidRDefault="00AA1CD5" w:rsidP="00AA1CD5">
            <w:pPr>
              <w:widowControl/>
              <w:numPr>
                <w:ilvl w:val="12"/>
                <w:numId w:val="0"/>
              </w:numPr>
              <w:tabs>
                <w:tab w:val="left" w:pos="720"/>
              </w:tabs>
              <w:spacing w:before="24" w:after="24"/>
              <w:rPr>
                <w:sz w:val="18"/>
                <w:szCs w:val="18"/>
              </w:rPr>
            </w:pPr>
          </w:p>
        </w:tc>
      </w:tr>
      <w:tr w:rsidR="00AA1CD5" w:rsidTr="00AA1CD5">
        <w:trPr>
          <w:trHeight w:hRule="exact" w:val="360"/>
        </w:trPr>
        <w:tc>
          <w:tcPr>
            <w:tcW w:w="630" w:type="dxa"/>
            <w:gridSpan w:val="3"/>
          </w:tcPr>
          <w:p w:rsidR="00AA1CD5" w:rsidRDefault="00AA1CD5" w:rsidP="00AA1CD5">
            <w:pPr>
              <w:widowControl/>
              <w:numPr>
                <w:ilvl w:val="12"/>
                <w:numId w:val="0"/>
              </w:numPr>
              <w:spacing w:before="24" w:after="24"/>
              <w:rPr>
                <w:sz w:val="20"/>
                <w:szCs w:val="20"/>
              </w:rPr>
            </w:pPr>
            <w:r>
              <w:rPr>
                <w:rFonts w:ascii="Arial" w:hAnsi="Arial" w:cs="Arial"/>
                <w:b/>
                <w:bCs/>
                <w:sz w:val="20"/>
                <w:szCs w:val="20"/>
              </w:rPr>
              <w:t>Total Burden for Existing Program Activities</w:t>
            </w:r>
          </w:p>
        </w:tc>
        <w:tc>
          <w:tcPr>
            <w:tcW w:w="1149"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224"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186"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186"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11,220,051</w:t>
            </w:r>
          </w:p>
        </w:tc>
        <w:tc>
          <w:tcPr>
            <w:tcW w:w="1260"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3,740,017</w:t>
            </w:r>
          </w:p>
        </w:tc>
        <w:tc>
          <w:tcPr>
            <w:tcW w:w="1260" w:type="dxa"/>
          </w:tcPr>
          <w:p w:rsidR="00AA1CD5" w:rsidRDefault="00AA1CD5" w:rsidP="00AA1CD5">
            <w:pPr>
              <w:widowControl/>
              <w:numPr>
                <w:ilvl w:val="12"/>
                <w:numId w:val="0"/>
              </w:numPr>
              <w:tabs>
                <w:tab w:val="left" w:pos="720"/>
              </w:tabs>
              <w:spacing w:before="24" w:after="24"/>
              <w:rPr>
                <w:sz w:val="20"/>
                <w:szCs w:val="20"/>
              </w:rPr>
            </w:pPr>
            <w:r>
              <w:rPr>
                <w:rFonts w:ascii="Arial" w:hAnsi="Arial" w:cs="Arial"/>
                <w:b/>
                <w:bCs/>
                <w:sz w:val="20"/>
                <w:szCs w:val="20"/>
              </w:rPr>
              <w:t>66,590</w:t>
            </w:r>
          </w:p>
        </w:tc>
      </w:tr>
    </w:tbl>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p w:rsidR="00991918" w:rsidRDefault="00AA1CD5" w:rsidP="00991918">
      <w:pPr>
        <w:widowControl/>
        <w:numPr>
          <w:ilvl w:val="12"/>
          <w:numId w:val="0"/>
        </w:numPr>
        <w:tabs>
          <w:tab w:val="left" w:pos="720"/>
          <w:tab w:val="left" w:pos="1440"/>
          <w:tab w:val="left" w:pos="2160"/>
          <w:tab w:val="left" w:pos="2880"/>
          <w:tab w:val="right" w:pos="6655"/>
        </w:tabs>
        <w:rPr>
          <w:rFonts w:ascii="Arial" w:hAnsi="Arial" w:cs="Arial"/>
          <w:i/>
          <w:iCs/>
          <w:sz w:val="20"/>
          <w:szCs w:val="20"/>
        </w:rPr>
      </w:pPr>
      <w:r>
        <w:rPr>
          <w:rFonts w:ascii="Arial" w:hAnsi="Arial" w:cs="Arial"/>
          <w:sz w:val="20"/>
          <w:szCs w:val="20"/>
        </w:rPr>
        <w:tab/>
      </w:r>
      <w:r>
        <w:rPr>
          <w:rFonts w:ascii="Arial" w:hAnsi="Arial" w:cs="Arial"/>
          <w:i/>
          <w:iCs/>
          <w:sz w:val="20"/>
          <w:szCs w:val="20"/>
        </w:rPr>
        <w:t>Note: The 3 respondents with 305(b)</w:t>
      </w:r>
      <w:r w:rsidR="00057F95">
        <w:rPr>
          <w:rFonts w:ascii="Arial" w:hAnsi="Arial" w:cs="Arial"/>
          <w:i/>
          <w:iCs/>
          <w:sz w:val="20"/>
          <w:szCs w:val="20"/>
        </w:rPr>
        <w:t xml:space="preserve"> responsibilities only engage in</w:t>
      </w:r>
      <w:r>
        <w:rPr>
          <w:rFonts w:ascii="Arial" w:hAnsi="Arial" w:cs="Arial"/>
          <w:i/>
          <w:iCs/>
          <w:sz w:val="20"/>
          <w:szCs w:val="20"/>
        </w:rPr>
        <w:t xml:space="preserve"> reporting activities numbered 1, 2, 3, 8, and 9.</w:t>
      </w:r>
    </w:p>
    <w:tbl>
      <w:tblPr>
        <w:tblpPr w:leftFromText="180" w:rightFromText="180" w:vertAnchor="text" w:horzAnchor="margin" w:tblpXSpec="center" w:tblpY="-550"/>
        <w:tblW w:w="13698" w:type="dxa"/>
        <w:tblLook w:val="0000"/>
      </w:tblPr>
      <w:tblGrid>
        <w:gridCol w:w="13698"/>
      </w:tblGrid>
      <w:tr w:rsidR="00991918" w:rsidTr="003708C2">
        <w:trPr>
          <w:trHeight w:val="256"/>
        </w:trPr>
        <w:tc>
          <w:tcPr>
            <w:tcW w:w="13698" w:type="dxa"/>
            <w:tcBorders>
              <w:top w:val="nil"/>
              <w:left w:val="nil"/>
              <w:bottom w:val="nil"/>
              <w:right w:val="nil"/>
            </w:tcBorders>
            <w:shd w:val="clear" w:color="auto" w:fill="auto"/>
            <w:noWrap/>
            <w:vAlign w:val="bottom"/>
          </w:tcPr>
          <w:p w:rsidR="00991918" w:rsidRDefault="00991918" w:rsidP="002A3C77">
            <w:pPr>
              <w:jc w:val="center"/>
              <w:rPr>
                <w:rFonts w:ascii="Arial" w:hAnsi="Arial" w:cs="Arial"/>
                <w:bCs/>
                <w:sz w:val="20"/>
                <w:szCs w:val="20"/>
              </w:rPr>
            </w:pPr>
            <w:r>
              <w:rPr>
                <w:rFonts w:ascii="Arial" w:hAnsi="Arial" w:cs="Arial"/>
                <w:b/>
                <w:bCs/>
                <w:sz w:val="20"/>
                <w:szCs w:val="20"/>
              </w:rPr>
              <w:lastRenderedPageBreak/>
              <w:t xml:space="preserve">Worksheet 2: Cost Estimates for Individual Respondents </w:t>
            </w:r>
            <w:r w:rsidRPr="00991918">
              <w:rPr>
                <w:rFonts w:ascii="Arial" w:hAnsi="Arial" w:cs="Arial"/>
                <w:bCs/>
                <w:sz w:val="20"/>
                <w:szCs w:val="20"/>
              </w:rPr>
              <w:t>(based on a loaded hourly rate of $</w:t>
            </w:r>
            <w:r w:rsidR="00CF10BE">
              <w:rPr>
                <w:rFonts w:ascii="Arial" w:hAnsi="Arial" w:cs="Arial"/>
                <w:bCs/>
                <w:sz w:val="20"/>
                <w:szCs w:val="20"/>
              </w:rPr>
              <w:t>51.78</w:t>
            </w:r>
            <w:r w:rsidRPr="00991918">
              <w:rPr>
                <w:rFonts w:ascii="Arial" w:hAnsi="Arial" w:cs="Arial"/>
                <w:bCs/>
                <w:sz w:val="20"/>
                <w:szCs w:val="20"/>
              </w:rPr>
              <w:t>)</w:t>
            </w:r>
          </w:p>
          <w:p w:rsidR="00D47C20" w:rsidRDefault="00D47C20" w:rsidP="002A3C77">
            <w:pPr>
              <w:jc w:val="center"/>
              <w:rPr>
                <w:rFonts w:ascii="Arial" w:hAnsi="Arial" w:cs="Arial"/>
                <w:b/>
                <w:bCs/>
                <w:sz w:val="20"/>
                <w:szCs w:val="20"/>
              </w:rPr>
            </w:pPr>
          </w:p>
        </w:tc>
      </w:tr>
      <w:tr w:rsidR="00991918" w:rsidTr="003708C2">
        <w:trPr>
          <w:trHeight w:val="256"/>
        </w:trPr>
        <w:tc>
          <w:tcPr>
            <w:tcW w:w="13698" w:type="dxa"/>
            <w:tcBorders>
              <w:top w:val="nil"/>
              <w:left w:val="nil"/>
              <w:bottom w:val="nil"/>
              <w:right w:val="nil"/>
            </w:tcBorders>
            <w:shd w:val="clear" w:color="auto" w:fill="auto"/>
            <w:noWrap/>
            <w:vAlign w:val="bottom"/>
          </w:tcPr>
          <w:tbl>
            <w:tblPr>
              <w:tblW w:w="12060" w:type="dxa"/>
              <w:tblInd w:w="530" w:type="dxa"/>
              <w:tblLook w:val="04A0"/>
            </w:tblPr>
            <w:tblGrid>
              <w:gridCol w:w="270"/>
              <w:gridCol w:w="270"/>
              <w:gridCol w:w="3510"/>
              <w:gridCol w:w="1350"/>
              <w:gridCol w:w="1260"/>
              <w:gridCol w:w="1350"/>
              <w:gridCol w:w="1440"/>
              <w:gridCol w:w="1350"/>
              <w:gridCol w:w="1260"/>
            </w:tblGrid>
            <w:tr w:rsidR="00CF10BE" w:rsidRPr="00CF10BE" w:rsidTr="00D47C20">
              <w:trPr>
                <w:trHeight w:val="255"/>
              </w:trPr>
              <w:tc>
                <w:tcPr>
                  <w:tcW w:w="270" w:type="dxa"/>
                  <w:tcBorders>
                    <w:top w:val="single" w:sz="8" w:space="0" w:color="auto"/>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270" w:type="dxa"/>
                  <w:tcBorders>
                    <w:top w:val="single" w:sz="8" w:space="0" w:color="auto"/>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510" w:type="dxa"/>
                  <w:tcBorders>
                    <w:top w:val="single" w:sz="8" w:space="0" w:color="auto"/>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single" w:sz="8" w:space="0" w:color="auto"/>
                    <w:left w:val="nil"/>
                    <w:bottom w:val="single" w:sz="4" w:space="0" w:color="auto"/>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single" w:sz="8" w:space="0" w:color="auto"/>
                    <w:left w:val="nil"/>
                    <w:bottom w:val="single" w:sz="4" w:space="0" w:color="auto"/>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Burden by Year</w:t>
                  </w:r>
                </w:p>
              </w:tc>
              <w:tc>
                <w:tcPr>
                  <w:tcW w:w="1350" w:type="dxa"/>
                  <w:tcBorders>
                    <w:top w:val="single" w:sz="8" w:space="0" w:color="auto"/>
                    <w:left w:val="nil"/>
                    <w:bottom w:val="single" w:sz="4"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440" w:type="dxa"/>
                  <w:tcBorders>
                    <w:top w:val="single" w:sz="8" w:space="0" w:color="auto"/>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 </w:t>
                  </w:r>
                </w:p>
              </w:tc>
              <w:tc>
                <w:tcPr>
                  <w:tcW w:w="2610" w:type="dxa"/>
                  <w:gridSpan w:val="2"/>
                  <w:tcBorders>
                    <w:top w:val="single" w:sz="8" w:space="0" w:color="auto"/>
                    <w:left w:val="nil"/>
                    <w:bottom w:val="nil"/>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Annual Average</w:t>
                  </w:r>
                </w:p>
              </w:tc>
            </w:tr>
            <w:tr w:rsidR="00CF10BE" w:rsidRPr="00CF10BE" w:rsidTr="00D47C20">
              <w:trPr>
                <w:trHeight w:val="495"/>
              </w:trPr>
              <w:tc>
                <w:tcPr>
                  <w:tcW w:w="4050" w:type="dxa"/>
                  <w:gridSpan w:val="3"/>
                  <w:tcBorders>
                    <w:top w:val="nil"/>
                    <w:left w:val="single" w:sz="8" w:space="0" w:color="auto"/>
                    <w:bottom w:val="single" w:sz="8" w:space="0" w:color="auto"/>
                    <w:right w:val="single" w:sz="8" w:space="0" w:color="000000"/>
                  </w:tcBorders>
                  <w:shd w:val="clear" w:color="auto" w:fill="auto"/>
                  <w:noWrap/>
                  <w:vAlign w:val="center"/>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Respondent Activities</w:t>
                  </w:r>
                </w:p>
              </w:tc>
              <w:tc>
                <w:tcPr>
                  <w:tcW w:w="1350" w:type="dxa"/>
                  <w:tcBorders>
                    <w:top w:val="nil"/>
                    <w:left w:val="nil"/>
                    <w:bottom w:val="single" w:sz="8" w:space="0" w:color="auto"/>
                    <w:right w:val="single" w:sz="4" w:space="0" w:color="auto"/>
                  </w:tcBorders>
                  <w:shd w:val="clear" w:color="auto" w:fill="auto"/>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(10/11-9/12)</w:t>
                  </w:r>
                  <w:r w:rsidRPr="00CF10BE">
                    <w:rPr>
                      <w:rFonts w:ascii="Arial" w:hAnsi="Arial" w:cs="Arial"/>
                      <w:b/>
                      <w:bCs/>
                      <w:sz w:val="16"/>
                      <w:szCs w:val="16"/>
                    </w:rPr>
                    <w:br/>
                    <w:t>Year 1</w:t>
                  </w:r>
                </w:p>
              </w:tc>
              <w:tc>
                <w:tcPr>
                  <w:tcW w:w="1260" w:type="dxa"/>
                  <w:tcBorders>
                    <w:top w:val="nil"/>
                    <w:left w:val="nil"/>
                    <w:bottom w:val="single" w:sz="8" w:space="0" w:color="auto"/>
                    <w:right w:val="single" w:sz="4" w:space="0" w:color="auto"/>
                  </w:tcBorders>
                  <w:shd w:val="clear" w:color="auto" w:fill="auto"/>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(10/12-9/13)</w:t>
                  </w:r>
                  <w:r w:rsidRPr="00CF10BE">
                    <w:rPr>
                      <w:rFonts w:ascii="Arial" w:hAnsi="Arial" w:cs="Arial"/>
                      <w:b/>
                      <w:bCs/>
                      <w:sz w:val="16"/>
                      <w:szCs w:val="16"/>
                    </w:rPr>
                    <w:br/>
                    <w:t>Year 2</w:t>
                  </w:r>
                </w:p>
              </w:tc>
              <w:tc>
                <w:tcPr>
                  <w:tcW w:w="1350" w:type="dxa"/>
                  <w:tcBorders>
                    <w:top w:val="nil"/>
                    <w:left w:val="nil"/>
                    <w:bottom w:val="single" w:sz="8" w:space="0" w:color="auto"/>
                    <w:right w:val="single" w:sz="8" w:space="0" w:color="auto"/>
                  </w:tcBorders>
                  <w:shd w:val="clear" w:color="auto" w:fill="auto"/>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(10/13-9/14)</w:t>
                  </w:r>
                  <w:r w:rsidRPr="00CF10BE">
                    <w:rPr>
                      <w:rFonts w:ascii="Arial" w:hAnsi="Arial" w:cs="Arial"/>
                      <w:b/>
                      <w:bCs/>
                      <w:sz w:val="16"/>
                      <w:szCs w:val="16"/>
                    </w:rPr>
                    <w:br/>
                    <w:t>Year 3</w:t>
                  </w:r>
                </w:p>
              </w:tc>
              <w:tc>
                <w:tcPr>
                  <w:tcW w:w="1440" w:type="dxa"/>
                  <w:tcBorders>
                    <w:top w:val="nil"/>
                    <w:left w:val="nil"/>
                    <w:bottom w:val="single" w:sz="8" w:space="0" w:color="auto"/>
                    <w:right w:val="single" w:sz="4" w:space="0" w:color="auto"/>
                  </w:tcBorders>
                  <w:shd w:val="clear" w:color="auto" w:fill="auto"/>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3-Year</w:t>
                  </w:r>
                  <w:r w:rsidRPr="00CF10BE">
                    <w:rPr>
                      <w:rFonts w:ascii="Arial" w:hAnsi="Arial" w:cs="Arial"/>
                      <w:b/>
                      <w:bCs/>
                      <w:sz w:val="16"/>
                      <w:szCs w:val="16"/>
                    </w:rPr>
                    <w:br/>
                    <w:t>Total</w:t>
                  </w:r>
                </w:p>
              </w:tc>
              <w:tc>
                <w:tcPr>
                  <w:tcW w:w="1350" w:type="dxa"/>
                  <w:tcBorders>
                    <w:top w:val="single" w:sz="4" w:space="0" w:color="auto"/>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Total</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rsidR="00CF10BE" w:rsidRPr="00CF10BE" w:rsidRDefault="00CF10BE" w:rsidP="00CF10BE">
                  <w:pPr>
                    <w:framePr w:hSpace="180" w:wrap="around" w:vAnchor="text" w:hAnchor="margin" w:xAlign="center" w:y="-550"/>
                    <w:widowControl/>
                    <w:autoSpaceDE/>
                    <w:autoSpaceDN/>
                    <w:adjustRightInd/>
                    <w:jc w:val="center"/>
                    <w:rPr>
                      <w:rFonts w:ascii="Arial" w:hAnsi="Arial" w:cs="Arial"/>
                      <w:b/>
                      <w:bCs/>
                      <w:sz w:val="16"/>
                      <w:szCs w:val="16"/>
                    </w:rPr>
                  </w:pPr>
                  <w:r w:rsidRPr="00CF10BE">
                    <w:rPr>
                      <w:rFonts w:ascii="Arial" w:hAnsi="Arial" w:cs="Arial"/>
                      <w:b/>
                      <w:bCs/>
                      <w:sz w:val="16"/>
                      <w:szCs w:val="16"/>
                    </w:rPr>
                    <w:t>Per Respondent</w:t>
                  </w:r>
                </w:p>
              </w:tc>
            </w:tr>
            <w:tr w:rsidR="00CF10BE" w:rsidRPr="00CF10BE" w:rsidTr="00D47C20">
              <w:trPr>
                <w:trHeight w:val="255"/>
              </w:trPr>
              <w:tc>
                <w:tcPr>
                  <w:tcW w:w="4050" w:type="dxa"/>
                  <w:gridSpan w:val="3"/>
                  <w:tcBorders>
                    <w:top w:val="nil"/>
                    <w:left w:val="single" w:sz="8" w:space="0" w:color="auto"/>
                    <w:bottom w:val="nil"/>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305(b) and 303(d) Reporting Activities</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780" w:type="dxa"/>
                  <w:gridSpan w:val="2"/>
                  <w:tcBorders>
                    <w:top w:val="nil"/>
                    <w:left w:val="nil"/>
                    <w:bottom w:val="nil"/>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Existing Program</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ind w:left="-108" w:firstLine="56"/>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1.    Review </w:t>
                  </w:r>
                  <w:proofErr w:type="spellStart"/>
                  <w:r w:rsidRPr="00CF10BE">
                    <w:rPr>
                      <w:rFonts w:ascii="Arial" w:hAnsi="Arial" w:cs="Arial"/>
                      <w:sz w:val="16"/>
                      <w:szCs w:val="16"/>
                    </w:rPr>
                    <w:t>regs</w:t>
                  </w:r>
                  <w:proofErr w:type="spellEnd"/>
                  <w:r w:rsidRPr="00CF10BE">
                    <w:rPr>
                      <w:rFonts w:ascii="Arial" w:hAnsi="Arial" w:cs="Arial"/>
                      <w:sz w:val="16"/>
                      <w:szCs w:val="16"/>
                    </w:rPr>
                    <w:t xml:space="preserve"> and guidance</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384,933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384,933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384,933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1,154,798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384,933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6,524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2.    Plan and coordinate data acquisition</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3,391,072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3,391,072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3,391,072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10,173,217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3,391,072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57,476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3.    Develop/submit 305(b) report and respond to comments</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4,298,413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4,298,413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4,298,413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12,895,239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4,298,413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72,854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4.    Develop, review and update 303(d) listing methodology</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2,409,634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2,409,634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2,409,634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7,228,902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2,409,634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43,029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5.    Prepare 303(d) list </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6,402,493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6,402,493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6,402,493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19,207,480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6,402,493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114,330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6.A. Required public outreach for 303(d) list</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768,415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768,415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768,415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2,305,246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768,415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13,722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7.    Submission of 303(d) list and response to EPA comments</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632,130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632,130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632,130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1,896,391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632,130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11,288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8.    Prepare annual electronic updates</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995,937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995,937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995,937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2,987,810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995,937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16,880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9.     Implement improved benefit cost analysis</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2,107,964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2,107,964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2,107,964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6,323,891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2,107,964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35,728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Subtotal</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21,390,991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21,390,991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21,390,991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64,172,973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21,390,991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371,832 </w:t>
                  </w:r>
                </w:p>
              </w:tc>
            </w:tr>
            <w:tr w:rsidR="00CF10BE" w:rsidRPr="00CF10BE" w:rsidTr="00D47C20">
              <w:trPr>
                <w:trHeight w:val="10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60"/>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270"/>
              </w:trPr>
              <w:tc>
                <w:tcPr>
                  <w:tcW w:w="4050" w:type="dxa"/>
                  <w:gridSpan w:val="3"/>
                  <w:tcBorders>
                    <w:top w:val="nil"/>
                    <w:left w:val="single" w:sz="8" w:space="0" w:color="auto"/>
                    <w:bottom w:val="single" w:sz="8" w:space="0" w:color="auto"/>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Total for 305(b) and 303(d) Reporting Activities</w:t>
                  </w:r>
                </w:p>
              </w:tc>
              <w:tc>
                <w:tcPr>
                  <w:tcW w:w="135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right"/>
                    <w:rPr>
                      <w:rFonts w:ascii="Arial" w:hAnsi="Arial" w:cs="Arial"/>
                      <w:b/>
                      <w:bCs/>
                      <w:sz w:val="16"/>
                      <w:szCs w:val="16"/>
                    </w:rPr>
                  </w:pPr>
                  <w:r w:rsidRPr="00CF10BE">
                    <w:rPr>
                      <w:rFonts w:ascii="Arial" w:hAnsi="Arial" w:cs="Arial"/>
                      <w:b/>
                      <w:bCs/>
                      <w:sz w:val="16"/>
                      <w:szCs w:val="16"/>
                    </w:rPr>
                    <w:t>$21,390,991</w:t>
                  </w:r>
                </w:p>
              </w:tc>
              <w:tc>
                <w:tcPr>
                  <w:tcW w:w="126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right"/>
                    <w:rPr>
                      <w:rFonts w:ascii="Arial" w:hAnsi="Arial" w:cs="Arial"/>
                      <w:b/>
                      <w:bCs/>
                      <w:sz w:val="16"/>
                      <w:szCs w:val="16"/>
                    </w:rPr>
                  </w:pPr>
                  <w:r w:rsidRPr="00CF10BE">
                    <w:rPr>
                      <w:rFonts w:ascii="Arial" w:hAnsi="Arial" w:cs="Arial"/>
                      <w:b/>
                      <w:bCs/>
                      <w:sz w:val="16"/>
                      <w:szCs w:val="16"/>
                    </w:rPr>
                    <w:t>$21,390,991</w:t>
                  </w:r>
                </w:p>
              </w:tc>
              <w:tc>
                <w:tcPr>
                  <w:tcW w:w="1350" w:type="dxa"/>
                  <w:tcBorders>
                    <w:top w:val="nil"/>
                    <w:left w:val="nil"/>
                    <w:bottom w:val="single" w:sz="8"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right"/>
                    <w:rPr>
                      <w:rFonts w:ascii="Arial" w:hAnsi="Arial" w:cs="Arial"/>
                      <w:b/>
                      <w:bCs/>
                      <w:sz w:val="16"/>
                      <w:szCs w:val="16"/>
                    </w:rPr>
                  </w:pPr>
                  <w:r w:rsidRPr="00CF10BE">
                    <w:rPr>
                      <w:rFonts w:ascii="Arial" w:hAnsi="Arial" w:cs="Arial"/>
                      <w:b/>
                      <w:bCs/>
                      <w:sz w:val="16"/>
                      <w:szCs w:val="16"/>
                    </w:rPr>
                    <w:t>$21,390,991</w:t>
                  </w:r>
                </w:p>
              </w:tc>
              <w:tc>
                <w:tcPr>
                  <w:tcW w:w="144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right"/>
                    <w:rPr>
                      <w:rFonts w:ascii="Arial" w:hAnsi="Arial" w:cs="Arial"/>
                      <w:b/>
                      <w:bCs/>
                      <w:sz w:val="16"/>
                      <w:szCs w:val="16"/>
                    </w:rPr>
                  </w:pPr>
                  <w:r w:rsidRPr="00CF10BE">
                    <w:rPr>
                      <w:rFonts w:ascii="Arial" w:hAnsi="Arial" w:cs="Arial"/>
                      <w:b/>
                      <w:bCs/>
                      <w:sz w:val="16"/>
                      <w:szCs w:val="16"/>
                    </w:rPr>
                    <w:t>$64,172,973</w:t>
                  </w:r>
                </w:p>
              </w:tc>
              <w:tc>
                <w:tcPr>
                  <w:tcW w:w="135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right"/>
                    <w:rPr>
                      <w:rFonts w:ascii="Arial" w:hAnsi="Arial" w:cs="Arial"/>
                      <w:b/>
                      <w:bCs/>
                      <w:sz w:val="16"/>
                      <w:szCs w:val="16"/>
                    </w:rPr>
                  </w:pPr>
                  <w:r w:rsidRPr="00CF10BE">
                    <w:rPr>
                      <w:rFonts w:ascii="Arial" w:hAnsi="Arial" w:cs="Arial"/>
                      <w:b/>
                      <w:bCs/>
                      <w:sz w:val="16"/>
                      <w:szCs w:val="16"/>
                    </w:rPr>
                    <w:t>$21,390,991</w:t>
                  </w:r>
                </w:p>
              </w:tc>
              <w:tc>
                <w:tcPr>
                  <w:tcW w:w="1260" w:type="dxa"/>
                  <w:tcBorders>
                    <w:top w:val="nil"/>
                    <w:left w:val="nil"/>
                    <w:bottom w:val="single" w:sz="8"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jc w:val="right"/>
                    <w:rPr>
                      <w:rFonts w:ascii="Arial" w:hAnsi="Arial" w:cs="Arial"/>
                      <w:b/>
                      <w:bCs/>
                      <w:sz w:val="16"/>
                      <w:szCs w:val="16"/>
                    </w:rPr>
                  </w:pPr>
                  <w:r w:rsidRPr="00CF10BE">
                    <w:rPr>
                      <w:rFonts w:ascii="Arial" w:hAnsi="Arial" w:cs="Arial"/>
                      <w:b/>
                      <w:bCs/>
                      <w:sz w:val="16"/>
                      <w:szCs w:val="16"/>
                    </w:rPr>
                    <w:t>$371,832</w:t>
                  </w:r>
                </w:p>
              </w:tc>
            </w:tr>
            <w:tr w:rsidR="00CF10BE" w:rsidRPr="00CF10BE" w:rsidTr="00D47C20">
              <w:trPr>
                <w:trHeight w:val="255"/>
              </w:trPr>
              <w:tc>
                <w:tcPr>
                  <w:tcW w:w="4050" w:type="dxa"/>
                  <w:gridSpan w:val="3"/>
                  <w:tcBorders>
                    <w:top w:val="nil"/>
                    <w:left w:val="single" w:sz="8" w:space="0" w:color="auto"/>
                    <w:bottom w:val="nil"/>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TMDL Activities</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780" w:type="dxa"/>
                  <w:gridSpan w:val="2"/>
                  <w:tcBorders>
                    <w:top w:val="nil"/>
                    <w:left w:val="nil"/>
                    <w:bottom w:val="nil"/>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Existing Program</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25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TMDL Development Activities</w:t>
                  </w:r>
                </w:p>
              </w:tc>
              <w:tc>
                <w:tcPr>
                  <w:tcW w:w="135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172,267,089 </w:t>
                  </w:r>
                </w:p>
              </w:tc>
              <w:tc>
                <w:tcPr>
                  <w:tcW w:w="1260" w:type="dxa"/>
                  <w:tcBorders>
                    <w:top w:val="nil"/>
                    <w:left w:val="single" w:sz="4"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$172,267,089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$172,267,089 </w:t>
                  </w:r>
                </w:p>
              </w:tc>
              <w:tc>
                <w:tcPr>
                  <w:tcW w:w="144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516,801,267 </w:t>
                  </w:r>
                </w:p>
              </w:tc>
              <w:tc>
                <w:tcPr>
                  <w:tcW w:w="135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172,267,089 </w:t>
                  </w:r>
                </w:p>
              </w:tc>
              <w:tc>
                <w:tcPr>
                  <w:tcW w:w="126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xml:space="preserve"> $   3,076,198 </w:t>
                  </w:r>
                </w:p>
              </w:tc>
            </w:tr>
            <w:tr w:rsidR="00CF10BE" w:rsidRPr="00CF10BE" w:rsidTr="00D47C20">
              <w:trPr>
                <w:trHeight w:val="13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1350" w:type="dxa"/>
                  <w:tcBorders>
                    <w:top w:val="nil"/>
                    <w:left w:val="single" w:sz="8" w:space="0" w:color="auto"/>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135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150"/>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r w:rsidR="00CF10BE" w:rsidRPr="00CF10BE" w:rsidTr="00D47C20">
              <w:trPr>
                <w:trHeight w:val="270"/>
              </w:trPr>
              <w:tc>
                <w:tcPr>
                  <w:tcW w:w="4050" w:type="dxa"/>
                  <w:gridSpan w:val="3"/>
                  <w:tcBorders>
                    <w:top w:val="nil"/>
                    <w:left w:val="single" w:sz="8" w:space="0" w:color="auto"/>
                    <w:bottom w:val="double" w:sz="6" w:space="0" w:color="auto"/>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Total for TMDL Activities</w:t>
                  </w:r>
                </w:p>
              </w:tc>
              <w:tc>
                <w:tcPr>
                  <w:tcW w:w="1350" w:type="dxa"/>
                  <w:tcBorders>
                    <w:top w:val="nil"/>
                    <w:left w:val="nil"/>
                    <w:bottom w:val="double" w:sz="6" w:space="0" w:color="auto"/>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172,267,089 </w:t>
                  </w:r>
                </w:p>
              </w:tc>
              <w:tc>
                <w:tcPr>
                  <w:tcW w:w="1260" w:type="dxa"/>
                  <w:tcBorders>
                    <w:top w:val="nil"/>
                    <w:left w:val="single" w:sz="4" w:space="0" w:color="auto"/>
                    <w:bottom w:val="double" w:sz="6" w:space="0" w:color="auto"/>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$172,267,089 </w:t>
                  </w:r>
                </w:p>
              </w:tc>
              <w:tc>
                <w:tcPr>
                  <w:tcW w:w="1350" w:type="dxa"/>
                  <w:tcBorders>
                    <w:top w:val="nil"/>
                    <w:left w:val="single" w:sz="4" w:space="0" w:color="auto"/>
                    <w:bottom w:val="double" w:sz="6"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$172,267,089 </w:t>
                  </w:r>
                </w:p>
              </w:tc>
              <w:tc>
                <w:tcPr>
                  <w:tcW w:w="1440" w:type="dxa"/>
                  <w:tcBorders>
                    <w:top w:val="nil"/>
                    <w:left w:val="nil"/>
                    <w:bottom w:val="double" w:sz="6"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516,801,267 </w:t>
                  </w:r>
                </w:p>
              </w:tc>
              <w:tc>
                <w:tcPr>
                  <w:tcW w:w="1350" w:type="dxa"/>
                  <w:tcBorders>
                    <w:top w:val="nil"/>
                    <w:left w:val="nil"/>
                    <w:bottom w:val="double" w:sz="6"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172,267,089 </w:t>
                  </w:r>
                </w:p>
              </w:tc>
              <w:tc>
                <w:tcPr>
                  <w:tcW w:w="1260" w:type="dxa"/>
                  <w:tcBorders>
                    <w:top w:val="nil"/>
                    <w:left w:val="nil"/>
                    <w:bottom w:val="double" w:sz="6"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3,076,198 </w:t>
                  </w:r>
                </w:p>
              </w:tc>
            </w:tr>
            <w:tr w:rsidR="00CF10BE" w:rsidRPr="00CF10BE" w:rsidTr="00D47C20">
              <w:trPr>
                <w:trHeight w:val="135"/>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r>
            <w:tr w:rsidR="00CF10BE" w:rsidRPr="00CF10BE" w:rsidTr="00D47C20">
              <w:trPr>
                <w:trHeight w:val="120"/>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44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r>
            <w:tr w:rsidR="00CF10BE" w:rsidRPr="00CF10BE" w:rsidTr="00D47C20">
              <w:trPr>
                <w:trHeight w:val="255"/>
              </w:trPr>
              <w:tc>
                <w:tcPr>
                  <w:tcW w:w="4050" w:type="dxa"/>
                  <w:gridSpan w:val="3"/>
                  <w:tcBorders>
                    <w:top w:val="nil"/>
                    <w:left w:val="single" w:sz="8" w:space="0" w:color="auto"/>
                    <w:bottom w:val="nil"/>
                    <w:right w:val="single" w:sz="8" w:space="0" w:color="000000"/>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Total Burden for Existing Program Activities</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193,658,080 </w:t>
                  </w:r>
                </w:p>
              </w:tc>
              <w:tc>
                <w:tcPr>
                  <w:tcW w:w="126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$193,658,080 </w:t>
                  </w:r>
                </w:p>
              </w:tc>
              <w:tc>
                <w:tcPr>
                  <w:tcW w:w="135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$193,658,080 </w:t>
                  </w:r>
                </w:p>
              </w:tc>
              <w:tc>
                <w:tcPr>
                  <w:tcW w:w="144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580,974,241 </w:t>
                  </w:r>
                </w:p>
              </w:tc>
              <w:tc>
                <w:tcPr>
                  <w:tcW w:w="135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193,658,080 </w:t>
                  </w:r>
                </w:p>
              </w:tc>
              <w:tc>
                <w:tcPr>
                  <w:tcW w:w="126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xml:space="preserve"> $   3,448,030 </w:t>
                  </w:r>
                </w:p>
              </w:tc>
            </w:tr>
            <w:tr w:rsidR="00CF10BE" w:rsidRPr="00CF10BE" w:rsidTr="00D47C20">
              <w:trPr>
                <w:trHeight w:val="120"/>
              </w:trPr>
              <w:tc>
                <w:tcPr>
                  <w:tcW w:w="270" w:type="dxa"/>
                  <w:tcBorders>
                    <w:top w:val="nil"/>
                    <w:left w:val="single" w:sz="8"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27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p>
              </w:tc>
              <w:tc>
                <w:tcPr>
                  <w:tcW w:w="3510" w:type="dxa"/>
                  <w:tcBorders>
                    <w:top w:val="nil"/>
                    <w:left w:val="nil"/>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44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350" w:type="dxa"/>
                  <w:tcBorders>
                    <w:top w:val="nil"/>
                    <w:left w:val="single" w:sz="4" w:space="0" w:color="auto"/>
                    <w:bottom w:val="nil"/>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c>
                <w:tcPr>
                  <w:tcW w:w="1260" w:type="dxa"/>
                  <w:tcBorders>
                    <w:top w:val="nil"/>
                    <w:left w:val="single" w:sz="4" w:space="0" w:color="auto"/>
                    <w:bottom w:val="nil"/>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b/>
                      <w:bCs/>
                      <w:sz w:val="16"/>
                      <w:szCs w:val="16"/>
                    </w:rPr>
                  </w:pPr>
                  <w:r w:rsidRPr="00CF10BE">
                    <w:rPr>
                      <w:rFonts w:ascii="Arial" w:hAnsi="Arial" w:cs="Arial"/>
                      <w:b/>
                      <w:bCs/>
                      <w:sz w:val="16"/>
                      <w:szCs w:val="16"/>
                    </w:rPr>
                    <w:t> </w:t>
                  </w:r>
                </w:p>
              </w:tc>
            </w:tr>
            <w:tr w:rsidR="00CF10BE" w:rsidRPr="00CF10BE" w:rsidTr="00D47C20">
              <w:trPr>
                <w:trHeight w:val="90"/>
              </w:trPr>
              <w:tc>
                <w:tcPr>
                  <w:tcW w:w="270" w:type="dxa"/>
                  <w:tcBorders>
                    <w:top w:val="nil"/>
                    <w:left w:val="single" w:sz="8" w:space="0" w:color="auto"/>
                    <w:bottom w:val="single" w:sz="8" w:space="0" w:color="auto"/>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270" w:type="dxa"/>
                  <w:tcBorders>
                    <w:top w:val="nil"/>
                    <w:left w:val="nil"/>
                    <w:bottom w:val="single" w:sz="8" w:space="0" w:color="auto"/>
                    <w:right w:val="nil"/>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3510" w:type="dxa"/>
                  <w:tcBorders>
                    <w:top w:val="nil"/>
                    <w:left w:val="nil"/>
                    <w:bottom w:val="single" w:sz="8"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single" w:sz="8"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44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c>
                <w:tcPr>
                  <w:tcW w:w="1260" w:type="dxa"/>
                  <w:tcBorders>
                    <w:top w:val="nil"/>
                    <w:left w:val="nil"/>
                    <w:bottom w:val="single" w:sz="8" w:space="0" w:color="auto"/>
                    <w:right w:val="single" w:sz="8" w:space="0" w:color="auto"/>
                  </w:tcBorders>
                  <w:shd w:val="clear" w:color="auto" w:fill="auto"/>
                  <w:noWrap/>
                  <w:vAlign w:val="bottom"/>
                  <w:hideMark/>
                </w:tcPr>
                <w:p w:rsidR="00CF10BE" w:rsidRPr="00CF10BE" w:rsidRDefault="00CF10BE" w:rsidP="00CF10BE">
                  <w:pPr>
                    <w:framePr w:hSpace="180" w:wrap="around" w:vAnchor="text" w:hAnchor="margin" w:xAlign="center" w:y="-550"/>
                    <w:widowControl/>
                    <w:autoSpaceDE/>
                    <w:autoSpaceDN/>
                    <w:adjustRightInd/>
                    <w:rPr>
                      <w:rFonts w:ascii="Arial" w:hAnsi="Arial" w:cs="Arial"/>
                      <w:sz w:val="16"/>
                      <w:szCs w:val="16"/>
                    </w:rPr>
                  </w:pPr>
                  <w:r w:rsidRPr="00CF10BE">
                    <w:rPr>
                      <w:rFonts w:ascii="Arial" w:hAnsi="Arial" w:cs="Arial"/>
                      <w:sz w:val="16"/>
                      <w:szCs w:val="16"/>
                    </w:rPr>
                    <w:t> </w:t>
                  </w:r>
                </w:p>
              </w:tc>
            </w:tr>
          </w:tbl>
          <w:p w:rsidR="00991918" w:rsidRDefault="00991918" w:rsidP="00991918">
            <w:pPr>
              <w:rPr>
                <w:rFonts w:ascii="Arial" w:hAnsi="Arial" w:cs="Arial"/>
                <w:b/>
                <w:bCs/>
                <w:sz w:val="20"/>
                <w:szCs w:val="20"/>
              </w:rPr>
            </w:pPr>
          </w:p>
        </w:tc>
      </w:tr>
    </w:tbl>
    <w:p w:rsidR="00D47C20" w:rsidRDefault="00D47C20" w:rsidP="003708C2">
      <w:pPr>
        <w:widowControl/>
        <w:numPr>
          <w:ilvl w:val="12"/>
          <w:numId w:val="0"/>
        </w:numPr>
        <w:tabs>
          <w:tab w:val="left" w:pos="720"/>
          <w:tab w:val="left" w:pos="1440"/>
          <w:tab w:val="left" w:pos="2160"/>
          <w:tab w:val="left" w:pos="2880"/>
          <w:tab w:val="right" w:pos="6655"/>
        </w:tabs>
        <w:rPr>
          <w:rFonts w:ascii="Arial" w:hAnsi="Arial" w:cs="Arial"/>
          <w:i/>
          <w:iCs/>
          <w:sz w:val="20"/>
          <w:szCs w:val="20"/>
        </w:rPr>
      </w:pPr>
    </w:p>
    <w:p w:rsidR="00D47C20" w:rsidRDefault="00D47C20" w:rsidP="003708C2">
      <w:pPr>
        <w:widowControl/>
        <w:numPr>
          <w:ilvl w:val="12"/>
          <w:numId w:val="0"/>
        </w:numPr>
        <w:tabs>
          <w:tab w:val="left" w:pos="720"/>
          <w:tab w:val="left" w:pos="1440"/>
          <w:tab w:val="left" w:pos="2160"/>
          <w:tab w:val="left" w:pos="2880"/>
          <w:tab w:val="right" w:pos="6655"/>
        </w:tabs>
        <w:rPr>
          <w:rFonts w:ascii="Arial" w:hAnsi="Arial" w:cs="Arial"/>
          <w:i/>
          <w:iCs/>
          <w:sz w:val="20"/>
          <w:szCs w:val="20"/>
        </w:rPr>
      </w:pPr>
    </w:p>
    <w:p w:rsidR="00D47C20" w:rsidRDefault="00D47C20" w:rsidP="003708C2">
      <w:pPr>
        <w:widowControl/>
        <w:numPr>
          <w:ilvl w:val="12"/>
          <w:numId w:val="0"/>
        </w:numPr>
        <w:tabs>
          <w:tab w:val="left" w:pos="720"/>
          <w:tab w:val="left" w:pos="1440"/>
          <w:tab w:val="left" w:pos="2160"/>
          <w:tab w:val="left" w:pos="2880"/>
          <w:tab w:val="right" w:pos="6655"/>
        </w:tabs>
        <w:rPr>
          <w:rFonts w:ascii="Arial" w:hAnsi="Arial" w:cs="Arial"/>
          <w:i/>
          <w:iCs/>
          <w:sz w:val="20"/>
          <w:szCs w:val="20"/>
        </w:rPr>
      </w:pPr>
    </w:p>
    <w:p w:rsidR="003708C2" w:rsidRDefault="00D47C20" w:rsidP="003708C2">
      <w:pPr>
        <w:widowControl/>
        <w:numPr>
          <w:ilvl w:val="12"/>
          <w:numId w:val="0"/>
        </w:numPr>
        <w:tabs>
          <w:tab w:val="left" w:pos="720"/>
          <w:tab w:val="left" w:pos="1440"/>
          <w:tab w:val="left" w:pos="2160"/>
          <w:tab w:val="left" w:pos="2880"/>
          <w:tab w:val="right" w:pos="6655"/>
        </w:tabs>
        <w:rPr>
          <w:rFonts w:ascii="Arial" w:hAnsi="Arial" w:cs="Arial"/>
        </w:rPr>
      </w:pPr>
      <w:r>
        <w:rPr>
          <w:rFonts w:ascii="Arial" w:hAnsi="Arial" w:cs="Arial"/>
          <w:i/>
          <w:iCs/>
          <w:sz w:val="20"/>
          <w:szCs w:val="20"/>
        </w:rPr>
        <w:tab/>
      </w:r>
      <w:r w:rsidR="003708C2">
        <w:rPr>
          <w:rFonts w:ascii="Arial" w:hAnsi="Arial" w:cs="Arial"/>
          <w:i/>
          <w:iCs/>
          <w:sz w:val="20"/>
          <w:szCs w:val="20"/>
        </w:rPr>
        <w:t>Note: The 3 respondents with 305(b) responsibilities only engage in reporting activities numbered 1, 2, 3, 8, and 9.</w:t>
      </w:r>
    </w:p>
    <w:p w:rsidR="00991918" w:rsidRDefault="00991918" w:rsidP="00AA1CD5">
      <w:pPr>
        <w:widowControl/>
        <w:numPr>
          <w:ilvl w:val="12"/>
          <w:numId w:val="0"/>
        </w:numPr>
        <w:tabs>
          <w:tab w:val="left" w:pos="720"/>
          <w:tab w:val="left" w:pos="1440"/>
          <w:tab w:val="left" w:pos="2160"/>
          <w:tab w:val="left" w:pos="2880"/>
          <w:tab w:val="right" w:pos="6655"/>
        </w:tabs>
        <w:jc w:val="center"/>
        <w:rPr>
          <w:sz w:val="22"/>
          <w:szCs w:val="22"/>
        </w:rPr>
      </w:pPr>
    </w:p>
    <w:p w:rsidR="003632DC" w:rsidRDefault="003632DC" w:rsidP="003632DC">
      <w:pPr>
        <w:widowControl/>
        <w:numPr>
          <w:ilvl w:val="12"/>
          <w:numId w:val="0"/>
        </w:numPr>
        <w:tabs>
          <w:tab w:val="left" w:pos="720"/>
          <w:tab w:val="left" w:pos="1440"/>
          <w:tab w:val="left" w:pos="2160"/>
          <w:tab w:val="left" w:pos="2880"/>
          <w:tab w:val="right" w:pos="6655"/>
        </w:tabs>
        <w:rPr>
          <w:sz w:val="22"/>
          <w:szCs w:val="22"/>
        </w:rPr>
      </w:pPr>
    </w:p>
    <w:p w:rsidR="00AA1CD5" w:rsidRPr="003632DC" w:rsidRDefault="00AA1CD5" w:rsidP="003632DC">
      <w:pPr>
        <w:widowControl/>
        <w:numPr>
          <w:ilvl w:val="12"/>
          <w:numId w:val="0"/>
        </w:numPr>
        <w:tabs>
          <w:tab w:val="left" w:pos="720"/>
          <w:tab w:val="left" w:pos="1440"/>
          <w:tab w:val="left" w:pos="2160"/>
          <w:tab w:val="left" w:pos="2880"/>
          <w:tab w:val="right" w:pos="6655"/>
        </w:tabs>
        <w:jc w:val="center"/>
        <w:rPr>
          <w:rFonts w:ascii="Arial" w:hAnsi="Arial" w:cs="Arial"/>
          <w:sz w:val="20"/>
          <w:szCs w:val="20"/>
        </w:rPr>
      </w:pPr>
      <w:r w:rsidRPr="003632DC">
        <w:rPr>
          <w:rFonts w:ascii="Arial" w:hAnsi="Arial" w:cs="Arial"/>
          <w:b/>
          <w:bCs/>
          <w:sz w:val="20"/>
          <w:szCs w:val="20"/>
        </w:rPr>
        <w:t>Worksheet 3: Estimates of Agency Burden</w:t>
      </w:r>
    </w:p>
    <w:p w:rsidR="00BF553A" w:rsidRDefault="00BF553A" w:rsidP="00AA1CD5">
      <w:pPr>
        <w:widowControl/>
        <w:numPr>
          <w:ilvl w:val="12"/>
          <w:numId w:val="0"/>
        </w:numPr>
        <w:tabs>
          <w:tab w:val="left" w:pos="720"/>
          <w:tab w:val="left" w:pos="1440"/>
          <w:tab w:val="left" w:pos="2160"/>
          <w:tab w:val="left" w:pos="2880"/>
          <w:tab w:val="right" w:pos="6655"/>
        </w:tabs>
        <w:jc w:val="center"/>
        <w:rPr>
          <w:rFonts w:ascii="Arial" w:hAnsi="Arial" w:cs="Arial"/>
        </w:rPr>
      </w:pPr>
    </w:p>
    <w:tbl>
      <w:tblPr>
        <w:tblW w:w="0" w:type="auto"/>
        <w:tblLayout w:type="fixed"/>
        <w:tblCellMar>
          <w:left w:w="0" w:type="dxa"/>
          <w:right w:w="0" w:type="dxa"/>
        </w:tblCellMar>
        <w:tblLook w:val="0000"/>
      </w:tblPr>
      <w:tblGrid>
        <w:gridCol w:w="282"/>
        <w:gridCol w:w="237"/>
        <w:gridCol w:w="4464"/>
        <w:gridCol w:w="1274"/>
        <w:gridCol w:w="1274"/>
        <w:gridCol w:w="1274"/>
        <w:gridCol w:w="1274"/>
        <w:gridCol w:w="1274"/>
        <w:gridCol w:w="1274"/>
      </w:tblGrid>
      <w:tr w:rsidR="00AA1CD5" w:rsidTr="00367792">
        <w:trPr>
          <w:trHeight w:hRule="exact" w:val="316"/>
        </w:trPr>
        <w:tc>
          <w:tcPr>
            <w:tcW w:w="282" w:type="dxa"/>
          </w:tcPr>
          <w:p w:rsidR="00AA1CD5" w:rsidRDefault="00AA1CD5" w:rsidP="00AA1CD5">
            <w:pPr>
              <w:widowControl/>
              <w:numPr>
                <w:ilvl w:val="12"/>
                <w:numId w:val="0"/>
              </w:numPr>
              <w:spacing w:before="22" w:after="25"/>
              <w:jc w:val="center"/>
              <w:rPr>
                <w:sz w:val="20"/>
                <w:szCs w:val="20"/>
              </w:rPr>
            </w:pPr>
          </w:p>
        </w:tc>
        <w:tc>
          <w:tcPr>
            <w:tcW w:w="237" w:type="dxa"/>
          </w:tcPr>
          <w:p w:rsidR="00AA1CD5" w:rsidRDefault="00AA1CD5" w:rsidP="00AA1CD5">
            <w:pPr>
              <w:widowControl/>
              <w:numPr>
                <w:ilvl w:val="12"/>
                <w:numId w:val="0"/>
              </w:numPr>
              <w:spacing w:before="22" w:after="25"/>
              <w:jc w:val="center"/>
              <w:rPr>
                <w:sz w:val="20"/>
                <w:szCs w:val="20"/>
              </w:rPr>
            </w:pPr>
          </w:p>
        </w:tc>
        <w:tc>
          <w:tcPr>
            <w:tcW w:w="4464" w:type="dxa"/>
          </w:tcPr>
          <w:p w:rsidR="00AA1CD5" w:rsidRDefault="00AA1CD5" w:rsidP="00AA1CD5">
            <w:pPr>
              <w:widowControl/>
              <w:numPr>
                <w:ilvl w:val="12"/>
                <w:numId w:val="0"/>
              </w:numPr>
              <w:tabs>
                <w:tab w:val="left" w:pos="720"/>
                <w:tab w:val="left" w:pos="1440"/>
                <w:tab w:val="left" w:pos="2160"/>
                <w:tab w:val="left" w:pos="2880"/>
              </w:tabs>
              <w:spacing w:before="22" w:after="25"/>
              <w:jc w:val="center"/>
              <w:rPr>
                <w:sz w:val="20"/>
                <w:szCs w:val="20"/>
              </w:rPr>
            </w:pPr>
          </w:p>
        </w:tc>
        <w:tc>
          <w:tcPr>
            <w:tcW w:w="3822" w:type="dxa"/>
            <w:gridSpan w:val="3"/>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20"/>
                <w:szCs w:val="20"/>
              </w:rPr>
              <w:t>Burden by Year (Hours)</w:t>
            </w:r>
          </w:p>
        </w:tc>
        <w:tc>
          <w:tcPr>
            <w:tcW w:w="1274" w:type="dxa"/>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3-Year</w:t>
            </w:r>
          </w:p>
        </w:tc>
        <w:tc>
          <w:tcPr>
            <w:tcW w:w="2548" w:type="dxa"/>
            <w:gridSpan w:val="2"/>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Annual Average</w:t>
            </w:r>
          </w:p>
        </w:tc>
      </w:tr>
      <w:tr w:rsidR="00AA1CD5" w:rsidTr="00367792">
        <w:trPr>
          <w:trHeight w:hRule="exact" w:val="580"/>
        </w:trPr>
        <w:tc>
          <w:tcPr>
            <w:tcW w:w="4983" w:type="dxa"/>
            <w:gridSpan w:val="3"/>
          </w:tcPr>
          <w:p w:rsidR="00AA1CD5" w:rsidRDefault="00AA1CD5" w:rsidP="00AA1CD5">
            <w:pPr>
              <w:widowControl/>
              <w:numPr>
                <w:ilvl w:val="12"/>
                <w:numId w:val="0"/>
              </w:numPr>
              <w:spacing w:before="22" w:after="25"/>
              <w:jc w:val="center"/>
              <w:rPr>
                <w:sz w:val="20"/>
                <w:szCs w:val="20"/>
              </w:rPr>
            </w:pPr>
            <w:r>
              <w:rPr>
                <w:rFonts w:ascii="Arial" w:hAnsi="Arial" w:cs="Arial"/>
                <w:b/>
                <w:bCs/>
                <w:sz w:val="20"/>
                <w:szCs w:val="20"/>
              </w:rPr>
              <w:t>Respondent Activities</w:t>
            </w:r>
          </w:p>
        </w:tc>
        <w:tc>
          <w:tcPr>
            <w:tcW w:w="1274" w:type="dxa"/>
          </w:tcPr>
          <w:p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Year 1</w:t>
            </w:r>
          </w:p>
          <w:p w:rsidR="00AA1CD5" w:rsidRDefault="0085589D" w:rsidP="00AA1CD5">
            <w:pPr>
              <w:widowControl/>
              <w:numPr>
                <w:ilvl w:val="12"/>
                <w:numId w:val="0"/>
              </w:numPr>
              <w:tabs>
                <w:tab w:val="left" w:pos="720"/>
              </w:tabs>
              <w:spacing w:after="25"/>
              <w:jc w:val="center"/>
              <w:rPr>
                <w:sz w:val="18"/>
                <w:szCs w:val="18"/>
              </w:rPr>
            </w:pPr>
            <w:r>
              <w:rPr>
                <w:rFonts w:ascii="Arial" w:hAnsi="Arial" w:cs="Arial"/>
                <w:b/>
                <w:bCs/>
                <w:sz w:val="18"/>
                <w:szCs w:val="18"/>
              </w:rPr>
              <w:t>(10/11-9/12</w:t>
            </w:r>
            <w:r w:rsidR="00AA1CD5">
              <w:rPr>
                <w:rFonts w:ascii="Arial" w:hAnsi="Arial" w:cs="Arial"/>
                <w:b/>
                <w:bCs/>
                <w:sz w:val="18"/>
                <w:szCs w:val="18"/>
              </w:rPr>
              <w:t>)</w:t>
            </w:r>
          </w:p>
        </w:tc>
        <w:tc>
          <w:tcPr>
            <w:tcW w:w="1274" w:type="dxa"/>
          </w:tcPr>
          <w:p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Year 2</w:t>
            </w:r>
          </w:p>
          <w:p w:rsidR="00AA1CD5" w:rsidRDefault="0085589D" w:rsidP="00AA1CD5">
            <w:pPr>
              <w:widowControl/>
              <w:numPr>
                <w:ilvl w:val="12"/>
                <w:numId w:val="0"/>
              </w:numPr>
              <w:tabs>
                <w:tab w:val="left" w:pos="720"/>
              </w:tabs>
              <w:spacing w:after="25"/>
              <w:jc w:val="center"/>
              <w:rPr>
                <w:sz w:val="18"/>
                <w:szCs w:val="18"/>
              </w:rPr>
            </w:pPr>
            <w:r>
              <w:rPr>
                <w:rFonts w:ascii="Arial" w:hAnsi="Arial" w:cs="Arial"/>
                <w:b/>
                <w:bCs/>
                <w:sz w:val="18"/>
                <w:szCs w:val="18"/>
              </w:rPr>
              <w:t>(10/12-9/13</w:t>
            </w:r>
            <w:r w:rsidR="00AA1CD5">
              <w:rPr>
                <w:rFonts w:ascii="Arial" w:hAnsi="Arial" w:cs="Arial"/>
                <w:b/>
                <w:bCs/>
                <w:sz w:val="18"/>
                <w:szCs w:val="18"/>
              </w:rPr>
              <w:t>)</w:t>
            </w:r>
          </w:p>
        </w:tc>
        <w:tc>
          <w:tcPr>
            <w:tcW w:w="1274" w:type="dxa"/>
          </w:tcPr>
          <w:p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Year 3</w:t>
            </w:r>
          </w:p>
          <w:p w:rsidR="00AA1CD5" w:rsidRDefault="0085589D" w:rsidP="00AA1CD5">
            <w:pPr>
              <w:widowControl/>
              <w:numPr>
                <w:ilvl w:val="12"/>
                <w:numId w:val="0"/>
              </w:numPr>
              <w:tabs>
                <w:tab w:val="left" w:pos="720"/>
              </w:tabs>
              <w:spacing w:after="25"/>
              <w:jc w:val="center"/>
              <w:rPr>
                <w:sz w:val="18"/>
                <w:szCs w:val="18"/>
              </w:rPr>
            </w:pPr>
            <w:r>
              <w:rPr>
                <w:rFonts w:ascii="Arial" w:hAnsi="Arial" w:cs="Arial"/>
                <w:b/>
                <w:bCs/>
                <w:sz w:val="18"/>
                <w:szCs w:val="18"/>
              </w:rPr>
              <w:t>(10/13-9/14</w:t>
            </w:r>
            <w:r w:rsidR="00AA1CD5">
              <w:rPr>
                <w:rFonts w:ascii="Arial" w:hAnsi="Arial" w:cs="Arial"/>
                <w:b/>
                <w:bCs/>
                <w:sz w:val="18"/>
                <w:szCs w:val="18"/>
              </w:rPr>
              <w:t>)</w:t>
            </w:r>
          </w:p>
        </w:tc>
        <w:tc>
          <w:tcPr>
            <w:tcW w:w="1274" w:type="dxa"/>
          </w:tcPr>
          <w:p w:rsidR="00AA1CD5" w:rsidRDefault="00AA1CD5" w:rsidP="00AA1CD5">
            <w:pPr>
              <w:widowControl/>
              <w:numPr>
                <w:ilvl w:val="12"/>
                <w:numId w:val="0"/>
              </w:numPr>
              <w:tabs>
                <w:tab w:val="left" w:pos="720"/>
              </w:tabs>
              <w:spacing w:before="22"/>
              <w:jc w:val="center"/>
              <w:rPr>
                <w:rFonts w:ascii="Arial" w:hAnsi="Arial" w:cs="Arial"/>
                <w:b/>
                <w:bCs/>
                <w:sz w:val="18"/>
                <w:szCs w:val="18"/>
              </w:rPr>
            </w:pPr>
            <w:r>
              <w:rPr>
                <w:rFonts w:ascii="Arial" w:hAnsi="Arial" w:cs="Arial"/>
                <w:b/>
                <w:bCs/>
                <w:sz w:val="18"/>
                <w:szCs w:val="18"/>
              </w:rPr>
              <w:t>Total</w:t>
            </w:r>
          </w:p>
          <w:p w:rsidR="00AA1CD5" w:rsidRDefault="00AA1CD5" w:rsidP="00AA1CD5">
            <w:pPr>
              <w:widowControl/>
              <w:numPr>
                <w:ilvl w:val="12"/>
                <w:numId w:val="0"/>
              </w:numPr>
              <w:tabs>
                <w:tab w:val="left" w:pos="720"/>
              </w:tabs>
              <w:spacing w:after="25"/>
              <w:jc w:val="center"/>
              <w:rPr>
                <w:sz w:val="18"/>
                <w:szCs w:val="18"/>
              </w:rPr>
            </w:pPr>
            <w:r>
              <w:rPr>
                <w:rFonts w:ascii="Arial" w:hAnsi="Arial" w:cs="Arial"/>
                <w:b/>
                <w:bCs/>
                <w:sz w:val="18"/>
                <w:szCs w:val="18"/>
              </w:rPr>
              <w:t xml:space="preserve"> (</w:t>
            </w:r>
            <w:r w:rsidR="0085589D">
              <w:rPr>
                <w:rFonts w:ascii="Arial" w:hAnsi="Arial" w:cs="Arial"/>
                <w:b/>
                <w:bCs/>
                <w:sz w:val="18"/>
                <w:szCs w:val="18"/>
              </w:rPr>
              <w:t>10/11-9/14</w:t>
            </w:r>
            <w:r w:rsidR="00057F95">
              <w:rPr>
                <w:rFonts w:ascii="Arial" w:hAnsi="Arial" w:cs="Arial"/>
                <w:b/>
                <w:bCs/>
                <w:sz w:val="18"/>
                <w:szCs w:val="18"/>
              </w:rPr>
              <w:t>)</w:t>
            </w:r>
          </w:p>
        </w:tc>
        <w:tc>
          <w:tcPr>
            <w:tcW w:w="1274" w:type="dxa"/>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Total</w:t>
            </w:r>
          </w:p>
        </w:tc>
        <w:tc>
          <w:tcPr>
            <w:tcW w:w="1274" w:type="dxa"/>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Per Respondent</w:t>
            </w:r>
          </w:p>
        </w:tc>
      </w:tr>
      <w:tr w:rsidR="00AA1CD5" w:rsidTr="00367792">
        <w:trPr>
          <w:trHeight w:hRule="exact" w:val="316"/>
        </w:trPr>
        <w:tc>
          <w:tcPr>
            <w:tcW w:w="4983" w:type="dxa"/>
            <w:gridSpan w:val="3"/>
          </w:tcPr>
          <w:p w:rsidR="00AA1CD5" w:rsidRDefault="00AA1CD5" w:rsidP="00AA1CD5">
            <w:pPr>
              <w:widowControl/>
              <w:numPr>
                <w:ilvl w:val="12"/>
                <w:numId w:val="0"/>
              </w:numPr>
              <w:spacing w:before="22" w:after="25"/>
              <w:rPr>
                <w:sz w:val="20"/>
                <w:szCs w:val="20"/>
              </w:rPr>
            </w:pPr>
            <w:r>
              <w:rPr>
                <w:rFonts w:ascii="Arial" w:hAnsi="Arial" w:cs="Arial"/>
                <w:b/>
                <w:bCs/>
                <w:sz w:val="20"/>
                <w:szCs w:val="20"/>
              </w:rPr>
              <w:t>305(b) and 303(d) Reporting Activities</w:t>
            </w:r>
          </w:p>
        </w:tc>
        <w:tc>
          <w:tcPr>
            <w:tcW w:w="1274" w:type="dxa"/>
          </w:tcPr>
          <w:p w:rsidR="00AA1CD5" w:rsidRDefault="00AA1CD5" w:rsidP="00AA1CD5">
            <w:pPr>
              <w:widowControl/>
              <w:numPr>
                <w:ilvl w:val="12"/>
                <w:numId w:val="0"/>
              </w:numPr>
              <w:tabs>
                <w:tab w:val="left" w:pos="720"/>
              </w:tabs>
              <w:spacing w:before="22" w:after="25"/>
              <w:jc w:val="right"/>
              <w:rPr>
                <w:sz w:val="20"/>
                <w:szCs w:val="20"/>
              </w:rPr>
            </w:pPr>
          </w:p>
        </w:tc>
        <w:tc>
          <w:tcPr>
            <w:tcW w:w="1274" w:type="dxa"/>
          </w:tcPr>
          <w:p w:rsidR="00AA1CD5" w:rsidRDefault="00AA1CD5" w:rsidP="00AA1CD5">
            <w:pPr>
              <w:widowControl/>
              <w:numPr>
                <w:ilvl w:val="12"/>
                <w:numId w:val="0"/>
              </w:numPr>
              <w:tabs>
                <w:tab w:val="left" w:pos="720"/>
              </w:tabs>
              <w:spacing w:before="22" w:after="25"/>
              <w:jc w:val="right"/>
              <w:rPr>
                <w:sz w:val="20"/>
                <w:szCs w:val="20"/>
              </w:rPr>
            </w:pPr>
          </w:p>
        </w:tc>
        <w:tc>
          <w:tcPr>
            <w:tcW w:w="1274" w:type="dxa"/>
          </w:tcPr>
          <w:p w:rsidR="00AA1CD5" w:rsidRDefault="00AA1CD5" w:rsidP="00AA1CD5">
            <w:pPr>
              <w:widowControl/>
              <w:numPr>
                <w:ilvl w:val="12"/>
                <w:numId w:val="0"/>
              </w:numPr>
              <w:tabs>
                <w:tab w:val="left" w:pos="720"/>
              </w:tabs>
              <w:spacing w:before="22" w:after="25"/>
              <w:jc w:val="right"/>
              <w:rPr>
                <w:sz w:val="20"/>
                <w:szCs w:val="20"/>
              </w:rPr>
            </w:pPr>
          </w:p>
        </w:tc>
        <w:tc>
          <w:tcPr>
            <w:tcW w:w="1274" w:type="dxa"/>
          </w:tcPr>
          <w:p w:rsidR="00AA1CD5" w:rsidRDefault="00AA1CD5" w:rsidP="00AA1CD5">
            <w:pPr>
              <w:widowControl/>
              <w:numPr>
                <w:ilvl w:val="12"/>
                <w:numId w:val="0"/>
              </w:numPr>
              <w:tabs>
                <w:tab w:val="left" w:pos="720"/>
              </w:tabs>
              <w:spacing w:before="22" w:after="25"/>
              <w:jc w:val="right"/>
              <w:rPr>
                <w:sz w:val="20"/>
                <w:szCs w:val="20"/>
              </w:rPr>
            </w:pPr>
          </w:p>
        </w:tc>
        <w:tc>
          <w:tcPr>
            <w:tcW w:w="1274" w:type="dxa"/>
          </w:tcPr>
          <w:p w:rsidR="00AA1CD5" w:rsidRDefault="00AA1CD5" w:rsidP="00AA1CD5">
            <w:pPr>
              <w:widowControl/>
              <w:numPr>
                <w:ilvl w:val="12"/>
                <w:numId w:val="0"/>
              </w:numPr>
              <w:tabs>
                <w:tab w:val="left" w:pos="720"/>
              </w:tabs>
              <w:spacing w:before="22" w:after="25"/>
              <w:jc w:val="right"/>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1.   Write 305(b) guidance</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40</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40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40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120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40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2.   Prepare Report to Congress</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2,080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2,080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2,080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6,240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2,080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3.   Review draft 305(b) reports</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590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590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590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1,770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590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4.   Review final 305(b) reports</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177</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177</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177</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531</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177</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5.   Review annual electronic updates of State databases</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800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800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800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2,400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800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6.   Assist States with ADB indexing</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3,328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3,328</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3,328</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9,984</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3,328</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DC71B1"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7.   Maintain national ADB</w:t>
            </w:r>
            <w:r w:rsidR="00AA1CD5">
              <w:rPr>
                <w:rFonts w:ascii="Arial" w:hAnsi="Arial" w:cs="Arial"/>
                <w:sz w:val="20"/>
                <w:szCs w:val="20"/>
              </w:rPr>
              <w:t xml:space="preserve"> database</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1,040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1,040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1,040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3,120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1,040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8.   Prepare 303(d) guidance</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62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62</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62</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186</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62</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9.  Provide technical assistance to States for 303(d)</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236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236</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708</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10.  Review draft 303(d) lists</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236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236</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708</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236</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11.  Review final 303(d) lists and resolve disapprovals</w:t>
            </w:r>
          </w:p>
        </w:tc>
        <w:tc>
          <w:tcPr>
            <w:tcW w:w="1274" w:type="dxa"/>
            <w:tcBorders>
              <w:top w:val="nil"/>
              <w:left w:val="single" w:sz="10" w:space="0" w:color="000000"/>
              <w:bottom w:val="nil"/>
              <w:right w:val="nil"/>
            </w:tcBorders>
            <w:vAlign w:val="center"/>
          </w:tcPr>
          <w:p w:rsidR="00AA1CD5" w:rsidRDefault="00AA1CD5" w:rsidP="00B526B7">
            <w:pPr>
              <w:widowControl/>
              <w:numPr>
                <w:ilvl w:val="12"/>
                <w:numId w:val="0"/>
              </w:numPr>
              <w:tabs>
                <w:tab w:val="left" w:pos="720"/>
              </w:tabs>
              <w:spacing w:before="22" w:after="25"/>
              <w:rPr>
                <w:sz w:val="18"/>
                <w:szCs w:val="18"/>
              </w:rPr>
            </w:pPr>
            <w:r>
              <w:rPr>
                <w:rFonts w:ascii="Arial" w:hAnsi="Arial" w:cs="Arial"/>
                <w:sz w:val="18"/>
                <w:szCs w:val="18"/>
              </w:rPr>
              <w:t xml:space="preserve">500 </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500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500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1,500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500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18"/>
                <w:szCs w:val="18"/>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18"/>
                <w:szCs w:val="18"/>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18"/>
                <w:szCs w:val="18"/>
              </w:rPr>
            </w:pPr>
            <w:r>
              <w:rPr>
                <w:rFonts w:ascii="Arial" w:hAnsi="Arial" w:cs="Arial"/>
                <w:sz w:val="20"/>
                <w:szCs w:val="20"/>
              </w:rPr>
              <w:t>12.  Guidance on enhanced benefit cost analysis</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2,117</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2,117</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2,117</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6,352</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2,117</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rsidTr="00367792">
        <w:trPr>
          <w:trHeight w:hRule="exact" w:val="316"/>
        </w:trPr>
        <w:tc>
          <w:tcPr>
            <w:tcW w:w="4983" w:type="dxa"/>
            <w:gridSpan w:val="3"/>
          </w:tcPr>
          <w:p w:rsidR="00AA1CD5" w:rsidRDefault="00AA1CD5" w:rsidP="00AA1CD5">
            <w:pPr>
              <w:widowControl/>
              <w:numPr>
                <w:ilvl w:val="12"/>
                <w:numId w:val="0"/>
              </w:numPr>
              <w:spacing w:before="22" w:after="25"/>
              <w:rPr>
                <w:sz w:val="20"/>
                <w:szCs w:val="20"/>
              </w:rPr>
            </w:pPr>
            <w:r>
              <w:rPr>
                <w:rFonts w:ascii="Arial" w:hAnsi="Arial" w:cs="Arial"/>
                <w:b/>
                <w:bCs/>
                <w:sz w:val="20"/>
                <w:szCs w:val="20"/>
              </w:rPr>
              <w:t>Total for 305(b) and 303(d) Reporting Activities</w:t>
            </w:r>
            <w:r>
              <w:rPr>
                <w:rFonts w:ascii="Arial" w:hAnsi="Arial" w:cs="Arial"/>
                <w:sz w:val="20"/>
                <w:szCs w:val="20"/>
              </w:rPr>
              <w:tab/>
            </w:r>
            <w:r>
              <w:rPr>
                <w:rFonts w:ascii="Arial" w:hAnsi="Arial" w:cs="Arial"/>
                <w:sz w:val="20"/>
                <w:szCs w:val="20"/>
              </w:rPr>
              <w:tab/>
            </w:r>
          </w:p>
        </w:tc>
        <w:tc>
          <w:tcPr>
            <w:tcW w:w="1274" w:type="dxa"/>
          </w:tcPr>
          <w:p w:rsidR="00AA1CD5" w:rsidRDefault="00AA1CD5" w:rsidP="00AA1CD5">
            <w:pPr>
              <w:widowControl/>
              <w:numPr>
                <w:ilvl w:val="12"/>
                <w:numId w:val="0"/>
              </w:numPr>
              <w:tabs>
                <w:tab w:val="left" w:pos="720"/>
              </w:tabs>
              <w:spacing w:before="22" w:after="25"/>
              <w:rPr>
                <w:sz w:val="18"/>
                <w:szCs w:val="18"/>
              </w:rPr>
            </w:pPr>
            <w:r>
              <w:rPr>
                <w:rFonts w:ascii="Arial" w:hAnsi="Arial" w:cs="Arial"/>
                <w:b/>
                <w:bCs/>
                <w:sz w:val="18"/>
                <w:szCs w:val="18"/>
              </w:rPr>
              <w:t>11,206</w:t>
            </w:r>
          </w:p>
        </w:tc>
        <w:tc>
          <w:tcPr>
            <w:tcW w:w="1274" w:type="dxa"/>
          </w:tcPr>
          <w:p w:rsidR="00AA1CD5" w:rsidRDefault="00AA1CD5" w:rsidP="00AA1CD5">
            <w:pPr>
              <w:widowControl/>
              <w:numPr>
                <w:ilvl w:val="12"/>
                <w:numId w:val="0"/>
              </w:numPr>
              <w:tabs>
                <w:tab w:val="left" w:pos="720"/>
              </w:tabs>
              <w:spacing w:before="22" w:after="25"/>
              <w:rPr>
                <w:sz w:val="18"/>
                <w:szCs w:val="18"/>
              </w:rPr>
            </w:pPr>
            <w:r>
              <w:rPr>
                <w:rFonts w:ascii="Arial" w:hAnsi="Arial" w:cs="Arial"/>
                <w:b/>
                <w:bCs/>
                <w:sz w:val="18"/>
                <w:szCs w:val="18"/>
              </w:rPr>
              <w:t>11,206</w:t>
            </w:r>
          </w:p>
        </w:tc>
        <w:tc>
          <w:tcPr>
            <w:tcW w:w="1274" w:type="dxa"/>
          </w:tcPr>
          <w:p w:rsidR="00AA1CD5" w:rsidRDefault="00AA1CD5" w:rsidP="00AA1CD5">
            <w:pPr>
              <w:widowControl/>
              <w:numPr>
                <w:ilvl w:val="12"/>
                <w:numId w:val="0"/>
              </w:numPr>
              <w:tabs>
                <w:tab w:val="left" w:pos="720"/>
              </w:tabs>
              <w:spacing w:before="22" w:after="25"/>
              <w:rPr>
                <w:sz w:val="18"/>
                <w:szCs w:val="18"/>
              </w:rPr>
            </w:pPr>
            <w:r>
              <w:rPr>
                <w:rFonts w:ascii="Arial" w:hAnsi="Arial" w:cs="Arial"/>
                <w:b/>
                <w:bCs/>
                <w:sz w:val="18"/>
                <w:szCs w:val="18"/>
              </w:rPr>
              <w:t>11,206</w:t>
            </w:r>
          </w:p>
        </w:tc>
        <w:tc>
          <w:tcPr>
            <w:tcW w:w="1274" w:type="dxa"/>
          </w:tcPr>
          <w:p w:rsidR="00AA1CD5" w:rsidRDefault="00AA1CD5" w:rsidP="00AA1CD5">
            <w:pPr>
              <w:widowControl/>
              <w:numPr>
                <w:ilvl w:val="12"/>
                <w:numId w:val="0"/>
              </w:numPr>
              <w:tabs>
                <w:tab w:val="left" w:pos="720"/>
              </w:tabs>
              <w:spacing w:before="22" w:after="25"/>
              <w:rPr>
                <w:sz w:val="18"/>
                <w:szCs w:val="18"/>
              </w:rPr>
            </w:pPr>
            <w:r>
              <w:rPr>
                <w:rFonts w:ascii="Arial" w:hAnsi="Arial" w:cs="Arial"/>
                <w:b/>
                <w:bCs/>
                <w:sz w:val="18"/>
                <w:szCs w:val="18"/>
              </w:rPr>
              <w:t>33,619</w:t>
            </w:r>
          </w:p>
        </w:tc>
        <w:tc>
          <w:tcPr>
            <w:tcW w:w="1274" w:type="dxa"/>
          </w:tcPr>
          <w:p w:rsidR="00AA1CD5" w:rsidRDefault="00AA1CD5" w:rsidP="00AA1CD5">
            <w:pPr>
              <w:widowControl/>
              <w:numPr>
                <w:ilvl w:val="12"/>
                <w:numId w:val="0"/>
              </w:numPr>
              <w:tabs>
                <w:tab w:val="left" w:pos="720"/>
              </w:tabs>
              <w:spacing w:before="22" w:after="25"/>
              <w:rPr>
                <w:sz w:val="18"/>
                <w:szCs w:val="18"/>
              </w:rPr>
            </w:pPr>
            <w:r>
              <w:rPr>
                <w:rFonts w:ascii="Arial" w:hAnsi="Arial" w:cs="Arial"/>
                <w:b/>
                <w:bCs/>
                <w:sz w:val="18"/>
                <w:szCs w:val="18"/>
              </w:rPr>
              <w:t>11,206</w:t>
            </w:r>
          </w:p>
        </w:tc>
        <w:tc>
          <w:tcPr>
            <w:tcW w:w="1274" w:type="dxa"/>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b/>
                <w:bCs/>
                <w:sz w:val="18"/>
                <w:szCs w:val="18"/>
              </w:rPr>
              <w:t>N/A</w:t>
            </w:r>
          </w:p>
        </w:tc>
      </w:tr>
      <w:tr w:rsidR="00AA1CD5" w:rsidTr="00367792">
        <w:trPr>
          <w:trHeight w:hRule="exact" w:val="316"/>
        </w:trPr>
        <w:tc>
          <w:tcPr>
            <w:tcW w:w="4983" w:type="dxa"/>
            <w:gridSpan w:val="3"/>
          </w:tcPr>
          <w:p w:rsidR="00AA1CD5" w:rsidRDefault="00AA1CD5" w:rsidP="00AA1CD5">
            <w:pPr>
              <w:widowControl/>
              <w:numPr>
                <w:ilvl w:val="12"/>
                <w:numId w:val="0"/>
              </w:numPr>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r>
      <w:tr w:rsidR="00AA1CD5" w:rsidTr="00367792">
        <w:trPr>
          <w:trHeight w:hRule="exact" w:val="316"/>
        </w:trPr>
        <w:tc>
          <w:tcPr>
            <w:tcW w:w="4983" w:type="dxa"/>
            <w:gridSpan w:val="3"/>
          </w:tcPr>
          <w:p w:rsidR="00AA1CD5" w:rsidRDefault="00AA1CD5" w:rsidP="00AA1CD5">
            <w:pPr>
              <w:widowControl/>
              <w:numPr>
                <w:ilvl w:val="12"/>
                <w:numId w:val="0"/>
              </w:numPr>
              <w:spacing w:before="22" w:after="25"/>
              <w:rPr>
                <w:sz w:val="20"/>
                <w:szCs w:val="20"/>
              </w:rPr>
            </w:pPr>
            <w:r>
              <w:rPr>
                <w:rFonts w:ascii="Arial" w:hAnsi="Arial" w:cs="Arial"/>
                <w:b/>
                <w:bCs/>
                <w:sz w:val="20"/>
                <w:szCs w:val="20"/>
              </w:rPr>
              <w:t>TMDL Activities</w:t>
            </w:r>
          </w:p>
        </w:tc>
        <w:tc>
          <w:tcPr>
            <w:tcW w:w="1274" w:type="dxa"/>
          </w:tcPr>
          <w:p w:rsidR="00AA1CD5" w:rsidRDefault="00AA1CD5" w:rsidP="00AA1CD5">
            <w:pPr>
              <w:widowControl/>
              <w:numPr>
                <w:ilvl w:val="12"/>
                <w:numId w:val="0"/>
              </w:numPr>
              <w:tabs>
                <w:tab w:val="left" w:pos="720"/>
              </w:tabs>
              <w:spacing w:before="22" w:after="25"/>
              <w:rPr>
                <w:sz w:val="18"/>
                <w:szCs w:val="18"/>
              </w:rPr>
            </w:pPr>
          </w:p>
        </w:tc>
        <w:tc>
          <w:tcPr>
            <w:tcW w:w="1274" w:type="dxa"/>
          </w:tcPr>
          <w:p w:rsidR="00AA1CD5" w:rsidRDefault="00AA1CD5" w:rsidP="00AA1CD5">
            <w:pPr>
              <w:widowControl/>
              <w:numPr>
                <w:ilvl w:val="12"/>
                <w:numId w:val="0"/>
              </w:numPr>
              <w:tabs>
                <w:tab w:val="left" w:pos="720"/>
              </w:tabs>
              <w:spacing w:before="22" w:after="25"/>
              <w:rPr>
                <w:sz w:val="18"/>
                <w:szCs w:val="18"/>
              </w:rPr>
            </w:pPr>
          </w:p>
        </w:tc>
        <w:tc>
          <w:tcPr>
            <w:tcW w:w="1274" w:type="dxa"/>
          </w:tcPr>
          <w:p w:rsidR="00AA1CD5" w:rsidRDefault="00AA1CD5" w:rsidP="00AA1CD5">
            <w:pPr>
              <w:widowControl/>
              <w:numPr>
                <w:ilvl w:val="12"/>
                <w:numId w:val="0"/>
              </w:numPr>
              <w:tabs>
                <w:tab w:val="left" w:pos="720"/>
              </w:tabs>
              <w:spacing w:before="22" w:after="25"/>
              <w:rPr>
                <w:sz w:val="18"/>
                <w:szCs w:val="18"/>
              </w:rPr>
            </w:pPr>
          </w:p>
        </w:tc>
        <w:tc>
          <w:tcPr>
            <w:tcW w:w="1274" w:type="dxa"/>
          </w:tcPr>
          <w:p w:rsidR="00AA1CD5" w:rsidRDefault="00AA1CD5" w:rsidP="00AA1CD5">
            <w:pPr>
              <w:widowControl/>
              <w:numPr>
                <w:ilvl w:val="12"/>
                <w:numId w:val="0"/>
              </w:numPr>
              <w:tabs>
                <w:tab w:val="left" w:pos="720"/>
              </w:tabs>
              <w:spacing w:before="22" w:after="25"/>
              <w:rPr>
                <w:sz w:val="18"/>
                <w:szCs w:val="18"/>
              </w:rPr>
            </w:pPr>
          </w:p>
        </w:tc>
        <w:tc>
          <w:tcPr>
            <w:tcW w:w="1274" w:type="dxa"/>
          </w:tcPr>
          <w:p w:rsidR="00AA1CD5" w:rsidRDefault="00AA1CD5" w:rsidP="00AA1CD5">
            <w:pPr>
              <w:widowControl/>
              <w:numPr>
                <w:ilvl w:val="12"/>
                <w:numId w:val="0"/>
              </w:numPr>
              <w:tabs>
                <w:tab w:val="left" w:pos="720"/>
              </w:tabs>
              <w:spacing w:before="22" w:after="25"/>
              <w:rPr>
                <w:sz w:val="18"/>
                <w:szCs w:val="18"/>
              </w:rPr>
            </w:pPr>
          </w:p>
        </w:tc>
        <w:tc>
          <w:tcPr>
            <w:tcW w:w="1274" w:type="dxa"/>
          </w:tcPr>
          <w:p w:rsidR="00AA1CD5" w:rsidRDefault="00AA1CD5" w:rsidP="00AA1CD5">
            <w:pPr>
              <w:widowControl/>
              <w:numPr>
                <w:ilvl w:val="12"/>
                <w:numId w:val="0"/>
              </w:numPr>
              <w:tabs>
                <w:tab w:val="left" w:pos="720"/>
              </w:tabs>
              <w:spacing w:before="22" w:after="25"/>
              <w:rPr>
                <w:sz w:val="18"/>
                <w:szCs w:val="18"/>
              </w:rPr>
            </w:pPr>
          </w:p>
        </w:tc>
      </w:tr>
      <w:tr w:rsidR="00AA1CD5">
        <w:trPr>
          <w:trHeight w:hRule="exact" w:val="316"/>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rPr>
                <w:sz w:val="20"/>
                <w:szCs w:val="20"/>
              </w:rPr>
            </w:pPr>
            <w:r>
              <w:rPr>
                <w:rFonts w:ascii="Arial" w:hAnsi="Arial" w:cs="Arial"/>
                <w:sz w:val="20"/>
                <w:szCs w:val="20"/>
              </w:rPr>
              <w:t>Review TMDLs and send notices to States</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11,200</w:t>
            </w: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11,200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11,200</w:t>
            </w: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33,600</w:t>
            </w: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r>
              <w:rPr>
                <w:rFonts w:ascii="Arial" w:hAnsi="Arial" w:cs="Arial"/>
                <w:sz w:val="18"/>
                <w:szCs w:val="18"/>
              </w:rPr>
              <w:t>11,200</w:t>
            </w: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18"/>
                <w:szCs w:val="18"/>
              </w:rPr>
              <w:t>N/A</w:t>
            </w:r>
          </w:p>
        </w:tc>
      </w:tr>
      <w:tr w:rsidR="00AA1CD5">
        <w:trPr>
          <w:trHeight w:hRule="exact" w:val="230"/>
        </w:trPr>
        <w:tc>
          <w:tcPr>
            <w:tcW w:w="282" w:type="dxa"/>
            <w:tcBorders>
              <w:top w:val="nil"/>
              <w:left w:val="single" w:sz="10" w:space="0" w:color="000000"/>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237" w:type="dxa"/>
            <w:tcBorders>
              <w:top w:val="nil"/>
              <w:left w:val="nil"/>
              <w:bottom w:val="nil"/>
              <w:right w:val="nil"/>
            </w:tcBorders>
            <w:vAlign w:val="center"/>
          </w:tcPr>
          <w:p w:rsidR="00AA1CD5" w:rsidRDefault="00AA1CD5" w:rsidP="00AA1CD5">
            <w:pPr>
              <w:widowControl/>
              <w:numPr>
                <w:ilvl w:val="12"/>
                <w:numId w:val="0"/>
              </w:numPr>
              <w:spacing w:before="22" w:after="25"/>
              <w:jc w:val="right"/>
              <w:rPr>
                <w:sz w:val="20"/>
                <w:szCs w:val="20"/>
              </w:rPr>
            </w:pPr>
          </w:p>
        </w:tc>
        <w:tc>
          <w:tcPr>
            <w:tcW w:w="4464" w:type="dxa"/>
            <w:tcBorders>
              <w:top w:val="nil"/>
              <w:left w:val="nil"/>
              <w:bottom w:val="nil"/>
              <w:right w:val="nil"/>
            </w:tcBorders>
            <w:vAlign w:val="center"/>
          </w:tcPr>
          <w:p w:rsidR="00AA1CD5" w:rsidRDefault="00AA1CD5" w:rsidP="00AA1CD5">
            <w:pPr>
              <w:widowControl/>
              <w:numPr>
                <w:ilvl w:val="12"/>
                <w:numId w:val="0"/>
              </w:numPr>
              <w:tabs>
                <w:tab w:val="left" w:pos="720"/>
                <w:tab w:val="left" w:pos="1440"/>
                <w:tab w:val="left" w:pos="2160"/>
                <w:tab w:val="left" w:pos="2880"/>
              </w:tabs>
              <w:spacing w:before="22" w:after="25"/>
              <w:jc w:val="right"/>
              <w:rPr>
                <w:sz w:val="20"/>
                <w:szCs w:val="20"/>
              </w:rPr>
            </w:pP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p>
        </w:tc>
        <w:tc>
          <w:tcPr>
            <w:tcW w:w="1274" w:type="dxa"/>
            <w:tcBorders>
              <w:top w:val="nil"/>
              <w:left w:val="single" w:sz="6"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p>
        </w:tc>
        <w:tc>
          <w:tcPr>
            <w:tcW w:w="1274" w:type="dxa"/>
            <w:tcBorders>
              <w:top w:val="nil"/>
              <w:left w:val="nil"/>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p>
        </w:tc>
        <w:tc>
          <w:tcPr>
            <w:tcW w:w="1274" w:type="dxa"/>
            <w:tcBorders>
              <w:top w:val="nil"/>
              <w:left w:val="single" w:sz="10" w:space="0" w:color="000000"/>
              <w:bottom w:val="nil"/>
              <w:right w:val="nil"/>
            </w:tcBorders>
            <w:vAlign w:val="center"/>
          </w:tcPr>
          <w:p w:rsidR="00AA1CD5" w:rsidRDefault="00AA1CD5" w:rsidP="00AA1CD5">
            <w:pPr>
              <w:widowControl/>
              <w:numPr>
                <w:ilvl w:val="12"/>
                <w:numId w:val="0"/>
              </w:numPr>
              <w:tabs>
                <w:tab w:val="left" w:pos="720"/>
              </w:tabs>
              <w:spacing w:before="22" w:after="25"/>
              <w:rPr>
                <w:sz w:val="18"/>
                <w:szCs w:val="18"/>
              </w:rPr>
            </w:pPr>
          </w:p>
        </w:tc>
        <w:tc>
          <w:tcPr>
            <w:tcW w:w="1274" w:type="dxa"/>
            <w:tcBorders>
              <w:top w:val="nil"/>
              <w:left w:val="single" w:sz="6" w:space="0" w:color="000000"/>
              <w:bottom w:val="nil"/>
              <w:right w:val="single" w:sz="10" w:space="0" w:color="000000"/>
            </w:tcBorders>
            <w:vAlign w:val="center"/>
          </w:tcPr>
          <w:p w:rsidR="00AA1CD5" w:rsidRDefault="00AA1CD5" w:rsidP="00AA1CD5">
            <w:pPr>
              <w:widowControl/>
              <w:numPr>
                <w:ilvl w:val="12"/>
                <w:numId w:val="0"/>
              </w:numPr>
              <w:tabs>
                <w:tab w:val="left" w:pos="720"/>
              </w:tabs>
              <w:spacing w:before="22" w:after="25"/>
              <w:rPr>
                <w:sz w:val="18"/>
                <w:szCs w:val="18"/>
              </w:rPr>
            </w:pPr>
          </w:p>
        </w:tc>
      </w:tr>
      <w:tr w:rsidR="00AA1CD5" w:rsidTr="00367792">
        <w:trPr>
          <w:trHeight w:hRule="exact" w:val="316"/>
        </w:trPr>
        <w:tc>
          <w:tcPr>
            <w:tcW w:w="4983" w:type="dxa"/>
            <w:gridSpan w:val="3"/>
          </w:tcPr>
          <w:p w:rsidR="00AA1CD5" w:rsidRDefault="00AA1CD5" w:rsidP="00AA1CD5">
            <w:pPr>
              <w:widowControl/>
              <w:numPr>
                <w:ilvl w:val="12"/>
                <w:numId w:val="0"/>
              </w:numPr>
              <w:spacing w:before="22" w:after="25"/>
              <w:rPr>
                <w:sz w:val="20"/>
                <w:szCs w:val="20"/>
              </w:rPr>
            </w:pPr>
            <w:r>
              <w:rPr>
                <w:rFonts w:ascii="Arial" w:hAnsi="Arial" w:cs="Arial"/>
                <w:b/>
                <w:bCs/>
                <w:sz w:val="20"/>
                <w:szCs w:val="20"/>
              </w:rPr>
              <w:t>Total for TMDL Activities</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11,200</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11,200</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11,200</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33,600</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11,200</w:t>
            </w:r>
          </w:p>
        </w:tc>
        <w:tc>
          <w:tcPr>
            <w:tcW w:w="1274" w:type="dxa"/>
          </w:tcPr>
          <w:p w:rsidR="00AA1CD5" w:rsidRDefault="00AA1CD5" w:rsidP="00AA1CD5">
            <w:pPr>
              <w:widowControl/>
              <w:numPr>
                <w:ilvl w:val="12"/>
                <w:numId w:val="0"/>
              </w:numPr>
              <w:tabs>
                <w:tab w:val="left" w:pos="720"/>
              </w:tabs>
              <w:spacing w:before="22" w:after="25"/>
              <w:jc w:val="center"/>
              <w:rPr>
                <w:sz w:val="20"/>
                <w:szCs w:val="20"/>
              </w:rPr>
            </w:pPr>
            <w:r>
              <w:rPr>
                <w:rFonts w:ascii="Arial" w:hAnsi="Arial" w:cs="Arial"/>
                <w:b/>
                <w:bCs/>
                <w:sz w:val="20"/>
                <w:szCs w:val="20"/>
              </w:rPr>
              <w:t>N/A</w:t>
            </w:r>
          </w:p>
        </w:tc>
      </w:tr>
      <w:tr w:rsidR="00AA1CD5" w:rsidTr="00367792">
        <w:trPr>
          <w:trHeight w:hRule="exact" w:val="400"/>
        </w:trPr>
        <w:tc>
          <w:tcPr>
            <w:tcW w:w="4983" w:type="dxa"/>
            <w:gridSpan w:val="3"/>
          </w:tcPr>
          <w:p w:rsidR="00AA1CD5" w:rsidRDefault="00AA1CD5" w:rsidP="00AA1CD5">
            <w:pPr>
              <w:widowControl/>
              <w:numPr>
                <w:ilvl w:val="12"/>
                <w:numId w:val="0"/>
              </w:numPr>
              <w:spacing w:before="22" w:after="25"/>
              <w:rPr>
                <w:sz w:val="20"/>
                <w:szCs w:val="20"/>
              </w:rPr>
            </w:pPr>
            <w:r>
              <w:rPr>
                <w:rFonts w:ascii="Arial" w:hAnsi="Arial" w:cs="Arial"/>
                <w:b/>
                <w:bCs/>
                <w:sz w:val="20"/>
                <w:szCs w:val="20"/>
              </w:rPr>
              <w:t>Total Burden for Existing Program Activities</w:t>
            </w:r>
            <w:r>
              <w:rPr>
                <w:rFonts w:ascii="Arial" w:hAnsi="Arial" w:cs="Arial"/>
                <w:sz w:val="20"/>
                <w:szCs w:val="20"/>
              </w:rPr>
              <w:tab/>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22,406</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22,406</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22,406</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67,219</w:t>
            </w:r>
          </w:p>
        </w:tc>
        <w:tc>
          <w:tcPr>
            <w:tcW w:w="1274" w:type="dxa"/>
          </w:tcPr>
          <w:p w:rsidR="00AA1CD5" w:rsidRDefault="00AA1CD5" w:rsidP="00AA1CD5">
            <w:pPr>
              <w:widowControl/>
              <w:numPr>
                <w:ilvl w:val="12"/>
                <w:numId w:val="0"/>
              </w:numPr>
              <w:tabs>
                <w:tab w:val="left" w:pos="720"/>
              </w:tabs>
              <w:spacing w:before="22" w:after="25"/>
              <w:rPr>
                <w:sz w:val="20"/>
                <w:szCs w:val="20"/>
              </w:rPr>
            </w:pPr>
            <w:r>
              <w:rPr>
                <w:rFonts w:ascii="Arial" w:hAnsi="Arial" w:cs="Arial"/>
                <w:b/>
                <w:bCs/>
                <w:sz w:val="20"/>
                <w:szCs w:val="20"/>
              </w:rPr>
              <w:t>22,406</w:t>
            </w:r>
          </w:p>
        </w:tc>
        <w:tc>
          <w:tcPr>
            <w:tcW w:w="1274" w:type="dxa"/>
          </w:tcPr>
          <w:p w:rsidR="00AA1CD5" w:rsidRDefault="00AA1CD5" w:rsidP="00AA1CD5">
            <w:pPr>
              <w:widowControl/>
              <w:numPr>
                <w:ilvl w:val="12"/>
                <w:numId w:val="0"/>
              </w:numPr>
              <w:tabs>
                <w:tab w:val="left" w:pos="720"/>
              </w:tabs>
              <w:spacing w:before="22" w:after="25"/>
              <w:jc w:val="center"/>
              <w:rPr>
                <w:sz w:val="18"/>
                <w:szCs w:val="18"/>
              </w:rPr>
            </w:pPr>
            <w:r>
              <w:rPr>
                <w:rFonts w:ascii="Arial" w:hAnsi="Arial" w:cs="Arial"/>
                <w:sz w:val="20"/>
                <w:szCs w:val="20"/>
              </w:rPr>
              <w:t>N/A</w:t>
            </w:r>
          </w:p>
        </w:tc>
      </w:tr>
      <w:tr w:rsidR="00AA1CD5" w:rsidTr="00367792">
        <w:trPr>
          <w:trHeight w:hRule="exact" w:val="403"/>
        </w:trPr>
        <w:tc>
          <w:tcPr>
            <w:tcW w:w="4983" w:type="dxa"/>
            <w:gridSpan w:val="3"/>
          </w:tcPr>
          <w:p w:rsidR="00AA1CD5" w:rsidRDefault="00AA1CD5" w:rsidP="00AA1CD5">
            <w:pPr>
              <w:widowControl/>
              <w:numPr>
                <w:ilvl w:val="12"/>
                <w:numId w:val="0"/>
              </w:numPr>
              <w:spacing w:before="22" w:after="25"/>
              <w:jc w:val="right"/>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rPr>
                <w:sz w:val="20"/>
                <w:szCs w:val="20"/>
              </w:rPr>
            </w:pPr>
          </w:p>
        </w:tc>
        <w:tc>
          <w:tcPr>
            <w:tcW w:w="1274" w:type="dxa"/>
          </w:tcPr>
          <w:p w:rsidR="00AA1CD5" w:rsidRDefault="00AA1CD5" w:rsidP="00AA1CD5">
            <w:pPr>
              <w:widowControl/>
              <w:numPr>
                <w:ilvl w:val="12"/>
                <w:numId w:val="0"/>
              </w:numPr>
              <w:tabs>
                <w:tab w:val="left" w:pos="720"/>
              </w:tabs>
              <w:spacing w:before="22" w:after="25"/>
            </w:pPr>
          </w:p>
        </w:tc>
      </w:tr>
    </w:tbl>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p w:rsidR="003632DC" w:rsidRPr="003632DC" w:rsidRDefault="003632DC" w:rsidP="003632DC">
      <w:pPr>
        <w:widowControl/>
        <w:numPr>
          <w:ilvl w:val="12"/>
          <w:numId w:val="0"/>
        </w:numPr>
        <w:tabs>
          <w:tab w:val="left" w:pos="720"/>
          <w:tab w:val="left" w:pos="1440"/>
          <w:tab w:val="left" w:pos="2160"/>
          <w:tab w:val="left" w:pos="2880"/>
          <w:tab w:val="right" w:pos="6655"/>
        </w:tabs>
        <w:jc w:val="center"/>
        <w:rPr>
          <w:rFonts w:ascii="Arial" w:hAnsi="Arial" w:cs="Arial"/>
          <w:b/>
          <w:sz w:val="20"/>
          <w:szCs w:val="20"/>
        </w:rPr>
      </w:pPr>
      <w:r w:rsidRPr="003632DC">
        <w:rPr>
          <w:rFonts w:ascii="Arial" w:hAnsi="Arial" w:cs="Arial"/>
          <w:b/>
          <w:sz w:val="20"/>
          <w:szCs w:val="20"/>
        </w:rPr>
        <w:lastRenderedPageBreak/>
        <w:t xml:space="preserve">Worksheet 4: Estimates of Agency Cost </w:t>
      </w:r>
      <w:r w:rsidRPr="00E55A3D">
        <w:rPr>
          <w:rFonts w:ascii="Arial" w:hAnsi="Arial" w:cs="Arial"/>
          <w:sz w:val="20"/>
          <w:szCs w:val="20"/>
        </w:rPr>
        <w:t>(Based on an Average Loaded Hourly Rate of $5</w:t>
      </w:r>
      <w:r w:rsidR="0011795F">
        <w:rPr>
          <w:rFonts w:ascii="Arial" w:hAnsi="Arial" w:cs="Arial"/>
          <w:sz w:val="20"/>
          <w:szCs w:val="20"/>
        </w:rPr>
        <w:t>5.27)</w:t>
      </w:r>
    </w:p>
    <w:p w:rsidR="003632DC" w:rsidRDefault="003632DC"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p w:rsidR="00367792" w:rsidRDefault="00367792" w:rsidP="00AA1CD5">
      <w:pPr>
        <w:widowControl/>
        <w:numPr>
          <w:ilvl w:val="12"/>
          <w:numId w:val="0"/>
        </w:numPr>
        <w:tabs>
          <w:tab w:val="left" w:pos="720"/>
          <w:tab w:val="left" w:pos="1440"/>
          <w:tab w:val="left" w:pos="2160"/>
          <w:tab w:val="left" w:pos="2880"/>
          <w:tab w:val="right" w:pos="6655"/>
        </w:tabs>
        <w:rPr>
          <w:rFonts w:ascii="Arial" w:hAnsi="Arial" w:cs="Arial"/>
          <w:sz w:val="20"/>
          <w:szCs w:val="20"/>
        </w:rPr>
      </w:pPr>
    </w:p>
    <w:tbl>
      <w:tblPr>
        <w:tblW w:w="12442" w:type="dxa"/>
        <w:tblInd w:w="86" w:type="dxa"/>
        <w:tblLook w:val="04A0"/>
      </w:tblPr>
      <w:tblGrid>
        <w:gridCol w:w="280"/>
        <w:gridCol w:w="261"/>
        <w:gridCol w:w="4180"/>
        <w:gridCol w:w="1241"/>
        <w:gridCol w:w="1260"/>
        <w:gridCol w:w="1120"/>
        <w:gridCol w:w="1310"/>
        <w:gridCol w:w="1350"/>
        <w:gridCol w:w="1440"/>
      </w:tblGrid>
      <w:tr w:rsidR="00BF553A" w:rsidRPr="00BF553A" w:rsidTr="00DC71B1">
        <w:trPr>
          <w:trHeight w:val="255"/>
        </w:trPr>
        <w:tc>
          <w:tcPr>
            <w:tcW w:w="280" w:type="dxa"/>
            <w:tcBorders>
              <w:top w:val="single" w:sz="8" w:space="0" w:color="auto"/>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261" w:type="dxa"/>
            <w:tcBorders>
              <w:top w:val="single" w:sz="8" w:space="0" w:color="auto"/>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4180" w:type="dxa"/>
            <w:tcBorders>
              <w:top w:val="single" w:sz="8" w:space="0" w:color="auto"/>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single" w:sz="8" w:space="0" w:color="auto"/>
              <w:left w:val="nil"/>
              <w:bottom w:val="nil"/>
              <w:right w:val="nil"/>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c>
          <w:tcPr>
            <w:tcW w:w="1260" w:type="dxa"/>
            <w:tcBorders>
              <w:top w:val="single" w:sz="8" w:space="0" w:color="auto"/>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single" w:sz="8" w:space="0" w:color="auto"/>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single" w:sz="8" w:space="0" w:color="auto"/>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c>
          <w:tcPr>
            <w:tcW w:w="2790" w:type="dxa"/>
            <w:gridSpan w:val="2"/>
            <w:tcBorders>
              <w:top w:val="single" w:sz="8" w:space="0" w:color="auto"/>
              <w:left w:val="nil"/>
              <w:bottom w:val="nil"/>
              <w:right w:val="single" w:sz="8" w:space="0" w:color="000000"/>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Annual Average</w:t>
            </w:r>
          </w:p>
        </w:tc>
      </w:tr>
      <w:tr w:rsidR="00BF553A" w:rsidRPr="00BF553A" w:rsidTr="00DC71B1">
        <w:trPr>
          <w:trHeight w:val="495"/>
        </w:trPr>
        <w:tc>
          <w:tcPr>
            <w:tcW w:w="4721" w:type="dxa"/>
            <w:gridSpan w:val="3"/>
            <w:tcBorders>
              <w:top w:val="nil"/>
              <w:left w:val="single" w:sz="8" w:space="0" w:color="auto"/>
              <w:bottom w:val="single" w:sz="8" w:space="0" w:color="auto"/>
              <w:right w:val="single" w:sz="8" w:space="0" w:color="000000"/>
            </w:tcBorders>
            <w:shd w:val="clear" w:color="auto" w:fill="auto"/>
            <w:noWrap/>
            <w:vAlign w:val="center"/>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Respondent Activities</w:t>
            </w:r>
          </w:p>
        </w:tc>
        <w:tc>
          <w:tcPr>
            <w:tcW w:w="1241" w:type="dxa"/>
            <w:tcBorders>
              <w:top w:val="nil"/>
              <w:left w:val="nil"/>
              <w:bottom w:val="single" w:sz="8" w:space="0" w:color="auto"/>
              <w:right w:val="single" w:sz="4" w:space="0" w:color="auto"/>
            </w:tcBorders>
            <w:shd w:val="clear" w:color="auto" w:fill="auto"/>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(10/11-9/12)</w:t>
            </w:r>
            <w:r w:rsidRPr="00BF553A">
              <w:rPr>
                <w:rFonts w:ascii="Arial" w:hAnsi="Arial" w:cs="Arial"/>
                <w:b/>
                <w:bCs/>
                <w:sz w:val="16"/>
                <w:szCs w:val="16"/>
              </w:rPr>
              <w:br/>
              <w:t>Year 1</w:t>
            </w:r>
          </w:p>
        </w:tc>
        <w:tc>
          <w:tcPr>
            <w:tcW w:w="1260" w:type="dxa"/>
            <w:tcBorders>
              <w:top w:val="nil"/>
              <w:left w:val="nil"/>
              <w:bottom w:val="single" w:sz="8" w:space="0" w:color="auto"/>
              <w:right w:val="single" w:sz="4" w:space="0" w:color="auto"/>
            </w:tcBorders>
            <w:shd w:val="clear" w:color="auto" w:fill="auto"/>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(10/12-9/13)</w:t>
            </w:r>
            <w:r w:rsidRPr="00BF553A">
              <w:rPr>
                <w:rFonts w:ascii="Arial" w:hAnsi="Arial" w:cs="Arial"/>
                <w:b/>
                <w:bCs/>
                <w:sz w:val="16"/>
                <w:szCs w:val="16"/>
              </w:rPr>
              <w:br/>
              <w:t>Year 2</w:t>
            </w:r>
          </w:p>
        </w:tc>
        <w:tc>
          <w:tcPr>
            <w:tcW w:w="1120" w:type="dxa"/>
            <w:tcBorders>
              <w:top w:val="nil"/>
              <w:left w:val="nil"/>
              <w:bottom w:val="single" w:sz="8" w:space="0" w:color="auto"/>
              <w:right w:val="single" w:sz="8" w:space="0" w:color="auto"/>
            </w:tcBorders>
            <w:shd w:val="clear" w:color="auto" w:fill="auto"/>
            <w:vAlign w:val="bottom"/>
            <w:hideMark/>
          </w:tcPr>
          <w:p w:rsidR="00BF553A" w:rsidRPr="00BF553A" w:rsidRDefault="0085589D" w:rsidP="00BF553A">
            <w:pPr>
              <w:widowControl/>
              <w:autoSpaceDE/>
              <w:autoSpaceDN/>
              <w:adjustRightInd/>
              <w:jc w:val="center"/>
              <w:rPr>
                <w:rFonts w:ascii="Arial" w:hAnsi="Arial" w:cs="Arial"/>
                <w:b/>
                <w:bCs/>
                <w:sz w:val="16"/>
                <w:szCs w:val="16"/>
              </w:rPr>
            </w:pPr>
            <w:r>
              <w:rPr>
                <w:rFonts w:ascii="Arial" w:hAnsi="Arial" w:cs="Arial"/>
                <w:b/>
                <w:bCs/>
                <w:sz w:val="16"/>
                <w:szCs w:val="16"/>
              </w:rPr>
              <w:t>(10/13-9/14</w:t>
            </w:r>
            <w:r w:rsidR="00BF553A" w:rsidRPr="00BF553A">
              <w:rPr>
                <w:rFonts w:ascii="Arial" w:hAnsi="Arial" w:cs="Arial"/>
                <w:b/>
                <w:bCs/>
                <w:sz w:val="16"/>
                <w:szCs w:val="16"/>
              </w:rPr>
              <w:t>)</w:t>
            </w:r>
            <w:r w:rsidR="00BF553A" w:rsidRPr="00BF553A">
              <w:rPr>
                <w:rFonts w:ascii="Arial" w:hAnsi="Arial" w:cs="Arial"/>
                <w:b/>
                <w:bCs/>
                <w:sz w:val="16"/>
                <w:szCs w:val="16"/>
              </w:rPr>
              <w:br/>
              <w:t>Year 3</w:t>
            </w:r>
          </w:p>
        </w:tc>
        <w:tc>
          <w:tcPr>
            <w:tcW w:w="1310" w:type="dxa"/>
            <w:tcBorders>
              <w:top w:val="nil"/>
              <w:left w:val="nil"/>
              <w:bottom w:val="single" w:sz="8" w:space="0" w:color="auto"/>
              <w:right w:val="single" w:sz="4" w:space="0" w:color="auto"/>
            </w:tcBorders>
            <w:shd w:val="clear" w:color="auto" w:fill="auto"/>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3-Year</w:t>
            </w:r>
            <w:r w:rsidRPr="00BF553A">
              <w:rPr>
                <w:rFonts w:ascii="Arial" w:hAnsi="Arial" w:cs="Arial"/>
                <w:b/>
                <w:bCs/>
                <w:sz w:val="16"/>
                <w:szCs w:val="16"/>
              </w:rPr>
              <w:br/>
              <w:t>Total</w:t>
            </w:r>
          </w:p>
        </w:tc>
        <w:tc>
          <w:tcPr>
            <w:tcW w:w="1350" w:type="dxa"/>
            <w:tcBorders>
              <w:top w:val="single" w:sz="4" w:space="0" w:color="auto"/>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Total</w:t>
            </w:r>
          </w:p>
        </w:tc>
        <w:tc>
          <w:tcPr>
            <w:tcW w:w="1440" w:type="dxa"/>
            <w:tcBorders>
              <w:top w:val="single" w:sz="4" w:space="0" w:color="auto"/>
              <w:left w:val="nil"/>
              <w:bottom w:val="single" w:sz="8" w:space="0" w:color="auto"/>
              <w:right w:val="single" w:sz="8" w:space="0" w:color="auto"/>
            </w:tcBorders>
            <w:shd w:val="clear" w:color="auto" w:fill="auto"/>
            <w:vAlign w:val="center"/>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Per Respondent</w:t>
            </w:r>
          </w:p>
        </w:tc>
      </w:tr>
      <w:tr w:rsidR="00BF553A" w:rsidRPr="00BF553A" w:rsidTr="00DC71B1">
        <w:trPr>
          <w:trHeight w:val="255"/>
        </w:trPr>
        <w:tc>
          <w:tcPr>
            <w:tcW w:w="4721" w:type="dxa"/>
            <w:gridSpan w:val="3"/>
            <w:tcBorders>
              <w:top w:val="nil"/>
              <w:left w:val="single" w:sz="8" w:space="0" w:color="auto"/>
              <w:bottom w:val="nil"/>
              <w:right w:val="single" w:sz="8" w:space="0" w:color="000000"/>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305(b) and 303(d) Reporting Activities</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4441" w:type="dxa"/>
            <w:gridSpan w:val="2"/>
            <w:tcBorders>
              <w:top w:val="nil"/>
              <w:left w:val="nil"/>
              <w:bottom w:val="nil"/>
              <w:right w:val="single" w:sz="8" w:space="0" w:color="000000"/>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Existing Program</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1.   Write 305(b) guidance</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2,211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2,211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2,211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6,632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2,211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2.   Prepare Report to Congress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142,462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142,462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142,462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427,385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142,462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3.   Review draft 305(b) reports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32,609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32,609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32,609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97,828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32,609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4.   Review final 305(b) reports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9,783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9,783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9,783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29,348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9,783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5.   Review annual ele</w:t>
            </w:r>
            <w:r w:rsidR="00DC71B1">
              <w:rPr>
                <w:rFonts w:ascii="Arial" w:hAnsi="Arial" w:cs="Arial"/>
                <w:sz w:val="16"/>
                <w:szCs w:val="16"/>
              </w:rPr>
              <w:t>c</w:t>
            </w:r>
            <w:r w:rsidRPr="00BF553A">
              <w:rPr>
                <w:rFonts w:ascii="Arial" w:hAnsi="Arial" w:cs="Arial"/>
                <w:sz w:val="16"/>
                <w:szCs w:val="16"/>
              </w:rPr>
              <w:t>tronic updates of State databases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44,216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44,216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44,216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132,648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44,216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6.   Assist States with WBS indexing</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183,939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183,939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183,939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551,816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183,939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7.   Maintain national WBS database</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57,481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57,481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57,481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172,442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57,481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8.   Prepare 303(d) guidance</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3,427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3,427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3,427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10,280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3,427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9.  Provide technical assistance to States for 303(d)</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39,131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10.  Review draft 303(d) lists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39,131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13,044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11.  Review final 303(d) lists and resolve disapprovals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27,635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27,635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27,635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82,905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27,635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12.  Enhanced benefit cost analysis</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117,023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117,023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117,023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351,070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117,023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Subtotal</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1,940,617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r>
      <w:tr w:rsidR="00BF553A" w:rsidRPr="00BF553A" w:rsidTr="00DC71B1">
        <w:trPr>
          <w:trHeight w:val="270"/>
        </w:trPr>
        <w:tc>
          <w:tcPr>
            <w:tcW w:w="4721" w:type="dxa"/>
            <w:gridSpan w:val="3"/>
            <w:tcBorders>
              <w:top w:val="nil"/>
              <w:left w:val="single" w:sz="8" w:space="0" w:color="auto"/>
              <w:bottom w:val="single" w:sz="8" w:space="0" w:color="auto"/>
              <w:right w:val="single" w:sz="8" w:space="0" w:color="000000"/>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Total for 305(b) and 303(d) Reporting Activities</w:t>
            </w:r>
          </w:p>
        </w:tc>
        <w:tc>
          <w:tcPr>
            <w:tcW w:w="1241"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260"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120" w:type="dxa"/>
            <w:tcBorders>
              <w:top w:val="nil"/>
              <w:left w:val="nil"/>
              <w:bottom w:val="single" w:sz="8" w:space="0" w:color="auto"/>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310"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1,940,617 </w:t>
            </w:r>
          </w:p>
        </w:tc>
        <w:tc>
          <w:tcPr>
            <w:tcW w:w="1350"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646,872 </w:t>
            </w:r>
          </w:p>
        </w:tc>
        <w:tc>
          <w:tcPr>
            <w:tcW w:w="1440" w:type="dxa"/>
            <w:tcBorders>
              <w:top w:val="nil"/>
              <w:left w:val="nil"/>
              <w:bottom w:val="single" w:sz="8" w:space="0" w:color="auto"/>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r>
      <w:tr w:rsidR="00BF553A" w:rsidRPr="00BF553A" w:rsidTr="00DC71B1">
        <w:trPr>
          <w:trHeight w:val="255"/>
        </w:trPr>
        <w:tc>
          <w:tcPr>
            <w:tcW w:w="4721" w:type="dxa"/>
            <w:gridSpan w:val="3"/>
            <w:tcBorders>
              <w:top w:val="nil"/>
              <w:left w:val="single" w:sz="8" w:space="0" w:color="auto"/>
              <w:bottom w:val="nil"/>
              <w:right w:val="single" w:sz="8" w:space="0" w:color="000000"/>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TMDL Activities</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4441" w:type="dxa"/>
            <w:gridSpan w:val="2"/>
            <w:tcBorders>
              <w:top w:val="nil"/>
              <w:left w:val="nil"/>
              <w:bottom w:val="nil"/>
              <w:right w:val="single" w:sz="8" w:space="0" w:color="000000"/>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Existing Program</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BF553A" w:rsidRPr="00BF553A" w:rsidTr="00DC71B1">
        <w:trPr>
          <w:trHeight w:val="25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Review TMDLs and send notices to States</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619,024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619,024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619,024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1,857,072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xml:space="preserve"> $     619,024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sz w:val="16"/>
                <w:szCs w:val="16"/>
              </w:rPr>
            </w:pPr>
            <w:r w:rsidRPr="00BF553A">
              <w:rPr>
                <w:rFonts w:ascii="Arial" w:hAnsi="Arial" w:cs="Arial"/>
                <w:sz w:val="16"/>
                <w:szCs w:val="16"/>
              </w:rPr>
              <w:t>N/A</w:t>
            </w:r>
          </w:p>
        </w:tc>
      </w:tr>
      <w:tr w:rsidR="00BF553A" w:rsidRPr="00BF553A" w:rsidTr="00DC71B1">
        <w:trPr>
          <w:trHeight w:val="120"/>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r>
      <w:tr w:rsidR="00BF553A" w:rsidRPr="00BF553A" w:rsidTr="00DC71B1">
        <w:trPr>
          <w:trHeight w:val="165"/>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p>
        </w:tc>
        <w:tc>
          <w:tcPr>
            <w:tcW w:w="418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r w:rsidR="00BF553A" w:rsidRPr="00BF553A" w:rsidTr="00DC71B1">
        <w:trPr>
          <w:trHeight w:val="270"/>
        </w:trPr>
        <w:tc>
          <w:tcPr>
            <w:tcW w:w="4721" w:type="dxa"/>
            <w:gridSpan w:val="3"/>
            <w:tcBorders>
              <w:top w:val="nil"/>
              <w:left w:val="single" w:sz="8" w:space="0" w:color="auto"/>
              <w:bottom w:val="nil"/>
              <w:right w:val="single" w:sz="8" w:space="0" w:color="000000"/>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Total for TMDL Activities</w:t>
            </w:r>
          </w:p>
        </w:tc>
        <w:tc>
          <w:tcPr>
            <w:tcW w:w="1241"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619,024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619,024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619,024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1,857,072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619,024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r>
      <w:tr w:rsidR="00BF553A" w:rsidRPr="00BF553A" w:rsidTr="00DC71B1">
        <w:trPr>
          <w:trHeight w:val="90"/>
        </w:trPr>
        <w:tc>
          <w:tcPr>
            <w:tcW w:w="280" w:type="dxa"/>
            <w:tcBorders>
              <w:top w:val="single" w:sz="8" w:space="0" w:color="auto"/>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261" w:type="dxa"/>
            <w:tcBorders>
              <w:top w:val="single" w:sz="8" w:space="0" w:color="auto"/>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4180" w:type="dxa"/>
            <w:tcBorders>
              <w:top w:val="single" w:sz="8" w:space="0" w:color="auto"/>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41" w:type="dxa"/>
            <w:tcBorders>
              <w:top w:val="single" w:sz="8" w:space="0" w:color="auto"/>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single" w:sz="8" w:space="0" w:color="auto"/>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single" w:sz="8" w:space="0" w:color="auto"/>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single" w:sz="8" w:space="0" w:color="auto"/>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single" w:sz="8" w:space="0" w:color="auto"/>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single" w:sz="8" w:space="0" w:color="auto"/>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 </w:t>
            </w:r>
          </w:p>
        </w:tc>
      </w:tr>
      <w:tr w:rsidR="00BF553A" w:rsidRPr="00BF553A" w:rsidTr="00DC71B1">
        <w:trPr>
          <w:trHeight w:val="90"/>
        </w:trPr>
        <w:tc>
          <w:tcPr>
            <w:tcW w:w="280" w:type="dxa"/>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261"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4180" w:type="dxa"/>
            <w:tcBorders>
              <w:top w:val="nil"/>
              <w:left w:val="nil"/>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w:t>
            </w:r>
          </w:p>
        </w:tc>
      </w:tr>
      <w:tr w:rsidR="00BF553A" w:rsidRPr="00BF553A" w:rsidTr="00DC71B1">
        <w:trPr>
          <w:trHeight w:val="255"/>
        </w:trPr>
        <w:tc>
          <w:tcPr>
            <w:tcW w:w="4721" w:type="dxa"/>
            <w:gridSpan w:val="3"/>
            <w:tcBorders>
              <w:top w:val="nil"/>
              <w:left w:val="single" w:sz="8" w:space="0" w:color="auto"/>
              <w:bottom w:val="nil"/>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Total Agency Burden for All Activities</w:t>
            </w:r>
          </w:p>
        </w:tc>
        <w:tc>
          <w:tcPr>
            <w:tcW w:w="1241" w:type="dxa"/>
            <w:tcBorders>
              <w:top w:val="nil"/>
              <w:left w:val="single" w:sz="8" w:space="0" w:color="auto"/>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1,265,896 </w:t>
            </w:r>
          </w:p>
        </w:tc>
        <w:tc>
          <w:tcPr>
            <w:tcW w:w="126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1,265,896 </w:t>
            </w:r>
          </w:p>
        </w:tc>
        <w:tc>
          <w:tcPr>
            <w:tcW w:w="112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$1,265,896 </w:t>
            </w:r>
          </w:p>
        </w:tc>
        <w:tc>
          <w:tcPr>
            <w:tcW w:w="131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3,797,689 </w:t>
            </w:r>
          </w:p>
        </w:tc>
        <w:tc>
          <w:tcPr>
            <w:tcW w:w="1350" w:type="dxa"/>
            <w:tcBorders>
              <w:top w:val="nil"/>
              <w:left w:val="nil"/>
              <w:bottom w:val="nil"/>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b/>
                <w:bCs/>
                <w:sz w:val="16"/>
                <w:szCs w:val="16"/>
              </w:rPr>
            </w:pPr>
            <w:r w:rsidRPr="00BF553A">
              <w:rPr>
                <w:rFonts w:ascii="Arial" w:hAnsi="Arial" w:cs="Arial"/>
                <w:b/>
                <w:bCs/>
                <w:sz w:val="16"/>
                <w:szCs w:val="16"/>
              </w:rPr>
              <w:t xml:space="preserve"> $ 1,265,896 </w:t>
            </w:r>
          </w:p>
        </w:tc>
        <w:tc>
          <w:tcPr>
            <w:tcW w:w="1440" w:type="dxa"/>
            <w:tcBorders>
              <w:top w:val="nil"/>
              <w:left w:val="nil"/>
              <w:bottom w:val="nil"/>
              <w:right w:val="single" w:sz="8" w:space="0" w:color="auto"/>
            </w:tcBorders>
            <w:shd w:val="clear" w:color="auto" w:fill="auto"/>
            <w:noWrap/>
            <w:vAlign w:val="bottom"/>
            <w:hideMark/>
          </w:tcPr>
          <w:p w:rsidR="00BF553A" w:rsidRPr="00BF553A" w:rsidRDefault="00BF553A" w:rsidP="00BF553A">
            <w:pPr>
              <w:widowControl/>
              <w:autoSpaceDE/>
              <w:autoSpaceDN/>
              <w:adjustRightInd/>
              <w:jc w:val="center"/>
              <w:rPr>
                <w:rFonts w:ascii="Arial" w:hAnsi="Arial" w:cs="Arial"/>
                <w:b/>
                <w:bCs/>
                <w:sz w:val="16"/>
                <w:szCs w:val="16"/>
              </w:rPr>
            </w:pPr>
            <w:r w:rsidRPr="00BF553A">
              <w:rPr>
                <w:rFonts w:ascii="Arial" w:hAnsi="Arial" w:cs="Arial"/>
                <w:b/>
                <w:bCs/>
                <w:sz w:val="16"/>
                <w:szCs w:val="16"/>
              </w:rPr>
              <w:t>N/A</w:t>
            </w:r>
          </w:p>
        </w:tc>
      </w:tr>
      <w:tr w:rsidR="00BF553A" w:rsidRPr="00BF553A" w:rsidTr="00DC71B1">
        <w:trPr>
          <w:trHeight w:val="270"/>
        </w:trPr>
        <w:tc>
          <w:tcPr>
            <w:tcW w:w="280" w:type="dxa"/>
            <w:tcBorders>
              <w:top w:val="nil"/>
              <w:left w:val="single" w:sz="8" w:space="0" w:color="auto"/>
              <w:bottom w:val="single" w:sz="8" w:space="0" w:color="auto"/>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261" w:type="dxa"/>
            <w:tcBorders>
              <w:top w:val="nil"/>
              <w:left w:val="nil"/>
              <w:bottom w:val="single" w:sz="8" w:space="0" w:color="auto"/>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4180" w:type="dxa"/>
            <w:tcBorders>
              <w:top w:val="nil"/>
              <w:left w:val="nil"/>
              <w:bottom w:val="single" w:sz="8" w:space="0" w:color="auto"/>
              <w:right w:val="nil"/>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41" w:type="dxa"/>
            <w:tcBorders>
              <w:top w:val="nil"/>
              <w:left w:val="single" w:sz="8" w:space="0" w:color="auto"/>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120" w:type="dxa"/>
            <w:tcBorders>
              <w:top w:val="nil"/>
              <w:left w:val="nil"/>
              <w:bottom w:val="single" w:sz="8" w:space="0" w:color="auto"/>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10"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350" w:type="dxa"/>
            <w:tcBorders>
              <w:top w:val="nil"/>
              <w:left w:val="nil"/>
              <w:bottom w:val="single" w:sz="8" w:space="0" w:color="auto"/>
              <w:right w:val="single" w:sz="4"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c>
          <w:tcPr>
            <w:tcW w:w="1440" w:type="dxa"/>
            <w:tcBorders>
              <w:top w:val="nil"/>
              <w:left w:val="nil"/>
              <w:bottom w:val="single" w:sz="8" w:space="0" w:color="auto"/>
              <w:right w:val="single" w:sz="8" w:space="0" w:color="auto"/>
            </w:tcBorders>
            <w:shd w:val="clear" w:color="auto" w:fill="auto"/>
            <w:noWrap/>
            <w:vAlign w:val="bottom"/>
            <w:hideMark/>
          </w:tcPr>
          <w:p w:rsidR="00BF553A" w:rsidRPr="00BF553A" w:rsidRDefault="00BF553A" w:rsidP="00BF553A">
            <w:pPr>
              <w:widowControl/>
              <w:autoSpaceDE/>
              <w:autoSpaceDN/>
              <w:adjustRightInd/>
              <w:rPr>
                <w:rFonts w:ascii="Arial" w:hAnsi="Arial" w:cs="Arial"/>
                <w:sz w:val="16"/>
                <w:szCs w:val="16"/>
              </w:rPr>
            </w:pPr>
            <w:r w:rsidRPr="00BF553A">
              <w:rPr>
                <w:rFonts w:ascii="Arial" w:hAnsi="Arial" w:cs="Arial"/>
                <w:sz w:val="16"/>
                <w:szCs w:val="16"/>
              </w:rPr>
              <w:t> </w:t>
            </w:r>
          </w:p>
        </w:tc>
      </w:tr>
    </w:tbl>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b/>
          <w:bCs/>
          <w:sz w:val="22"/>
          <w:szCs w:val="22"/>
        </w:rPr>
      </w:pPr>
    </w:p>
    <w:p w:rsidR="00057F95" w:rsidRDefault="00057F95" w:rsidP="00057F95">
      <w:pPr>
        <w:widowControl/>
        <w:rPr>
          <w:rFonts w:ascii="Tms Rmn" w:hAnsi="Tms Rmn"/>
        </w:rPr>
      </w:pPr>
    </w:p>
    <w:p w:rsidR="00AA1CD5" w:rsidRDefault="00AA1CD5" w:rsidP="00CF10BE">
      <w:pPr>
        <w:framePr w:w="16370" w:wrap="auto" w:hAnchor="text" w:x="90"/>
        <w:widowControl/>
        <w:numPr>
          <w:ilvl w:val="12"/>
          <w:numId w:val="0"/>
        </w:numPr>
        <w:tabs>
          <w:tab w:val="left" w:pos="720"/>
          <w:tab w:val="left" w:pos="1440"/>
          <w:tab w:val="left" w:pos="2160"/>
          <w:tab w:val="left" w:pos="2880"/>
          <w:tab w:val="right" w:pos="6655"/>
        </w:tabs>
        <w:rPr>
          <w:sz w:val="22"/>
          <w:szCs w:val="22"/>
        </w:rPr>
        <w:sectPr w:rsidR="00AA1CD5">
          <w:headerReference w:type="default" r:id="rId18"/>
          <w:footerReference w:type="default" r:id="rId19"/>
          <w:pgSz w:w="15840" w:h="12240" w:orient="landscape"/>
          <w:pgMar w:top="1440" w:right="1440" w:bottom="450" w:left="1440" w:header="1440" w:footer="1440" w:gutter="0"/>
          <w:cols w:space="720"/>
          <w:noEndnote/>
        </w:sectPr>
      </w:pPr>
    </w:p>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r>
        <w:rPr>
          <w:rFonts w:ascii="Times New Roman" w:hAnsi="Times New Roman"/>
          <w:b/>
          <w:bCs/>
          <w:sz w:val="22"/>
          <w:szCs w:val="22"/>
        </w:rPr>
        <w:lastRenderedPageBreak/>
        <w:t>APPENDIX A: LANGUAGE OF THE CLEAN WATER ACT</w:t>
      </w:r>
    </w:p>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r>
        <w:rPr>
          <w:rFonts w:ascii="Arial" w:hAnsi="Arial" w:cs="Arial"/>
        </w:rPr>
        <w:t>Section 303(d)</w:t>
      </w:r>
    </w:p>
    <w:p w:rsidR="00AA1CD5" w:rsidRDefault="00AA1CD5" w:rsidP="00AA1CD5">
      <w:pPr>
        <w:widowControl/>
        <w:numPr>
          <w:ilvl w:val="12"/>
          <w:numId w:val="0"/>
        </w:numPr>
        <w:tabs>
          <w:tab w:val="left" w:pos="720"/>
          <w:tab w:val="left" w:pos="1440"/>
          <w:tab w:val="left" w:pos="2160"/>
          <w:tab w:val="left" w:pos="2880"/>
          <w:tab w:val="right" w:pos="6655"/>
        </w:tabs>
        <w:ind w:left="720" w:hanging="720"/>
        <w:rPr>
          <w:rFonts w:ascii="Times New Roman" w:hAnsi="Times New Roman"/>
          <w:sz w:val="22"/>
          <w:szCs w:val="22"/>
        </w:rPr>
      </w:pPr>
      <w:r>
        <w:rPr>
          <w:rFonts w:ascii="Times New Roman" w:hAnsi="Times New Roman"/>
          <w:sz w:val="22"/>
          <w:szCs w:val="22"/>
        </w:rPr>
        <w:t>(1)(A)</w:t>
      </w:r>
      <w:r>
        <w:rPr>
          <w:rFonts w:ascii="Times New Roman" w:hAnsi="Times New Roman"/>
          <w:sz w:val="22"/>
          <w:szCs w:val="22"/>
        </w:rPr>
        <w:tab/>
        <w:t>Each State shall identify those waters within its boundaries for which the effluent limitations required by section 301(b</w:t>
      </w:r>
      <w:proofErr w:type="gramStart"/>
      <w:r>
        <w:rPr>
          <w:rFonts w:ascii="Times New Roman" w:hAnsi="Times New Roman"/>
          <w:sz w:val="22"/>
          <w:szCs w:val="22"/>
        </w:rPr>
        <w:t>)(</w:t>
      </w:r>
      <w:proofErr w:type="gramEnd"/>
      <w:r>
        <w:rPr>
          <w:rFonts w:ascii="Times New Roman" w:hAnsi="Times New Roman"/>
          <w:sz w:val="22"/>
          <w:szCs w:val="22"/>
        </w:rPr>
        <w:t>1)(A) and section 301(b)(1)(B) are not stringent enough to implement any water quality standard applicable to such waters.  The State shall establish a priority ranking for such waters, taking into account the severity of the pollution and the uses to be made of such waters.</w:t>
      </w: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Default="00AA1CD5" w:rsidP="00AA1CD5">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Default="00AA1CD5" w:rsidP="00AA1CD5">
      <w:pPr>
        <w:widowControl/>
        <w:numPr>
          <w:ilvl w:val="12"/>
          <w:numId w:val="0"/>
        </w:numPr>
        <w:tabs>
          <w:tab w:val="left" w:pos="720"/>
          <w:tab w:val="left" w:pos="1440"/>
          <w:tab w:val="left" w:pos="2160"/>
          <w:tab w:val="left" w:pos="2880"/>
          <w:tab w:val="right" w:pos="6655"/>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Default="00AA1CD5" w:rsidP="00AA1CD5">
      <w:pPr>
        <w:widowControl/>
        <w:numPr>
          <w:ilvl w:val="12"/>
          <w:numId w:val="0"/>
        </w:numPr>
        <w:tabs>
          <w:tab w:val="left" w:pos="720"/>
          <w:tab w:val="left" w:pos="1440"/>
          <w:tab w:val="left" w:pos="2160"/>
          <w:tab w:val="left" w:pos="2880"/>
          <w:tab w:val="right" w:pos="6655"/>
        </w:tabs>
        <w:ind w:left="1440" w:hanging="720"/>
        <w:rPr>
          <w:rFonts w:ascii="Arial" w:hAnsi="Arial" w:cs="Arial"/>
        </w:rPr>
      </w:pPr>
      <w:r>
        <w:rPr>
          <w:rFonts w:ascii="Times New Roman" w:hAnsi="Times New Roman"/>
          <w:sz w:val="22"/>
          <w:szCs w:val="22"/>
        </w:rPr>
        <w:t>(D)</w:t>
      </w:r>
      <w:r>
        <w:rPr>
          <w:rFonts w:ascii="Times New Roman" w:hAnsi="Times New Roman"/>
          <w:sz w:val="22"/>
          <w:szCs w:val="22"/>
        </w:rPr>
        <w:tab/>
        <w:t>Each State shall estimate for the waters identified in paragraph (1</w:t>
      </w:r>
      <w:proofErr w:type="gramStart"/>
      <w:r>
        <w:rPr>
          <w:rFonts w:ascii="Times New Roman" w:hAnsi="Times New Roman"/>
          <w:sz w:val="22"/>
          <w:szCs w:val="22"/>
        </w:rPr>
        <w:t>)(</w:t>
      </w:r>
      <w:proofErr w:type="gramEnd"/>
      <w:r>
        <w:rPr>
          <w:rFonts w:ascii="Times New Roman" w:hAnsi="Times New Roman"/>
          <w:sz w:val="22"/>
          <w:szCs w:val="22"/>
        </w:rPr>
        <w:t>B) of this subsection the total maximum daily thermal load required to assure protection and propagation of a balanced, indigenous population of shellfish, fish, and wildlife...</w:t>
      </w:r>
    </w:p>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rsidR="00AA1CD5" w:rsidRDefault="00AA1CD5" w:rsidP="00AA1CD5">
      <w:pPr>
        <w:widowControl/>
        <w:numPr>
          <w:ilvl w:val="12"/>
          <w:numId w:val="0"/>
        </w:numPr>
        <w:tabs>
          <w:tab w:val="left" w:pos="720"/>
          <w:tab w:val="left" w:pos="1440"/>
          <w:tab w:val="left" w:pos="2160"/>
          <w:tab w:val="left" w:pos="2880"/>
          <w:tab w:val="right" w:pos="6655"/>
        </w:tabs>
        <w:ind w:left="720" w:hanging="720"/>
        <w:rPr>
          <w:rFonts w:ascii="Arial" w:hAnsi="Arial" w:cs="Arial"/>
        </w:rPr>
      </w:pPr>
      <w:r>
        <w:rPr>
          <w:rFonts w:ascii="Times New Roman" w:hAnsi="Times New Roman"/>
          <w:sz w:val="22"/>
          <w:szCs w:val="22"/>
        </w:rPr>
        <w:t>(2)</w:t>
      </w:r>
      <w:r>
        <w:rPr>
          <w:rFonts w:ascii="Times New Roman" w:hAnsi="Times New Roman"/>
          <w:sz w:val="22"/>
          <w:szCs w:val="22"/>
        </w:rPr>
        <w:tab/>
        <w:t>Each State shall submit to the Administrator, from time to time, with the first submission not later than one hundred and eighty days after the date of publication of the first identification of pollutants under section 304(a</w:t>
      </w:r>
      <w:proofErr w:type="gramStart"/>
      <w:r>
        <w:rPr>
          <w:rFonts w:ascii="Times New Roman" w:hAnsi="Times New Roman"/>
          <w:sz w:val="22"/>
          <w:szCs w:val="22"/>
        </w:rPr>
        <w:t>)(</w:t>
      </w:r>
      <w:proofErr w:type="gramEnd"/>
      <w:r>
        <w:rPr>
          <w:rFonts w:ascii="Times New Roman" w:hAnsi="Times New Roman"/>
          <w:sz w:val="22"/>
          <w:szCs w:val="22"/>
        </w:rPr>
        <w:t>2)(D), for his approval the waters identified and the loads established under paragraphs (1)(A), (1)(B), (1)(C), and (1)(D) of this subsection..</w:t>
      </w:r>
    </w:p>
    <w:p w:rsidR="00AA1CD5" w:rsidRDefault="00AA1CD5" w:rsidP="00AA1CD5">
      <w:pPr>
        <w:widowControl/>
        <w:numPr>
          <w:ilvl w:val="12"/>
          <w:numId w:val="0"/>
        </w:numPr>
        <w:tabs>
          <w:tab w:val="left" w:pos="720"/>
          <w:tab w:val="left" w:pos="1440"/>
          <w:tab w:val="left" w:pos="2160"/>
          <w:tab w:val="left" w:pos="2880"/>
          <w:tab w:val="right" w:pos="6655"/>
        </w:tabs>
        <w:rPr>
          <w:rFonts w:ascii="Arial" w:hAnsi="Arial" w:cs="Arial"/>
        </w:rPr>
      </w:pP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r>
        <w:rPr>
          <w:rFonts w:ascii="Times New Roman" w:hAnsi="Times New Roman"/>
          <w:sz w:val="22"/>
          <w:szCs w:val="22"/>
        </w:rPr>
        <w:t>Section 305(b):</w:t>
      </w:r>
    </w:p>
    <w:p w:rsidR="00AA1CD5" w:rsidRDefault="00AA1CD5" w:rsidP="00AA1CD5">
      <w:pPr>
        <w:widowControl/>
        <w:numPr>
          <w:ilvl w:val="12"/>
          <w:numId w:val="0"/>
        </w:numPr>
        <w:tabs>
          <w:tab w:val="left" w:pos="720"/>
          <w:tab w:val="left" w:pos="1440"/>
          <w:tab w:val="left" w:pos="2160"/>
          <w:tab w:val="left" w:pos="2880"/>
          <w:tab w:val="right" w:pos="6655"/>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Each State shall prepare and submit to the Administrator by April 1, 1975, and shall bring up to date by April 1, 1976, and biennially thereafter, a report which shall include -</w:t>
      </w:r>
      <w:r>
        <w:rPr>
          <w:rFonts w:ascii="Times New Roman" w:hAnsi="Times New Roman"/>
          <w:sz w:val="22"/>
          <w:szCs w:val="22"/>
        </w:rPr>
        <w:softHyphen/>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a description of the water quality of all navigable waters in such State during the preceding year, with appropriate supplemental descriptions as shall be required to take into account seasonal, tidal, and other variations, correlated with the quality of water required by the objective of this Act (as identified by the Administrator pursuant to criteria published under section 304(a) of this Act) and the water quality described in subparagraph (B) of this paragraph;</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an analysis of the extent to which all navigable waters of such State provide for the protection and propagation of a balanced population of shellfish, fish, and wildlife, and allow recreational activities in and on the water;</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lastRenderedPageBreak/>
        <w:t>(C)</w:t>
      </w:r>
      <w:r>
        <w:rPr>
          <w:rFonts w:ascii="Times New Roman" w:hAnsi="Times New Roman"/>
          <w:sz w:val="22"/>
          <w:szCs w:val="22"/>
        </w:rPr>
        <w:tab/>
        <w:t>an analysis of the extent to which the elimination of the discharge of pollutants and a level of water quality which provides for the protection and propagation of a balanced population of shellfish, fish, and wildlife and allows recreational activities in and on the water, have been or will be achieved by the requirements of this Act, together with recommendations as to additional action necessary to achieve such objectives and for what waters such additional action is necessary;</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an estimate of (</w:t>
      </w:r>
      <w:proofErr w:type="spellStart"/>
      <w:r>
        <w:rPr>
          <w:rFonts w:ascii="Times New Roman" w:hAnsi="Times New Roman"/>
          <w:sz w:val="22"/>
          <w:szCs w:val="22"/>
        </w:rPr>
        <w:t>i</w:t>
      </w:r>
      <w:proofErr w:type="spellEnd"/>
      <w:r>
        <w:rPr>
          <w:rFonts w:ascii="Times New Roman" w:hAnsi="Times New Roman"/>
          <w:sz w:val="22"/>
          <w:szCs w:val="22"/>
        </w:rPr>
        <w:t>) the environmental impact, (ii) the economic and social costs necessary to achieve the objective of this Act in such State, (iii) the economic and social benefits of such achievement, and (iv) an estimate of the date of such achievement; and</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proofErr w:type="gramStart"/>
      <w:r>
        <w:rPr>
          <w:rFonts w:ascii="Times New Roman" w:hAnsi="Times New Roman"/>
          <w:sz w:val="22"/>
          <w:szCs w:val="22"/>
        </w:rPr>
        <w:t>a</w:t>
      </w:r>
      <w:proofErr w:type="gramEnd"/>
      <w:r>
        <w:rPr>
          <w:rFonts w:ascii="Times New Roman" w:hAnsi="Times New Roman"/>
          <w:sz w:val="22"/>
          <w:szCs w:val="22"/>
        </w:rPr>
        <w:t xml:space="preserve"> description of the nature and extent of nonpoint sources of pollutants and recommendations as to the programs which must be undertaken to control each category of such sources, including an estimate of the costs of implementing such programs.”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Section 314(a):</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 xml:space="preserve">State program requirements.  – Each State on a biennial basis shall prepare and submit to the Administrator for his </w:t>
      </w:r>
      <w:proofErr w:type="gramStart"/>
      <w:r>
        <w:rPr>
          <w:rFonts w:ascii="Times New Roman" w:hAnsi="Times New Roman"/>
          <w:sz w:val="22"/>
          <w:szCs w:val="22"/>
        </w:rPr>
        <w:t>approval  –</w:t>
      </w:r>
      <w:proofErr w:type="gramEnd"/>
      <w:r>
        <w:rPr>
          <w:rFonts w:ascii="Times New Roman" w:hAnsi="Times New Roman"/>
          <w:sz w:val="22"/>
          <w:szCs w:val="22"/>
        </w:rPr>
        <w:t xml:space="preserve"> </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proofErr w:type="gramStart"/>
      <w:r>
        <w:rPr>
          <w:rFonts w:ascii="Times New Roman" w:hAnsi="Times New Roman"/>
          <w:sz w:val="22"/>
          <w:szCs w:val="22"/>
        </w:rPr>
        <w:t>an</w:t>
      </w:r>
      <w:proofErr w:type="gramEnd"/>
      <w:r>
        <w:rPr>
          <w:rFonts w:ascii="Times New Roman" w:hAnsi="Times New Roman"/>
          <w:sz w:val="22"/>
          <w:szCs w:val="22"/>
        </w:rPr>
        <w:t xml:space="preserve"> identification and classification according to </w:t>
      </w:r>
      <w:proofErr w:type="spellStart"/>
      <w:r>
        <w:rPr>
          <w:rFonts w:ascii="Times New Roman" w:hAnsi="Times New Roman"/>
          <w:sz w:val="22"/>
          <w:szCs w:val="22"/>
        </w:rPr>
        <w:t>eutrophic</w:t>
      </w:r>
      <w:proofErr w:type="spellEnd"/>
      <w:r>
        <w:rPr>
          <w:rFonts w:ascii="Times New Roman" w:hAnsi="Times New Roman"/>
          <w:sz w:val="22"/>
          <w:szCs w:val="22"/>
        </w:rPr>
        <w:t xml:space="preserve"> condition of all publicly owned lakes in such State;</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proofErr w:type="gramStart"/>
      <w:r>
        <w:rPr>
          <w:rFonts w:ascii="Times New Roman" w:hAnsi="Times New Roman"/>
          <w:sz w:val="22"/>
          <w:szCs w:val="22"/>
        </w:rPr>
        <w:t>a</w:t>
      </w:r>
      <w:proofErr w:type="gramEnd"/>
      <w:r>
        <w:rPr>
          <w:rFonts w:ascii="Times New Roman" w:hAnsi="Times New Roman"/>
          <w:sz w:val="22"/>
          <w:szCs w:val="22"/>
        </w:rPr>
        <w:t xml:space="preserve"> description of the procedures, processes, and methods (including land use requirements) to control sources of pollution of such lakes;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proofErr w:type="gramStart"/>
      <w:r>
        <w:rPr>
          <w:rFonts w:ascii="Times New Roman" w:hAnsi="Times New Roman"/>
          <w:sz w:val="22"/>
          <w:szCs w:val="22"/>
        </w:rPr>
        <w:t>a</w:t>
      </w:r>
      <w:proofErr w:type="gramEnd"/>
      <w:r>
        <w:rPr>
          <w:rFonts w:ascii="Times New Roman" w:hAnsi="Times New Roman"/>
          <w:sz w:val="22"/>
          <w:szCs w:val="22"/>
        </w:rPr>
        <w:t xml:space="preserve"> description of the methods and procedures, in conjunction with appropriate Federal agencies, to restore the quality of such lakes;</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methods and procedures to mitigate the harmful effects of high acidity, including innovative methods of neutralizing and restoring buffering capacity of lakes and methods of removing from lakes toxic metals and other toxic substances mobilized by acidity;</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a list and description of those publicly owned lakes in such State for which uses are known to be impaired, including those lakes which are known not to meet applicable water quality standards or which require implementation of control programs to maintain compliance with applicable standards and those lakes in which water quality has deteriorated as a result of high acidity that may reasonably be due to acid deposition; and</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t>an assessment of the status and trends of water quality in lakes in such State, including but not limited to, the nature and extent of pollution loading from point and nonpoint sources and the extent to which the use of lakes is impaired as a result of such pollution, particularly with respect to toxic pollution.</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Submission as Part 305(b</w:t>
      </w:r>
      <w:proofErr w:type="gramStart"/>
      <w:r>
        <w:rPr>
          <w:rFonts w:ascii="Times New Roman" w:hAnsi="Times New Roman"/>
          <w:sz w:val="22"/>
          <w:szCs w:val="22"/>
        </w:rPr>
        <w:t>)(</w:t>
      </w:r>
      <w:proofErr w:type="gramEnd"/>
      <w:r>
        <w:rPr>
          <w:rFonts w:ascii="Times New Roman" w:hAnsi="Times New Roman"/>
          <w:sz w:val="22"/>
          <w:szCs w:val="22"/>
        </w:rPr>
        <w:t xml:space="preserve">1) Report. </w:t>
      </w:r>
      <w:proofErr w:type="gramStart"/>
      <w:r>
        <w:rPr>
          <w:rFonts w:ascii="Times New Roman" w:hAnsi="Times New Roman"/>
          <w:sz w:val="22"/>
          <w:szCs w:val="22"/>
        </w:rPr>
        <w:t>–  The</w:t>
      </w:r>
      <w:proofErr w:type="gramEnd"/>
      <w:r>
        <w:rPr>
          <w:rFonts w:ascii="Times New Roman" w:hAnsi="Times New Roman"/>
          <w:sz w:val="22"/>
          <w:szCs w:val="22"/>
        </w:rPr>
        <w:t xml:space="preserve"> information required under paragraph (1) shall be included in the report required under section 305(b)(1) of this Act, beginning with the report required under such section by April 1, 1988.</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Section 106:</w:t>
      </w:r>
    </w:p>
    <w:p w:rsidR="00AA1CD5" w:rsidRDefault="00AA1CD5" w:rsidP="00AA1CD5">
      <w:pPr>
        <w:widowControl/>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t xml:space="preserve">Beginning in fiscal year 1974 the Administrator shall not make any grant under this section to any State which has not provided or is not carrying out as a part of its program –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(1</w:t>
      </w:r>
      <w:proofErr w:type="gramStart"/>
      <w:r>
        <w:rPr>
          <w:rFonts w:ascii="Times New Roman" w:hAnsi="Times New Roman"/>
          <w:sz w:val="22"/>
          <w:szCs w:val="22"/>
        </w:rPr>
        <w:t>)  the</w:t>
      </w:r>
      <w:proofErr w:type="gramEnd"/>
      <w:r>
        <w:rPr>
          <w:rFonts w:ascii="Times New Roman" w:hAnsi="Times New Roman"/>
          <w:sz w:val="22"/>
          <w:szCs w:val="22"/>
        </w:rPr>
        <w:t xml:space="preserve"> establishment and operation of the appropriate devices, methods, systems, and procedures necessary to monitor, and to compile and analyze data on (including classification according to </w:t>
      </w:r>
      <w:proofErr w:type="spellStart"/>
      <w:r>
        <w:rPr>
          <w:rFonts w:ascii="Times New Roman" w:hAnsi="Times New Roman"/>
          <w:sz w:val="22"/>
          <w:szCs w:val="22"/>
        </w:rPr>
        <w:t>eutrophic</w:t>
      </w:r>
      <w:proofErr w:type="spellEnd"/>
      <w:r>
        <w:rPr>
          <w:rFonts w:ascii="Times New Roman" w:hAnsi="Times New Roman"/>
          <w:sz w:val="22"/>
          <w:szCs w:val="22"/>
        </w:rPr>
        <w:t xml:space="preserve"> condition), the quality of navigable waters and to the extent practicable, ground waters including biological monitoring; and provision for annually updating such data and including it in the report required under section 305 of this Act;”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AA1CD5">
          <w:headerReference w:type="default" r:id="rId20"/>
          <w:footerReference w:type="default" r:id="rId21"/>
          <w:pgSz w:w="12240" w:h="15840"/>
          <w:pgMar w:top="1699" w:right="1440" w:bottom="1440" w:left="1440" w:header="1440" w:footer="1440" w:gutter="0"/>
          <w:pgNumType w:start="1"/>
          <w:cols w:space="720"/>
          <w:noEndnote/>
        </w:sect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Pr>
          <w:rFonts w:ascii="Times New Roman" w:hAnsi="Times New Roman"/>
          <w:b/>
          <w:bCs/>
          <w:sz w:val="22"/>
          <w:szCs w:val="22"/>
        </w:rPr>
        <w:t>APPENDIX B: DERIVATION OF REPORTING BURDEN ESTIMATES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B.1 Respondent Burden Estimates for 305(b) and 303(d) Reporting Activities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For current 305(b) and 303(d) reporting activities, the primary source we use in estimating burden for tasks to be performed by States is the State Water Quality Management Workload Model (SWQMWM), which estimates and sums the workload involved in more than one hundred activities or tasks comprising a State water quality management program.</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 xml:space="preserve">The SWQMWM is designed to allow a State to enter its own values for workload to be accomplished, FTE hours required to perform tasks, and the average State salary per FTE hour.  Roughly half of the States entered their own data and used the model to develop their own estimate of their program “needs”.  </w:t>
      </w:r>
      <w:r w:rsidR="00E272C8">
        <w:rPr>
          <w:rFonts w:ascii="Times New Roman" w:hAnsi="Times New Roman"/>
          <w:sz w:val="22"/>
          <w:szCs w:val="22"/>
        </w:rPr>
        <w:t>Twenty States</w:t>
      </w:r>
      <w:r>
        <w:rPr>
          <w:rFonts w:ascii="Times New Roman" w:hAnsi="Times New Roman"/>
          <w:sz w:val="22"/>
          <w:szCs w:val="22"/>
        </w:rPr>
        <w:t xml:space="preserve"> used the model comprehensively, estimating their task-by-task needs for performing all activities.  These 20 States appear to comprise a representative cross-section of all States in terms of geography and size of their water programs.  For this analysis, we use the average “need” for a given task, estimated across these 20 States, as our estimate for the burden required for a typical State to perform this task</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The following table summarizes the average of the annual need reported by the 20 States in the SWQMWM.</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r>
        <w:rPr>
          <w:rFonts w:ascii="Times New Roman" w:hAnsi="Times New Roman"/>
          <w:b/>
          <w:bCs/>
          <w:sz w:val="22"/>
          <w:szCs w:val="22"/>
        </w:rPr>
        <w:t>Exhibit B-1 Average of Annual Need from SWQMWM for 305(b) and 303(d) Reporting Activities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tblInd w:w="19" w:type="dxa"/>
        <w:tblLayout w:type="fixed"/>
        <w:tblCellMar>
          <w:left w:w="19" w:type="dxa"/>
          <w:right w:w="19" w:type="dxa"/>
        </w:tblCellMar>
        <w:tblLook w:val="0000"/>
      </w:tblPr>
      <w:tblGrid>
        <w:gridCol w:w="5220"/>
        <w:gridCol w:w="1710"/>
        <w:gridCol w:w="1350"/>
        <w:gridCol w:w="1080"/>
      </w:tblGrid>
      <w:tr w:rsidR="00AA1CD5">
        <w:tblPrEx>
          <w:tblCellMar>
            <w:top w:w="0" w:type="dxa"/>
            <w:bottom w:w="0" w:type="dxa"/>
          </w:tblCellMar>
        </w:tblPrEx>
        <w:tc>
          <w:tcPr>
            <w:tcW w:w="5220" w:type="dxa"/>
            <w:tcBorders>
              <w:top w:val="single" w:sz="6" w:space="0" w:color="000000"/>
              <w:left w:val="single" w:sz="6" w:space="0" w:color="000000"/>
              <w:bottom w:val="single" w:sz="6" w:space="0" w:color="000000"/>
              <w:right w:val="nil"/>
            </w:tcBorders>
            <w:vAlign w:val="bottom"/>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jc w:val="center"/>
              <w:rPr>
                <w:sz w:val="20"/>
                <w:szCs w:val="20"/>
              </w:rPr>
            </w:pPr>
            <w:r>
              <w:rPr>
                <w:rFonts w:ascii="Arial" w:hAnsi="Arial" w:cs="Arial"/>
                <w:b/>
                <w:bCs/>
                <w:sz w:val="20"/>
                <w:szCs w:val="20"/>
              </w:rPr>
              <w:t>Activity</w:t>
            </w:r>
          </w:p>
        </w:tc>
        <w:tc>
          <w:tcPr>
            <w:tcW w:w="1710" w:type="dxa"/>
            <w:tcBorders>
              <w:top w:val="single" w:sz="6" w:space="0" w:color="000000"/>
              <w:left w:val="single" w:sz="6" w:space="0" w:color="000000"/>
              <w:bottom w:val="single" w:sz="6" w:space="0" w:color="000000"/>
              <w:right w:val="nil"/>
            </w:tcBorders>
            <w:vAlign w:val="bottom"/>
          </w:tcPr>
          <w:p w:rsidR="00AA1CD5" w:rsidRDefault="00AA1CD5" w:rsidP="00AA1CD5">
            <w:pPr>
              <w:widowControl/>
              <w:numPr>
                <w:ilvl w:val="12"/>
                <w:numId w:val="0"/>
              </w:numPr>
              <w:tabs>
                <w:tab w:val="left" w:pos="-1440"/>
                <w:tab w:val="left" w:pos="-720"/>
                <w:tab w:val="left" w:pos="0"/>
                <w:tab w:val="left" w:pos="720"/>
                <w:tab w:val="left" w:pos="1440"/>
              </w:tabs>
              <w:jc w:val="center"/>
              <w:rPr>
                <w:rFonts w:ascii="Arial" w:hAnsi="Arial" w:cs="Arial"/>
                <w:b/>
                <w:bCs/>
                <w:sz w:val="20"/>
                <w:szCs w:val="20"/>
              </w:rPr>
            </w:pPr>
            <w:r>
              <w:rPr>
                <w:rFonts w:ascii="Arial" w:hAnsi="Arial" w:cs="Arial"/>
                <w:b/>
                <w:bCs/>
                <w:sz w:val="20"/>
                <w:szCs w:val="20"/>
              </w:rPr>
              <w:t>FTE-hrs/</w:t>
            </w:r>
          </w:p>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b/>
                <w:bCs/>
                <w:sz w:val="20"/>
                <w:szCs w:val="20"/>
              </w:rPr>
              <w:t>Year/respondent</w:t>
            </w:r>
          </w:p>
        </w:tc>
        <w:tc>
          <w:tcPr>
            <w:tcW w:w="1350" w:type="dxa"/>
            <w:tcBorders>
              <w:top w:val="single" w:sz="6" w:space="0" w:color="000000"/>
              <w:left w:val="single" w:sz="6" w:space="0" w:color="000000"/>
              <w:bottom w:val="single" w:sz="6" w:space="0" w:color="000000"/>
              <w:right w:val="nil"/>
            </w:tcBorders>
            <w:vAlign w:val="bottom"/>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b/>
                <w:bCs/>
                <w:sz w:val="20"/>
                <w:szCs w:val="20"/>
              </w:rPr>
              <w:t># of Respondents</w:t>
            </w:r>
          </w:p>
        </w:tc>
        <w:tc>
          <w:tcPr>
            <w:tcW w:w="1080" w:type="dxa"/>
            <w:tcBorders>
              <w:top w:val="single" w:sz="6" w:space="0" w:color="000000"/>
              <w:left w:val="single" w:sz="6" w:space="0" w:color="000000"/>
              <w:bottom w:val="single" w:sz="6" w:space="0" w:color="000000"/>
              <w:right w:val="single" w:sz="6" w:space="0" w:color="000000"/>
            </w:tcBorders>
            <w:vAlign w:val="bottom"/>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b/>
                <w:bCs/>
                <w:sz w:val="20"/>
                <w:szCs w:val="20"/>
              </w:rPr>
              <w:t>Total Annual Burden</w:t>
            </w:r>
          </w:p>
        </w:tc>
      </w:tr>
      <w:tr w:rsidR="00AA1CD5">
        <w:tblPrEx>
          <w:tblCellMar>
            <w:top w:w="0" w:type="dxa"/>
            <w:bottom w:w="0" w:type="dxa"/>
          </w:tblCellMar>
        </w:tblPrEx>
        <w:trPr>
          <w:trHeight w:val="343"/>
        </w:trPr>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 xml:space="preserve">1.    Review </w:t>
            </w:r>
            <w:proofErr w:type="spellStart"/>
            <w:r>
              <w:rPr>
                <w:rFonts w:ascii="Arial" w:hAnsi="Arial" w:cs="Arial"/>
                <w:sz w:val="18"/>
                <w:szCs w:val="18"/>
              </w:rPr>
              <w:t>regs</w:t>
            </w:r>
            <w:proofErr w:type="spellEnd"/>
            <w:r>
              <w:rPr>
                <w:rFonts w:ascii="Arial" w:hAnsi="Arial" w:cs="Arial"/>
                <w:sz w:val="18"/>
                <w:szCs w:val="18"/>
              </w:rPr>
              <w:t xml:space="preserve"> and guidance for 305(b) &amp; 303(d)</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126</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7,434</w:t>
            </w:r>
          </w:p>
        </w:tc>
      </w:tr>
      <w:tr w:rsidR="00AA1CD5">
        <w:tblPrEx>
          <w:tblCellMar>
            <w:top w:w="0" w:type="dxa"/>
            <w:bottom w:w="0" w:type="dxa"/>
          </w:tblCellMar>
        </w:tblPrEx>
        <w:trPr>
          <w:trHeight w:val="493"/>
        </w:trPr>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2.    Plan and coordinate data acquisition and compile and screen data for assessments</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1,110</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65,490</w:t>
            </w:r>
          </w:p>
        </w:tc>
      </w:tr>
      <w:tr w:rsidR="00AA1CD5">
        <w:tblPrEx>
          <w:tblCellMar>
            <w:top w:w="0" w:type="dxa"/>
            <w:bottom w:w="0" w:type="dxa"/>
          </w:tblCellMar>
        </w:tblPrEx>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3.    Development and submission of complete 305(b) report and response to EPA comments</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1,407</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rFonts w:ascii="Arial" w:hAnsi="Arial" w:cs="Arial"/>
                <w:sz w:val="20"/>
                <w:szCs w:val="20"/>
              </w:rPr>
            </w:pPr>
            <w:r>
              <w:rPr>
                <w:rFonts w:ascii="Arial" w:hAnsi="Arial" w:cs="Arial"/>
                <w:sz w:val="20"/>
                <w:szCs w:val="20"/>
              </w:rPr>
              <w:t>83,013</w:t>
            </w:r>
          </w:p>
          <w:p w:rsidR="00AA1CD5" w:rsidRDefault="00AA1CD5" w:rsidP="00AA1CD5">
            <w:pPr>
              <w:widowControl/>
              <w:numPr>
                <w:ilvl w:val="12"/>
                <w:numId w:val="0"/>
              </w:numPr>
              <w:tabs>
                <w:tab w:val="left" w:pos="-1440"/>
                <w:tab w:val="left" w:pos="-720"/>
                <w:tab w:val="left" w:pos="0"/>
                <w:tab w:val="left" w:pos="720"/>
              </w:tabs>
              <w:rPr>
                <w:sz w:val="20"/>
                <w:szCs w:val="20"/>
              </w:rPr>
            </w:pPr>
          </w:p>
        </w:tc>
      </w:tr>
      <w:tr w:rsidR="00AA1CD5">
        <w:tblPrEx>
          <w:tblCellMar>
            <w:top w:w="0" w:type="dxa"/>
            <w:bottom w:w="0" w:type="dxa"/>
          </w:tblCellMar>
        </w:tblPrEx>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4.    Develop, review and update 303(d) listing and de-listing methodology</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831</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rFonts w:ascii="Arial" w:hAnsi="Arial" w:cs="Arial"/>
                <w:sz w:val="20"/>
                <w:szCs w:val="20"/>
              </w:rPr>
            </w:pPr>
            <w:r>
              <w:rPr>
                <w:rFonts w:ascii="Arial" w:hAnsi="Arial" w:cs="Arial"/>
                <w:sz w:val="20"/>
                <w:szCs w:val="20"/>
              </w:rPr>
              <w:t>46,536</w:t>
            </w:r>
          </w:p>
          <w:p w:rsidR="00AA1CD5" w:rsidRDefault="00AA1CD5" w:rsidP="00AA1CD5">
            <w:pPr>
              <w:widowControl/>
              <w:numPr>
                <w:ilvl w:val="12"/>
                <w:numId w:val="0"/>
              </w:numPr>
              <w:tabs>
                <w:tab w:val="left" w:pos="-1440"/>
                <w:tab w:val="left" w:pos="-720"/>
                <w:tab w:val="left" w:pos="0"/>
                <w:tab w:val="left" w:pos="720"/>
              </w:tabs>
              <w:rPr>
                <w:sz w:val="20"/>
                <w:szCs w:val="20"/>
              </w:rPr>
            </w:pPr>
          </w:p>
        </w:tc>
      </w:tr>
      <w:tr w:rsidR="00AA1CD5">
        <w:tblPrEx>
          <w:tblCellMar>
            <w:top w:w="0" w:type="dxa"/>
            <w:bottom w:w="0" w:type="dxa"/>
          </w:tblCellMar>
        </w:tblPrEx>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5.    Prepare 303(d) list (includes identifying waters, setting priorities, and schedules)</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2,208</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rFonts w:ascii="Arial" w:hAnsi="Arial" w:cs="Arial"/>
                <w:sz w:val="20"/>
                <w:szCs w:val="20"/>
              </w:rPr>
            </w:pPr>
            <w:r>
              <w:rPr>
                <w:rFonts w:ascii="Arial" w:hAnsi="Arial" w:cs="Arial"/>
                <w:sz w:val="20"/>
                <w:szCs w:val="20"/>
              </w:rPr>
              <w:t>123,648</w:t>
            </w:r>
          </w:p>
          <w:p w:rsidR="00AA1CD5" w:rsidRDefault="00AA1CD5" w:rsidP="00AA1CD5">
            <w:pPr>
              <w:widowControl/>
              <w:numPr>
                <w:ilvl w:val="12"/>
                <w:numId w:val="0"/>
              </w:numPr>
              <w:tabs>
                <w:tab w:val="left" w:pos="-1440"/>
                <w:tab w:val="left" w:pos="-720"/>
                <w:tab w:val="left" w:pos="0"/>
                <w:tab w:val="left" w:pos="720"/>
              </w:tabs>
              <w:rPr>
                <w:sz w:val="20"/>
                <w:szCs w:val="20"/>
              </w:rPr>
            </w:pPr>
          </w:p>
        </w:tc>
      </w:tr>
      <w:tr w:rsidR="00AA1CD5">
        <w:tblPrEx>
          <w:tblCellMar>
            <w:top w:w="0" w:type="dxa"/>
            <w:bottom w:w="0" w:type="dxa"/>
          </w:tblCellMar>
        </w:tblPrEx>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6.    Required public outreach for 303(d) list</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265</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14,840</w:t>
            </w:r>
          </w:p>
        </w:tc>
      </w:tr>
      <w:tr w:rsidR="00AA1CD5">
        <w:tblPrEx>
          <w:tblCellMar>
            <w:top w:w="0" w:type="dxa"/>
            <w:bottom w:w="0" w:type="dxa"/>
          </w:tblCellMar>
        </w:tblPrEx>
        <w:trPr>
          <w:trHeight w:val="493"/>
        </w:trPr>
        <w:tc>
          <w:tcPr>
            <w:tcW w:w="522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7.    Submission of 303(d) list to EPA and response to EPA comments</w:t>
            </w:r>
          </w:p>
        </w:tc>
        <w:tc>
          <w:tcPr>
            <w:tcW w:w="171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218</w:t>
            </w:r>
          </w:p>
        </w:tc>
        <w:tc>
          <w:tcPr>
            <w:tcW w:w="1350" w:type="dxa"/>
            <w:tcBorders>
              <w:top w:val="single" w:sz="6" w:space="0" w:color="000000"/>
              <w:left w:val="single" w:sz="6" w:space="0" w:color="000000"/>
              <w:bottom w:val="nil"/>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56</w:t>
            </w:r>
          </w:p>
        </w:tc>
        <w:tc>
          <w:tcPr>
            <w:tcW w:w="1080" w:type="dxa"/>
            <w:tcBorders>
              <w:top w:val="single" w:sz="6" w:space="0" w:color="000000"/>
              <w:left w:val="single" w:sz="6" w:space="0" w:color="000000"/>
              <w:bottom w:val="nil"/>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rPr>
                <w:sz w:val="20"/>
                <w:szCs w:val="20"/>
              </w:rPr>
            </w:pPr>
            <w:r>
              <w:rPr>
                <w:rFonts w:ascii="Arial" w:hAnsi="Arial" w:cs="Arial"/>
                <w:sz w:val="20"/>
                <w:szCs w:val="20"/>
              </w:rPr>
              <w:t>12,208</w:t>
            </w:r>
          </w:p>
        </w:tc>
      </w:tr>
      <w:tr w:rsidR="00AA1CD5">
        <w:tblPrEx>
          <w:tblCellMar>
            <w:top w:w="0" w:type="dxa"/>
            <w:bottom w:w="0" w:type="dxa"/>
          </w:tblCellMar>
        </w:tblPrEx>
        <w:trPr>
          <w:trHeight w:val="390"/>
        </w:trPr>
        <w:tc>
          <w:tcPr>
            <w:tcW w:w="5220" w:type="dxa"/>
            <w:tcBorders>
              <w:top w:val="single" w:sz="6" w:space="0" w:color="000000"/>
              <w:left w:val="single" w:sz="6" w:space="0" w:color="000000"/>
              <w:bottom w:val="single" w:sz="6" w:space="0" w:color="000000"/>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s>
              <w:rPr>
                <w:sz w:val="18"/>
                <w:szCs w:val="18"/>
              </w:rPr>
            </w:pPr>
            <w:r>
              <w:rPr>
                <w:rFonts w:ascii="Arial" w:hAnsi="Arial" w:cs="Arial"/>
                <w:sz w:val="18"/>
                <w:szCs w:val="18"/>
              </w:rPr>
              <w:t>8.    Prepare annual electronic updates</w:t>
            </w:r>
          </w:p>
        </w:tc>
        <w:tc>
          <w:tcPr>
            <w:tcW w:w="1710" w:type="dxa"/>
            <w:tcBorders>
              <w:top w:val="single" w:sz="6" w:space="0" w:color="000000"/>
              <w:left w:val="single" w:sz="6" w:space="0" w:color="000000"/>
              <w:bottom w:val="single" w:sz="6" w:space="0" w:color="000000"/>
              <w:right w:val="nil"/>
            </w:tcBorders>
            <w:vAlign w:val="center"/>
          </w:tcPr>
          <w:p w:rsidR="00AA1CD5" w:rsidRDefault="00AA1CD5" w:rsidP="00AA1CD5">
            <w:pPr>
              <w:widowControl/>
              <w:numPr>
                <w:ilvl w:val="12"/>
                <w:numId w:val="0"/>
              </w:numPr>
              <w:tabs>
                <w:tab w:val="left" w:pos="-1440"/>
                <w:tab w:val="left" w:pos="-720"/>
                <w:tab w:val="left" w:pos="0"/>
                <w:tab w:val="left" w:pos="720"/>
                <w:tab w:val="left" w:pos="1440"/>
              </w:tabs>
              <w:jc w:val="center"/>
              <w:rPr>
                <w:sz w:val="20"/>
                <w:szCs w:val="20"/>
              </w:rPr>
            </w:pPr>
            <w:r>
              <w:rPr>
                <w:rFonts w:ascii="Arial" w:hAnsi="Arial" w:cs="Arial"/>
                <w:sz w:val="20"/>
                <w:szCs w:val="20"/>
              </w:rPr>
              <w:t>326</w:t>
            </w:r>
          </w:p>
        </w:tc>
        <w:tc>
          <w:tcPr>
            <w:tcW w:w="1350" w:type="dxa"/>
            <w:tcBorders>
              <w:top w:val="single" w:sz="6" w:space="0" w:color="000000"/>
              <w:left w:val="single" w:sz="6" w:space="0" w:color="000000"/>
              <w:bottom w:val="single" w:sz="6" w:space="0" w:color="000000"/>
              <w:right w:val="nil"/>
            </w:tcBorders>
            <w:vAlign w:val="center"/>
          </w:tcPr>
          <w:p w:rsidR="00AA1CD5" w:rsidRDefault="00AA1CD5" w:rsidP="00AA1CD5">
            <w:pPr>
              <w:widowControl/>
              <w:numPr>
                <w:ilvl w:val="12"/>
                <w:numId w:val="0"/>
              </w:numPr>
              <w:tabs>
                <w:tab w:val="left" w:pos="-1440"/>
                <w:tab w:val="left" w:pos="-720"/>
                <w:tab w:val="left" w:pos="0"/>
                <w:tab w:val="left" w:pos="720"/>
              </w:tabs>
              <w:jc w:val="center"/>
              <w:rPr>
                <w:sz w:val="20"/>
                <w:szCs w:val="20"/>
              </w:rPr>
            </w:pPr>
            <w:r>
              <w:rPr>
                <w:rFonts w:ascii="Arial" w:hAnsi="Arial" w:cs="Arial"/>
                <w:sz w:val="20"/>
                <w:szCs w:val="20"/>
              </w:rPr>
              <w:t>59</w:t>
            </w:r>
          </w:p>
        </w:tc>
        <w:tc>
          <w:tcPr>
            <w:tcW w:w="1080" w:type="dxa"/>
            <w:tcBorders>
              <w:top w:val="single" w:sz="6" w:space="0" w:color="000000"/>
              <w:left w:val="single" w:sz="6" w:space="0" w:color="000000"/>
              <w:bottom w:val="single" w:sz="6" w:space="0" w:color="000000"/>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s>
              <w:jc w:val="right"/>
            </w:pPr>
            <w:r>
              <w:rPr>
                <w:rFonts w:ascii="Arial" w:hAnsi="Arial" w:cs="Arial"/>
                <w:sz w:val="20"/>
                <w:szCs w:val="20"/>
              </w:rPr>
              <w:t>19,234</w:t>
            </w:r>
          </w:p>
        </w:tc>
      </w:tr>
    </w:tbl>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Pr>
          <w:rFonts w:ascii="Arial" w:hAnsi="Arial" w:cs="Arial"/>
          <w:i/>
          <w:iCs/>
          <w:sz w:val="18"/>
          <w:szCs w:val="18"/>
        </w:rPr>
        <w:t>Note: The 3 respondents with 305(b) reporting responsibilities only engage in activities numbered 1, 2, 3, and 8.</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sz w:val="22"/>
          <w:szCs w:val="22"/>
        </w:rPr>
        <w:t xml:space="preserve"> </w:t>
      </w:r>
      <w:r>
        <w:rPr>
          <w:rFonts w:ascii="Times New Roman" w:hAnsi="Times New Roman"/>
          <w:b/>
          <w:bCs/>
          <w:sz w:val="22"/>
          <w:szCs w:val="22"/>
        </w:rPr>
        <w:t>B.2 Respondent Burden Estimates for Implementing Enhanced Benefit Cost Analysis of Meeting Water Quality Standards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Section 305(b</w:t>
      </w:r>
      <w:proofErr w:type="gramStart"/>
      <w:r>
        <w:rPr>
          <w:rFonts w:ascii="Times New Roman" w:hAnsi="Times New Roman"/>
          <w:sz w:val="22"/>
          <w:szCs w:val="22"/>
        </w:rPr>
        <w:t>)(</w:t>
      </w:r>
      <w:proofErr w:type="gramEnd"/>
      <w:r>
        <w:rPr>
          <w:rFonts w:ascii="Times New Roman" w:hAnsi="Times New Roman"/>
          <w:sz w:val="22"/>
          <w:szCs w:val="22"/>
        </w:rPr>
        <w:t>1)(D) of the CWA requires States in their biennial water quality assessment to estimate the benefits and costs of achieving water quality standards by estimating:</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w:t>
      </w:r>
      <w:proofErr w:type="spellStart"/>
      <w:proofErr w:type="gramStart"/>
      <w:r>
        <w:rPr>
          <w:rFonts w:ascii="Times New Roman" w:hAnsi="Times New Roman"/>
          <w:sz w:val="22"/>
          <w:szCs w:val="22"/>
        </w:rPr>
        <w:t>i</w:t>
      </w:r>
      <w:proofErr w:type="spellEnd"/>
      <w:proofErr w:type="gramEnd"/>
      <w:r>
        <w:rPr>
          <w:rFonts w:ascii="Times New Roman" w:hAnsi="Times New Roman"/>
          <w:sz w:val="22"/>
          <w:szCs w:val="22"/>
        </w:rPr>
        <w:t>. the environmental impact,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ii. </w:t>
      </w:r>
      <w:proofErr w:type="gramStart"/>
      <w:r>
        <w:rPr>
          <w:rFonts w:ascii="Times New Roman" w:hAnsi="Times New Roman"/>
          <w:sz w:val="22"/>
          <w:szCs w:val="22"/>
        </w:rPr>
        <w:t>the</w:t>
      </w:r>
      <w:proofErr w:type="gramEnd"/>
      <w:r>
        <w:rPr>
          <w:rFonts w:ascii="Times New Roman" w:hAnsi="Times New Roman"/>
          <w:sz w:val="22"/>
          <w:szCs w:val="22"/>
        </w:rPr>
        <w:t xml:space="preserve"> economic and social costs necessary to achieve the objective of this Act in such State,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iii. </w:t>
      </w:r>
      <w:proofErr w:type="gramStart"/>
      <w:r>
        <w:rPr>
          <w:rFonts w:ascii="Times New Roman" w:hAnsi="Times New Roman"/>
          <w:sz w:val="22"/>
          <w:szCs w:val="22"/>
        </w:rPr>
        <w:t>the</w:t>
      </w:r>
      <w:proofErr w:type="gramEnd"/>
      <w:r>
        <w:rPr>
          <w:rFonts w:ascii="Times New Roman" w:hAnsi="Times New Roman"/>
          <w:sz w:val="22"/>
          <w:szCs w:val="22"/>
        </w:rPr>
        <w:t xml:space="preserve"> economic and social benefits of such achievement and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 xml:space="preserve">iv. </w:t>
      </w:r>
      <w:proofErr w:type="gramStart"/>
      <w:r>
        <w:rPr>
          <w:rFonts w:ascii="Times New Roman" w:hAnsi="Times New Roman"/>
          <w:sz w:val="22"/>
          <w:szCs w:val="22"/>
        </w:rPr>
        <w:t>an</w:t>
      </w:r>
      <w:proofErr w:type="gramEnd"/>
      <w:r>
        <w:rPr>
          <w:rFonts w:ascii="Times New Roman" w:hAnsi="Times New Roman"/>
          <w:sz w:val="22"/>
          <w:szCs w:val="22"/>
        </w:rPr>
        <w:t xml:space="preserve"> estimate of the date of such achievement.”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In previous ICRs, EPA recognized that this information may not be readily available due to the complexities of the analyses involved. Therefore, respondents provide information (to the extent possible) on the costs of pollution control activities, capital investment in municipal and industrial facilities (including the cost of operating these facilities), and the costs of administering State and local water pollution control activities. Respondents also provide, if possible, information on the beneficial actions taken to maintain or improve water quality conditions. States have provided varying degrees of information in their biennial reports regarding the costs and benefits of achieving WQS.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sidRPr="00302FD2">
        <w:rPr>
          <w:rFonts w:ascii="Times New Roman" w:hAnsi="Times New Roman"/>
          <w:sz w:val="22"/>
          <w:szCs w:val="22"/>
        </w:rPr>
        <w:t>As a Term of Clearance for the ICR covering the period March, 1999 through April 20</w:t>
      </w:r>
      <w:r w:rsidR="006E6FEC" w:rsidRPr="00302FD2">
        <w:rPr>
          <w:rFonts w:ascii="Times New Roman" w:hAnsi="Times New Roman"/>
          <w:sz w:val="22"/>
          <w:szCs w:val="22"/>
        </w:rPr>
        <w:t xml:space="preserve">03 (ICR Number 1560.05), OMB </w:t>
      </w:r>
      <w:r w:rsidRPr="00302FD2">
        <w:rPr>
          <w:rFonts w:ascii="Times New Roman" w:hAnsi="Times New Roman"/>
          <w:sz w:val="22"/>
          <w:szCs w:val="22"/>
        </w:rPr>
        <w:t xml:space="preserve">required that an estimate be made of the burden associated with estimating benefits and costs assuming that the Agency would provide additional guidance to States to assist them in preparing </w:t>
      </w:r>
      <w:r w:rsidR="00E272C8" w:rsidRPr="00302FD2">
        <w:rPr>
          <w:rFonts w:ascii="Times New Roman" w:hAnsi="Times New Roman"/>
          <w:sz w:val="22"/>
          <w:szCs w:val="22"/>
        </w:rPr>
        <w:t>the analyses. ICR Number 1560.07</w:t>
      </w:r>
      <w:r w:rsidRPr="00302FD2">
        <w:rPr>
          <w:rFonts w:ascii="Times New Roman" w:hAnsi="Times New Roman"/>
          <w:sz w:val="22"/>
          <w:szCs w:val="22"/>
        </w:rPr>
        <w:t xml:space="preserve"> included the burden associated with the enhanced benefit cost analysis.  </w:t>
      </w:r>
      <w:r w:rsidR="00E272C8" w:rsidRPr="00302FD2">
        <w:rPr>
          <w:rFonts w:ascii="Times New Roman" w:hAnsi="Times New Roman"/>
          <w:sz w:val="22"/>
          <w:szCs w:val="22"/>
        </w:rPr>
        <w:t>U</w:t>
      </w:r>
      <w:r w:rsidRPr="00302FD2">
        <w:rPr>
          <w:rFonts w:ascii="Times New Roman" w:hAnsi="Times New Roman"/>
          <w:sz w:val="22"/>
          <w:szCs w:val="22"/>
        </w:rPr>
        <w:t>ncertainties surrounding the 305(b) and 303(d) programs</w:t>
      </w:r>
      <w:r w:rsidR="006E6FEC" w:rsidRPr="00302FD2">
        <w:rPr>
          <w:rFonts w:ascii="Times New Roman" w:hAnsi="Times New Roman"/>
          <w:sz w:val="22"/>
          <w:szCs w:val="22"/>
        </w:rPr>
        <w:t xml:space="preserve"> have </w:t>
      </w:r>
      <w:r w:rsidRPr="00302FD2">
        <w:rPr>
          <w:rFonts w:ascii="Times New Roman" w:hAnsi="Times New Roman"/>
          <w:sz w:val="22"/>
          <w:szCs w:val="22"/>
        </w:rPr>
        <w:t>made it impractical to implement the enhanced be</w:t>
      </w:r>
      <w:r w:rsidR="006E6FEC" w:rsidRPr="00302FD2">
        <w:rPr>
          <w:rFonts w:ascii="Times New Roman" w:hAnsi="Times New Roman"/>
          <w:sz w:val="22"/>
          <w:szCs w:val="22"/>
        </w:rPr>
        <w:t>nefit cost analysis for the 2004 or 2006</w:t>
      </w:r>
      <w:r w:rsidRPr="00302FD2">
        <w:rPr>
          <w:rFonts w:ascii="Times New Roman" w:hAnsi="Times New Roman"/>
          <w:sz w:val="22"/>
          <w:szCs w:val="22"/>
        </w:rPr>
        <w:t xml:space="preserve"> reports.  </w:t>
      </w:r>
      <w:r w:rsidR="006E6FEC" w:rsidRPr="00302FD2">
        <w:rPr>
          <w:rFonts w:ascii="Times New Roman" w:hAnsi="Times New Roman"/>
          <w:sz w:val="22"/>
          <w:szCs w:val="22"/>
        </w:rPr>
        <w:t>These activities may</w:t>
      </w:r>
      <w:r w:rsidRPr="00302FD2">
        <w:rPr>
          <w:rFonts w:ascii="Times New Roman" w:hAnsi="Times New Roman"/>
          <w:sz w:val="22"/>
          <w:szCs w:val="22"/>
        </w:rPr>
        <w:t xml:space="preserve"> take place within </w:t>
      </w:r>
      <w:r w:rsidR="006E6FEC" w:rsidRPr="00302FD2">
        <w:rPr>
          <w:rFonts w:ascii="Times New Roman" w:hAnsi="Times New Roman"/>
          <w:sz w:val="22"/>
          <w:szCs w:val="22"/>
        </w:rPr>
        <w:t xml:space="preserve">future </w:t>
      </w:r>
      <w:r w:rsidRPr="00302FD2">
        <w:rPr>
          <w:rFonts w:ascii="Times New Roman" w:hAnsi="Times New Roman"/>
          <w:sz w:val="22"/>
          <w:szCs w:val="22"/>
        </w:rPr>
        <w:t>reporting cycle</w:t>
      </w:r>
      <w:r w:rsidR="006E6FEC" w:rsidRPr="00302FD2">
        <w:rPr>
          <w:rFonts w:ascii="Times New Roman" w:hAnsi="Times New Roman"/>
          <w:sz w:val="22"/>
          <w:szCs w:val="22"/>
        </w:rPr>
        <w:t>s</w:t>
      </w:r>
      <w:r w:rsidRPr="00302FD2">
        <w:rPr>
          <w:rFonts w:ascii="Times New Roman" w:hAnsi="Times New Roman"/>
          <w:sz w:val="22"/>
          <w:szCs w:val="22"/>
        </w:rPr>
        <w:t xml:space="preserve"> as program uncertainties are resolved.</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 xml:space="preserve">The effort for benefits analysis for specific States depends on several factors, including the number of impaired waters, differences in the physical characteristics of these waters, differences in aquatic habitat types, designated uses, and recreational importance as well the quality of existing information about these waters. For a small state with a small number of the 303(d) listed waters, low intensity of water-based recreation, and nonexistent or negligible commercial fishing/shell fishing, the cost of benefits assessment at the state and watershed levels may not be very different. States with diverse water resources and intensive uses of these resources (i.e., intensive water-based recreation) such as coastal states are likely to incur larger costs due to complexity of the benefits analysis. The level of effort associated with developing estimates at the State level of the benefits of attaining WQS are detailed in Exhibit B-1. As shown in the exhibit, the Agency estimates that the range the burden associated with estimating benefits at the State level ranges from 432 to 1,224 hours. Whether States undertake Level 1, 2 or 3 analyses </w:t>
      </w:r>
      <w:proofErr w:type="gramStart"/>
      <w:r>
        <w:rPr>
          <w:rFonts w:ascii="Times New Roman" w:hAnsi="Times New Roman"/>
          <w:sz w:val="22"/>
          <w:szCs w:val="22"/>
        </w:rPr>
        <w:t>depends</w:t>
      </w:r>
      <w:proofErr w:type="gramEnd"/>
      <w:r>
        <w:rPr>
          <w:rFonts w:ascii="Times New Roman" w:hAnsi="Times New Roman"/>
          <w:sz w:val="22"/>
          <w:szCs w:val="22"/>
        </w:rPr>
        <w:t xml:space="preserve"> on the State policy and on the complexity of the State’s watershed situations. Most coastal watersheds and those </w:t>
      </w:r>
      <w:smartTag w:uri="urn:schemas-microsoft-com:office:smarttags" w:element="place">
        <w:r>
          <w:rPr>
            <w:rFonts w:ascii="Times New Roman" w:hAnsi="Times New Roman"/>
            <w:sz w:val="22"/>
            <w:szCs w:val="22"/>
          </w:rPr>
          <w:t>Great Lakes</w:t>
        </w:r>
      </w:smartTag>
      <w:r>
        <w:rPr>
          <w:rFonts w:ascii="Times New Roman" w:hAnsi="Times New Roman"/>
          <w:sz w:val="22"/>
          <w:szCs w:val="22"/>
        </w:rPr>
        <w:t xml:space="preserve"> watersheds would be more likely to involve Level 3 analyses, while inland watersheds would be more likely to be adequately addressed by Level 1 and 2 analyses.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r>
        <w:rPr>
          <w:rFonts w:ascii="Times New Roman" w:hAnsi="Times New Roman"/>
          <w:b/>
          <w:bCs/>
          <w:sz w:val="22"/>
          <w:szCs w:val="22"/>
        </w:rPr>
        <w:lastRenderedPageBreak/>
        <w:t>Exhibit B-</w:t>
      </w:r>
      <w:proofErr w:type="gramStart"/>
      <w:r>
        <w:rPr>
          <w:rFonts w:ascii="Times New Roman" w:hAnsi="Times New Roman"/>
          <w:b/>
          <w:bCs/>
          <w:sz w:val="22"/>
          <w:szCs w:val="22"/>
        </w:rPr>
        <w:t xml:space="preserve">2 </w:t>
      </w:r>
      <w:r>
        <w:rPr>
          <w:rFonts w:ascii="Times New Roman" w:hAnsi="Times New Roman"/>
          <w:sz w:val="22"/>
          <w:szCs w:val="22"/>
        </w:rPr>
        <w:t xml:space="preserve"> </w:t>
      </w:r>
      <w:r>
        <w:rPr>
          <w:rFonts w:ascii="Times New Roman" w:hAnsi="Times New Roman"/>
          <w:b/>
          <w:bCs/>
          <w:sz w:val="22"/>
          <w:szCs w:val="22"/>
        </w:rPr>
        <w:t>Hours</w:t>
      </w:r>
      <w:proofErr w:type="gramEnd"/>
      <w:r>
        <w:rPr>
          <w:rFonts w:ascii="Times New Roman" w:hAnsi="Times New Roman"/>
          <w:b/>
          <w:bCs/>
          <w:sz w:val="22"/>
          <w:szCs w:val="22"/>
        </w:rPr>
        <w:t xml:space="preserve"> of Effort to Estimate at the State Level the Benefits of Attaining WQS </w:t>
      </w: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roofErr w:type="gramStart"/>
      <w:r>
        <w:rPr>
          <w:rFonts w:ascii="Times New Roman" w:hAnsi="Times New Roman"/>
          <w:b/>
          <w:bCs/>
          <w:sz w:val="22"/>
          <w:szCs w:val="22"/>
        </w:rPr>
        <w:t>at</w:t>
      </w:r>
      <w:proofErr w:type="gramEnd"/>
      <w:r>
        <w:rPr>
          <w:rFonts w:ascii="Times New Roman" w:hAnsi="Times New Roman"/>
          <w:b/>
          <w:bCs/>
          <w:sz w:val="22"/>
          <w:szCs w:val="22"/>
        </w:rPr>
        <w:t xml:space="preserve"> 3 Levels of Difficulty </w:t>
      </w: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tbl>
      <w:tblPr>
        <w:tblW w:w="0" w:type="auto"/>
        <w:tblLayout w:type="fixed"/>
        <w:tblLook w:val="0000"/>
      </w:tblPr>
      <w:tblGrid>
        <w:gridCol w:w="3846"/>
        <w:gridCol w:w="1134"/>
        <w:gridCol w:w="1010"/>
        <w:gridCol w:w="1009"/>
        <w:gridCol w:w="1009"/>
        <w:gridCol w:w="1010"/>
        <w:gridCol w:w="1009"/>
      </w:tblGrid>
      <w:tr w:rsidR="00AA1CD5" w:rsidTr="00AA1CD5">
        <w:tc>
          <w:tcPr>
            <w:tcW w:w="3846" w:type="dxa"/>
            <w:vMerge w:val="restart"/>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center"/>
              <w:rPr>
                <w:sz w:val="20"/>
                <w:szCs w:val="20"/>
              </w:rPr>
            </w:pPr>
            <w:r>
              <w:rPr>
                <w:rFonts w:ascii="Times New Roman" w:hAnsi="Times New Roman"/>
                <w:b/>
                <w:bCs/>
                <w:sz w:val="20"/>
                <w:szCs w:val="20"/>
              </w:rPr>
              <w:t>Task</w:t>
            </w:r>
          </w:p>
        </w:tc>
        <w:tc>
          <w:tcPr>
            <w:tcW w:w="1134" w:type="dxa"/>
            <w:gridSpan w:val="2"/>
          </w:tcPr>
          <w:p w:rsidR="00AA1CD5" w:rsidRDefault="00AA1CD5" w:rsidP="00AA1CD5">
            <w:pPr>
              <w:keepNext/>
              <w:widowControl/>
              <w:numPr>
                <w:ilvl w:val="12"/>
                <w:numId w:val="0"/>
              </w:numPr>
              <w:tabs>
                <w:tab w:val="left" w:pos="-1440"/>
                <w:tab w:val="left" w:pos="-720"/>
                <w:tab w:val="left" w:pos="0"/>
                <w:tab w:val="left" w:pos="720"/>
              </w:tabs>
              <w:jc w:val="center"/>
              <w:rPr>
                <w:sz w:val="20"/>
                <w:szCs w:val="20"/>
              </w:rPr>
            </w:pPr>
            <w:r>
              <w:rPr>
                <w:rFonts w:ascii="Times New Roman" w:hAnsi="Times New Roman"/>
                <w:b/>
                <w:bCs/>
                <w:sz w:val="20"/>
                <w:szCs w:val="20"/>
              </w:rPr>
              <w:t>Level 1</w:t>
            </w:r>
          </w:p>
        </w:tc>
        <w:tc>
          <w:tcPr>
            <w:tcW w:w="1009" w:type="dxa"/>
            <w:gridSpan w:val="2"/>
          </w:tcPr>
          <w:p w:rsidR="00AA1CD5" w:rsidRDefault="00AA1CD5" w:rsidP="00AA1CD5">
            <w:pPr>
              <w:keepNext/>
              <w:widowControl/>
              <w:numPr>
                <w:ilvl w:val="12"/>
                <w:numId w:val="0"/>
              </w:numPr>
              <w:tabs>
                <w:tab w:val="left" w:pos="-1440"/>
                <w:tab w:val="left" w:pos="-720"/>
                <w:tab w:val="left" w:pos="0"/>
                <w:tab w:val="left" w:pos="720"/>
              </w:tabs>
              <w:jc w:val="center"/>
              <w:rPr>
                <w:sz w:val="20"/>
                <w:szCs w:val="20"/>
              </w:rPr>
            </w:pPr>
            <w:r>
              <w:rPr>
                <w:rFonts w:ascii="Times New Roman" w:hAnsi="Times New Roman"/>
                <w:b/>
                <w:bCs/>
                <w:sz w:val="20"/>
                <w:szCs w:val="20"/>
              </w:rPr>
              <w:t>Level 2</w:t>
            </w:r>
          </w:p>
        </w:tc>
        <w:tc>
          <w:tcPr>
            <w:tcW w:w="1010" w:type="dxa"/>
            <w:gridSpan w:val="2"/>
          </w:tcPr>
          <w:p w:rsidR="00AA1CD5" w:rsidRDefault="00AA1CD5" w:rsidP="00AA1CD5">
            <w:pPr>
              <w:keepNext/>
              <w:widowControl/>
              <w:numPr>
                <w:ilvl w:val="12"/>
                <w:numId w:val="0"/>
              </w:numPr>
              <w:tabs>
                <w:tab w:val="left" w:pos="-1440"/>
                <w:tab w:val="left" w:pos="-720"/>
                <w:tab w:val="left" w:pos="0"/>
                <w:tab w:val="left" w:pos="720"/>
              </w:tabs>
              <w:jc w:val="center"/>
              <w:rPr>
                <w:sz w:val="20"/>
                <w:szCs w:val="20"/>
              </w:rPr>
            </w:pPr>
            <w:r>
              <w:rPr>
                <w:rFonts w:ascii="Times New Roman" w:hAnsi="Times New Roman"/>
                <w:b/>
                <w:bCs/>
                <w:sz w:val="20"/>
                <w:szCs w:val="20"/>
              </w:rPr>
              <w:t>Level 3</w:t>
            </w:r>
          </w:p>
        </w:tc>
      </w:tr>
      <w:tr w:rsidR="00AA1CD5">
        <w:tblPrEx>
          <w:tblCellMar>
            <w:left w:w="10" w:type="dxa"/>
            <w:right w:w="10" w:type="dxa"/>
          </w:tblCellMar>
        </w:tblPrEx>
        <w:tc>
          <w:tcPr>
            <w:tcW w:w="3846" w:type="dxa"/>
            <w:vMerge/>
            <w:tcBorders>
              <w:top w:val="single" w:sz="6" w:space="0" w:color="000000"/>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Low</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High</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Low</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High</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Low</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center"/>
              <w:rPr>
                <w:sz w:val="18"/>
                <w:szCs w:val="18"/>
              </w:rPr>
            </w:pPr>
            <w:r>
              <w:rPr>
                <w:rFonts w:ascii="Times New Roman" w:hAnsi="Times New Roman"/>
                <w:b/>
                <w:bCs/>
                <w:sz w:val="18"/>
                <w:szCs w:val="18"/>
              </w:rPr>
              <w:t>High</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1. Characterize affected watersheds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120</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128</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144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192</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2. Water quality modeling and analysis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96</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112</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128</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144</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3. Assess ecological improvements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recreational improvements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88</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changes in nearby property values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avoided cost of water treatment</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64</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80</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other economic productivity benefits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Assess human health benefits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24</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32</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40</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48</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4. Calibrate to local conditions*</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rPr>
                <w:sz w:val="20"/>
                <w:szCs w:val="20"/>
              </w:rPr>
            </w:pPr>
            <w:r>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160</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192</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5. Report writing</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80</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96</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120</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144</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sz w:val="20"/>
                <w:szCs w:val="20"/>
              </w:rPr>
              <w:t>6. Contingency @ 15% **</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56</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72</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88</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104</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136</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160</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r>
              <w:rPr>
                <w:rFonts w:ascii="Times New Roman" w:hAnsi="Times New Roman"/>
                <w:sz w:val="20"/>
                <w:szCs w:val="20"/>
              </w:rPr>
              <w:t>Subtotal for Range</w:t>
            </w: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432</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552</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664</w:t>
            </w: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776</w:t>
            </w: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1,032</w:t>
            </w: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r>
              <w:rPr>
                <w:rFonts w:ascii="Times New Roman" w:hAnsi="Times New Roman"/>
                <w:sz w:val="20"/>
                <w:szCs w:val="20"/>
              </w:rPr>
              <w:t>1,224</w:t>
            </w:r>
          </w:p>
        </w:tc>
      </w:tr>
      <w:tr w:rsidR="00AA1CD5">
        <w:tblPrEx>
          <w:tblCellMar>
            <w:left w:w="10" w:type="dxa"/>
            <w:right w:w="10" w:type="dxa"/>
          </w:tblCellMar>
        </w:tblPrEx>
        <w:tc>
          <w:tcPr>
            <w:tcW w:w="3846"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jc w:val="right"/>
              <w:rPr>
                <w:sz w:val="20"/>
                <w:szCs w:val="20"/>
              </w:rPr>
            </w:pPr>
          </w:p>
        </w:tc>
        <w:tc>
          <w:tcPr>
            <w:tcW w:w="1134"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10" w:type="dxa"/>
            <w:tcBorders>
              <w:top w:val="nil"/>
              <w:left w:val="single" w:sz="6" w:space="0" w:color="000000"/>
              <w:bottom w:val="single" w:sz="6" w:space="0" w:color="000000"/>
              <w:right w:val="nil"/>
            </w:tcBorders>
          </w:tcPr>
          <w:p w:rsidR="00AA1CD5" w:rsidRDefault="00AA1CD5" w:rsidP="00AA1CD5">
            <w:pPr>
              <w:keepNext/>
              <w:widowControl/>
              <w:numPr>
                <w:ilvl w:val="12"/>
                <w:numId w:val="0"/>
              </w:numPr>
              <w:tabs>
                <w:tab w:val="left" w:pos="-1440"/>
                <w:tab w:val="left" w:pos="-720"/>
                <w:tab w:val="left" w:pos="0"/>
                <w:tab w:val="left" w:pos="720"/>
              </w:tabs>
              <w:jc w:val="right"/>
              <w:rPr>
                <w:sz w:val="20"/>
                <w:szCs w:val="20"/>
              </w:rPr>
            </w:pPr>
          </w:p>
        </w:tc>
        <w:tc>
          <w:tcPr>
            <w:tcW w:w="1009" w:type="dxa"/>
            <w:tcBorders>
              <w:top w:val="nil"/>
              <w:left w:val="single" w:sz="6" w:space="0" w:color="000000"/>
              <w:bottom w:val="single" w:sz="6" w:space="0" w:color="000000"/>
              <w:right w:val="single" w:sz="6" w:space="0" w:color="000000"/>
            </w:tcBorders>
          </w:tcPr>
          <w:p w:rsidR="00AA1CD5" w:rsidRDefault="00AA1CD5" w:rsidP="00AA1CD5">
            <w:pPr>
              <w:keepNext/>
              <w:widowControl/>
              <w:numPr>
                <w:ilvl w:val="12"/>
                <w:numId w:val="0"/>
              </w:numPr>
              <w:tabs>
                <w:tab w:val="left" w:pos="-1440"/>
                <w:tab w:val="left" w:pos="-720"/>
                <w:tab w:val="left" w:pos="0"/>
                <w:tab w:val="left" w:pos="720"/>
              </w:tabs>
              <w:rPr>
                <w:sz w:val="20"/>
                <w:szCs w:val="20"/>
              </w:rPr>
            </w:pPr>
          </w:p>
        </w:tc>
      </w:tr>
      <w:tr w:rsidR="00AA1CD5" w:rsidTr="00AA1CD5">
        <w:tc>
          <w:tcPr>
            <w:tcW w:w="3846" w:type="dxa"/>
            <w:gridSpan w:val="6"/>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s>
              <w:rPr>
                <w:sz w:val="20"/>
                <w:szCs w:val="20"/>
              </w:rPr>
            </w:pPr>
            <w:r>
              <w:rPr>
                <w:rFonts w:ascii="Times New Roman" w:hAnsi="Times New Roman"/>
                <w:i/>
                <w:iCs/>
                <w:sz w:val="20"/>
                <w:szCs w:val="20"/>
              </w:rPr>
              <w:t>*interviews or pilot studies **Provision for additional data collection, analysis, review, etc.</w:t>
            </w:r>
          </w:p>
        </w:tc>
        <w:tc>
          <w:tcPr>
            <w:tcW w:w="1009" w:type="dxa"/>
          </w:tcPr>
          <w:p w:rsidR="00AA1CD5" w:rsidRDefault="00AA1CD5" w:rsidP="00AA1CD5">
            <w:pPr>
              <w:widowControl/>
              <w:numPr>
                <w:ilvl w:val="12"/>
                <w:numId w:val="0"/>
              </w:numPr>
              <w:tabs>
                <w:tab w:val="left" w:pos="-1440"/>
                <w:tab w:val="left" w:pos="-720"/>
                <w:tab w:val="left" w:pos="0"/>
                <w:tab w:val="left" w:pos="720"/>
              </w:tabs>
            </w:pPr>
          </w:p>
        </w:tc>
      </w:tr>
    </w:tbl>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We assume for this ICR that States will undertake efforts to estimate costs that are similar to the efforts that they apply to estimate benefits, amounting to an additional 432 to 1,224 hours.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Therefore, the total burden per State associated is estimated to range from 864 to 2</w:t>
      </w:r>
      <w:r w:rsidR="00E272C8">
        <w:rPr>
          <w:rFonts w:ascii="Times New Roman" w:hAnsi="Times New Roman"/>
          <w:sz w:val="22"/>
          <w:szCs w:val="22"/>
        </w:rPr>
        <w:t>,</w:t>
      </w:r>
      <w:r>
        <w:rPr>
          <w:rFonts w:ascii="Times New Roman" w:hAnsi="Times New Roman"/>
          <w:sz w:val="22"/>
          <w:szCs w:val="22"/>
        </w:rPr>
        <w:t>448 hours for the first report that will contain the enhanced benefit cost analysis</w:t>
      </w:r>
      <w:r w:rsidR="006E6FEC">
        <w:rPr>
          <w:rFonts w:ascii="Times New Roman" w:hAnsi="Times New Roman"/>
          <w:sz w:val="22"/>
          <w:szCs w:val="22"/>
        </w:rPr>
        <w:t>.</w:t>
      </w:r>
      <w:r>
        <w:rPr>
          <w:rFonts w:ascii="Times New Roman" w:hAnsi="Times New Roman"/>
          <w:sz w:val="22"/>
          <w:szCs w:val="22"/>
        </w:rPr>
        <w:t xml:space="preserve"> The effort associated with the enhanced benefit cost analysis will be considerably less for subsequent reports, estimated to be only 25% of the effort assoc</w:t>
      </w:r>
      <w:r w:rsidR="006E6FEC">
        <w:rPr>
          <w:rFonts w:ascii="Times New Roman" w:hAnsi="Times New Roman"/>
          <w:sz w:val="22"/>
          <w:szCs w:val="22"/>
        </w:rPr>
        <w:t xml:space="preserve">iated with the initial analysis (from 216 to 612 hours). </w:t>
      </w:r>
      <w:r>
        <w:rPr>
          <w:rFonts w:ascii="Times New Roman" w:hAnsi="Times New Roman"/>
          <w:sz w:val="22"/>
          <w:szCs w:val="22"/>
        </w:rPr>
        <w:t xml:space="preserve">  </w:t>
      </w:r>
    </w:p>
    <w:p w:rsidR="006E6FEC" w:rsidRDefault="006E6FEC"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sidRPr="00302FD2">
        <w:rPr>
          <w:rFonts w:ascii="Times New Roman" w:hAnsi="Times New Roman"/>
          <w:sz w:val="22"/>
          <w:szCs w:val="22"/>
        </w:rPr>
        <w:t xml:space="preserve">For the period of this ICR, we assume that the full effort </w:t>
      </w:r>
      <w:r w:rsidR="00E272C8" w:rsidRPr="00302FD2">
        <w:rPr>
          <w:rFonts w:ascii="Times New Roman" w:hAnsi="Times New Roman"/>
          <w:sz w:val="22"/>
          <w:szCs w:val="22"/>
        </w:rPr>
        <w:t xml:space="preserve">is </w:t>
      </w:r>
      <w:r w:rsidRPr="00302FD2">
        <w:rPr>
          <w:rFonts w:ascii="Times New Roman" w:hAnsi="Times New Roman"/>
          <w:sz w:val="22"/>
          <w:szCs w:val="22"/>
        </w:rPr>
        <w:t xml:space="preserve">incurred.  Therefore, the total effort over the period of this ICR ranges from 1080 to 3060 hours per respondent. </w:t>
      </w:r>
      <w:proofErr w:type="gramStart"/>
      <w:r w:rsidRPr="00302FD2">
        <w:rPr>
          <w:rFonts w:ascii="Times New Roman" w:hAnsi="Times New Roman"/>
          <w:sz w:val="22"/>
          <w:szCs w:val="22"/>
        </w:rPr>
        <w:t>Annualizing over the three years results in 360 to 1</w:t>
      </w:r>
      <w:r w:rsidR="00E272C8" w:rsidRPr="00302FD2">
        <w:rPr>
          <w:rFonts w:ascii="Times New Roman" w:hAnsi="Times New Roman"/>
          <w:sz w:val="22"/>
          <w:szCs w:val="22"/>
        </w:rPr>
        <w:t>,</w:t>
      </w:r>
      <w:r w:rsidRPr="00302FD2">
        <w:rPr>
          <w:rFonts w:ascii="Times New Roman" w:hAnsi="Times New Roman"/>
          <w:sz w:val="22"/>
          <w:szCs w:val="22"/>
        </w:rPr>
        <w:t>020 hours annually per respondent.</w:t>
      </w:r>
      <w:proofErr w:type="gramEnd"/>
      <w:r w:rsidRPr="00302FD2">
        <w:rPr>
          <w:rFonts w:ascii="Times New Roman" w:hAnsi="Times New Roman"/>
          <w:sz w:val="22"/>
          <w:szCs w:val="22"/>
        </w:rPr>
        <w:t xml:space="preserve"> To estimate the national cost, we assume that the average for the range represents the typical level of analysis across all the 59 respondents for the purpose of estimating a national burden, resulting in an average annual burden of 690 hours.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sz w:val="22"/>
          <w:szCs w:val="22"/>
        </w:rPr>
        <w:t xml:space="preserve"> </w:t>
      </w:r>
      <w:r>
        <w:rPr>
          <w:rFonts w:ascii="Times New Roman" w:hAnsi="Times New Roman"/>
          <w:b/>
          <w:bCs/>
          <w:sz w:val="22"/>
          <w:szCs w:val="22"/>
        </w:rPr>
        <w:t>B.3 Agency Burden Estimates for 305(b) and 303(d) Reporting Activities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ab/>
      </w:r>
      <w:r>
        <w:rPr>
          <w:rFonts w:ascii="Times New Roman" w:hAnsi="Times New Roman"/>
          <w:sz w:val="22"/>
          <w:szCs w:val="22"/>
        </w:rPr>
        <w:t xml:space="preserve"> The Agency burden estimates associated with 303(d) and 305(b) reporting activities are based on AWPD’s prior experience in developing 305(b) and 303(d) guidance, preparing the Report to Congress, providing technical support to respondents, maintaining the ADB, and reviewing and approving/disapproving 303(d) lists an</w:t>
      </w:r>
      <w:r w:rsidR="004E46AF">
        <w:rPr>
          <w:rFonts w:ascii="Times New Roman" w:hAnsi="Times New Roman"/>
          <w:sz w:val="22"/>
          <w:szCs w:val="22"/>
        </w:rPr>
        <w:t>d TMDL submissions.  Exhibit B-3</w:t>
      </w:r>
      <w:r>
        <w:rPr>
          <w:rFonts w:ascii="Times New Roman" w:hAnsi="Times New Roman"/>
          <w:sz w:val="22"/>
          <w:szCs w:val="22"/>
        </w:rPr>
        <w:t xml:space="preserve"> provides the basis for the estimates of Agency burden by subtask.</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B50DFB" w:rsidRDefault="00B50DFB"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2"/>
          <w:szCs w:val="22"/>
        </w:rPr>
      </w:pPr>
    </w:p>
    <w:p w:rsidR="00AA1CD5" w:rsidRDefault="004E46AF" w:rsidP="00AA1CD5">
      <w:pPr>
        <w:keepNext/>
        <w:keepLines/>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roofErr w:type="gramStart"/>
      <w:r>
        <w:rPr>
          <w:rFonts w:ascii="Times New Roman" w:hAnsi="Times New Roman"/>
          <w:b/>
          <w:bCs/>
          <w:sz w:val="22"/>
          <w:szCs w:val="22"/>
        </w:rPr>
        <w:t>Exhibit B-3</w:t>
      </w:r>
      <w:r w:rsidR="00AA1CD5">
        <w:rPr>
          <w:rFonts w:ascii="Times New Roman" w:hAnsi="Times New Roman"/>
          <w:b/>
          <w:bCs/>
          <w:sz w:val="22"/>
          <w:szCs w:val="22"/>
        </w:rPr>
        <w:t>.</w:t>
      </w:r>
      <w:proofErr w:type="gramEnd"/>
      <w:r w:rsidR="00AA1CD5">
        <w:rPr>
          <w:rFonts w:ascii="Times New Roman" w:hAnsi="Times New Roman"/>
          <w:b/>
          <w:bCs/>
          <w:sz w:val="22"/>
          <w:szCs w:val="22"/>
        </w:rPr>
        <w:t xml:space="preserve"> Agency Burden for 305(b) and 303(d) Reporting Activities</w:t>
      </w:r>
    </w:p>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2"/>
          <w:szCs w:val="22"/>
        </w:rPr>
      </w:pPr>
    </w:p>
    <w:tbl>
      <w:tblPr>
        <w:tblW w:w="0" w:type="auto"/>
        <w:tblInd w:w="153" w:type="dxa"/>
        <w:tblLayout w:type="fixed"/>
        <w:tblCellMar>
          <w:left w:w="153" w:type="dxa"/>
          <w:right w:w="153" w:type="dxa"/>
        </w:tblCellMar>
        <w:tblLook w:val="0000"/>
      </w:tblPr>
      <w:tblGrid>
        <w:gridCol w:w="3870"/>
        <w:gridCol w:w="1170"/>
        <w:gridCol w:w="4320"/>
      </w:tblGrid>
      <w:tr w:rsidR="00AA1CD5">
        <w:tblPrEx>
          <w:tblCellMar>
            <w:top w:w="0" w:type="dxa"/>
            <w:bottom w:w="0" w:type="dxa"/>
          </w:tblCellMar>
        </w:tblPrEx>
        <w:tc>
          <w:tcPr>
            <w:tcW w:w="3870" w:type="dxa"/>
            <w:tcBorders>
              <w:top w:val="single" w:sz="6" w:space="0" w:color="000000"/>
              <w:left w:val="single" w:sz="6" w:space="0" w:color="000000"/>
              <w:bottom w:val="single" w:sz="6" w:space="0" w:color="000000"/>
              <w:right w:val="nil"/>
            </w:tcBorders>
            <w:vAlign w:val="bottom"/>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20"/>
                <w:szCs w:val="20"/>
              </w:rPr>
            </w:pPr>
            <w:r>
              <w:rPr>
                <w:rFonts w:ascii="Arial" w:hAnsi="Arial" w:cs="Arial"/>
                <w:b/>
                <w:bCs/>
                <w:sz w:val="20"/>
                <w:szCs w:val="20"/>
              </w:rPr>
              <w:t>Activity</w:t>
            </w:r>
          </w:p>
        </w:tc>
        <w:tc>
          <w:tcPr>
            <w:tcW w:w="1170" w:type="dxa"/>
            <w:tcBorders>
              <w:top w:val="single" w:sz="6" w:space="0" w:color="000000"/>
              <w:left w:val="single" w:sz="6" w:space="0" w:color="000000"/>
              <w:bottom w:val="single" w:sz="6" w:space="0" w:color="000000"/>
              <w:right w:val="nil"/>
            </w:tcBorders>
            <w:vAlign w:val="bottom"/>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20"/>
                <w:szCs w:val="20"/>
              </w:rPr>
            </w:pPr>
            <w:r>
              <w:rPr>
                <w:rFonts w:ascii="Arial" w:hAnsi="Arial" w:cs="Arial"/>
                <w:b/>
                <w:bCs/>
                <w:sz w:val="20"/>
                <w:szCs w:val="20"/>
              </w:rPr>
              <w:t>Total Annual Burden</w:t>
            </w:r>
          </w:p>
        </w:tc>
        <w:tc>
          <w:tcPr>
            <w:tcW w:w="4320" w:type="dxa"/>
            <w:tcBorders>
              <w:top w:val="single" w:sz="6" w:space="0" w:color="000000"/>
              <w:left w:val="single" w:sz="6" w:space="0" w:color="000000"/>
              <w:bottom w:val="single" w:sz="6" w:space="0" w:color="000000"/>
              <w:right w:val="single" w:sz="6" w:space="0" w:color="000000"/>
            </w:tcBorders>
            <w:vAlign w:val="bottom"/>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20"/>
                <w:szCs w:val="20"/>
              </w:rPr>
            </w:pPr>
            <w:r>
              <w:rPr>
                <w:rFonts w:ascii="Arial" w:hAnsi="Arial" w:cs="Arial"/>
                <w:b/>
                <w:bCs/>
                <w:sz w:val="20"/>
                <w:szCs w:val="20"/>
              </w:rPr>
              <w:t>Derivation</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1.   Write 305(b) guidance</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40</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Reduction in hours because guidance is complete and only minor revisions are anticipated</w:t>
            </w:r>
          </w:p>
        </w:tc>
      </w:tr>
      <w:tr w:rsidR="00AA1CD5">
        <w:tblPrEx>
          <w:tblCellMar>
            <w:top w:w="0" w:type="dxa"/>
            <w:bottom w:w="0" w:type="dxa"/>
          </w:tblCellMar>
        </w:tblPrEx>
        <w:trPr>
          <w:trHeight w:val="549"/>
        </w:trPr>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2.   Prepare Report to Congress</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2,080</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Plus $27,500 for printing &amp; mailing Report to Congress</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3.   Review draft 305(b) reports</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590</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10 hours per submittal for 59 submittals</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4.   Review final 305(b) reports</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177</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3 hours per submittal for 59 submittals</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5.   Review annual electronic updates of State databases</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800</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6.   Assist States with ADB indexing</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3,328</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4160 hours reduced by 20% to take into account decreasing workload as more States complete indexing</w:t>
            </w:r>
          </w:p>
        </w:tc>
      </w:tr>
      <w:tr w:rsidR="00AA1CD5">
        <w:tblPrEx>
          <w:tblCellMar>
            <w:top w:w="0" w:type="dxa"/>
            <w:bottom w:w="0" w:type="dxa"/>
          </w:tblCellMar>
        </w:tblPrEx>
        <w:trPr>
          <w:trHeight w:val="360"/>
        </w:trPr>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7.   Maintain national ADB database</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1,040</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r w:rsidR="00AA1CD5">
        <w:tblPrEx>
          <w:tblCellMar>
            <w:top w:w="0" w:type="dxa"/>
            <w:bottom w:w="0" w:type="dxa"/>
          </w:tblCellMar>
        </w:tblPrEx>
        <w:trPr>
          <w:trHeight w:val="321"/>
        </w:trPr>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8.   Prepare 303(d) guidance</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62</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9.  Provide technical assistance to States for 303(d)</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236</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4 hours per respondent per year for 59 respondents</w:t>
            </w:r>
          </w:p>
        </w:tc>
      </w:tr>
      <w:tr w:rsidR="00AA1CD5">
        <w:tblPrEx>
          <w:tblCellMar>
            <w:top w:w="0" w:type="dxa"/>
            <w:bottom w:w="0" w:type="dxa"/>
          </w:tblCellMar>
        </w:tblPrEx>
        <w:tc>
          <w:tcPr>
            <w:tcW w:w="38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10.  Review draft 303(d) lists</w:t>
            </w:r>
          </w:p>
        </w:tc>
        <w:tc>
          <w:tcPr>
            <w:tcW w:w="1170" w:type="dxa"/>
            <w:tcBorders>
              <w:top w:val="single" w:sz="6" w:space="0" w:color="000000"/>
              <w:left w:val="single" w:sz="6" w:space="0" w:color="000000"/>
              <w:bottom w:val="nil"/>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236</w:t>
            </w:r>
          </w:p>
        </w:tc>
        <w:tc>
          <w:tcPr>
            <w:tcW w:w="4320" w:type="dxa"/>
            <w:tcBorders>
              <w:top w:val="single" w:sz="6" w:space="0" w:color="000000"/>
              <w:left w:val="single" w:sz="6" w:space="0" w:color="000000"/>
              <w:bottom w:val="nil"/>
              <w:right w:val="single" w:sz="6" w:space="0" w:color="000000"/>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8 hours per respondent every 2 years for 59 respondents</w:t>
            </w:r>
          </w:p>
        </w:tc>
      </w:tr>
      <w:tr w:rsidR="00AA1CD5">
        <w:tblPrEx>
          <w:tblCellMar>
            <w:top w:w="0" w:type="dxa"/>
            <w:bottom w:w="0" w:type="dxa"/>
          </w:tblCellMar>
        </w:tblPrEx>
        <w:trPr>
          <w:trHeight w:val="584"/>
        </w:trPr>
        <w:tc>
          <w:tcPr>
            <w:tcW w:w="3870" w:type="dxa"/>
            <w:tcBorders>
              <w:top w:val="single" w:sz="6" w:space="0" w:color="000000"/>
              <w:left w:val="single" w:sz="6" w:space="0" w:color="000000"/>
              <w:bottom w:val="single" w:sz="6" w:space="0" w:color="000000"/>
              <w:right w:val="nil"/>
            </w:tcBorders>
            <w:vAlign w:val="center"/>
          </w:tcPr>
          <w:p w:rsidR="00AA1CD5" w:rsidRDefault="00AA1CD5" w:rsidP="00AA1CD5">
            <w:pPr>
              <w:keepNext/>
              <w:widowControl/>
              <w:numPr>
                <w:ilvl w:val="12"/>
                <w:numId w:val="0"/>
              </w:numPr>
              <w:tabs>
                <w:tab w:val="left" w:pos="-1440"/>
                <w:tab w:val="left" w:pos="-720"/>
                <w:tab w:val="left" w:pos="0"/>
                <w:tab w:val="left" w:pos="720"/>
                <w:tab w:val="left" w:pos="1440"/>
                <w:tab w:val="left" w:pos="2160"/>
                <w:tab w:val="left" w:pos="3600"/>
              </w:tabs>
              <w:spacing w:before="24" w:after="39"/>
              <w:rPr>
                <w:sz w:val="18"/>
                <w:szCs w:val="18"/>
              </w:rPr>
            </w:pPr>
            <w:r>
              <w:rPr>
                <w:rFonts w:ascii="Arial" w:hAnsi="Arial" w:cs="Arial"/>
                <w:sz w:val="18"/>
                <w:szCs w:val="18"/>
              </w:rPr>
              <w:t>11.  Review final 303(d) lists and resolve disapprovals</w:t>
            </w:r>
          </w:p>
        </w:tc>
        <w:tc>
          <w:tcPr>
            <w:tcW w:w="1170" w:type="dxa"/>
            <w:tcBorders>
              <w:top w:val="single" w:sz="6" w:space="0" w:color="000000"/>
              <w:left w:val="single" w:sz="6" w:space="0" w:color="000000"/>
              <w:bottom w:val="single" w:sz="6" w:space="0" w:color="000000"/>
              <w:right w:val="nil"/>
            </w:tcBorders>
            <w:vAlign w:val="center"/>
          </w:tcPr>
          <w:p w:rsidR="00AA1CD5" w:rsidRDefault="00AA1CD5" w:rsidP="00AA1CD5">
            <w:pPr>
              <w:keepNext/>
              <w:widowControl/>
              <w:numPr>
                <w:ilvl w:val="12"/>
                <w:numId w:val="0"/>
              </w:numPr>
              <w:tabs>
                <w:tab w:val="left" w:pos="-1440"/>
                <w:tab w:val="left" w:pos="-720"/>
                <w:tab w:val="left" w:pos="0"/>
                <w:tab w:val="left" w:pos="720"/>
              </w:tabs>
              <w:spacing w:before="24" w:after="39"/>
              <w:jc w:val="center"/>
              <w:rPr>
                <w:sz w:val="18"/>
                <w:szCs w:val="18"/>
              </w:rPr>
            </w:pPr>
            <w:r>
              <w:rPr>
                <w:rFonts w:ascii="Arial" w:hAnsi="Arial" w:cs="Arial"/>
                <w:sz w:val="18"/>
                <w:szCs w:val="18"/>
              </w:rPr>
              <w:t>500</w:t>
            </w:r>
          </w:p>
        </w:tc>
        <w:tc>
          <w:tcPr>
            <w:tcW w:w="4320" w:type="dxa"/>
            <w:tcBorders>
              <w:top w:val="single" w:sz="6" w:space="0" w:color="000000"/>
              <w:left w:val="single" w:sz="6" w:space="0" w:color="000000"/>
              <w:bottom w:val="single" w:sz="6" w:space="0" w:color="000000"/>
              <w:right w:val="single" w:sz="6" w:space="0" w:color="000000"/>
            </w:tcBorders>
            <w:vAlign w:val="center"/>
          </w:tcPr>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s>
              <w:spacing w:before="24" w:after="39"/>
              <w:jc w:val="center"/>
              <w:rPr>
                <w:sz w:val="18"/>
                <w:szCs w:val="18"/>
              </w:rPr>
            </w:pPr>
            <w:r>
              <w:rPr>
                <w:rFonts w:ascii="Arial" w:hAnsi="Arial" w:cs="Arial"/>
                <w:sz w:val="18"/>
                <w:szCs w:val="18"/>
              </w:rPr>
              <w:t>Based on recent experience</w:t>
            </w:r>
          </w:p>
        </w:tc>
      </w:tr>
    </w:tbl>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b/>
          <w:bCs/>
          <w:sz w:val="22"/>
          <w:szCs w:val="22"/>
        </w:rPr>
        <w:t xml:space="preserve"> B.4 Agency Burden Estimates for Enhanced Benefit Cost Analysis of Water Quality Standards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The Agency will develop guidance for the States that will assist them in improving their benefit cost analyses, while minimizing the additional burden of doing so. The Agency plans to target the guidance so that can be applied by a mid-level analyst.</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r>
        <w:rPr>
          <w:rFonts w:ascii="Times New Roman" w:hAnsi="Times New Roman"/>
          <w:sz w:val="22"/>
          <w:szCs w:val="22"/>
        </w:rPr>
        <w:t>The guidance for performing benefits analysis will likely:</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include a list of data elements required to conduct a benefits analysis, and include suggested sources and techniques for each,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present the results of a meta-analysis of existing valuation studies, with recommended values for different water body types, expected changes in water quality, and categories of benefits,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r>
        <w:rPr>
          <w:rFonts w:ascii="Times New Roman" w:hAnsi="Times New Roman"/>
          <w:sz w:val="22"/>
          <w:szCs w:val="22"/>
        </w:rPr>
        <w:t xml:space="preserve">discuss how and when to apply different values, will provide default values where there is no basis or need to tailor the estimates to location-specific characteristics, and will describe circumstances in which it is important to develop location-specific estimates, and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pStyle w:val="Level1"/>
        <w:widowControl/>
        <w:numPr>
          <w:ilvl w:val="0"/>
          <w:numId w:val="1"/>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left"/>
        <w:rPr>
          <w:rFonts w:ascii="Times New Roman" w:hAnsi="Times New Roman"/>
          <w:sz w:val="22"/>
          <w:szCs w:val="22"/>
        </w:rPr>
      </w:pPr>
      <w:proofErr w:type="gramStart"/>
      <w:r>
        <w:rPr>
          <w:rFonts w:ascii="Times New Roman" w:hAnsi="Times New Roman"/>
          <w:sz w:val="22"/>
          <w:szCs w:val="22"/>
        </w:rPr>
        <w:lastRenderedPageBreak/>
        <w:t>include</w:t>
      </w:r>
      <w:proofErr w:type="gramEnd"/>
      <w:r>
        <w:rPr>
          <w:rFonts w:ascii="Times New Roman" w:hAnsi="Times New Roman"/>
          <w:sz w:val="22"/>
          <w:szCs w:val="22"/>
        </w:rPr>
        <w:t xml:space="preserve"> a user-friendly spreadsheet model that implements the proffered analysis, and makes it easy to substitute use-selected values to tailor the model to specific States and to conduct sensitivity analyses to address key uncertainties.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 xml:space="preserve">The guidance for preparing cost analysis will provide information regarding cost, including data sources, default values and worksheets.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The Agency anticipates that States will have the opportunity to participate in the review of draft guidance materials to help ensure that the guidance and the tools it provides are useful and practical from the States’ perspective. If appropriate, the Agency may provide additional training materials and/or workshops to further assist States in using the guidance.</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Pr="00302FD2"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 xml:space="preserve">The Agency estimates that the cost of providing this additional guidance would </w:t>
      </w:r>
      <w:r w:rsidRPr="00302FD2">
        <w:rPr>
          <w:rFonts w:ascii="Times New Roman" w:hAnsi="Times New Roman"/>
          <w:sz w:val="22"/>
          <w:szCs w:val="22"/>
        </w:rPr>
        <w:t>be $</w:t>
      </w:r>
      <w:r w:rsidR="00E272C8" w:rsidRPr="00302FD2">
        <w:rPr>
          <w:rFonts w:ascii="Times New Roman" w:hAnsi="Times New Roman"/>
          <w:sz w:val="22"/>
          <w:szCs w:val="22"/>
        </w:rPr>
        <w:t xml:space="preserve">327,885. </w:t>
      </w:r>
      <w:r w:rsidRPr="00302FD2">
        <w:rPr>
          <w:rFonts w:ascii="Times New Roman" w:hAnsi="Times New Roman"/>
          <w:sz w:val="22"/>
          <w:szCs w:val="22"/>
        </w:rPr>
        <w:t>Over the three year period of the IC</w:t>
      </w:r>
      <w:r w:rsidR="00E272C8" w:rsidRPr="00302FD2">
        <w:rPr>
          <w:rFonts w:ascii="Times New Roman" w:hAnsi="Times New Roman"/>
          <w:sz w:val="22"/>
          <w:szCs w:val="22"/>
        </w:rPr>
        <w:t>R, the annual cost would be $109</w:t>
      </w:r>
      <w:r w:rsidRPr="00302FD2">
        <w:rPr>
          <w:rFonts w:ascii="Times New Roman" w:hAnsi="Times New Roman"/>
          <w:sz w:val="22"/>
          <w:szCs w:val="22"/>
        </w:rPr>
        <w:t>,</w:t>
      </w:r>
      <w:r w:rsidR="00E272C8" w:rsidRPr="00302FD2">
        <w:rPr>
          <w:rFonts w:ascii="Times New Roman" w:hAnsi="Times New Roman"/>
          <w:sz w:val="22"/>
          <w:szCs w:val="22"/>
        </w:rPr>
        <w:t>295</w:t>
      </w:r>
      <w:r w:rsidRPr="00302FD2">
        <w:rPr>
          <w:rFonts w:ascii="Times New Roman" w:hAnsi="Times New Roman"/>
          <w:sz w:val="22"/>
          <w:szCs w:val="22"/>
        </w:rPr>
        <w:t xml:space="preserve"> which translates into a burden of 2,117 hours annually (at the fully loaded hourly rate of $</w:t>
      </w:r>
      <w:r w:rsidR="00E272C8" w:rsidRPr="00302FD2">
        <w:rPr>
          <w:rFonts w:ascii="Times New Roman" w:hAnsi="Times New Roman"/>
          <w:sz w:val="22"/>
          <w:szCs w:val="22"/>
        </w:rPr>
        <w:t xml:space="preserve">51.62 </w:t>
      </w:r>
      <w:r w:rsidRPr="00302FD2">
        <w:rPr>
          <w:rFonts w:ascii="Times New Roman" w:hAnsi="Times New Roman"/>
          <w:sz w:val="22"/>
          <w:szCs w:val="22"/>
        </w:rPr>
        <w:t xml:space="preserve">as discussed in 6(c)). </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r>
        <w:rPr>
          <w:rFonts w:ascii="Times New Roman" w:hAnsi="Times New Roman"/>
          <w:b/>
          <w:bCs/>
          <w:sz w:val="22"/>
          <w:szCs w:val="22"/>
        </w:rPr>
        <w:t>B.5 Agency Burden Estimates for Reviewing TMDLs</w:t>
      </w:r>
    </w:p>
    <w:p w:rsidR="00AA1CD5"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2"/>
          <w:szCs w:val="22"/>
        </w:rPr>
      </w:pPr>
    </w:p>
    <w:p w:rsidR="004E46AF" w:rsidRPr="004E46AF" w:rsidRDefault="00AA1CD5" w:rsidP="00AA1CD5">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sectPr w:rsidR="004E46AF" w:rsidRPr="004E46AF">
          <w:headerReference w:type="default" r:id="rId22"/>
          <w:footerReference w:type="default" r:id="rId23"/>
          <w:pgSz w:w="12240" w:h="15840"/>
          <w:pgMar w:top="1699" w:right="1440" w:bottom="1440" w:left="1440" w:header="1440" w:footer="1440" w:gutter="0"/>
          <w:pgNumType w:start="1"/>
          <w:cols w:space="720"/>
          <w:noEndnote/>
        </w:sectPr>
      </w:pPr>
      <w:r>
        <w:rPr>
          <w:rFonts w:ascii="Times New Roman" w:hAnsi="Times New Roman"/>
          <w:b/>
          <w:bCs/>
          <w:sz w:val="22"/>
          <w:szCs w:val="22"/>
        </w:rPr>
        <w:tab/>
      </w:r>
      <w:r>
        <w:rPr>
          <w:rFonts w:ascii="Times New Roman" w:hAnsi="Times New Roman"/>
          <w:sz w:val="22"/>
          <w:szCs w:val="22"/>
        </w:rPr>
        <w:t>To estimate the Agency burden associated with reviewing TMDLs, we assume that on average about 4,000 TMDLs per year will be submitted to EPA over the three-year period of the ICR as a result of consent decrees and state submitted schedules</w:t>
      </w:r>
      <w:r w:rsidR="004E46AF">
        <w:rPr>
          <w:rFonts w:ascii="Times New Roman" w:hAnsi="Times New Roman"/>
          <w:sz w:val="22"/>
          <w:szCs w:val="22"/>
        </w:rPr>
        <w:t>.</w:t>
      </w:r>
      <w:r>
        <w:rPr>
          <w:rFonts w:ascii="Times New Roman" w:hAnsi="Times New Roman"/>
          <w:sz w:val="22"/>
          <w:szCs w:val="22"/>
        </w:rPr>
        <w:t xml:space="preserve"> We also assume that about half of these TMDLs (2000) will be submitted in packages of about 10 or more substantially similar TMDLs. Clusters of similar TMDLs can be reviewed in an average of 1 hour, amounting to a total of 2,000 hours annually. For non-clustered TMDLs, it is anticipated that a disapproval (perhaps occurring 15% of the time for the remaining 2,000 TMDLs – i.e., 300 TMDLs) will require about 1 day (8 hours) of effort amounting to 2400 hours annually; and an approval (perhaps occurring 85% of the time for the remaining 2000 TMDLs – i.e., 1,700 TMDLs) will require about ½ day (4 hours) of effort amounting to 6,800 hours annually.  Altogether, the annual burden is estimated to be 11,20</w:t>
      </w:r>
      <w:r w:rsidR="0011795F">
        <w:rPr>
          <w:rFonts w:ascii="Times New Roman" w:hAnsi="Times New Roman"/>
          <w:sz w:val="22"/>
          <w:szCs w:val="22"/>
        </w:rPr>
        <w:t>0 hours.</w:t>
      </w:r>
    </w:p>
    <w:p w:rsidR="00AA1CD5" w:rsidRPr="004E46AF" w:rsidRDefault="00AA1CD5" w:rsidP="004E46AF">
      <w:pPr>
        <w:widowControl/>
        <w:numPr>
          <w:ilvl w:val="12"/>
          <w:numId w:val="0"/>
        </w:num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A1CD5" w:rsidRPr="004E46AF" w:rsidSect="00B75AD4">
      <w:headerReference w:type="default" r:id="rId24"/>
      <w:footerReference w:type="default" r:id="rId25"/>
      <w:pgSz w:w="12240" w:h="15840"/>
      <w:pgMar w:top="1699"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D4A" w:rsidRDefault="00D40D4A">
      <w:r>
        <w:separator/>
      </w:r>
    </w:p>
  </w:endnote>
  <w:endnote w:type="continuationSeparator" w:id="0">
    <w:p w:rsidR="00D40D4A" w:rsidRDefault="00D40D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pPr>
    <w:fldSimple w:instr=" PAGE  ">
      <w:r w:rsidR="0080667A">
        <w:rPr>
          <w:noProof/>
        </w:rPr>
        <w:t>2</w:t>
      </w:r>
    </w:fldSimple>
  </w:p>
  <w:p w:rsidR="006D6572" w:rsidRDefault="006D6572">
    <w:pPr>
      <w:widowContr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pPr>
    <w:fldSimple w:instr=" PAGE  ">
      <w:r w:rsidR="0080667A">
        <w:rPr>
          <w:noProof/>
        </w:rPr>
        <w:t>3</w:t>
      </w:r>
    </w:fldSimple>
  </w:p>
  <w:p w:rsidR="006D6572" w:rsidRDefault="006D6572">
    <w:pPr>
      <w:widowContr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pPr>
    <w:fldSimple w:instr=" PAGE  ">
      <w:r w:rsidR="0080667A">
        <w:rPr>
          <w:noProof/>
        </w:rPr>
        <w:t>11</w:t>
      </w:r>
    </w:fldSimple>
  </w:p>
  <w:p w:rsidR="006D6572" w:rsidRDefault="006D6572">
    <w:pPr>
      <w:widowControl/>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pPr>
    <w:fldSimple w:instr=" PAGE  ">
      <w:r w:rsidR="0080667A">
        <w:rPr>
          <w:noProof/>
        </w:rPr>
        <w:t>24</w:t>
      </w:r>
    </w:fldSimple>
  </w:p>
  <w:p w:rsidR="006D6572" w:rsidRDefault="006D6572">
    <w:pPr>
      <w:widowControl/>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pPr>
    <w:fldSimple w:instr=" PAGE  ">
      <w:r w:rsidR="0080667A">
        <w:rPr>
          <w:noProof/>
        </w:rPr>
        <w:t>25</w:t>
      </w:r>
    </w:fldSimple>
  </w:p>
  <w:p w:rsidR="006D6572" w:rsidRDefault="006D6572">
    <w:pPr>
      <w:widowControl/>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rPr>
        <w:rFonts w:ascii="Arial" w:hAnsi="Arial" w:cs="Arial"/>
        <w:b/>
        <w:bCs/>
      </w:rPr>
    </w:pPr>
    <w:r>
      <w:rPr>
        <w:rFonts w:ascii="Arial" w:hAnsi="Arial" w:cs="Arial"/>
        <w:b/>
        <w:bCs/>
      </w:rPr>
      <w:t>A-</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80667A">
      <w:rPr>
        <w:rFonts w:ascii="Arial" w:hAnsi="Arial" w:cs="Arial"/>
        <w:b/>
        <w:bCs/>
        <w:noProof/>
      </w:rPr>
      <w:t>3</w:t>
    </w:r>
    <w:r>
      <w:rPr>
        <w:rFonts w:ascii="Arial" w:hAnsi="Arial" w:cs="Arial"/>
        <w:b/>
        <w:bCs/>
      </w:rPr>
      <w:fldChar w:fldCharType="end"/>
    </w:r>
  </w:p>
  <w:p w:rsidR="006D6572" w:rsidRDefault="006D6572">
    <w:pPr>
      <w:widowControl/>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rPr>
        <w:rFonts w:ascii="Arial" w:hAnsi="Arial" w:cs="Arial"/>
      </w:rPr>
    </w:pPr>
    <w:r>
      <w:rPr>
        <w:rFonts w:ascii="Arial" w:hAnsi="Arial" w:cs="Arial"/>
      </w:rPr>
      <w:t>B-</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0667A">
      <w:rPr>
        <w:rFonts w:ascii="Arial" w:hAnsi="Arial" w:cs="Arial"/>
        <w:noProof/>
      </w:rPr>
      <w:t>5</w:t>
    </w:r>
    <w:r>
      <w:rPr>
        <w:rFonts w:ascii="Arial" w:hAnsi="Arial" w:cs="Arial"/>
      </w:rPr>
      <w:fldChar w:fldCharType="end"/>
    </w:r>
  </w:p>
  <w:p w:rsidR="006D6572" w:rsidRDefault="006D6572">
    <w:pPr>
      <w:widowControl/>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framePr w:wrap="notBeside" w:hAnchor="text" w:xAlign="center"/>
      <w:widowControl/>
      <w:rPr>
        <w:rFonts w:ascii="Times New Roman" w:hAnsi="Times New Roman"/>
        <w:b/>
        <w:bCs/>
        <w:sz w:val="22"/>
        <w:szCs w:val="22"/>
      </w:rPr>
    </w:pPr>
    <w:r>
      <w:rPr>
        <w:rFonts w:ascii="Times New Roman" w:hAnsi="Times New Roman"/>
        <w:b/>
        <w:bCs/>
        <w:sz w:val="22"/>
        <w:szCs w:val="22"/>
      </w:rPr>
      <w:t>C-</w:t>
    </w:r>
    <w:r>
      <w:rPr>
        <w:rFonts w:ascii="Times New Roman" w:hAnsi="Times New Roman"/>
        <w:b/>
        <w:bCs/>
        <w:sz w:val="22"/>
        <w:szCs w:val="22"/>
      </w:rPr>
      <w:fldChar w:fldCharType="begin"/>
    </w:r>
    <w:r>
      <w:rPr>
        <w:rFonts w:ascii="Times New Roman" w:hAnsi="Times New Roman"/>
        <w:b/>
        <w:bCs/>
        <w:sz w:val="22"/>
        <w:szCs w:val="22"/>
      </w:rPr>
      <w:instrText xml:space="preserve"> PAGE  </w:instrText>
    </w:r>
    <w:r>
      <w:rPr>
        <w:rFonts w:ascii="Times New Roman" w:hAnsi="Times New Roman"/>
        <w:b/>
        <w:bCs/>
        <w:sz w:val="22"/>
        <w:szCs w:val="22"/>
      </w:rPr>
      <w:fldChar w:fldCharType="separate"/>
    </w:r>
    <w:r w:rsidR="0080667A">
      <w:rPr>
        <w:rFonts w:ascii="Times New Roman" w:hAnsi="Times New Roman"/>
        <w:b/>
        <w:bCs/>
        <w:noProof/>
        <w:sz w:val="22"/>
        <w:szCs w:val="22"/>
      </w:rPr>
      <w:t>1</w:t>
    </w:r>
    <w:r>
      <w:rPr>
        <w:rFonts w:ascii="Times New Roman" w:hAnsi="Times New Roman"/>
        <w:b/>
        <w:bCs/>
        <w:sz w:val="22"/>
        <w:szCs w:val="22"/>
      </w:rPr>
      <w:fldChar w:fldCharType="end"/>
    </w:r>
  </w:p>
  <w:p w:rsidR="006D6572" w:rsidRDefault="006D6572">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D4A" w:rsidRDefault="00D40D4A">
      <w:r>
        <w:separator/>
      </w:r>
    </w:p>
  </w:footnote>
  <w:footnote w:type="continuationSeparator" w:id="0">
    <w:p w:rsidR="00D40D4A" w:rsidRDefault="00D40D4A">
      <w:r>
        <w:continuationSeparator/>
      </w:r>
    </w:p>
  </w:footnote>
  <w:footnote w:id="1">
    <w:p w:rsidR="006D6572" w:rsidRDefault="006D6572">
      <w:pPr>
        <w:widowControl/>
        <w:spacing w:after="240"/>
      </w:pPr>
      <w:r>
        <w:t xml:space="preserve">     </w:t>
      </w:r>
      <w:r>
        <w:rPr>
          <w:vertAlign w:val="superscript"/>
        </w:rPr>
        <w:t>2</w:t>
      </w:r>
      <w:r>
        <w:t xml:space="preserve"> </w:t>
      </w:r>
      <w:r>
        <w:rPr>
          <w:rFonts w:ascii="Times New Roman" w:hAnsi="Times New Roman"/>
          <w:sz w:val="20"/>
          <w:szCs w:val="20"/>
        </w:rPr>
        <w:t xml:space="preserve">The combination of the 50 States, the </w:t>
      </w:r>
      <w:smartTag w:uri="urn:schemas-microsoft-com:office:smarttags" w:element="State">
        <w:r>
          <w:rPr>
            <w:rFonts w:ascii="Times New Roman" w:hAnsi="Times New Roman"/>
            <w:sz w:val="20"/>
            <w:szCs w:val="20"/>
          </w:rPr>
          <w:t>District of Columbia</w:t>
        </w:r>
      </w:smartTag>
      <w:r>
        <w:rPr>
          <w:rFonts w:ascii="Times New Roman" w:hAnsi="Times New Roman"/>
          <w:sz w:val="20"/>
          <w:szCs w:val="20"/>
        </w:rPr>
        <w:t xml:space="preserve">, and 5 Territories (Puerto Rico, the Virgin Islands, </w:t>
      </w:r>
      <w:smartTag w:uri="urn:schemas-microsoft-com:office:smarttags" w:element="City">
        <w:r>
          <w:rPr>
            <w:rFonts w:ascii="Times New Roman" w:hAnsi="Times New Roman"/>
            <w:sz w:val="20"/>
            <w:szCs w:val="20"/>
          </w:rPr>
          <w:t>Guam</w:t>
        </w:r>
      </w:smartTag>
      <w:r>
        <w:rPr>
          <w:rFonts w:ascii="Times New Roman" w:hAnsi="Times New Roman"/>
          <w:sz w:val="20"/>
          <w:szCs w:val="20"/>
        </w:rPr>
        <w:t xml:space="preserve">, </w:t>
      </w:r>
      <w:smartTag w:uri="urn:schemas-microsoft-com:office:smarttags" w:element="State">
        <w:r>
          <w:rPr>
            <w:rFonts w:ascii="Times New Roman" w:hAnsi="Times New Roman"/>
            <w:sz w:val="20"/>
            <w:szCs w:val="20"/>
          </w:rPr>
          <w:t>American Samoa</w:t>
        </w:r>
      </w:smartTag>
      <w:r>
        <w:rPr>
          <w:rFonts w:ascii="Times New Roman" w:hAnsi="Times New Roman"/>
          <w:sz w:val="20"/>
          <w:szCs w:val="20"/>
        </w:rPr>
        <w:t xml:space="preserve">, and the </w:t>
      </w:r>
      <w:smartTag w:uri="urn:schemas-microsoft-com:office:smarttags" w:element="place">
        <w:r>
          <w:rPr>
            <w:rFonts w:ascii="Times New Roman" w:hAnsi="Times New Roman"/>
            <w:sz w:val="20"/>
            <w:szCs w:val="20"/>
          </w:rPr>
          <w:t>Northern Mariana Islands</w:t>
        </w:r>
      </w:smartTag>
      <w:r>
        <w:rPr>
          <w:rFonts w:ascii="Times New Roman" w:hAnsi="Times New Roman"/>
          <w:sz w:val="20"/>
          <w:szCs w:val="20"/>
        </w:rPr>
        <w:t>) are collectively referred to as “the States” in this document.</w:t>
      </w:r>
    </w:p>
  </w:footnote>
  <w:footnote w:id="2">
    <w:p w:rsidR="006D6572" w:rsidRDefault="006D6572">
      <w:pPr>
        <w:widowControl/>
        <w:spacing w:after="240"/>
      </w:pPr>
      <w:r>
        <w:rPr>
          <w:sz w:val="20"/>
          <w:szCs w:val="20"/>
        </w:rPr>
        <w:t xml:space="preserve">     </w:t>
      </w:r>
      <w:r>
        <w:rPr>
          <w:vertAlign w:val="superscript"/>
        </w:rPr>
        <w:t>3</w:t>
      </w:r>
      <w:r>
        <w:rPr>
          <w:rFonts w:ascii="Times New Roman" w:hAnsi="Times New Roman"/>
          <w:sz w:val="20"/>
          <w:szCs w:val="20"/>
        </w:rPr>
        <w:t xml:space="preserve"> The Cadmus Group, Inc., </w:t>
      </w:r>
      <w:r>
        <w:rPr>
          <w:rFonts w:ascii="Times New Roman" w:hAnsi="Times New Roman"/>
          <w:i/>
          <w:iCs/>
          <w:sz w:val="20"/>
          <w:szCs w:val="20"/>
        </w:rPr>
        <w:t>State Water Quality</w:t>
      </w:r>
      <w:r w:rsidR="00501558">
        <w:rPr>
          <w:rFonts w:ascii="Times New Roman" w:hAnsi="Times New Roman"/>
          <w:i/>
          <w:iCs/>
          <w:sz w:val="20"/>
          <w:szCs w:val="20"/>
        </w:rPr>
        <w:t xml:space="preserve"> </w:t>
      </w:r>
      <w:r>
        <w:rPr>
          <w:rFonts w:ascii="Times New Roman" w:hAnsi="Times New Roman"/>
          <w:i/>
          <w:iCs/>
          <w:sz w:val="20"/>
          <w:szCs w:val="20"/>
        </w:rPr>
        <w:t>Management Resource Analysis: Interim Report on Results</w:t>
      </w:r>
      <w:r>
        <w:rPr>
          <w:rFonts w:ascii="Times New Roman" w:hAnsi="Times New Roman"/>
          <w:sz w:val="20"/>
          <w:szCs w:val="20"/>
        </w:rPr>
        <w:t>, prepared for the State Water Quality Management Resource Analysis Task Force, December 2001.</w:t>
      </w:r>
    </w:p>
  </w:footnote>
  <w:footnote w:id="3">
    <w:p w:rsidR="006D6572" w:rsidRPr="00302FD2" w:rsidRDefault="006D6572">
      <w:pPr>
        <w:widowControl/>
        <w:spacing w:after="240"/>
      </w:pPr>
      <w:r w:rsidRPr="00302FD2">
        <w:rPr>
          <w:sz w:val="20"/>
          <w:szCs w:val="20"/>
        </w:rPr>
        <w:t xml:space="preserve">     </w:t>
      </w:r>
      <w:proofErr w:type="gramStart"/>
      <w:r w:rsidRPr="00302FD2">
        <w:rPr>
          <w:vertAlign w:val="superscript"/>
        </w:rPr>
        <w:t>4</w:t>
      </w:r>
      <w:r w:rsidRPr="00302FD2">
        <w:rPr>
          <w:rFonts w:ascii="Times New Roman" w:hAnsi="Times New Roman"/>
          <w:sz w:val="20"/>
          <w:szCs w:val="20"/>
        </w:rPr>
        <w:t xml:space="preserve"> Consumer Price Index</w:t>
      </w:r>
      <w:proofErr w:type="gramEnd"/>
      <w:r w:rsidRPr="00302FD2">
        <w:rPr>
          <w:rFonts w:ascii="Times New Roman" w:hAnsi="Times New Roman"/>
          <w:sz w:val="20"/>
          <w:szCs w:val="20"/>
        </w:rPr>
        <w:t>, Nov. 20</w:t>
      </w:r>
      <w:r>
        <w:rPr>
          <w:rFonts w:ascii="Times New Roman" w:hAnsi="Times New Roman"/>
          <w:sz w:val="20"/>
          <w:szCs w:val="20"/>
        </w:rPr>
        <w:t>07</w:t>
      </w:r>
      <w:r w:rsidRPr="00302FD2">
        <w:rPr>
          <w:rFonts w:ascii="Times New Roman" w:hAnsi="Times New Roman"/>
          <w:sz w:val="20"/>
          <w:szCs w:val="20"/>
        </w:rPr>
        <w:t>:</w:t>
      </w:r>
      <w:r>
        <w:rPr>
          <w:rFonts w:ascii="Times New Roman" w:hAnsi="Times New Roman"/>
          <w:sz w:val="20"/>
          <w:szCs w:val="20"/>
        </w:rPr>
        <w:t>207.9</w:t>
      </w:r>
      <w:r w:rsidRPr="00302FD2">
        <w:rPr>
          <w:rFonts w:ascii="Times New Roman" w:hAnsi="Times New Roman"/>
          <w:sz w:val="20"/>
          <w:szCs w:val="20"/>
        </w:rPr>
        <w:t xml:space="preserve"> Consumer Price Index, August 20</w:t>
      </w:r>
      <w:r>
        <w:rPr>
          <w:rFonts w:ascii="Times New Roman" w:hAnsi="Times New Roman"/>
          <w:sz w:val="20"/>
          <w:szCs w:val="20"/>
        </w:rPr>
        <w:t>11</w:t>
      </w:r>
      <w:r w:rsidRPr="00302FD2">
        <w:rPr>
          <w:rFonts w:ascii="Times New Roman" w:hAnsi="Times New Roman"/>
          <w:sz w:val="20"/>
          <w:szCs w:val="20"/>
        </w:rPr>
        <w:t xml:space="preserve">: </w:t>
      </w:r>
      <w:r>
        <w:rPr>
          <w:rFonts w:ascii="Times New Roman" w:hAnsi="Times New Roman"/>
          <w:sz w:val="20"/>
          <w:szCs w:val="20"/>
        </w:rPr>
        <w:t>226.5</w:t>
      </w:r>
      <w:r w:rsidRPr="00302FD2">
        <w:rPr>
          <w:rFonts w:ascii="Times New Roman" w:hAnsi="Times New Roman"/>
          <w:sz w:val="20"/>
          <w:szCs w:val="20"/>
        </w:rPr>
        <w:t xml:space="preserve">.  </w:t>
      </w:r>
      <w:proofErr w:type="gramStart"/>
      <w:r w:rsidRPr="00302FD2">
        <w:rPr>
          <w:rFonts w:ascii="Times New Roman" w:hAnsi="Times New Roman"/>
          <w:sz w:val="20"/>
          <w:szCs w:val="20"/>
        </w:rPr>
        <w:t>(2</w:t>
      </w:r>
      <w:r>
        <w:rPr>
          <w:rFonts w:ascii="Times New Roman" w:hAnsi="Times New Roman"/>
          <w:sz w:val="20"/>
          <w:szCs w:val="20"/>
        </w:rPr>
        <w:t>26.5</w:t>
      </w:r>
      <w:r w:rsidRPr="00302FD2">
        <w:rPr>
          <w:rFonts w:ascii="Times New Roman" w:hAnsi="Times New Roman"/>
          <w:sz w:val="20"/>
          <w:szCs w:val="20"/>
        </w:rPr>
        <w:t>/</w:t>
      </w:r>
      <w:r>
        <w:rPr>
          <w:rFonts w:ascii="Times New Roman" w:hAnsi="Times New Roman"/>
          <w:sz w:val="20"/>
          <w:szCs w:val="20"/>
        </w:rPr>
        <w:t>207.9</w:t>
      </w:r>
      <w:r w:rsidRPr="00302FD2">
        <w:rPr>
          <w:rFonts w:ascii="Times New Roman" w:hAnsi="Times New Roman"/>
          <w:sz w:val="20"/>
          <w:szCs w:val="20"/>
        </w:rPr>
        <w:t xml:space="preserve">= </w:t>
      </w:r>
      <w:r>
        <w:rPr>
          <w:rFonts w:ascii="Times New Roman" w:hAnsi="Times New Roman"/>
          <w:sz w:val="20"/>
          <w:szCs w:val="20"/>
        </w:rPr>
        <w:t>1.089</w:t>
      </w:r>
      <w:r w:rsidRPr="00302FD2">
        <w:rPr>
          <w:rFonts w:ascii="Times New Roman" w:hAnsi="Times New Roman"/>
          <w:sz w:val="20"/>
          <w:szCs w:val="20"/>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4D7D02">
    <w:pPr>
      <w:widowControl/>
      <w:jc w:val="right"/>
      <w:rPr>
        <w:rFonts w:ascii="Times New Roman" w:hAnsi="Times New Roman"/>
        <w:i/>
        <w:iCs/>
        <w:sz w:val="22"/>
        <w:szCs w:val="22"/>
      </w:rPr>
    </w:pPr>
    <w:r>
      <w:rPr>
        <w:rFonts w:ascii="Times New Roman" w:hAnsi="Times New Roman"/>
        <w:i/>
        <w:iCs/>
        <w:sz w:val="22"/>
        <w:szCs w:val="22"/>
      </w:rPr>
      <w:t>November 2011</w:t>
    </w:r>
  </w:p>
  <w:p w:rsidR="006D6572" w:rsidRDefault="006D6572" w:rsidP="0064035F">
    <w:pPr>
      <w:widowControl/>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4D7D02">
    <w:pPr>
      <w:widowControl/>
      <w:jc w:val="right"/>
    </w:pPr>
    <w:r>
      <w:rPr>
        <w:rFonts w:ascii="Times New Roman" w:hAnsi="Times New Roman"/>
        <w:i/>
        <w:iCs/>
        <w:sz w:val="22"/>
        <w:szCs w:val="22"/>
      </w:rPr>
      <w:t>November 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4D7D02">
    <w:pPr>
      <w:widowControl/>
      <w:jc w:val="right"/>
      <w:rPr>
        <w:rFonts w:ascii="Times New Roman" w:hAnsi="Times New Roman"/>
        <w:i/>
        <w:iCs/>
        <w:sz w:val="22"/>
        <w:szCs w:val="22"/>
      </w:rPr>
    </w:pPr>
    <w:r>
      <w:rPr>
        <w:rFonts w:ascii="Times New Roman" w:hAnsi="Times New Roman"/>
        <w:i/>
        <w:iCs/>
        <w:sz w:val="22"/>
        <w:szCs w:val="22"/>
      </w:rPr>
      <w:t>November</w:t>
    </w:r>
    <w:r w:rsidR="006D6572">
      <w:rPr>
        <w:rFonts w:ascii="Times New Roman" w:hAnsi="Times New Roman"/>
        <w:i/>
        <w:iCs/>
        <w:sz w:val="22"/>
        <w:szCs w:val="22"/>
      </w:rPr>
      <w:t xml:space="preserve"> 2011</w:t>
    </w:r>
  </w:p>
  <w:p w:rsidR="006D6572" w:rsidRDefault="006D6572">
    <w:pPr>
      <w:widowControl/>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widowControl/>
      <w:jc w:val="right"/>
      <w:rPr>
        <w:rFonts w:ascii="Times New Roman" w:hAnsi="Times New Roman"/>
        <w:i/>
        <w:iCs/>
        <w:sz w:val="22"/>
        <w:szCs w:val="22"/>
      </w:rPr>
    </w:pPr>
    <w:r>
      <w:rPr>
        <w:rFonts w:ascii="Times New Roman" w:hAnsi="Times New Roman"/>
        <w:i/>
        <w:iCs/>
        <w:sz w:val="22"/>
        <w:szCs w:val="22"/>
      </w:rPr>
      <w:t>October 2011</w:t>
    </w:r>
  </w:p>
  <w:p w:rsidR="006D6572" w:rsidRDefault="006D6572">
    <w:pPr>
      <w:widowControl/>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widowControl/>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widowContro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widowControl/>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widowControl/>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572" w:rsidRDefault="006D6572">
    <w:pPr>
      <w:widowControl/>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68BBF8"/>
    <w:lvl w:ilvl="0">
      <w:numFmt w:val="bullet"/>
      <w:lvlText w:val="*"/>
      <w:lvlJc w:val="left"/>
    </w:lvl>
  </w:abstractNum>
  <w:abstractNum w:abstractNumId="1">
    <w:nsid w:val="00573AE7"/>
    <w:multiLevelType w:val="hybridMultilevel"/>
    <w:tmpl w:val="A9D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14E77"/>
    <w:multiLevelType w:val="hybridMultilevel"/>
    <w:tmpl w:val="44C6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66A77"/>
    <w:multiLevelType w:val="hybridMultilevel"/>
    <w:tmpl w:val="A58A2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617196"/>
    <w:multiLevelType w:val="hybridMultilevel"/>
    <w:tmpl w:val="CD26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0466D8"/>
    <w:multiLevelType w:val="hybridMultilevel"/>
    <w:tmpl w:val="377AC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FF4226"/>
    <w:multiLevelType w:val="hybridMultilevel"/>
    <w:tmpl w:val="B83C5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243380"/>
    <w:multiLevelType w:val="hybridMultilevel"/>
    <w:tmpl w:val="7F7E7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BC237D"/>
    <w:multiLevelType w:val="hybridMultilevel"/>
    <w:tmpl w:val="6DA03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863987"/>
    <w:multiLevelType w:val="hybridMultilevel"/>
    <w:tmpl w:val="470E4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274130"/>
    <w:multiLevelType w:val="hybridMultilevel"/>
    <w:tmpl w:val="E9121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0BD6F68"/>
    <w:multiLevelType w:val="hybridMultilevel"/>
    <w:tmpl w:val="10CE1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C44430"/>
    <w:multiLevelType w:val="hybridMultilevel"/>
    <w:tmpl w:val="9CC22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441" w:hanging="1"/>
        </w:pPr>
        <w:rPr>
          <w:rFonts w:ascii="Times New Roman" w:hAnsi="Times New Roman" w:hint="default"/>
        </w:rPr>
      </w:lvl>
    </w:lvlOverride>
  </w:num>
  <w:num w:numId="2">
    <w:abstractNumId w:val="1"/>
  </w:num>
  <w:num w:numId="3">
    <w:abstractNumId w:val="5"/>
  </w:num>
  <w:num w:numId="4">
    <w:abstractNumId w:val="12"/>
  </w:num>
  <w:num w:numId="5">
    <w:abstractNumId w:val="11"/>
  </w:num>
  <w:num w:numId="6">
    <w:abstractNumId w:val="2"/>
  </w:num>
  <w:num w:numId="7">
    <w:abstractNumId w:val="7"/>
  </w:num>
  <w:num w:numId="8">
    <w:abstractNumId w:val="6"/>
  </w:num>
  <w:num w:numId="9">
    <w:abstractNumId w:val="8"/>
  </w:num>
  <w:num w:numId="10">
    <w:abstractNumId w:val="3"/>
  </w:num>
  <w:num w:numId="11">
    <w:abstractNumId w:val="4"/>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stylePaneFormatFilter w:val="3F01"/>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5A50"/>
    <w:rsid w:val="000003FB"/>
    <w:rsid w:val="00001AB2"/>
    <w:rsid w:val="000372C1"/>
    <w:rsid w:val="00057F95"/>
    <w:rsid w:val="00067218"/>
    <w:rsid w:val="00074104"/>
    <w:rsid w:val="000779A6"/>
    <w:rsid w:val="00081FEB"/>
    <w:rsid w:val="000A11B2"/>
    <w:rsid w:val="0011795F"/>
    <w:rsid w:val="0012777F"/>
    <w:rsid w:val="001607ED"/>
    <w:rsid w:val="0016382F"/>
    <w:rsid w:val="00194522"/>
    <w:rsid w:val="001B1465"/>
    <w:rsid w:val="001B7F89"/>
    <w:rsid w:val="001D0E22"/>
    <w:rsid w:val="00204C49"/>
    <w:rsid w:val="002078A1"/>
    <w:rsid w:val="00275058"/>
    <w:rsid w:val="002A3C77"/>
    <w:rsid w:val="002B0689"/>
    <w:rsid w:val="002B5D5E"/>
    <w:rsid w:val="002D190B"/>
    <w:rsid w:val="002D6AAE"/>
    <w:rsid w:val="00302FD2"/>
    <w:rsid w:val="003256A4"/>
    <w:rsid w:val="00327327"/>
    <w:rsid w:val="00333335"/>
    <w:rsid w:val="003632DC"/>
    <w:rsid w:val="00367792"/>
    <w:rsid w:val="003708C2"/>
    <w:rsid w:val="003A645C"/>
    <w:rsid w:val="003B6C8B"/>
    <w:rsid w:val="003C2B82"/>
    <w:rsid w:val="003C660D"/>
    <w:rsid w:val="003D30AF"/>
    <w:rsid w:val="003D6447"/>
    <w:rsid w:val="003F60E7"/>
    <w:rsid w:val="003F750E"/>
    <w:rsid w:val="004062C5"/>
    <w:rsid w:val="00407D98"/>
    <w:rsid w:val="00411C42"/>
    <w:rsid w:val="0042241F"/>
    <w:rsid w:val="00425CA6"/>
    <w:rsid w:val="00433171"/>
    <w:rsid w:val="00441450"/>
    <w:rsid w:val="0048023F"/>
    <w:rsid w:val="004950C6"/>
    <w:rsid w:val="004A0C44"/>
    <w:rsid w:val="004D7D02"/>
    <w:rsid w:val="004E46AF"/>
    <w:rsid w:val="005011DE"/>
    <w:rsid w:val="00501558"/>
    <w:rsid w:val="00597704"/>
    <w:rsid w:val="005A2081"/>
    <w:rsid w:val="005F776A"/>
    <w:rsid w:val="00612581"/>
    <w:rsid w:val="006177AC"/>
    <w:rsid w:val="0064035F"/>
    <w:rsid w:val="0064259E"/>
    <w:rsid w:val="00654487"/>
    <w:rsid w:val="00684588"/>
    <w:rsid w:val="006C2155"/>
    <w:rsid w:val="006C33A6"/>
    <w:rsid w:val="006D6572"/>
    <w:rsid w:val="006E6FEC"/>
    <w:rsid w:val="00703974"/>
    <w:rsid w:val="007449A2"/>
    <w:rsid w:val="00760709"/>
    <w:rsid w:val="007615D4"/>
    <w:rsid w:val="007853B3"/>
    <w:rsid w:val="00785BEF"/>
    <w:rsid w:val="00790621"/>
    <w:rsid w:val="0079318B"/>
    <w:rsid w:val="007A42EA"/>
    <w:rsid w:val="007C6957"/>
    <w:rsid w:val="0080667A"/>
    <w:rsid w:val="00812094"/>
    <w:rsid w:val="00816891"/>
    <w:rsid w:val="00846F5D"/>
    <w:rsid w:val="0085589D"/>
    <w:rsid w:val="00860990"/>
    <w:rsid w:val="008B4606"/>
    <w:rsid w:val="008C0C4D"/>
    <w:rsid w:val="008C567E"/>
    <w:rsid w:val="008D0E10"/>
    <w:rsid w:val="00903271"/>
    <w:rsid w:val="00912076"/>
    <w:rsid w:val="0093181E"/>
    <w:rsid w:val="009903EA"/>
    <w:rsid w:val="00991918"/>
    <w:rsid w:val="009A4259"/>
    <w:rsid w:val="009D51A5"/>
    <w:rsid w:val="00A45FDA"/>
    <w:rsid w:val="00A47872"/>
    <w:rsid w:val="00A47FBE"/>
    <w:rsid w:val="00AA1CD5"/>
    <w:rsid w:val="00AE07FE"/>
    <w:rsid w:val="00B35A08"/>
    <w:rsid w:val="00B46E76"/>
    <w:rsid w:val="00B50DFB"/>
    <w:rsid w:val="00B526B7"/>
    <w:rsid w:val="00B64BAD"/>
    <w:rsid w:val="00B64F55"/>
    <w:rsid w:val="00B67902"/>
    <w:rsid w:val="00B75AD4"/>
    <w:rsid w:val="00B938E6"/>
    <w:rsid w:val="00B94893"/>
    <w:rsid w:val="00BC1B6A"/>
    <w:rsid w:val="00BF088C"/>
    <w:rsid w:val="00BF553A"/>
    <w:rsid w:val="00C37A26"/>
    <w:rsid w:val="00C40DD9"/>
    <w:rsid w:val="00C63263"/>
    <w:rsid w:val="00C928AA"/>
    <w:rsid w:val="00CB5A50"/>
    <w:rsid w:val="00CD07C2"/>
    <w:rsid w:val="00CD23FC"/>
    <w:rsid w:val="00CF10BE"/>
    <w:rsid w:val="00D006E4"/>
    <w:rsid w:val="00D04F4E"/>
    <w:rsid w:val="00D3001F"/>
    <w:rsid w:val="00D3616D"/>
    <w:rsid w:val="00D40D4A"/>
    <w:rsid w:val="00D47C20"/>
    <w:rsid w:val="00D55FAF"/>
    <w:rsid w:val="00D64D42"/>
    <w:rsid w:val="00D7267B"/>
    <w:rsid w:val="00D90E64"/>
    <w:rsid w:val="00D913D0"/>
    <w:rsid w:val="00DC71B1"/>
    <w:rsid w:val="00DF3006"/>
    <w:rsid w:val="00E272C8"/>
    <w:rsid w:val="00E33F84"/>
    <w:rsid w:val="00E55A3D"/>
    <w:rsid w:val="00E57C91"/>
    <w:rsid w:val="00E6619B"/>
    <w:rsid w:val="00E92616"/>
    <w:rsid w:val="00EB3DB2"/>
    <w:rsid w:val="00EE1DBE"/>
    <w:rsid w:val="00EF1F21"/>
    <w:rsid w:val="00EF3BE9"/>
    <w:rsid w:val="00F21E09"/>
    <w:rsid w:val="00F41ED2"/>
    <w:rsid w:val="00F624BB"/>
    <w:rsid w:val="00FB3D61"/>
    <w:rsid w:val="00FC00AD"/>
    <w:rsid w:val="00FD7314"/>
    <w:rsid w:val="00FE75C6"/>
    <w:rsid w:val="00FF09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10cpi" w:hAnsi="Courier 10cp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widowControl w:val="0"/>
      <w:autoSpaceDE w:val="0"/>
      <w:autoSpaceDN w:val="0"/>
      <w:adjustRightInd w:val="0"/>
      <w:ind w:left="720"/>
      <w:jc w:val="both"/>
    </w:pPr>
    <w:rPr>
      <w:rFonts w:ascii="Courier 10cpi" w:hAnsi="Courier 10cpi"/>
      <w:sz w:val="24"/>
      <w:szCs w:val="24"/>
    </w:rPr>
  </w:style>
  <w:style w:type="paragraph" w:customStyle="1" w:styleId="Level2">
    <w:name w:val="Level 2"/>
    <w:pPr>
      <w:widowControl w:val="0"/>
      <w:autoSpaceDE w:val="0"/>
      <w:autoSpaceDN w:val="0"/>
      <w:adjustRightInd w:val="0"/>
      <w:ind w:left="1440"/>
      <w:jc w:val="both"/>
    </w:pPr>
    <w:rPr>
      <w:rFonts w:ascii="Courier 10cpi" w:hAnsi="Courier 10cpi"/>
      <w:sz w:val="24"/>
      <w:szCs w:val="24"/>
    </w:rPr>
  </w:style>
  <w:style w:type="paragraph" w:customStyle="1" w:styleId="Level3">
    <w:name w:val="Level 3"/>
    <w:pPr>
      <w:widowControl w:val="0"/>
      <w:autoSpaceDE w:val="0"/>
      <w:autoSpaceDN w:val="0"/>
      <w:adjustRightInd w:val="0"/>
      <w:ind w:left="2160"/>
      <w:jc w:val="both"/>
    </w:pPr>
    <w:rPr>
      <w:rFonts w:ascii="Courier 10cpi" w:hAnsi="Courier 10cpi"/>
      <w:sz w:val="24"/>
      <w:szCs w:val="24"/>
    </w:rPr>
  </w:style>
  <w:style w:type="paragraph" w:customStyle="1" w:styleId="Level4">
    <w:name w:val="Level 4"/>
    <w:pPr>
      <w:widowControl w:val="0"/>
      <w:autoSpaceDE w:val="0"/>
      <w:autoSpaceDN w:val="0"/>
      <w:adjustRightInd w:val="0"/>
      <w:ind w:left="2880"/>
      <w:jc w:val="both"/>
    </w:pPr>
    <w:rPr>
      <w:rFonts w:ascii="Courier 10cpi" w:hAnsi="Courier 10cpi"/>
      <w:sz w:val="24"/>
      <w:szCs w:val="24"/>
    </w:rPr>
  </w:style>
  <w:style w:type="paragraph" w:customStyle="1" w:styleId="Level5">
    <w:name w:val="Level 5"/>
    <w:pPr>
      <w:widowControl w:val="0"/>
      <w:autoSpaceDE w:val="0"/>
      <w:autoSpaceDN w:val="0"/>
      <w:adjustRightInd w:val="0"/>
      <w:ind w:left="3600"/>
      <w:jc w:val="both"/>
    </w:pPr>
    <w:rPr>
      <w:rFonts w:ascii="Courier 10cpi" w:hAnsi="Courier 10cpi"/>
      <w:sz w:val="24"/>
      <w:szCs w:val="24"/>
    </w:rPr>
  </w:style>
  <w:style w:type="paragraph" w:customStyle="1" w:styleId="Level6">
    <w:name w:val="Level 6"/>
    <w:pPr>
      <w:widowControl w:val="0"/>
      <w:autoSpaceDE w:val="0"/>
      <w:autoSpaceDN w:val="0"/>
      <w:adjustRightInd w:val="0"/>
      <w:ind w:left="4320"/>
      <w:jc w:val="both"/>
    </w:pPr>
    <w:rPr>
      <w:rFonts w:ascii="Courier 10cpi" w:hAnsi="Courier 10cpi"/>
      <w:sz w:val="24"/>
      <w:szCs w:val="24"/>
    </w:rPr>
  </w:style>
  <w:style w:type="paragraph" w:customStyle="1" w:styleId="Level7">
    <w:name w:val="Level 7"/>
    <w:pPr>
      <w:widowControl w:val="0"/>
      <w:autoSpaceDE w:val="0"/>
      <w:autoSpaceDN w:val="0"/>
      <w:adjustRightInd w:val="0"/>
      <w:ind w:left="5040"/>
      <w:jc w:val="both"/>
    </w:pPr>
    <w:rPr>
      <w:rFonts w:ascii="Courier 10cpi" w:hAnsi="Courier 10cpi"/>
      <w:sz w:val="24"/>
      <w:szCs w:val="24"/>
    </w:rPr>
  </w:style>
  <w:style w:type="paragraph" w:customStyle="1" w:styleId="Level8">
    <w:name w:val="Level 8"/>
    <w:pPr>
      <w:widowControl w:val="0"/>
      <w:autoSpaceDE w:val="0"/>
      <w:autoSpaceDN w:val="0"/>
      <w:adjustRightInd w:val="0"/>
      <w:ind w:left="5760"/>
      <w:jc w:val="both"/>
    </w:pPr>
    <w:rPr>
      <w:rFonts w:ascii="Courier 10cpi" w:hAnsi="Courier 10cpi"/>
      <w:sz w:val="24"/>
      <w:szCs w:val="24"/>
    </w:rPr>
  </w:style>
  <w:style w:type="paragraph" w:customStyle="1" w:styleId="Level9">
    <w:name w:val="Level 9"/>
    <w:pPr>
      <w:widowControl w:val="0"/>
      <w:autoSpaceDE w:val="0"/>
      <w:autoSpaceDN w:val="0"/>
      <w:adjustRightInd w:val="0"/>
      <w:ind w:left="6480"/>
      <w:jc w:val="both"/>
    </w:pPr>
    <w:rPr>
      <w:rFonts w:ascii="Courier 10cpi" w:hAnsi="Courier 10cpi"/>
      <w:sz w:val="24"/>
      <w:szCs w:val="24"/>
    </w:rPr>
  </w:style>
  <w:style w:type="character" w:customStyle="1" w:styleId="OmniPage56">
    <w:name w:val="OmniPage #56"/>
  </w:style>
  <w:style w:type="character" w:customStyle="1" w:styleId="OmniPage53">
    <w:name w:val="OmniPage #53"/>
  </w:style>
  <w:style w:type="character" w:customStyle="1" w:styleId="OmniPage48">
    <w:name w:val="OmniPage #48"/>
  </w:style>
  <w:style w:type="character" w:customStyle="1" w:styleId="OmniPage46">
    <w:name w:val="OmniPage #46"/>
  </w:style>
  <w:style w:type="character" w:customStyle="1" w:styleId="7">
    <w:name w:val="7"/>
  </w:style>
  <w:style w:type="character" w:customStyle="1" w:styleId="6">
    <w:name w:val="6"/>
  </w:style>
  <w:style w:type="character" w:customStyle="1" w:styleId="OmniPage41">
    <w:name w:val="OmniPage #41"/>
  </w:style>
  <w:style w:type="character" w:customStyle="1" w:styleId="OmniPage43">
    <w:name w:val="OmniPage #43"/>
  </w:style>
  <w:style w:type="character" w:customStyle="1" w:styleId="OmniPage40">
    <w:name w:val="OmniPage #40"/>
  </w:style>
  <w:style w:type="character" w:customStyle="1" w:styleId="OmniPage38">
    <w:name w:val="OmniPage #38"/>
  </w:style>
  <w:style w:type="character" w:customStyle="1" w:styleId="OmniPage33">
    <w:name w:val="OmniPage #33"/>
  </w:style>
  <w:style w:type="character" w:customStyle="1" w:styleId="OmniPage35">
    <w:name w:val="OmniPage #35"/>
  </w:style>
  <w:style w:type="character" w:customStyle="1" w:styleId="OmniPage30">
    <w:name w:val="OmniPage #30"/>
  </w:style>
  <w:style w:type="character" w:customStyle="1" w:styleId="OmniPage28">
    <w:name w:val="OmniPage #28"/>
  </w:style>
  <w:style w:type="character" w:customStyle="1" w:styleId="5">
    <w:name w:val="5"/>
  </w:style>
  <w:style w:type="character" w:customStyle="1" w:styleId="4">
    <w:name w:val="4"/>
  </w:style>
  <w:style w:type="character" w:customStyle="1" w:styleId="3">
    <w:name w:val="3"/>
  </w:style>
  <w:style w:type="character" w:customStyle="1" w:styleId="2">
    <w:name w:val="2"/>
  </w:style>
  <w:style w:type="character" w:customStyle="1" w:styleId="1">
    <w:name w:val="1"/>
  </w:style>
  <w:style w:type="character" w:customStyle="1" w:styleId="OmniPage23">
    <w:name w:val="OmniPage #23"/>
  </w:style>
  <w:style w:type="character" w:customStyle="1" w:styleId="OmniPage17">
    <w:name w:val="OmniPage #17"/>
  </w:style>
  <w:style w:type="character" w:customStyle="1" w:styleId="OmniPage15">
    <w:name w:val="OmniPage #15"/>
  </w:style>
  <w:style w:type="character" w:customStyle="1" w:styleId="OmniPage20">
    <w:name w:val="OmniPage #20"/>
  </w:style>
  <w:style w:type="character" w:customStyle="1" w:styleId="OmniPage12">
    <w:name w:val="OmniPage #12"/>
  </w:style>
  <w:style w:type="character" w:customStyle="1" w:styleId="OmniPage77">
    <w:name w:val="OmniPage #77"/>
  </w:style>
  <w:style w:type="character" w:customStyle="1" w:styleId="OmniPage76">
    <w:name w:val="OmniPage #76"/>
  </w:style>
  <w:style w:type="character" w:customStyle="1" w:styleId="OmniPage52">
    <w:name w:val="OmniPage #52"/>
  </w:style>
  <w:style w:type="character" w:customStyle="1" w:styleId="OmniPage51">
    <w:name w:val="OmniPage #51"/>
  </w:style>
  <w:style w:type="character" w:customStyle="1" w:styleId="OmniPage26">
    <w:name w:val="OmniPage #26"/>
  </w:style>
  <w:style w:type="character" w:customStyle="1" w:styleId="OmniPage10">
    <w:name w:val="OmniPage #10"/>
  </w:style>
  <w:style w:type="character" w:customStyle="1" w:styleId="OmniPage25">
    <w:name w:val="OmniPage #25"/>
  </w:style>
  <w:style w:type="character" w:customStyle="1" w:styleId="OmniPage8">
    <w:name w:val="OmniPage #8"/>
  </w:style>
  <w:style w:type="character" w:customStyle="1" w:styleId="OmniPage7">
    <w:name w:val="OmniPage #7"/>
  </w:style>
  <w:style w:type="character" w:customStyle="1" w:styleId="OmniPage6">
    <w:name w:val="OmniPage #6"/>
  </w:style>
  <w:style w:type="character" w:customStyle="1" w:styleId="OmniPage5">
    <w:name w:val="OmniPage #5"/>
  </w:style>
  <w:style w:type="character" w:customStyle="1" w:styleId="OmniPage4">
    <w:name w:val="OmniPage #4"/>
  </w:style>
  <w:style w:type="character" w:customStyle="1" w:styleId="OmniPage3">
    <w:name w:val="OmniPage #3"/>
  </w:style>
  <w:style w:type="character" w:customStyle="1" w:styleId="OmniPage2">
    <w:name w:val="OmniPage #2"/>
  </w:style>
  <w:style w:type="character" w:customStyle="1" w:styleId="OmniPage1">
    <w:name w:val="OmniPage #1"/>
  </w:style>
  <w:style w:type="paragraph" w:customStyle="1" w:styleId="level10">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el20">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el30">
    <w:name w:val="_leve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el40">
    <w:name w:val="_leve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el50">
    <w:name w:val="_leve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el60">
    <w:name w:val="_leve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el70">
    <w:name w:val="_leve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el80">
    <w:name w:val="_leve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el90">
    <w:name w:val="_leve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sl5">
    <w:name w:val="_levs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sl6">
    <w:name w:val="_levs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sl7">
    <w:name w:val="_levs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sl8">
    <w:name w:val="_levs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sl9">
    <w:name w:val="_levs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jc w:val="both"/>
    </w:pPr>
    <w:rPr>
      <w:rFonts w:ascii="Courier 10cpi" w:hAnsi="Courier 10cpi"/>
      <w:sz w:val="24"/>
      <w:szCs w:val="24"/>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Courier 10cpi" w:hAnsi="Courier 10cpi"/>
      <w:sz w:val="24"/>
      <w:szCs w:val="24"/>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hanging="720"/>
      <w:jc w:val="both"/>
    </w:pPr>
    <w:rPr>
      <w:rFonts w:ascii="Courier 10cpi" w:hAnsi="Courier 10cpi"/>
      <w:sz w:val="24"/>
      <w:szCs w:val="24"/>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hanging="720"/>
      <w:jc w:val="both"/>
    </w:pPr>
    <w:rPr>
      <w:rFonts w:ascii="Courier 10cpi" w:hAnsi="Courier 10cpi"/>
      <w:sz w:val="24"/>
      <w:szCs w:val="24"/>
    </w:rPr>
  </w:style>
  <w:style w:type="paragraph" w:customStyle="1" w:styleId="levnl5">
    <w:name w:val="_levnl5"/>
    <w:pPr>
      <w:widowControl w:val="0"/>
      <w:tabs>
        <w:tab w:val="left" w:pos="3600"/>
        <w:tab w:val="left" w:pos="4320"/>
        <w:tab w:val="left" w:pos="5040"/>
        <w:tab w:val="left" w:pos="5760"/>
        <w:tab w:val="left" w:pos="6480"/>
        <w:tab w:val="left" w:pos="7200"/>
        <w:tab w:val="left" w:pos="7920"/>
      </w:tabs>
      <w:autoSpaceDE w:val="0"/>
      <w:autoSpaceDN w:val="0"/>
      <w:adjustRightInd w:val="0"/>
      <w:ind w:left="3600" w:hanging="720"/>
      <w:jc w:val="both"/>
    </w:pPr>
    <w:rPr>
      <w:rFonts w:ascii="Courier 10cpi" w:hAnsi="Courier 10cpi"/>
      <w:sz w:val="24"/>
      <w:szCs w:val="24"/>
    </w:rPr>
  </w:style>
  <w:style w:type="paragraph" w:customStyle="1" w:styleId="levnl6">
    <w:name w:val="_levnl6"/>
    <w:pPr>
      <w:widowControl w:val="0"/>
      <w:tabs>
        <w:tab w:val="left" w:pos="4320"/>
        <w:tab w:val="left" w:pos="5040"/>
        <w:tab w:val="left" w:pos="5760"/>
        <w:tab w:val="left" w:pos="6480"/>
        <w:tab w:val="left" w:pos="7200"/>
        <w:tab w:val="left" w:pos="7920"/>
      </w:tabs>
      <w:autoSpaceDE w:val="0"/>
      <w:autoSpaceDN w:val="0"/>
      <w:adjustRightInd w:val="0"/>
      <w:ind w:left="4320" w:hanging="720"/>
      <w:jc w:val="both"/>
    </w:pPr>
    <w:rPr>
      <w:rFonts w:ascii="Courier 10cpi" w:hAnsi="Courier 10cpi"/>
      <w:sz w:val="24"/>
      <w:szCs w:val="24"/>
    </w:rPr>
  </w:style>
  <w:style w:type="paragraph" w:customStyle="1" w:styleId="levnl7">
    <w:name w:val="_levnl7"/>
    <w:pPr>
      <w:widowControl w:val="0"/>
      <w:tabs>
        <w:tab w:val="left" w:pos="5040"/>
        <w:tab w:val="left" w:pos="5760"/>
        <w:tab w:val="left" w:pos="6480"/>
        <w:tab w:val="left" w:pos="7200"/>
        <w:tab w:val="left" w:pos="7920"/>
      </w:tabs>
      <w:autoSpaceDE w:val="0"/>
      <w:autoSpaceDN w:val="0"/>
      <w:adjustRightInd w:val="0"/>
      <w:ind w:left="5040" w:hanging="720"/>
      <w:jc w:val="both"/>
    </w:pPr>
    <w:rPr>
      <w:rFonts w:ascii="Courier 10cpi" w:hAnsi="Courier 10cpi"/>
      <w:sz w:val="24"/>
      <w:szCs w:val="24"/>
    </w:rPr>
  </w:style>
  <w:style w:type="paragraph" w:customStyle="1" w:styleId="levnl8">
    <w:name w:val="_levnl8"/>
    <w:pPr>
      <w:widowControl w:val="0"/>
      <w:tabs>
        <w:tab w:val="left" w:pos="5760"/>
        <w:tab w:val="left" w:pos="6480"/>
        <w:tab w:val="left" w:pos="7200"/>
        <w:tab w:val="left" w:pos="7920"/>
      </w:tabs>
      <w:autoSpaceDE w:val="0"/>
      <w:autoSpaceDN w:val="0"/>
      <w:adjustRightInd w:val="0"/>
      <w:ind w:left="5760" w:hanging="720"/>
      <w:jc w:val="both"/>
    </w:pPr>
    <w:rPr>
      <w:rFonts w:ascii="Courier 10cpi" w:hAnsi="Courier 10cpi"/>
      <w:sz w:val="24"/>
      <w:szCs w:val="24"/>
    </w:rPr>
  </w:style>
  <w:style w:type="paragraph" w:customStyle="1" w:styleId="levnl9">
    <w:name w:val="_levnl9"/>
    <w:pPr>
      <w:widowControl w:val="0"/>
      <w:tabs>
        <w:tab w:val="left" w:pos="6480"/>
        <w:tab w:val="left" w:pos="7200"/>
        <w:tab w:val="left" w:pos="792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pPr>
      <w:widowControl w:val="0"/>
      <w:autoSpaceDE w:val="0"/>
      <w:autoSpaceDN w:val="0"/>
      <w:adjustRightInd w:val="0"/>
    </w:pPr>
    <w:rPr>
      <w:rFonts w:ascii="Courier 10cpi" w:hAnsi="Courier 10cpi"/>
      <w:sz w:val="24"/>
      <w:szCs w:val="24"/>
    </w:rPr>
  </w:style>
  <w:style w:type="paragraph" w:customStyle="1" w:styleId="DefinitionL">
    <w:name w:val="Definition 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Pr>
      <w:i/>
    </w:rPr>
  </w:style>
  <w:style w:type="paragraph" w:customStyle="1" w:styleId="H1">
    <w:name w:val="H1"/>
    <w:pPr>
      <w:widowControl w:val="0"/>
      <w:autoSpaceDE w:val="0"/>
      <w:autoSpaceDN w:val="0"/>
      <w:adjustRightInd w:val="0"/>
    </w:pPr>
    <w:rPr>
      <w:rFonts w:ascii="Courier 10cpi" w:hAnsi="Courier 10cpi"/>
      <w:b/>
      <w:bCs/>
      <w:sz w:val="48"/>
      <w:szCs w:val="48"/>
    </w:rPr>
  </w:style>
  <w:style w:type="paragraph" w:customStyle="1" w:styleId="H2">
    <w:name w:val="H2"/>
    <w:pPr>
      <w:widowControl w:val="0"/>
      <w:autoSpaceDE w:val="0"/>
      <w:autoSpaceDN w:val="0"/>
      <w:adjustRightInd w:val="0"/>
    </w:pPr>
    <w:rPr>
      <w:rFonts w:ascii="Courier 10cpi" w:hAnsi="Courier 10cpi"/>
      <w:b/>
      <w:bCs/>
      <w:sz w:val="36"/>
      <w:szCs w:val="36"/>
    </w:rPr>
  </w:style>
  <w:style w:type="paragraph" w:customStyle="1" w:styleId="H3">
    <w:name w:val="H3"/>
    <w:pPr>
      <w:widowControl w:val="0"/>
      <w:autoSpaceDE w:val="0"/>
      <w:autoSpaceDN w:val="0"/>
      <w:adjustRightInd w:val="0"/>
    </w:pPr>
    <w:rPr>
      <w:rFonts w:ascii="Courier 10cpi" w:hAnsi="Courier 10cpi"/>
      <w:b/>
      <w:bCs/>
      <w:sz w:val="28"/>
      <w:szCs w:val="28"/>
    </w:rPr>
  </w:style>
  <w:style w:type="paragraph" w:customStyle="1" w:styleId="H4">
    <w:name w:val="H4"/>
    <w:pPr>
      <w:widowControl w:val="0"/>
      <w:autoSpaceDE w:val="0"/>
      <w:autoSpaceDN w:val="0"/>
      <w:adjustRightInd w:val="0"/>
    </w:pPr>
    <w:rPr>
      <w:rFonts w:ascii="Courier 10cpi" w:hAnsi="Courier 10cpi"/>
      <w:b/>
      <w:bCs/>
      <w:sz w:val="24"/>
      <w:szCs w:val="24"/>
    </w:rPr>
  </w:style>
  <w:style w:type="paragraph" w:customStyle="1" w:styleId="H5">
    <w:name w:val="H5"/>
    <w:pPr>
      <w:widowControl w:val="0"/>
      <w:autoSpaceDE w:val="0"/>
      <w:autoSpaceDN w:val="0"/>
      <w:adjustRightInd w:val="0"/>
    </w:pPr>
    <w:rPr>
      <w:rFonts w:ascii="Courier 10cpi" w:hAnsi="Courier 10cpi"/>
      <w:b/>
      <w:bCs/>
    </w:rPr>
  </w:style>
  <w:style w:type="paragraph" w:customStyle="1" w:styleId="H6">
    <w:name w:val="H6"/>
    <w:pPr>
      <w:widowControl w:val="0"/>
      <w:autoSpaceDE w:val="0"/>
      <w:autoSpaceDN w:val="0"/>
      <w:adjustRightInd w:val="0"/>
    </w:pPr>
    <w:rPr>
      <w:rFonts w:ascii="Courier 10cpi" w:hAnsi="Courier 10cpi"/>
      <w:b/>
      <w:bCs/>
      <w:sz w:val="16"/>
      <w:szCs w:val="16"/>
    </w:rPr>
  </w:style>
  <w:style w:type="paragraph" w:customStyle="1" w:styleId="Address">
    <w:name w:val="Address"/>
    <w:pPr>
      <w:widowControl w:val="0"/>
      <w:autoSpaceDE w:val="0"/>
      <w:autoSpaceDN w:val="0"/>
      <w:adjustRightInd w:val="0"/>
    </w:pPr>
    <w:rPr>
      <w:rFonts w:ascii="Courier 10cpi" w:hAnsi="Courier 10cpi"/>
      <w:i/>
      <w:iCs/>
      <w:sz w:val="24"/>
      <w:szCs w:val="24"/>
    </w:rPr>
  </w:style>
  <w:style w:type="paragraph" w:customStyle="1" w:styleId="Blockquote">
    <w:name w:val="Blockquot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basedOn w:val="DefaultParagraphFont"/>
    <w:qFormat/>
    <w:rPr>
      <w:rFonts w:cs="Times New Roman"/>
      <w:i/>
      <w:iCs/>
    </w:rPr>
  </w:style>
  <w:style w:type="character" w:styleId="Hyperlink">
    <w:name w:val="Hyperlink"/>
    <w:basedOn w:val="DefaultParagraphFont"/>
    <w:rPr>
      <w:rFonts w:cs="Times New Roman"/>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Pr>
      <w:rFonts w:ascii="Courier New" w:hAnsi="Courier New"/>
    </w:rPr>
  </w:style>
  <w:style w:type="character" w:styleId="Strong">
    <w:name w:val="Strong"/>
    <w:basedOn w:val="DefaultParagraphFont"/>
    <w:qFormat/>
    <w:rPr>
      <w:rFonts w:cs="Times New Roman"/>
      <w:b/>
      <w:bCs/>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paragraph" w:customStyle="1" w:styleId="26">
    <w:name w:val="_26"/>
    <w:pPr>
      <w:widowControl w:val="0"/>
      <w:autoSpaceDE w:val="0"/>
      <w:autoSpaceDN w:val="0"/>
      <w:adjustRightInd w:val="0"/>
      <w:jc w:val="both"/>
    </w:pPr>
    <w:rPr>
      <w:rFonts w:ascii="Courier 10cpi" w:hAnsi="Courier 10cpi"/>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pPr>
      <w:widowControl w:val="0"/>
      <w:autoSpaceDE w:val="0"/>
      <w:autoSpaceDN w:val="0"/>
      <w:adjustRightInd w:val="0"/>
    </w:pPr>
    <w:rPr>
      <w:rFonts w:ascii="Courier 10cpi" w:hAnsi="Courier 10cpi"/>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pPr>
      <w:widowControl w:val="0"/>
      <w:autoSpaceDE w:val="0"/>
      <w:autoSpaceDN w:val="0"/>
      <w:adjustRightInd w:val="0"/>
      <w:jc w:val="both"/>
    </w:pPr>
    <w:rPr>
      <w:rFonts w:ascii="Courier 10cpi" w:hAnsi="Courier 10cpi"/>
      <w:sz w:val="24"/>
      <w:szCs w:val="24"/>
    </w:rPr>
  </w:style>
  <w:style w:type="paragraph" w:customStyle="1" w:styleId="70">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0">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0">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0">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0">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7">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a">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character" w:customStyle="1" w:styleId="QuickFormat1">
    <w:name w:val="QuickFormat1"/>
    <w:rPr>
      <w:rFonts w:ascii="Times New Roman" w:hAnsi="Times New Roman"/>
      <w:sz w:val="22"/>
    </w:rPr>
  </w:style>
  <w:style w:type="paragraph" w:styleId="Footer">
    <w:name w:val="footer"/>
    <w:basedOn w:val="Normal"/>
    <w:rsid w:val="00AA1CD5"/>
    <w:pPr>
      <w:tabs>
        <w:tab w:val="center" w:pos="4320"/>
        <w:tab w:val="right" w:pos="8640"/>
      </w:tabs>
    </w:pPr>
  </w:style>
  <w:style w:type="paragraph" w:styleId="BalloonText">
    <w:name w:val="Balloon Text"/>
    <w:basedOn w:val="Normal"/>
    <w:semiHidden/>
    <w:rsid w:val="00AA1CD5"/>
    <w:rPr>
      <w:rFonts w:ascii="Tahoma" w:hAnsi="Tahoma" w:cs="Tahoma"/>
      <w:sz w:val="16"/>
      <w:szCs w:val="16"/>
    </w:rPr>
  </w:style>
  <w:style w:type="character" w:styleId="CommentReference">
    <w:name w:val="annotation reference"/>
    <w:basedOn w:val="DefaultParagraphFont"/>
    <w:semiHidden/>
    <w:rsid w:val="00E92616"/>
    <w:rPr>
      <w:sz w:val="16"/>
      <w:szCs w:val="16"/>
    </w:rPr>
  </w:style>
  <w:style w:type="paragraph" w:styleId="CommentText">
    <w:name w:val="annotation text"/>
    <w:basedOn w:val="Normal"/>
    <w:semiHidden/>
    <w:rsid w:val="00E92616"/>
    <w:rPr>
      <w:sz w:val="20"/>
      <w:szCs w:val="20"/>
    </w:rPr>
  </w:style>
  <w:style w:type="paragraph" w:styleId="CommentSubject">
    <w:name w:val="annotation subject"/>
    <w:basedOn w:val="CommentText"/>
    <w:next w:val="CommentText"/>
    <w:semiHidden/>
    <w:rsid w:val="00E92616"/>
    <w:rPr>
      <w:b/>
      <w:bCs/>
    </w:rPr>
  </w:style>
  <w:style w:type="paragraph" w:styleId="Header">
    <w:name w:val="header"/>
    <w:basedOn w:val="Normal"/>
    <w:rsid w:val="00E272C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326858508">
      <w:bodyDiv w:val="1"/>
      <w:marLeft w:val="0"/>
      <w:marRight w:val="0"/>
      <w:marTop w:val="0"/>
      <w:marBottom w:val="0"/>
      <w:divBdr>
        <w:top w:val="none" w:sz="0" w:space="0" w:color="auto"/>
        <w:left w:val="none" w:sz="0" w:space="0" w:color="auto"/>
        <w:bottom w:val="none" w:sz="0" w:space="0" w:color="auto"/>
        <w:right w:val="none" w:sz="0" w:space="0" w:color="auto"/>
      </w:divBdr>
    </w:div>
    <w:div w:id="400756045">
      <w:bodyDiv w:val="1"/>
      <w:marLeft w:val="0"/>
      <w:marRight w:val="0"/>
      <w:marTop w:val="0"/>
      <w:marBottom w:val="0"/>
      <w:divBdr>
        <w:top w:val="none" w:sz="0" w:space="0" w:color="auto"/>
        <w:left w:val="none" w:sz="0" w:space="0" w:color="auto"/>
        <w:bottom w:val="none" w:sz="0" w:space="0" w:color="auto"/>
        <w:right w:val="none" w:sz="0" w:space="0" w:color="auto"/>
      </w:divBdr>
    </w:div>
    <w:div w:id="658660188">
      <w:bodyDiv w:val="1"/>
      <w:marLeft w:val="0"/>
      <w:marRight w:val="0"/>
      <w:marTop w:val="0"/>
      <w:marBottom w:val="0"/>
      <w:divBdr>
        <w:top w:val="none" w:sz="0" w:space="0" w:color="auto"/>
        <w:left w:val="none" w:sz="0" w:space="0" w:color="auto"/>
        <w:bottom w:val="none" w:sz="0" w:space="0" w:color="auto"/>
        <w:right w:val="none" w:sz="0" w:space="0" w:color="auto"/>
      </w:divBdr>
    </w:div>
    <w:div w:id="140274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pa.gov/305b"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E9AA8-B092-42EF-8742-2DFD11D4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12454</Words>
  <Characters>70988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ICR SUPPORTING STATEMENT</vt:lpstr>
    </vt:vector>
  </TitlesOfParts>
  <Company/>
  <LinksUpToDate>false</LinksUpToDate>
  <CharactersWithSpaces>83276</CharactersWithSpaces>
  <SharedDoc>false</SharedDoc>
  <HLinks>
    <vt:vector size="6" baseType="variant">
      <vt:variant>
        <vt:i4>3670142</vt:i4>
      </vt:variant>
      <vt:variant>
        <vt:i4>2</vt:i4>
      </vt:variant>
      <vt:variant>
        <vt:i4>0</vt:i4>
      </vt:variant>
      <vt:variant>
        <vt:i4>5</vt:i4>
      </vt:variant>
      <vt:variant>
        <vt:lpwstr>http://www.epa.gov/305b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dc:title>
  <dc:subject/>
  <dc:creator>EPAuser</dc:creator>
  <cp:keywords/>
  <dc:description/>
  <cp:lastModifiedBy>EPA</cp:lastModifiedBy>
  <cp:revision>2</cp:revision>
  <dcterms:created xsi:type="dcterms:W3CDTF">2011-12-15T15:17:00Z</dcterms:created>
  <dcterms:modified xsi:type="dcterms:W3CDTF">2011-12-15T15:17:00Z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1484757216</vt:i4>
  </property>
</Properties>
</file>