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2FF" w:rsidRPr="00126B70" w:rsidRDefault="003D52FF">
      <w:pPr>
        <w:rPr>
          <w:sz w:val="22"/>
          <w:szCs w:val="24"/>
        </w:rPr>
      </w:pPr>
    </w:p>
    <w:p w:rsidR="003D52FF" w:rsidRPr="009E40F9" w:rsidRDefault="003D52FF" w:rsidP="003D52FF">
      <w:pPr>
        <w:rPr>
          <w:b/>
          <w:bCs/>
          <w:sz w:val="24"/>
          <w:szCs w:val="24"/>
        </w:rPr>
      </w:pPr>
      <w:r w:rsidRPr="009E40F9">
        <w:rPr>
          <w:b/>
          <w:bCs/>
          <w:sz w:val="24"/>
          <w:szCs w:val="24"/>
        </w:rPr>
        <w:t>SUPPORTING STATEMENT – PART A</w:t>
      </w:r>
    </w:p>
    <w:p w:rsidR="003D52FF" w:rsidRPr="009E40F9" w:rsidRDefault="003D52FF" w:rsidP="003D52FF">
      <w:pPr>
        <w:rPr>
          <w:b/>
          <w:bCs/>
          <w:sz w:val="24"/>
          <w:szCs w:val="24"/>
        </w:rPr>
      </w:pPr>
    </w:p>
    <w:p w:rsidR="003D52FF" w:rsidRPr="009E40F9" w:rsidRDefault="003D52FF" w:rsidP="003D52FF">
      <w:pPr>
        <w:rPr>
          <w:b/>
          <w:bCs/>
          <w:sz w:val="24"/>
          <w:szCs w:val="24"/>
        </w:rPr>
      </w:pPr>
      <w:r w:rsidRPr="009E40F9">
        <w:rPr>
          <w:b/>
          <w:bCs/>
          <w:sz w:val="24"/>
          <w:szCs w:val="24"/>
        </w:rPr>
        <w:t>RECORDKEEPING AND REPORTING RELATED TO FUEL QUALITY REGULATIONS FOR DIESEL FUEL SOLD IN 2001 &amp; LATER YEARS; FOR TAX-EXEMPT (DYED) HIGHWAY DIESEL FUEL; AND NON-ROAD LOCOMOTIVE &amp; MARINE DIESEL FUEL:</w:t>
      </w:r>
      <w:r w:rsidR="009E40F9" w:rsidRPr="009E40F9">
        <w:rPr>
          <w:b/>
          <w:bCs/>
          <w:sz w:val="24"/>
          <w:szCs w:val="24"/>
        </w:rPr>
        <w:t xml:space="preserve"> </w:t>
      </w:r>
      <w:r w:rsidRPr="009E40F9">
        <w:rPr>
          <w:b/>
          <w:bCs/>
          <w:sz w:val="24"/>
          <w:szCs w:val="24"/>
        </w:rPr>
        <w:t>RENEWAL</w:t>
      </w:r>
    </w:p>
    <w:p w:rsidR="003D52FF" w:rsidRPr="009E40F9" w:rsidRDefault="003D52FF" w:rsidP="003D52FF">
      <w:pPr>
        <w:rPr>
          <w:b/>
          <w:bCs/>
          <w:sz w:val="24"/>
          <w:szCs w:val="24"/>
        </w:rPr>
      </w:pPr>
    </w:p>
    <w:p w:rsidR="003D52FF" w:rsidRPr="009E40F9" w:rsidRDefault="003D52FF" w:rsidP="003D52FF">
      <w:pPr>
        <w:rPr>
          <w:b/>
          <w:bCs/>
          <w:sz w:val="24"/>
          <w:szCs w:val="24"/>
        </w:rPr>
      </w:pPr>
      <w:r w:rsidRPr="009E40F9">
        <w:rPr>
          <w:b/>
          <w:bCs/>
          <w:sz w:val="24"/>
          <w:szCs w:val="24"/>
        </w:rPr>
        <w:t>DOCKET EPA-HQ-OAR-2007-1121</w:t>
      </w:r>
    </w:p>
    <w:p w:rsidR="003D52FF" w:rsidRPr="009E40F9" w:rsidRDefault="003D52FF" w:rsidP="003D52FF">
      <w:pPr>
        <w:rPr>
          <w:b/>
          <w:bCs/>
          <w:sz w:val="24"/>
          <w:szCs w:val="24"/>
        </w:rPr>
      </w:pPr>
      <w:r w:rsidRPr="009E40F9">
        <w:rPr>
          <w:b/>
          <w:bCs/>
          <w:sz w:val="24"/>
          <w:szCs w:val="24"/>
        </w:rPr>
        <w:t>EPA ICR N</w:t>
      </w:r>
      <w:r w:rsidR="004A3FDB">
        <w:rPr>
          <w:b/>
          <w:bCs/>
          <w:sz w:val="24"/>
          <w:szCs w:val="24"/>
        </w:rPr>
        <w:t xml:space="preserve">o.: </w:t>
      </w:r>
      <w:r w:rsidRPr="009E40F9">
        <w:rPr>
          <w:b/>
          <w:bCs/>
          <w:sz w:val="24"/>
          <w:szCs w:val="24"/>
        </w:rPr>
        <w:t xml:space="preserve"> 1718.09</w:t>
      </w:r>
    </w:p>
    <w:p w:rsidR="003D52FF" w:rsidRPr="009E40F9" w:rsidRDefault="003D52FF" w:rsidP="003D52FF">
      <w:pPr>
        <w:rPr>
          <w:bCs/>
          <w:sz w:val="24"/>
          <w:szCs w:val="24"/>
        </w:rPr>
      </w:pPr>
    </w:p>
    <w:p w:rsidR="008647F7" w:rsidRPr="009E40F9" w:rsidRDefault="008647F7">
      <w:pPr>
        <w:rPr>
          <w:sz w:val="24"/>
          <w:szCs w:val="24"/>
        </w:rPr>
      </w:pPr>
      <w:r w:rsidRPr="009E40F9">
        <w:rPr>
          <w:bCs/>
          <w:sz w:val="24"/>
          <w:szCs w:val="24"/>
        </w:rPr>
        <w:t>1.</w:t>
      </w:r>
      <w:r w:rsidRPr="009E40F9">
        <w:rPr>
          <w:bCs/>
          <w:sz w:val="24"/>
          <w:szCs w:val="24"/>
        </w:rPr>
        <w:tab/>
        <w:t>IDENTIFICATION OF THE INFORMATION COLLECTION</w:t>
      </w:r>
    </w:p>
    <w:p w:rsidR="008647F7" w:rsidRPr="009E40F9" w:rsidRDefault="008647F7">
      <w:pPr>
        <w:rPr>
          <w:sz w:val="24"/>
          <w:szCs w:val="24"/>
        </w:rPr>
      </w:pPr>
    </w:p>
    <w:p w:rsidR="008647F7" w:rsidRPr="009E40F9" w:rsidRDefault="008647F7">
      <w:pPr>
        <w:rPr>
          <w:bCs/>
          <w:sz w:val="24"/>
          <w:szCs w:val="24"/>
        </w:rPr>
      </w:pPr>
    </w:p>
    <w:p w:rsidR="008647F7" w:rsidRPr="009E40F9" w:rsidRDefault="008647F7">
      <w:pPr>
        <w:rPr>
          <w:sz w:val="24"/>
          <w:szCs w:val="24"/>
        </w:rPr>
      </w:pPr>
      <w:r w:rsidRPr="009E40F9">
        <w:rPr>
          <w:bCs/>
          <w:sz w:val="24"/>
          <w:szCs w:val="24"/>
        </w:rPr>
        <w:tab/>
        <w:t>1(a)</w:t>
      </w:r>
      <w:r w:rsidRPr="009E40F9">
        <w:rPr>
          <w:bCs/>
          <w:sz w:val="24"/>
          <w:szCs w:val="24"/>
        </w:rPr>
        <w:tab/>
        <w:t>Title of the Information Collection</w:t>
      </w:r>
    </w:p>
    <w:p w:rsidR="008647F7" w:rsidRPr="009E40F9" w:rsidRDefault="008647F7">
      <w:pPr>
        <w:rPr>
          <w:sz w:val="24"/>
          <w:szCs w:val="24"/>
        </w:rPr>
      </w:pPr>
    </w:p>
    <w:p w:rsidR="008647F7" w:rsidRPr="009E40F9" w:rsidRDefault="00111D3F" w:rsidP="00193907">
      <w:pPr>
        <w:rPr>
          <w:bCs/>
          <w:sz w:val="24"/>
          <w:szCs w:val="24"/>
        </w:rPr>
      </w:pPr>
      <w:r w:rsidRPr="009E40F9">
        <w:rPr>
          <w:bCs/>
          <w:sz w:val="24"/>
          <w:szCs w:val="24"/>
        </w:rPr>
        <w:t>Fuel Quality Regulations for Diesel Fuel Sold in 2001 &amp; Later Years; for Tax-Exempt (Dyed) Highway Diesel Fuel; &amp; Non</w:t>
      </w:r>
      <w:r w:rsidR="003D52FF" w:rsidRPr="009E40F9">
        <w:rPr>
          <w:bCs/>
          <w:sz w:val="24"/>
          <w:szCs w:val="24"/>
        </w:rPr>
        <w:t>-R</w:t>
      </w:r>
      <w:r w:rsidRPr="009E40F9">
        <w:rPr>
          <w:bCs/>
          <w:sz w:val="24"/>
          <w:szCs w:val="24"/>
        </w:rPr>
        <w:t>oad Locomotive &amp; Marine Diesel Fuel (Renewal)</w:t>
      </w:r>
      <w:r w:rsidR="008647F7" w:rsidRPr="009E40F9">
        <w:rPr>
          <w:bCs/>
          <w:sz w:val="24"/>
          <w:szCs w:val="24"/>
        </w:rPr>
        <w:t>.</w:t>
      </w:r>
      <w:r w:rsidR="00193907" w:rsidRPr="009E40F9">
        <w:rPr>
          <w:bCs/>
          <w:sz w:val="24"/>
          <w:szCs w:val="24"/>
        </w:rPr>
        <w:t xml:space="preserve"> EPA Control Number 1718.0</w:t>
      </w:r>
      <w:r w:rsidR="003D52FF" w:rsidRPr="009E40F9">
        <w:rPr>
          <w:bCs/>
          <w:sz w:val="24"/>
          <w:szCs w:val="24"/>
        </w:rPr>
        <w:t>9</w:t>
      </w:r>
      <w:r w:rsidR="00193907" w:rsidRPr="009E40F9">
        <w:rPr>
          <w:bCs/>
          <w:sz w:val="24"/>
          <w:szCs w:val="24"/>
        </w:rPr>
        <w:t xml:space="preserve">, </w:t>
      </w:r>
      <w:r w:rsidR="00193907" w:rsidRPr="009E40F9">
        <w:rPr>
          <w:sz w:val="24"/>
          <w:szCs w:val="24"/>
        </w:rPr>
        <w:t>OMB Control Number: 2060-0308.</w:t>
      </w:r>
    </w:p>
    <w:p w:rsidR="008647F7" w:rsidRPr="009E40F9" w:rsidRDefault="008647F7">
      <w:pPr>
        <w:rPr>
          <w:sz w:val="24"/>
          <w:szCs w:val="24"/>
        </w:rPr>
      </w:pPr>
    </w:p>
    <w:p w:rsidR="008647F7" w:rsidRPr="009E40F9" w:rsidRDefault="008647F7">
      <w:pPr>
        <w:rPr>
          <w:sz w:val="24"/>
          <w:szCs w:val="24"/>
        </w:rPr>
      </w:pPr>
      <w:r w:rsidRPr="009E40F9">
        <w:rPr>
          <w:bCs/>
          <w:sz w:val="24"/>
          <w:szCs w:val="24"/>
        </w:rPr>
        <w:tab/>
        <w:t>1(b)</w:t>
      </w:r>
      <w:r w:rsidRPr="009E40F9">
        <w:rPr>
          <w:bCs/>
          <w:sz w:val="24"/>
          <w:szCs w:val="24"/>
        </w:rPr>
        <w:tab/>
        <w:t>Short Characterization/Abstract</w:t>
      </w:r>
    </w:p>
    <w:p w:rsidR="008647F7" w:rsidRPr="009E40F9" w:rsidRDefault="008647F7">
      <w:pPr>
        <w:rPr>
          <w:sz w:val="24"/>
          <w:szCs w:val="24"/>
        </w:rPr>
      </w:pPr>
    </w:p>
    <w:p w:rsidR="003C2DEA" w:rsidRDefault="003D52FF">
      <w:pPr>
        <w:rPr>
          <w:sz w:val="24"/>
          <w:szCs w:val="24"/>
        </w:rPr>
      </w:pPr>
      <w:r w:rsidRPr="009E40F9">
        <w:rPr>
          <w:sz w:val="24"/>
          <w:szCs w:val="24"/>
        </w:rPr>
        <w:tab/>
        <w:t xml:space="preserve">This ICR renewal is related to EPA’s diesel fuel regulations </w:t>
      </w:r>
      <w:proofErr w:type="gramStart"/>
      <w:r w:rsidRPr="009E40F9">
        <w:rPr>
          <w:sz w:val="24"/>
          <w:szCs w:val="24"/>
        </w:rPr>
        <w:t>under</w:t>
      </w:r>
      <w:proofErr w:type="gramEnd"/>
      <w:r w:rsidRPr="009E40F9">
        <w:rPr>
          <w:sz w:val="24"/>
          <w:szCs w:val="24"/>
        </w:rPr>
        <w:t xml:space="preserve"> 40 CFR Part 80, Subpart I, applicable to highway (“motor vehicle” or “MV”) diesel fuel and non-road, locomotive and marine diesel fuel (NRLM) and heating oil (HO).  Most of the information collected under this ICR is used to evaluate compliance with the requirements of the regulations.  </w:t>
      </w:r>
      <w:r w:rsidR="007E152C">
        <w:rPr>
          <w:sz w:val="24"/>
          <w:szCs w:val="24"/>
        </w:rPr>
        <w:t xml:space="preserve">Information covered by this ICR renewal that assists EPA in determining compliance includes information related to the sulfur content of diesel products, information related to quality assurance testing conducted by regulated parties, and information that tracks diesel products </w:t>
      </w:r>
      <w:proofErr w:type="gramStart"/>
      <w:r w:rsidR="007E152C">
        <w:rPr>
          <w:sz w:val="24"/>
          <w:szCs w:val="24"/>
        </w:rPr>
        <w:t>designated</w:t>
      </w:r>
      <w:proofErr w:type="gramEnd"/>
      <w:r w:rsidR="007E152C">
        <w:rPr>
          <w:sz w:val="24"/>
          <w:szCs w:val="24"/>
        </w:rPr>
        <w:t xml:space="preserve"> as MV, NRLM, or HO.  </w:t>
      </w:r>
      <w:r w:rsidR="003C2DEA">
        <w:rPr>
          <w:sz w:val="24"/>
          <w:szCs w:val="24"/>
        </w:rPr>
        <w:t xml:space="preserve">EPA designed its diesel fuel regulations so that reporting burdens would decrease as various types of diesel fuel achieved the appropriate sulfur standard.  For example, virtually all MV diesel fuel has met the 15 parts per million (ppm) sulfur standard since June 1, 2010;  therefore reporting related to achievement of that standard has appropriately dropped off.  The various types of information collected are described in the following paragraphs.  </w:t>
      </w:r>
    </w:p>
    <w:p w:rsidR="003C2DEA" w:rsidRDefault="003C2DEA">
      <w:pPr>
        <w:rPr>
          <w:sz w:val="24"/>
          <w:szCs w:val="24"/>
        </w:rPr>
      </w:pPr>
    </w:p>
    <w:p w:rsidR="000A367C" w:rsidRDefault="003C2DEA">
      <w:pPr>
        <w:rPr>
          <w:sz w:val="24"/>
          <w:szCs w:val="24"/>
        </w:rPr>
      </w:pPr>
      <w:r>
        <w:rPr>
          <w:sz w:val="24"/>
          <w:szCs w:val="24"/>
        </w:rPr>
        <w:tab/>
        <w:t>Parties</w:t>
      </w:r>
      <w:r w:rsidR="00714A71">
        <w:rPr>
          <w:sz w:val="24"/>
          <w:szCs w:val="24"/>
        </w:rPr>
        <w:t xml:space="preserve"> subject to the regulations, such as refiners, importers, and other parties in the diesel distribution system, </w:t>
      </w:r>
      <w:r w:rsidR="000A367C">
        <w:rPr>
          <w:sz w:val="24"/>
          <w:szCs w:val="24"/>
        </w:rPr>
        <w:t xml:space="preserve">are </w:t>
      </w:r>
      <w:r w:rsidR="00714A71">
        <w:rPr>
          <w:sz w:val="24"/>
          <w:szCs w:val="24"/>
        </w:rPr>
        <w:t xml:space="preserve">required to register with EPA.  </w:t>
      </w:r>
      <w:r w:rsidR="000A367C">
        <w:rPr>
          <w:sz w:val="24"/>
          <w:szCs w:val="24"/>
        </w:rPr>
        <w:t xml:space="preserve">Information submitted via registration includes company (“entity”) and facility registration.  </w:t>
      </w:r>
      <w:r>
        <w:rPr>
          <w:sz w:val="24"/>
          <w:szCs w:val="24"/>
        </w:rPr>
        <w:t xml:space="preserve">Registration information collected by EPA includes the company and facility name, address, and contact information for a responsible corporate officer.  The party identifies what role(s) it fills under the program in its registration – e.g., the party indicates if it is a refiner, importer, terminal, etc.  A party may indicate multiple roles on the same registration.  </w:t>
      </w:r>
      <w:r w:rsidR="000A367C">
        <w:rPr>
          <w:sz w:val="24"/>
          <w:szCs w:val="24"/>
        </w:rPr>
        <w:t xml:space="preserve">The requirements </w:t>
      </w:r>
      <w:r>
        <w:rPr>
          <w:sz w:val="24"/>
          <w:szCs w:val="24"/>
        </w:rPr>
        <w:t xml:space="preserve">for registration </w:t>
      </w:r>
      <w:r w:rsidR="000A367C">
        <w:rPr>
          <w:sz w:val="24"/>
          <w:szCs w:val="24"/>
        </w:rPr>
        <w:t>are in 40 CFR</w:t>
      </w:r>
      <w:r w:rsidR="00016E92">
        <w:rPr>
          <w:sz w:val="24"/>
          <w:szCs w:val="24"/>
        </w:rPr>
        <w:t xml:space="preserve"> Part 80, Subpart I, </w:t>
      </w:r>
      <w:r w:rsidR="000A367C">
        <w:rPr>
          <w:sz w:val="24"/>
          <w:szCs w:val="24"/>
        </w:rPr>
        <w:t xml:space="preserve">§80.597.  </w:t>
      </w:r>
      <w:r w:rsidR="00316051">
        <w:rPr>
          <w:sz w:val="24"/>
          <w:szCs w:val="24"/>
        </w:rPr>
        <w:t xml:space="preserve">If a party was already registered under the Reformulated Gasoline </w:t>
      </w:r>
      <w:r w:rsidR="00316051">
        <w:rPr>
          <w:sz w:val="24"/>
          <w:szCs w:val="24"/>
        </w:rPr>
        <w:lastRenderedPageBreak/>
        <w:t xml:space="preserve">and Anti-Dumping regulations (which became effective in 1995), as many parties were, then they did not have to re-register for the diesel program under § 80.597.  </w:t>
      </w:r>
      <w:r w:rsidR="00CF1969">
        <w:rPr>
          <w:sz w:val="24"/>
          <w:szCs w:val="24"/>
        </w:rPr>
        <w:t xml:space="preserve">Of those parties who were new registrants (i.e., not registered under the Reformulated Gasoline and Anti-Dumping regulations) for the diesel program, nearly all had registered by December 31, 2005.  Although parties subject to the diesel regulation </w:t>
      </w:r>
      <w:r w:rsidR="00525ABB">
        <w:rPr>
          <w:sz w:val="24"/>
          <w:szCs w:val="24"/>
        </w:rPr>
        <w:t>registered in earlier years of the program, there is still the possibility of occasional updates to existing registrations and this ICR renewal accounts for expected updates.</w:t>
      </w:r>
      <w:r w:rsidR="00714A71">
        <w:rPr>
          <w:sz w:val="24"/>
          <w:szCs w:val="24"/>
        </w:rPr>
        <w:t xml:space="preserve"> </w:t>
      </w:r>
      <w:r w:rsidR="00CF1969">
        <w:rPr>
          <w:sz w:val="24"/>
          <w:szCs w:val="24"/>
        </w:rPr>
        <w:t>Therefore, we have accounted for a limited number or updates as part of these estimates.</w:t>
      </w:r>
    </w:p>
    <w:p w:rsidR="000A367C" w:rsidRDefault="000A367C">
      <w:pPr>
        <w:rPr>
          <w:sz w:val="24"/>
          <w:szCs w:val="24"/>
        </w:rPr>
      </w:pPr>
    </w:p>
    <w:p w:rsidR="000A367C" w:rsidRDefault="000A367C">
      <w:pPr>
        <w:rPr>
          <w:sz w:val="24"/>
          <w:szCs w:val="24"/>
        </w:rPr>
      </w:pPr>
      <w:r>
        <w:rPr>
          <w:sz w:val="24"/>
          <w:szCs w:val="24"/>
        </w:rPr>
        <w:tab/>
      </w:r>
      <w:r w:rsidR="00525ABB">
        <w:rPr>
          <w:sz w:val="24"/>
          <w:szCs w:val="24"/>
        </w:rPr>
        <w:t xml:space="preserve">Parties who produce or distribute diesel fuel subject to the regulations are required to meet certain product transfer document (PTD) requirements.  </w:t>
      </w:r>
      <w:r>
        <w:rPr>
          <w:sz w:val="24"/>
          <w:szCs w:val="24"/>
        </w:rPr>
        <w:t xml:space="preserve">PTDs are </w:t>
      </w:r>
      <w:r w:rsidR="00CF1969">
        <w:rPr>
          <w:sz w:val="24"/>
          <w:szCs w:val="24"/>
        </w:rPr>
        <w:t xml:space="preserve">universally </w:t>
      </w:r>
      <w:r>
        <w:rPr>
          <w:sz w:val="24"/>
          <w:szCs w:val="24"/>
        </w:rPr>
        <w:t xml:space="preserve">used </w:t>
      </w:r>
      <w:r w:rsidR="00CF1969">
        <w:rPr>
          <w:sz w:val="24"/>
          <w:szCs w:val="24"/>
        </w:rPr>
        <w:t xml:space="preserve">and retained </w:t>
      </w:r>
      <w:r>
        <w:rPr>
          <w:sz w:val="24"/>
          <w:szCs w:val="24"/>
        </w:rPr>
        <w:t xml:space="preserve">in the normal course of business to travel with, and identify, fuel products.  </w:t>
      </w:r>
      <w:r w:rsidR="00CF1969">
        <w:rPr>
          <w:sz w:val="24"/>
          <w:szCs w:val="24"/>
        </w:rPr>
        <w:t xml:space="preserve">Their use is a customary business practice for all parties in the distribution system, all the way from the refinery to the retail or wholesale purchaser-consumer, who dispense product to consumers.  </w:t>
      </w:r>
      <w:r>
        <w:rPr>
          <w:sz w:val="24"/>
          <w:szCs w:val="24"/>
        </w:rPr>
        <w:t>Identification</w:t>
      </w:r>
      <w:r w:rsidR="00CF1969">
        <w:rPr>
          <w:sz w:val="24"/>
          <w:szCs w:val="24"/>
        </w:rPr>
        <w:t xml:space="preserve"> of products on PTD</w:t>
      </w:r>
      <w:r>
        <w:rPr>
          <w:sz w:val="24"/>
          <w:szCs w:val="24"/>
        </w:rPr>
        <w:t xml:space="preserve"> is typically via printed code (for parties upstream of terminals) and via printed statement (for parties downstream of terminals).  Statements and codes are typically programmed by parties early in the implementation of a fuels program.  </w:t>
      </w:r>
      <w:r w:rsidR="00525ABB">
        <w:rPr>
          <w:sz w:val="24"/>
          <w:szCs w:val="24"/>
        </w:rPr>
        <w:t>Although statements and codes</w:t>
      </w:r>
      <w:r>
        <w:rPr>
          <w:sz w:val="24"/>
          <w:szCs w:val="24"/>
        </w:rPr>
        <w:t xml:space="preserve"> would have </w:t>
      </w:r>
      <w:r w:rsidR="00525ABB">
        <w:rPr>
          <w:sz w:val="24"/>
          <w:szCs w:val="24"/>
        </w:rPr>
        <w:t>programmed by regulated</w:t>
      </w:r>
      <w:r w:rsidR="00CF1969">
        <w:rPr>
          <w:sz w:val="24"/>
          <w:szCs w:val="24"/>
        </w:rPr>
        <w:t xml:space="preserve"> parties at the start of the program and have been in continuous use for several years</w:t>
      </w:r>
      <w:r w:rsidR="00525ABB">
        <w:rPr>
          <w:sz w:val="24"/>
          <w:szCs w:val="24"/>
        </w:rPr>
        <w:t xml:space="preserve">, there is a small continuing burden of affixing </w:t>
      </w:r>
      <w:r>
        <w:rPr>
          <w:sz w:val="24"/>
          <w:szCs w:val="24"/>
        </w:rPr>
        <w:t xml:space="preserve">(using) </w:t>
      </w:r>
      <w:r w:rsidR="00525ABB">
        <w:rPr>
          <w:sz w:val="24"/>
          <w:szCs w:val="24"/>
        </w:rPr>
        <w:t xml:space="preserve">these codes for dyed diesel fuel.  </w:t>
      </w:r>
      <w:r>
        <w:rPr>
          <w:sz w:val="24"/>
          <w:szCs w:val="24"/>
        </w:rPr>
        <w:t>The process of affixing codes is typically automated</w:t>
      </w:r>
      <w:r w:rsidR="00CF1969">
        <w:rPr>
          <w:sz w:val="24"/>
          <w:szCs w:val="24"/>
        </w:rPr>
        <w:t xml:space="preserve"> (i.e., computerized)</w:t>
      </w:r>
      <w:r>
        <w:rPr>
          <w:sz w:val="24"/>
          <w:szCs w:val="24"/>
        </w:rPr>
        <w:t xml:space="preserve">.  </w:t>
      </w:r>
      <w:r w:rsidR="00525ABB">
        <w:rPr>
          <w:sz w:val="24"/>
          <w:szCs w:val="24"/>
        </w:rPr>
        <w:t>This ICR renewal accounts for this continuing burden</w:t>
      </w:r>
      <w:r>
        <w:rPr>
          <w:sz w:val="24"/>
          <w:szCs w:val="24"/>
        </w:rPr>
        <w:t xml:space="preserve"> of affixing codes</w:t>
      </w:r>
      <w:r w:rsidR="00525ABB">
        <w:rPr>
          <w:sz w:val="24"/>
          <w:szCs w:val="24"/>
        </w:rPr>
        <w:t xml:space="preserve">. </w:t>
      </w:r>
      <w:r>
        <w:rPr>
          <w:sz w:val="24"/>
          <w:szCs w:val="24"/>
        </w:rPr>
        <w:t>PTD requirements are in § 80.590-591.</w:t>
      </w:r>
    </w:p>
    <w:p w:rsidR="000A367C" w:rsidRDefault="000A367C">
      <w:pPr>
        <w:rPr>
          <w:sz w:val="24"/>
          <w:szCs w:val="24"/>
        </w:rPr>
      </w:pPr>
    </w:p>
    <w:p w:rsidR="00CF1969" w:rsidRDefault="00CF1969">
      <w:pPr>
        <w:rPr>
          <w:sz w:val="24"/>
          <w:szCs w:val="24"/>
        </w:rPr>
      </w:pPr>
      <w:r>
        <w:rPr>
          <w:sz w:val="24"/>
          <w:szCs w:val="24"/>
        </w:rPr>
        <w:tab/>
      </w:r>
      <w:r w:rsidR="00525ABB">
        <w:rPr>
          <w:sz w:val="24"/>
          <w:szCs w:val="24"/>
        </w:rPr>
        <w:t xml:space="preserve">The regulations </w:t>
      </w:r>
      <w:r w:rsidR="007647ED">
        <w:rPr>
          <w:sz w:val="24"/>
          <w:szCs w:val="24"/>
        </w:rPr>
        <w:t xml:space="preserve">required </w:t>
      </w:r>
      <w:r w:rsidR="00525ABB">
        <w:rPr>
          <w:sz w:val="24"/>
          <w:szCs w:val="24"/>
        </w:rPr>
        <w:t>pre-compliance reporting</w:t>
      </w:r>
      <w:r w:rsidR="007647ED">
        <w:rPr>
          <w:sz w:val="24"/>
          <w:szCs w:val="24"/>
        </w:rPr>
        <w:t xml:space="preserve"> related to MV diesel fuel</w:t>
      </w:r>
      <w:r w:rsidR="00525ABB">
        <w:rPr>
          <w:sz w:val="24"/>
          <w:szCs w:val="24"/>
        </w:rPr>
        <w:t>.</w:t>
      </w:r>
      <w:r w:rsidR="007647ED">
        <w:rPr>
          <w:sz w:val="24"/>
          <w:szCs w:val="24"/>
        </w:rPr>
        <w:t xml:space="preserve"> See § 80.594.  </w:t>
      </w:r>
      <w:r>
        <w:rPr>
          <w:sz w:val="24"/>
          <w:szCs w:val="24"/>
        </w:rPr>
        <w:t xml:space="preserve"> Most p</w:t>
      </w:r>
      <w:r w:rsidR="000A367C">
        <w:rPr>
          <w:sz w:val="24"/>
          <w:szCs w:val="24"/>
        </w:rPr>
        <w:t>re-compliance reporting</w:t>
      </w:r>
      <w:r>
        <w:rPr>
          <w:sz w:val="24"/>
          <w:szCs w:val="24"/>
        </w:rPr>
        <w:t xml:space="preserve"> ended on June 1, 2005</w:t>
      </w:r>
      <w:r w:rsidR="003D52FF" w:rsidRPr="009E40F9">
        <w:rPr>
          <w:sz w:val="24"/>
          <w:szCs w:val="24"/>
        </w:rPr>
        <w:t xml:space="preserve">.  </w:t>
      </w:r>
      <w:r w:rsidR="007647ED">
        <w:rPr>
          <w:sz w:val="24"/>
          <w:szCs w:val="24"/>
        </w:rPr>
        <w:t xml:space="preserve"> </w:t>
      </w:r>
      <w:r>
        <w:rPr>
          <w:sz w:val="24"/>
          <w:szCs w:val="24"/>
        </w:rPr>
        <w:t>There are no longer any required pre-compliance reports</w:t>
      </w:r>
      <w:r w:rsidR="007647ED">
        <w:rPr>
          <w:sz w:val="24"/>
          <w:szCs w:val="24"/>
        </w:rPr>
        <w:t>, since MV fuel now meets the 15 parts per million (ppm) sulfur standard</w:t>
      </w:r>
      <w:r>
        <w:rPr>
          <w:sz w:val="24"/>
          <w:szCs w:val="24"/>
        </w:rPr>
        <w:t xml:space="preserve">.  </w:t>
      </w:r>
      <w:r w:rsidR="00525ABB">
        <w:rPr>
          <w:sz w:val="24"/>
          <w:szCs w:val="24"/>
        </w:rPr>
        <w:t xml:space="preserve">  </w:t>
      </w:r>
      <w:r w:rsidR="007E152C">
        <w:rPr>
          <w:sz w:val="24"/>
          <w:szCs w:val="24"/>
        </w:rPr>
        <w:t xml:space="preserve">Similarly, pre-compliance reporting for NRLM ended June 1, 2011.  </w:t>
      </w:r>
      <w:r w:rsidR="000A367C">
        <w:rPr>
          <w:sz w:val="24"/>
          <w:szCs w:val="24"/>
        </w:rPr>
        <w:t xml:space="preserve">However, resubmission </w:t>
      </w:r>
      <w:r w:rsidR="00525ABB">
        <w:rPr>
          <w:sz w:val="24"/>
          <w:szCs w:val="24"/>
        </w:rPr>
        <w:t>of pre-compliance reports is still possible.</w:t>
      </w:r>
      <w:r w:rsidR="000A367C">
        <w:rPr>
          <w:sz w:val="24"/>
          <w:szCs w:val="24"/>
        </w:rPr>
        <w:t xml:space="preserve">  For example, a party may discover an error in a previously filed report and my resubmit it at any time.</w:t>
      </w:r>
      <w:r w:rsidR="00525ABB">
        <w:rPr>
          <w:sz w:val="24"/>
          <w:szCs w:val="24"/>
        </w:rPr>
        <w:t xml:space="preserve">  </w:t>
      </w:r>
      <w:r>
        <w:rPr>
          <w:sz w:val="24"/>
          <w:szCs w:val="24"/>
        </w:rPr>
        <w:t xml:space="preserve">Therefore, we have included estimates for a small number of resubmissions of previously filed pre-compliance reports.  </w:t>
      </w:r>
    </w:p>
    <w:p w:rsidR="00CF1969" w:rsidRDefault="00CF1969">
      <w:pPr>
        <w:rPr>
          <w:sz w:val="24"/>
          <w:szCs w:val="24"/>
        </w:rPr>
      </w:pPr>
    </w:p>
    <w:p w:rsidR="000A367C" w:rsidRDefault="00CF1969">
      <w:pPr>
        <w:rPr>
          <w:sz w:val="24"/>
          <w:szCs w:val="24"/>
        </w:rPr>
      </w:pPr>
      <w:r>
        <w:rPr>
          <w:sz w:val="24"/>
          <w:szCs w:val="24"/>
        </w:rPr>
        <w:tab/>
        <w:t>As of June 1, 2010, virtually all MV diesel fuel was required to meet the</w:t>
      </w:r>
      <w:r w:rsidR="003C2DEA">
        <w:rPr>
          <w:sz w:val="24"/>
          <w:szCs w:val="24"/>
        </w:rPr>
        <w:t xml:space="preserve">15 ppm </w:t>
      </w:r>
      <w:r>
        <w:rPr>
          <w:sz w:val="24"/>
          <w:szCs w:val="24"/>
        </w:rPr>
        <w:t xml:space="preserve">sulfur standard.  As a result, very little reporting related to </w:t>
      </w:r>
      <w:r w:rsidR="007647ED">
        <w:rPr>
          <w:sz w:val="24"/>
          <w:szCs w:val="24"/>
        </w:rPr>
        <w:t>MV diesel fuel remains.  Since the MV compliance date has been achieved, much of the reporting no longer exists and the requirements sun-</w:t>
      </w:r>
      <w:proofErr w:type="spellStart"/>
      <w:r w:rsidR="007647ED">
        <w:rPr>
          <w:sz w:val="24"/>
          <w:szCs w:val="24"/>
        </w:rPr>
        <w:t>setted</w:t>
      </w:r>
      <w:proofErr w:type="spellEnd"/>
      <w:r w:rsidR="007647ED">
        <w:rPr>
          <w:sz w:val="24"/>
          <w:szCs w:val="24"/>
        </w:rPr>
        <w:t xml:space="preserve"> in accordance with the existing regulations.  However, reporting related to NRLM remains.  (See § 80.</w:t>
      </w:r>
      <w:r w:rsidR="003C2DEA">
        <w:rPr>
          <w:sz w:val="24"/>
          <w:szCs w:val="24"/>
        </w:rPr>
        <w:t xml:space="preserve">593 80.601-80.604.)  </w:t>
      </w:r>
      <w:r w:rsidR="00525ABB">
        <w:rPr>
          <w:sz w:val="24"/>
          <w:szCs w:val="24"/>
        </w:rPr>
        <w:t>Therefore, this ICR renewal accounts for a reasonable number of resubmissions</w:t>
      </w:r>
      <w:r w:rsidR="000A367C">
        <w:rPr>
          <w:sz w:val="24"/>
          <w:szCs w:val="24"/>
        </w:rPr>
        <w:t xml:space="preserve"> of previously filed reports</w:t>
      </w:r>
      <w:r w:rsidR="007647ED">
        <w:rPr>
          <w:sz w:val="24"/>
          <w:szCs w:val="24"/>
        </w:rPr>
        <w:t xml:space="preserve"> for MV</w:t>
      </w:r>
      <w:r w:rsidR="000A367C">
        <w:rPr>
          <w:sz w:val="24"/>
          <w:szCs w:val="24"/>
        </w:rPr>
        <w:t>,</w:t>
      </w:r>
      <w:r w:rsidR="007647ED">
        <w:rPr>
          <w:sz w:val="24"/>
          <w:szCs w:val="24"/>
        </w:rPr>
        <w:t xml:space="preserve"> and considers that</w:t>
      </w:r>
      <w:r w:rsidR="000A367C">
        <w:rPr>
          <w:sz w:val="24"/>
          <w:szCs w:val="24"/>
        </w:rPr>
        <w:t xml:space="preserve"> r</w:t>
      </w:r>
      <w:r w:rsidR="003D52FF" w:rsidRPr="009E40F9">
        <w:rPr>
          <w:sz w:val="24"/>
          <w:szCs w:val="24"/>
        </w:rPr>
        <w:t xml:space="preserve">eporting related to NRLM </w:t>
      </w:r>
      <w:r w:rsidR="003C2DEA">
        <w:rPr>
          <w:sz w:val="24"/>
          <w:szCs w:val="24"/>
        </w:rPr>
        <w:t>(</w:t>
      </w:r>
      <w:r w:rsidR="003D52FF" w:rsidRPr="009E40F9">
        <w:rPr>
          <w:sz w:val="24"/>
          <w:szCs w:val="24"/>
        </w:rPr>
        <w:t xml:space="preserve">and </w:t>
      </w:r>
      <w:r w:rsidR="00B173C2" w:rsidRPr="009E40F9">
        <w:rPr>
          <w:sz w:val="24"/>
          <w:szCs w:val="24"/>
        </w:rPr>
        <w:t>HO</w:t>
      </w:r>
      <w:r w:rsidR="003C2DEA">
        <w:rPr>
          <w:sz w:val="24"/>
          <w:szCs w:val="24"/>
        </w:rPr>
        <w:t>)</w:t>
      </w:r>
      <w:r w:rsidR="00B173C2" w:rsidRPr="009E40F9">
        <w:rPr>
          <w:sz w:val="24"/>
          <w:szCs w:val="24"/>
        </w:rPr>
        <w:t xml:space="preserve"> will continue throughout the course of this proposed ICR renewal.  </w:t>
      </w:r>
      <w:r w:rsidR="007647ED">
        <w:rPr>
          <w:sz w:val="24"/>
          <w:szCs w:val="24"/>
        </w:rPr>
        <w:t xml:space="preserve">  </w:t>
      </w:r>
      <w:r w:rsidR="00016E92">
        <w:rPr>
          <w:sz w:val="24"/>
          <w:szCs w:val="24"/>
        </w:rPr>
        <w:t xml:space="preserve"> </w:t>
      </w:r>
      <w:r w:rsidR="003C2DEA">
        <w:rPr>
          <w:sz w:val="24"/>
          <w:szCs w:val="24"/>
        </w:rPr>
        <w:t xml:space="preserve">In order to present estimates for reporting in a format that regulated parties are familiar with, the estimates in Table I are given by form, with a short description of the information each form collects.  The corresponding reporting forms are available at the EPA website: </w:t>
      </w:r>
      <w:r w:rsidR="00016E92">
        <w:rPr>
          <w:sz w:val="24"/>
          <w:szCs w:val="24"/>
        </w:rPr>
        <w:t xml:space="preserve"> </w:t>
      </w:r>
      <w:hyperlink r:id="rId8" w:history="1">
        <w:r w:rsidR="00B53320" w:rsidRPr="009248D9">
          <w:rPr>
            <w:rStyle w:val="Hyperlink"/>
            <w:sz w:val="24"/>
            <w:szCs w:val="24"/>
          </w:rPr>
          <w:t>http://www.epa.gov/otaq/fuels/reporting/diesel.htm</w:t>
        </w:r>
      </w:hyperlink>
      <w:r w:rsidR="003C2DEA">
        <w:rPr>
          <w:sz w:val="24"/>
          <w:szCs w:val="24"/>
        </w:rPr>
        <w:t>.</w:t>
      </w:r>
    </w:p>
    <w:p w:rsidR="00B53320" w:rsidRDefault="00B53320">
      <w:pPr>
        <w:rPr>
          <w:sz w:val="24"/>
          <w:szCs w:val="24"/>
        </w:rPr>
      </w:pPr>
    </w:p>
    <w:p w:rsidR="00B53320" w:rsidRDefault="00B53320">
      <w:pPr>
        <w:rPr>
          <w:sz w:val="24"/>
          <w:szCs w:val="24"/>
        </w:rPr>
      </w:pPr>
      <w:r>
        <w:rPr>
          <w:sz w:val="24"/>
          <w:szCs w:val="24"/>
        </w:rPr>
        <w:tab/>
        <w:t xml:space="preserve">This ICR renewal includes provisions related to research and development (R&amp;D) </w:t>
      </w:r>
      <w:r>
        <w:rPr>
          <w:sz w:val="24"/>
          <w:szCs w:val="24"/>
        </w:rPr>
        <w:lastRenderedPageBreak/>
        <w:t xml:space="preserve">exemptions, which a party may request.  And R&amp;D exemption permits a party with a bona fide testing program to acquire and use diesel fuel to acquire sufficient non-complying fuel to conduct its research. We receive one or two applications per year, and have estimated the costs as part of this ICR renewal.  This ICR renewal also includes provisions related to qualification of laboratories to use test methods for measurement of sulfur and for detection of dye/marker.  The purpose of the laboratory qualification is to ensure that appropriate standards for accuracy and precision will be met.  Since nearly all laboratories have already submitted the information, we have estimated a small number of new applicants.  </w:t>
      </w:r>
    </w:p>
    <w:p w:rsidR="000A367C" w:rsidRDefault="000A367C">
      <w:pPr>
        <w:rPr>
          <w:sz w:val="24"/>
          <w:szCs w:val="24"/>
        </w:rPr>
      </w:pPr>
    </w:p>
    <w:p w:rsidR="008647F7" w:rsidRPr="009E40F9" w:rsidRDefault="000A367C">
      <w:pPr>
        <w:rPr>
          <w:sz w:val="24"/>
          <w:szCs w:val="24"/>
        </w:rPr>
      </w:pPr>
      <w:r>
        <w:rPr>
          <w:sz w:val="24"/>
          <w:szCs w:val="24"/>
        </w:rPr>
        <w:tab/>
      </w:r>
      <w:r w:rsidR="00B53320">
        <w:rPr>
          <w:sz w:val="24"/>
          <w:szCs w:val="24"/>
        </w:rPr>
        <w:t>In summary, th</w:t>
      </w:r>
      <w:r w:rsidR="00B173C2" w:rsidRPr="009E40F9">
        <w:rPr>
          <w:sz w:val="24"/>
          <w:szCs w:val="24"/>
        </w:rPr>
        <w:t>e activities associated with this ICR include:  registration (</w:t>
      </w:r>
      <w:r w:rsidR="00016E92">
        <w:rPr>
          <w:sz w:val="24"/>
          <w:szCs w:val="24"/>
        </w:rPr>
        <w:t xml:space="preserve">as noted, virtually </w:t>
      </w:r>
      <w:r w:rsidR="00B173C2" w:rsidRPr="009E40F9">
        <w:rPr>
          <w:sz w:val="24"/>
          <w:szCs w:val="24"/>
        </w:rPr>
        <w:t>all parties have registered</w:t>
      </w:r>
      <w:r w:rsidR="00016E92">
        <w:rPr>
          <w:sz w:val="24"/>
          <w:szCs w:val="24"/>
        </w:rPr>
        <w:t>, although</w:t>
      </w:r>
      <w:r w:rsidR="00B173C2" w:rsidRPr="009E40F9">
        <w:rPr>
          <w:sz w:val="24"/>
          <w:szCs w:val="24"/>
        </w:rPr>
        <w:t xml:space="preserve"> updates to existing registrations are still possible); compliance reports (mostly covering NRLM and HO</w:t>
      </w:r>
      <w:r w:rsidR="00016E92">
        <w:rPr>
          <w:sz w:val="24"/>
          <w:szCs w:val="24"/>
        </w:rPr>
        <w:t>, although</w:t>
      </w:r>
      <w:r w:rsidR="00B173C2" w:rsidRPr="009E40F9">
        <w:rPr>
          <w:sz w:val="24"/>
          <w:szCs w:val="24"/>
        </w:rPr>
        <w:t xml:space="preserve"> updates to prior compliance</w:t>
      </w:r>
      <w:r w:rsidR="00016E92">
        <w:rPr>
          <w:sz w:val="24"/>
          <w:szCs w:val="24"/>
        </w:rPr>
        <w:t xml:space="preserve"> and pre-compliance</w:t>
      </w:r>
      <w:r w:rsidR="00B173C2" w:rsidRPr="009E40F9">
        <w:rPr>
          <w:sz w:val="24"/>
          <w:szCs w:val="24"/>
        </w:rPr>
        <w:t xml:space="preserve"> reports for MV diesel are still possible); research and development (R&amp;D) exemptions; generation and retention of quality assurance (QA) records; foreign refiner reporting; placement of </w:t>
      </w:r>
      <w:r w:rsidR="00BE305A">
        <w:rPr>
          <w:sz w:val="24"/>
          <w:szCs w:val="24"/>
        </w:rPr>
        <w:t>product transfer document (</w:t>
      </w:r>
      <w:r w:rsidR="00B173C2" w:rsidRPr="009E40F9">
        <w:rPr>
          <w:sz w:val="24"/>
          <w:szCs w:val="24"/>
        </w:rPr>
        <w:t>PTD</w:t>
      </w:r>
      <w:r w:rsidR="00BE305A">
        <w:rPr>
          <w:sz w:val="24"/>
          <w:szCs w:val="24"/>
        </w:rPr>
        <w:t>)</w:t>
      </w:r>
      <w:r w:rsidR="00B173C2" w:rsidRPr="009E40F9">
        <w:rPr>
          <w:sz w:val="24"/>
          <w:szCs w:val="24"/>
        </w:rPr>
        <w:t xml:space="preserve"> codes (a typically automated process, to indicate the presence of dye </w:t>
      </w:r>
      <w:r w:rsidR="007D645E" w:rsidRPr="009E40F9">
        <w:rPr>
          <w:sz w:val="24"/>
          <w:szCs w:val="24"/>
        </w:rPr>
        <w:t xml:space="preserve">in tax-exempt fuel </w:t>
      </w:r>
      <w:r w:rsidR="00B173C2" w:rsidRPr="009E40F9">
        <w:rPr>
          <w:sz w:val="24"/>
          <w:szCs w:val="24"/>
        </w:rPr>
        <w:t>and/or sulfur content).</w:t>
      </w:r>
      <w:r w:rsidR="007D645E" w:rsidRPr="009E40F9">
        <w:rPr>
          <w:sz w:val="24"/>
          <w:szCs w:val="24"/>
        </w:rPr>
        <w:t xml:space="preserve">  This ICR renewal contains provisions related to qualification of laboratories on performance-based test methods.  Virtually all applications have already been received from laboratories and acted upon by EPA. </w:t>
      </w:r>
      <w:r w:rsidR="00016E92">
        <w:rPr>
          <w:sz w:val="24"/>
          <w:szCs w:val="24"/>
        </w:rPr>
        <w:t xml:space="preserve">This ICR renewal considers that we may receive a limited number of laboratory qualification applications per year.  </w:t>
      </w:r>
      <w:r w:rsidR="007D645E" w:rsidRPr="009E40F9">
        <w:rPr>
          <w:sz w:val="24"/>
          <w:szCs w:val="24"/>
        </w:rPr>
        <w:t xml:space="preserve"> </w:t>
      </w:r>
    </w:p>
    <w:p w:rsidR="008647F7" w:rsidRPr="009E40F9" w:rsidRDefault="008647F7">
      <w:pPr>
        <w:rPr>
          <w:sz w:val="24"/>
          <w:szCs w:val="24"/>
        </w:rPr>
      </w:pPr>
    </w:p>
    <w:p w:rsidR="008647F7" w:rsidRPr="009E40F9" w:rsidRDefault="008647F7">
      <w:pPr>
        <w:rPr>
          <w:sz w:val="24"/>
          <w:szCs w:val="24"/>
        </w:rPr>
      </w:pPr>
      <w:r w:rsidRPr="009E40F9">
        <w:rPr>
          <w:sz w:val="24"/>
          <w:szCs w:val="24"/>
        </w:rPr>
        <w:tab/>
        <w:t xml:space="preserve"> </w:t>
      </w:r>
    </w:p>
    <w:p w:rsidR="008647F7" w:rsidRPr="009E40F9" w:rsidRDefault="008647F7">
      <w:pPr>
        <w:rPr>
          <w:sz w:val="24"/>
          <w:szCs w:val="24"/>
        </w:rPr>
      </w:pPr>
    </w:p>
    <w:p w:rsidR="008647F7" w:rsidRPr="009E40F9" w:rsidRDefault="008647F7">
      <w:pPr>
        <w:rPr>
          <w:sz w:val="24"/>
          <w:szCs w:val="24"/>
        </w:rPr>
      </w:pPr>
      <w:r w:rsidRPr="009E40F9">
        <w:rPr>
          <w:bCs/>
          <w:sz w:val="24"/>
          <w:szCs w:val="24"/>
        </w:rPr>
        <w:t>2.</w:t>
      </w:r>
      <w:r w:rsidRPr="009E40F9">
        <w:rPr>
          <w:bCs/>
          <w:sz w:val="24"/>
          <w:szCs w:val="24"/>
        </w:rPr>
        <w:tab/>
        <w:t>NEED FOR AND USE OF THE COLLECTION</w:t>
      </w:r>
    </w:p>
    <w:p w:rsidR="008647F7" w:rsidRPr="009E40F9" w:rsidRDefault="008647F7">
      <w:pPr>
        <w:rPr>
          <w:sz w:val="24"/>
          <w:szCs w:val="24"/>
        </w:rPr>
      </w:pPr>
    </w:p>
    <w:p w:rsidR="008647F7" w:rsidRPr="009E40F9" w:rsidRDefault="008647F7">
      <w:pPr>
        <w:rPr>
          <w:bCs/>
          <w:sz w:val="24"/>
          <w:szCs w:val="24"/>
        </w:rPr>
      </w:pPr>
      <w:r w:rsidRPr="009E40F9">
        <w:rPr>
          <w:bCs/>
          <w:sz w:val="24"/>
          <w:szCs w:val="24"/>
        </w:rPr>
        <w:tab/>
        <w:t>2(a)</w:t>
      </w:r>
      <w:r w:rsidRPr="009E40F9">
        <w:rPr>
          <w:bCs/>
          <w:sz w:val="24"/>
          <w:szCs w:val="24"/>
        </w:rPr>
        <w:tab/>
        <w:t>Need/Authority for the Collection</w:t>
      </w:r>
    </w:p>
    <w:p w:rsidR="008647F7" w:rsidRPr="009E40F9" w:rsidRDefault="008647F7">
      <w:pPr>
        <w:rPr>
          <w:sz w:val="24"/>
          <w:szCs w:val="24"/>
        </w:rPr>
      </w:pPr>
    </w:p>
    <w:p w:rsidR="008647F7" w:rsidRPr="009E40F9" w:rsidRDefault="008647F7">
      <w:pPr>
        <w:rPr>
          <w:sz w:val="24"/>
          <w:szCs w:val="24"/>
        </w:rPr>
      </w:pPr>
      <w:r w:rsidRPr="009E40F9">
        <w:rPr>
          <w:sz w:val="24"/>
          <w:szCs w:val="24"/>
        </w:rPr>
        <w:tab/>
        <w:t xml:space="preserve">This supporting statement covers the recordkeeping and reporting requirements and the associated costs to various parties (e.g., refiners, importers, distributors, and retailers of diesel fuel).  These </w:t>
      </w:r>
      <w:r w:rsidR="007D645E" w:rsidRPr="009E40F9">
        <w:rPr>
          <w:sz w:val="24"/>
          <w:szCs w:val="24"/>
        </w:rPr>
        <w:t xml:space="preserve">general recordkeeping and </w:t>
      </w:r>
      <w:r w:rsidRPr="009E40F9">
        <w:rPr>
          <w:sz w:val="24"/>
          <w:szCs w:val="24"/>
        </w:rPr>
        <w:t>requirements are necessary to enable the Administrator to:</w:t>
      </w:r>
    </w:p>
    <w:p w:rsidR="008647F7" w:rsidRPr="009E40F9" w:rsidRDefault="008647F7">
      <w:pPr>
        <w:rPr>
          <w:sz w:val="24"/>
          <w:szCs w:val="24"/>
        </w:rPr>
      </w:pPr>
    </w:p>
    <w:p w:rsidR="008647F7" w:rsidRPr="009E40F9" w:rsidRDefault="008647F7">
      <w:pPr>
        <w:rPr>
          <w:sz w:val="24"/>
          <w:szCs w:val="24"/>
        </w:rPr>
      </w:pPr>
      <w:r w:rsidRPr="009E40F9">
        <w:rPr>
          <w:sz w:val="24"/>
          <w:szCs w:val="24"/>
        </w:rPr>
        <w:tab/>
        <w:t>(1) Identify the sources of diesel fuel; and</w:t>
      </w:r>
    </w:p>
    <w:p w:rsidR="008647F7" w:rsidRPr="009E40F9" w:rsidRDefault="008647F7">
      <w:pPr>
        <w:rPr>
          <w:sz w:val="24"/>
          <w:szCs w:val="24"/>
        </w:rPr>
      </w:pPr>
    </w:p>
    <w:p w:rsidR="008647F7" w:rsidRPr="009E40F9" w:rsidRDefault="008647F7">
      <w:pPr>
        <w:rPr>
          <w:sz w:val="24"/>
          <w:szCs w:val="24"/>
        </w:rPr>
      </w:pPr>
      <w:r w:rsidRPr="009E40F9">
        <w:rPr>
          <w:sz w:val="24"/>
          <w:szCs w:val="24"/>
        </w:rPr>
        <w:tab/>
        <w:t>(2) Ensure that these sources comply with the standards and limitations of the rules.</w:t>
      </w:r>
    </w:p>
    <w:p w:rsidR="008647F7" w:rsidRPr="009E40F9" w:rsidRDefault="008647F7">
      <w:pPr>
        <w:rPr>
          <w:sz w:val="24"/>
          <w:szCs w:val="24"/>
        </w:rPr>
      </w:pPr>
    </w:p>
    <w:p w:rsidR="00F649A2" w:rsidRDefault="008647F7">
      <w:pPr>
        <w:rPr>
          <w:sz w:val="24"/>
          <w:szCs w:val="24"/>
        </w:rPr>
      </w:pPr>
      <w:r w:rsidRPr="009E40F9">
        <w:rPr>
          <w:sz w:val="24"/>
          <w:szCs w:val="24"/>
        </w:rPr>
        <w:tab/>
      </w:r>
      <w:r w:rsidR="00F649A2">
        <w:rPr>
          <w:sz w:val="24"/>
          <w:szCs w:val="24"/>
        </w:rPr>
        <w:t xml:space="preserve"> The information is collected in order to determine compliance with the regulations related to motor vehicle (MV) and non-road, locomotive and marine (NRLM) diesel.  The information is used by the Office of Transportation and Air Quality (OTAQ) in EPA to perform analysis of the program and to determine if the regulations are working well or not, and to help guide our decisions on future rulemakings and actions.  OTAQ may utilize certain information, in highly aggregated and summarized form, to generate reports about diesel fuel trends.  If information is used in this manner, it must be highly aggregated and summarized because much of the information is submitted to EPA with a claim of business confidentiality.  The information </w:t>
      </w:r>
      <w:r w:rsidR="00F649A2">
        <w:rPr>
          <w:sz w:val="24"/>
          <w:szCs w:val="24"/>
        </w:rPr>
        <w:lastRenderedPageBreak/>
        <w:t>is also collected for use by the Office of Enforcement and Compliance Assurance (OECA) to pursue violations.</w:t>
      </w:r>
    </w:p>
    <w:p w:rsidR="008647F7" w:rsidRPr="009E40F9" w:rsidRDefault="008647F7">
      <w:pPr>
        <w:rPr>
          <w:sz w:val="24"/>
          <w:szCs w:val="24"/>
        </w:rPr>
      </w:pPr>
      <w:r w:rsidRPr="009E40F9">
        <w:rPr>
          <w:sz w:val="24"/>
          <w:szCs w:val="24"/>
        </w:rPr>
        <w:t xml:space="preserve"> </w:t>
      </w:r>
      <w:r w:rsidR="007D645E" w:rsidRPr="009E40F9">
        <w:rPr>
          <w:sz w:val="24"/>
          <w:szCs w:val="24"/>
        </w:rPr>
        <w:t xml:space="preserve"> </w:t>
      </w:r>
    </w:p>
    <w:p w:rsidR="008647F7" w:rsidRPr="009E40F9" w:rsidRDefault="008647F7">
      <w:pPr>
        <w:rPr>
          <w:sz w:val="24"/>
          <w:szCs w:val="24"/>
        </w:rPr>
      </w:pPr>
      <w:r w:rsidRPr="009E40F9">
        <w:tab/>
      </w:r>
      <w:r w:rsidRPr="009E40F9">
        <w:rPr>
          <w:sz w:val="24"/>
          <w:szCs w:val="24"/>
        </w:rPr>
        <w:t>For performance-based qualification of test methods for diesel fuel, reported data will enable EPA to:</w:t>
      </w:r>
    </w:p>
    <w:p w:rsidR="008647F7" w:rsidRPr="009E40F9" w:rsidRDefault="008647F7">
      <w:pPr>
        <w:rPr>
          <w:sz w:val="24"/>
          <w:szCs w:val="24"/>
        </w:rPr>
      </w:pPr>
    </w:p>
    <w:p w:rsidR="008647F7" w:rsidRPr="009E40F9" w:rsidRDefault="008647F7">
      <w:pPr>
        <w:rPr>
          <w:sz w:val="24"/>
          <w:szCs w:val="24"/>
        </w:rPr>
      </w:pPr>
      <w:r w:rsidRPr="009E40F9">
        <w:rPr>
          <w:sz w:val="24"/>
          <w:szCs w:val="24"/>
        </w:rPr>
        <w:tab/>
        <w:t>1)  Qualify laboratories to use test methods based upon accuracy and precision criteria supported by industry.</w:t>
      </w:r>
    </w:p>
    <w:p w:rsidR="008647F7" w:rsidRPr="009E40F9" w:rsidRDefault="008647F7">
      <w:pPr>
        <w:rPr>
          <w:sz w:val="24"/>
          <w:szCs w:val="24"/>
        </w:rPr>
      </w:pPr>
    </w:p>
    <w:p w:rsidR="008647F7" w:rsidRPr="009E40F9" w:rsidRDefault="008647F7">
      <w:pPr>
        <w:rPr>
          <w:sz w:val="24"/>
          <w:szCs w:val="24"/>
        </w:rPr>
      </w:pPr>
      <w:r w:rsidRPr="009E40F9">
        <w:rPr>
          <w:sz w:val="24"/>
          <w:szCs w:val="24"/>
        </w:rPr>
        <w:tab/>
        <w:t>2)  Ensure that diesel fuel and heating oil meet the standards required under the regulations at 40 CFR Part 80 and that the associated benefits to human health and the environment are realized.</w:t>
      </w:r>
    </w:p>
    <w:p w:rsidR="008647F7" w:rsidRDefault="008647F7">
      <w:pPr>
        <w:rPr>
          <w:sz w:val="24"/>
          <w:szCs w:val="24"/>
        </w:rPr>
      </w:pPr>
    </w:p>
    <w:p w:rsidR="00BE305A" w:rsidRPr="009E40F9" w:rsidRDefault="00BE305A">
      <w:pPr>
        <w:rPr>
          <w:sz w:val="24"/>
          <w:szCs w:val="24"/>
        </w:rPr>
      </w:pPr>
      <w:r>
        <w:rPr>
          <w:sz w:val="24"/>
          <w:szCs w:val="24"/>
        </w:rPr>
        <w:tab/>
        <w:t xml:space="preserve">The information is collected in order to qualify laboratories to use test methods of their choosing, as long as those test meet appropriate accuracy and precision criteria.  The submission to EPA is designed to permit industry maximum flexibility in choosing test methods.  Most test methods chosen are developed by voluntary consensus based organizations, such as ASTM International.  It is also possible for industry to develop its own test methods and use them, if they meet the appropriate accuracy and precision criteria.  Although submitting an application requires some effort on the part of industry, industry historically has preferred to be granted leeway in the choosing of test methods.  We have designed our requirements for laboratory qualification to match industry practice and to provide a simplified format.  Since nearly all laboratories have already qualified, we anticipate very few new applications during the course of this ICR renewal.  </w:t>
      </w:r>
    </w:p>
    <w:p w:rsidR="008647F7" w:rsidRPr="009E40F9" w:rsidRDefault="008647F7">
      <w:pPr>
        <w:rPr>
          <w:sz w:val="24"/>
          <w:szCs w:val="24"/>
        </w:rPr>
      </w:pPr>
    </w:p>
    <w:p w:rsidR="008647F7" w:rsidRPr="009E40F9" w:rsidRDefault="008647F7">
      <w:pPr>
        <w:rPr>
          <w:sz w:val="24"/>
          <w:szCs w:val="24"/>
        </w:rPr>
      </w:pPr>
      <w:r w:rsidRPr="009E40F9">
        <w:rPr>
          <w:bCs/>
          <w:sz w:val="24"/>
          <w:szCs w:val="24"/>
        </w:rPr>
        <w:tab/>
        <w:t>2(b)</w:t>
      </w:r>
      <w:r w:rsidRPr="009E40F9">
        <w:rPr>
          <w:bCs/>
          <w:sz w:val="24"/>
          <w:szCs w:val="24"/>
        </w:rPr>
        <w:tab/>
        <w:t>Practical Utility/Users of the Data</w:t>
      </w:r>
    </w:p>
    <w:p w:rsidR="008647F7" w:rsidRPr="009E40F9" w:rsidRDefault="008647F7">
      <w:pPr>
        <w:rPr>
          <w:sz w:val="24"/>
          <w:szCs w:val="24"/>
        </w:rPr>
      </w:pPr>
    </w:p>
    <w:p w:rsidR="007D645E" w:rsidRPr="009E40F9" w:rsidRDefault="008647F7">
      <w:pPr>
        <w:rPr>
          <w:sz w:val="24"/>
          <w:szCs w:val="24"/>
        </w:rPr>
      </w:pPr>
      <w:r w:rsidRPr="009E40F9">
        <w:rPr>
          <w:sz w:val="24"/>
          <w:szCs w:val="24"/>
        </w:rPr>
        <w:tab/>
        <w:t xml:space="preserve">EPA will use the information contained in the reports required by this information collection to evaluate the compliance of parties involved in the production and importation of diesel with the diesel fuel requirements.  These reports will also be used by EPA to target compliance investigations. </w:t>
      </w:r>
    </w:p>
    <w:p w:rsidR="007D645E" w:rsidRPr="009E40F9" w:rsidRDefault="007D645E">
      <w:pPr>
        <w:rPr>
          <w:sz w:val="24"/>
          <w:szCs w:val="24"/>
        </w:rPr>
      </w:pPr>
    </w:p>
    <w:p w:rsidR="008647F7" w:rsidRPr="009E40F9" w:rsidRDefault="007D645E">
      <w:pPr>
        <w:rPr>
          <w:sz w:val="24"/>
          <w:szCs w:val="24"/>
        </w:rPr>
      </w:pPr>
      <w:r w:rsidRPr="009E40F9">
        <w:rPr>
          <w:sz w:val="24"/>
          <w:szCs w:val="24"/>
        </w:rPr>
        <w:tab/>
      </w:r>
      <w:r w:rsidR="008647F7" w:rsidRPr="009E40F9">
        <w:rPr>
          <w:sz w:val="24"/>
          <w:szCs w:val="24"/>
        </w:rPr>
        <w:t xml:space="preserve">PTDs maintained by parties in the diesel fuel distribution system and records related to diesel blending will be used to evaluate the compliance of the parties that maintain the records, and to help evaluate upstream compliance. PTDs are normally generated and retained in the course of business (i.e., they are </w:t>
      </w:r>
      <w:r w:rsidRPr="009E40F9">
        <w:rPr>
          <w:sz w:val="24"/>
          <w:szCs w:val="24"/>
        </w:rPr>
        <w:t>customary business practices or “</w:t>
      </w:r>
      <w:r w:rsidR="008647F7" w:rsidRPr="009E40F9">
        <w:rPr>
          <w:sz w:val="24"/>
          <w:szCs w:val="24"/>
        </w:rPr>
        <w:t>CBP</w:t>
      </w:r>
      <w:r w:rsidRPr="009E40F9">
        <w:rPr>
          <w:sz w:val="24"/>
          <w:szCs w:val="24"/>
        </w:rPr>
        <w:t>”</w:t>
      </w:r>
      <w:r w:rsidR="008647F7" w:rsidRPr="009E40F9">
        <w:rPr>
          <w:sz w:val="24"/>
          <w:szCs w:val="24"/>
        </w:rPr>
        <w:t xml:space="preserve">). </w:t>
      </w:r>
      <w:r w:rsidRPr="009E40F9">
        <w:rPr>
          <w:sz w:val="24"/>
          <w:szCs w:val="24"/>
        </w:rPr>
        <w:t>There is a small burden associated with the placement of sulfur content and/or dye notices, a process which is typically automated.</w:t>
      </w:r>
    </w:p>
    <w:p w:rsidR="008647F7" w:rsidRPr="009E40F9" w:rsidRDefault="008647F7">
      <w:pPr>
        <w:rPr>
          <w:sz w:val="24"/>
          <w:szCs w:val="24"/>
        </w:rPr>
      </w:pPr>
    </w:p>
    <w:p w:rsidR="008647F7" w:rsidRPr="009E40F9" w:rsidRDefault="008647F7">
      <w:pPr>
        <w:rPr>
          <w:sz w:val="24"/>
          <w:szCs w:val="24"/>
        </w:rPr>
      </w:pPr>
      <w:r w:rsidRPr="009E40F9">
        <w:rPr>
          <w:sz w:val="24"/>
          <w:szCs w:val="24"/>
        </w:rPr>
        <w:tab/>
        <w:t xml:space="preserve">The automatically printed notice on tax-exempt highway diesel product transfer documents (which EPA allows to be stated in coded form to save space), allows both EPA to determine if dyed product is intended for highway use or is high sulfur diesel for off-road use only.  It also helps industry to make this determination.  </w:t>
      </w:r>
    </w:p>
    <w:p w:rsidR="008647F7" w:rsidRPr="009E40F9" w:rsidRDefault="008647F7">
      <w:pPr>
        <w:rPr>
          <w:sz w:val="24"/>
          <w:szCs w:val="24"/>
        </w:rPr>
      </w:pPr>
    </w:p>
    <w:p w:rsidR="008647F7" w:rsidRPr="009E40F9" w:rsidRDefault="008647F7">
      <w:pPr>
        <w:rPr>
          <w:sz w:val="24"/>
          <w:szCs w:val="24"/>
        </w:rPr>
      </w:pPr>
      <w:r w:rsidRPr="009E40F9">
        <w:rPr>
          <w:sz w:val="24"/>
          <w:szCs w:val="24"/>
        </w:rPr>
        <w:lastRenderedPageBreak/>
        <w:tab/>
        <w:t xml:space="preserve">The EPA's </w:t>
      </w:r>
      <w:r w:rsidR="00BE305A">
        <w:rPr>
          <w:sz w:val="24"/>
          <w:szCs w:val="24"/>
        </w:rPr>
        <w:t>Office of Transpor</w:t>
      </w:r>
      <w:r w:rsidR="00016E92">
        <w:rPr>
          <w:sz w:val="24"/>
          <w:szCs w:val="24"/>
        </w:rPr>
        <w:t>t</w:t>
      </w:r>
      <w:r w:rsidR="00BE305A">
        <w:rPr>
          <w:sz w:val="24"/>
          <w:szCs w:val="24"/>
        </w:rPr>
        <w:t xml:space="preserve">ation &amp; Air Quality (OTAQ) and the </w:t>
      </w:r>
      <w:r w:rsidRPr="009E40F9">
        <w:rPr>
          <w:sz w:val="24"/>
          <w:szCs w:val="24"/>
        </w:rPr>
        <w:t>Office of Enforcement and Compliance Assurance</w:t>
      </w:r>
      <w:r w:rsidR="00BE305A">
        <w:rPr>
          <w:sz w:val="24"/>
          <w:szCs w:val="24"/>
        </w:rPr>
        <w:t xml:space="preserve"> (OECA)</w:t>
      </w:r>
      <w:r w:rsidRPr="009E40F9">
        <w:rPr>
          <w:sz w:val="24"/>
          <w:szCs w:val="24"/>
        </w:rPr>
        <w:t xml:space="preserve"> </w:t>
      </w:r>
      <w:r w:rsidR="00BE305A">
        <w:rPr>
          <w:sz w:val="24"/>
          <w:szCs w:val="24"/>
        </w:rPr>
        <w:t xml:space="preserve">are </w:t>
      </w:r>
      <w:r w:rsidRPr="009E40F9">
        <w:rPr>
          <w:sz w:val="24"/>
          <w:szCs w:val="24"/>
        </w:rPr>
        <w:t xml:space="preserve">the </w:t>
      </w:r>
      <w:r w:rsidR="00BE305A">
        <w:rPr>
          <w:sz w:val="24"/>
          <w:szCs w:val="24"/>
        </w:rPr>
        <w:t xml:space="preserve">primary </w:t>
      </w:r>
      <w:r w:rsidRPr="009E40F9">
        <w:rPr>
          <w:sz w:val="24"/>
          <w:szCs w:val="24"/>
        </w:rPr>
        <w:t>government user</w:t>
      </w:r>
      <w:r w:rsidR="00BE305A">
        <w:rPr>
          <w:sz w:val="24"/>
          <w:szCs w:val="24"/>
        </w:rPr>
        <w:t>s</w:t>
      </w:r>
      <w:r w:rsidRPr="009E40F9">
        <w:rPr>
          <w:sz w:val="24"/>
          <w:szCs w:val="24"/>
        </w:rPr>
        <w:t xml:space="preserve"> of the information contained in the required records.</w:t>
      </w:r>
      <w:r w:rsidR="00BE305A">
        <w:rPr>
          <w:sz w:val="24"/>
          <w:szCs w:val="24"/>
        </w:rPr>
        <w:t xml:space="preserve">  In the event of violation, information may also be shared with the U.S. Department of Justice (DOJ).  </w:t>
      </w:r>
    </w:p>
    <w:p w:rsidR="008647F7" w:rsidRPr="009E40F9" w:rsidRDefault="008647F7">
      <w:pPr>
        <w:rPr>
          <w:sz w:val="24"/>
          <w:szCs w:val="24"/>
        </w:rPr>
      </w:pPr>
    </w:p>
    <w:p w:rsidR="00126CAE" w:rsidRPr="009E40F9" w:rsidRDefault="00126CAE">
      <w:pPr>
        <w:rPr>
          <w:bCs/>
          <w:sz w:val="24"/>
          <w:szCs w:val="24"/>
        </w:rPr>
      </w:pPr>
    </w:p>
    <w:p w:rsidR="008647F7" w:rsidRPr="009E40F9" w:rsidRDefault="008647F7">
      <w:pPr>
        <w:rPr>
          <w:sz w:val="24"/>
          <w:szCs w:val="24"/>
        </w:rPr>
      </w:pPr>
      <w:r w:rsidRPr="009E40F9">
        <w:rPr>
          <w:bCs/>
          <w:sz w:val="24"/>
          <w:szCs w:val="24"/>
        </w:rPr>
        <w:t>3.</w:t>
      </w:r>
      <w:r w:rsidRPr="009E40F9">
        <w:rPr>
          <w:bCs/>
          <w:sz w:val="24"/>
          <w:szCs w:val="24"/>
        </w:rPr>
        <w:tab/>
        <w:t>NONDUPLICATION, CONSULTATIONS, AND OTHER COLLECTION CRITERIA</w:t>
      </w:r>
    </w:p>
    <w:p w:rsidR="008647F7" w:rsidRPr="009E40F9" w:rsidRDefault="008647F7">
      <w:pPr>
        <w:rPr>
          <w:sz w:val="24"/>
          <w:szCs w:val="24"/>
        </w:rPr>
      </w:pPr>
    </w:p>
    <w:p w:rsidR="008647F7" w:rsidRPr="009E40F9" w:rsidRDefault="008647F7">
      <w:pPr>
        <w:rPr>
          <w:sz w:val="24"/>
          <w:szCs w:val="24"/>
        </w:rPr>
      </w:pPr>
      <w:r w:rsidRPr="009E40F9">
        <w:rPr>
          <w:bCs/>
          <w:sz w:val="24"/>
          <w:szCs w:val="24"/>
        </w:rPr>
        <w:tab/>
        <w:t>3(a)</w:t>
      </w:r>
      <w:r w:rsidRPr="009E40F9">
        <w:rPr>
          <w:bCs/>
          <w:sz w:val="24"/>
          <w:szCs w:val="24"/>
        </w:rPr>
        <w:tab/>
        <w:t>Non-Duplication</w:t>
      </w:r>
    </w:p>
    <w:p w:rsidR="008647F7" w:rsidRPr="009E40F9" w:rsidRDefault="008647F7">
      <w:pPr>
        <w:rPr>
          <w:sz w:val="24"/>
          <w:szCs w:val="24"/>
        </w:rPr>
      </w:pPr>
    </w:p>
    <w:p w:rsidR="008647F7" w:rsidRPr="009E40F9" w:rsidRDefault="008647F7">
      <w:pPr>
        <w:rPr>
          <w:sz w:val="24"/>
          <w:szCs w:val="24"/>
        </w:rPr>
      </w:pPr>
      <w:r w:rsidRPr="009E40F9">
        <w:rPr>
          <w:sz w:val="24"/>
          <w:szCs w:val="24"/>
        </w:rPr>
        <w:tab/>
        <w:t>Efforts have been made to eliminate duplication in this information collection. Where possible, information requirements from various organizations within the Agency have been combined to minimize the submittal of duplicate information in different formats.  The information in this collection will not be available from another source.</w:t>
      </w:r>
      <w:r w:rsidR="00A748F7">
        <w:rPr>
          <w:sz w:val="24"/>
          <w:szCs w:val="24"/>
        </w:rPr>
        <w:t xml:space="preserve">  </w:t>
      </w:r>
      <w:r w:rsidRPr="009E40F9">
        <w:rPr>
          <w:sz w:val="24"/>
          <w:szCs w:val="24"/>
        </w:rPr>
        <w:t xml:space="preserve"> </w:t>
      </w:r>
    </w:p>
    <w:p w:rsidR="008647F7" w:rsidRPr="009E40F9" w:rsidRDefault="008647F7">
      <w:pPr>
        <w:rPr>
          <w:sz w:val="24"/>
          <w:szCs w:val="24"/>
        </w:rPr>
      </w:pPr>
    </w:p>
    <w:p w:rsidR="008647F7" w:rsidRPr="009E40F9" w:rsidRDefault="008647F7">
      <w:pPr>
        <w:rPr>
          <w:sz w:val="24"/>
          <w:szCs w:val="24"/>
        </w:rPr>
      </w:pPr>
      <w:r w:rsidRPr="009E40F9">
        <w:rPr>
          <w:sz w:val="24"/>
          <w:szCs w:val="24"/>
        </w:rPr>
        <w:tab/>
      </w:r>
    </w:p>
    <w:p w:rsidR="008647F7" w:rsidRPr="009E40F9" w:rsidRDefault="008647F7">
      <w:pPr>
        <w:rPr>
          <w:sz w:val="24"/>
          <w:szCs w:val="24"/>
        </w:rPr>
      </w:pPr>
      <w:r w:rsidRPr="009E40F9">
        <w:rPr>
          <w:sz w:val="24"/>
          <w:szCs w:val="24"/>
        </w:rPr>
        <w:tab/>
      </w:r>
      <w:r w:rsidRPr="009E40F9">
        <w:rPr>
          <w:bCs/>
          <w:sz w:val="24"/>
          <w:szCs w:val="24"/>
        </w:rPr>
        <w:t>3(b)</w:t>
      </w:r>
      <w:r w:rsidRPr="009E40F9">
        <w:rPr>
          <w:bCs/>
          <w:sz w:val="24"/>
          <w:szCs w:val="24"/>
        </w:rPr>
        <w:tab/>
        <w:t>Public Notice Prior to Submission to OMB</w:t>
      </w:r>
    </w:p>
    <w:p w:rsidR="008647F7" w:rsidRPr="009E40F9" w:rsidRDefault="008647F7">
      <w:pPr>
        <w:rPr>
          <w:sz w:val="24"/>
          <w:szCs w:val="24"/>
        </w:rPr>
      </w:pPr>
    </w:p>
    <w:p w:rsidR="008647F7" w:rsidRPr="009E40F9" w:rsidRDefault="008647F7">
      <w:pPr>
        <w:rPr>
          <w:sz w:val="24"/>
          <w:szCs w:val="24"/>
        </w:rPr>
      </w:pPr>
      <w:r w:rsidRPr="009E40F9">
        <w:rPr>
          <w:sz w:val="24"/>
          <w:szCs w:val="24"/>
        </w:rPr>
        <w:tab/>
      </w:r>
      <w:r w:rsidR="002A3F0D">
        <w:rPr>
          <w:sz w:val="24"/>
          <w:szCs w:val="24"/>
        </w:rPr>
        <w:t>On August 11, 2011, w</w:t>
      </w:r>
      <w:r w:rsidRPr="009E40F9">
        <w:rPr>
          <w:sz w:val="24"/>
          <w:szCs w:val="24"/>
        </w:rPr>
        <w:t xml:space="preserve">e </w:t>
      </w:r>
      <w:r w:rsidR="002A3F0D">
        <w:rPr>
          <w:sz w:val="24"/>
          <w:szCs w:val="24"/>
        </w:rPr>
        <w:t xml:space="preserve">published </w:t>
      </w:r>
      <w:r w:rsidRPr="009E40F9">
        <w:rPr>
          <w:sz w:val="24"/>
          <w:szCs w:val="24"/>
        </w:rPr>
        <w:t xml:space="preserve">a </w:t>
      </w:r>
      <w:r w:rsidRPr="009E40F9">
        <w:rPr>
          <w:sz w:val="24"/>
          <w:szCs w:val="24"/>
          <w:u w:val="single"/>
        </w:rPr>
        <w:t>Federal Register</w:t>
      </w:r>
      <w:r w:rsidRPr="009E40F9">
        <w:rPr>
          <w:sz w:val="24"/>
          <w:szCs w:val="24"/>
        </w:rPr>
        <w:t xml:space="preserve"> notifying parties that </w:t>
      </w:r>
      <w:r w:rsidR="007D645E" w:rsidRPr="009E40F9">
        <w:rPr>
          <w:sz w:val="24"/>
          <w:szCs w:val="24"/>
        </w:rPr>
        <w:t>announces are intention to renew this information collection, which will expire on December 31, 2011</w:t>
      </w:r>
      <w:r w:rsidRPr="009E40F9">
        <w:rPr>
          <w:sz w:val="24"/>
          <w:szCs w:val="24"/>
        </w:rPr>
        <w:t xml:space="preserve">.  </w:t>
      </w:r>
      <w:r w:rsidR="002A3F0D">
        <w:rPr>
          <w:sz w:val="24"/>
          <w:szCs w:val="24"/>
        </w:rPr>
        <w:t xml:space="preserve">We docketed a proposed supporting statement.  We provided a 60 day comment period.  No comments were received.  </w:t>
      </w:r>
    </w:p>
    <w:p w:rsidR="008647F7" w:rsidRPr="009E40F9" w:rsidRDefault="008647F7">
      <w:pPr>
        <w:rPr>
          <w:sz w:val="24"/>
          <w:szCs w:val="24"/>
        </w:rPr>
      </w:pPr>
      <w:r w:rsidRPr="009E40F9">
        <w:rPr>
          <w:sz w:val="24"/>
          <w:szCs w:val="24"/>
        </w:rPr>
        <w:tab/>
      </w:r>
      <w:r w:rsidRPr="009E40F9">
        <w:rPr>
          <w:sz w:val="24"/>
          <w:szCs w:val="24"/>
        </w:rPr>
        <w:tab/>
      </w:r>
      <w:r w:rsidRPr="009E40F9">
        <w:rPr>
          <w:sz w:val="24"/>
          <w:szCs w:val="24"/>
        </w:rPr>
        <w:tab/>
      </w:r>
    </w:p>
    <w:p w:rsidR="008647F7" w:rsidRPr="009E40F9" w:rsidRDefault="008647F7">
      <w:pPr>
        <w:rPr>
          <w:sz w:val="24"/>
          <w:szCs w:val="24"/>
        </w:rPr>
      </w:pPr>
      <w:r w:rsidRPr="009E40F9">
        <w:rPr>
          <w:bCs/>
          <w:sz w:val="24"/>
          <w:szCs w:val="24"/>
        </w:rPr>
        <w:tab/>
        <w:t>3(c)</w:t>
      </w:r>
      <w:r w:rsidRPr="009E40F9">
        <w:rPr>
          <w:bCs/>
          <w:sz w:val="24"/>
          <w:szCs w:val="24"/>
        </w:rPr>
        <w:tab/>
        <w:t>Consultations</w:t>
      </w:r>
    </w:p>
    <w:p w:rsidR="008647F7" w:rsidRPr="009E40F9" w:rsidRDefault="008647F7">
      <w:pPr>
        <w:rPr>
          <w:sz w:val="24"/>
          <w:szCs w:val="24"/>
        </w:rPr>
      </w:pPr>
    </w:p>
    <w:p w:rsidR="008647F7" w:rsidRPr="009E40F9" w:rsidRDefault="008647F7">
      <w:pPr>
        <w:rPr>
          <w:sz w:val="24"/>
          <w:szCs w:val="24"/>
        </w:rPr>
      </w:pPr>
      <w:r w:rsidRPr="009E40F9">
        <w:rPr>
          <w:sz w:val="24"/>
          <w:szCs w:val="24"/>
        </w:rPr>
        <w:tab/>
        <w:t xml:space="preserve">EPA </w:t>
      </w:r>
      <w:r w:rsidR="007D645E" w:rsidRPr="009E40F9">
        <w:rPr>
          <w:sz w:val="24"/>
          <w:szCs w:val="24"/>
        </w:rPr>
        <w:t xml:space="preserve">will discuss this </w:t>
      </w:r>
      <w:r w:rsidRPr="009E40F9">
        <w:rPr>
          <w:sz w:val="24"/>
          <w:szCs w:val="24"/>
        </w:rPr>
        <w:t>information collection with representatives of regulated industry</w:t>
      </w:r>
      <w:r w:rsidR="00DA44CB" w:rsidRPr="009E40F9">
        <w:rPr>
          <w:sz w:val="24"/>
          <w:szCs w:val="24"/>
        </w:rPr>
        <w:t>.</w:t>
      </w:r>
      <w:r w:rsidR="007D645E" w:rsidRPr="009E40F9">
        <w:rPr>
          <w:sz w:val="24"/>
          <w:szCs w:val="24"/>
        </w:rPr>
        <w:t xml:space="preserve">  We are soliciting comments via the Federal Register notice, as well.  This supporting statement and our estimates are being placed in the public docket.  </w:t>
      </w:r>
      <w:r w:rsidR="002A3F0D">
        <w:rPr>
          <w:sz w:val="24"/>
          <w:szCs w:val="24"/>
        </w:rPr>
        <w:t>On November 2</w:t>
      </w:r>
      <w:r w:rsidR="004E2F36">
        <w:rPr>
          <w:sz w:val="24"/>
          <w:szCs w:val="24"/>
        </w:rPr>
        <w:t>1</w:t>
      </w:r>
      <w:r w:rsidR="002A3F0D">
        <w:rPr>
          <w:sz w:val="24"/>
          <w:szCs w:val="24"/>
        </w:rPr>
        <w:t>, 2011, we sent the estimates to</w:t>
      </w:r>
      <w:r w:rsidR="004E2F36">
        <w:rPr>
          <w:sz w:val="24"/>
          <w:szCs w:val="24"/>
        </w:rPr>
        <w:t xml:space="preserve"> members of the regulated community</w:t>
      </w:r>
      <w:r w:rsidR="00EB48A0">
        <w:rPr>
          <w:sz w:val="24"/>
          <w:szCs w:val="24"/>
        </w:rPr>
        <w:t xml:space="preserve"> (Patrick Kelley, American Petroleum Institute and Tim Hogan, National Petrochemical Refiners Association [now American Fuel &amp; Petrochemical Manufacturers]</w:t>
      </w:r>
      <w:r w:rsidR="004E2F36">
        <w:rPr>
          <w:sz w:val="24"/>
          <w:szCs w:val="24"/>
        </w:rPr>
        <w:t xml:space="preserve"> in an effort to solicit input.  </w:t>
      </w:r>
      <w:r w:rsidR="00EB48A0">
        <w:rPr>
          <w:sz w:val="24"/>
          <w:szCs w:val="24"/>
        </w:rPr>
        <w:t xml:space="preserve">  The respondents expressed general agreement with the estimates in this supporting statement.</w:t>
      </w:r>
      <w:r w:rsidR="004E2F36">
        <w:rPr>
          <w:sz w:val="24"/>
          <w:szCs w:val="24"/>
        </w:rPr>
        <w:t xml:space="preserve">  </w:t>
      </w:r>
    </w:p>
    <w:p w:rsidR="008647F7" w:rsidRPr="009E40F9" w:rsidRDefault="008647F7">
      <w:pPr>
        <w:rPr>
          <w:sz w:val="24"/>
          <w:szCs w:val="24"/>
        </w:rPr>
      </w:pPr>
      <w:r w:rsidRPr="009E40F9">
        <w:rPr>
          <w:sz w:val="24"/>
          <w:szCs w:val="24"/>
        </w:rPr>
        <w:tab/>
      </w:r>
    </w:p>
    <w:p w:rsidR="008647F7" w:rsidRPr="009E40F9" w:rsidRDefault="008647F7">
      <w:pPr>
        <w:rPr>
          <w:sz w:val="24"/>
          <w:szCs w:val="24"/>
        </w:rPr>
      </w:pPr>
      <w:r w:rsidRPr="009E40F9">
        <w:rPr>
          <w:bCs/>
          <w:sz w:val="24"/>
          <w:szCs w:val="24"/>
        </w:rPr>
        <w:tab/>
        <w:t>3(d)</w:t>
      </w:r>
      <w:r w:rsidRPr="009E40F9">
        <w:rPr>
          <w:bCs/>
          <w:sz w:val="24"/>
          <w:szCs w:val="24"/>
        </w:rPr>
        <w:tab/>
        <w:t>Effect of Less Frequent Collection</w:t>
      </w:r>
    </w:p>
    <w:p w:rsidR="008647F7" w:rsidRPr="009E40F9" w:rsidRDefault="008647F7">
      <w:pPr>
        <w:rPr>
          <w:sz w:val="24"/>
          <w:szCs w:val="24"/>
        </w:rPr>
      </w:pPr>
    </w:p>
    <w:p w:rsidR="008647F7" w:rsidRPr="009E40F9" w:rsidRDefault="008647F7">
      <w:pPr>
        <w:rPr>
          <w:sz w:val="24"/>
          <w:szCs w:val="24"/>
        </w:rPr>
      </w:pPr>
      <w:r w:rsidRPr="009E40F9">
        <w:rPr>
          <w:sz w:val="24"/>
          <w:szCs w:val="24"/>
        </w:rPr>
        <w:tab/>
        <w:t>The diesel rule requires refiners and importers to submit annual reports which will, by the information contained therein, demonstrate a party’s compliance with the applicable sulfur standards.  Less frequent submittal of such reports would severely hinder EPA’s ability to monitor compliance, and would likely lead to noncompliance. In the case of the dye requirements, a less frequent collection is not practical, since the information must appear on product transfer documents at the time custody is transferred</w:t>
      </w:r>
      <w:r w:rsidR="00EB48A0">
        <w:rPr>
          <w:sz w:val="24"/>
          <w:szCs w:val="24"/>
        </w:rPr>
        <w:t>.  Several items of reporting are no longer applicable in this renewal.  Among the</w:t>
      </w:r>
      <w:r w:rsidR="00AB6F8A">
        <w:rPr>
          <w:sz w:val="24"/>
          <w:szCs w:val="24"/>
        </w:rPr>
        <w:t xml:space="preserve"> items no longer applicable,</w:t>
      </w:r>
      <w:r w:rsidR="00EB48A0">
        <w:rPr>
          <w:sz w:val="24"/>
          <w:szCs w:val="24"/>
        </w:rPr>
        <w:t xml:space="preserve"> are applications for small refiner or hardship applications</w:t>
      </w:r>
      <w:r w:rsidR="00AB6F8A">
        <w:rPr>
          <w:sz w:val="24"/>
          <w:szCs w:val="24"/>
        </w:rPr>
        <w:t xml:space="preserve"> and</w:t>
      </w:r>
      <w:r w:rsidR="00EB48A0">
        <w:rPr>
          <w:sz w:val="24"/>
          <w:szCs w:val="24"/>
        </w:rPr>
        <w:t xml:space="preserve"> </w:t>
      </w:r>
      <w:r w:rsidR="00AB6F8A">
        <w:rPr>
          <w:sz w:val="24"/>
          <w:szCs w:val="24"/>
        </w:rPr>
        <w:t xml:space="preserve">most reporting related to MV diesel (although, a small number of resubmissions are still possible).  As discussed above, we expect to receive very few </w:t>
      </w:r>
      <w:r w:rsidR="00AB6F8A">
        <w:rPr>
          <w:sz w:val="24"/>
          <w:szCs w:val="24"/>
        </w:rPr>
        <w:lastRenderedPageBreak/>
        <w:t xml:space="preserve">new applications for laboratory qualification on test methods.  The diesel regulation at 40 CFR Part 80, Subpart I, were written to automatically reduce recordkeeping and reporting burdens as higher sulfur fuel is phased out. </w:t>
      </w:r>
    </w:p>
    <w:p w:rsidR="007D645E" w:rsidRPr="009E40F9" w:rsidRDefault="007D645E">
      <w:pPr>
        <w:rPr>
          <w:sz w:val="24"/>
          <w:szCs w:val="24"/>
        </w:rPr>
      </w:pPr>
    </w:p>
    <w:p w:rsidR="008647F7" w:rsidRPr="009E40F9" w:rsidRDefault="008647F7">
      <w:pPr>
        <w:tabs>
          <w:tab w:val="left" w:pos="720"/>
          <w:tab w:val="left" w:pos="1440"/>
        </w:tabs>
        <w:ind w:left="1440" w:hanging="1440"/>
        <w:rPr>
          <w:sz w:val="24"/>
          <w:szCs w:val="24"/>
        </w:rPr>
      </w:pPr>
      <w:r w:rsidRPr="009E40F9">
        <w:rPr>
          <w:bCs/>
          <w:sz w:val="24"/>
          <w:szCs w:val="24"/>
        </w:rPr>
        <w:tab/>
        <w:t>3(e)</w:t>
      </w:r>
      <w:r w:rsidRPr="009E40F9">
        <w:rPr>
          <w:bCs/>
          <w:sz w:val="24"/>
          <w:szCs w:val="24"/>
        </w:rPr>
        <w:tab/>
        <w:t>General Guidelines</w:t>
      </w:r>
    </w:p>
    <w:p w:rsidR="008647F7" w:rsidRPr="009E40F9" w:rsidRDefault="008647F7">
      <w:pPr>
        <w:rPr>
          <w:sz w:val="24"/>
          <w:szCs w:val="24"/>
        </w:rPr>
      </w:pPr>
    </w:p>
    <w:p w:rsidR="008647F7" w:rsidRPr="009E40F9" w:rsidRDefault="008647F7">
      <w:pPr>
        <w:rPr>
          <w:sz w:val="24"/>
          <w:szCs w:val="24"/>
        </w:rPr>
      </w:pPr>
      <w:r w:rsidRPr="009E40F9">
        <w:rPr>
          <w:sz w:val="24"/>
          <w:szCs w:val="24"/>
        </w:rPr>
        <w:tab/>
        <w:t>The requirement requires record retention for five (5) years.  Th</w:t>
      </w:r>
      <w:r w:rsidR="00AB6F8A">
        <w:rPr>
          <w:sz w:val="24"/>
          <w:szCs w:val="24"/>
        </w:rPr>
        <w:t>is is the standard record retention period for all 40 CFR Part 80 fuels programs is five (5) years and th</w:t>
      </w:r>
      <w:r w:rsidRPr="009E40F9">
        <w:rPr>
          <w:sz w:val="24"/>
          <w:szCs w:val="24"/>
        </w:rPr>
        <w:t xml:space="preserve">e Agency believes this is important to the success of the program.  </w:t>
      </w:r>
      <w:r w:rsidR="00446646">
        <w:rPr>
          <w:sz w:val="24"/>
          <w:szCs w:val="24"/>
        </w:rPr>
        <w:t xml:space="preserve">Generation and retention of product transfer documents and other records occurs in the normal course of business (i.e., CBP).  </w:t>
      </w:r>
      <w:r w:rsidRPr="009E40F9">
        <w:rPr>
          <w:sz w:val="24"/>
          <w:szCs w:val="24"/>
        </w:rPr>
        <w:t xml:space="preserve">        </w:t>
      </w:r>
    </w:p>
    <w:p w:rsidR="008647F7" w:rsidRPr="009E40F9" w:rsidRDefault="008647F7">
      <w:pPr>
        <w:rPr>
          <w:sz w:val="24"/>
          <w:szCs w:val="24"/>
        </w:rPr>
      </w:pPr>
    </w:p>
    <w:p w:rsidR="008647F7" w:rsidRPr="009E40F9" w:rsidRDefault="008647F7">
      <w:pPr>
        <w:rPr>
          <w:sz w:val="24"/>
          <w:szCs w:val="24"/>
        </w:rPr>
      </w:pPr>
      <w:r w:rsidRPr="009E40F9">
        <w:rPr>
          <w:bCs/>
          <w:sz w:val="24"/>
          <w:szCs w:val="24"/>
        </w:rPr>
        <w:tab/>
        <w:t>3(f)</w:t>
      </w:r>
      <w:r w:rsidRPr="009E40F9">
        <w:rPr>
          <w:bCs/>
          <w:sz w:val="24"/>
          <w:szCs w:val="24"/>
        </w:rPr>
        <w:tab/>
        <w:t>Confidentiality</w:t>
      </w:r>
    </w:p>
    <w:p w:rsidR="008647F7" w:rsidRPr="009E40F9" w:rsidRDefault="008647F7">
      <w:pPr>
        <w:rPr>
          <w:sz w:val="24"/>
          <w:szCs w:val="24"/>
        </w:rPr>
      </w:pPr>
      <w:r w:rsidRPr="009E40F9">
        <w:rPr>
          <w:sz w:val="24"/>
          <w:szCs w:val="24"/>
        </w:rPr>
        <w:tab/>
      </w:r>
    </w:p>
    <w:p w:rsidR="008647F7" w:rsidRPr="009E40F9" w:rsidRDefault="008647F7">
      <w:pPr>
        <w:rPr>
          <w:sz w:val="24"/>
          <w:szCs w:val="24"/>
        </w:rPr>
      </w:pPr>
      <w:r w:rsidRPr="009E40F9">
        <w:rPr>
          <w:sz w:val="24"/>
          <w:szCs w:val="24"/>
        </w:rPr>
        <w:tab/>
      </w:r>
      <w:r w:rsidR="00446646">
        <w:rPr>
          <w:sz w:val="24"/>
          <w:szCs w:val="24"/>
        </w:rPr>
        <w:t xml:space="preserve">Information claimed as confidential business information (CBI) </w:t>
      </w:r>
      <w:r w:rsidRPr="009E40F9">
        <w:rPr>
          <w:sz w:val="24"/>
          <w:szCs w:val="24"/>
        </w:rPr>
        <w:t xml:space="preserve">is routinely submitted by </w:t>
      </w:r>
      <w:r w:rsidR="00446646">
        <w:rPr>
          <w:sz w:val="24"/>
          <w:szCs w:val="24"/>
        </w:rPr>
        <w:t xml:space="preserve">regulated parties </w:t>
      </w:r>
      <w:r w:rsidRPr="009E40F9">
        <w:rPr>
          <w:sz w:val="24"/>
          <w:szCs w:val="24"/>
        </w:rPr>
        <w:t>as part of</w:t>
      </w:r>
      <w:r w:rsidR="00446646">
        <w:rPr>
          <w:sz w:val="24"/>
          <w:szCs w:val="24"/>
        </w:rPr>
        <w:t xml:space="preserve"> compliance reports and applications for laboratory qualification</w:t>
      </w:r>
      <w:r w:rsidRPr="009E40F9">
        <w:rPr>
          <w:sz w:val="24"/>
          <w:szCs w:val="24"/>
        </w:rPr>
        <w:t>.  Confidentiality for such information is covered by established Agency procedures and the regulations at 40 CFR Part 2.</w:t>
      </w:r>
    </w:p>
    <w:p w:rsidR="008647F7" w:rsidRPr="009E40F9" w:rsidRDefault="008647F7">
      <w:pPr>
        <w:rPr>
          <w:sz w:val="24"/>
          <w:szCs w:val="24"/>
        </w:rPr>
      </w:pPr>
    </w:p>
    <w:p w:rsidR="008647F7" w:rsidRPr="009E40F9" w:rsidRDefault="008647F7">
      <w:pPr>
        <w:rPr>
          <w:sz w:val="24"/>
          <w:szCs w:val="24"/>
        </w:rPr>
      </w:pPr>
      <w:r w:rsidRPr="009E40F9">
        <w:rPr>
          <w:bCs/>
          <w:sz w:val="24"/>
          <w:szCs w:val="24"/>
        </w:rPr>
        <w:tab/>
        <w:t>3(g)</w:t>
      </w:r>
      <w:r w:rsidRPr="009E40F9">
        <w:rPr>
          <w:bCs/>
          <w:sz w:val="24"/>
          <w:szCs w:val="24"/>
        </w:rPr>
        <w:tab/>
        <w:t>Sensitive Questions</w:t>
      </w:r>
    </w:p>
    <w:p w:rsidR="008647F7" w:rsidRPr="009E40F9" w:rsidRDefault="008647F7">
      <w:pPr>
        <w:rPr>
          <w:sz w:val="24"/>
          <w:szCs w:val="24"/>
        </w:rPr>
      </w:pPr>
    </w:p>
    <w:p w:rsidR="008647F7" w:rsidRPr="009E40F9" w:rsidRDefault="008647F7">
      <w:pPr>
        <w:rPr>
          <w:bCs/>
          <w:sz w:val="24"/>
          <w:szCs w:val="24"/>
        </w:rPr>
      </w:pPr>
      <w:r w:rsidRPr="009E40F9">
        <w:rPr>
          <w:sz w:val="24"/>
          <w:szCs w:val="24"/>
        </w:rPr>
        <w:tab/>
        <w:t>No questions of a sensitive nature are asked in this information collection.</w:t>
      </w:r>
    </w:p>
    <w:p w:rsidR="008647F7" w:rsidRPr="009E40F9" w:rsidRDefault="008647F7">
      <w:pPr>
        <w:rPr>
          <w:bCs/>
          <w:sz w:val="24"/>
          <w:szCs w:val="24"/>
        </w:rPr>
      </w:pPr>
    </w:p>
    <w:p w:rsidR="008647F7" w:rsidRPr="009E40F9" w:rsidRDefault="008647F7">
      <w:pPr>
        <w:rPr>
          <w:sz w:val="24"/>
          <w:szCs w:val="24"/>
        </w:rPr>
      </w:pPr>
      <w:r w:rsidRPr="009E40F9">
        <w:rPr>
          <w:bCs/>
          <w:sz w:val="24"/>
          <w:szCs w:val="24"/>
        </w:rPr>
        <w:t>4.</w:t>
      </w:r>
      <w:r w:rsidRPr="009E40F9">
        <w:rPr>
          <w:bCs/>
          <w:sz w:val="24"/>
          <w:szCs w:val="24"/>
        </w:rPr>
        <w:tab/>
        <w:t>THE RESPONDENTS AND THE INFORMATION COLLECTED</w:t>
      </w:r>
    </w:p>
    <w:p w:rsidR="008647F7" w:rsidRPr="009E40F9" w:rsidRDefault="008647F7">
      <w:pPr>
        <w:rPr>
          <w:sz w:val="24"/>
          <w:szCs w:val="24"/>
        </w:rPr>
      </w:pPr>
    </w:p>
    <w:p w:rsidR="008647F7" w:rsidRPr="009E40F9" w:rsidRDefault="008647F7">
      <w:pPr>
        <w:rPr>
          <w:sz w:val="24"/>
          <w:szCs w:val="24"/>
        </w:rPr>
      </w:pPr>
      <w:r w:rsidRPr="009E40F9">
        <w:rPr>
          <w:bCs/>
          <w:sz w:val="24"/>
          <w:szCs w:val="24"/>
        </w:rPr>
        <w:tab/>
        <w:t>4(a)</w:t>
      </w:r>
      <w:r w:rsidRPr="009E40F9">
        <w:rPr>
          <w:bCs/>
          <w:sz w:val="24"/>
          <w:szCs w:val="24"/>
        </w:rPr>
        <w:tab/>
        <w:t>Respondents/SIC Codes</w:t>
      </w:r>
    </w:p>
    <w:p w:rsidR="008647F7" w:rsidRPr="009E40F9" w:rsidRDefault="008647F7">
      <w:pPr>
        <w:rPr>
          <w:sz w:val="24"/>
          <w:szCs w:val="24"/>
        </w:rPr>
      </w:pPr>
    </w:p>
    <w:p w:rsidR="008647F7" w:rsidRPr="009E40F9" w:rsidRDefault="008647F7">
      <w:pPr>
        <w:rPr>
          <w:sz w:val="24"/>
          <w:szCs w:val="24"/>
        </w:rPr>
      </w:pPr>
      <w:r w:rsidRPr="009E40F9">
        <w:rPr>
          <w:sz w:val="24"/>
          <w:szCs w:val="24"/>
        </w:rPr>
        <w:tab/>
        <w:t>The respondents to this information collection are:</w:t>
      </w:r>
    </w:p>
    <w:p w:rsidR="008647F7" w:rsidRPr="009E40F9" w:rsidRDefault="008647F7">
      <w:pPr>
        <w:tabs>
          <w:tab w:val="left" w:pos="720"/>
          <w:tab w:val="left" w:pos="1440"/>
        </w:tabs>
        <w:ind w:left="1440" w:hanging="1440"/>
        <w:rPr>
          <w:sz w:val="24"/>
          <w:szCs w:val="24"/>
        </w:rPr>
      </w:pPr>
      <w:r w:rsidRPr="009E40F9">
        <w:rPr>
          <w:sz w:val="24"/>
          <w:szCs w:val="24"/>
        </w:rPr>
        <w:tab/>
        <w:t>-</w:t>
      </w:r>
      <w:r w:rsidRPr="009E40F9">
        <w:rPr>
          <w:sz w:val="24"/>
          <w:szCs w:val="24"/>
        </w:rPr>
        <w:tab/>
        <w:t>Refiners (both domestic and foreign refiners who manufacture diesel for use in the U.S.)</w:t>
      </w:r>
    </w:p>
    <w:p w:rsidR="008647F7" w:rsidRPr="009E40F9" w:rsidRDefault="008647F7">
      <w:pPr>
        <w:tabs>
          <w:tab w:val="left" w:pos="720"/>
          <w:tab w:val="left" w:pos="1440"/>
        </w:tabs>
        <w:ind w:left="1440" w:hanging="720"/>
        <w:rPr>
          <w:sz w:val="24"/>
          <w:szCs w:val="24"/>
        </w:rPr>
      </w:pPr>
      <w:r w:rsidRPr="009E40F9">
        <w:rPr>
          <w:sz w:val="24"/>
          <w:szCs w:val="24"/>
        </w:rPr>
        <w:t>-</w:t>
      </w:r>
      <w:r w:rsidRPr="009E40F9">
        <w:rPr>
          <w:sz w:val="24"/>
          <w:szCs w:val="24"/>
        </w:rPr>
        <w:tab/>
        <w:t>Importers of diesel into the U. S.</w:t>
      </w:r>
      <w:r w:rsidRPr="009E40F9">
        <w:rPr>
          <w:sz w:val="24"/>
          <w:szCs w:val="24"/>
        </w:rPr>
        <w:tab/>
      </w:r>
      <w:r w:rsidRPr="009E40F9">
        <w:rPr>
          <w:sz w:val="24"/>
          <w:szCs w:val="24"/>
        </w:rPr>
        <w:tab/>
      </w:r>
    </w:p>
    <w:p w:rsidR="008647F7" w:rsidRPr="009E40F9" w:rsidRDefault="008647F7">
      <w:pPr>
        <w:tabs>
          <w:tab w:val="left" w:pos="720"/>
          <w:tab w:val="left" w:pos="1440"/>
        </w:tabs>
        <w:ind w:left="1440" w:hanging="720"/>
        <w:rPr>
          <w:sz w:val="24"/>
          <w:szCs w:val="24"/>
        </w:rPr>
      </w:pPr>
      <w:r w:rsidRPr="009E40F9">
        <w:rPr>
          <w:sz w:val="24"/>
          <w:szCs w:val="24"/>
        </w:rPr>
        <w:t>-</w:t>
      </w:r>
      <w:r w:rsidRPr="009E40F9">
        <w:rPr>
          <w:sz w:val="24"/>
          <w:szCs w:val="24"/>
        </w:rPr>
        <w:tab/>
        <w:t>Diesel distributors, carriers, wholesale purchaser-consumers, and retailers</w:t>
      </w:r>
    </w:p>
    <w:p w:rsidR="008647F7" w:rsidRPr="009E40F9" w:rsidRDefault="008647F7">
      <w:pPr>
        <w:tabs>
          <w:tab w:val="left" w:pos="720"/>
          <w:tab w:val="left" w:pos="1440"/>
        </w:tabs>
        <w:ind w:left="1440" w:hanging="720"/>
        <w:rPr>
          <w:sz w:val="24"/>
          <w:szCs w:val="24"/>
        </w:rPr>
      </w:pPr>
      <w:r w:rsidRPr="009E40F9">
        <w:rPr>
          <w:sz w:val="24"/>
          <w:szCs w:val="24"/>
        </w:rPr>
        <w:t>-</w:t>
      </w:r>
      <w:r w:rsidRPr="009E40F9">
        <w:rPr>
          <w:sz w:val="24"/>
          <w:szCs w:val="24"/>
        </w:rPr>
        <w:tab/>
        <w:t>Testing laboratories</w:t>
      </w:r>
    </w:p>
    <w:p w:rsidR="008647F7" w:rsidRPr="009E40F9" w:rsidRDefault="008647F7">
      <w:pPr>
        <w:rPr>
          <w:sz w:val="24"/>
          <w:szCs w:val="24"/>
        </w:rPr>
      </w:pPr>
    </w:p>
    <w:p w:rsidR="00033595" w:rsidRPr="009E40F9" w:rsidRDefault="008647F7">
      <w:pPr>
        <w:rPr>
          <w:sz w:val="24"/>
          <w:szCs w:val="24"/>
        </w:rPr>
      </w:pPr>
      <w:r w:rsidRPr="009E40F9">
        <w:rPr>
          <w:sz w:val="24"/>
          <w:szCs w:val="24"/>
        </w:rPr>
        <w:tab/>
        <w:t xml:space="preserve">Recordkeeping and, in some cases, reporting </w:t>
      </w:r>
      <w:r w:rsidR="003C0CAD" w:rsidRPr="009E40F9">
        <w:rPr>
          <w:sz w:val="24"/>
          <w:szCs w:val="24"/>
        </w:rPr>
        <w:t>is</w:t>
      </w:r>
      <w:r w:rsidRPr="009E40F9">
        <w:rPr>
          <w:sz w:val="24"/>
          <w:szCs w:val="24"/>
        </w:rPr>
        <w:t xml:space="preserve"> required by the following industries, </w:t>
      </w:r>
      <w:r w:rsidRPr="009E40F9">
        <w:rPr>
          <w:iCs/>
          <w:sz w:val="24"/>
          <w:szCs w:val="24"/>
        </w:rPr>
        <w:t>with SIC Code/2002 NAICS Code indicated</w:t>
      </w:r>
      <w:r w:rsidRPr="009E40F9">
        <w:rPr>
          <w:sz w:val="24"/>
          <w:szCs w:val="24"/>
        </w:rPr>
        <w:t xml:space="preserve">:  </w:t>
      </w:r>
    </w:p>
    <w:p w:rsidR="00033595" w:rsidRPr="009E40F9" w:rsidRDefault="00033595">
      <w:pPr>
        <w:rPr>
          <w:sz w:val="24"/>
          <w:szCs w:val="24"/>
        </w:rPr>
      </w:pPr>
      <w:r w:rsidRPr="009E40F9">
        <w:rPr>
          <w:sz w:val="24"/>
          <w:szCs w:val="24"/>
        </w:rPr>
        <w:t>R</w:t>
      </w:r>
      <w:r w:rsidR="008647F7" w:rsidRPr="009E40F9">
        <w:rPr>
          <w:sz w:val="24"/>
          <w:szCs w:val="24"/>
        </w:rPr>
        <w:t xml:space="preserve">efiners (2911/324110), </w:t>
      </w:r>
    </w:p>
    <w:p w:rsidR="00033595" w:rsidRPr="009E40F9" w:rsidRDefault="00033595">
      <w:pPr>
        <w:rPr>
          <w:sz w:val="24"/>
          <w:szCs w:val="24"/>
        </w:rPr>
      </w:pPr>
      <w:r w:rsidRPr="009E40F9">
        <w:rPr>
          <w:sz w:val="24"/>
          <w:szCs w:val="24"/>
        </w:rPr>
        <w:t>I</w:t>
      </w:r>
      <w:r w:rsidR="008647F7" w:rsidRPr="009E40F9">
        <w:rPr>
          <w:sz w:val="24"/>
          <w:szCs w:val="24"/>
        </w:rPr>
        <w:t xml:space="preserve">mporters (5172/424720), </w:t>
      </w:r>
    </w:p>
    <w:p w:rsidR="00033595" w:rsidRPr="009E40F9" w:rsidRDefault="00033595">
      <w:pPr>
        <w:rPr>
          <w:sz w:val="24"/>
          <w:szCs w:val="24"/>
        </w:rPr>
      </w:pPr>
      <w:r w:rsidRPr="009E40F9">
        <w:rPr>
          <w:sz w:val="24"/>
          <w:szCs w:val="24"/>
        </w:rPr>
        <w:t>P</w:t>
      </w:r>
      <w:r w:rsidR="008647F7" w:rsidRPr="009E40F9">
        <w:rPr>
          <w:sz w:val="24"/>
          <w:szCs w:val="24"/>
        </w:rPr>
        <w:t xml:space="preserve">ipelines (4613), </w:t>
      </w:r>
    </w:p>
    <w:p w:rsidR="00033595" w:rsidRPr="009E40F9" w:rsidRDefault="00033595">
      <w:pPr>
        <w:rPr>
          <w:sz w:val="24"/>
          <w:szCs w:val="24"/>
        </w:rPr>
      </w:pPr>
      <w:r w:rsidRPr="009E40F9">
        <w:rPr>
          <w:sz w:val="24"/>
          <w:szCs w:val="24"/>
        </w:rPr>
        <w:t>P</w:t>
      </w:r>
      <w:r w:rsidR="008647F7" w:rsidRPr="009E40F9">
        <w:rPr>
          <w:sz w:val="24"/>
          <w:szCs w:val="24"/>
        </w:rPr>
        <w:t>etroleum marketers and other distributors (5171</w:t>
      </w:r>
      <w:r w:rsidR="003C0CAD" w:rsidRPr="009E40F9">
        <w:rPr>
          <w:sz w:val="24"/>
          <w:szCs w:val="24"/>
        </w:rPr>
        <w:t>, 5172</w:t>
      </w:r>
      <w:r w:rsidR="008647F7" w:rsidRPr="009E40F9">
        <w:rPr>
          <w:sz w:val="24"/>
          <w:szCs w:val="24"/>
        </w:rPr>
        <w:t xml:space="preserve">/424710, 424720), </w:t>
      </w:r>
    </w:p>
    <w:p w:rsidR="00033595" w:rsidRPr="009E40F9" w:rsidRDefault="00033595">
      <w:pPr>
        <w:rPr>
          <w:sz w:val="24"/>
          <w:szCs w:val="24"/>
        </w:rPr>
      </w:pPr>
      <w:r w:rsidRPr="009E40F9">
        <w:rPr>
          <w:sz w:val="24"/>
          <w:szCs w:val="24"/>
        </w:rPr>
        <w:t>T</w:t>
      </w:r>
      <w:r w:rsidR="008647F7" w:rsidRPr="009E40F9">
        <w:rPr>
          <w:sz w:val="24"/>
          <w:szCs w:val="24"/>
        </w:rPr>
        <w:t xml:space="preserve">erminals (5171/424710), </w:t>
      </w:r>
    </w:p>
    <w:p w:rsidR="00033595" w:rsidRPr="009E40F9" w:rsidRDefault="00033595">
      <w:pPr>
        <w:rPr>
          <w:sz w:val="24"/>
          <w:szCs w:val="24"/>
        </w:rPr>
      </w:pPr>
      <w:r w:rsidRPr="009E40F9">
        <w:rPr>
          <w:sz w:val="24"/>
          <w:szCs w:val="24"/>
        </w:rPr>
        <w:t>F</w:t>
      </w:r>
      <w:r w:rsidR="008647F7" w:rsidRPr="009E40F9">
        <w:rPr>
          <w:sz w:val="24"/>
          <w:szCs w:val="24"/>
        </w:rPr>
        <w:t xml:space="preserve">uel oil dealers (5172/424720), </w:t>
      </w:r>
    </w:p>
    <w:p w:rsidR="00033595" w:rsidRPr="009E40F9" w:rsidRDefault="00033595">
      <w:pPr>
        <w:rPr>
          <w:sz w:val="24"/>
          <w:szCs w:val="24"/>
        </w:rPr>
      </w:pPr>
      <w:r w:rsidRPr="009E40F9">
        <w:rPr>
          <w:sz w:val="24"/>
          <w:szCs w:val="24"/>
        </w:rPr>
        <w:t>F</w:t>
      </w:r>
      <w:r w:rsidR="008647F7" w:rsidRPr="009E40F9">
        <w:rPr>
          <w:sz w:val="24"/>
          <w:szCs w:val="24"/>
        </w:rPr>
        <w:t xml:space="preserve">uel additive manufacturers (2911/424720), </w:t>
      </w:r>
    </w:p>
    <w:p w:rsidR="00033595" w:rsidRPr="009E40F9" w:rsidRDefault="00033595">
      <w:pPr>
        <w:rPr>
          <w:sz w:val="24"/>
          <w:szCs w:val="24"/>
        </w:rPr>
      </w:pPr>
      <w:r w:rsidRPr="009E40F9">
        <w:rPr>
          <w:sz w:val="24"/>
          <w:szCs w:val="24"/>
        </w:rPr>
        <w:t>P</w:t>
      </w:r>
      <w:r w:rsidR="008647F7" w:rsidRPr="009E40F9">
        <w:rPr>
          <w:sz w:val="24"/>
          <w:szCs w:val="24"/>
        </w:rPr>
        <w:t>etroleum retailers and wholesale purchaser-consumer</w:t>
      </w:r>
      <w:r w:rsidRPr="009E40F9">
        <w:rPr>
          <w:sz w:val="24"/>
          <w:szCs w:val="24"/>
        </w:rPr>
        <w:t>s (5171, 5172/424710</w:t>
      </w:r>
      <w:r w:rsidR="003C0CAD" w:rsidRPr="009E40F9">
        <w:rPr>
          <w:sz w:val="24"/>
          <w:szCs w:val="24"/>
        </w:rPr>
        <w:t>, 424720</w:t>
      </w:r>
      <w:r w:rsidRPr="009E40F9">
        <w:rPr>
          <w:sz w:val="24"/>
          <w:szCs w:val="24"/>
        </w:rPr>
        <w:t>)</w:t>
      </w:r>
    </w:p>
    <w:p w:rsidR="008647F7" w:rsidRPr="009E40F9" w:rsidRDefault="00033595">
      <w:pPr>
        <w:rPr>
          <w:sz w:val="24"/>
          <w:szCs w:val="24"/>
        </w:rPr>
      </w:pPr>
      <w:proofErr w:type="gramStart"/>
      <w:r w:rsidRPr="009E40F9">
        <w:rPr>
          <w:sz w:val="24"/>
          <w:szCs w:val="24"/>
        </w:rPr>
        <w:t>L</w:t>
      </w:r>
      <w:r w:rsidR="008647F7" w:rsidRPr="009E40F9">
        <w:rPr>
          <w:sz w:val="24"/>
          <w:szCs w:val="24"/>
        </w:rPr>
        <w:t>aboratories (8734/541380).</w:t>
      </w:r>
      <w:proofErr w:type="gramEnd"/>
    </w:p>
    <w:p w:rsidR="008647F7" w:rsidRPr="009E40F9" w:rsidRDefault="008647F7">
      <w:pPr>
        <w:rPr>
          <w:sz w:val="24"/>
          <w:szCs w:val="24"/>
        </w:rPr>
      </w:pPr>
    </w:p>
    <w:p w:rsidR="008647F7" w:rsidRPr="009E40F9" w:rsidRDefault="008647F7">
      <w:pPr>
        <w:rPr>
          <w:sz w:val="24"/>
          <w:szCs w:val="24"/>
        </w:rPr>
      </w:pPr>
      <w:r w:rsidRPr="009E40F9">
        <w:rPr>
          <w:sz w:val="24"/>
          <w:szCs w:val="24"/>
        </w:rPr>
        <w:tab/>
      </w:r>
      <w:r w:rsidRPr="009E40F9">
        <w:rPr>
          <w:sz w:val="24"/>
          <w:szCs w:val="24"/>
        </w:rPr>
        <w:tab/>
      </w:r>
      <w:r w:rsidRPr="009E40F9">
        <w:rPr>
          <w:sz w:val="24"/>
          <w:szCs w:val="24"/>
        </w:rPr>
        <w:tab/>
      </w:r>
      <w:r w:rsidRPr="009E40F9">
        <w:rPr>
          <w:sz w:val="24"/>
          <w:szCs w:val="24"/>
        </w:rPr>
        <w:tab/>
      </w:r>
      <w:r w:rsidRPr="009E40F9">
        <w:rPr>
          <w:sz w:val="24"/>
          <w:szCs w:val="24"/>
        </w:rPr>
        <w:tab/>
      </w:r>
      <w:r w:rsidRPr="009E40F9">
        <w:rPr>
          <w:sz w:val="24"/>
          <w:szCs w:val="24"/>
        </w:rPr>
        <w:tab/>
      </w:r>
      <w:r w:rsidRPr="009E40F9">
        <w:rPr>
          <w:sz w:val="24"/>
          <w:szCs w:val="24"/>
        </w:rPr>
        <w:tab/>
      </w:r>
      <w:r w:rsidRPr="009E40F9">
        <w:rPr>
          <w:sz w:val="24"/>
          <w:szCs w:val="24"/>
        </w:rPr>
        <w:tab/>
      </w:r>
    </w:p>
    <w:p w:rsidR="008647F7" w:rsidRPr="009E40F9" w:rsidRDefault="008647F7">
      <w:pPr>
        <w:tabs>
          <w:tab w:val="left" w:pos="720"/>
        </w:tabs>
        <w:ind w:left="720" w:hanging="720"/>
        <w:rPr>
          <w:sz w:val="24"/>
          <w:szCs w:val="24"/>
        </w:rPr>
      </w:pPr>
      <w:r w:rsidRPr="009E40F9">
        <w:rPr>
          <w:bCs/>
          <w:sz w:val="24"/>
          <w:szCs w:val="24"/>
        </w:rPr>
        <w:t>4(b)</w:t>
      </w:r>
      <w:r w:rsidRPr="009E40F9">
        <w:rPr>
          <w:bCs/>
          <w:sz w:val="24"/>
          <w:szCs w:val="24"/>
        </w:rPr>
        <w:tab/>
        <w:t>Information Requested</w:t>
      </w:r>
    </w:p>
    <w:p w:rsidR="008647F7" w:rsidRPr="009E40F9" w:rsidRDefault="008647F7">
      <w:pPr>
        <w:rPr>
          <w:sz w:val="24"/>
          <w:szCs w:val="24"/>
        </w:rPr>
      </w:pPr>
    </w:p>
    <w:p w:rsidR="008647F7" w:rsidRPr="009E40F9" w:rsidRDefault="008647F7">
      <w:pPr>
        <w:outlineLvl w:val="0"/>
        <w:rPr>
          <w:sz w:val="24"/>
          <w:szCs w:val="24"/>
        </w:rPr>
      </w:pPr>
      <w:r w:rsidRPr="009E40F9">
        <w:rPr>
          <w:sz w:val="24"/>
          <w:szCs w:val="24"/>
        </w:rPr>
        <w:t>1.  Data Items</w:t>
      </w:r>
    </w:p>
    <w:p w:rsidR="008647F7" w:rsidRPr="009E40F9" w:rsidRDefault="008647F7">
      <w:pPr>
        <w:rPr>
          <w:sz w:val="24"/>
          <w:szCs w:val="24"/>
        </w:rPr>
      </w:pPr>
    </w:p>
    <w:p w:rsidR="008647F7" w:rsidRPr="009E40F9" w:rsidRDefault="008647F7">
      <w:pPr>
        <w:rPr>
          <w:sz w:val="24"/>
          <w:szCs w:val="24"/>
        </w:rPr>
      </w:pPr>
      <w:r w:rsidRPr="009E40F9">
        <w:rPr>
          <w:sz w:val="24"/>
          <w:szCs w:val="24"/>
        </w:rPr>
        <w:t xml:space="preserve">Knowledge of the following definitions at 40 CFR Part </w:t>
      </w:r>
      <w:r w:rsidR="00446646">
        <w:rPr>
          <w:sz w:val="24"/>
          <w:szCs w:val="24"/>
        </w:rPr>
        <w:t xml:space="preserve">80, </w:t>
      </w:r>
      <w:r w:rsidR="00476745">
        <w:rPr>
          <w:sz w:val="24"/>
          <w:szCs w:val="24"/>
        </w:rPr>
        <w:t>Subpart A, § 80.2</w:t>
      </w:r>
      <w:r w:rsidR="00446646">
        <w:rPr>
          <w:sz w:val="24"/>
          <w:szCs w:val="24"/>
        </w:rPr>
        <w:t>,</w:t>
      </w:r>
      <w:r w:rsidRPr="009E40F9">
        <w:rPr>
          <w:sz w:val="24"/>
          <w:szCs w:val="24"/>
        </w:rPr>
        <w:t xml:space="preserve"> is important for a thorough understanding of the reporting and recordkeeping requirements:</w:t>
      </w:r>
    </w:p>
    <w:p w:rsidR="008647F7" w:rsidRPr="009E40F9" w:rsidRDefault="008647F7">
      <w:pPr>
        <w:rPr>
          <w:sz w:val="24"/>
          <w:szCs w:val="24"/>
        </w:rPr>
      </w:pPr>
    </w:p>
    <w:p w:rsidR="008647F7" w:rsidRDefault="008647F7">
      <w:pPr>
        <w:rPr>
          <w:sz w:val="24"/>
          <w:szCs w:val="24"/>
        </w:rPr>
      </w:pPr>
      <w:r w:rsidRPr="009E40F9">
        <w:rPr>
          <w:sz w:val="24"/>
          <w:szCs w:val="24"/>
        </w:rPr>
        <w:t>“Diesel fuel” means any fuel sold in any state or Territory of the United States and suitable for use in diesel motor vehicles, diesel motor vehicle engines or diesel non</w:t>
      </w:r>
      <w:r w:rsidR="004A3FDB">
        <w:rPr>
          <w:sz w:val="24"/>
          <w:szCs w:val="24"/>
        </w:rPr>
        <w:t>-</w:t>
      </w:r>
      <w:r w:rsidRPr="009E40F9">
        <w:rPr>
          <w:sz w:val="24"/>
          <w:szCs w:val="24"/>
        </w:rPr>
        <w:t>road engines, and which is commonly or commercially known or sold as diesel fuel.</w:t>
      </w:r>
    </w:p>
    <w:p w:rsidR="00476745" w:rsidRDefault="00476745">
      <w:pPr>
        <w:rPr>
          <w:sz w:val="24"/>
          <w:szCs w:val="24"/>
        </w:rPr>
      </w:pPr>
    </w:p>
    <w:p w:rsidR="00476745" w:rsidRPr="009E40F9" w:rsidRDefault="00476745">
      <w:pPr>
        <w:rPr>
          <w:sz w:val="24"/>
          <w:szCs w:val="24"/>
        </w:rPr>
      </w:pPr>
      <w:r>
        <w:rPr>
          <w:iCs/>
          <w:sz w:val="24"/>
          <w:szCs w:val="24"/>
        </w:rPr>
        <w:t>“</w:t>
      </w:r>
      <w:r w:rsidR="006204B0" w:rsidRPr="006204B0">
        <w:rPr>
          <w:iCs/>
          <w:sz w:val="24"/>
          <w:szCs w:val="24"/>
        </w:rPr>
        <w:t>Locomotive or marine (LM) diesel fuel</w:t>
      </w:r>
      <w:r>
        <w:rPr>
          <w:iCs/>
          <w:sz w:val="24"/>
          <w:szCs w:val="24"/>
        </w:rPr>
        <w:t>”</w:t>
      </w:r>
      <w:r w:rsidRPr="00476745">
        <w:rPr>
          <w:i/>
          <w:iCs/>
          <w:sz w:val="24"/>
          <w:szCs w:val="24"/>
        </w:rPr>
        <w:t xml:space="preserve"> </w:t>
      </w:r>
      <w:r w:rsidRPr="00476745">
        <w:rPr>
          <w:sz w:val="24"/>
          <w:szCs w:val="24"/>
        </w:rPr>
        <w:t>means any diesel fuel or other distillate fuel that is used, intended for use, or made available for use, as a fuel in locomotive or marine diesel engines, except for the following fuels:</w:t>
      </w:r>
    </w:p>
    <w:p w:rsidR="008647F7" w:rsidRPr="009E40F9" w:rsidRDefault="008647F7">
      <w:pPr>
        <w:rPr>
          <w:sz w:val="24"/>
          <w:szCs w:val="24"/>
        </w:rPr>
      </w:pPr>
    </w:p>
    <w:p w:rsidR="008647F7" w:rsidRDefault="008647F7">
      <w:pPr>
        <w:rPr>
          <w:sz w:val="24"/>
          <w:szCs w:val="24"/>
        </w:rPr>
      </w:pPr>
      <w:r w:rsidRPr="009E40F9">
        <w:rPr>
          <w:sz w:val="24"/>
          <w:szCs w:val="24"/>
        </w:rPr>
        <w:t xml:space="preserve">“Motor vehicle diesel fuel” </w:t>
      </w:r>
      <w:r w:rsidR="00446646">
        <w:rPr>
          <w:sz w:val="24"/>
          <w:szCs w:val="24"/>
        </w:rPr>
        <w:t xml:space="preserve">(MV diesel) </w:t>
      </w:r>
      <w:r w:rsidRPr="009E40F9">
        <w:rPr>
          <w:sz w:val="24"/>
          <w:szCs w:val="24"/>
        </w:rPr>
        <w:t>means any diesel fuel, or any distillate product, that is used, intended for use, or made available for use, as a fuel in diesel motor vehicles or diesel motor vehicle engines.</w:t>
      </w:r>
    </w:p>
    <w:p w:rsidR="00476745" w:rsidRDefault="00476745">
      <w:pPr>
        <w:rPr>
          <w:sz w:val="24"/>
          <w:szCs w:val="24"/>
        </w:rPr>
      </w:pPr>
    </w:p>
    <w:p w:rsidR="00476745" w:rsidRDefault="00476745">
      <w:pPr>
        <w:rPr>
          <w:sz w:val="24"/>
          <w:szCs w:val="24"/>
        </w:rPr>
      </w:pPr>
      <w:r>
        <w:rPr>
          <w:iCs/>
          <w:sz w:val="24"/>
          <w:szCs w:val="24"/>
        </w:rPr>
        <w:t>“</w:t>
      </w:r>
      <w:r w:rsidR="006204B0" w:rsidRPr="006204B0">
        <w:rPr>
          <w:iCs/>
          <w:sz w:val="24"/>
          <w:szCs w:val="24"/>
        </w:rPr>
        <w:t>Nonroad (NR) diesel fuel</w:t>
      </w:r>
      <w:r>
        <w:rPr>
          <w:iCs/>
          <w:sz w:val="24"/>
          <w:szCs w:val="24"/>
        </w:rPr>
        <w:t>”</w:t>
      </w:r>
      <w:r w:rsidRPr="00476745">
        <w:rPr>
          <w:i/>
          <w:iCs/>
          <w:sz w:val="24"/>
          <w:szCs w:val="24"/>
        </w:rPr>
        <w:t xml:space="preserve"> </w:t>
      </w:r>
      <w:r w:rsidRPr="00476745">
        <w:rPr>
          <w:sz w:val="24"/>
          <w:szCs w:val="24"/>
        </w:rPr>
        <w:t>means any NRLM diesel fuel that is not “locomotive or marine (LM) diesel fuel.”</w:t>
      </w:r>
    </w:p>
    <w:p w:rsidR="00476745" w:rsidRDefault="00476745">
      <w:pPr>
        <w:rPr>
          <w:sz w:val="24"/>
          <w:szCs w:val="24"/>
        </w:rPr>
      </w:pPr>
    </w:p>
    <w:p w:rsidR="008647F7" w:rsidRPr="009E40F9" w:rsidRDefault="00476745">
      <w:pPr>
        <w:rPr>
          <w:sz w:val="24"/>
          <w:szCs w:val="24"/>
        </w:rPr>
      </w:pPr>
      <w:r>
        <w:rPr>
          <w:iCs/>
          <w:sz w:val="24"/>
          <w:szCs w:val="24"/>
        </w:rPr>
        <w:t>“</w:t>
      </w:r>
      <w:r w:rsidR="006204B0" w:rsidRPr="006204B0">
        <w:rPr>
          <w:iCs/>
          <w:sz w:val="24"/>
          <w:szCs w:val="24"/>
        </w:rPr>
        <w:t>Nonroad, locomotive, or marine (NRLM) diesel fuel</w:t>
      </w:r>
      <w:r>
        <w:rPr>
          <w:iCs/>
          <w:sz w:val="24"/>
          <w:szCs w:val="24"/>
        </w:rPr>
        <w:t>”</w:t>
      </w:r>
      <w:r w:rsidRPr="00476745">
        <w:rPr>
          <w:i/>
          <w:iCs/>
          <w:sz w:val="24"/>
          <w:szCs w:val="24"/>
        </w:rPr>
        <w:t xml:space="preserve"> </w:t>
      </w:r>
      <w:r w:rsidRPr="00476745">
        <w:rPr>
          <w:sz w:val="24"/>
          <w:szCs w:val="24"/>
        </w:rPr>
        <w:t>means any diesel fuel or other distillate fuel that is used, intended for use, or made available for use, as a fuel in any nonroad diesel engines, including locomotive and marine diesel engines, except the following: Distillate fuel with a T90 at or above 700 °F that is used only in Category 2 and 3 marine engines is not NRLM diesel fuel, and ECA marine fuel is not NRLM diesel fuel (note that fuel that conforms to the requirements of NRLM diesel fuel is excluded from the definition of “ECA marine fuel” in this section without regard to its actual use). Use the distillation test method specified in 40 CFR 1065.1010 to determine the T90 of the fuel. NR diesel fuel and LM diesel fuel are subcategories of NRLM diesel fuel.</w:t>
      </w:r>
    </w:p>
    <w:p w:rsidR="008647F7" w:rsidRPr="009E40F9" w:rsidRDefault="008647F7">
      <w:pPr>
        <w:rPr>
          <w:sz w:val="24"/>
          <w:szCs w:val="24"/>
        </w:rPr>
      </w:pPr>
      <w:r w:rsidRPr="009E40F9">
        <w:rPr>
          <w:sz w:val="24"/>
          <w:szCs w:val="24"/>
        </w:rPr>
        <w:t>“Refinery” means a plant in the United States at which gasoline or diesel fuel is produced.</w:t>
      </w:r>
    </w:p>
    <w:p w:rsidR="008647F7" w:rsidRPr="009E40F9" w:rsidRDefault="008647F7">
      <w:pPr>
        <w:rPr>
          <w:sz w:val="24"/>
          <w:szCs w:val="24"/>
        </w:rPr>
      </w:pPr>
    </w:p>
    <w:p w:rsidR="008647F7" w:rsidRPr="009E40F9" w:rsidRDefault="008647F7">
      <w:pPr>
        <w:rPr>
          <w:sz w:val="24"/>
          <w:szCs w:val="24"/>
        </w:rPr>
      </w:pPr>
      <w:r w:rsidRPr="009E40F9">
        <w:rPr>
          <w:sz w:val="24"/>
          <w:szCs w:val="24"/>
        </w:rPr>
        <w:t>“Foreign refinery” means a refinery that is located outside the United States.</w:t>
      </w:r>
    </w:p>
    <w:p w:rsidR="008647F7" w:rsidRPr="009E40F9" w:rsidRDefault="008647F7">
      <w:pPr>
        <w:rPr>
          <w:sz w:val="24"/>
          <w:szCs w:val="24"/>
        </w:rPr>
      </w:pPr>
    </w:p>
    <w:p w:rsidR="008647F7" w:rsidRPr="009E40F9" w:rsidRDefault="008647F7">
      <w:pPr>
        <w:rPr>
          <w:sz w:val="24"/>
          <w:szCs w:val="24"/>
        </w:rPr>
      </w:pPr>
      <w:r w:rsidRPr="009E40F9">
        <w:rPr>
          <w:sz w:val="24"/>
          <w:szCs w:val="24"/>
        </w:rPr>
        <w:t xml:space="preserve">“Refiner” means any person who </w:t>
      </w:r>
      <w:r w:rsidR="003C0CAD" w:rsidRPr="009E40F9">
        <w:rPr>
          <w:sz w:val="24"/>
          <w:szCs w:val="24"/>
        </w:rPr>
        <w:t>owns</w:t>
      </w:r>
      <w:r w:rsidRPr="009E40F9">
        <w:rPr>
          <w:sz w:val="24"/>
          <w:szCs w:val="24"/>
        </w:rPr>
        <w:t xml:space="preserve"> leases, operates, controls, or supervises a refinery.</w:t>
      </w:r>
    </w:p>
    <w:p w:rsidR="008647F7" w:rsidRPr="009E40F9" w:rsidRDefault="008647F7">
      <w:pPr>
        <w:rPr>
          <w:sz w:val="24"/>
          <w:szCs w:val="24"/>
        </w:rPr>
      </w:pPr>
    </w:p>
    <w:p w:rsidR="008647F7" w:rsidRPr="009E40F9" w:rsidRDefault="008647F7">
      <w:pPr>
        <w:rPr>
          <w:sz w:val="24"/>
          <w:szCs w:val="24"/>
        </w:rPr>
      </w:pPr>
      <w:r w:rsidRPr="009E40F9">
        <w:rPr>
          <w:sz w:val="24"/>
          <w:szCs w:val="24"/>
        </w:rPr>
        <w:t>“Importer” means a person who imports gasoline, gasoline blending stocks or components, or diesel from a foreign country into the United States (including the Commonwealth of Puerto Rico, the Virgin Islands, Guam, American Samoa, and the Northern Mariana Islands.</w:t>
      </w:r>
    </w:p>
    <w:p w:rsidR="008647F7" w:rsidRPr="009E40F9" w:rsidRDefault="008647F7">
      <w:pPr>
        <w:rPr>
          <w:sz w:val="24"/>
          <w:szCs w:val="24"/>
        </w:rPr>
      </w:pPr>
    </w:p>
    <w:p w:rsidR="008647F7" w:rsidRPr="009E40F9" w:rsidRDefault="008647F7">
      <w:pPr>
        <w:rPr>
          <w:sz w:val="24"/>
          <w:szCs w:val="24"/>
        </w:rPr>
      </w:pPr>
      <w:r w:rsidRPr="009E40F9">
        <w:rPr>
          <w:sz w:val="24"/>
          <w:szCs w:val="24"/>
        </w:rPr>
        <w:t xml:space="preserve">“Sulfur percentage” is the percentage of sulfur in diesel fuel by weight, as determined using one </w:t>
      </w:r>
      <w:r w:rsidRPr="009E40F9">
        <w:rPr>
          <w:sz w:val="24"/>
          <w:szCs w:val="24"/>
        </w:rPr>
        <w:lastRenderedPageBreak/>
        <w:t>of the test methods specified in the regulations.</w:t>
      </w:r>
    </w:p>
    <w:p w:rsidR="008647F7" w:rsidRPr="009E40F9" w:rsidRDefault="008647F7">
      <w:pPr>
        <w:rPr>
          <w:sz w:val="24"/>
          <w:szCs w:val="24"/>
        </w:rPr>
      </w:pPr>
    </w:p>
    <w:p w:rsidR="008647F7" w:rsidRPr="009E40F9" w:rsidRDefault="008647F7">
      <w:pPr>
        <w:rPr>
          <w:sz w:val="24"/>
          <w:szCs w:val="24"/>
        </w:rPr>
      </w:pPr>
      <w:r w:rsidRPr="009E40F9">
        <w:rPr>
          <w:sz w:val="24"/>
          <w:szCs w:val="24"/>
        </w:rPr>
        <w:t xml:space="preserve">“Batch of motor vehicle diesel fuel” means a quantity of diesel fuel which is homogenous with regard to those properties that are specified for motor vehicle diesel fuel under 40 CFR subpart </w:t>
      </w:r>
      <w:proofErr w:type="gramStart"/>
      <w:r w:rsidRPr="009E40F9">
        <w:rPr>
          <w:sz w:val="24"/>
          <w:szCs w:val="24"/>
        </w:rPr>
        <w:t>I</w:t>
      </w:r>
      <w:proofErr w:type="gramEnd"/>
      <w:r w:rsidRPr="009E40F9">
        <w:rPr>
          <w:sz w:val="24"/>
          <w:szCs w:val="24"/>
        </w:rPr>
        <w:t>.</w:t>
      </w:r>
    </w:p>
    <w:p w:rsidR="008647F7" w:rsidRPr="009E40F9" w:rsidRDefault="008647F7">
      <w:pPr>
        <w:rPr>
          <w:sz w:val="24"/>
          <w:szCs w:val="24"/>
        </w:rPr>
      </w:pPr>
    </w:p>
    <w:p w:rsidR="008647F7" w:rsidRPr="009E40F9" w:rsidRDefault="008647F7">
      <w:pPr>
        <w:rPr>
          <w:sz w:val="24"/>
          <w:szCs w:val="24"/>
        </w:rPr>
      </w:pPr>
    </w:p>
    <w:p w:rsidR="008647F7" w:rsidRPr="009E40F9" w:rsidRDefault="008647F7">
      <w:pPr>
        <w:rPr>
          <w:sz w:val="24"/>
          <w:szCs w:val="24"/>
        </w:rPr>
      </w:pPr>
      <w:r w:rsidRPr="009E40F9">
        <w:rPr>
          <w:sz w:val="24"/>
          <w:szCs w:val="24"/>
        </w:rPr>
        <w:tab/>
      </w:r>
      <w:r w:rsidRPr="009E40F9">
        <w:rPr>
          <w:sz w:val="24"/>
          <w:szCs w:val="24"/>
        </w:rPr>
        <w:tab/>
      </w:r>
      <w:r w:rsidRPr="009E40F9">
        <w:rPr>
          <w:sz w:val="24"/>
          <w:szCs w:val="24"/>
        </w:rPr>
        <w:tab/>
      </w:r>
      <w:r w:rsidRPr="009E40F9">
        <w:rPr>
          <w:sz w:val="24"/>
          <w:szCs w:val="24"/>
        </w:rPr>
        <w:tab/>
      </w:r>
      <w:r w:rsidRPr="009E40F9">
        <w:rPr>
          <w:sz w:val="24"/>
          <w:szCs w:val="24"/>
        </w:rPr>
        <w:tab/>
      </w:r>
      <w:r w:rsidRPr="009E40F9">
        <w:rPr>
          <w:sz w:val="24"/>
          <w:szCs w:val="24"/>
        </w:rPr>
        <w:tab/>
      </w:r>
      <w:r w:rsidRPr="009E40F9">
        <w:rPr>
          <w:sz w:val="24"/>
          <w:szCs w:val="24"/>
        </w:rPr>
        <w:tab/>
      </w:r>
      <w:r w:rsidRPr="009E40F9">
        <w:rPr>
          <w:sz w:val="24"/>
          <w:szCs w:val="24"/>
        </w:rPr>
        <w:tab/>
      </w:r>
      <w:r w:rsidRPr="009E40F9">
        <w:rPr>
          <w:sz w:val="24"/>
          <w:szCs w:val="24"/>
        </w:rPr>
        <w:tab/>
      </w:r>
      <w:r w:rsidRPr="009E40F9">
        <w:rPr>
          <w:sz w:val="24"/>
          <w:szCs w:val="24"/>
        </w:rPr>
        <w:tab/>
      </w:r>
    </w:p>
    <w:p w:rsidR="008647F7" w:rsidRPr="009E40F9" w:rsidRDefault="008647F7">
      <w:pPr>
        <w:outlineLvl w:val="0"/>
        <w:rPr>
          <w:sz w:val="24"/>
          <w:szCs w:val="24"/>
        </w:rPr>
      </w:pPr>
      <w:r w:rsidRPr="009E40F9">
        <w:rPr>
          <w:sz w:val="24"/>
          <w:szCs w:val="24"/>
        </w:rPr>
        <w:t>2.  Recordkeeping and Reporting Requirements</w:t>
      </w:r>
    </w:p>
    <w:p w:rsidR="008647F7" w:rsidRPr="009E40F9" w:rsidRDefault="008647F7">
      <w:pPr>
        <w:rPr>
          <w:sz w:val="24"/>
          <w:szCs w:val="24"/>
        </w:rPr>
      </w:pPr>
    </w:p>
    <w:p w:rsidR="008647F7" w:rsidRPr="009E40F9" w:rsidRDefault="007D645E">
      <w:pPr>
        <w:numPr>
          <w:ilvl w:val="12"/>
          <w:numId w:val="0"/>
        </w:numPr>
        <w:rPr>
          <w:sz w:val="24"/>
          <w:szCs w:val="24"/>
        </w:rPr>
      </w:pPr>
      <w:r w:rsidRPr="009E40F9">
        <w:rPr>
          <w:sz w:val="24"/>
          <w:szCs w:val="24"/>
        </w:rPr>
        <w:t xml:space="preserve">Table I summarizes the information to be collected by form and respondent.  If no form exists, the information item is identified by party.  </w:t>
      </w:r>
      <w:r w:rsidR="0046446F">
        <w:rPr>
          <w:sz w:val="24"/>
          <w:szCs w:val="24"/>
        </w:rPr>
        <w:t>Please note that this supporting statement is organized by form, in order to present a format that regulated parties are familiar with.  This is different from prior ICR renewals for this series.</w:t>
      </w:r>
      <w:r w:rsidR="00016E92">
        <w:rPr>
          <w:sz w:val="24"/>
          <w:szCs w:val="24"/>
        </w:rPr>
        <w:t xml:space="preserve">  Each table entry includes a brief description of what is collected on each form.  Actual forms, with instructions, are posted </w:t>
      </w:r>
      <w:r w:rsidR="00086EBE">
        <w:rPr>
          <w:sz w:val="24"/>
          <w:szCs w:val="24"/>
        </w:rPr>
        <w:t xml:space="preserve">on the EPA website:  </w:t>
      </w:r>
      <w:r w:rsidR="00016E92">
        <w:rPr>
          <w:sz w:val="24"/>
          <w:szCs w:val="24"/>
        </w:rPr>
        <w:t xml:space="preserve"> </w:t>
      </w:r>
      <w:r w:rsidR="00016E92" w:rsidRPr="00016E92">
        <w:rPr>
          <w:sz w:val="24"/>
          <w:szCs w:val="24"/>
        </w:rPr>
        <w:t>http://www.epa.gov/otaq/fuels/reporting/diesel.htm</w:t>
      </w:r>
      <w:r w:rsidR="00AD0B54">
        <w:rPr>
          <w:sz w:val="24"/>
          <w:szCs w:val="24"/>
        </w:rPr>
        <w:t>.</w:t>
      </w:r>
      <w:r w:rsidR="0046446F">
        <w:rPr>
          <w:sz w:val="24"/>
          <w:szCs w:val="24"/>
        </w:rPr>
        <w:t xml:space="preserve">  </w:t>
      </w:r>
    </w:p>
    <w:p w:rsidR="007D645E" w:rsidRPr="009E40F9" w:rsidRDefault="007D645E">
      <w:pPr>
        <w:numPr>
          <w:ilvl w:val="12"/>
          <w:numId w:val="0"/>
        </w:numPr>
        <w:rPr>
          <w:sz w:val="24"/>
          <w:szCs w:val="24"/>
        </w:rPr>
      </w:pPr>
    </w:p>
    <w:p w:rsidR="007D645E" w:rsidRPr="009E40F9" w:rsidRDefault="007D645E">
      <w:pPr>
        <w:numPr>
          <w:ilvl w:val="12"/>
          <w:numId w:val="0"/>
        </w:numPr>
        <w:rPr>
          <w:sz w:val="24"/>
          <w:szCs w:val="24"/>
        </w:rPr>
      </w:pPr>
    </w:p>
    <w:p w:rsidR="008647F7" w:rsidRPr="009E40F9" w:rsidRDefault="008647F7">
      <w:pPr>
        <w:numPr>
          <w:ilvl w:val="12"/>
          <w:numId w:val="0"/>
        </w:numPr>
        <w:ind w:left="720" w:hanging="720"/>
        <w:rPr>
          <w:sz w:val="24"/>
          <w:szCs w:val="24"/>
        </w:rPr>
      </w:pPr>
      <w:r w:rsidRPr="009E40F9">
        <w:rPr>
          <w:bCs/>
          <w:sz w:val="24"/>
          <w:szCs w:val="24"/>
        </w:rPr>
        <w:t>5.  THE INFORMATION COLLECTED - AGENCY ACTIVITIES, COLLECTION METHODOLOGY, AND INFORMATION MANAGEMENT</w:t>
      </w:r>
    </w:p>
    <w:p w:rsidR="008647F7" w:rsidRPr="009E40F9" w:rsidRDefault="008647F7">
      <w:pPr>
        <w:numPr>
          <w:ilvl w:val="12"/>
          <w:numId w:val="0"/>
        </w:numPr>
        <w:rPr>
          <w:sz w:val="24"/>
          <w:szCs w:val="24"/>
        </w:rPr>
      </w:pPr>
    </w:p>
    <w:p w:rsidR="008647F7" w:rsidRPr="009E40F9" w:rsidRDefault="008647F7">
      <w:pPr>
        <w:numPr>
          <w:ilvl w:val="12"/>
          <w:numId w:val="0"/>
        </w:numPr>
        <w:tabs>
          <w:tab w:val="left" w:pos="720"/>
        </w:tabs>
        <w:ind w:left="720" w:hanging="720"/>
        <w:rPr>
          <w:sz w:val="24"/>
          <w:szCs w:val="24"/>
        </w:rPr>
      </w:pPr>
      <w:r w:rsidRPr="009E40F9">
        <w:rPr>
          <w:sz w:val="24"/>
          <w:szCs w:val="24"/>
        </w:rPr>
        <w:t>5(a)</w:t>
      </w:r>
      <w:r w:rsidRPr="009E40F9">
        <w:rPr>
          <w:sz w:val="24"/>
          <w:szCs w:val="24"/>
        </w:rPr>
        <w:tab/>
        <w:t>Agency Activities</w:t>
      </w:r>
      <w:r w:rsidRPr="009E40F9">
        <w:rPr>
          <w:sz w:val="24"/>
          <w:szCs w:val="24"/>
        </w:rPr>
        <w:tab/>
      </w:r>
      <w:r w:rsidRPr="009E40F9">
        <w:rPr>
          <w:sz w:val="24"/>
          <w:szCs w:val="24"/>
        </w:rPr>
        <w:tab/>
      </w:r>
      <w:r w:rsidRPr="009E40F9">
        <w:rPr>
          <w:sz w:val="24"/>
          <w:szCs w:val="24"/>
        </w:rPr>
        <w:tab/>
      </w:r>
      <w:r w:rsidRPr="009E40F9">
        <w:rPr>
          <w:sz w:val="24"/>
          <w:szCs w:val="24"/>
        </w:rPr>
        <w:tab/>
      </w:r>
      <w:r w:rsidRPr="009E40F9">
        <w:rPr>
          <w:sz w:val="24"/>
          <w:szCs w:val="24"/>
        </w:rPr>
        <w:tab/>
      </w:r>
      <w:r w:rsidRPr="009E40F9">
        <w:rPr>
          <w:sz w:val="24"/>
          <w:szCs w:val="24"/>
        </w:rPr>
        <w:tab/>
      </w:r>
      <w:r w:rsidRPr="009E40F9">
        <w:rPr>
          <w:sz w:val="24"/>
          <w:szCs w:val="24"/>
        </w:rPr>
        <w:tab/>
      </w:r>
    </w:p>
    <w:p w:rsidR="008647F7" w:rsidRPr="009E40F9" w:rsidRDefault="008647F7">
      <w:pPr>
        <w:numPr>
          <w:ilvl w:val="12"/>
          <w:numId w:val="0"/>
        </w:numPr>
        <w:rPr>
          <w:sz w:val="24"/>
          <w:szCs w:val="24"/>
        </w:rPr>
      </w:pPr>
    </w:p>
    <w:p w:rsidR="008647F7" w:rsidRPr="009E40F9" w:rsidRDefault="008647F7">
      <w:pPr>
        <w:widowControl/>
        <w:numPr>
          <w:ilvl w:val="0"/>
          <w:numId w:val="8"/>
        </w:numPr>
        <w:tabs>
          <w:tab w:val="clear" w:pos="720"/>
          <w:tab w:val="num" w:pos="1080"/>
        </w:tabs>
        <w:ind w:left="1080"/>
        <w:rPr>
          <w:sz w:val="24"/>
          <w:szCs w:val="24"/>
        </w:rPr>
      </w:pPr>
      <w:r w:rsidRPr="009E40F9">
        <w:rPr>
          <w:sz w:val="24"/>
          <w:szCs w:val="24"/>
        </w:rPr>
        <w:t>All reported compliance data will be reviewed by EPA.</w:t>
      </w:r>
    </w:p>
    <w:p w:rsidR="008647F7" w:rsidRPr="009E40F9" w:rsidRDefault="008647F7">
      <w:pPr>
        <w:widowControl/>
        <w:numPr>
          <w:ilvl w:val="0"/>
          <w:numId w:val="8"/>
        </w:numPr>
        <w:tabs>
          <w:tab w:val="clear" w:pos="720"/>
          <w:tab w:val="num" w:pos="1080"/>
        </w:tabs>
        <w:ind w:left="1080"/>
        <w:rPr>
          <w:sz w:val="24"/>
          <w:szCs w:val="24"/>
        </w:rPr>
      </w:pPr>
      <w:r w:rsidRPr="009E40F9">
        <w:rPr>
          <w:sz w:val="24"/>
          <w:szCs w:val="24"/>
        </w:rPr>
        <w:t>EPA will contact submitters about problem submissions.</w:t>
      </w:r>
    </w:p>
    <w:p w:rsidR="008647F7" w:rsidRPr="009E40F9" w:rsidRDefault="008647F7">
      <w:pPr>
        <w:widowControl/>
        <w:numPr>
          <w:ilvl w:val="0"/>
          <w:numId w:val="8"/>
        </w:numPr>
        <w:tabs>
          <w:tab w:val="clear" w:pos="720"/>
          <w:tab w:val="num" w:pos="1080"/>
        </w:tabs>
        <w:ind w:left="1080"/>
        <w:rPr>
          <w:sz w:val="24"/>
          <w:szCs w:val="24"/>
        </w:rPr>
      </w:pPr>
      <w:r w:rsidRPr="009E40F9">
        <w:rPr>
          <w:sz w:val="24"/>
          <w:szCs w:val="24"/>
        </w:rPr>
        <w:t>Where appropriate, we will prepare a written response to the submitter.</w:t>
      </w:r>
    </w:p>
    <w:p w:rsidR="008647F7" w:rsidRPr="009E40F9" w:rsidRDefault="008647F7">
      <w:pPr>
        <w:widowControl/>
        <w:numPr>
          <w:ilvl w:val="0"/>
          <w:numId w:val="8"/>
        </w:numPr>
        <w:tabs>
          <w:tab w:val="clear" w:pos="720"/>
          <w:tab w:val="num" w:pos="1080"/>
        </w:tabs>
        <w:ind w:left="1080"/>
        <w:rPr>
          <w:sz w:val="24"/>
          <w:szCs w:val="24"/>
        </w:rPr>
      </w:pPr>
      <w:r w:rsidRPr="009E40F9">
        <w:rPr>
          <w:sz w:val="24"/>
          <w:szCs w:val="24"/>
        </w:rPr>
        <w:t>The data will be stored.</w:t>
      </w:r>
    </w:p>
    <w:p w:rsidR="008647F7" w:rsidRPr="009E40F9" w:rsidRDefault="008647F7" w:rsidP="0040241B">
      <w:pPr>
        <w:pStyle w:val="Level1"/>
        <w:tabs>
          <w:tab w:val="left" w:pos="720"/>
        </w:tabs>
        <w:ind w:left="0"/>
        <w:jc w:val="left"/>
      </w:pPr>
      <w:r w:rsidRPr="009E40F9">
        <w:tab/>
      </w:r>
    </w:p>
    <w:p w:rsidR="008647F7" w:rsidRPr="009E40F9" w:rsidRDefault="008647F7">
      <w:pPr>
        <w:numPr>
          <w:ilvl w:val="12"/>
          <w:numId w:val="0"/>
        </w:numPr>
        <w:tabs>
          <w:tab w:val="left" w:pos="720"/>
          <w:tab w:val="left" w:pos="1440"/>
        </w:tabs>
        <w:ind w:left="1440" w:hanging="1440"/>
        <w:rPr>
          <w:sz w:val="24"/>
          <w:szCs w:val="24"/>
        </w:rPr>
      </w:pPr>
      <w:r w:rsidRPr="009E40F9">
        <w:rPr>
          <w:sz w:val="24"/>
          <w:szCs w:val="24"/>
        </w:rPr>
        <w:tab/>
        <w:t>5(b)</w:t>
      </w:r>
      <w:r w:rsidRPr="009E40F9">
        <w:rPr>
          <w:sz w:val="24"/>
          <w:szCs w:val="24"/>
        </w:rPr>
        <w:tab/>
        <w:t>Collection Methodology and Management</w:t>
      </w:r>
    </w:p>
    <w:p w:rsidR="008647F7" w:rsidRPr="009E40F9" w:rsidRDefault="008647F7">
      <w:pPr>
        <w:numPr>
          <w:ilvl w:val="12"/>
          <w:numId w:val="0"/>
        </w:numPr>
        <w:rPr>
          <w:sz w:val="24"/>
          <w:szCs w:val="24"/>
        </w:rPr>
      </w:pPr>
    </w:p>
    <w:p w:rsidR="009E40F9" w:rsidRPr="009E40F9" w:rsidRDefault="008647F7">
      <w:pPr>
        <w:numPr>
          <w:ilvl w:val="12"/>
          <w:numId w:val="0"/>
        </w:numPr>
        <w:rPr>
          <w:sz w:val="24"/>
          <w:szCs w:val="24"/>
        </w:rPr>
      </w:pPr>
      <w:r w:rsidRPr="009E40F9">
        <w:rPr>
          <w:sz w:val="24"/>
          <w:szCs w:val="24"/>
        </w:rPr>
        <w:tab/>
        <w:t xml:space="preserve">EPA  </w:t>
      </w:r>
      <w:r w:rsidR="009E40F9" w:rsidRPr="009E40F9">
        <w:rPr>
          <w:sz w:val="24"/>
          <w:szCs w:val="24"/>
        </w:rPr>
        <w:t xml:space="preserve">accepts </w:t>
      </w:r>
      <w:r w:rsidRPr="009E40F9">
        <w:rPr>
          <w:sz w:val="24"/>
          <w:szCs w:val="24"/>
        </w:rPr>
        <w:t xml:space="preserve">common electronic formats for most of the reporting requirements - for example, annual reports may be submitted in any of several commercial spreadsheet formats or, more simply, as comma-delimited text/comma-separated value fields. </w:t>
      </w:r>
    </w:p>
    <w:p w:rsidR="008647F7" w:rsidRPr="009E40F9" w:rsidRDefault="008647F7">
      <w:pPr>
        <w:numPr>
          <w:ilvl w:val="12"/>
          <w:numId w:val="0"/>
        </w:numPr>
        <w:rPr>
          <w:sz w:val="24"/>
          <w:szCs w:val="24"/>
        </w:rPr>
      </w:pPr>
      <w:r w:rsidRPr="009E40F9">
        <w:rPr>
          <w:sz w:val="24"/>
          <w:szCs w:val="24"/>
        </w:rPr>
        <w:t xml:space="preserve"> </w:t>
      </w:r>
    </w:p>
    <w:p w:rsidR="008647F7" w:rsidRPr="009E40F9" w:rsidRDefault="008647F7">
      <w:pPr>
        <w:numPr>
          <w:ilvl w:val="12"/>
          <w:numId w:val="0"/>
        </w:numPr>
        <w:rPr>
          <w:sz w:val="24"/>
          <w:szCs w:val="24"/>
        </w:rPr>
      </w:pPr>
      <w:r w:rsidRPr="009E40F9">
        <w:rPr>
          <w:sz w:val="24"/>
          <w:szCs w:val="24"/>
        </w:rPr>
        <w:tab/>
        <w:t>The product transfer document information can be included on standard transfer documentation customarily used in the ordinary course of business</w:t>
      </w:r>
      <w:r w:rsidR="009E40F9" w:rsidRPr="009E40F9">
        <w:rPr>
          <w:sz w:val="24"/>
          <w:szCs w:val="24"/>
        </w:rPr>
        <w:t xml:space="preserve"> (i.e., CBP)</w:t>
      </w:r>
      <w:r w:rsidRPr="009E40F9">
        <w:rPr>
          <w:sz w:val="24"/>
          <w:szCs w:val="24"/>
        </w:rPr>
        <w:t>.  EPA allows the information to be encoded by upstream parties (refiners, importers, and terminals) to facilitate reporting and save space.</w:t>
      </w:r>
      <w:r w:rsidR="0046446F">
        <w:rPr>
          <w:sz w:val="24"/>
          <w:szCs w:val="24"/>
        </w:rPr>
        <w:t xml:space="preserve">  The use of codes and pre-programmed statements is common and accepted in industry and permits an automated process for generating PTDs.  This ICR renewal does not include any estimate for programming codes, since all codes already exist.  </w:t>
      </w:r>
      <w:r w:rsidRPr="009E40F9">
        <w:rPr>
          <w:sz w:val="24"/>
          <w:szCs w:val="24"/>
        </w:rPr>
        <w:tab/>
      </w:r>
      <w:r w:rsidRPr="009E40F9">
        <w:rPr>
          <w:sz w:val="24"/>
          <w:szCs w:val="24"/>
        </w:rPr>
        <w:tab/>
      </w:r>
      <w:r w:rsidRPr="009E40F9">
        <w:rPr>
          <w:sz w:val="24"/>
          <w:szCs w:val="24"/>
        </w:rPr>
        <w:tab/>
      </w:r>
      <w:r w:rsidRPr="009E40F9">
        <w:rPr>
          <w:sz w:val="24"/>
          <w:szCs w:val="24"/>
        </w:rPr>
        <w:tab/>
      </w:r>
      <w:r w:rsidRPr="009E40F9">
        <w:rPr>
          <w:sz w:val="24"/>
          <w:szCs w:val="24"/>
        </w:rPr>
        <w:tab/>
      </w:r>
      <w:r w:rsidRPr="009E40F9">
        <w:rPr>
          <w:sz w:val="24"/>
          <w:szCs w:val="24"/>
        </w:rPr>
        <w:tab/>
      </w:r>
    </w:p>
    <w:p w:rsidR="008647F7" w:rsidRPr="009E40F9" w:rsidRDefault="008647F7">
      <w:pPr>
        <w:numPr>
          <w:ilvl w:val="12"/>
          <w:numId w:val="0"/>
        </w:numPr>
        <w:rPr>
          <w:sz w:val="24"/>
          <w:szCs w:val="24"/>
        </w:rPr>
      </w:pPr>
      <w:r w:rsidRPr="009E40F9">
        <w:rPr>
          <w:sz w:val="24"/>
          <w:szCs w:val="24"/>
        </w:rPr>
        <w:tab/>
        <w:t xml:space="preserve">The information is carefully reviewed for compliance with the requirements.  Most of the information submitted to the Agency is claimed as business confidential.  It is stored in a secure area and </w:t>
      </w:r>
      <w:r w:rsidR="009E40F9" w:rsidRPr="009E40F9">
        <w:rPr>
          <w:sz w:val="24"/>
          <w:szCs w:val="24"/>
        </w:rPr>
        <w:t>i</w:t>
      </w:r>
      <w:r w:rsidRPr="009E40F9">
        <w:rPr>
          <w:sz w:val="24"/>
          <w:szCs w:val="24"/>
        </w:rPr>
        <w:t xml:space="preserve">n </w:t>
      </w:r>
      <w:r w:rsidR="009E40F9" w:rsidRPr="009E40F9">
        <w:rPr>
          <w:sz w:val="24"/>
          <w:szCs w:val="24"/>
        </w:rPr>
        <w:t xml:space="preserve">a </w:t>
      </w:r>
      <w:r w:rsidRPr="009E40F9">
        <w:rPr>
          <w:sz w:val="24"/>
          <w:szCs w:val="24"/>
        </w:rPr>
        <w:t>secure database.</w:t>
      </w:r>
    </w:p>
    <w:p w:rsidR="008647F7" w:rsidRPr="009E40F9" w:rsidRDefault="008647F7">
      <w:pPr>
        <w:numPr>
          <w:ilvl w:val="12"/>
          <w:numId w:val="0"/>
        </w:numPr>
        <w:rPr>
          <w:sz w:val="24"/>
          <w:szCs w:val="24"/>
        </w:rPr>
      </w:pPr>
    </w:p>
    <w:p w:rsidR="008647F7" w:rsidRPr="009E40F9" w:rsidRDefault="008647F7">
      <w:pPr>
        <w:numPr>
          <w:ilvl w:val="12"/>
          <w:numId w:val="0"/>
        </w:numPr>
        <w:tabs>
          <w:tab w:val="left" w:pos="720"/>
          <w:tab w:val="left" w:pos="1440"/>
        </w:tabs>
        <w:ind w:left="1440" w:hanging="1440"/>
        <w:rPr>
          <w:sz w:val="24"/>
          <w:szCs w:val="24"/>
        </w:rPr>
      </w:pPr>
      <w:r w:rsidRPr="009E40F9">
        <w:rPr>
          <w:sz w:val="24"/>
          <w:szCs w:val="24"/>
        </w:rPr>
        <w:lastRenderedPageBreak/>
        <w:tab/>
      </w:r>
      <w:proofErr w:type="gramStart"/>
      <w:r w:rsidRPr="009E40F9">
        <w:rPr>
          <w:sz w:val="24"/>
          <w:szCs w:val="24"/>
        </w:rPr>
        <w:t>5(c)</w:t>
      </w:r>
      <w:r w:rsidRPr="009E40F9">
        <w:rPr>
          <w:sz w:val="24"/>
          <w:szCs w:val="24"/>
        </w:rPr>
        <w:tab/>
        <w:t>Small Entity Flexibility</w:t>
      </w:r>
      <w:proofErr w:type="gramEnd"/>
    </w:p>
    <w:p w:rsidR="008647F7" w:rsidRPr="009E40F9" w:rsidRDefault="008647F7">
      <w:pPr>
        <w:numPr>
          <w:ilvl w:val="12"/>
          <w:numId w:val="0"/>
        </w:numPr>
        <w:rPr>
          <w:sz w:val="24"/>
          <w:szCs w:val="24"/>
        </w:rPr>
      </w:pPr>
    </w:p>
    <w:p w:rsidR="008647F7" w:rsidRPr="00AD0B54" w:rsidRDefault="008647F7">
      <w:pPr>
        <w:numPr>
          <w:ilvl w:val="12"/>
          <w:numId w:val="0"/>
        </w:numPr>
        <w:rPr>
          <w:strike/>
          <w:sz w:val="24"/>
          <w:szCs w:val="24"/>
        </w:rPr>
      </w:pPr>
      <w:r w:rsidRPr="009E40F9">
        <w:rPr>
          <w:sz w:val="24"/>
          <w:szCs w:val="24"/>
        </w:rPr>
        <w:tab/>
        <w:t xml:space="preserve">The information </w:t>
      </w:r>
      <w:proofErr w:type="gramStart"/>
      <w:r w:rsidRPr="009E40F9">
        <w:rPr>
          <w:sz w:val="24"/>
          <w:szCs w:val="24"/>
        </w:rPr>
        <w:t>collection reduces to the extent practicable and appropriate</w:t>
      </w:r>
      <w:proofErr w:type="gramEnd"/>
      <w:r w:rsidRPr="009E40F9">
        <w:rPr>
          <w:sz w:val="24"/>
          <w:szCs w:val="24"/>
        </w:rPr>
        <w:t xml:space="preserve"> the burden on respondents, including small entities.  The major reporting requirements apply to refiners and importers of diesel, which are not usually small businesses</w:t>
      </w:r>
      <w:r w:rsidR="00334AED">
        <w:rPr>
          <w:sz w:val="24"/>
          <w:szCs w:val="24"/>
        </w:rPr>
        <w:t>.</w:t>
      </w:r>
      <w:r w:rsidR="006204B0" w:rsidRPr="006204B0">
        <w:rPr>
          <w:strike/>
          <w:sz w:val="24"/>
          <w:szCs w:val="24"/>
        </w:rPr>
        <w:t xml:space="preserve"> </w:t>
      </w:r>
    </w:p>
    <w:p w:rsidR="008647F7" w:rsidRPr="009E40F9" w:rsidRDefault="008647F7">
      <w:pPr>
        <w:numPr>
          <w:ilvl w:val="12"/>
          <w:numId w:val="0"/>
        </w:numPr>
        <w:rPr>
          <w:sz w:val="24"/>
          <w:szCs w:val="24"/>
        </w:rPr>
      </w:pPr>
    </w:p>
    <w:p w:rsidR="008647F7" w:rsidRPr="009E40F9" w:rsidRDefault="008647F7">
      <w:pPr>
        <w:numPr>
          <w:ilvl w:val="12"/>
          <w:numId w:val="0"/>
        </w:numPr>
        <w:rPr>
          <w:sz w:val="24"/>
          <w:szCs w:val="24"/>
        </w:rPr>
      </w:pPr>
      <w:r w:rsidRPr="009E40F9">
        <w:rPr>
          <w:bCs/>
          <w:sz w:val="24"/>
          <w:szCs w:val="24"/>
        </w:rPr>
        <w:t>6.</w:t>
      </w:r>
      <w:r w:rsidRPr="009E40F9">
        <w:rPr>
          <w:bCs/>
          <w:sz w:val="24"/>
          <w:szCs w:val="24"/>
        </w:rPr>
        <w:tab/>
        <w:t>ESTIMATING THE BURDEN AND COST OF THE COLLECTION</w:t>
      </w:r>
    </w:p>
    <w:p w:rsidR="008647F7" w:rsidRPr="009E40F9" w:rsidRDefault="008647F7">
      <w:pPr>
        <w:numPr>
          <w:ilvl w:val="12"/>
          <w:numId w:val="0"/>
        </w:numPr>
        <w:rPr>
          <w:sz w:val="24"/>
          <w:szCs w:val="24"/>
        </w:rPr>
      </w:pPr>
    </w:p>
    <w:p w:rsidR="009E40F9" w:rsidRPr="009E40F9" w:rsidRDefault="008647F7" w:rsidP="009E40F9">
      <w:pPr>
        <w:numPr>
          <w:ilvl w:val="12"/>
          <w:numId w:val="0"/>
        </w:numPr>
        <w:rPr>
          <w:bCs/>
          <w:sz w:val="24"/>
          <w:szCs w:val="24"/>
        </w:rPr>
      </w:pPr>
      <w:r w:rsidRPr="009E40F9">
        <w:rPr>
          <w:bCs/>
          <w:sz w:val="24"/>
          <w:szCs w:val="24"/>
        </w:rPr>
        <w:tab/>
      </w:r>
      <w:r w:rsidR="009E40F9" w:rsidRPr="009E40F9">
        <w:rPr>
          <w:bCs/>
          <w:sz w:val="24"/>
          <w:szCs w:val="24"/>
        </w:rPr>
        <w:t>6.</w:t>
      </w:r>
      <w:r w:rsidR="009E40F9" w:rsidRPr="009E40F9">
        <w:rPr>
          <w:bCs/>
          <w:sz w:val="24"/>
          <w:szCs w:val="24"/>
        </w:rPr>
        <w:tab/>
      </w:r>
      <w:r w:rsidR="009E40F9" w:rsidRPr="009E40F9">
        <w:rPr>
          <w:bCs/>
          <w:sz w:val="24"/>
          <w:szCs w:val="24"/>
          <w:u w:val="single"/>
        </w:rPr>
        <w:t>Estimating the Burden and Cost of Collection</w:t>
      </w:r>
    </w:p>
    <w:p w:rsidR="009E40F9" w:rsidRPr="009E40F9" w:rsidRDefault="009E40F9" w:rsidP="009E40F9">
      <w:pPr>
        <w:numPr>
          <w:ilvl w:val="12"/>
          <w:numId w:val="0"/>
        </w:numPr>
        <w:rPr>
          <w:bCs/>
          <w:sz w:val="24"/>
          <w:szCs w:val="24"/>
        </w:rPr>
      </w:pPr>
    </w:p>
    <w:p w:rsidR="009E40F9" w:rsidRPr="009E40F9" w:rsidRDefault="009E40F9" w:rsidP="009E40F9">
      <w:pPr>
        <w:numPr>
          <w:ilvl w:val="12"/>
          <w:numId w:val="0"/>
        </w:numPr>
        <w:rPr>
          <w:bCs/>
          <w:sz w:val="24"/>
          <w:szCs w:val="24"/>
        </w:rPr>
      </w:pPr>
      <w:r w:rsidRPr="009E40F9">
        <w:rPr>
          <w:bCs/>
          <w:sz w:val="24"/>
          <w:szCs w:val="24"/>
        </w:rPr>
        <w:t>a.</w:t>
      </w:r>
      <w:r w:rsidRPr="009E40F9">
        <w:rPr>
          <w:bCs/>
          <w:sz w:val="24"/>
          <w:szCs w:val="24"/>
        </w:rPr>
        <w:tab/>
        <w:t xml:space="preserve">Estimating the Respondent Universe </w:t>
      </w:r>
    </w:p>
    <w:p w:rsidR="009E40F9" w:rsidRPr="009E40F9" w:rsidRDefault="009E40F9" w:rsidP="009E40F9">
      <w:pPr>
        <w:numPr>
          <w:ilvl w:val="12"/>
          <w:numId w:val="0"/>
        </w:numPr>
        <w:rPr>
          <w:bCs/>
          <w:sz w:val="24"/>
          <w:szCs w:val="24"/>
        </w:rPr>
      </w:pPr>
    </w:p>
    <w:p w:rsidR="009E40F9" w:rsidRPr="009E40F9" w:rsidRDefault="009E40F9" w:rsidP="009E40F9">
      <w:pPr>
        <w:numPr>
          <w:ilvl w:val="12"/>
          <w:numId w:val="0"/>
        </w:numPr>
        <w:rPr>
          <w:bCs/>
          <w:sz w:val="24"/>
          <w:szCs w:val="24"/>
        </w:rPr>
      </w:pPr>
      <w:r w:rsidRPr="009E40F9">
        <w:rPr>
          <w:bCs/>
          <w:sz w:val="24"/>
          <w:szCs w:val="24"/>
        </w:rPr>
        <w:tab/>
        <w:t xml:space="preserve">We drew upon experience implementing similar regulations among the same and similar entities to develop estimates of the burden associated with this collection.  </w:t>
      </w:r>
      <w:r w:rsidR="00145482">
        <w:rPr>
          <w:bCs/>
          <w:sz w:val="24"/>
          <w:szCs w:val="24"/>
        </w:rPr>
        <w:t xml:space="preserve">We also contacted industry sources regarding the estimates in this renewal package.  </w:t>
      </w:r>
    </w:p>
    <w:p w:rsidR="009E40F9" w:rsidRPr="009E40F9" w:rsidRDefault="009E40F9" w:rsidP="009E40F9">
      <w:pPr>
        <w:numPr>
          <w:ilvl w:val="12"/>
          <w:numId w:val="0"/>
        </w:numPr>
        <w:rPr>
          <w:bCs/>
          <w:sz w:val="24"/>
          <w:szCs w:val="24"/>
        </w:rPr>
      </w:pPr>
    </w:p>
    <w:p w:rsidR="009E40F9" w:rsidRPr="009E40F9" w:rsidRDefault="009E40F9" w:rsidP="009E40F9">
      <w:pPr>
        <w:numPr>
          <w:ilvl w:val="12"/>
          <w:numId w:val="0"/>
        </w:numPr>
        <w:rPr>
          <w:bCs/>
          <w:sz w:val="24"/>
          <w:szCs w:val="24"/>
        </w:rPr>
      </w:pPr>
      <w:r w:rsidRPr="009E40F9">
        <w:rPr>
          <w:bCs/>
          <w:sz w:val="24"/>
          <w:szCs w:val="24"/>
        </w:rPr>
        <w:tab/>
      </w:r>
    </w:p>
    <w:p w:rsidR="009E40F9" w:rsidRPr="009E40F9" w:rsidRDefault="009E40F9" w:rsidP="009E40F9">
      <w:pPr>
        <w:numPr>
          <w:ilvl w:val="12"/>
          <w:numId w:val="0"/>
        </w:numPr>
        <w:rPr>
          <w:bCs/>
          <w:sz w:val="24"/>
          <w:szCs w:val="24"/>
        </w:rPr>
      </w:pPr>
    </w:p>
    <w:p w:rsidR="009E40F9" w:rsidRPr="009E40F9" w:rsidRDefault="009E40F9" w:rsidP="009E40F9">
      <w:pPr>
        <w:numPr>
          <w:ilvl w:val="12"/>
          <w:numId w:val="0"/>
        </w:numPr>
        <w:rPr>
          <w:bCs/>
          <w:sz w:val="24"/>
          <w:szCs w:val="24"/>
        </w:rPr>
      </w:pPr>
      <w:r w:rsidRPr="009E40F9">
        <w:rPr>
          <w:bCs/>
          <w:sz w:val="24"/>
          <w:szCs w:val="24"/>
        </w:rPr>
        <w:t xml:space="preserve"> b.</w:t>
      </w:r>
      <w:r w:rsidRPr="009E40F9">
        <w:rPr>
          <w:bCs/>
          <w:sz w:val="24"/>
          <w:szCs w:val="24"/>
        </w:rPr>
        <w:tab/>
        <w:t xml:space="preserve"> Estimating Respondent Costs</w:t>
      </w:r>
    </w:p>
    <w:p w:rsidR="009E40F9" w:rsidRPr="009E40F9" w:rsidRDefault="009E40F9" w:rsidP="009E40F9">
      <w:pPr>
        <w:numPr>
          <w:ilvl w:val="12"/>
          <w:numId w:val="0"/>
        </w:numPr>
        <w:rPr>
          <w:bCs/>
          <w:sz w:val="24"/>
          <w:szCs w:val="24"/>
        </w:rPr>
      </w:pPr>
    </w:p>
    <w:p w:rsidR="009E40F9" w:rsidRPr="009E40F9" w:rsidRDefault="009E40F9" w:rsidP="009E40F9">
      <w:pPr>
        <w:numPr>
          <w:ilvl w:val="0"/>
          <w:numId w:val="9"/>
        </w:numPr>
        <w:rPr>
          <w:bCs/>
          <w:sz w:val="24"/>
          <w:szCs w:val="24"/>
        </w:rPr>
      </w:pPr>
      <w:r w:rsidRPr="009E40F9">
        <w:rPr>
          <w:bCs/>
          <w:sz w:val="24"/>
          <w:szCs w:val="24"/>
        </w:rPr>
        <w:t>Estimating Labor Costs</w:t>
      </w:r>
    </w:p>
    <w:p w:rsidR="009E40F9" w:rsidRPr="009E40F9" w:rsidRDefault="009E40F9" w:rsidP="009E40F9">
      <w:pPr>
        <w:numPr>
          <w:ilvl w:val="12"/>
          <w:numId w:val="0"/>
        </w:numPr>
        <w:rPr>
          <w:bCs/>
          <w:sz w:val="24"/>
          <w:szCs w:val="24"/>
        </w:rPr>
      </w:pPr>
    </w:p>
    <w:p w:rsidR="009E40F9" w:rsidRPr="009E40F9" w:rsidRDefault="009E40F9" w:rsidP="009E40F9">
      <w:pPr>
        <w:numPr>
          <w:ilvl w:val="12"/>
          <w:numId w:val="0"/>
        </w:numPr>
        <w:rPr>
          <w:bCs/>
          <w:sz w:val="24"/>
          <w:szCs w:val="24"/>
        </w:rPr>
      </w:pPr>
      <w:r w:rsidRPr="009E40F9">
        <w:rPr>
          <w:bCs/>
          <w:sz w:val="24"/>
          <w:szCs w:val="24"/>
        </w:rPr>
        <w:t>In discussions with industry, four labor categories were identified as having involvement: managerial, legal, professional/technical (</w:t>
      </w:r>
      <w:proofErr w:type="spellStart"/>
      <w:r w:rsidRPr="009E40F9">
        <w:rPr>
          <w:bCs/>
          <w:sz w:val="24"/>
          <w:szCs w:val="24"/>
        </w:rPr>
        <w:t>prof</w:t>
      </w:r>
      <w:proofErr w:type="spellEnd"/>
      <w:r w:rsidRPr="009E40F9">
        <w:rPr>
          <w:bCs/>
          <w:sz w:val="24"/>
          <w:szCs w:val="24"/>
        </w:rPr>
        <w:t>/tech) and clerical.  According to the Bureau of Labor Statistics, May 2008 National Industry-Specific Occupational Employment and Wage Estimates, mean wages were:</w:t>
      </w:r>
    </w:p>
    <w:p w:rsidR="009E40F9" w:rsidRPr="009E40F9" w:rsidRDefault="009E40F9" w:rsidP="009E40F9">
      <w:pPr>
        <w:numPr>
          <w:ilvl w:val="12"/>
          <w:numId w:val="0"/>
        </w:numPr>
        <w:rPr>
          <w:bCs/>
          <w:sz w:val="24"/>
          <w:szCs w:val="24"/>
        </w:rPr>
      </w:pPr>
    </w:p>
    <w:p w:rsidR="009E40F9" w:rsidRPr="009E40F9" w:rsidRDefault="009E40F9" w:rsidP="009E40F9">
      <w:pPr>
        <w:numPr>
          <w:ilvl w:val="12"/>
          <w:numId w:val="0"/>
        </w:numPr>
        <w:rPr>
          <w:bCs/>
          <w:sz w:val="24"/>
          <w:szCs w:val="24"/>
        </w:rPr>
      </w:pPr>
      <w:r w:rsidRPr="009E40F9">
        <w:rPr>
          <w:bCs/>
          <w:sz w:val="24"/>
          <w:szCs w:val="24"/>
          <w:u w:val="single"/>
        </w:rPr>
        <w:t>Wages</w:t>
      </w:r>
    </w:p>
    <w:p w:rsidR="009E40F9" w:rsidRPr="009E40F9" w:rsidRDefault="009E40F9" w:rsidP="009E40F9">
      <w:pPr>
        <w:numPr>
          <w:ilvl w:val="12"/>
          <w:numId w:val="0"/>
        </w:numPr>
        <w:rPr>
          <w:bCs/>
          <w:sz w:val="24"/>
          <w:szCs w:val="24"/>
        </w:rPr>
      </w:pPr>
      <w:r w:rsidRPr="009E40F9">
        <w:rPr>
          <w:bCs/>
          <w:sz w:val="24"/>
          <w:szCs w:val="24"/>
        </w:rPr>
        <w:t xml:space="preserve">Managerial </w:t>
      </w:r>
      <w:r w:rsidRPr="009E40F9">
        <w:rPr>
          <w:bCs/>
          <w:sz w:val="24"/>
          <w:szCs w:val="24"/>
        </w:rPr>
        <w:tab/>
        <w:t>$60.42 per hour</w:t>
      </w:r>
    </w:p>
    <w:p w:rsidR="009E40F9" w:rsidRPr="009E40F9" w:rsidRDefault="009E40F9" w:rsidP="009E40F9">
      <w:pPr>
        <w:numPr>
          <w:ilvl w:val="12"/>
          <w:numId w:val="0"/>
        </w:numPr>
        <w:rPr>
          <w:bCs/>
          <w:sz w:val="24"/>
          <w:szCs w:val="24"/>
        </w:rPr>
      </w:pPr>
      <w:r w:rsidRPr="009E40F9">
        <w:rPr>
          <w:bCs/>
          <w:sz w:val="24"/>
          <w:szCs w:val="24"/>
        </w:rPr>
        <w:t>Legal</w:t>
      </w:r>
      <w:r w:rsidRPr="009E40F9">
        <w:rPr>
          <w:bCs/>
          <w:sz w:val="24"/>
          <w:szCs w:val="24"/>
        </w:rPr>
        <w:tab/>
      </w:r>
      <w:r w:rsidRPr="009E40F9">
        <w:rPr>
          <w:bCs/>
          <w:sz w:val="24"/>
          <w:szCs w:val="24"/>
        </w:rPr>
        <w:tab/>
        <w:t>$84.56 per hour</w:t>
      </w:r>
    </w:p>
    <w:p w:rsidR="009E40F9" w:rsidRPr="009E40F9" w:rsidRDefault="009E40F9" w:rsidP="009E40F9">
      <w:pPr>
        <w:numPr>
          <w:ilvl w:val="12"/>
          <w:numId w:val="0"/>
        </w:numPr>
        <w:rPr>
          <w:bCs/>
          <w:sz w:val="24"/>
          <w:szCs w:val="24"/>
        </w:rPr>
      </w:pPr>
      <w:r w:rsidRPr="009E40F9">
        <w:rPr>
          <w:bCs/>
          <w:sz w:val="24"/>
          <w:szCs w:val="24"/>
        </w:rPr>
        <w:t>Prof/Tech</w:t>
      </w:r>
      <w:r w:rsidRPr="009E40F9">
        <w:rPr>
          <w:bCs/>
          <w:sz w:val="24"/>
          <w:szCs w:val="24"/>
        </w:rPr>
        <w:tab/>
        <w:t>$60.05 per hour</w:t>
      </w:r>
    </w:p>
    <w:p w:rsidR="009E40F9" w:rsidRPr="009E40F9" w:rsidRDefault="009E40F9" w:rsidP="009E40F9">
      <w:pPr>
        <w:numPr>
          <w:ilvl w:val="12"/>
          <w:numId w:val="0"/>
        </w:numPr>
        <w:rPr>
          <w:bCs/>
          <w:sz w:val="24"/>
          <w:szCs w:val="24"/>
        </w:rPr>
      </w:pPr>
      <w:r w:rsidRPr="009E40F9">
        <w:rPr>
          <w:bCs/>
          <w:sz w:val="24"/>
          <w:szCs w:val="24"/>
        </w:rPr>
        <w:t>Clerical</w:t>
      </w:r>
      <w:r w:rsidRPr="009E40F9">
        <w:rPr>
          <w:bCs/>
          <w:sz w:val="24"/>
          <w:szCs w:val="24"/>
        </w:rPr>
        <w:tab/>
        <w:t>$17.34 per hour</w:t>
      </w:r>
    </w:p>
    <w:p w:rsidR="009E40F9" w:rsidRPr="009E40F9" w:rsidRDefault="009E40F9" w:rsidP="009E40F9">
      <w:pPr>
        <w:numPr>
          <w:ilvl w:val="12"/>
          <w:numId w:val="0"/>
        </w:numPr>
        <w:rPr>
          <w:bCs/>
          <w:sz w:val="24"/>
          <w:szCs w:val="24"/>
        </w:rPr>
      </w:pPr>
    </w:p>
    <w:p w:rsidR="009E40F9" w:rsidRPr="009E40F9" w:rsidRDefault="009E40F9" w:rsidP="009E40F9">
      <w:pPr>
        <w:numPr>
          <w:ilvl w:val="12"/>
          <w:numId w:val="0"/>
        </w:numPr>
        <w:rPr>
          <w:bCs/>
          <w:sz w:val="24"/>
          <w:szCs w:val="24"/>
        </w:rPr>
      </w:pPr>
      <w:r w:rsidRPr="009E40F9">
        <w:rPr>
          <w:bCs/>
          <w:sz w:val="24"/>
          <w:szCs w:val="24"/>
        </w:rPr>
        <w:t>Doubling for company overhead and employing a 2% annual inflation factor to bring the rates to the year 2011, and, for convenience, rounding to the nearest dollar, gives the following rates that will be used for this ICR:</w:t>
      </w:r>
    </w:p>
    <w:p w:rsidR="009E40F9" w:rsidRPr="009E40F9" w:rsidRDefault="009E40F9" w:rsidP="009E40F9">
      <w:pPr>
        <w:numPr>
          <w:ilvl w:val="12"/>
          <w:numId w:val="0"/>
        </w:numPr>
        <w:rPr>
          <w:bCs/>
          <w:sz w:val="24"/>
          <w:szCs w:val="24"/>
        </w:rPr>
      </w:pPr>
    </w:p>
    <w:p w:rsidR="009E40F9" w:rsidRPr="009E40F9" w:rsidRDefault="009E40F9" w:rsidP="009E40F9">
      <w:pPr>
        <w:numPr>
          <w:ilvl w:val="12"/>
          <w:numId w:val="0"/>
        </w:numPr>
        <w:rPr>
          <w:bCs/>
          <w:sz w:val="24"/>
          <w:szCs w:val="24"/>
          <w:u w:val="single"/>
        </w:rPr>
      </w:pPr>
      <w:r w:rsidRPr="009E40F9">
        <w:rPr>
          <w:bCs/>
          <w:sz w:val="24"/>
          <w:szCs w:val="24"/>
          <w:u w:val="single"/>
        </w:rPr>
        <w:t>Total Employer Cost</w:t>
      </w:r>
    </w:p>
    <w:p w:rsidR="009E40F9" w:rsidRPr="009E40F9" w:rsidRDefault="009E40F9" w:rsidP="009E40F9">
      <w:pPr>
        <w:numPr>
          <w:ilvl w:val="12"/>
          <w:numId w:val="0"/>
        </w:numPr>
        <w:rPr>
          <w:bCs/>
          <w:sz w:val="24"/>
          <w:szCs w:val="24"/>
        </w:rPr>
      </w:pPr>
      <w:r w:rsidRPr="009E40F9">
        <w:rPr>
          <w:bCs/>
          <w:sz w:val="24"/>
          <w:szCs w:val="24"/>
        </w:rPr>
        <w:t>Managerial</w:t>
      </w:r>
      <w:r w:rsidRPr="009E40F9">
        <w:rPr>
          <w:bCs/>
          <w:sz w:val="24"/>
          <w:szCs w:val="24"/>
        </w:rPr>
        <w:tab/>
        <w:t>$128</w:t>
      </w:r>
    </w:p>
    <w:p w:rsidR="009E40F9" w:rsidRPr="009E40F9" w:rsidRDefault="009E40F9" w:rsidP="009E40F9">
      <w:pPr>
        <w:numPr>
          <w:ilvl w:val="12"/>
          <w:numId w:val="0"/>
        </w:numPr>
        <w:rPr>
          <w:bCs/>
          <w:sz w:val="24"/>
          <w:szCs w:val="24"/>
        </w:rPr>
      </w:pPr>
      <w:r w:rsidRPr="009E40F9">
        <w:rPr>
          <w:bCs/>
          <w:sz w:val="24"/>
          <w:szCs w:val="24"/>
        </w:rPr>
        <w:t>Legal</w:t>
      </w:r>
      <w:r w:rsidRPr="009E40F9">
        <w:rPr>
          <w:bCs/>
          <w:sz w:val="24"/>
          <w:szCs w:val="24"/>
        </w:rPr>
        <w:tab/>
      </w:r>
      <w:r w:rsidRPr="009E40F9">
        <w:rPr>
          <w:bCs/>
          <w:sz w:val="24"/>
          <w:szCs w:val="24"/>
        </w:rPr>
        <w:tab/>
        <w:t>$179</w:t>
      </w:r>
    </w:p>
    <w:p w:rsidR="009E40F9" w:rsidRPr="009E40F9" w:rsidRDefault="009E40F9" w:rsidP="009E40F9">
      <w:pPr>
        <w:numPr>
          <w:ilvl w:val="12"/>
          <w:numId w:val="0"/>
        </w:numPr>
        <w:rPr>
          <w:bCs/>
          <w:sz w:val="24"/>
          <w:szCs w:val="24"/>
        </w:rPr>
      </w:pPr>
      <w:r w:rsidRPr="009E40F9">
        <w:rPr>
          <w:bCs/>
          <w:sz w:val="24"/>
          <w:szCs w:val="24"/>
        </w:rPr>
        <w:t>Prof/Tech</w:t>
      </w:r>
      <w:r w:rsidRPr="009E40F9">
        <w:rPr>
          <w:bCs/>
          <w:sz w:val="24"/>
          <w:szCs w:val="24"/>
        </w:rPr>
        <w:tab/>
        <w:t>$127</w:t>
      </w:r>
    </w:p>
    <w:p w:rsidR="009E40F9" w:rsidRPr="009E40F9" w:rsidRDefault="009E40F9" w:rsidP="009E40F9">
      <w:pPr>
        <w:numPr>
          <w:ilvl w:val="12"/>
          <w:numId w:val="0"/>
        </w:numPr>
        <w:rPr>
          <w:bCs/>
          <w:sz w:val="24"/>
          <w:szCs w:val="24"/>
        </w:rPr>
      </w:pPr>
      <w:r w:rsidRPr="009E40F9">
        <w:rPr>
          <w:bCs/>
          <w:sz w:val="24"/>
          <w:szCs w:val="24"/>
        </w:rPr>
        <w:t>Clerical</w:t>
      </w:r>
      <w:r w:rsidRPr="009E40F9">
        <w:rPr>
          <w:bCs/>
          <w:sz w:val="24"/>
          <w:szCs w:val="24"/>
        </w:rPr>
        <w:tab/>
      </w:r>
      <w:proofErr w:type="gramStart"/>
      <w:r w:rsidRPr="009E40F9">
        <w:rPr>
          <w:bCs/>
          <w:sz w:val="24"/>
          <w:szCs w:val="24"/>
        </w:rPr>
        <w:t>$  36</w:t>
      </w:r>
      <w:proofErr w:type="gramEnd"/>
    </w:p>
    <w:p w:rsidR="009E40F9" w:rsidRPr="009E40F9" w:rsidRDefault="009E40F9" w:rsidP="009E40F9">
      <w:pPr>
        <w:numPr>
          <w:ilvl w:val="12"/>
          <w:numId w:val="0"/>
        </w:numPr>
        <w:rPr>
          <w:bCs/>
          <w:sz w:val="24"/>
          <w:szCs w:val="24"/>
        </w:rPr>
      </w:pPr>
    </w:p>
    <w:p w:rsidR="00981A7C" w:rsidRDefault="009E40F9" w:rsidP="009E40F9">
      <w:pPr>
        <w:numPr>
          <w:ilvl w:val="12"/>
          <w:numId w:val="0"/>
        </w:numPr>
        <w:rPr>
          <w:bCs/>
          <w:sz w:val="24"/>
          <w:szCs w:val="24"/>
        </w:rPr>
      </w:pPr>
      <w:r w:rsidRPr="009E40F9">
        <w:rPr>
          <w:bCs/>
          <w:sz w:val="24"/>
          <w:szCs w:val="24"/>
        </w:rPr>
        <w:t xml:space="preserve">The labor mix for each task is assumed to be about 0.05 hour managerial, 0.05 hour legal, 0.7 </w:t>
      </w:r>
      <w:r w:rsidRPr="009E40F9">
        <w:rPr>
          <w:bCs/>
          <w:sz w:val="24"/>
          <w:szCs w:val="24"/>
        </w:rPr>
        <w:lastRenderedPageBreak/>
        <w:t xml:space="preserve">hour professional/technical, and 0.2 hour technical.  This gives an average labor cost of about $110 per hour, which will be used in this ICR.  Our estimates are summarized </w:t>
      </w:r>
      <w:r w:rsidR="00334AED">
        <w:rPr>
          <w:bCs/>
          <w:sz w:val="24"/>
          <w:szCs w:val="24"/>
        </w:rPr>
        <w:t>in the following table (Table I):</w:t>
      </w:r>
    </w:p>
    <w:p w:rsidR="00981A7C" w:rsidRDefault="00981A7C">
      <w:pPr>
        <w:widowControl/>
        <w:autoSpaceDE/>
        <w:autoSpaceDN/>
        <w:rPr>
          <w:bCs/>
          <w:sz w:val="24"/>
          <w:szCs w:val="24"/>
        </w:rPr>
      </w:pPr>
      <w:r>
        <w:rPr>
          <w:bCs/>
          <w:sz w:val="24"/>
          <w:szCs w:val="24"/>
        </w:rPr>
        <w:br w:type="page"/>
      </w:r>
    </w:p>
    <w:tbl>
      <w:tblPr>
        <w:tblW w:w="10020" w:type="dxa"/>
        <w:tblInd w:w="93" w:type="dxa"/>
        <w:tblLook w:val="04A0"/>
      </w:tblPr>
      <w:tblGrid>
        <w:gridCol w:w="960"/>
        <w:gridCol w:w="960"/>
        <w:gridCol w:w="1102"/>
        <w:gridCol w:w="960"/>
        <w:gridCol w:w="1160"/>
        <w:gridCol w:w="1180"/>
        <w:gridCol w:w="1074"/>
        <w:gridCol w:w="960"/>
        <w:gridCol w:w="960"/>
        <w:gridCol w:w="997"/>
      </w:tblGrid>
      <w:tr w:rsidR="00981A7C" w:rsidRPr="00981A7C" w:rsidTr="00981A7C">
        <w:trPr>
          <w:trHeight w:val="300"/>
        </w:trPr>
        <w:tc>
          <w:tcPr>
            <w:tcW w:w="9060" w:type="dxa"/>
            <w:gridSpan w:val="9"/>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lastRenderedPageBreak/>
              <w:t xml:space="preserve">TABLE I - ESTIMATES FOR ICR RENEWAL, DIESEL REGULATONS - 40 CFR </w:t>
            </w:r>
            <w:proofErr w:type="gramStart"/>
            <w:r w:rsidRPr="00981A7C">
              <w:rPr>
                <w:rFonts w:ascii="Calibri" w:hAnsi="Calibri" w:cs="Calibri"/>
                <w:color w:val="000000"/>
                <w:sz w:val="22"/>
                <w:szCs w:val="22"/>
              </w:rPr>
              <w:t>Part</w:t>
            </w:r>
            <w:proofErr w:type="gramEnd"/>
            <w:r w:rsidRPr="00981A7C">
              <w:rPr>
                <w:rFonts w:ascii="Calibri" w:hAnsi="Calibri" w:cs="Calibri"/>
                <w:color w:val="000000"/>
                <w:sz w:val="22"/>
                <w:szCs w:val="22"/>
              </w:rPr>
              <w:t xml:space="preserve"> 80, Subpart I.  </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300"/>
        </w:trPr>
        <w:tc>
          <w:tcPr>
            <w:tcW w:w="1920" w:type="dxa"/>
            <w:gridSpan w:val="2"/>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EPA ICR 1718.09</w:t>
            </w: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3180" w:type="dxa"/>
            <w:gridSpan w:val="3"/>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(Renewal.  Expires 12-31-2011.)</w:t>
            </w: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300"/>
        </w:trPr>
        <w:tc>
          <w:tcPr>
            <w:tcW w:w="4980" w:type="dxa"/>
            <w:gridSpan w:val="5"/>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u w:val="single"/>
              </w:rPr>
            </w:pPr>
            <w:r w:rsidRPr="00981A7C">
              <w:rPr>
                <w:rFonts w:ascii="Calibri" w:hAnsi="Calibri" w:cs="Calibri"/>
                <w:color w:val="000000"/>
                <w:sz w:val="22"/>
                <w:szCs w:val="22"/>
                <w:u w:val="single"/>
              </w:rPr>
              <w:t xml:space="preserve">Acronyms used for diesel fuel in this table:  </w:t>
            </w: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300"/>
        </w:trPr>
        <w:tc>
          <w:tcPr>
            <w:tcW w:w="1920" w:type="dxa"/>
            <w:gridSpan w:val="2"/>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i/>
                <w:iCs/>
                <w:color w:val="000000"/>
                <w:sz w:val="22"/>
                <w:szCs w:val="22"/>
              </w:rPr>
            </w:pPr>
            <w:r w:rsidRPr="00981A7C">
              <w:rPr>
                <w:rFonts w:ascii="Calibri" w:hAnsi="Calibri" w:cs="Calibri"/>
                <w:i/>
                <w:iCs/>
                <w:color w:val="000000"/>
                <w:sz w:val="22"/>
                <w:szCs w:val="22"/>
              </w:rPr>
              <w:t>MV:  motor vehicle.</w:t>
            </w: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i/>
                <w:iCs/>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i/>
                <w:iCs/>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300"/>
        </w:trPr>
        <w:tc>
          <w:tcPr>
            <w:tcW w:w="3900" w:type="dxa"/>
            <w:gridSpan w:val="4"/>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i/>
                <w:iCs/>
                <w:color w:val="000000"/>
                <w:sz w:val="22"/>
                <w:szCs w:val="22"/>
              </w:rPr>
            </w:pPr>
            <w:r w:rsidRPr="00981A7C">
              <w:rPr>
                <w:rFonts w:ascii="Calibri" w:hAnsi="Calibri" w:cs="Calibri"/>
                <w:i/>
                <w:iCs/>
                <w:color w:val="000000"/>
                <w:sz w:val="22"/>
                <w:szCs w:val="22"/>
              </w:rPr>
              <w:t>NRLM:  nonroad, locomotive and marine.</w:t>
            </w: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xml:space="preserve">  </w:t>
            </w: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300"/>
        </w:trPr>
        <w:tc>
          <w:tcPr>
            <w:tcW w:w="8100" w:type="dxa"/>
            <w:gridSpan w:val="8"/>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xml:space="preserve">Reporting burdens are indicated in black text, </w:t>
            </w:r>
            <w:r w:rsidRPr="00981A7C">
              <w:rPr>
                <w:rFonts w:ascii="Calibri" w:hAnsi="Calibri" w:cs="Calibri"/>
                <w:color w:val="7F7F7F"/>
                <w:sz w:val="22"/>
                <w:szCs w:val="22"/>
              </w:rPr>
              <w:t xml:space="preserve">recordkeeping burdens are in gray text. </w:t>
            </w:r>
            <w:r w:rsidRPr="00981A7C">
              <w:rPr>
                <w:rFonts w:ascii="Calibri" w:hAnsi="Calibri" w:cs="Calibri"/>
                <w:color w:val="000000"/>
                <w:sz w:val="22"/>
                <w:szCs w:val="22"/>
              </w:rPr>
              <w:t xml:space="preserve"> </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300"/>
        </w:trPr>
        <w:tc>
          <w:tcPr>
            <w:tcW w:w="8100" w:type="dxa"/>
            <w:gridSpan w:val="8"/>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xml:space="preserve">Assumes:  We have 95 NRLM refiners registered, rounded up to 100 for simplicity.  </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300"/>
        </w:trPr>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300"/>
        </w:trPr>
        <w:tc>
          <w:tcPr>
            <w:tcW w:w="1920" w:type="dxa"/>
            <w:gridSpan w:val="2"/>
            <w:vMerge w:val="restart"/>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Collection Activity</w:t>
            </w:r>
          </w:p>
        </w:tc>
        <w:tc>
          <w:tcPr>
            <w:tcW w:w="1020" w:type="dxa"/>
            <w:vMerge w:val="restart"/>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Type of Party</w:t>
            </w:r>
          </w:p>
        </w:tc>
        <w:tc>
          <w:tcPr>
            <w:tcW w:w="960" w:type="dxa"/>
            <w:vMerge w:val="restart"/>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No. of Parties</w:t>
            </w:r>
          </w:p>
        </w:tc>
        <w:tc>
          <w:tcPr>
            <w:tcW w:w="1080" w:type="dxa"/>
            <w:vMerge w:val="restart"/>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No. of Responses per Party</w:t>
            </w:r>
          </w:p>
        </w:tc>
        <w:tc>
          <w:tcPr>
            <w:tcW w:w="1140" w:type="dxa"/>
            <w:vMerge w:val="restart"/>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Total No. of Responses</w:t>
            </w:r>
          </w:p>
        </w:tc>
        <w:tc>
          <w:tcPr>
            <w:tcW w:w="1020" w:type="dxa"/>
            <w:vMerge w:val="restart"/>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Time Per Response (Hours)</w:t>
            </w:r>
          </w:p>
        </w:tc>
        <w:tc>
          <w:tcPr>
            <w:tcW w:w="960" w:type="dxa"/>
            <w:vMerge w:val="restart"/>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Cost Per Hour</w:t>
            </w:r>
          </w:p>
        </w:tc>
        <w:tc>
          <w:tcPr>
            <w:tcW w:w="960" w:type="dxa"/>
            <w:vMerge w:val="restart"/>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Total Hours</w:t>
            </w:r>
          </w:p>
        </w:tc>
        <w:tc>
          <w:tcPr>
            <w:tcW w:w="960" w:type="dxa"/>
            <w:vMerge w:val="restart"/>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Total Cost  </w:t>
            </w:r>
          </w:p>
        </w:tc>
      </w:tr>
      <w:tr w:rsidR="00981A7C" w:rsidRPr="00981A7C" w:rsidTr="00981A7C">
        <w:trPr>
          <w:trHeight w:val="300"/>
        </w:trPr>
        <w:tc>
          <w:tcPr>
            <w:tcW w:w="1920" w:type="dxa"/>
            <w:gridSpan w:val="2"/>
            <w:vMerge/>
            <w:tcBorders>
              <w:top w:val="nil"/>
              <w:left w:val="nil"/>
              <w:bottom w:val="nil"/>
              <w:right w:val="nil"/>
            </w:tcBorders>
            <w:vAlign w:val="center"/>
            <w:hideMark/>
          </w:tcPr>
          <w:p w:rsidR="00981A7C" w:rsidRPr="00981A7C" w:rsidRDefault="00981A7C" w:rsidP="00981A7C">
            <w:pPr>
              <w:widowControl/>
              <w:autoSpaceDE/>
              <w:autoSpaceDN/>
              <w:rPr>
                <w:rFonts w:ascii="Calibri" w:hAnsi="Calibri" w:cs="Calibri"/>
                <w:color w:val="000000"/>
                <w:sz w:val="22"/>
                <w:szCs w:val="22"/>
              </w:rPr>
            </w:pPr>
          </w:p>
        </w:tc>
        <w:tc>
          <w:tcPr>
            <w:tcW w:w="1020" w:type="dxa"/>
            <w:vMerge/>
            <w:tcBorders>
              <w:top w:val="nil"/>
              <w:left w:val="nil"/>
              <w:bottom w:val="nil"/>
              <w:right w:val="nil"/>
            </w:tcBorders>
            <w:vAlign w:val="center"/>
            <w:hideMark/>
          </w:tcPr>
          <w:p w:rsidR="00981A7C" w:rsidRPr="00981A7C" w:rsidRDefault="00981A7C" w:rsidP="00981A7C">
            <w:pPr>
              <w:widowControl/>
              <w:autoSpaceDE/>
              <w:autoSpaceDN/>
              <w:rPr>
                <w:rFonts w:ascii="Calibri" w:hAnsi="Calibri" w:cs="Calibri"/>
                <w:color w:val="000000"/>
                <w:sz w:val="22"/>
                <w:szCs w:val="22"/>
              </w:rPr>
            </w:pPr>
          </w:p>
        </w:tc>
        <w:tc>
          <w:tcPr>
            <w:tcW w:w="960" w:type="dxa"/>
            <w:vMerge/>
            <w:tcBorders>
              <w:top w:val="nil"/>
              <w:left w:val="nil"/>
              <w:bottom w:val="nil"/>
              <w:right w:val="nil"/>
            </w:tcBorders>
            <w:vAlign w:val="center"/>
            <w:hideMark/>
          </w:tcPr>
          <w:p w:rsidR="00981A7C" w:rsidRPr="00981A7C" w:rsidRDefault="00981A7C" w:rsidP="00981A7C">
            <w:pPr>
              <w:widowControl/>
              <w:autoSpaceDE/>
              <w:autoSpaceDN/>
              <w:rPr>
                <w:rFonts w:ascii="Calibri" w:hAnsi="Calibri" w:cs="Calibri"/>
                <w:color w:val="000000"/>
                <w:sz w:val="22"/>
                <w:szCs w:val="22"/>
              </w:rPr>
            </w:pPr>
          </w:p>
        </w:tc>
        <w:tc>
          <w:tcPr>
            <w:tcW w:w="1080" w:type="dxa"/>
            <w:vMerge/>
            <w:tcBorders>
              <w:top w:val="nil"/>
              <w:left w:val="nil"/>
              <w:bottom w:val="nil"/>
              <w:right w:val="nil"/>
            </w:tcBorders>
            <w:vAlign w:val="center"/>
            <w:hideMark/>
          </w:tcPr>
          <w:p w:rsidR="00981A7C" w:rsidRPr="00981A7C" w:rsidRDefault="00981A7C" w:rsidP="00981A7C">
            <w:pPr>
              <w:widowControl/>
              <w:autoSpaceDE/>
              <w:autoSpaceDN/>
              <w:rPr>
                <w:rFonts w:ascii="Calibri" w:hAnsi="Calibri" w:cs="Calibri"/>
                <w:color w:val="000000"/>
                <w:sz w:val="22"/>
                <w:szCs w:val="22"/>
              </w:rPr>
            </w:pPr>
          </w:p>
        </w:tc>
        <w:tc>
          <w:tcPr>
            <w:tcW w:w="1140" w:type="dxa"/>
            <w:vMerge/>
            <w:tcBorders>
              <w:top w:val="nil"/>
              <w:left w:val="nil"/>
              <w:bottom w:val="nil"/>
              <w:right w:val="nil"/>
            </w:tcBorders>
            <w:vAlign w:val="center"/>
            <w:hideMark/>
          </w:tcPr>
          <w:p w:rsidR="00981A7C" w:rsidRPr="00981A7C" w:rsidRDefault="00981A7C" w:rsidP="00981A7C">
            <w:pPr>
              <w:widowControl/>
              <w:autoSpaceDE/>
              <w:autoSpaceDN/>
              <w:rPr>
                <w:rFonts w:ascii="Calibri" w:hAnsi="Calibri" w:cs="Calibri"/>
                <w:color w:val="000000"/>
                <w:sz w:val="22"/>
                <w:szCs w:val="22"/>
              </w:rPr>
            </w:pPr>
          </w:p>
        </w:tc>
        <w:tc>
          <w:tcPr>
            <w:tcW w:w="1020" w:type="dxa"/>
            <w:vMerge/>
            <w:tcBorders>
              <w:top w:val="nil"/>
              <w:left w:val="nil"/>
              <w:bottom w:val="nil"/>
              <w:right w:val="nil"/>
            </w:tcBorders>
            <w:vAlign w:val="center"/>
            <w:hideMark/>
          </w:tcPr>
          <w:p w:rsidR="00981A7C" w:rsidRPr="00981A7C" w:rsidRDefault="00981A7C" w:rsidP="00981A7C">
            <w:pPr>
              <w:widowControl/>
              <w:autoSpaceDE/>
              <w:autoSpaceDN/>
              <w:rPr>
                <w:rFonts w:ascii="Calibri" w:hAnsi="Calibri" w:cs="Calibri"/>
                <w:color w:val="000000"/>
                <w:sz w:val="22"/>
                <w:szCs w:val="22"/>
              </w:rPr>
            </w:pPr>
          </w:p>
        </w:tc>
        <w:tc>
          <w:tcPr>
            <w:tcW w:w="960" w:type="dxa"/>
            <w:vMerge/>
            <w:tcBorders>
              <w:top w:val="nil"/>
              <w:left w:val="nil"/>
              <w:bottom w:val="nil"/>
              <w:right w:val="nil"/>
            </w:tcBorders>
            <w:vAlign w:val="center"/>
            <w:hideMark/>
          </w:tcPr>
          <w:p w:rsidR="00981A7C" w:rsidRPr="00981A7C" w:rsidRDefault="00981A7C" w:rsidP="00981A7C">
            <w:pPr>
              <w:widowControl/>
              <w:autoSpaceDE/>
              <w:autoSpaceDN/>
              <w:rPr>
                <w:rFonts w:ascii="Calibri" w:hAnsi="Calibri" w:cs="Calibri"/>
                <w:color w:val="000000"/>
                <w:sz w:val="22"/>
                <w:szCs w:val="22"/>
              </w:rPr>
            </w:pPr>
          </w:p>
        </w:tc>
        <w:tc>
          <w:tcPr>
            <w:tcW w:w="960" w:type="dxa"/>
            <w:vMerge/>
            <w:tcBorders>
              <w:top w:val="nil"/>
              <w:left w:val="nil"/>
              <w:bottom w:val="nil"/>
              <w:right w:val="nil"/>
            </w:tcBorders>
            <w:vAlign w:val="center"/>
            <w:hideMark/>
          </w:tcPr>
          <w:p w:rsidR="00981A7C" w:rsidRPr="00981A7C" w:rsidRDefault="00981A7C" w:rsidP="00981A7C">
            <w:pPr>
              <w:widowControl/>
              <w:autoSpaceDE/>
              <w:autoSpaceDN/>
              <w:rPr>
                <w:rFonts w:ascii="Calibri" w:hAnsi="Calibri" w:cs="Calibri"/>
                <w:color w:val="000000"/>
                <w:sz w:val="22"/>
                <w:szCs w:val="22"/>
              </w:rPr>
            </w:pPr>
          </w:p>
        </w:tc>
        <w:tc>
          <w:tcPr>
            <w:tcW w:w="960" w:type="dxa"/>
            <w:vMerge/>
            <w:tcBorders>
              <w:top w:val="nil"/>
              <w:left w:val="nil"/>
              <w:bottom w:val="nil"/>
              <w:right w:val="nil"/>
            </w:tcBorders>
            <w:vAlign w:val="center"/>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300"/>
        </w:trPr>
        <w:tc>
          <w:tcPr>
            <w:tcW w:w="1920" w:type="dxa"/>
            <w:gridSpan w:val="2"/>
            <w:vMerge/>
            <w:tcBorders>
              <w:top w:val="nil"/>
              <w:left w:val="nil"/>
              <w:bottom w:val="nil"/>
              <w:right w:val="nil"/>
            </w:tcBorders>
            <w:vAlign w:val="center"/>
            <w:hideMark/>
          </w:tcPr>
          <w:p w:rsidR="00981A7C" w:rsidRPr="00981A7C" w:rsidRDefault="00981A7C" w:rsidP="00981A7C">
            <w:pPr>
              <w:widowControl/>
              <w:autoSpaceDE/>
              <w:autoSpaceDN/>
              <w:rPr>
                <w:rFonts w:ascii="Calibri" w:hAnsi="Calibri" w:cs="Calibri"/>
                <w:color w:val="000000"/>
                <w:sz w:val="22"/>
                <w:szCs w:val="22"/>
              </w:rPr>
            </w:pPr>
          </w:p>
        </w:tc>
        <w:tc>
          <w:tcPr>
            <w:tcW w:w="1020" w:type="dxa"/>
            <w:vMerge/>
            <w:tcBorders>
              <w:top w:val="nil"/>
              <w:left w:val="nil"/>
              <w:bottom w:val="nil"/>
              <w:right w:val="nil"/>
            </w:tcBorders>
            <w:vAlign w:val="center"/>
            <w:hideMark/>
          </w:tcPr>
          <w:p w:rsidR="00981A7C" w:rsidRPr="00981A7C" w:rsidRDefault="00981A7C" w:rsidP="00981A7C">
            <w:pPr>
              <w:widowControl/>
              <w:autoSpaceDE/>
              <w:autoSpaceDN/>
              <w:rPr>
                <w:rFonts w:ascii="Calibri" w:hAnsi="Calibri" w:cs="Calibri"/>
                <w:color w:val="000000"/>
                <w:sz w:val="22"/>
                <w:szCs w:val="22"/>
              </w:rPr>
            </w:pPr>
          </w:p>
        </w:tc>
        <w:tc>
          <w:tcPr>
            <w:tcW w:w="960" w:type="dxa"/>
            <w:vMerge/>
            <w:tcBorders>
              <w:top w:val="nil"/>
              <w:left w:val="nil"/>
              <w:bottom w:val="nil"/>
              <w:right w:val="nil"/>
            </w:tcBorders>
            <w:vAlign w:val="center"/>
            <w:hideMark/>
          </w:tcPr>
          <w:p w:rsidR="00981A7C" w:rsidRPr="00981A7C" w:rsidRDefault="00981A7C" w:rsidP="00981A7C">
            <w:pPr>
              <w:widowControl/>
              <w:autoSpaceDE/>
              <w:autoSpaceDN/>
              <w:rPr>
                <w:rFonts w:ascii="Calibri" w:hAnsi="Calibri" w:cs="Calibri"/>
                <w:color w:val="000000"/>
                <w:sz w:val="22"/>
                <w:szCs w:val="22"/>
              </w:rPr>
            </w:pPr>
          </w:p>
        </w:tc>
        <w:tc>
          <w:tcPr>
            <w:tcW w:w="1080" w:type="dxa"/>
            <w:vMerge/>
            <w:tcBorders>
              <w:top w:val="nil"/>
              <w:left w:val="nil"/>
              <w:bottom w:val="nil"/>
              <w:right w:val="nil"/>
            </w:tcBorders>
            <w:vAlign w:val="center"/>
            <w:hideMark/>
          </w:tcPr>
          <w:p w:rsidR="00981A7C" w:rsidRPr="00981A7C" w:rsidRDefault="00981A7C" w:rsidP="00981A7C">
            <w:pPr>
              <w:widowControl/>
              <w:autoSpaceDE/>
              <w:autoSpaceDN/>
              <w:rPr>
                <w:rFonts w:ascii="Calibri" w:hAnsi="Calibri" w:cs="Calibri"/>
                <w:color w:val="000000"/>
                <w:sz w:val="22"/>
                <w:szCs w:val="22"/>
              </w:rPr>
            </w:pPr>
          </w:p>
        </w:tc>
        <w:tc>
          <w:tcPr>
            <w:tcW w:w="1140" w:type="dxa"/>
            <w:vMerge/>
            <w:tcBorders>
              <w:top w:val="nil"/>
              <w:left w:val="nil"/>
              <w:bottom w:val="nil"/>
              <w:right w:val="nil"/>
            </w:tcBorders>
            <w:vAlign w:val="center"/>
            <w:hideMark/>
          </w:tcPr>
          <w:p w:rsidR="00981A7C" w:rsidRPr="00981A7C" w:rsidRDefault="00981A7C" w:rsidP="00981A7C">
            <w:pPr>
              <w:widowControl/>
              <w:autoSpaceDE/>
              <w:autoSpaceDN/>
              <w:rPr>
                <w:rFonts w:ascii="Calibri" w:hAnsi="Calibri" w:cs="Calibri"/>
                <w:color w:val="000000"/>
                <w:sz w:val="22"/>
                <w:szCs w:val="22"/>
              </w:rPr>
            </w:pPr>
          </w:p>
        </w:tc>
        <w:tc>
          <w:tcPr>
            <w:tcW w:w="1020" w:type="dxa"/>
            <w:vMerge/>
            <w:tcBorders>
              <w:top w:val="nil"/>
              <w:left w:val="nil"/>
              <w:bottom w:val="nil"/>
              <w:right w:val="nil"/>
            </w:tcBorders>
            <w:vAlign w:val="center"/>
            <w:hideMark/>
          </w:tcPr>
          <w:p w:rsidR="00981A7C" w:rsidRPr="00981A7C" w:rsidRDefault="00981A7C" w:rsidP="00981A7C">
            <w:pPr>
              <w:widowControl/>
              <w:autoSpaceDE/>
              <w:autoSpaceDN/>
              <w:rPr>
                <w:rFonts w:ascii="Calibri" w:hAnsi="Calibri" w:cs="Calibri"/>
                <w:color w:val="000000"/>
                <w:sz w:val="22"/>
                <w:szCs w:val="22"/>
              </w:rPr>
            </w:pPr>
          </w:p>
        </w:tc>
        <w:tc>
          <w:tcPr>
            <w:tcW w:w="960" w:type="dxa"/>
            <w:vMerge/>
            <w:tcBorders>
              <w:top w:val="nil"/>
              <w:left w:val="nil"/>
              <w:bottom w:val="nil"/>
              <w:right w:val="nil"/>
            </w:tcBorders>
            <w:vAlign w:val="center"/>
            <w:hideMark/>
          </w:tcPr>
          <w:p w:rsidR="00981A7C" w:rsidRPr="00981A7C" w:rsidRDefault="00981A7C" w:rsidP="00981A7C">
            <w:pPr>
              <w:widowControl/>
              <w:autoSpaceDE/>
              <w:autoSpaceDN/>
              <w:rPr>
                <w:rFonts w:ascii="Calibri" w:hAnsi="Calibri" w:cs="Calibri"/>
                <w:color w:val="000000"/>
                <w:sz w:val="22"/>
                <w:szCs w:val="22"/>
              </w:rPr>
            </w:pPr>
          </w:p>
        </w:tc>
        <w:tc>
          <w:tcPr>
            <w:tcW w:w="960" w:type="dxa"/>
            <w:vMerge/>
            <w:tcBorders>
              <w:top w:val="nil"/>
              <w:left w:val="nil"/>
              <w:bottom w:val="nil"/>
              <w:right w:val="nil"/>
            </w:tcBorders>
            <w:vAlign w:val="center"/>
            <w:hideMark/>
          </w:tcPr>
          <w:p w:rsidR="00981A7C" w:rsidRPr="00981A7C" w:rsidRDefault="00981A7C" w:rsidP="00981A7C">
            <w:pPr>
              <w:widowControl/>
              <w:autoSpaceDE/>
              <w:autoSpaceDN/>
              <w:rPr>
                <w:rFonts w:ascii="Calibri" w:hAnsi="Calibri" w:cs="Calibri"/>
                <w:color w:val="000000"/>
                <w:sz w:val="22"/>
                <w:szCs w:val="22"/>
              </w:rPr>
            </w:pPr>
          </w:p>
        </w:tc>
        <w:tc>
          <w:tcPr>
            <w:tcW w:w="960" w:type="dxa"/>
            <w:vMerge/>
            <w:tcBorders>
              <w:top w:val="nil"/>
              <w:left w:val="nil"/>
              <w:bottom w:val="nil"/>
              <w:right w:val="nil"/>
            </w:tcBorders>
            <w:vAlign w:val="center"/>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300"/>
        </w:trPr>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300"/>
        </w:trPr>
        <w:tc>
          <w:tcPr>
            <w:tcW w:w="1920" w:type="dxa"/>
            <w:gridSpan w:val="2"/>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r w:rsidRPr="00981A7C">
              <w:rPr>
                <w:rFonts w:ascii="Calibri" w:hAnsi="Calibri" w:cs="Calibri"/>
                <w:b/>
                <w:bCs/>
                <w:color w:val="000000"/>
                <w:sz w:val="22"/>
                <w:szCs w:val="22"/>
              </w:rPr>
              <w:t>REPORTING FORMS</w:t>
            </w: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300"/>
        </w:trPr>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315"/>
        </w:trPr>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600"/>
        </w:trPr>
        <w:tc>
          <w:tcPr>
            <w:tcW w:w="1920" w:type="dxa"/>
            <w:gridSpan w:val="2"/>
            <w:vMerge w:val="restart"/>
            <w:tcBorders>
              <w:top w:val="single" w:sz="8" w:space="0" w:color="auto"/>
              <w:left w:val="single" w:sz="8" w:space="0" w:color="auto"/>
              <w:bottom w:val="nil"/>
              <w:right w:val="single" w:sz="8" w:space="0" w:color="000000"/>
            </w:tcBorders>
            <w:shd w:val="clear" w:color="auto" w:fill="auto"/>
            <w:hideMark/>
          </w:tcPr>
          <w:p w:rsidR="00981A7C" w:rsidRPr="00981A7C" w:rsidRDefault="00981A7C" w:rsidP="00981A7C">
            <w:pPr>
              <w:widowControl/>
              <w:autoSpaceDE/>
              <w:autoSpaceDN/>
              <w:rPr>
                <w:rFonts w:ascii="Calibri" w:hAnsi="Calibri" w:cs="Calibri"/>
                <w:b/>
                <w:bCs/>
                <w:color w:val="000000"/>
                <w:sz w:val="22"/>
                <w:szCs w:val="22"/>
              </w:rPr>
            </w:pPr>
            <w:r w:rsidRPr="00981A7C">
              <w:rPr>
                <w:rFonts w:ascii="Calibri" w:hAnsi="Calibri" w:cs="Calibri"/>
                <w:b/>
                <w:bCs/>
                <w:color w:val="000000"/>
                <w:sz w:val="22"/>
                <w:szCs w:val="22"/>
              </w:rPr>
              <w:t xml:space="preserve"> DSF0100 Form:  Diesel Fuel Sulfur Credit Banking and Generation Report</w:t>
            </w:r>
          </w:p>
        </w:tc>
        <w:tc>
          <w:tcPr>
            <w:tcW w:w="1020" w:type="dxa"/>
            <w:tcBorders>
              <w:top w:val="single" w:sz="8" w:space="0" w:color="auto"/>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xml:space="preserve">NRLM refiners </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w:t>
            </w:r>
          </w:p>
        </w:tc>
        <w:tc>
          <w:tcPr>
            <w:tcW w:w="108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w:t>
            </w:r>
          </w:p>
        </w:tc>
        <w:tc>
          <w:tcPr>
            <w:tcW w:w="102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w:t>
            </w:r>
          </w:p>
        </w:tc>
        <w:tc>
          <w:tcPr>
            <w:tcW w:w="960" w:type="dxa"/>
            <w:tcBorders>
              <w:top w:val="single" w:sz="8" w:space="0" w:color="auto"/>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11000</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importers</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50</w:t>
            </w: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50</w:t>
            </w: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50</w:t>
            </w: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5500</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w:t>
            </w:r>
          </w:p>
        </w:tc>
      </w:tr>
      <w:tr w:rsidR="00981A7C" w:rsidRPr="00981A7C" w:rsidTr="00981A7C">
        <w:trPr>
          <w:trHeight w:val="915"/>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xml:space="preserve">MV </w:t>
            </w:r>
            <w:proofErr w:type="spellStart"/>
            <w:r w:rsidRPr="00981A7C">
              <w:rPr>
                <w:rFonts w:ascii="Calibri" w:hAnsi="Calibri" w:cs="Calibri"/>
                <w:color w:val="000000"/>
                <w:sz w:val="22"/>
                <w:szCs w:val="22"/>
              </w:rPr>
              <w:t>resubmis-sions</w:t>
            </w:r>
            <w:proofErr w:type="spellEnd"/>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w:t>
            </w: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w:t>
            </w: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w:t>
            </w: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550</w:t>
            </w:r>
          </w:p>
        </w:tc>
      </w:tr>
      <w:tr w:rsidR="00981A7C" w:rsidRPr="00981A7C" w:rsidTr="00981A7C">
        <w:trPr>
          <w:trHeight w:val="315"/>
        </w:trPr>
        <w:tc>
          <w:tcPr>
            <w:tcW w:w="1002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This form is used to report credits the reporting party possesses or possessed over a given year.</w:t>
            </w:r>
          </w:p>
        </w:tc>
      </w:tr>
      <w:tr w:rsidR="00981A7C" w:rsidRPr="00981A7C" w:rsidTr="00981A7C">
        <w:trPr>
          <w:trHeight w:val="315"/>
        </w:trPr>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600"/>
        </w:trPr>
        <w:tc>
          <w:tcPr>
            <w:tcW w:w="1920" w:type="dxa"/>
            <w:gridSpan w:val="2"/>
            <w:vMerge w:val="restart"/>
            <w:tcBorders>
              <w:top w:val="single" w:sz="8" w:space="0" w:color="auto"/>
              <w:left w:val="single" w:sz="8" w:space="0" w:color="auto"/>
              <w:bottom w:val="nil"/>
              <w:right w:val="single" w:sz="8" w:space="0" w:color="000000"/>
            </w:tcBorders>
            <w:shd w:val="clear" w:color="auto" w:fill="auto"/>
            <w:hideMark/>
          </w:tcPr>
          <w:p w:rsidR="00981A7C" w:rsidRPr="00981A7C" w:rsidRDefault="00981A7C" w:rsidP="00981A7C">
            <w:pPr>
              <w:widowControl/>
              <w:autoSpaceDE/>
              <w:autoSpaceDN/>
              <w:rPr>
                <w:rFonts w:ascii="Calibri" w:hAnsi="Calibri" w:cs="Calibri"/>
                <w:b/>
                <w:bCs/>
                <w:color w:val="000000"/>
                <w:sz w:val="22"/>
                <w:szCs w:val="22"/>
              </w:rPr>
            </w:pPr>
            <w:r w:rsidRPr="00981A7C">
              <w:rPr>
                <w:rFonts w:ascii="Calibri" w:hAnsi="Calibri" w:cs="Calibri"/>
                <w:b/>
                <w:bCs/>
                <w:color w:val="000000"/>
                <w:sz w:val="22"/>
                <w:szCs w:val="22"/>
              </w:rPr>
              <w:t xml:space="preserve"> DSF0200 Form:  Diesel Fuel Sulfur Credit Transfer Report</w:t>
            </w:r>
          </w:p>
        </w:tc>
        <w:tc>
          <w:tcPr>
            <w:tcW w:w="1020" w:type="dxa"/>
            <w:tcBorders>
              <w:top w:val="single" w:sz="8" w:space="0" w:color="auto"/>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xml:space="preserve">NRLM refiners </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w:t>
            </w:r>
          </w:p>
        </w:tc>
        <w:tc>
          <w:tcPr>
            <w:tcW w:w="108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w:t>
            </w:r>
          </w:p>
        </w:tc>
        <w:tc>
          <w:tcPr>
            <w:tcW w:w="102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w:t>
            </w:r>
          </w:p>
        </w:tc>
        <w:tc>
          <w:tcPr>
            <w:tcW w:w="960" w:type="dxa"/>
            <w:tcBorders>
              <w:top w:val="single" w:sz="8" w:space="0" w:color="auto"/>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11000</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importers</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50</w:t>
            </w: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50</w:t>
            </w: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50</w:t>
            </w: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5500</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w:t>
            </w:r>
          </w:p>
        </w:tc>
      </w:tr>
      <w:tr w:rsidR="00981A7C" w:rsidRPr="00981A7C" w:rsidTr="00981A7C">
        <w:trPr>
          <w:trHeight w:val="915"/>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xml:space="preserve">MV </w:t>
            </w:r>
            <w:proofErr w:type="spellStart"/>
            <w:r w:rsidRPr="00981A7C">
              <w:rPr>
                <w:rFonts w:ascii="Calibri" w:hAnsi="Calibri" w:cs="Calibri"/>
                <w:color w:val="000000"/>
                <w:sz w:val="22"/>
                <w:szCs w:val="22"/>
              </w:rPr>
              <w:t>resubmis-sions</w:t>
            </w:r>
            <w:proofErr w:type="spellEnd"/>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w:t>
            </w: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w:t>
            </w: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w:t>
            </w: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550</w:t>
            </w:r>
          </w:p>
        </w:tc>
      </w:tr>
      <w:tr w:rsidR="00981A7C" w:rsidRPr="00981A7C" w:rsidTr="00981A7C">
        <w:trPr>
          <w:trHeight w:val="315"/>
        </w:trPr>
        <w:tc>
          <w:tcPr>
            <w:tcW w:w="1002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xml:space="preserve">This form is used to report credits that were transacted over a given year. </w:t>
            </w:r>
          </w:p>
        </w:tc>
      </w:tr>
      <w:tr w:rsidR="00981A7C" w:rsidRPr="00981A7C" w:rsidTr="00981A7C">
        <w:trPr>
          <w:trHeight w:val="315"/>
        </w:trPr>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600"/>
        </w:trPr>
        <w:tc>
          <w:tcPr>
            <w:tcW w:w="1920" w:type="dxa"/>
            <w:gridSpan w:val="2"/>
            <w:vMerge w:val="restart"/>
            <w:tcBorders>
              <w:top w:val="single" w:sz="8" w:space="0" w:color="auto"/>
              <w:left w:val="single" w:sz="8" w:space="0" w:color="auto"/>
              <w:bottom w:val="nil"/>
              <w:right w:val="single" w:sz="8" w:space="0" w:color="000000"/>
            </w:tcBorders>
            <w:shd w:val="clear" w:color="auto" w:fill="auto"/>
            <w:hideMark/>
          </w:tcPr>
          <w:p w:rsidR="00981A7C" w:rsidRPr="00981A7C" w:rsidRDefault="00981A7C" w:rsidP="00981A7C">
            <w:pPr>
              <w:widowControl/>
              <w:autoSpaceDE/>
              <w:autoSpaceDN/>
              <w:rPr>
                <w:rFonts w:ascii="Calibri" w:hAnsi="Calibri" w:cs="Calibri"/>
                <w:b/>
                <w:bCs/>
                <w:color w:val="000000"/>
                <w:sz w:val="22"/>
                <w:szCs w:val="22"/>
              </w:rPr>
            </w:pPr>
            <w:r w:rsidRPr="00981A7C">
              <w:rPr>
                <w:rFonts w:ascii="Calibri" w:hAnsi="Calibri" w:cs="Calibri"/>
                <w:b/>
                <w:bCs/>
                <w:color w:val="000000"/>
                <w:sz w:val="22"/>
                <w:szCs w:val="22"/>
              </w:rPr>
              <w:t xml:space="preserve"> DSF0301 Form:  Diesel Fuel Sulfur Facility  Report</w:t>
            </w:r>
          </w:p>
        </w:tc>
        <w:tc>
          <w:tcPr>
            <w:tcW w:w="1020" w:type="dxa"/>
            <w:tcBorders>
              <w:top w:val="single" w:sz="8" w:space="0" w:color="auto"/>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xml:space="preserve">NRLM refiners </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w:t>
            </w:r>
          </w:p>
        </w:tc>
        <w:tc>
          <w:tcPr>
            <w:tcW w:w="108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w:t>
            </w:r>
          </w:p>
        </w:tc>
        <w:tc>
          <w:tcPr>
            <w:tcW w:w="102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w:t>
            </w:r>
          </w:p>
        </w:tc>
        <w:tc>
          <w:tcPr>
            <w:tcW w:w="960" w:type="dxa"/>
            <w:tcBorders>
              <w:top w:val="single" w:sz="8" w:space="0" w:color="auto"/>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11000</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importers</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50</w:t>
            </w: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50</w:t>
            </w: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50</w:t>
            </w: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5500</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w:t>
            </w:r>
          </w:p>
        </w:tc>
      </w:tr>
      <w:tr w:rsidR="00981A7C" w:rsidRPr="00981A7C" w:rsidTr="00981A7C">
        <w:trPr>
          <w:trHeight w:val="915"/>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xml:space="preserve">MV </w:t>
            </w:r>
            <w:proofErr w:type="spellStart"/>
            <w:r w:rsidRPr="00981A7C">
              <w:rPr>
                <w:rFonts w:ascii="Calibri" w:hAnsi="Calibri" w:cs="Calibri"/>
                <w:color w:val="000000"/>
                <w:sz w:val="22"/>
                <w:szCs w:val="22"/>
              </w:rPr>
              <w:t>resubmis-sions</w:t>
            </w:r>
            <w:proofErr w:type="spellEnd"/>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w:t>
            </w: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w:t>
            </w: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w:t>
            </w: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550</w:t>
            </w:r>
          </w:p>
        </w:tc>
      </w:tr>
      <w:tr w:rsidR="00981A7C" w:rsidRPr="00981A7C" w:rsidTr="00981A7C">
        <w:trPr>
          <w:trHeight w:val="315"/>
        </w:trPr>
        <w:tc>
          <w:tcPr>
            <w:tcW w:w="1002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The facility summary report is used to summarize the diesel fuel produced at each facility.</w:t>
            </w:r>
          </w:p>
        </w:tc>
      </w:tr>
      <w:tr w:rsidR="00981A7C" w:rsidRPr="00981A7C" w:rsidTr="00981A7C">
        <w:trPr>
          <w:trHeight w:val="315"/>
        </w:trPr>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600"/>
        </w:trPr>
        <w:tc>
          <w:tcPr>
            <w:tcW w:w="1920" w:type="dxa"/>
            <w:gridSpan w:val="2"/>
            <w:vMerge w:val="restart"/>
            <w:tcBorders>
              <w:top w:val="single" w:sz="8" w:space="0" w:color="auto"/>
              <w:left w:val="single" w:sz="8" w:space="0" w:color="auto"/>
              <w:bottom w:val="nil"/>
              <w:right w:val="single" w:sz="8" w:space="0" w:color="000000"/>
            </w:tcBorders>
            <w:shd w:val="clear" w:color="auto" w:fill="auto"/>
            <w:hideMark/>
          </w:tcPr>
          <w:p w:rsidR="00981A7C" w:rsidRPr="00981A7C" w:rsidRDefault="00981A7C" w:rsidP="00981A7C">
            <w:pPr>
              <w:widowControl/>
              <w:autoSpaceDE/>
              <w:autoSpaceDN/>
              <w:rPr>
                <w:rFonts w:ascii="Calibri" w:hAnsi="Calibri" w:cs="Calibri"/>
                <w:b/>
                <w:bCs/>
                <w:color w:val="000000"/>
                <w:sz w:val="22"/>
                <w:szCs w:val="22"/>
              </w:rPr>
            </w:pPr>
            <w:r w:rsidRPr="00981A7C">
              <w:rPr>
                <w:rFonts w:ascii="Calibri" w:hAnsi="Calibri" w:cs="Calibri"/>
                <w:b/>
                <w:bCs/>
                <w:color w:val="000000"/>
                <w:sz w:val="22"/>
                <w:szCs w:val="22"/>
              </w:rPr>
              <w:t xml:space="preserve"> DSF0401 Form:  Diesel Fuel Sulfur Batch Report</w:t>
            </w:r>
          </w:p>
        </w:tc>
        <w:tc>
          <w:tcPr>
            <w:tcW w:w="1020" w:type="dxa"/>
            <w:tcBorders>
              <w:top w:val="single" w:sz="8" w:space="0" w:color="auto"/>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xml:space="preserve">NRLM refiners </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w:t>
            </w:r>
          </w:p>
        </w:tc>
        <w:tc>
          <w:tcPr>
            <w:tcW w:w="108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w:t>
            </w:r>
          </w:p>
        </w:tc>
        <w:tc>
          <w:tcPr>
            <w:tcW w:w="102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w:t>
            </w:r>
          </w:p>
        </w:tc>
        <w:tc>
          <w:tcPr>
            <w:tcW w:w="960" w:type="dxa"/>
            <w:tcBorders>
              <w:top w:val="single" w:sz="8" w:space="0" w:color="auto"/>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11000</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importers</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50</w:t>
            </w: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50</w:t>
            </w: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50</w:t>
            </w: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5500</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w:t>
            </w:r>
          </w:p>
        </w:tc>
      </w:tr>
      <w:tr w:rsidR="00981A7C" w:rsidRPr="00981A7C" w:rsidTr="00981A7C">
        <w:trPr>
          <w:trHeight w:val="915"/>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xml:space="preserve">MV </w:t>
            </w:r>
            <w:proofErr w:type="spellStart"/>
            <w:r w:rsidRPr="00981A7C">
              <w:rPr>
                <w:rFonts w:ascii="Calibri" w:hAnsi="Calibri" w:cs="Calibri"/>
                <w:color w:val="000000"/>
                <w:sz w:val="22"/>
                <w:szCs w:val="22"/>
              </w:rPr>
              <w:t>resubmis-sions</w:t>
            </w:r>
            <w:proofErr w:type="spellEnd"/>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w:t>
            </w: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w:t>
            </w: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w:t>
            </w: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550</w:t>
            </w:r>
          </w:p>
        </w:tc>
      </w:tr>
      <w:tr w:rsidR="00981A7C" w:rsidRPr="00981A7C" w:rsidTr="00981A7C">
        <w:trPr>
          <w:trHeight w:val="315"/>
        </w:trPr>
        <w:tc>
          <w:tcPr>
            <w:tcW w:w="10020"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xml:space="preserve">Batch reports are submitted for each batch (discrete quantity) of fuel by type of diesel, whether it is </w:t>
            </w:r>
            <w:proofErr w:type="gramStart"/>
            <w:r w:rsidRPr="00981A7C">
              <w:rPr>
                <w:rFonts w:ascii="Calibri" w:hAnsi="Calibri" w:cs="Calibri"/>
                <w:color w:val="000000"/>
                <w:sz w:val="22"/>
                <w:szCs w:val="22"/>
              </w:rPr>
              <w:t>dyed/marked</w:t>
            </w:r>
            <w:proofErr w:type="gramEnd"/>
            <w:r w:rsidRPr="00981A7C">
              <w:rPr>
                <w:rFonts w:ascii="Calibri" w:hAnsi="Calibri" w:cs="Calibri"/>
                <w:color w:val="000000"/>
                <w:sz w:val="22"/>
                <w:szCs w:val="22"/>
              </w:rPr>
              <w:t xml:space="preserve">, and include an identifying batch number. </w:t>
            </w:r>
          </w:p>
        </w:tc>
      </w:tr>
      <w:tr w:rsidR="00981A7C" w:rsidRPr="00981A7C" w:rsidTr="00981A7C">
        <w:trPr>
          <w:trHeight w:val="315"/>
        </w:trPr>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600"/>
        </w:trPr>
        <w:tc>
          <w:tcPr>
            <w:tcW w:w="1920" w:type="dxa"/>
            <w:gridSpan w:val="2"/>
            <w:vMerge w:val="restart"/>
            <w:tcBorders>
              <w:top w:val="single" w:sz="8" w:space="0" w:color="auto"/>
              <w:left w:val="single" w:sz="8" w:space="0" w:color="auto"/>
              <w:bottom w:val="nil"/>
              <w:right w:val="single" w:sz="8" w:space="0" w:color="000000"/>
            </w:tcBorders>
            <w:shd w:val="clear" w:color="auto" w:fill="auto"/>
            <w:hideMark/>
          </w:tcPr>
          <w:p w:rsidR="00981A7C" w:rsidRPr="00981A7C" w:rsidRDefault="00981A7C" w:rsidP="00981A7C">
            <w:pPr>
              <w:widowControl/>
              <w:autoSpaceDE/>
              <w:autoSpaceDN/>
              <w:rPr>
                <w:rFonts w:ascii="Calibri" w:hAnsi="Calibri" w:cs="Calibri"/>
                <w:b/>
                <w:bCs/>
                <w:color w:val="000000"/>
                <w:sz w:val="22"/>
                <w:szCs w:val="22"/>
              </w:rPr>
            </w:pPr>
            <w:r w:rsidRPr="00981A7C">
              <w:rPr>
                <w:rFonts w:ascii="Calibri" w:hAnsi="Calibri" w:cs="Calibri"/>
                <w:b/>
                <w:bCs/>
                <w:color w:val="000000"/>
                <w:sz w:val="22"/>
                <w:szCs w:val="22"/>
              </w:rPr>
              <w:t xml:space="preserve"> DSF0504 Form:  Designate and Track Handoff Report</w:t>
            </w:r>
          </w:p>
        </w:tc>
        <w:tc>
          <w:tcPr>
            <w:tcW w:w="1020" w:type="dxa"/>
            <w:tcBorders>
              <w:top w:val="single" w:sz="8" w:space="0" w:color="auto"/>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xml:space="preserve">NRLM refiners </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w:t>
            </w:r>
          </w:p>
        </w:tc>
        <w:tc>
          <w:tcPr>
            <w:tcW w:w="108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w:t>
            </w:r>
          </w:p>
        </w:tc>
        <w:tc>
          <w:tcPr>
            <w:tcW w:w="102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w:t>
            </w:r>
          </w:p>
        </w:tc>
        <w:tc>
          <w:tcPr>
            <w:tcW w:w="960" w:type="dxa"/>
            <w:tcBorders>
              <w:top w:val="single" w:sz="8" w:space="0" w:color="auto"/>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11000</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importers</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50</w:t>
            </w: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50</w:t>
            </w: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50</w:t>
            </w: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5500</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w:t>
            </w:r>
          </w:p>
        </w:tc>
      </w:tr>
      <w:tr w:rsidR="00981A7C" w:rsidRPr="00981A7C" w:rsidTr="00981A7C">
        <w:trPr>
          <w:trHeight w:val="9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xml:space="preserve">MV </w:t>
            </w:r>
            <w:proofErr w:type="spellStart"/>
            <w:r w:rsidRPr="00981A7C">
              <w:rPr>
                <w:rFonts w:ascii="Calibri" w:hAnsi="Calibri" w:cs="Calibri"/>
                <w:color w:val="000000"/>
                <w:sz w:val="22"/>
                <w:szCs w:val="22"/>
              </w:rPr>
              <w:t>resubmis-sions</w:t>
            </w:r>
            <w:proofErr w:type="spellEnd"/>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w:t>
            </w: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w:t>
            </w: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w:t>
            </w: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550</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All others</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1,000</w:t>
            </w: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1000</w:t>
            </w: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1000</w:t>
            </w: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110000</w:t>
            </w:r>
          </w:p>
        </w:tc>
      </w:tr>
      <w:tr w:rsidR="00981A7C" w:rsidRPr="00981A7C" w:rsidTr="00981A7C">
        <w:trPr>
          <w:trHeight w:val="315"/>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3060" w:type="dxa"/>
            <w:gridSpan w:val="3"/>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(incl. terminal and pipelines)</w:t>
            </w: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single" w:sz="8" w:space="0" w:color="auto"/>
              <w:right w:val="single" w:sz="8" w:space="0" w:color="auto"/>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w:t>
            </w:r>
          </w:p>
        </w:tc>
      </w:tr>
      <w:tr w:rsidR="00981A7C" w:rsidRPr="00981A7C" w:rsidTr="00981A7C">
        <w:trPr>
          <w:trHeight w:val="315"/>
        </w:trPr>
        <w:tc>
          <w:tcPr>
            <w:tcW w:w="1002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roofErr w:type="gramStart"/>
            <w:r w:rsidRPr="00981A7C">
              <w:rPr>
                <w:rFonts w:ascii="Calibri" w:hAnsi="Calibri" w:cs="Calibri"/>
                <w:color w:val="000000"/>
                <w:sz w:val="22"/>
                <w:szCs w:val="22"/>
              </w:rPr>
              <w:t>Handoff</w:t>
            </w:r>
            <w:proofErr w:type="gramEnd"/>
            <w:r w:rsidRPr="00981A7C">
              <w:rPr>
                <w:rFonts w:ascii="Calibri" w:hAnsi="Calibri" w:cs="Calibri"/>
                <w:color w:val="000000"/>
                <w:sz w:val="22"/>
                <w:szCs w:val="22"/>
              </w:rPr>
              <w:t xml:space="preserve"> reports include transactional information about fuel tracked by type (designate and track).  </w:t>
            </w:r>
          </w:p>
        </w:tc>
      </w:tr>
      <w:tr w:rsidR="00981A7C" w:rsidRPr="00981A7C" w:rsidTr="00981A7C">
        <w:trPr>
          <w:trHeight w:val="315"/>
        </w:trPr>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600"/>
        </w:trPr>
        <w:tc>
          <w:tcPr>
            <w:tcW w:w="1920" w:type="dxa"/>
            <w:gridSpan w:val="2"/>
            <w:vMerge w:val="restart"/>
            <w:tcBorders>
              <w:top w:val="single" w:sz="8" w:space="0" w:color="auto"/>
              <w:left w:val="single" w:sz="8" w:space="0" w:color="auto"/>
              <w:bottom w:val="nil"/>
              <w:right w:val="single" w:sz="8" w:space="0" w:color="000000"/>
            </w:tcBorders>
            <w:shd w:val="clear" w:color="auto" w:fill="auto"/>
            <w:hideMark/>
          </w:tcPr>
          <w:p w:rsidR="00981A7C" w:rsidRPr="00981A7C" w:rsidRDefault="00981A7C" w:rsidP="00981A7C">
            <w:pPr>
              <w:widowControl/>
              <w:autoSpaceDE/>
              <w:autoSpaceDN/>
              <w:rPr>
                <w:rFonts w:ascii="Calibri" w:hAnsi="Calibri" w:cs="Calibri"/>
                <w:b/>
                <w:bCs/>
                <w:color w:val="000000"/>
                <w:sz w:val="22"/>
                <w:szCs w:val="22"/>
              </w:rPr>
            </w:pPr>
            <w:r w:rsidRPr="00981A7C">
              <w:rPr>
                <w:rFonts w:ascii="Calibri" w:hAnsi="Calibri" w:cs="Calibri"/>
                <w:b/>
                <w:bCs/>
                <w:color w:val="000000"/>
                <w:sz w:val="22"/>
                <w:szCs w:val="22"/>
              </w:rPr>
              <w:t xml:space="preserve"> DSF0601 Form:  Designate and Track Total Volume Report</w:t>
            </w:r>
          </w:p>
        </w:tc>
        <w:tc>
          <w:tcPr>
            <w:tcW w:w="1020" w:type="dxa"/>
            <w:tcBorders>
              <w:top w:val="single" w:sz="8" w:space="0" w:color="auto"/>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xml:space="preserve">NRLM refiners </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w:t>
            </w:r>
          </w:p>
        </w:tc>
        <w:tc>
          <w:tcPr>
            <w:tcW w:w="108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w:t>
            </w:r>
          </w:p>
        </w:tc>
        <w:tc>
          <w:tcPr>
            <w:tcW w:w="102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w:t>
            </w:r>
          </w:p>
        </w:tc>
        <w:tc>
          <w:tcPr>
            <w:tcW w:w="960" w:type="dxa"/>
            <w:tcBorders>
              <w:top w:val="single" w:sz="8" w:space="0" w:color="auto"/>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11000</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importers</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50</w:t>
            </w: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50</w:t>
            </w: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50</w:t>
            </w: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5500</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w:t>
            </w:r>
          </w:p>
        </w:tc>
      </w:tr>
      <w:tr w:rsidR="00981A7C" w:rsidRPr="00981A7C" w:rsidTr="00981A7C">
        <w:trPr>
          <w:trHeight w:val="9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xml:space="preserve">MV </w:t>
            </w:r>
            <w:proofErr w:type="spellStart"/>
            <w:r w:rsidRPr="00981A7C">
              <w:rPr>
                <w:rFonts w:ascii="Calibri" w:hAnsi="Calibri" w:cs="Calibri"/>
                <w:color w:val="000000"/>
                <w:sz w:val="22"/>
                <w:szCs w:val="22"/>
              </w:rPr>
              <w:t>resubmis-sions</w:t>
            </w:r>
            <w:proofErr w:type="spellEnd"/>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w:t>
            </w: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w:t>
            </w: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w:t>
            </w: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550</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All others</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1,000</w:t>
            </w: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1000</w:t>
            </w: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1000</w:t>
            </w: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110000</w:t>
            </w:r>
          </w:p>
        </w:tc>
      </w:tr>
      <w:tr w:rsidR="00981A7C" w:rsidRPr="00981A7C" w:rsidTr="00981A7C">
        <w:trPr>
          <w:trHeight w:val="315"/>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3060" w:type="dxa"/>
            <w:gridSpan w:val="3"/>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(incl. terminal and pipelines)</w:t>
            </w: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single" w:sz="8" w:space="0" w:color="auto"/>
              <w:right w:val="single" w:sz="8" w:space="0" w:color="auto"/>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w:t>
            </w:r>
          </w:p>
        </w:tc>
      </w:tr>
      <w:tr w:rsidR="00981A7C" w:rsidRPr="00981A7C" w:rsidTr="00981A7C">
        <w:trPr>
          <w:trHeight w:val="315"/>
        </w:trPr>
        <w:tc>
          <w:tcPr>
            <w:tcW w:w="10020"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xml:space="preserve">This form contains a summary of fuel handoffs.  It is different from the transactional form, since it lists the total by diesel fuel type in gallons.  </w:t>
            </w:r>
          </w:p>
        </w:tc>
      </w:tr>
      <w:tr w:rsidR="00981A7C" w:rsidRPr="00981A7C" w:rsidTr="00981A7C">
        <w:trPr>
          <w:trHeight w:val="315"/>
        </w:trPr>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600"/>
        </w:trPr>
        <w:tc>
          <w:tcPr>
            <w:tcW w:w="1920" w:type="dxa"/>
            <w:gridSpan w:val="2"/>
            <w:vMerge w:val="restart"/>
            <w:tcBorders>
              <w:top w:val="single" w:sz="8" w:space="0" w:color="auto"/>
              <w:left w:val="single" w:sz="8" w:space="0" w:color="auto"/>
              <w:bottom w:val="nil"/>
              <w:right w:val="single" w:sz="8" w:space="0" w:color="000000"/>
            </w:tcBorders>
            <w:shd w:val="clear" w:color="auto" w:fill="auto"/>
            <w:hideMark/>
          </w:tcPr>
          <w:p w:rsidR="00981A7C" w:rsidRPr="00981A7C" w:rsidRDefault="00981A7C" w:rsidP="00981A7C">
            <w:pPr>
              <w:widowControl/>
              <w:autoSpaceDE/>
              <w:autoSpaceDN/>
              <w:rPr>
                <w:rFonts w:ascii="Calibri" w:hAnsi="Calibri" w:cs="Calibri"/>
                <w:b/>
                <w:bCs/>
                <w:color w:val="000000"/>
                <w:sz w:val="22"/>
                <w:szCs w:val="22"/>
              </w:rPr>
            </w:pPr>
            <w:r w:rsidRPr="00981A7C">
              <w:rPr>
                <w:rFonts w:ascii="Calibri" w:hAnsi="Calibri" w:cs="Calibri"/>
                <w:b/>
                <w:bCs/>
                <w:color w:val="000000"/>
                <w:sz w:val="22"/>
                <w:szCs w:val="22"/>
              </w:rPr>
              <w:t xml:space="preserve"> DSF0700 Form:  Designate and Track Facility Compliance Report</w:t>
            </w:r>
          </w:p>
        </w:tc>
        <w:tc>
          <w:tcPr>
            <w:tcW w:w="1020" w:type="dxa"/>
            <w:tcBorders>
              <w:top w:val="single" w:sz="8" w:space="0" w:color="auto"/>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xml:space="preserve">NRLM refiners </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w:t>
            </w:r>
          </w:p>
        </w:tc>
        <w:tc>
          <w:tcPr>
            <w:tcW w:w="108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w:t>
            </w:r>
          </w:p>
        </w:tc>
        <w:tc>
          <w:tcPr>
            <w:tcW w:w="102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w:t>
            </w:r>
          </w:p>
        </w:tc>
        <w:tc>
          <w:tcPr>
            <w:tcW w:w="960" w:type="dxa"/>
            <w:tcBorders>
              <w:top w:val="single" w:sz="8" w:space="0" w:color="auto"/>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11000</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importers</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50</w:t>
            </w: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50</w:t>
            </w: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50</w:t>
            </w: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5500</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w:t>
            </w:r>
          </w:p>
        </w:tc>
      </w:tr>
      <w:tr w:rsidR="00981A7C" w:rsidRPr="00981A7C" w:rsidTr="00981A7C">
        <w:trPr>
          <w:trHeight w:val="9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xml:space="preserve">MV </w:t>
            </w:r>
            <w:proofErr w:type="spellStart"/>
            <w:r w:rsidRPr="00981A7C">
              <w:rPr>
                <w:rFonts w:ascii="Calibri" w:hAnsi="Calibri" w:cs="Calibri"/>
                <w:color w:val="000000"/>
                <w:sz w:val="22"/>
                <w:szCs w:val="22"/>
              </w:rPr>
              <w:t>resubmis-sions</w:t>
            </w:r>
            <w:proofErr w:type="spellEnd"/>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w:t>
            </w: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w:t>
            </w: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w:t>
            </w: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550</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All others</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1,000</w:t>
            </w: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1000</w:t>
            </w: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1000</w:t>
            </w: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110000</w:t>
            </w:r>
          </w:p>
        </w:tc>
      </w:tr>
      <w:tr w:rsidR="00981A7C" w:rsidRPr="00981A7C" w:rsidTr="00981A7C">
        <w:trPr>
          <w:trHeight w:val="315"/>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3060" w:type="dxa"/>
            <w:gridSpan w:val="3"/>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(incl. terminal and pipelines)</w:t>
            </w: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single" w:sz="8" w:space="0" w:color="auto"/>
              <w:right w:val="single" w:sz="8" w:space="0" w:color="auto"/>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w:t>
            </w:r>
          </w:p>
        </w:tc>
      </w:tr>
      <w:tr w:rsidR="00981A7C" w:rsidRPr="00981A7C" w:rsidTr="00981A7C">
        <w:trPr>
          <w:trHeight w:val="315"/>
        </w:trPr>
        <w:tc>
          <w:tcPr>
            <w:tcW w:w="1002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xml:space="preserve">This form is used for annual compliance calculations, based upon type of diesel fuel.  </w:t>
            </w:r>
          </w:p>
        </w:tc>
      </w:tr>
      <w:tr w:rsidR="00981A7C" w:rsidRPr="00981A7C" w:rsidTr="00981A7C">
        <w:trPr>
          <w:trHeight w:val="315"/>
        </w:trPr>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600"/>
        </w:trPr>
        <w:tc>
          <w:tcPr>
            <w:tcW w:w="1920" w:type="dxa"/>
            <w:gridSpan w:val="2"/>
            <w:vMerge w:val="restart"/>
            <w:tcBorders>
              <w:top w:val="single" w:sz="8" w:space="0" w:color="auto"/>
              <w:left w:val="single" w:sz="8" w:space="0" w:color="auto"/>
              <w:bottom w:val="nil"/>
              <w:right w:val="single" w:sz="8" w:space="0" w:color="000000"/>
            </w:tcBorders>
            <w:shd w:val="clear" w:color="auto" w:fill="auto"/>
            <w:hideMark/>
          </w:tcPr>
          <w:p w:rsidR="00981A7C" w:rsidRPr="00981A7C" w:rsidRDefault="00981A7C" w:rsidP="00981A7C">
            <w:pPr>
              <w:widowControl/>
              <w:autoSpaceDE/>
              <w:autoSpaceDN/>
              <w:rPr>
                <w:rFonts w:ascii="Calibri" w:hAnsi="Calibri" w:cs="Calibri"/>
                <w:b/>
                <w:bCs/>
                <w:color w:val="000000"/>
                <w:sz w:val="22"/>
                <w:szCs w:val="22"/>
              </w:rPr>
            </w:pPr>
            <w:r w:rsidRPr="00981A7C">
              <w:rPr>
                <w:rFonts w:ascii="Calibri" w:hAnsi="Calibri" w:cs="Calibri"/>
                <w:b/>
                <w:bCs/>
                <w:color w:val="000000"/>
                <w:sz w:val="22"/>
                <w:szCs w:val="22"/>
              </w:rPr>
              <w:t xml:space="preserve"> DSE0700 Form:  Designate and Track Entity Compliance Report</w:t>
            </w:r>
          </w:p>
        </w:tc>
        <w:tc>
          <w:tcPr>
            <w:tcW w:w="1020" w:type="dxa"/>
            <w:tcBorders>
              <w:top w:val="single" w:sz="8" w:space="0" w:color="auto"/>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xml:space="preserve">NRLM refiners </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w:t>
            </w:r>
          </w:p>
        </w:tc>
        <w:tc>
          <w:tcPr>
            <w:tcW w:w="108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w:t>
            </w:r>
          </w:p>
        </w:tc>
        <w:tc>
          <w:tcPr>
            <w:tcW w:w="102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w:t>
            </w:r>
          </w:p>
        </w:tc>
        <w:tc>
          <w:tcPr>
            <w:tcW w:w="960" w:type="dxa"/>
            <w:tcBorders>
              <w:top w:val="single" w:sz="8" w:space="0" w:color="auto"/>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11000</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importers</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50</w:t>
            </w: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50</w:t>
            </w: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50</w:t>
            </w: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5500</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w:t>
            </w:r>
          </w:p>
        </w:tc>
      </w:tr>
      <w:tr w:rsidR="00981A7C" w:rsidRPr="00981A7C" w:rsidTr="00981A7C">
        <w:trPr>
          <w:trHeight w:val="9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xml:space="preserve">MV </w:t>
            </w:r>
            <w:proofErr w:type="spellStart"/>
            <w:r w:rsidRPr="00981A7C">
              <w:rPr>
                <w:rFonts w:ascii="Calibri" w:hAnsi="Calibri" w:cs="Calibri"/>
                <w:color w:val="000000"/>
                <w:sz w:val="22"/>
                <w:szCs w:val="22"/>
              </w:rPr>
              <w:t>resubmis-sions</w:t>
            </w:r>
            <w:proofErr w:type="spellEnd"/>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w:t>
            </w: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w:t>
            </w: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w:t>
            </w: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550</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All others</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1,000</w:t>
            </w: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1000</w:t>
            </w: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1000</w:t>
            </w: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110000</w:t>
            </w:r>
          </w:p>
        </w:tc>
      </w:tr>
      <w:tr w:rsidR="00981A7C" w:rsidRPr="00981A7C" w:rsidTr="00981A7C">
        <w:trPr>
          <w:trHeight w:val="315"/>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3060" w:type="dxa"/>
            <w:gridSpan w:val="3"/>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(incl. terminal and pipelines)</w:t>
            </w: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single" w:sz="8" w:space="0" w:color="auto"/>
              <w:right w:val="single" w:sz="8" w:space="0" w:color="auto"/>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w:t>
            </w:r>
          </w:p>
        </w:tc>
      </w:tr>
      <w:tr w:rsidR="00981A7C" w:rsidRPr="00981A7C" w:rsidTr="00981A7C">
        <w:trPr>
          <w:trHeight w:val="315"/>
        </w:trPr>
        <w:tc>
          <w:tcPr>
            <w:tcW w:w="10020"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This is an optional annual report.  The regulations permit either facility-by-facility or corporate level calculation.  If you elect corporate level calculation, then you use this form instead of DSF0700.</w:t>
            </w:r>
          </w:p>
        </w:tc>
      </w:tr>
      <w:tr w:rsidR="00981A7C" w:rsidRPr="00981A7C" w:rsidTr="00981A7C">
        <w:trPr>
          <w:trHeight w:val="315"/>
        </w:trPr>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900"/>
        </w:trPr>
        <w:tc>
          <w:tcPr>
            <w:tcW w:w="1920" w:type="dxa"/>
            <w:gridSpan w:val="2"/>
            <w:vMerge w:val="restart"/>
            <w:tcBorders>
              <w:top w:val="single" w:sz="8" w:space="0" w:color="auto"/>
              <w:left w:val="single" w:sz="8" w:space="0" w:color="auto"/>
              <w:bottom w:val="nil"/>
              <w:right w:val="single" w:sz="8" w:space="0" w:color="000000"/>
            </w:tcBorders>
            <w:shd w:val="clear" w:color="auto" w:fill="auto"/>
            <w:hideMark/>
          </w:tcPr>
          <w:p w:rsidR="00981A7C" w:rsidRPr="00981A7C" w:rsidRDefault="00981A7C" w:rsidP="00981A7C">
            <w:pPr>
              <w:widowControl/>
              <w:autoSpaceDE/>
              <w:autoSpaceDN/>
              <w:rPr>
                <w:rFonts w:ascii="Calibri" w:hAnsi="Calibri" w:cs="Calibri"/>
                <w:b/>
                <w:bCs/>
                <w:color w:val="000000"/>
                <w:sz w:val="22"/>
                <w:szCs w:val="22"/>
              </w:rPr>
            </w:pPr>
            <w:r w:rsidRPr="00981A7C">
              <w:rPr>
                <w:rFonts w:ascii="Calibri" w:hAnsi="Calibri" w:cs="Calibri"/>
                <w:b/>
                <w:bCs/>
                <w:color w:val="000000"/>
                <w:sz w:val="22"/>
                <w:szCs w:val="22"/>
              </w:rPr>
              <w:t xml:space="preserve"> DSF0900 Form:  Motor Vehicle Diesel Sulfur Pre-Compliance Report</w:t>
            </w:r>
          </w:p>
        </w:tc>
        <w:tc>
          <w:tcPr>
            <w:tcW w:w="1020" w:type="dxa"/>
            <w:tcBorders>
              <w:top w:val="single" w:sz="8" w:space="0" w:color="auto"/>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xml:space="preserve">MV </w:t>
            </w:r>
            <w:proofErr w:type="spellStart"/>
            <w:r w:rsidRPr="00981A7C">
              <w:rPr>
                <w:rFonts w:ascii="Calibri" w:hAnsi="Calibri" w:cs="Calibri"/>
                <w:color w:val="000000"/>
                <w:sz w:val="22"/>
                <w:szCs w:val="22"/>
              </w:rPr>
              <w:t>resubmis-sions</w:t>
            </w:r>
            <w:proofErr w:type="spellEnd"/>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w:t>
            </w:r>
          </w:p>
        </w:tc>
        <w:tc>
          <w:tcPr>
            <w:tcW w:w="108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w:t>
            </w:r>
          </w:p>
        </w:tc>
        <w:tc>
          <w:tcPr>
            <w:tcW w:w="102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w:t>
            </w:r>
          </w:p>
        </w:tc>
        <w:tc>
          <w:tcPr>
            <w:tcW w:w="960" w:type="dxa"/>
            <w:tcBorders>
              <w:top w:val="single" w:sz="8" w:space="0" w:color="auto"/>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550</w:t>
            </w:r>
          </w:p>
        </w:tc>
      </w:tr>
      <w:tr w:rsidR="00981A7C" w:rsidRPr="00981A7C" w:rsidTr="00981A7C">
        <w:trPr>
          <w:trHeight w:val="315"/>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w:t>
            </w:r>
          </w:p>
        </w:tc>
      </w:tr>
      <w:tr w:rsidR="00981A7C" w:rsidRPr="00981A7C" w:rsidTr="00981A7C">
        <w:trPr>
          <w:trHeight w:val="315"/>
        </w:trPr>
        <w:tc>
          <w:tcPr>
            <w:tcW w:w="10020"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lastRenderedPageBreak/>
              <w:t>This report is available for resubmission purposes only.  The last reports were due to cover plans for compliance year 2010</w:t>
            </w:r>
            <w:proofErr w:type="gramStart"/>
            <w:r w:rsidRPr="00981A7C">
              <w:rPr>
                <w:rFonts w:ascii="Calibri" w:hAnsi="Calibri" w:cs="Calibri"/>
                <w:color w:val="000000"/>
                <w:sz w:val="22"/>
                <w:szCs w:val="22"/>
              </w:rPr>
              <w:t>;  since</w:t>
            </w:r>
            <w:proofErr w:type="gramEnd"/>
            <w:r w:rsidRPr="00981A7C">
              <w:rPr>
                <w:rFonts w:ascii="Calibri" w:hAnsi="Calibri" w:cs="Calibri"/>
                <w:color w:val="000000"/>
                <w:sz w:val="22"/>
                <w:szCs w:val="22"/>
              </w:rPr>
              <w:t xml:space="preserve"> nearly all resubmissions would have been received, we have estimated we will receive no more than five (5).</w:t>
            </w:r>
          </w:p>
        </w:tc>
      </w:tr>
      <w:tr w:rsidR="00981A7C" w:rsidRPr="00981A7C" w:rsidTr="00981A7C">
        <w:trPr>
          <w:trHeight w:val="315"/>
        </w:trPr>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600"/>
        </w:trPr>
        <w:tc>
          <w:tcPr>
            <w:tcW w:w="1920" w:type="dxa"/>
            <w:gridSpan w:val="2"/>
            <w:vMerge w:val="restart"/>
            <w:tcBorders>
              <w:top w:val="single" w:sz="8" w:space="0" w:color="auto"/>
              <w:left w:val="single" w:sz="8" w:space="0" w:color="auto"/>
              <w:bottom w:val="nil"/>
              <w:right w:val="single" w:sz="8" w:space="0" w:color="000000"/>
            </w:tcBorders>
            <w:shd w:val="clear" w:color="auto" w:fill="auto"/>
            <w:hideMark/>
          </w:tcPr>
          <w:p w:rsidR="00981A7C" w:rsidRPr="00981A7C" w:rsidRDefault="00981A7C" w:rsidP="00981A7C">
            <w:pPr>
              <w:widowControl/>
              <w:autoSpaceDE/>
              <w:autoSpaceDN/>
              <w:rPr>
                <w:rFonts w:ascii="Calibri" w:hAnsi="Calibri" w:cs="Calibri"/>
                <w:b/>
                <w:bCs/>
                <w:color w:val="000000"/>
                <w:sz w:val="22"/>
                <w:szCs w:val="22"/>
              </w:rPr>
            </w:pPr>
            <w:r w:rsidRPr="00981A7C">
              <w:rPr>
                <w:rFonts w:ascii="Calibri" w:hAnsi="Calibri" w:cs="Calibri"/>
                <w:b/>
                <w:bCs/>
                <w:color w:val="000000"/>
                <w:sz w:val="22"/>
                <w:szCs w:val="22"/>
              </w:rPr>
              <w:t xml:space="preserve"> DSF0951 Form:  NRLM Diesel Sulfur Pre-Compliance Report</w:t>
            </w:r>
          </w:p>
        </w:tc>
        <w:tc>
          <w:tcPr>
            <w:tcW w:w="1020" w:type="dxa"/>
            <w:tcBorders>
              <w:top w:val="single" w:sz="8" w:space="0" w:color="auto"/>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NRLM refiners</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w:t>
            </w:r>
          </w:p>
        </w:tc>
        <w:tc>
          <w:tcPr>
            <w:tcW w:w="108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w:t>
            </w:r>
          </w:p>
        </w:tc>
        <w:tc>
          <w:tcPr>
            <w:tcW w:w="102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100</w:t>
            </w:r>
          </w:p>
        </w:tc>
        <w:tc>
          <w:tcPr>
            <w:tcW w:w="960" w:type="dxa"/>
            <w:tcBorders>
              <w:top w:val="single" w:sz="8" w:space="0" w:color="auto"/>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11000</w:t>
            </w:r>
          </w:p>
        </w:tc>
      </w:tr>
      <w:tr w:rsidR="00981A7C" w:rsidRPr="00981A7C" w:rsidTr="00981A7C">
        <w:trPr>
          <w:trHeight w:val="300"/>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w:t>
            </w:r>
          </w:p>
        </w:tc>
      </w:tr>
      <w:tr w:rsidR="00981A7C" w:rsidRPr="00981A7C" w:rsidTr="00981A7C">
        <w:trPr>
          <w:trHeight w:val="315"/>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importers</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50</w:t>
            </w: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50</w:t>
            </w: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50</w:t>
            </w: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5500</w:t>
            </w:r>
          </w:p>
        </w:tc>
      </w:tr>
      <w:tr w:rsidR="00981A7C" w:rsidRPr="00981A7C" w:rsidTr="00981A7C">
        <w:trPr>
          <w:trHeight w:val="315"/>
        </w:trPr>
        <w:tc>
          <w:tcPr>
            <w:tcW w:w="10020"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xml:space="preserve">The last reports are were </w:t>
            </w:r>
            <w:proofErr w:type="gramStart"/>
            <w:r w:rsidRPr="00981A7C">
              <w:rPr>
                <w:rFonts w:ascii="Calibri" w:hAnsi="Calibri" w:cs="Calibri"/>
                <w:color w:val="000000"/>
                <w:sz w:val="22"/>
                <w:szCs w:val="22"/>
              </w:rPr>
              <w:t>due  June</w:t>
            </w:r>
            <w:proofErr w:type="gramEnd"/>
            <w:r w:rsidRPr="00981A7C">
              <w:rPr>
                <w:rFonts w:ascii="Calibri" w:hAnsi="Calibri" w:cs="Calibri"/>
                <w:color w:val="000000"/>
                <w:sz w:val="22"/>
                <w:szCs w:val="22"/>
              </w:rPr>
              <w:t xml:space="preserve"> 1, 2011,   Since it is still possible to receive “recent” resubmissions, we have estimated 100 refiners and 50 importers may resubmit.</w:t>
            </w:r>
          </w:p>
        </w:tc>
      </w:tr>
      <w:tr w:rsidR="00981A7C" w:rsidRPr="00981A7C" w:rsidTr="00981A7C">
        <w:trPr>
          <w:trHeight w:val="315"/>
        </w:trPr>
        <w:tc>
          <w:tcPr>
            <w:tcW w:w="96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600"/>
        </w:trPr>
        <w:tc>
          <w:tcPr>
            <w:tcW w:w="1920" w:type="dxa"/>
            <w:gridSpan w:val="2"/>
            <w:vMerge w:val="restart"/>
            <w:tcBorders>
              <w:top w:val="single" w:sz="8" w:space="0" w:color="auto"/>
              <w:left w:val="single" w:sz="8" w:space="0" w:color="auto"/>
              <w:bottom w:val="nil"/>
              <w:right w:val="single" w:sz="8" w:space="0" w:color="000000"/>
            </w:tcBorders>
            <w:shd w:val="clear" w:color="auto" w:fill="auto"/>
            <w:hideMark/>
          </w:tcPr>
          <w:p w:rsidR="00981A7C" w:rsidRPr="00981A7C" w:rsidRDefault="00981A7C" w:rsidP="00981A7C">
            <w:pPr>
              <w:widowControl/>
              <w:autoSpaceDE/>
              <w:autoSpaceDN/>
              <w:rPr>
                <w:rFonts w:ascii="Calibri" w:hAnsi="Calibri" w:cs="Calibri"/>
                <w:b/>
                <w:bCs/>
                <w:color w:val="000000"/>
                <w:sz w:val="22"/>
                <w:szCs w:val="22"/>
              </w:rPr>
            </w:pPr>
            <w:r w:rsidRPr="00981A7C">
              <w:rPr>
                <w:rFonts w:ascii="Calibri" w:hAnsi="Calibri" w:cs="Calibri"/>
                <w:b/>
                <w:bCs/>
                <w:color w:val="000000"/>
                <w:sz w:val="22"/>
                <w:szCs w:val="22"/>
              </w:rPr>
              <w:t xml:space="preserve"> DLQ001 </w:t>
            </w:r>
            <w:proofErr w:type="gramStart"/>
            <w:r w:rsidRPr="00981A7C">
              <w:rPr>
                <w:rFonts w:ascii="Calibri" w:hAnsi="Calibri" w:cs="Calibri"/>
                <w:b/>
                <w:bCs/>
                <w:color w:val="000000"/>
                <w:sz w:val="22"/>
                <w:szCs w:val="22"/>
              </w:rPr>
              <w:t>Form  (</w:t>
            </w:r>
            <w:proofErr w:type="gramEnd"/>
            <w:r w:rsidRPr="00981A7C">
              <w:rPr>
                <w:rFonts w:ascii="Calibri" w:hAnsi="Calibri" w:cs="Calibri"/>
                <w:b/>
                <w:bCs/>
                <w:color w:val="000000"/>
                <w:sz w:val="22"/>
                <w:szCs w:val="22"/>
              </w:rPr>
              <w:t>Used for lab/test method qualification.)</w:t>
            </w:r>
          </w:p>
        </w:tc>
        <w:tc>
          <w:tcPr>
            <w:tcW w:w="1020" w:type="dxa"/>
            <w:tcBorders>
              <w:top w:val="single" w:sz="8" w:space="0" w:color="auto"/>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Testing labs</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08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02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180</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180</w:t>
            </w:r>
          </w:p>
        </w:tc>
        <w:tc>
          <w:tcPr>
            <w:tcW w:w="960" w:type="dxa"/>
            <w:tcBorders>
              <w:top w:val="single" w:sz="8" w:space="0" w:color="auto"/>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19800</w:t>
            </w:r>
          </w:p>
        </w:tc>
      </w:tr>
      <w:tr w:rsidR="00981A7C" w:rsidRPr="00981A7C" w:rsidTr="00981A7C">
        <w:trPr>
          <w:trHeight w:val="315"/>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w:t>
            </w:r>
          </w:p>
        </w:tc>
      </w:tr>
      <w:tr w:rsidR="00981A7C" w:rsidRPr="00981A7C" w:rsidTr="00981A7C">
        <w:trPr>
          <w:trHeight w:val="315"/>
        </w:trPr>
        <w:tc>
          <w:tcPr>
            <w:tcW w:w="10020"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This form is used to demonstrate accuracy and precision of test methods used to determine diesel sulfur content.  Virtually all laboratories have already qualified and we expect no more than one application per year.</w:t>
            </w:r>
          </w:p>
        </w:tc>
      </w:tr>
      <w:tr w:rsidR="00981A7C" w:rsidRPr="00981A7C" w:rsidTr="00981A7C">
        <w:trPr>
          <w:trHeight w:val="315"/>
        </w:trPr>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600"/>
        </w:trPr>
        <w:tc>
          <w:tcPr>
            <w:tcW w:w="1920" w:type="dxa"/>
            <w:gridSpan w:val="2"/>
            <w:vMerge w:val="restart"/>
            <w:tcBorders>
              <w:top w:val="single" w:sz="8" w:space="0" w:color="auto"/>
              <w:left w:val="single" w:sz="8" w:space="0" w:color="auto"/>
              <w:bottom w:val="nil"/>
              <w:right w:val="single" w:sz="8" w:space="0" w:color="000000"/>
            </w:tcBorders>
            <w:shd w:val="clear" w:color="auto" w:fill="auto"/>
            <w:hideMark/>
          </w:tcPr>
          <w:p w:rsidR="00981A7C" w:rsidRPr="00981A7C" w:rsidRDefault="00981A7C" w:rsidP="00981A7C">
            <w:pPr>
              <w:widowControl/>
              <w:autoSpaceDE/>
              <w:autoSpaceDN/>
              <w:rPr>
                <w:rFonts w:ascii="Calibri" w:hAnsi="Calibri" w:cs="Calibri"/>
                <w:b/>
                <w:bCs/>
                <w:color w:val="000000"/>
                <w:sz w:val="22"/>
                <w:szCs w:val="22"/>
              </w:rPr>
            </w:pPr>
            <w:r w:rsidRPr="00981A7C">
              <w:rPr>
                <w:rFonts w:ascii="Calibri" w:hAnsi="Calibri" w:cs="Calibri"/>
                <w:b/>
                <w:bCs/>
                <w:color w:val="000000"/>
                <w:sz w:val="22"/>
                <w:szCs w:val="22"/>
              </w:rPr>
              <w:t xml:space="preserve"> DFM001 </w:t>
            </w:r>
            <w:proofErr w:type="gramStart"/>
            <w:r w:rsidRPr="00981A7C">
              <w:rPr>
                <w:rFonts w:ascii="Calibri" w:hAnsi="Calibri" w:cs="Calibri"/>
                <w:b/>
                <w:bCs/>
                <w:color w:val="000000"/>
                <w:sz w:val="22"/>
                <w:szCs w:val="22"/>
              </w:rPr>
              <w:t>Form  (</w:t>
            </w:r>
            <w:proofErr w:type="gramEnd"/>
            <w:r w:rsidRPr="00981A7C">
              <w:rPr>
                <w:rFonts w:ascii="Calibri" w:hAnsi="Calibri" w:cs="Calibri"/>
                <w:b/>
                <w:bCs/>
                <w:color w:val="000000"/>
                <w:sz w:val="22"/>
                <w:szCs w:val="22"/>
              </w:rPr>
              <w:t>Used for solvent/dye qualification.)</w:t>
            </w:r>
          </w:p>
        </w:tc>
        <w:tc>
          <w:tcPr>
            <w:tcW w:w="1020" w:type="dxa"/>
            <w:tcBorders>
              <w:top w:val="single" w:sz="8" w:space="0" w:color="auto"/>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Testing labs</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08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02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180</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180</w:t>
            </w:r>
          </w:p>
        </w:tc>
        <w:tc>
          <w:tcPr>
            <w:tcW w:w="960" w:type="dxa"/>
            <w:tcBorders>
              <w:top w:val="single" w:sz="8" w:space="0" w:color="auto"/>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19800</w:t>
            </w:r>
          </w:p>
        </w:tc>
      </w:tr>
      <w:tr w:rsidR="00981A7C" w:rsidRPr="00981A7C" w:rsidTr="00981A7C">
        <w:trPr>
          <w:trHeight w:val="315"/>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w:t>
            </w:r>
          </w:p>
        </w:tc>
      </w:tr>
      <w:tr w:rsidR="00981A7C" w:rsidRPr="00981A7C" w:rsidTr="00981A7C">
        <w:trPr>
          <w:trHeight w:val="315"/>
        </w:trPr>
        <w:tc>
          <w:tcPr>
            <w:tcW w:w="10020"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This form is used to demonstrate accuracy and precision of test methods used to determine presence of solvent or dye.  Virtually all laboratories have already qualified and we expect no more than one application per year.</w:t>
            </w:r>
          </w:p>
        </w:tc>
      </w:tr>
      <w:tr w:rsidR="00981A7C" w:rsidRPr="00981A7C" w:rsidTr="00981A7C">
        <w:trPr>
          <w:trHeight w:val="300"/>
        </w:trPr>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300"/>
        </w:trPr>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300"/>
        </w:trPr>
        <w:tc>
          <w:tcPr>
            <w:tcW w:w="3900" w:type="dxa"/>
            <w:gridSpan w:val="4"/>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r w:rsidRPr="00981A7C">
              <w:rPr>
                <w:rFonts w:ascii="Calibri" w:hAnsi="Calibri" w:cs="Calibri"/>
                <w:b/>
                <w:bCs/>
                <w:color w:val="000000"/>
                <w:sz w:val="22"/>
                <w:szCs w:val="22"/>
              </w:rPr>
              <w:t>REGISTRATION &amp; OTHER ITEMS </w:t>
            </w: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315"/>
        </w:trPr>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300"/>
        </w:trPr>
        <w:tc>
          <w:tcPr>
            <w:tcW w:w="1920" w:type="dxa"/>
            <w:gridSpan w:val="2"/>
            <w:vMerge w:val="restart"/>
            <w:tcBorders>
              <w:top w:val="single" w:sz="8" w:space="0" w:color="auto"/>
              <w:left w:val="single" w:sz="8" w:space="0" w:color="auto"/>
              <w:bottom w:val="nil"/>
              <w:right w:val="single" w:sz="8" w:space="0" w:color="000000"/>
            </w:tcBorders>
            <w:shd w:val="clear" w:color="auto" w:fill="auto"/>
            <w:hideMark/>
          </w:tcPr>
          <w:p w:rsidR="00981A7C" w:rsidRPr="00981A7C" w:rsidRDefault="00981A7C" w:rsidP="00981A7C">
            <w:pPr>
              <w:widowControl/>
              <w:autoSpaceDE/>
              <w:autoSpaceDN/>
              <w:rPr>
                <w:rFonts w:ascii="Calibri" w:hAnsi="Calibri" w:cs="Calibri"/>
                <w:b/>
                <w:bCs/>
                <w:color w:val="000000"/>
                <w:sz w:val="22"/>
                <w:szCs w:val="22"/>
              </w:rPr>
            </w:pPr>
            <w:r w:rsidRPr="00981A7C">
              <w:rPr>
                <w:rFonts w:ascii="Calibri" w:hAnsi="Calibri" w:cs="Calibri"/>
                <w:b/>
                <w:bCs/>
                <w:color w:val="000000"/>
                <w:sz w:val="22"/>
                <w:szCs w:val="22"/>
              </w:rPr>
              <w:t xml:space="preserve"> Updates to Existing Registration</w:t>
            </w:r>
          </w:p>
        </w:tc>
        <w:tc>
          <w:tcPr>
            <w:tcW w:w="1020" w:type="dxa"/>
            <w:tcBorders>
              <w:top w:val="single" w:sz="8" w:space="0" w:color="auto"/>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Any party</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2</w:t>
            </w:r>
          </w:p>
        </w:tc>
        <w:tc>
          <w:tcPr>
            <w:tcW w:w="108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2</w:t>
            </w:r>
          </w:p>
        </w:tc>
        <w:tc>
          <w:tcPr>
            <w:tcW w:w="102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0.5</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single" w:sz="8" w:space="0" w:color="auto"/>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r>
      <w:tr w:rsidR="00981A7C" w:rsidRPr="00981A7C" w:rsidTr="00981A7C">
        <w:trPr>
          <w:trHeight w:val="315"/>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w:t>
            </w:r>
          </w:p>
        </w:tc>
      </w:tr>
      <w:tr w:rsidR="00981A7C" w:rsidRPr="00981A7C" w:rsidTr="00981A7C">
        <w:trPr>
          <w:trHeight w:val="315"/>
        </w:trPr>
        <w:tc>
          <w:tcPr>
            <w:tcW w:w="10020"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Virtually all parties have registered, and we expect no more than two updates to registrations per year.</w:t>
            </w:r>
          </w:p>
        </w:tc>
      </w:tr>
      <w:tr w:rsidR="00981A7C" w:rsidRPr="00981A7C" w:rsidTr="00981A7C">
        <w:trPr>
          <w:trHeight w:val="315"/>
        </w:trPr>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300"/>
        </w:trPr>
        <w:tc>
          <w:tcPr>
            <w:tcW w:w="1920" w:type="dxa"/>
            <w:gridSpan w:val="2"/>
            <w:vMerge w:val="restart"/>
            <w:tcBorders>
              <w:top w:val="single" w:sz="8" w:space="0" w:color="auto"/>
              <w:left w:val="single" w:sz="8" w:space="0" w:color="auto"/>
              <w:bottom w:val="nil"/>
              <w:right w:val="single" w:sz="8" w:space="0" w:color="000000"/>
            </w:tcBorders>
            <w:shd w:val="clear" w:color="auto" w:fill="auto"/>
            <w:hideMark/>
          </w:tcPr>
          <w:p w:rsidR="00981A7C" w:rsidRPr="00981A7C" w:rsidRDefault="00981A7C" w:rsidP="00981A7C">
            <w:pPr>
              <w:widowControl/>
              <w:autoSpaceDE/>
              <w:autoSpaceDN/>
              <w:rPr>
                <w:rFonts w:ascii="Calibri" w:hAnsi="Calibri" w:cs="Calibri"/>
                <w:b/>
                <w:bCs/>
                <w:color w:val="000000"/>
                <w:sz w:val="22"/>
                <w:szCs w:val="22"/>
              </w:rPr>
            </w:pPr>
            <w:r w:rsidRPr="00981A7C">
              <w:rPr>
                <w:rFonts w:ascii="Calibri" w:hAnsi="Calibri" w:cs="Calibri"/>
                <w:b/>
                <w:bCs/>
                <w:color w:val="000000"/>
                <w:sz w:val="22"/>
                <w:szCs w:val="22"/>
              </w:rPr>
              <w:t xml:space="preserve"> R&amp;D Exemptions</w:t>
            </w:r>
          </w:p>
        </w:tc>
        <w:tc>
          <w:tcPr>
            <w:tcW w:w="1020" w:type="dxa"/>
            <w:tcBorders>
              <w:top w:val="single" w:sz="8" w:space="0" w:color="auto"/>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Refiners</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2</w:t>
            </w:r>
          </w:p>
        </w:tc>
        <w:tc>
          <w:tcPr>
            <w:tcW w:w="108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2</w:t>
            </w:r>
          </w:p>
        </w:tc>
        <w:tc>
          <w:tcPr>
            <w:tcW w:w="102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2</w:t>
            </w:r>
          </w:p>
        </w:tc>
        <w:tc>
          <w:tcPr>
            <w:tcW w:w="960" w:type="dxa"/>
            <w:tcBorders>
              <w:top w:val="single" w:sz="8" w:space="0" w:color="auto"/>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220</w:t>
            </w:r>
          </w:p>
        </w:tc>
      </w:tr>
      <w:tr w:rsidR="00981A7C" w:rsidRPr="00981A7C" w:rsidTr="00981A7C">
        <w:trPr>
          <w:trHeight w:val="315"/>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w:t>
            </w:r>
          </w:p>
        </w:tc>
      </w:tr>
      <w:tr w:rsidR="00981A7C" w:rsidRPr="00981A7C" w:rsidTr="00981A7C">
        <w:trPr>
          <w:trHeight w:val="315"/>
        </w:trPr>
        <w:tc>
          <w:tcPr>
            <w:tcW w:w="10020"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xml:space="preserve">Research and development exemptions are available to parties engaging in bona fide test programs.  We receive approximately two applications per year.  </w:t>
            </w:r>
          </w:p>
        </w:tc>
      </w:tr>
      <w:tr w:rsidR="00981A7C" w:rsidRPr="00981A7C" w:rsidTr="00981A7C">
        <w:trPr>
          <w:trHeight w:val="315"/>
        </w:trPr>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300"/>
        </w:trPr>
        <w:tc>
          <w:tcPr>
            <w:tcW w:w="1920" w:type="dxa"/>
            <w:gridSpan w:val="2"/>
            <w:vMerge w:val="restart"/>
            <w:tcBorders>
              <w:top w:val="single" w:sz="8" w:space="0" w:color="auto"/>
              <w:left w:val="single" w:sz="8" w:space="0" w:color="auto"/>
              <w:bottom w:val="nil"/>
              <w:right w:val="single" w:sz="8" w:space="0" w:color="000000"/>
            </w:tcBorders>
            <w:shd w:val="clear" w:color="auto" w:fill="auto"/>
            <w:hideMark/>
          </w:tcPr>
          <w:p w:rsidR="00981A7C" w:rsidRPr="00981A7C" w:rsidRDefault="00981A7C" w:rsidP="00981A7C">
            <w:pPr>
              <w:widowControl/>
              <w:autoSpaceDE/>
              <w:autoSpaceDN/>
              <w:rPr>
                <w:rFonts w:ascii="Calibri" w:hAnsi="Calibri" w:cs="Calibri"/>
                <w:b/>
                <w:bCs/>
                <w:color w:val="7F7F7F"/>
                <w:sz w:val="22"/>
                <w:szCs w:val="22"/>
              </w:rPr>
            </w:pPr>
            <w:r w:rsidRPr="00981A7C">
              <w:rPr>
                <w:rFonts w:ascii="Calibri" w:hAnsi="Calibri" w:cs="Calibri"/>
                <w:b/>
                <w:bCs/>
                <w:color w:val="7F7F7F"/>
                <w:sz w:val="22"/>
                <w:szCs w:val="22"/>
              </w:rPr>
              <w:t>QA (record generation and retention)</w:t>
            </w:r>
          </w:p>
        </w:tc>
        <w:tc>
          <w:tcPr>
            <w:tcW w:w="1020" w:type="dxa"/>
            <w:tcBorders>
              <w:top w:val="single" w:sz="8" w:space="0" w:color="auto"/>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7F7F7F"/>
                <w:sz w:val="22"/>
                <w:szCs w:val="22"/>
              </w:rPr>
            </w:pPr>
            <w:r w:rsidRPr="00981A7C">
              <w:rPr>
                <w:rFonts w:ascii="Calibri" w:hAnsi="Calibri" w:cs="Calibri"/>
                <w:color w:val="7F7F7F"/>
                <w:sz w:val="22"/>
                <w:szCs w:val="22"/>
              </w:rPr>
              <w:t>Refiners</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7F7F7F"/>
                <w:sz w:val="22"/>
                <w:szCs w:val="22"/>
              </w:rPr>
            </w:pPr>
            <w:r w:rsidRPr="00981A7C">
              <w:rPr>
                <w:rFonts w:ascii="Calibri" w:hAnsi="Calibri" w:cs="Calibri"/>
                <w:color w:val="7F7F7F"/>
                <w:sz w:val="22"/>
                <w:szCs w:val="22"/>
              </w:rPr>
              <w:t>150</w:t>
            </w:r>
          </w:p>
        </w:tc>
        <w:tc>
          <w:tcPr>
            <w:tcW w:w="108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7F7F7F"/>
                <w:sz w:val="22"/>
                <w:szCs w:val="22"/>
              </w:rPr>
            </w:pPr>
            <w:r w:rsidRPr="00981A7C">
              <w:rPr>
                <w:rFonts w:ascii="Calibri" w:hAnsi="Calibri" w:cs="Calibri"/>
                <w:color w:val="7F7F7F"/>
                <w:sz w:val="22"/>
                <w:szCs w:val="22"/>
              </w:rPr>
              <w:t>100</w:t>
            </w:r>
          </w:p>
        </w:tc>
        <w:tc>
          <w:tcPr>
            <w:tcW w:w="114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7F7F7F"/>
                <w:sz w:val="22"/>
                <w:szCs w:val="22"/>
              </w:rPr>
            </w:pPr>
            <w:r w:rsidRPr="00981A7C">
              <w:rPr>
                <w:rFonts w:ascii="Calibri" w:hAnsi="Calibri" w:cs="Calibri"/>
                <w:color w:val="7F7F7F"/>
                <w:sz w:val="22"/>
                <w:szCs w:val="22"/>
              </w:rPr>
              <w:t>15000</w:t>
            </w:r>
          </w:p>
        </w:tc>
        <w:tc>
          <w:tcPr>
            <w:tcW w:w="102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7F7F7F"/>
                <w:sz w:val="22"/>
                <w:szCs w:val="22"/>
              </w:rPr>
            </w:pPr>
            <w:r w:rsidRPr="00981A7C">
              <w:rPr>
                <w:rFonts w:ascii="Calibri" w:hAnsi="Calibri" w:cs="Calibri"/>
                <w:color w:val="7F7F7F"/>
                <w:sz w:val="22"/>
                <w:szCs w:val="22"/>
              </w:rPr>
              <w:t>0.25</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7F7F7F"/>
                <w:sz w:val="22"/>
                <w:szCs w:val="22"/>
              </w:rPr>
            </w:pPr>
            <w:r w:rsidRPr="00981A7C">
              <w:rPr>
                <w:rFonts w:ascii="Calibri" w:hAnsi="Calibri" w:cs="Calibri"/>
                <w:color w:val="7F7F7F"/>
                <w:sz w:val="22"/>
                <w:szCs w:val="22"/>
              </w:rPr>
              <w:t>110</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7F7F7F"/>
                <w:sz w:val="22"/>
                <w:szCs w:val="22"/>
              </w:rPr>
            </w:pPr>
            <w:r w:rsidRPr="00981A7C">
              <w:rPr>
                <w:rFonts w:ascii="Calibri" w:hAnsi="Calibri" w:cs="Calibri"/>
                <w:color w:val="7F7F7F"/>
                <w:sz w:val="22"/>
                <w:szCs w:val="22"/>
              </w:rPr>
              <w:t>3750</w:t>
            </w:r>
          </w:p>
        </w:tc>
        <w:tc>
          <w:tcPr>
            <w:tcW w:w="960" w:type="dxa"/>
            <w:tcBorders>
              <w:top w:val="single" w:sz="8" w:space="0" w:color="auto"/>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7F7F7F"/>
                <w:sz w:val="22"/>
                <w:szCs w:val="22"/>
              </w:rPr>
            </w:pPr>
            <w:r w:rsidRPr="00981A7C">
              <w:rPr>
                <w:rFonts w:ascii="Calibri" w:hAnsi="Calibri" w:cs="Calibri"/>
                <w:color w:val="7F7F7F"/>
                <w:sz w:val="22"/>
                <w:szCs w:val="22"/>
              </w:rPr>
              <w:t>412500</w:t>
            </w:r>
          </w:p>
        </w:tc>
      </w:tr>
      <w:tr w:rsidR="00981A7C" w:rsidRPr="00981A7C" w:rsidTr="00981A7C">
        <w:trPr>
          <w:trHeight w:val="315"/>
        </w:trPr>
        <w:tc>
          <w:tcPr>
            <w:tcW w:w="1920" w:type="dxa"/>
            <w:gridSpan w:val="2"/>
            <w:vMerge/>
            <w:tcBorders>
              <w:top w:val="single" w:sz="8" w:space="0" w:color="auto"/>
              <w:left w:val="single" w:sz="8" w:space="0" w:color="auto"/>
              <w:bottom w:val="nil"/>
              <w:right w:val="single" w:sz="8" w:space="0" w:color="000000"/>
            </w:tcBorders>
            <w:vAlign w:val="center"/>
            <w:hideMark/>
          </w:tcPr>
          <w:p w:rsidR="00981A7C" w:rsidRPr="00981A7C" w:rsidRDefault="00981A7C" w:rsidP="00981A7C">
            <w:pPr>
              <w:widowControl/>
              <w:autoSpaceDE/>
              <w:autoSpaceDN/>
              <w:rPr>
                <w:rFonts w:ascii="Calibri" w:hAnsi="Calibri" w:cs="Calibri"/>
                <w:b/>
                <w:bCs/>
                <w:color w:val="7F7F7F"/>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7F7F7F"/>
                <w:sz w:val="22"/>
                <w:szCs w:val="22"/>
              </w:rPr>
            </w:pPr>
            <w:r w:rsidRPr="00981A7C">
              <w:rPr>
                <w:rFonts w:ascii="Calibri" w:hAnsi="Calibri" w:cs="Calibri"/>
                <w:color w:val="7F7F7F"/>
                <w:sz w:val="22"/>
                <w:szCs w:val="22"/>
              </w:rPr>
              <w:t>Importers</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7F7F7F"/>
                <w:sz w:val="22"/>
                <w:szCs w:val="22"/>
              </w:rPr>
            </w:pPr>
            <w:r w:rsidRPr="00981A7C">
              <w:rPr>
                <w:rFonts w:ascii="Calibri" w:hAnsi="Calibri" w:cs="Calibri"/>
                <w:color w:val="7F7F7F"/>
                <w:sz w:val="22"/>
                <w:szCs w:val="22"/>
              </w:rPr>
              <w:t>50</w:t>
            </w: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7F7F7F"/>
                <w:sz w:val="22"/>
                <w:szCs w:val="22"/>
              </w:rPr>
            </w:pPr>
            <w:r w:rsidRPr="00981A7C">
              <w:rPr>
                <w:rFonts w:ascii="Calibri" w:hAnsi="Calibri" w:cs="Calibri"/>
                <w:color w:val="7F7F7F"/>
                <w:sz w:val="22"/>
                <w:szCs w:val="22"/>
              </w:rPr>
              <w:t>100</w:t>
            </w: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7F7F7F"/>
                <w:sz w:val="22"/>
                <w:szCs w:val="22"/>
              </w:rPr>
            </w:pPr>
            <w:r w:rsidRPr="00981A7C">
              <w:rPr>
                <w:rFonts w:ascii="Calibri" w:hAnsi="Calibri" w:cs="Calibri"/>
                <w:color w:val="7F7F7F"/>
                <w:sz w:val="22"/>
                <w:szCs w:val="22"/>
              </w:rPr>
              <w:t>5000</w:t>
            </w: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7F7F7F"/>
                <w:sz w:val="22"/>
                <w:szCs w:val="22"/>
              </w:rPr>
            </w:pPr>
            <w:r w:rsidRPr="00981A7C">
              <w:rPr>
                <w:rFonts w:ascii="Calibri" w:hAnsi="Calibri" w:cs="Calibri"/>
                <w:color w:val="7F7F7F"/>
                <w:sz w:val="22"/>
                <w:szCs w:val="22"/>
              </w:rPr>
              <w:t>0.25</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7F7F7F"/>
                <w:sz w:val="22"/>
                <w:szCs w:val="22"/>
              </w:rPr>
            </w:pPr>
            <w:r w:rsidRPr="00981A7C">
              <w:rPr>
                <w:rFonts w:ascii="Calibri" w:hAnsi="Calibri" w:cs="Calibri"/>
                <w:color w:val="7F7F7F"/>
                <w:sz w:val="22"/>
                <w:szCs w:val="22"/>
              </w:rPr>
              <w:t>110</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7F7F7F"/>
                <w:sz w:val="22"/>
                <w:szCs w:val="22"/>
              </w:rPr>
            </w:pPr>
            <w:r w:rsidRPr="00981A7C">
              <w:rPr>
                <w:rFonts w:ascii="Calibri" w:hAnsi="Calibri" w:cs="Calibri"/>
                <w:color w:val="7F7F7F"/>
                <w:sz w:val="22"/>
                <w:szCs w:val="22"/>
              </w:rPr>
              <w:t>1250</w:t>
            </w: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7F7F7F"/>
                <w:sz w:val="22"/>
                <w:szCs w:val="22"/>
              </w:rPr>
            </w:pPr>
            <w:r w:rsidRPr="00981A7C">
              <w:rPr>
                <w:rFonts w:ascii="Calibri" w:hAnsi="Calibri" w:cs="Calibri"/>
                <w:color w:val="7F7F7F"/>
                <w:sz w:val="22"/>
                <w:szCs w:val="22"/>
              </w:rPr>
              <w:t>137500</w:t>
            </w:r>
          </w:p>
        </w:tc>
      </w:tr>
      <w:tr w:rsidR="00981A7C" w:rsidRPr="00981A7C" w:rsidTr="00981A7C">
        <w:trPr>
          <w:trHeight w:val="315"/>
        </w:trPr>
        <w:tc>
          <w:tcPr>
            <w:tcW w:w="10020"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981A7C" w:rsidRPr="00981A7C" w:rsidRDefault="00981A7C" w:rsidP="00981A7C">
            <w:pPr>
              <w:widowControl/>
              <w:autoSpaceDE/>
              <w:autoSpaceDN/>
              <w:rPr>
                <w:rFonts w:ascii="Calibri" w:hAnsi="Calibri" w:cs="Calibri"/>
                <w:color w:val="7F7F7F"/>
                <w:sz w:val="22"/>
                <w:szCs w:val="22"/>
              </w:rPr>
            </w:pPr>
            <w:r w:rsidRPr="00981A7C">
              <w:rPr>
                <w:rFonts w:ascii="Calibri" w:hAnsi="Calibri" w:cs="Calibri"/>
                <w:color w:val="7F7F7F"/>
                <w:sz w:val="22"/>
                <w:szCs w:val="22"/>
              </w:rPr>
              <w:lastRenderedPageBreak/>
              <w:t>Quality Assurance records must be retained for five years.</w:t>
            </w:r>
          </w:p>
        </w:tc>
      </w:tr>
      <w:tr w:rsidR="00981A7C" w:rsidRPr="00981A7C" w:rsidTr="00981A7C">
        <w:trPr>
          <w:trHeight w:val="315"/>
        </w:trPr>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300"/>
        </w:trPr>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981A7C" w:rsidRPr="00981A7C" w:rsidRDefault="00981A7C" w:rsidP="00981A7C">
            <w:pPr>
              <w:widowControl/>
              <w:autoSpaceDE/>
              <w:autoSpaceDN/>
              <w:rPr>
                <w:rFonts w:ascii="Calibri" w:hAnsi="Calibri" w:cs="Calibri"/>
                <w:b/>
                <w:bCs/>
                <w:color w:val="000000"/>
                <w:sz w:val="22"/>
                <w:szCs w:val="22"/>
              </w:rPr>
            </w:pPr>
            <w:r w:rsidRPr="00981A7C">
              <w:rPr>
                <w:rFonts w:ascii="Calibri" w:hAnsi="Calibri" w:cs="Calibri"/>
                <w:b/>
                <w:bCs/>
                <w:color w:val="000000"/>
                <w:sz w:val="22"/>
                <w:szCs w:val="22"/>
              </w:rPr>
              <w:t>Foreign Refiners Recordkeeping and Reporting</w:t>
            </w:r>
          </w:p>
        </w:tc>
        <w:tc>
          <w:tcPr>
            <w:tcW w:w="1020" w:type="dxa"/>
            <w:tcBorders>
              <w:top w:val="single" w:sz="8" w:space="0" w:color="auto"/>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Refiners</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w:t>
            </w:r>
          </w:p>
        </w:tc>
        <w:tc>
          <w:tcPr>
            <w:tcW w:w="108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w:t>
            </w:r>
          </w:p>
        </w:tc>
        <w:tc>
          <w:tcPr>
            <w:tcW w:w="114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5</w:t>
            </w:r>
          </w:p>
        </w:tc>
        <w:tc>
          <w:tcPr>
            <w:tcW w:w="102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40</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200</w:t>
            </w:r>
          </w:p>
        </w:tc>
        <w:tc>
          <w:tcPr>
            <w:tcW w:w="960" w:type="dxa"/>
            <w:tcBorders>
              <w:top w:val="single" w:sz="8" w:space="0" w:color="auto"/>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22000</w:t>
            </w:r>
          </w:p>
        </w:tc>
      </w:tr>
      <w:tr w:rsidR="00981A7C" w:rsidRPr="00981A7C" w:rsidTr="00981A7C">
        <w:trPr>
          <w:trHeight w:val="315"/>
        </w:trPr>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w:t>
            </w:r>
          </w:p>
        </w:tc>
      </w:tr>
      <w:tr w:rsidR="00981A7C" w:rsidRPr="00981A7C" w:rsidTr="00981A7C">
        <w:trPr>
          <w:trHeight w:val="315"/>
        </w:trPr>
        <w:tc>
          <w:tcPr>
            <w:tcW w:w="10020"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This refers to requirements specific to foreign refiners.  As with domestics, records must be retained for five years.</w:t>
            </w:r>
          </w:p>
        </w:tc>
      </w:tr>
      <w:tr w:rsidR="00981A7C" w:rsidRPr="00981A7C" w:rsidTr="00981A7C">
        <w:trPr>
          <w:trHeight w:val="315"/>
        </w:trPr>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7F7F7F"/>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7F7F7F"/>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7F7F7F"/>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7F7F7F"/>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7F7F7F"/>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7F7F7F"/>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7F7F7F"/>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7F7F7F"/>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7F7F7F"/>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7F7F7F"/>
                <w:sz w:val="22"/>
                <w:szCs w:val="22"/>
              </w:rPr>
            </w:pPr>
          </w:p>
        </w:tc>
      </w:tr>
      <w:tr w:rsidR="00981A7C" w:rsidRPr="00981A7C" w:rsidTr="00981A7C">
        <w:trPr>
          <w:trHeight w:val="1800"/>
        </w:trPr>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rsidR="00981A7C" w:rsidRPr="00981A7C" w:rsidRDefault="00981A7C" w:rsidP="00981A7C">
            <w:pPr>
              <w:widowControl/>
              <w:autoSpaceDE/>
              <w:autoSpaceDN/>
              <w:rPr>
                <w:rFonts w:ascii="Calibri" w:hAnsi="Calibri" w:cs="Calibri"/>
                <w:b/>
                <w:bCs/>
                <w:color w:val="000000"/>
                <w:sz w:val="22"/>
                <w:szCs w:val="22"/>
              </w:rPr>
            </w:pPr>
            <w:r w:rsidRPr="00981A7C">
              <w:rPr>
                <w:rFonts w:ascii="Calibri" w:hAnsi="Calibri" w:cs="Calibri"/>
                <w:b/>
                <w:bCs/>
                <w:color w:val="000000"/>
                <w:sz w:val="22"/>
                <w:szCs w:val="22"/>
              </w:rPr>
              <w:t>Placement of PTD Codes (dye/content)</w:t>
            </w:r>
          </w:p>
        </w:tc>
        <w:tc>
          <w:tcPr>
            <w:tcW w:w="1020" w:type="dxa"/>
            <w:tcBorders>
              <w:top w:val="single" w:sz="8" w:space="0" w:color="auto"/>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xml:space="preserve">Various parties in the </w:t>
            </w:r>
            <w:proofErr w:type="spellStart"/>
            <w:r w:rsidRPr="00981A7C">
              <w:rPr>
                <w:rFonts w:ascii="Calibri" w:hAnsi="Calibri" w:cs="Calibri"/>
                <w:color w:val="000000"/>
                <w:sz w:val="22"/>
                <w:szCs w:val="22"/>
              </w:rPr>
              <w:t>distrib-ution</w:t>
            </w:r>
            <w:proofErr w:type="spellEnd"/>
            <w:r w:rsidRPr="00981A7C">
              <w:rPr>
                <w:rFonts w:ascii="Calibri" w:hAnsi="Calibri" w:cs="Calibri"/>
                <w:color w:val="000000"/>
                <w:sz w:val="22"/>
                <w:szCs w:val="22"/>
              </w:rPr>
              <w:t xml:space="preserve"> system </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1200</w:t>
            </w:r>
          </w:p>
        </w:tc>
        <w:tc>
          <w:tcPr>
            <w:tcW w:w="108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200</w:t>
            </w:r>
          </w:p>
        </w:tc>
        <w:tc>
          <w:tcPr>
            <w:tcW w:w="114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240000</w:t>
            </w:r>
          </w:p>
        </w:tc>
        <w:tc>
          <w:tcPr>
            <w:tcW w:w="102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0.0333</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110</w:t>
            </w:r>
          </w:p>
        </w:tc>
        <w:tc>
          <w:tcPr>
            <w:tcW w:w="960" w:type="dxa"/>
            <w:tcBorders>
              <w:top w:val="single" w:sz="8" w:space="0" w:color="auto"/>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7992</w:t>
            </w:r>
          </w:p>
        </w:tc>
        <w:tc>
          <w:tcPr>
            <w:tcW w:w="960" w:type="dxa"/>
            <w:tcBorders>
              <w:top w:val="single" w:sz="8" w:space="0" w:color="auto"/>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jc w:val="right"/>
              <w:rPr>
                <w:rFonts w:ascii="Calibri" w:hAnsi="Calibri" w:cs="Calibri"/>
                <w:color w:val="000000"/>
                <w:sz w:val="22"/>
                <w:szCs w:val="22"/>
              </w:rPr>
            </w:pPr>
            <w:r w:rsidRPr="00981A7C">
              <w:rPr>
                <w:rFonts w:ascii="Calibri" w:hAnsi="Calibri" w:cs="Calibri"/>
                <w:color w:val="000000"/>
                <w:sz w:val="22"/>
                <w:szCs w:val="22"/>
              </w:rPr>
              <w:t>879120</w:t>
            </w:r>
          </w:p>
        </w:tc>
      </w:tr>
      <w:tr w:rsidR="00981A7C" w:rsidRPr="00981A7C" w:rsidTr="00981A7C">
        <w:trPr>
          <w:trHeight w:val="315"/>
        </w:trPr>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single" w:sz="8" w:space="0" w:color="auto"/>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w:t>
            </w:r>
          </w:p>
        </w:tc>
      </w:tr>
      <w:tr w:rsidR="00981A7C" w:rsidRPr="00981A7C" w:rsidTr="00981A7C">
        <w:trPr>
          <w:trHeight w:val="315"/>
        </w:trPr>
        <w:tc>
          <w:tcPr>
            <w:tcW w:w="10020"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981A7C" w:rsidRPr="00981A7C" w:rsidRDefault="00981A7C" w:rsidP="00981A7C">
            <w:pPr>
              <w:widowControl/>
              <w:autoSpaceDE/>
              <w:autoSpaceDN/>
              <w:rPr>
                <w:rFonts w:ascii="Calibri" w:hAnsi="Calibri" w:cs="Calibri"/>
                <w:color w:val="000000"/>
                <w:sz w:val="22"/>
                <w:szCs w:val="22"/>
              </w:rPr>
            </w:pPr>
            <w:r w:rsidRPr="00981A7C">
              <w:rPr>
                <w:rFonts w:ascii="Calibri" w:hAnsi="Calibri" w:cs="Calibri"/>
                <w:color w:val="000000"/>
                <w:sz w:val="22"/>
                <w:szCs w:val="22"/>
              </w:rPr>
              <w:t xml:space="preserve">Product codes or pre-programmed statements are used to communicate the type of product.  They are typically applied by automated systems (i.e., computerized).  </w:t>
            </w:r>
          </w:p>
        </w:tc>
      </w:tr>
      <w:tr w:rsidR="00981A7C" w:rsidRPr="00981A7C" w:rsidTr="00981A7C">
        <w:trPr>
          <w:trHeight w:val="300"/>
        </w:trPr>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300"/>
        </w:trPr>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color w:val="000000"/>
                <w:sz w:val="22"/>
                <w:szCs w:val="22"/>
              </w:rPr>
            </w:pPr>
          </w:p>
        </w:tc>
      </w:tr>
      <w:tr w:rsidR="00981A7C" w:rsidRPr="00981A7C" w:rsidTr="00981A7C">
        <w:trPr>
          <w:trHeight w:val="300"/>
        </w:trPr>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r w:rsidRPr="00981A7C">
              <w:rPr>
                <w:rFonts w:ascii="Calibri" w:hAnsi="Calibri" w:cs="Calibri"/>
                <w:b/>
                <w:bCs/>
                <w:color w:val="000000"/>
                <w:sz w:val="22"/>
                <w:szCs w:val="22"/>
              </w:rPr>
              <w:t>TOTALS</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b/>
                <w:bCs/>
                <w:color w:val="000000"/>
                <w:sz w:val="22"/>
                <w:szCs w:val="22"/>
              </w:rPr>
            </w:pPr>
            <w:r w:rsidRPr="00981A7C">
              <w:rPr>
                <w:rFonts w:ascii="Calibri" w:hAnsi="Calibri" w:cs="Calibri"/>
                <w:b/>
                <w:bCs/>
                <w:color w:val="000000"/>
                <w:sz w:val="22"/>
                <w:szCs w:val="22"/>
              </w:rPr>
              <w:t>6806</w:t>
            </w: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b/>
                <w:bCs/>
                <w:color w:val="000000"/>
                <w:sz w:val="22"/>
                <w:szCs w:val="22"/>
              </w:rPr>
            </w:pPr>
            <w:r w:rsidRPr="00981A7C">
              <w:rPr>
                <w:rFonts w:ascii="Calibri" w:hAnsi="Calibri" w:cs="Calibri"/>
                <w:b/>
                <w:bCs/>
                <w:color w:val="000000"/>
                <w:sz w:val="22"/>
                <w:szCs w:val="22"/>
              </w:rPr>
              <w:t>265406</w:t>
            </w: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b/>
                <w:bCs/>
                <w:color w:val="000000"/>
                <w:sz w:val="22"/>
                <w:szCs w:val="22"/>
              </w:rPr>
            </w:pPr>
            <w:r w:rsidRPr="00981A7C">
              <w:rPr>
                <w:rFonts w:ascii="Calibri" w:hAnsi="Calibri" w:cs="Calibri"/>
                <w:b/>
                <w:bCs/>
                <w:color w:val="000000"/>
                <w:sz w:val="22"/>
                <w:szCs w:val="22"/>
              </w:rPr>
              <w:t>18950</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jc w:val="right"/>
              <w:rPr>
                <w:rFonts w:ascii="Calibri" w:hAnsi="Calibri" w:cs="Calibri"/>
                <w:b/>
                <w:bCs/>
                <w:color w:val="000000"/>
                <w:sz w:val="22"/>
                <w:szCs w:val="22"/>
              </w:rPr>
            </w:pPr>
            <w:r w:rsidRPr="00981A7C">
              <w:rPr>
                <w:rFonts w:ascii="Calibri" w:hAnsi="Calibri" w:cs="Calibri"/>
                <w:b/>
                <w:bCs/>
                <w:color w:val="000000"/>
                <w:sz w:val="22"/>
                <w:szCs w:val="22"/>
              </w:rPr>
              <w:t>2084500</w:t>
            </w:r>
          </w:p>
        </w:tc>
      </w:tr>
      <w:tr w:rsidR="00981A7C" w:rsidRPr="00981A7C" w:rsidTr="00981A7C">
        <w:trPr>
          <w:trHeight w:val="300"/>
        </w:trPr>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r w:rsidRPr="00981A7C">
              <w:rPr>
                <w:rFonts w:ascii="Calibri" w:hAnsi="Calibri" w:cs="Calibri"/>
                <w:b/>
                <w:bCs/>
                <w:color w:val="000000"/>
                <w:sz w:val="22"/>
                <w:szCs w:val="22"/>
              </w:rPr>
              <w:t>Parties</w:t>
            </w:r>
          </w:p>
        </w:tc>
        <w:tc>
          <w:tcPr>
            <w:tcW w:w="108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p>
        </w:tc>
        <w:tc>
          <w:tcPr>
            <w:tcW w:w="114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r w:rsidRPr="00981A7C">
              <w:rPr>
                <w:rFonts w:ascii="Calibri" w:hAnsi="Calibri" w:cs="Calibri"/>
                <w:b/>
                <w:bCs/>
                <w:color w:val="000000"/>
                <w:sz w:val="22"/>
                <w:szCs w:val="22"/>
              </w:rPr>
              <w:t>Responses</w:t>
            </w:r>
          </w:p>
        </w:tc>
        <w:tc>
          <w:tcPr>
            <w:tcW w:w="102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r w:rsidRPr="00981A7C">
              <w:rPr>
                <w:rFonts w:ascii="Calibri" w:hAnsi="Calibri" w:cs="Calibri"/>
                <w:b/>
                <w:bCs/>
                <w:color w:val="000000"/>
                <w:sz w:val="22"/>
                <w:szCs w:val="22"/>
              </w:rPr>
              <w:t> Hours</w:t>
            </w:r>
          </w:p>
        </w:tc>
        <w:tc>
          <w:tcPr>
            <w:tcW w:w="960" w:type="dxa"/>
            <w:tcBorders>
              <w:top w:val="nil"/>
              <w:left w:val="nil"/>
              <w:bottom w:val="nil"/>
              <w:right w:val="nil"/>
            </w:tcBorders>
            <w:shd w:val="clear" w:color="auto" w:fill="auto"/>
            <w:noWrap/>
            <w:vAlign w:val="bottom"/>
            <w:hideMark/>
          </w:tcPr>
          <w:p w:rsidR="00981A7C" w:rsidRPr="00981A7C" w:rsidRDefault="00981A7C" w:rsidP="00981A7C">
            <w:pPr>
              <w:widowControl/>
              <w:autoSpaceDE/>
              <w:autoSpaceDN/>
              <w:rPr>
                <w:rFonts w:ascii="Calibri" w:hAnsi="Calibri" w:cs="Calibri"/>
                <w:b/>
                <w:bCs/>
                <w:color w:val="000000"/>
                <w:sz w:val="22"/>
                <w:szCs w:val="22"/>
              </w:rPr>
            </w:pPr>
            <w:r w:rsidRPr="00981A7C">
              <w:rPr>
                <w:rFonts w:ascii="Calibri" w:hAnsi="Calibri" w:cs="Calibri"/>
                <w:b/>
                <w:bCs/>
                <w:color w:val="000000"/>
                <w:sz w:val="22"/>
                <w:szCs w:val="22"/>
              </w:rPr>
              <w:t> Cost ($)</w:t>
            </w:r>
          </w:p>
        </w:tc>
      </w:tr>
    </w:tbl>
    <w:p w:rsidR="004A3FDB" w:rsidRDefault="004A3FDB" w:rsidP="009E40F9">
      <w:pPr>
        <w:numPr>
          <w:ilvl w:val="12"/>
          <w:numId w:val="0"/>
        </w:numPr>
        <w:rPr>
          <w:sz w:val="24"/>
          <w:szCs w:val="24"/>
        </w:rPr>
      </w:pPr>
    </w:p>
    <w:p w:rsidR="00981A7C" w:rsidRDefault="00981A7C">
      <w:pPr>
        <w:widowControl/>
        <w:autoSpaceDE/>
        <w:autoSpaceDN/>
        <w:rPr>
          <w:sz w:val="24"/>
          <w:szCs w:val="24"/>
        </w:rPr>
      </w:pPr>
      <w:r>
        <w:rPr>
          <w:sz w:val="24"/>
          <w:szCs w:val="24"/>
        </w:rPr>
        <w:br w:type="page"/>
      </w:r>
    </w:p>
    <w:p w:rsidR="004A3FDB" w:rsidRDefault="004A3FDB" w:rsidP="009E40F9">
      <w:pPr>
        <w:numPr>
          <w:ilvl w:val="12"/>
          <w:numId w:val="0"/>
        </w:numPr>
        <w:rPr>
          <w:sz w:val="24"/>
          <w:szCs w:val="24"/>
        </w:rPr>
        <w:sectPr w:rsidR="004A3FDB" w:rsidSect="00981A7C">
          <w:headerReference w:type="default" r:id="rId9"/>
          <w:footerReference w:type="default" r:id="rId10"/>
          <w:pgSz w:w="12240" w:h="15840"/>
          <w:pgMar w:top="1786" w:right="1440" w:bottom="1440" w:left="1440" w:header="1354" w:footer="1440" w:gutter="0"/>
          <w:cols w:space="720"/>
          <w:noEndnote/>
          <w:docGrid w:linePitch="272"/>
        </w:sectPr>
      </w:pPr>
    </w:p>
    <w:p w:rsidR="004A3FDB" w:rsidRPr="00193907" w:rsidRDefault="004A3FDB" w:rsidP="004A3FDB">
      <w:pPr>
        <w:numPr>
          <w:ilvl w:val="12"/>
          <w:numId w:val="0"/>
        </w:numPr>
        <w:tabs>
          <w:tab w:val="left" w:pos="720"/>
          <w:tab w:val="left" w:pos="1440"/>
        </w:tabs>
        <w:ind w:left="1440" w:hanging="1440"/>
        <w:rPr>
          <w:sz w:val="24"/>
          <w:szCs w:val="24"/>
        </w:rPr>
      </w:pPr>
      <w:r w:rsidRPr="00193907">
        <w:rPr>
          <w:sz w:val="24"/>
          <w:szCs w:val="24"/>
        </w:rPr>
        <w:lastRenderedPageBreak/>
        <w:t>6(c)</w:t>
      </w:r>
      <w:r w:rsidRPr="00193907">
        <w:rPr>
          <w:sz w:val="24"/>
          <w:szCs w:val="24"/>
        </w:rPr>
        <w:tab/>
        <w:t>Estimating Agency Burden and Cost</w:t>
      </w:r>
    </w:p>
    <w:p w:rsidR="004A3FDB" w:rsidRPr="00193907" w:rsidRDefault="004A3FDB" w:rsidP="004A3FDB">
      <w:pPr>
        <w:numPr>
          <w:ilvl w:val="12"/>
          <w:numId w:val="0"/>
        </w:numPr>
        <w:rPr>
          <w:sz w:val="24"/>
          <w:szCs w:val="24"/>
        </w:rPr>
      </w:pPr>
    </w:p>
    <w:p w:rsidR="004A3FDB" w:rsidRPr="00193907" w:rsidRDefault="004A3FDB" w:rsidP="004A3FDB">
      <w:pPr>
        <w:numPr>
          <w:ilvl w:val="12"/>
          <w:numId w:val="0"/>
        </w:numPr>
        <w:rPr>
          <w:sz w:val="24"/>
          <w:szCs w:val="24"/>
        </w:rPr>
      </w:pPr>
      <w:r w:rsidRPr="00193907">
        <w:rPr>
          <w:sz w:val="24"/>
          <w:szCs w:val="24"/>
        </w:rPr>
        <w:tab/>
        <w:t>The Agency activities listed in 5(a) are part of an overall gasoline and diesel reporting system</w:t>
      </w:r>
      <w:r w:rsidR="00A0150F">
        <w:rPr>
          <w:sz w:val="24"/>
          <w:szCs w:val="24"/>
        </w:rPr>
        <w:t xml:space="preserve"> called the OTAQ Fuels Reporting System</w:t>
      </w:r>
      <w:r w:rsidRPr="00193907">
        <w:rPr>
          <w:sz w:val="24"/>
          <w:szCs w:val="24"/>
        </w:rPr>
        <w:t xml:space="preserve"> (including reformulated gasoline, conventional gasoline, and diesel).  </w:t>
      </w:r>
      <w:r w:rsidR="007972A1">
        <w:rPr>
          <w:sz w:val="24"/>
          <w:szCs w:val="24"/>
        </w:rPr>
        <w:t xml:space="preserve">We estimate that </w:t>
      </w:r>
      <w:r w:rsidR="00A0150F">
        <w:rPr>
          <w:sz w:val="24"/>
          <w:szCs w:val="24"/>
        </w:rPr>
        <w:t xml:space="preserve">the diesel portion </w:t>
      </w:r>
      <w:r w:rsidR="007972A1">
        <w:rPr>
          <w:sz w:val="24"/>
          <w:szCs w:val="24"/>
        </w:rPr>
        <w:t>costs approximately $1</w:t>
      </w:r>
      <w:r w:rsidR="00002BC0">
        <w:rPr>
          <w:sz w:val="24"/>
          <w:szCs w:val="24"/>
        </w:rPr>
        <w:t>2</w:t>
      </w:r>
      <w:r w:rsidR="007972A1">
        <w:rPr>
          <w:sz w:val="24"/>
          <w:szCs w:val="24"/>
        </w:rPr>
        <w:t xml:space="preserve">0,000 in personnel costs per year (i.e. approximately ¾ of a GS-13 employee with consideration of overhead and benefits).      </w:t>
      </w:r>
    </w:p>
    <w:p w:rsidR="004A3FDB" w:rsidRPr="00193907" w:rsidRDefault="004A3FDB" w:rsidP="004A3FDB">
      <w:pPr>
        <w:numPr>
          <w:ilvl w:val="12"/>
          <w:numId w:val="0"/>
        </w:numPr>
        <w:rPr>
          <w:sz w:val="24"/>
          <w:szCs w:val="24"/>
        </w:rPr>
      </w:pPr>
    </w:p>
    <w:p w:rsidR="004A3FDB" w:rsidRPr="00193907" w:rsidRDefault="004A3FDB" w:rsidP="004A3FDB">
      <w:pPr>
        <w:numPr>
          <w:ilvl w:val="12"/>
          <w:numId w:val="0"/>
        </w:numPr>
        <w:tabs>
          <w:tab w:val="left" w:pos="720"/>
          <w:tab w:val="left" w:pos="1440"/>
          <w:tab w:val="left" w:pos="2160"/>
          <w:tab w:val="left" w:pos="2880"/>
        </w:tabs>
        <w:ind w:left="2880" w:hanging="2880"/>
        <w:rPr>
          <w:sz w:val="24"/>
          <w:szCs w:val="24"/>
        </w:rPr>
      </w:pPr>
      <w:r w:rsidRPr="00193907">
        <w:rPr>
          <w:sz w:val="24"/>
          <w:szCs w:val="24"/>
        </w:rPr>
        <w:tab/>
        <w:t>6(d) and (e)</w:t>
      </w:r>
      <w:r w:rsidRPr="00193907">
        <w:rPr>
          <w:sz w:val="24"/>
          <w:szCs w:val="24"/>
        </w:rPr>
        <w:tab/>
        <w:t>Estimating the Respondent Universe and Total Burden and Costs, and Bottom Line Burden Hours and Costs</w:t>
      </w:r>
    </w:p>
    <w:p w:rsidR="004A3FDB" w:rsidRPr="00193907" w:rsidRDefault="004A3FDB" w:rsidP="004A3FDB">
      <w:pPr>
        <w:numPr>
          <w:ilvl w:val="12"/>
          <w:numId w:val="0"/>
        </w:numPr>
        <w:rPr>
          <w:sz w:val="24"/>
          <w:szCs w:val="24"/>
        </w:rPr>
      </w:pPr>
    </w:p>
    <w:p w:rsidR="004A3FDB" w:rsidRPr="00193907" w:rsidRDefault="004A3FDB" w:rsidP="004A3FDB">
      <w:pPr>
        <w:numPr>
          <w:ilvl w:val="12"/>
          <w:numId w:val="0"/>
        </w:numPr>
        <w:outlineLvl w:val="0"/>
        <w:rPr>
          <w:sz w:val="24"/>
          <w:szCs w:val="24"/>
        </w:rPr>
      </w:pPr>
      <w:r w:rsidRPr="00193907">
        <w:rPr>
          <w:sz w:val="24"/>
          <w:szCs w:val="24"/>
        </w:rPr>
        <w:tab/>
      </w:r>
      <w:r w:rsidR="00334AED">
        <w:rPr>
          <w:sz w:val="24"/>
          <w:szCs w:val="24"/>
        </w:rPr>
        <w:t>The detailed estimates are included in Table I</w:t>
      </w:r>
      <w:r w:rsidR="00423F25">
        <w:rPr>
          <w:sz w:val="24"/>
          <w:szCs w:val="24"/>
        </w:rPr>
        <w:t>, above</w:t>
      </w:r>
      <w:r w:rsidRPr="00193907">
        <w:rPr>
          <w:sz w:val="24"/>
          <w:szCs w:val="24"/>
        </w:rPr>
        <w:t>.</w:t>
      </w:r>
      <w:r w:rsidR="00A0150F">
        <w:rPr>
          <w:sz w:val="24"/>
          <w:szCs w:val="24"/>
        </w:rPr>
        <w:t xml:space="preserve">  </w:t>
      </w:r>
      <w:r w:rsidR="00334AED">
        <w:rPr>
          <w:sz w:val="24"/>
          <w:szCs w:val="24"/>
        </w:rPr>
        <w:t>We estimate that there will be 6,806 parties subject to this ICR</w:t>
      </w:r>
      <w:r w:rsidR="00A0150F">
        <w:rPr>
          <w:sz w:val="24"/>
          <w:szCs w:val="24"/>
        </w:rPr>
        <w:t>.</w:t>
      </w:r>
      <w:r w:rsidR="00334AED">
        <w:rPr>
          <w:sz w:val="24"/>
          <w:szCs w:val="24"/>
        </w:rPr>
        <w:t xml:space="preserve">  We estimate that there will be 265,406 responses; 18,950 hours; and a total cost (all of which is labor cost) of $2,084,500.  We estimate that there will be no </w:t>
      </w:r>
      <w:r w:rsidR="00423F25">
        <w:rPr>
          <w:sz w:val="24"/>
          <w:szCs w:val="24"/>
        </w:rPr>
        <w:t xml:space="preserve">($0) </w:t>
      </w:r>
      <w:r w:rsidR="00334AED">
        <w:rPr>
          <w:sz w:val="24"/>
          <w:szCs w:val="24"/>
        </w:rPr>
        <w:t xml:space="preserve">capital costs associated with this ICR.  </w:t>
      </w:r>
    </w:p>
    <w:p w:rsidR="004A3FDB" w:rsidRPr="00193907" w:rsidRDefault="004A3FDB" w:rsidP="004A3FDB">
      <w:pPr>
        <w:numPr>
          <w:ilvl w:val="12"/>
          <w:numId w:val="0"/>
        </w:numPr>
        <w:rPr>
          <w:sz w:val="24"/>
          <w:szCs w:val="24"/>
        </w:rPr>
      </w:pPr>
    </w:p>
    <w:p w:rsidR="004A3FDB" w:rsidRPr="004E58F8" w:rsidRDefault="004A3FDB" w:rsidP="004A3FDB">
      <w:pPr>
        <w:numPr>
          <w:ilvl w:val="12"/>
          <w:numId w:val="0"/>
        </w:numPr>
        <w:tabs>
          <w:tab w:val="left" w:pos="720"/>
          <w:tab w:val="left" w:pos="1440"/>
        </w:tabs>
        <w:ind w:left="1440" w:hanging="1440"/>
        <w:rPr>
          <w:sz w:val="24"/>
          <w:szCs w:val="24"/>
        </w:rPr>
      </w:pPr>
      <w:r w:rsidRPr="00193907">
        <w:rPr>
          <w:sz w:val="24"/>
          <w:szCs w:val="24"/>
        </w:rPr>
        <w:tab/>
      </w:r>
      <w:r w:rsidR="006D1364" w:rsidRPr="004E58F8">
        <w:rPr>
          <w:sz w:val="24"/>
          <w:szCs w:val="24"/>
        </w:rPr>
        <w:t>6(f)</w:t>
      </w:r>
      <w:r w:rsidR="006D1364" w:rsidRPr="004E58F8">
        <w:rPr>
          <w:sz w:val="24"/>
          <w:szCs w:val="24"/>
        </w:rPr>
        <w:tab/>
        <w:t>Reasons for Change in Burden</w:t>
      </w:r>
    </w:p>
    <w:p w:rsidR="004A3FDB" w:rsidRPr="004E58F8" w:rsidRDefault="004A3FDB" w:rsidP="004A3FDB">
      <w:pPr>
        <w:numPr>
          <w:ilvl w:val="12"/>
          <w:numId w:val="0"/>
        </w:numPr>
        <w:rPr>
          <w:sz w:val="24"/>
          <w:szCs w:val="24"/>
        </w:rPr>
      </w:pPr>
    </w:p>
    <w:p w:rsidR="004E58F8" w:rsidRDefault="006D1364" w:rsidP="004A3FDB">
      <w:pPr>
        <w:numPr>
          <w:ilvl w:val="12"/>
          <w:numId w:val="0"/>
        </w:numPr>
        <w:rPr>
          <w:sz w:val="24"/>
          <w:szCs w:val="24"/>
        </w:rPr>
      </w:pPr>
      <w:r w:rsidRPr="004E58F8">
        <w:rPr>
          <w:sz w:val="24"/>
          <w:szCs w:val="24"/>
        </w:rPr>
        <w:tab/>
        <w:t>For this renewal, we estimate a total annual burden of 265,406 responses, taking 18,950 hours, and costing $2,084,500</w:t>
      </w:r>
      <w:r w:rsidR="00B53320">
        <w:rPr>
          <w:sz w:val="24"/>
          <w:szCs w:val="24"/>
        </w:rPr>
        <w:t>.</w:t>
      </w:r>
      <w:r w:rsidR="00086EBE">
        <w:rPr>
          <w:sz w:val="24"/>
          <w:szCs w:val="24"/>
        </w:rPr>
        <w:t xml:space="preserve"> </w:t>
      </w:r>
      <w:r w:rsidR="00B53320">
        <w:rPr>
          <w:sz w:val="24"/>
          <w:szCs w:val="24"/>
        </w:rPr>
        <w:t xml:space="preserve"> (The entire $2,084,500 is</w:t>
      </w:r>
      <w:r w:rsidR="00086EBE">
        <w:rPr>
          <w:sz w:val="24"/>
          <w:szCs w:val="24"/>
        </w:rPr>
        <w:t xml:space="preserve"> labor cost</w:t>
      </w:r>
      <w:r w:rsidR="00334AED">
        <w:rPr>
          <w:sz w:val="24"/>
          <w:szCs w:val="24"/>
        </w:rPr>
        <w:t xml:space="preserve">; we estimate that there will be </w:t>
      </w:r>
      <w:r w:rsidR="00423F25">
        <w:rPr>
          <w:sz w:val="24"/>
          <w:szCs w:val="24"/>
        </w:rPr>
        <w:t xml:space="preserve">$0 of </w:t>
      </w:r>
      <w:r w:rsidR="00334AED">
        <w:rPr>
          <w:sz w:val="24"/>
          <w:szCs w:val="24"/>
        </w:rPr>
        <w:t>capital costs associated with this ICR.)</w:t>
      </w:r>
      <w:r w:rsidRPr="004E58F8">
        <w:rPr>
          <w:sz w:val="24"/>
          <w:szCs w:val="24"/>
        </w:rPr>
        <w:t xml:space="preserve">  </w:t>
      </w:r>
      <w:r w:rsidR="00B53320">
        <w:rPr>
          <w:sz w:val="24"/>
          <w:szCs w:val="24"/>
        </w:rPr>
        <w:t xml:space="preserve">Nearly the entire burden associated with this ICR renewal is best described as a reporting burden; however, of the total, 5,000 hours and $550,000 are attributable to generation and retention of QA records (i.e., recordkeeping).  </w:t>
      </w:r>
      <w:r w:rsidRPr="004E58F8">
        <w:rPr>
          <w:sz w:val="24"/>
          <w:szCs w:val="24"/>
        </w:rPr>
        <w:t xml:space="preserve">For the expiring approval, we had estimated 426,275 responses, taking </w:t>
      </w:r>
      <w:r w:rsidR="00EB61DB" w:rsidRPr="00EB61DB">
        <w:rPr>
          <w:sz w:val="24"/>
          <w:szCs w:val="24"/>
        </w:rPr>
        <w:t xml:space="preserve">285,261 </w:t>
      </w:r>
      <w:r w:rsidRPr="004E58F8">
        <w:rPr>
          <w:sz w:val="24"/>
          <w:szCs w:val="24"/>
        </w:rPr>
        <w:t>hours</w:t>
      </w:r>
      <w:r w:rsidR="00CE0C1E">
        <w:rPr>
          <w:sz w:val="24"/>
          <w:szCs w:val="24"/>
        </w:rPr>
        <w:t>.</w:t>
      </w:r>
      <w:r w:rsidRPr="004E58F8">
        <w:rPr>
          <w:sz w:val="24"/>
          <w:szCs w:val="24"/>
        </w:rPr>
        <w:t xml:space="preserve">  </w:t>
      </w:r>
      <w:r w:rsidR="004E58F8">
        <w:rPr>
          <w:sz w:val="24"/>
          <w:szCs w:val="24"/>
        </w:rPr>
        <w:t>Therefore, the burden has decreased</w:t>
      </w:r>
      <w:r w:rsidR="00EB61DB">
        <w:rPr>
          <w:sz w:val="24"/>
          <w:szCs w:val="24"/>
        </w:rPr>
        <w:t>, based upon the expiring approval, is</w:t>
      </w:r>
      <w:r w:rsidR="004E58F8">
        <w:rPr>
          <w:sz w:val="24"/>
          <w:szCs w:val="24"/>
        </w:rPr>
        <w:t xml:space="preserve"> as follows:</w:t>
      </w:r>
    </w:p>
    <w:p w:rsidR="00EB61DB" w:rsidRDefault="00EB61DB" w:rsidP="004A3FDB">
      <w:pPr>
        <w:numPr>
          <w:ilvl w:val="12"/>
          <w:numId w:val="0"/>
        </w:numPr>
        <w:rPr>
          <w:sz w:val="24"/>
          <w:szCs w:val="24"/>
        </w:rPr>
      </w:pPr>
    </w:p>
    <w:p w:rsidR="00EB61DB" w:rsidRPr="00EB61DB" w:rsidRDefault="00EB61DB" w:rsidP="00EB61DB">
      <w:pPr>
        <w:numPr>
          <w:ilvl w:val="12"/>
          <w:numId w:val="0"/>
        </w:numPr>
        <w:jc w:val="center"/>
        <w:rPr>
          <w:rFonts w:ascii="Arial" w:hAnsi="Arial" w:cs="Arial"/>
          <w:sz w:val="24"/>
          <w:szCs w:val="24"/>
        </w:rPr>
      </w:pPr>
      <w:r w:rsidRPr="00EB61DB">
        <w:rPr>
          <w:rFonts w:ascii="Arial" w:hAnsi="Arial" w:cs="Arial"/>
          <w:sz w:val="24"/>
          <w:szCs w:val="24"/>
        </w:rPr>
        <w:t>Table II - Change in Burden Based upon Expiring Approval</w:t>
      </w:r>
    </w:p>
    <w:p w:rsidR="00EB61DB" w:rsidRDefault="00EB61DB" w:rsidP="00EB61DB">
      <w:pPr>
        <w:numPr>
          <w:ilvl w:val="12"/>
          <w:numId w:val="0"/>
        </w:num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7"/>
        <w:gridCol w:w="2303"/>
        <w:gridCol w:w="2303"/>
        <w:gridCol w:w="2303"/>
      </w:tblGrid>
      <w:tr w:rsidR="00EB61DB" w:rsidRPr="00A84DE4" w:rsidTr="00653D45">
        <w:tc>
          <w:tcPr>
            <w:tcW w:w="2667" w:type="dxa"/>
          </w:tcPr>
          <w:p w:rsidR="00EB61DB" w:rsidRPr="00EB61DB" w:rsidRDefault="00EB61DB" w:rsidP="00653D45">
            <w:pPr>
              <w:numPr>
                <w:ilvl w:val="12"/>
                <w:numId w:val="0"/>
              </w:numPr>
              <w:rPr>
                <w:rFonts w:ascii="Arial" w:hAnsi="Arial" w:cs="Arial"/>
                <w:sz w:val="24"/>
                <w:szCs w:val="24"/>
              </w:rPr>
            </w:pPr>
          </w:p>
        </w:tc>
        <w:tc>
          <w:tcPr>
            <w:tcW w:w="2303" w:type="dxa"/>
          </w:tcPr>
          <w:p w:rsidR="00EB61DB" w:rsidRPr="00EB61DB" w:rsidRDefault="00EB61DB" w:rsidP="00653D45">
            <w:pPr>
              <w:numPr>
                <w:ilvl w:val="12"/>
                <w:numId w:val="0"/>
              </w:numPr>
              <w:rPr>
                <w:rFonts w:ascii="Arial" w:hAnsi="Arial" w:cs="Arial"/>
                <w:sz w:val="24"/>
                <w:szCs w:val="24"/>
              </w:rPr>
            </w:pPr>
            <w:r w:rsidRPr="00EB61DB">
              <w:rPr>
                <w:rFonts w:ascii="Arial" w:hAnsi="Arial" w:cs="Arial"/>
                <w:sz w:val="24"/>
                <w:szCs w:val="24"/>
              </w:rPr>
              <w:t>ICR Expiring 12/31/11</w:t>
            </w:r>
          </w:p>
        </w:tc>
        <w:tc>
          <w:tcPr>
            <w:tcW w:w="2303" w:type="dxa"/>
          </w:tcPr>
          <w:p w:rsidR="00EB61DB" w:rsidRPr="00EB61DB" w:rsidRDefault="00EB61DB" w:rsidP="00653D45">
            <w:pPr>
              <w:numPr>
                <w:ilvl w:val="12"/>
                <w:numId w:val="0"/>
              </w:numPr>
              <w:rPr>
                <w:rFonts w:ascii="Arial" w:hAnsi="Arial" w:cs="Arial"/>
                <w:sz w:val="24"/>
                <w:szCs w:val="24"/>
              </w:rPr>
            </w:pPr>
            <w:r w:rsidRPr="00EB61DB">
              <w:rPr>
                <w:rFonts w:ascii="Arial" w:hAnsi="Arial" w:cs="Arial"/>
                <w:sz w:val="24"/>
                <w:szCs w:val="24"/>
              </w:rPr>
              <w:t>This Renewal</w:t>
            </w:r>
          </w:p>
        </w:tc>
        <w:tc>
          <w:tcPr>
            <w:tcW w:w="2303" w:type="dxa"/>
          </w:tcPr>
          <w:p w:rsidR="00EB61DB" w:rsidRPr="00EB61DB" w:rsidRDefault="00EB61DB" w:rsidP="00653D45">
            <w:pPr>
              <w:numPr>
                <w:ilvl w:val="12"/>
                <w:numId w:val="0"/>
              </w:numPr>
              <w:rPr>
                <w:rFonts w:ascii="Arial" w:hAnsi="Arial" w:cs="Arial"/>
                <w:sz w:val="24"/>
                <w:szCs w:val="24"/>
              </w:rPr>
            </w:pPr>
            <w:r w:rsidRPr="00EB61DB">
              <w:rPr>
                <w:rFonts w:ascii="Arial" w:hAnsi="Arial" w:cs="Arial"/>
                <w:sz w:val="24"/>
                <w:szCs w:val="24"/>
              </w:rPr>
              <w:t>Change (Numbers in parenthesis represent a reduction)</w:t>
            </w:r>
          </w:p>
          <w:p w:rsidR="00EB61DB" w:rsidRPr="00EB61DB" w:rsidRDefault="00EB61DB" w:rsidP="00653D45">
            <w:pPr>
              <w:numPr>
                <w:ilvl w:val="12"/>
                <w:numId w:val="0"/>
              </w:numPr>
              <w:rPr>
                <w:rFonts w:ascii="Arial" w:hAnsi="Arial" w:cs="Arial"/>
                <w:sz w:val="24"/>
                <w:szCs w:val="24"/>
              </w:rPr>
            </w:pPr>
          </w:p>
        </w:tc>
      </w:tr>
      <w:tr w:rsidR="00EB61DB" w:rsidRPr="00A84DE4" w:rsidTr="00653D45">
        <w:tc>
          <w:tcPr>
            <w:tcW w:w="2667" w:type="dxa"/>
          </w:tcPr>
          <w:p w:rsidR="00EB61DB" w:rsidRPr="00EB61DB" w:rsidRDefault="00EB61DB" w:rsidP="00653D45">
            <w:pPr>
              <w:numPr>
                <w:ilvl w:val="12"/>
                <w:numId w:val="0"/>
              </w:numPr>
              <w:rPr>
                <w:rFonts w:ascii="Arial" w:hAnsi="Arial" w:cs="Arial"/>
                <w:sz w:val="24"/>
                <w:szCs w:val="24"/>
              </w:rPr>
            </w:pPr>
            <w:r w:rsidRPr="00EB61DB">
              <w:rPr>
                <w:rFonts w:ascii="Arial" w:hAnsi="Arial" w:cs="Arial"/>
                <w:sz w:val="24"/>
                <w:szCs w:val="24"/>
              </w:rPr>
              <w:t>Total Responses</w:t>
            </w:r>
          </w:p>
        </w:tc>
        <w:tc>
          <w:tcPr>
            <w:tcW w:w="2303" w:type="dxa"/>
          </w:tcPr>
          <w:p w:rsidR="00EB61DB" w:rsidRPr="00EB61DB" w:rsidRDefault="00EB61DB" w:rsidP="00653D45">
            <w:pPr>
              <w:numPr>
                <w:ilvl w:val="12"/>
                <w:numId w:val="0"/>
              </w:numPr>
              <w:rPr>
                <w:rFonts w:ascii="Arial" w:hAnsi="Arial" w:cs="Arial"/>
                <w:sz w:val="24"/>
                <w:szCs w:val="24"/>
              </w:rPr>
            </w:pPr>
            <w:r w:rsidRPr="00EB61DB">
              <w:rPr>
                <w:rFonts w:ascii="Arial" w:hAnsi="Arial" w:cs="Arial"/>
                <w:sz w:val="24"/>
                <w:szCs w:val="24"/>
              </w:rPr>
              <w:t>426,275</w:t>
            </w:r>
          </w:p>
        </w:tc>
        <w:tc>
          <w:tcPr>
            <w:tcW w:w="2303" w:type="dxa"/>
          </w:tcPr>
          <w:p w:rsidR="00EB61DB" w:rsidRPr="00EB61DB" w:rsidRDefault="00EB61DB" w:rsidP="00653D45">
            <w:pPr>
              <w:numPr>
                <w:ilvl w:val="12"/>
                <w:numId w:val="0"/>
              </w:numPr>
              <w:rPr>
                <w:rFonts w:ascii="Arial" w:hAnsi="Arial" w:cs="Arial"/>
                <w:sz w:val="24"/>
                <w:szCs w:val="24"/>
              </w:rPr>
            </w:pPr>
            <w:r w:rsidRPr="00EB61DB">
              <w:rPr>
                <w:rFonts w:ascii="Arial" w:hAnsi="Arial" w:cs="Arial"/>
                <w:sz w:val="24"/>
                <w:szCs w:val="24"/>
              </w:rPr>
              <w:t>265,406</w:t>
            </w:r>
          </w:p>
        </w:tc>
        <w:tc>
          <w:tcPr>
            <w:tcW w:w="2303" w:type="dxa"/>
          </w:tcPr>
          <w:p w:rsidR="00EB61DB" w:rsidRPr="00EB61DB" w:rsidRDefault="00EB61DB" w:rsidP="00653D45">
            <w:pPr>
              <w:numPr>
                <w:ilvl w:val="12"/>
                <w:numId w:val="0"/>
              </w:numPr>
              <w:rPr>
                <w:rFonts w:ascii="Arial" w:hAnsi="Arial" w:cs="Arial"/>
                <w:sz w:val="24"/>
                <w:szCs w:val="24"/>
              </w:rPr>
            </w:pPr>
            <w:r w:rsidRPr="00EB61DB">
              <w:rPr>
                <w:rFonts w:ascii="Arial" w:hAnsi="Arial" w:cs="Arial"/>
                <w:sz w:val="24"/>
                <w:szCs w:val="24"/>
              </w:rPr>
              <w:t>(160,869)</w:t>
            </w:r>
          </w:p>
        </w:tc>
      </w:tr>
      <w:tr w:rsidR="00EB61DB" w:rsidRPr="00A84DE4" w:rsidTr="00653D45">
        <w:tc>
          <w:tcPr>
            <w:tcW w:w="2667" w:type="dxa"/>
          </w:tcPr>
          <w:p w:rsidR="00EB61DB" w:rsidRPr="00EB61DB" w:rsidRDefault="00EB61DB" w:rsidP="00653D45">
            <w:pPr>
              <w:numPr>
                <w:ilvl w:val="12"/>
                <w:numId w:val="0"/>
              </w:numPr>
              <w:rPr>
                <w:rFonts w:ascii="Arial" w:hAnsi="Arial" w:cs="Arial"/>
                <w:sz w:val="24"/>
                <w:szCs w:val="24"/>
              </w:rPr>
            </w:pPr>
            <w:r w:rsidRPr="00EB61DB">
              <w:rPr>
                <w:rFonts w:ascii="Arial" w:hAnsi="Arial" w:cs="Arial"/>
                <w:sz w:val="24"/>
                <w:szCs w:val="24"/>
              </w:rPr>
              <w:t>Total Hours</w:t>
            </w:r>
          </w:p>
        </w:tc>
        <w:tc>
          <w:tcPr>
            <w:tcW w:w="2303" w:type="dxa"/>
          </w:tcPr>
          <w:p w:rsidR="00EB61DB" w:rsidRPr="00EB61DB" w:rsidRDefault="00EB61DB" w:rsidP="00653D45">
            <w:pPr>
              <w:numPr>
                <w:ilvl w:val="12"/>
                <w:numId w:val="0"/>
              </w:numPr>
              <w:rPr>
                <w:rFonts w:ascii="Arial" w:hAnsi="Arial" w:cs="Arial"/>
                <w:sz w:val="24"/>
                <w:szCs w:val="24"/>
              </w:rPr>
            </w:pPr>
            <w:r w:rsidRPr="00EB61DB">
              <w:rPr>
                <w:rFonts w:ascii="Arial" w:hAnsi="Arial" w:cs="Arial"/>
                <w:sz w:val="24"/>
                <w:szCs w:val="24"/>
              </w:rPr>
              <w:t>285,261</w:t>
            </w:r>
          </w:p>
        </w:tc>
        <w:tc>
          <w:tcPr>
            <w:tcW w:w="2303" w:type="dxa"/>
          </w:tcPr>
          <w:p w:rsidR="00EB61DB" w:rsidRPr="00EB61DB" w:rsidRDefault="00EB61DB" w:rsidP="00653D45">
            <w:pPr>
              <w:numPr>
                <w:ilvl w:val="12"/>
                <w:numId w:val="0"/>
              </w:numPr>
              <w:rPr>
                <w:rFonts w:ascii="Arial" w:hAnsi="Arial" w:cs="Arial"/>
                <w:sz w:val="24"/>
                <w:szCs w:val="24"/>
              </w:rPr>
            </w:pPr>
            <w:r w:rsidRPr="00EB61DB">
              <w:rPr>
                <w:rFonts w:ascii="Arial" w:hAnsi="Arial" w:cs="Arial"/>
                <w:sz w:val="24"/>
                <w:szCs w:val="24"/>
              </w:rPr>
              <w:t>18,950</w:t>
            </w:r>
          </w:p>
        </w:tc>
        <w:tc>
          <w:tcPr>
            <w:tcW w:w="2303" w:type="dxa"/>
          </w:tcPr>
          <w:p w:rsidR="00EB61DB" w:rsidRPr="00EB61DB" w:rsidRDefault="00EB61DB" w:rsidP="00EB61DB">
            <w:pPr>
              <w:numPr>
                <w:ilvl w:val="12"/>
                <w:numId w:val="0"/>
              </w:numPr>
              <w:rPr>
                <w:rFonts w:ascii="Arial" w:hAnsi="Arial" w:cs="Arial"/>
                <w:sz w:val="24"/>
                <w:szCs w:val="24"/>
              </w:rPr>
            </w:pPr>
            <w:r w:rsidRPr="00EB61DB">
              <w:rPr>
                <w:rFonts w:ascii="Arial" w:hAnsi="Arial" w:cs="Arial"/>
                <w:sz w:val="24"/>
                <w:szCs w:val="24"/>
              </w:rPr>
              <w:t>(266,311)</w:t>
            </w:r>
          </w:p>
        </w:tc>
      </w:tr>
    </w:tbl>
    <w:p w:rsidR="00EB61DB" w:rsidRPr="00423F25" w:rsidRDefault="00423F25" w:rsidP="00EB61DB">
      <w:pPr>
        <w:numPr>
          <w:ilvl w:val="12"/>
          <w:numId w:val="0"/>
        </w:numPr>
        <w:rPr>
          <w:rFonts w:ascii="Arial" w:hAnsi="Arial" w:cs="Arial"/>
        </w:rPr>
      </w:pPr>
      <w:r w:rsidRPr="00423F25">
        <w:rPr>
          <w:rFonts w:ascii="Arial" w:hAnsi="Arial" w:cs="Arial"/>
        </w:rPr>
        <w:t xml:space="preserve">* All of the cost indicated above is labor cost; we estimate that there </w:t>
      </w:r>
      <w:r>
        <w:rPr>
          <w:rFonts w:ascii="Arial" w:hAnsi="Arial" w:cs="Arial"/>
        </w:rPr>
        <w:t>will be</w:t>
      </w:r>
      <w:r w:rsidRPr="00423F25">
        <w:rPr>
          <w:rFonts w:ascii="Arial" w:hAnsi="Arial" w:cs="Arial"/>
        </w:rPr>
        <w:t xml:space="preserve"> $0 in capital costs associated with this ICR.  </w:t>
      </w:r>
    </w:p>
    <w:p w:rsidR="00EB61DB" w:rsidRDefault="00EB61DB" w:rsidP="004A3FDB">
      <w:pPr>
        <w:numPr>
          <w:ilvl w:val="12"/>
          <w:numId w:val="0"/>
        </w:numPr>
        <w:rPr>
          <w:sz w:val="24"/>
          <w:szCs w:val="24"/>
        </w:rPr>
      </w:pPr>
    </w:p>
    <w:p w:rsidR="00EB61DB" w:rsidRDefault="00EB61DB" w:rsidP="004A3FDB">
      <w:pPr>
        <w:numPr>
          <w:ilvl w:val="12"/>
          <w:numId w:val="0"/>
        </w:numPr>
        <w:rPr>
          <w:sz w:val="24"/>
          <w:szCs w:val="24"/>
        </w:rPr>
      </w:pPr>
    </w:p>
    <w:p w:rsidR="00EB61DB" w:rsidRDefault="00EB61DB" w:rsidP="004A3FDB">
      <w:pPr>
        <w:numPr>
          <w:ilvl w:val="12"/>
          <w:numId w:val="0"/>
        </w:numPr>
        <w:rPr>
          <w:sz w:val="24"/>
          <w:szCs w:val="24"/>
        </w:rPr>
      </w:pPr>
    </w:p>
    <w:p w:rsidR="00EB61DB" w:rsidRPr="004E58F8" w:rsidRDefault="00EB61DB" w:rsidP="00EB61DB">
      <w:pPr>
        <w:numPr>
          <w:ilvl w:val="12"/>
          <w:numId w:val="0"/>
        </w:numPr>
        <w:rPr>
          <w:sz w:val="24"/>
          <w:szCs w:val="24"/>
        </w:rPr>
      </w:pPr>
      <w:r>
        <w:rPr>
          <w:sz w:val="24"/>
          <w:szCs w:val="24"/>
        </w:rPr>
        <w:tab/>
        <w:t xml:space="preserve">However, in the course of preparing this renewal, we discovered an error in the prior approval with respect to the number of burden hours.  The error was due to a calculation error (i.e., an incorrectly copied formula) with the spreadsheet we used.  The correct total hours for the expiring approval should have been 40,400.  Therefore, the burden decrease is more correctly </w:t>
      </w:r>
      <w:r>
        <w:rPr>
          <w:sz w:val="24"/>
          <w:szCs w:val="24"/>
        </w:rPr>
        <w:lastRenderedPageBreak/>
        <w:t xml:space="preserve">expressed as follows:   </w:t>
      </w:r>
    </w:p>
    <w:p w:rsidR="00EB61DB" w:rsidRDefault="00EB61DB" w:rsidP="004A3FDB">
      <w:pPr>
        <w:numPr>
          <w:ilvl w:val="12"/>
          <w:numId w:val="0"/>
        </w:numPr>
        <w:rPr>
          <w:sz w:val="24"/>
          <w:szCs w:val="24"/>
        </w:rPr>
      </w:pPr>
    </w:p>
    <w:p w:rsidR="00EB61DB" w:rsidRPr="00EB61DB" w:rsidRDefault="00EB61DB" w:rsidP="00EB61DB">
      <w:pPr>
        <w:numPr>
          <w:ilvl w:val="12"/>
          <w:numId w:val="0"/>
        </w:numPr>
        <w:jc w:val="center"/>
        <w:rPr>
          <w:rFonts w:ascii="Arial" w:hAnsi="Arial" w:cs="Arial"/>
          <w:sz w:val="24"/>
          <w:szCs w:val="24"/>
        </w:rPr>
      </w:pPr>
      <w:r w:rsidRPr="00EB61DB">
        <w:rPr>
          <w:rFonts w:ascii="Arial" w:hAnsi="Arial" w:cs="Arial"/>
          <w:sz w:val="24"/>
          <w:szCs w:val="24"/>
        </w:rPr>
        <w:t>Table III - Change in Burden Reflecting Corrected Figures</w:t>
      </w:r>
    </w:p>
    <w:p w:rsidR="004E58F8" w:rsidRDefault="004E58F8" w:rsidP="00EB61DB">
      <w:pPr>
        <w:numPr>
          <w:ilvl w:val="12"/>
          <w:numId w:val="0"/>
        </w:num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7"/>
        <w:gridCol w:w="2303"/>
        <w:gridCol w:w="2303"/>
        <w:gridCol w:w="2303"/>
      </w:tblGrid>
      <w:tr w:rsidR="00A84DE4" w:rsidRPr="00EB61DB" w:rsidTr="00A84DE4">
        <w:tc>
          <w:tcPr>
            <w:tcW w:w="2667" w:type="dxa"/>
          </w:tcPr>
          <w:p w:rsidR="004E58F8" w:rsidRPr="00EB61DB" w:rsidRDefault="004E58F8" w:rsidP="00A84DE4">
            <w:pPr>
              <w:numPr>
                <w:ilvl w:val="12"/>
                <w:numId w:val="0"/>
              </w:numPr>
              <w:rPr>
                <w:rFonts w:ascii="Arial" w:hAnsi="Arial" w:cs="Arial"/>
                <w:sz w:val="24"/>
                <w:szCs w:val="24"/>
              </w:rPr>
            </w:pPr>
          </w:p>
        </w:tc>
        <w:tc>
          <w:tcPr>
            <w:tcW w:w="2303" w:type="dxa"/>
          </w:tcPr>
          <w:p w:rsidR="004E58F8" w:rsidRPr="00EB61DB" w:rsidRDefault="004E58F8" w:rsidP="00A84DE4">
            <w:pPr>
              <w:numPr>
                <w:ilvl w:val="12"/>
                <w:numId w:val="0"/>
              </w:numPr>
              <w:rPr>
                <w:rFonts w:ascii="Arial" w:hAnsi="Arial" w:cs="Arial"/>
                <w:sz w:val="24"/>
                <w:szCs w:val="24"/>
              </w:rPr>
            </w:pPr>
            <w:r w:rsidRPr="00EB61DB">
              <w:rPr>
                <w:rFonts w:ascii="Arial" w:hAnsi="Arial" w:cs="Arial"/>
                <w:sz w:val="24"/>
                <w:szCs w:val="24"/>
              </w:rPr>
              <w:t>ICR Expiring 12/31/11</w:t>
            </w:r>
          </w:p>
        </w:tc>
        <w:tc>
          <w:tcPr>
            <w:tcW w:w="2303" w:type="dxa"/>
          </w:tcPr>
          <w:p w:rsidR="004E58F8" w:rsidRPr="00EB61DB" w:rsidRDefault="004E58F8" w:rsidP="00A84DE4">
            <w:pPr>
              <w:numPr>
                <w:ilvl w:val="12"/>
                <w:numId w:val="0"/>
              </w:numPr>
              <w:rPr>
                <w:rFonts w:ascii="Arial" w:hAnsi="Arial" w:cs="Arial"/>
                <w:sz w:val="24"/>
                <w:szCs w:val="24"/>
              </w:rPr>
            </w:pPr>
            <w:r w:rsidRPr="00EB61DB">
              <w:rPr>
                <w:rFonts w:ascii="Arial" w:hAnsi="Arial" w:cs="Arial"/>
                <w:sz w:val="24"/>
                <w:szCs w:val="24"/>
              </w:rPr>
              <w:t>This Renewal</w:t>
            </w:r>
          </w:p>
        </w:tc>
        <w:tc>
          <w:tcPr>
            <w:tcW w:w="2303" w:type="dxa"/>
          </w:tcPr>
          <w:p w:rsidR="004E58F8" w:rsidRPr="00EB61DB" w:rsidRDefault="004E58F8" w:rsidP="00A84DE4">
            <w:pPr>
              <w:numPr>
                <w:ilvl w:val="12"/>
                <w:numId w:val="0"/>
              </w:numPr>
              <w:rPr>
                <w:rFonts w:ascii="Arial" w:hAnsi="Arial" w:cs="Arial"/>
                <w:sz w:val="24"/>
                <w:szCs w:val="24"/>
              </w:rPr>
            </w:pPr>
            <w:r w:rsidRPr="00EB61DB">
              <w:rPr>
                <w:rFonts w:ascii="Arial" w:hAnsi="Arial" w:cs="Arial"/>
                <w:sz w:val="24"/>
                <w:szCs w:val="24"/>
              </w:rPr>
              <w:t>Change (Numbers in parenthesis represent a reduction)</w:t>
            </w:r>
          </w:p>
          <w:p w:rsidR="004E58F8" w:rsidRPr="00EB61DB" w:rsidRDefault="004E58F8" w:rsidP="00A84DE4">
            <w:pPr>
              <w:numPr>
                <w:ilvl w:val="12"/>
                <w:numId w:val="0"/>
              </w:numPr>
              <w:rPr>
                <w:rFonts w:ascii="Arial" w:hAnsi="Arial" w:cs="Arial"/>
                <w:sz w:val="24"/>
                <w:szCs w:val="24"/>
              </w:rPr>
            </w:pPr>
          </w:p>
        </w:tc>
      </w:tr>
      <w:tr w:rsidR="00A84DE4" w:rsidRPr="00EB61DB" w:rsidTr="00A84DE4">
        <w:tc>
          <w:tcPr>
            <w:tcW w:w="2667" w:type="dxa"/>
          </w:tcPr>
          <w:p w:rsidR="004E58F8" w:rsidRPr="00EB61DB" w:rsidRDefault="004E58F8" w:rsidP="00A84DE4">
            <w:pPr>
              <w:numPr>
                <w:ilvl w:val="12"/>
                <w:numId w:val="0"/>
              </w:numPr>
              <w:rPr>
                <w:rFonts w:ascii="Arial" w:hAnsi="Arial" w:cs="Arial"/>
                <w:sz w:val="24"/>
                <w:szCs w:val="24"/>
              </w:rPr>
            </w:pPr>
            <w:r w:rsidRPr="00EB61DB">
              <w:rPr>
                <w:rFonts w:ascii="Arial" w:hAnsi="Arial" w:cs="Arial"/>
                <w:sz w:val="24"/>
                <w:szCs w:val="24"/>
              </w:rPr>
              <w:t>Total Responses</w:t>
            </w:r>
          </w:p>
        </w:tc>
        <w:tc>
          <w:tcPr>
            <w:tcW w:w="2303" w:type="dxa"/>
          </w:tcPr>
          <w:p w:rsidR="004E58F8" w:rsidRPr="00EB61DB" w:rsidRDefault="004E58F8" w:rsidP="00334AED">
            <w:pPr>
              <w:numPr>
                <w:ilvl w:val="12"/>
                <w:numId w:val="0"/>
              </w:numPr>
              <w:rPr>
                <w:rFonts w:ascii="Arial" w:hAnsi="Arial" w:cs="Arial"/>
                <w:sz w:val="24"/>
                <w:szCs w:val="24"/>
              </w:rPr>
            </w:pPr>
            <w:r w:rsidRPr="00EB61DB">
              <w:rPr>
                <w:rFonts w:ascii="Arial" w:hAnsi="Arial" w:cs="Arial"/>
                <w:sz w:val="24"/>
                <w:szCs w:val="24"/>
              </w:rPr>
              <w:t>426,</w:t>
            </w:r>
            <w:r w:rsidR="00334AED" w:rsidRPr="00EB61DB">
              <w:rPr>
                <w:rFonts w:ascii="Arial" w:hAnsi="Arial" w:cs="Arial"/>
                <w:sz w:val="24"/>
                <w:szCs w:val="24"/>
              </w:rPr>
              <w:t>2</w:t>
            </w:r>
            <w:r w:rsidRPr="00EB61DB">
              <w:rPr>
                <w:rFonts w:ascii="Arial" w:hAnsi="Arial" w:cs="Arial"/>
                <w:sz w:val="24"/>
                <w:szCs w:val="24"/>
              </w:rPr>
              <w:t>75</w:t>
            </w:r>
          </w:p>
        </w:tc>
        <w:tc>
          <w:tcPr>
            <w:tcW w:w="2303" w:type="dxa"/>
          </w:tcPr>
          <w:p w:rsidR="004E58F8" w:rsidRPr="00EB61DB" w:rsidRDefault="004E58F8" w:rsidP="00A84DE4">
            <w:pPr>
              <w:numPr>
                <w:ilvl w:val="12"/>
                <w:numId w:val="0"/>
              </w:numPr>
              <w:rPr>
                <w:rFonts w:ascii="Arial" w:hAnsi="Arial" w:cs="Arial"/>
                <w:sz w:val="24"/>
                <w:szCs w:val="24"/>
              </w:rPr>
            </w:pPr>
            <w:r w:rsidRPr="00EB61DB">
              <w:rPr>
                <w:rFonts w:ascii="Arial" w:hAnsi="Arial" w:cs="Arial"/>
                <w:sz w:val="24"/>
                <w:szCs w:val="24"/>
              </w:rPr>
              <w:t>265,406</w:t>
            </w:r>
          </w:p>
        </w:tc>
        <w:tc>
          <w:tcPr>
            <w:tcW w:w="2303" w:type="dxa"/>
          </w:tcPr>
          <w:p w:rsidR="004E58F8" w:rsidRPr="00EB61DB" w:rsidRDefault="004E58F8" w:rsidP="00334AED">
            <w:pPr>
              <w:numPr>
                <w:ilvl w:val="12"/>
                <w:numId w:val="0"/>
              </w:numPr>
              <w:rPr>
                <w:rFonts w:ascii="Arial" w:hAnsi="Arial" w:cs="Arial"/>
                <w:sz w:val="24"/>
                <w:szCs w:val="24"/>
              </w:rPr>
            </w:pPr>
            <w:r w:rsidRPr="00EB61DB">
              <w:rPr>
                <w:rFonts w:ascii="Arial" w:hAnsi="Arial" w:cs="Arial"/>
                <w:sz w:val="24"/>
                <w:szCs w:val="24"/>
              </w:rPr>
              <w:t>(16</w:t>
            </w:r>
            <w:r w:rsidR="00334AED" w:rsidRPr="00EB61DB">
              <w:rPr>
                <w:rFonts w:ascii="Arial" w:hAnsi="Arial" w:cs="Arial"/>
                <w:sz w:val="24"/>
                <w:szCs w:val="24"/>
              </w:rPr>
              <w:t>0</w:t>
            </w:r>
            <w:r w:rsidRPr="00EB61DB">
              <w:rPr>
                <w:rFonts w:ascii="Arial" w:hAnsi="Arial" w:cs="Arial"/>
                <w:sz w:val="24"/>
                <w:szCs w:val="24"/>
              </w:rPr>
              <w:t>,</w:t>
            </w:r>
            <w:r w:rsidR="00334AED" w:rsidRPr="00EB61DB">
              <w:rPr>
                <w:rFonts w:ascii="Arial" w:hAnsi="Arial" w:cs="Arial"/>
                <w:sz w:val="24"/>
                <w:szCs w:val="24"/>
              </w:rPr>
              <w:t>8</w:t>
            </w:r>
            <w:r w:rsidRPr="00EB61DB">
              <w:rPr>
                <w:rFonts w:ascii="Arial" w:hAnsi="Arial" w:cs="Arial"/>
                <w:sz w:val="24"/>
                <w:szCs w:val="24"/>
              </w:rPr>
              <w:t>69)</w:t>
            </w:r>
          </w:p>
        </w:tc>
      </w:tr>
      <w:tr w:rsidR="00A84DE4" w:rsidRPr="00EB61DB" w:rsidTr="00A84DE4">
        <w:tc>
          <w:tcPr>
            <w:tcW w:w="2667" w:type="dxa"/>
          </w:tcPr>
          <w:p w:rsidR="004E58F8" w:rsidRPr="00EB61DB" w:rsidRDefault="004E58F8" w:rsidP="00A84DE4">
            <w:pPr>
              <w:numPr>
                <w:ilvl w:val="12"/>
                <w:numId w:val="0"/>
              </w:numPr>
              <w:rPr>
                <w:rFonts w:ascii="Arial" w:hAnsi="Arial" w:cs="Arial"/>
                <w:sz w:val="24"/>
                <w:szCs w:val="24"/>
              </w:rPr>
            </w:pPr>
            <w:r w:rsidRPr="00EB61DB">
              <w:rPr>
                <w:rFonts w:ascii="Arial" w:hAnsi="Arial" w:cs="Arial"/>
                <w:sz w:val="24"/>
                <w:szCs w:val="24"/>
              </w:rPr>
              <w:t>Total Hours</w:t>
            </w:r>
          </w:p>
        </w:tc>
        <w:tc>
          <w:tcPr>
            <w:tcW w:w="2303" w:type="dxa"/>
          </w:tcPr>
          <w:p w:rsidR="004E58F8" w:rsidRPr="00EB61DB" w:rsidRDefault="00A9530F" w:rsidP="00A84DE4">
            <w:pPr>
              <w:numPr>
                <w:ilvl w:val="12"/>
                <w:numId w:val="0"/>
              </w:numPr>
              <w:rPr>
                <w:rFonts w:ascii="Arial" w:hAnsi="Arial" w:cs="Arial"/>
                <w:sz w:val="24"/>
                <w:szCs w:val="24"/>
              </w:rPr>
            </w:pPr>
            <w:r w:rsidRPr="00EB61DB">
              <w:rPr>
                <w:rFonts w:ascii="Arial" w:hAnsi="Arial" w:cs="Arial"/>
                <w:sz w:val="24"/>
                <w:szCs w:val="24"/>
              </w:rPr>
              <w:t>40,400</w:t>
            </w:r>
          </w:p>
        </w:tc>
        <w:tc>
          <w:tcPr>
            <w:tcW w:w="2303" w:type="dxa"/>
          </w:tcPr>
          <w:p w:rsidR="004E58F8" w:rsidRPr="00EB61DB" w:rsidRDefault="004E58F8" w:rsidP="00A84DE4">
            <w:pPr>
              <w:numPr>
                <w:ilvl w:val="12"/>
                <w:numId w:val="0"/>
              </w:numPr>
              <w:rPr>
                <w:rFonts w:ascii="Arial" w:hAnsi="Arial" w:cs="Arial"/>
                <w:sz w:val="24"/>
                <w:szCs w:val="24"/>
              </w:rPr>
            </w:pPr>
            <w:r w:rsidRPr="00EB61DB">
              <w:rPr>
                <w:rFonts w:ascii="Arial" w:hAnsi="Arial" w:cs="Arial"/>
                <w:sz w:val="24"/>
                <w:szCs w:val="24"/>
              </w:rPr>
              <w:t>18,950</w:t>
            </w:r>
          </w:p>
        </w:tc>
        <w:tc>
          <w:tcPr>
            <w:tcW w:w="2303" w:type="dxa"/>
          </w:tcPr>
          <w:p w:rsidR="004E58F8" w:rsidRPr="00EB61DB" w:rsidRDefault="00A9530F" w:rsidP="00A84DE4">
            <w:pPr>
              <w:numPr>
                <w:ilvl w:val="12"/>
                <w:numId w:val="0"/>
              </w:numPr>
              <w:rPr>
                <w:rFonts w:ascii="Arial" w:hAnsi="Arial" w:cs="Arial"/>
                <w:sz w:val="24"/>
                <w:szCs w:val="24"/>
              </w:rPr>
            </w:pPr>
            <w:r w:rsidRPr="00EB61DB">
              <w:rPr>
                <w:rFonts w:ascii="Arial" w:hAnsi="Arial" w:cs="Arial"/>
                <w:sz w:val="24"/>
                <w:szCs w:val="24"/>
              </w:rPr>
              <w:t>(21,450)</w:t>
            </w:r>
          </w:p>
        </w:tc>
      </w:tr>
    </w:tbl>
    <w:p w:rsidR="004E58F8" w:rsidRDefault="004E58F8" w:rsidP="004A3FDB">
      <w:pPr>
        <w:numPr>
          <w:ilvl w:val="12"/>
          <w:numId w:val="0"/>
        </w:numPr>
        <w:rPr>
          <w:sz w:val="24"/>
          <w:szCs w:val="24"/>
        </w:rPr>
      </w:pPr>
    </w:p>
    <w:p w:rsidR="001A4C14" w:rsidRDefault="00086EBE" w:rsidP="004A3FDB">
      <w:pPr>
        <w:numPr>
          <w:ilvl w:val="12"/>
          <w:numId w:val="0"/>
        </w:numPr>
        <w:rPr>
          <w:sz w:val="24"/>
          <w:szCs w:val="24"/>
        </w:rPr>
      </w:pPr>
      <w:r>
        <w:rPr>
          <w:sz w:val="24"/>
          <w:szCs w:val="24"/>
        </w:rPr>
        <w:tab/>
      </w:r>
      <w:r w:rsidR="001A4C14">
        <w:rPr>
          <w:sz w:val="24"/>
          <w:szCs w:val="24"/>
        </w:rPr>
        <w:t>There are several reasons for the reduction in burden, in terms of responses and hours.  As discussed above, m</w:t>
      </w:r>
      <w:r w:rsidR="006D1364" w:rsidRPr="004E58F8">
        <w:rPr>
          <w:sz w:val="24"/>
          <w:szCs w:val="24"/>
        </w:rPr>
        <w:t xml:space="preserve">ost MV diesel reporting has now ended, which was expected to reduce (and has reduced) the responses, hours, and costs.  Likewise, laboratory qualifications have virtually all been submitted already.  </w:t>
      </w:r>
    </w:p>
    <w:p w:rsidR="001A4C14" w:rsidRDefault="001A4C14" w:rsidP="004A3FDB">
      <w:pPr>
        <w:numPr>
          <w:ilvl w:val="12"/>
          <w:numId w:val="0"/>
        </w:numPr>
        <w:rPr>
          <w:sz w:val="24"/>
          <w:szCs w:val="24"/>
        </w:rPr>
      </w:pPr>
    </w:p>
    <w:p w:rsidR="00002BC0" w:rsidRPr="004E58F8" w:rsidRDefault="001A4C14" w:rsidP="004A3FDB">
      <w:pPr>
        <w:numPr>
          <w:ilvl w:val="12"/>
          <w:numId w:val="0"/>
        </w:numPr>
        <w:rPr>
          <w:sz w:val="24"/>
          <w:szCs w:val="24"/>
        </w:rPr>
      </w:pPr>
      <w:r>
        <w:rPr>
          <w:sz w:val="24"/>
          <w:szCs w:val="24"/>
        </w:rPr>
        <w:tab/>
        <w:t>P</w:t>
      </w:r>
      <w:r w:rsidR="006D1364" w:rsidRPr="004E58F8">
        <w:rPr>
          <w:sz w:val="24"/>
          <w:szCs w:val="24"/>
        </w:rPr>
        <w:t xml:space="preserve">lease note that we have changed how we </w:t>
      </w:r>
      <w:r>
        <w:rPr>
          <w:sz w:val="24"/>
          <w:szCs w:val="24"/>
        </w:rPr>
        <w:t xml:space="preserve">express our estimates </w:t>
      </w:r>
      <w:r w:rsidR="006D1364" w:rsidRPr="004E58F8">
        <w:rPr>
          <w:sz w:val="24"/>
          <w:szCs w:val="24"/>
        </w:rPr>
        <w:t xml:space="preserve">for this renewal.  We have modeled our estimates to match the in-use forms in order to assist interested parties in providing </w:t>
      </w:r>
      <w:r>
        <w:rPr>
          <w:sz w:val="24"/>
          <w:szCs w:val="24"/>
        </w:rPr>
        <w:t xml:space="preserve">helpful </w:t>
      </w:r>
      <w:r w:rsidR="006D1364" w:rsidRPr="004E58F8">
        <w:rPr>
          <w:sz w:val="24"/>
          <w:szCs w:val="24"/>
        </w:rPr>
        <w:t xml:space="preserve">comments.  </w:t>
      </w:r>
      <w:r>
        <w:rPr>
          <w:sz w:val="24"/>
          <w:szCs w:val="24"/>
        </w:rPr>
        <w:t xml:space="preserve">We have also used a rate of $110 per hour, instead of the $65 per hour used in the expiring approval.  </w:t>
      </w:r>
      <w:r w:rsidR="006D1364" w:rsidRPr="004E58F8">
        <w:rPr>
          <w:sz w:val="24"/>
          <w:szCs w:val="24"/>
        </w:rPr>
        <w:t>Therefore, some of the change is associated with how we did the estimates in 2008 (expiring approval) and now.</w:t>
      </w:r>
      <w:r w:rsidR="00086EBE">
        <w:rPr>
          <w:sz w:val="24"/>
          <w:szCs w:val="24"/>
        </w:rPr>
        <w:t xml:space="preserve">  In addition, </w:t>
      </w:r>
      <w:r w:rsidR="00EB61DB">
        <w:rPr>
          <w:sz w:val="24"/>
          <w:szCs w:val="24"/>
        </w:rPr>
        <w:t xml:space="preserve">and as noted above, </w:t>
      </w:r>
      <w:r w:rsidR="00086EBE">
        <w:rPr>
          <w:sz w:val="24"/>
          <w:szCs w:val="24"/>
        </w:rPr>
        <w:t xml:space="preserve">the prior approval contained an incorrect number of hours due to a spreadsheet calculation error by EPA; </w:t>
      </w:r>
      <w:r w:rsidR="00C722E2">
        <w:rPr>
          <w:sz w:val="24"/>
          <w:szCs w:val="24"/>
        </w:rPr>
        <w:t xml:space="preserve">we discovered that error while preparing this renewal and </w:t>
      </w:r>
      <w:r w:rsidR="00086EBE">
        <w:rPr>
          <w:sz w:val="24"/>
          <w:szCs w:val="24"/>
        </w:rPr>
        <w:t>the correct number of hours (40,400</w:t>
      </w:r>
      <w:r w:rsidR="00C722E2">
        <w:rPr>
          <w:sz w:val="24"/>
          <w:szCs w:val="24"/>
        </w:rPr>
        <w:t>) are cited</w:t>
      </w:r>
      <w:r w:rsidR="00086EBE">
        <w:rPr>
          <w:sz w:val="24"/>
          <w:szCs w:val="24"/>
        </w:rPr>
        <w:t xml:space="preserve"> in this supporting statement. </w:t>
      </w:r>
    </w:p>
    <w:p w:rsidR="00002BC0" w:rsidRPr="004E58F8" w:rsidRDefault="00002BC0" w:rsidP="004A3FDB">
      <w:pPr>
        <w:numPr>
          <w:ilvl w:val="12"/>
          <w:numId w:val="0"/>
        </w:numPr>
        <w:rPr>
          <w:sz w:val="24"/>
          <w:szCs w:val="24"/>
        </w:rPr>
      </w:pPr>
    </w:p>
    <w:p w:rsidR="004A3FDB" w:rsidRPr="00193907" w:rsidRDefault="006D1364" w:rsidP="004A3FDB">
      <w:pPr>
        <w:numPr>
          <w:ilvl w:val="12"/>
          <w:numId w:val="0"/>
        </w:numPr>
        <w:rPr>
          <w:sz w:val="24"/>
          <w:szCs w:val="24"/>
        </w:rPr>
      </w:pPr>
      <w:r w:rsidRPr="004E58F8">
        <w:rPr>
          <w:sz w:val="24"/>
          <w:szCs w:val="24"/>
        </w:rPr>
        <w:tab/>
        <w:t>The Agency burden has decreased because of a reduction in the number of reports filed.  In the expiring approval, we estimated a total cost of $668,000.  We estimate that the cost associated with this renewal is approximately $120,000.</w:t>
      </w:r>
      <w:r w:rsidR="00002BC0">
        <w:rPr>
          <w:sz w:val="24"/>
          <w:szCs w:val="24"/>
        </w:rPr>
        <w:t xml:space="preserve">  </w:t>
      </w:r>
      <w:r w:rsidR="001A4C14">
        <w:rPr>
          <w:sz w:val="24"/>
          <w:szCs w:val="24"/>
        </w:rPr>
        <w:t xml:space="preserve">The reason for this reduction is that we receive fewer reports for processing and because virtually all laboratory qualifications, which required the attention of an Agency chemist, have already been received and processed.  </w:t>
      </w:r>
      <w:r w:rsidR="00002BC0">
        <w:rPr>
          <w:sz w:val="24"/>
          <w:szCs w:val="24"/>
        </w:rPr>
        <w:t xml:space="preserve">  </w:t>
      </w:r>
      <w:r w:rsidR="004A3FDB" w:rsidRPr="00193907">
        <w:rPr>
          <w:sz w:val="24"/>
          <w:szCs w:val="24"/>
        </w:rPr>
        <w:tab/>
      </w:r>
      <w:r w:rsidR="004A3FDB" w:rsidRPr="00193907">
        <w:rPr>
          <w:sz w:val="24"/>
          <w:szCs w:val="24"/>
        </w:rPr>
        <w:tab/>
      </w:r>
      <w:r w:rsidR="004A3FDB" w:rsidRPr="00193907">
        <w:rPr>
          <w:sz w:val="24"/>
          <w:szCs w:val="24"/>
        </w:rPr>
        <w:tab/>
      </w:r>
      <w:r w:rsidR="004A3FDB" w:rsidRPr="00193907">
        <w:rPr>
          <w:sz w:val="24"/>
          <w:szCs w:val="24"/>
        </w:rPr>
        <w:tab/>
      </w:r>
      <w:r w:rsidR="004A3FDB" w:rsidRPr="00193907">
        <w:rPr>
          <w:sz w:val="24"/>
          <w:szCs w:val="24"/>
        </w:rPr>
        <w:tab/>
      </w:r>
      <w:r w:rsidR="004A3FDB" w:rsidRPr="00193907">
        <w:rPr>
          <w:sz w:val="24"/>
          <w:szCs w:val="24"/>
        </w:rPr>
        <w:tab/>
      </w:r>
      <w:r w:rsidR="004A3FDB" w:rsidRPr="00193907">
        <w:rPr>
          <w:sz w:val="24"/>
          <w:szCs w:val="24"/>
        </w:rPr>
        <w:tab/>
      </w:r>
    </w:p>
    <w:p w:rsidR="004A3FDB" w:rsidRPr="00193907" w:rsidRDefault="004A3FDB" w:rsidP="004A3FDB">
      <w:pPr>
        <w:numPr>
          <w:ilvl w:val="12"/>
          <w:numId w:val="0"/>
        </w:numPr>
        <w:rPr>
          <w:sz w:val="24"/>
          <w:szCs w:val="24"/>
        </w:rPr>
      </w:pPr>
      <w:r w:rsidRPr="00193907">
        <w:rPr>
          <w:sz w:val="24"/>
          <w:szCs w:val="24"/>
        </w:rPr>
        <w:tab/>
      </w:r>
      <w:r w:rsidRPr="00193907">
        <w:rPr>
          <w:sz w:val="24"/>
          <w:szCs w:val="24"/>
        </w:rPr>
        <w:tab/>
      </w:r>
      <w:r w:rsidRPr="00193907">
        <w:rPr>
          <w:sz w:val="24"/>
          <w:szCs w:val="24"/>
        </w:rPr>
        <w:tab/>
      </w:r>
      <w:r w:rsidRPr="00193907">
        <w:rPr>
          <w:sz w:val="24"/>
          <w:szCs w:val="24"/>
        </w:rPr>
        <w:tab/>
      </w:r>
      <w:r w:rsidRPr="00193907">
        <w:rPr>
          <w:sz w:val="24"/>
          <w:szCs w:val="24"/>
        </w:rPr>
        <w:tab/>
      </w:r>
      <w:r w:rsidRPr="00193907">
        <w:rPr>
          <w:sz w:val="24"/>
          <w:szCs w:val="24"/>
        </w:rPr>
        <w:tab/>
      </w:r>
      <w:r w:rsidRPr="00193907">
        <w:rPr>
          <w:sz w:val="24"/>
          <w:szCs w:val="24"/>
        </w:rPr>
        <w:tab/>
      </w:r>
      <w:r w:rsidRPr="00193907">
        <w:rPr>
          <w:sz w:val="24"/>
          <w:szCs w:val="24"/>
        </w:rPr>
        <w:tab/>
      </w:r>
      <w:r w:rsidRPr="00193907">
        <w:rPr>
          <w:sz w:val="24"/>
          <w:szCs w:val="24"/>
        </w:rPr>
        <w:tab/>
      </w:r>
      <w:r w:rsidRPr="00193907">
        <w:rPr>
          <w:sz w:val="24"/>
          <w:szCs w:val="24"/>
        </w:rPr>
        <w:tab/>
      </w:r>
    </w:p>
    <w:p w:rsidR="004A3FDB" w:rsidRPr="00193907" w:rsidRDefault="004A3FDB" w:rsidP="004A3FDB">
      <w:pPr>
        <w:numPr>
          <w:ilvl w:val="12"/>
          <w:numId w:val="0"/>
        </w:numPr>
        <w:tabs>
          <w:tab w:val="left" w:pos="720"/>
          <w:tab w:val="left" w:pos="1440"/>
        </w:tabs>
        <w:ind w:left="1440" w:hanging="1440"/>
        <w:rPr>
          <w:sz w:val="24"/>
          <w:szCs w:val="24"/>
        </w:rPr>
      </w:pPr>
      <w:r w:rsidRPr="00193907">
        <w:rPr>
          <w:sz w:val="24"/>
          <w:szCs w:val="24"/>
        </w:rPr>
        <w:tab/>
        <w:t>6(g)</w:t>
      </w:r>
      <w:r w:rsidRPr="00193907">
        <w:rPr>
          <w:sz w:val="24"/>
          <w:szCs w:val="24"/>
        </w:rPr>
        <w:tab/>
        <w:t>Burden Statement</w:t>
      </w:r>
    </w:p>
    <w:p w:rsidR="004A3FDB" w:rsidRPr="00193907" w:rsidRDefault="004A3FDB" w:rsidP="004A3FDB">
      <w:pPr>
        <w:numPr>
          <w:ilvl w:val="12"/>
          <w:numId w:val="0"/>
        </w:numPr>
        <w:rPr>
          <w:sz w:val="24"/>
          <w:szCs w:val="24"/>
        </w:rPr>
      </w:pPr>
    </w:p>
    <w:p w:rsidR="004A3FDB" w:rsidRPr="00193907" w:rsidRDefault="004A3FDB" w:rsidP="004A3FDB">
      <w:pPr>
        <w:numPr>
          <w:ilvl w:val="12"/>
          <w:numId w:val="0"/>
        </w:numPr>
        <w:ind w:firstLine="720"/>
        <w:rPr>
          <w:sz w:val="24"/>
          <w:szCs w:val="24"/>
        </w:rPr>
      </w:pPr>
      <w:r w:rsidRPr="00193907">
        <w:rPr>
          <w:sz w:val="24"/>
          <w:szCs w:val="24"/>
        </w:rPr>
        <w:t>The public reporting burden for this Environmental Protection Agency (EPA) collection of information is estimated to average less than one hour per response.  This includes time for reviewing instructions and regulations, searching company records, gathering the needed data, and completing, reviewing, copying, and transmitting the collection of information.</w:t>
      </w:r>
      <w:r>
        <w:rPr>
          <w:sz w:val="24"/>
          <w:szCs w:val="24"/>
        </w:rPr>
        <w:t xml:space="preserve">  </w:t>
      </w:r>
      <w:r w:rsidRPr="00193907">
        <w:rPr>
          <w:sz w:val="24"/>
          <w:szCs w:val="24"/>
        </w:rPr>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w:t>
      </w:r>
      <w:r w:rsidRPr="00193907">
        <w:rPr>
          <w:sz w:val="24"/>
          <w:szCs w:val="24"/>
        </w:rPr>
        <w:lastRenderedPageBreak/>
        <w:t>any previously applicable instructions or requirements; train personnel to be able to response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w:t>
      </w:r>
      <w:r w:rsidRPr="00193907">
        <w:rPr>
          <w:sz w:val="24"/>
          <w:szCs w:val="24"/>
        </w:rPr>
        <w:tab/>
      </w:r>
    </w:p>
    <w:p w:rsidR="004A3FDB" w:rsidRPr="00193907" w:rsidRDefault="004A3FDB" w:rsidP="004A3FDB">
      <w:pPr>
        <w:numPr>
          <w:ilvl w:val="12"/>
          <w:numId w:val="0"/>
        </w:numPr>
        <w:jc w:val="both"/>
        <w:rPr>
          <w:sz w:val="24"/>
          <w:szCs w:val="24"/>
        </w:rPr>
      </w:pPr>
    </w:p>
    <w:p w:rsidR="009E40F9" w:rsidRPr="009E40F9" w:rsidRDefault="004A3FDB" w:rsidP="003C0CAD">
      <w:pPr>
        <w:numPr>
          <w:ilvl w:val="12"/>
          <w:numId w:val="0"/>
        </w:numPr>
        <w:jc w:val="both"/>
        <w:rPr>
          <w:sz w:val="24"/>
          <w:szCs w:val="24"/>
        </w:rPr>
      </w:pPr>
      <w:r w:rsidRPr="00193907">
        <w:rPr>
          <w:sz w:val="24"/>
          <w:szCs w:val="24"/>
        </w:rPr>
        <w:tab/>
      </w:r>
      <w:r w:rsidRPr="00FF5341">
        <w:rPr>
          <w:sz w:val="24"/>
          <w:szCs w:val="24"/>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Pr="008212C2">
        <w:rPr>
          <w:bCs/>
          <w:sz w:val="24"/>
          <w:szCs w:val="24"/>
        </w:rPr>
        <w:t>EPA-</w:t>
      </w:r>
      <w:r>
        <w:rPr>
          <w:bCs/>
          <w:sz w:val="24"/>
          <w:szCs w:val="24"/>
        </w:rPr>
        <w:t>HQ-OAR-2007-1121</w:t>
      </w:r>
      <w:r w:rsidRPr="00FF5341">
        <w:rPr>
          <w:sz w:val="24"/>
          <w:szCs w:val="24"/>
        </w:rPr>
        <w:t xml:space="preserve">, which is available for online viewing at www.regulations.gov, or in person viewing at the Air and Radiation Docket and Information Center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Air and Radiation Docket and </w:t>
      </w:r>
      <w:smartTag w:uri="urn:schemas-microsoft-com:office:smarttags" w:element="PostalCode">
        <w:smartTag w:uri="urn:schemas-microsoft-com:office:smarttags" w:element="PostalCode">
          <w:r w:rsidRPr="00FF5341">
            <w:rPr>
              <w:sz w:val="24"/>
              <w:szCs w:val="24"/>
            </w:rPr>
            <w:t>Information</w:t>
          </w:r>
        </w:smartTag>
        <w:r w:rsidRPr="00FF5341">
          <w:rPr>
            <w:sz w:val="24"/>
            <w:szCs w:val="24"/>
          </w:rPr>
          <w:t xml:space="preserve"> </w:t>
        </w:r>
        <w:smartTag w:uri="urn:schemas-microsoft-com:office:smarttags" w:element="PostalCode">
          <w:r w:rsidRPr="00FF5341">
            <w:rPr>
              <w:sz w:val="24"/>
              <w:szCs w:val="24"/>
            </w:rPr>
            <w:t>Center</w:t>
          </w:r>
        </w:smartTag>
      </w:smartTag>
      <w:r w:rsidRPr="00FF5341">
        <w:rPr>
          <w:sz w:val="24"/>
          <w:szCs w:val="24"/>
        </w:rPr>
        <w:t xml:space="preserve"> is (202) 566-1742.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PostalCode">
        <w:smartTag w:uri="urn:schemas-microsoft-com:office:smarttags" w:element="PostalCode">
          <w:r w:rsidRPr="00FF5341">
            <w:rPr>
              <w:sz w:val="24"/>
              <w:szCs w:val="24"/>
            </w:rPr>
            <w:t>725 17th Street, NW</w:t>
          </w:r>
        </w:smartTag>
        <w:r w:rsidRPr="00FF5341">
          <w:rPr>
            <w:sz w:val="24"/>
            <w:szCs w:val="24"/>
          </w:rPr>
          <w:t xml:space="preserve">, </w:t>
        </w:r>
        <w:smartTag w:uri="urn:schemas-microsoft-com:office:smarttags" w:element="PostalCode">
          <w:r w:rsidRPr="00FF5341">
            <w:rPr>
              <w:sz w:val="24"/>
              <w:szCs w:val="24"/>
            </w:rPr>
            <w:t>Washington</w:t>
          </w:r>
        </w:smartTag>
        <w:r w:rsidRPr="00FF5341">
          <w:rPr>
            <w:sz w:val="24"/>
            <w:szCs w:val="24"/>
          </w:rPr>
          <w:t xml:space="preserve">, </w:t>
        </w:r>
        <w:smartTag w:uri="urn:schemas-microsoft-com:office:smarttags" w:element="PostalCode">
          <w:r w:rsidRPr="00FF5341">
            <w:rPr>
              <w:sz w:val="24"/>
              <w:szCs w:val="24"/>
            </w:rPr>
            <w:t>D.C.</w:t>
          </w:r>
        </w:smartTag>
        <w:r w:rsidRPr="00FF5341">
          <w:rPr>
            <w:sz w:val="24"/>
            <w:szCs w:val="24"/>
          </w:rPr>
          <w:t xml:space="preserve"> </w:t>
        </w:r>
        <w:smartTag w:uri="urn:schemas-microsoft-com:office:smarttags" w:element="PostalCode">
          <w:r w:rsidRPr="00FF5341">
            <w:rPr>
              <w:sz w:val="24"/>
              <w:szCs w:val="24"/>
            </w:rPr>
            <w:t>20503</w:t>
          </w:r>
        </w:smartTag>
      </w:smartTag>
      <w:r w:rsidRPr="00FF5341">
        <w:rPr>
          <w:sz w:val="24"/>
          <w:szCs w:val="24"/>
        </w:rPr>
        <w:t xml:space="preserve">, Attention:  Desk Officer for EPA.  Please include the EPA Docket ID Number </w:t>
      </w:r>
      <w:r w:rsidRPr="008212C2">
        <w:rPr>
          <w:bCs/>
          <w:sz w:val="24"/>
          <w:szCs w:val="24"/>
        </w:rPr>
        <w:t>EPA-</w:t>
      </w:r>
      <w:r>
        <w:rPr>
          <w:bCs/>
          <w:sz w:val="24"/>
          <w:szCs w:val="24"/>
        </w:rPr>
        <w:t xml:space="preserve">HQ-OAR-2007-1121 </w:t>
      </w:r>
      <w:r w:rsidRPr="00FF5341">
        <w:rPr>
          <w:sz w:val="24"/>
          <w:szCs w:val="24"/>
        </w:rPr>
        <w:t xml:space="preserve">and OMB Control Number </w:t>
      </w:r>
      <w:bookmarkStart w:id="0" w:name="_GoBack"/>
      <w:r w:rsidRPr="00FF5341">
        <w:rPr>
          <w:sz w:val="24"/>
          <w:szCs w:val="24"/>
        </w:rPr>
        <w:t>2060</w:t>
      </w:r>
      <w:bookmarkEnd w:id="0"/>
      <w:r w:rsidRPr="00FF5341">
        <w:rPr>
          <w:sz w:val="24"/>
          <w:szCs w:val="24"/>
        </w:rPr>
        <w:t>-03</w:t>
      </w:r>
      <w:r>
        <w:rPr>
          <w:sz w:val="24"/>
          <w:szCs w:val="24"/>
        </w:rPr>
        <w:t>08</w:t>
      </w:r>
      <w:r w:rsidRPr="00FF5341">
        <w:rPr>
          <w:sz w:val="24"/>
          <w:szCs w:val="24"/>
        </w:rPr>
        <w:t xml:space="preserve"> in any correspondence.</w:t>
      </w:r>
    </w:p>
    <w:sectPr w:rsidR="009E40F9" w:rsidRPr="009E40F9" w:rsidSect="004A3FDB">
      <w:pgSz w:w="12240" w:h="15840"/>
      <w:pgMar w:top="1786" w:right="1440" w:bottom="1440" w:left="1440" w:header="1354" w:footer="144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C20" w:rsidRDefault="00122C20">
      <w:r>
        <w:separator/>
      </w:r>
    </w:p>
  </w:endnote>
  <w:endnote w:type="continuationSeparator" w:id="0">
    <w:p w:rsidR="00122C20" w:rsidRDefault="00122C2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P MathA">
    <w:panose1 w:val="00000000000000000000"/>
    <w:charset w:val="02"/>
    <w:family w:val="auto"/>
    <w:notTrueType/>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AED" w:rsidRDefault="00803079">
    <w:pPr>
      <w:framePr w:wrap="notBeside" w:hAnchor="text" w:xAlign="center"/>
      <w:rPr>
        <w:rFonts w:ascii="Courier New" w:hAnsi="Courier New" w:cs="Courier New"/>
        <w:sz w:val="24"/>
        <w:szCs w:val="24"/>
      </w:rPr>
    </w:pPr>
    <w:r>
      <w:rPr>
        <w:rFonts w:ascii="Courier New" w:hAnsi="Courier New" w:cs="Courier New"/>
        <w:sz w:val="24"/>
        <w:szCs w:val="24"/>
      </w:rPr>
      <w:fldChar w:fldCharType="begin"/>
    </w:r>
    <w:r w:rsidR="00334AED">
      <w:rPr>
        <w:rFonts w:ascii="Courier New" w:hAnsi="Courier New" w:cs="Courier New"/>
        <w:sz w:val="24"/>
        <w:szCs w:val="24"/>
      </w:rPr>
      <w:instrText xml:space="preserve"> PAGE  </w:instrText>
    </w:r>
    <w:r>
      <w:rPr>
        <w:rFonts w:ascii="Courier New" w:hAnsi="Courier New" w:cs="Courier New"/>
        <w:sz w:val="24"/>
        <w:szCs w:val="24"/>
      </w:rPr>
      <w:fldChar w:fldCharType="separate"/>
    </w:r>
    <w:r w:rsidR="00CE0C1E">
      <w:rPr>
        <w:rFonts w:ascii="Courier New" w:hAnsi="Courier New" w:cs="Courier New"/>
        <w:noProof/>
        <w:sz w:val="24"/>
        <w:szCs w:val="24"/>
      </w:rPr>
      <w:t>15</w:t>
    </w:r>
    <w:r>
      <w:rPr>
        <w:rFonts w:ascii="Courier New" w:hAnsi="Courier New" w:cs="Courier New"/>
        <w:sz w:val="24"/>
        <w:szCs w:val="24"/>
      </w:rPr>
      <w:fldChar w:fldCharType="end"/>
    </w:r>
  </w:p>
  <w:p w:rsidR="00334AED" w:rsidRDefault="00334AED">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C20" w:rsidRDefault="00122C20">
      <w:r>
        <w:separator/>
      </w:r>
    </w:p>
  </w:footnote>
  <w:footnote w:type="continuationSeparator" w:id="0">
    <w:p w:rsidR="00122C20" w:rsidRDefault="00122C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AED" w:rsidRDefault="00334AED">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F30F96A"/>
    <w:lvl w:ilvl="0">
      <w:numFmt w:val="bullet"/>
      <w:lvlText w:val="*"/>
      <w:lvlJc w:val="left"/>
    </w:lvl>
  </w:abstractNum>
  <w:abstractNum w:abstractNumId="1">
    <w:nsid w:val="105A71BA"/>
    <w:multiLevelType w:val="singleLevel"/>
    <w:tmpl w:val="5D16A6A8"/>
    <w:lvl w:ilvl="0">
      <w:start w:val="1"/>
      <w:numFmt w:val="decimal"/>
      <w:lvlText w:val="%1."/>
      <w:legacy w:legacy="1" w:legacySpace="0" w:legacyIndent="1"/>
      <w:lvlJc w:val="left"/>
      <w:pPr>
        <w:ind w:left="1" w:hanging="1"/>
      </w:pPr>
      <w:rPr>
        <w:rFonts w:ascii="Courier New" w:hAnsi="Courier New" w:cs="Courier New" w:hint="default"/>
      </w:rPr>
    </w:lvl>
  </w:abstractNum>
  <w:abstractNum w:abstractNumId="2">
    <w:nsid w:val="14007D01"/>
    <w:multiLevelType w:val="singleLevel"/>
    <w:tmpl w:val="B97A0354"/>
    <w:lvl w:ilvl="0">
      <w:start w:val="2"/>
      <w:numFmt w:val="lowerLetter"/>
      <w:lvlText w:val="%1."/>
      <w:legacy w:legacy="1" w:legacySpace="0" w:legacyIndent="1"/>
      <w:lvlJc w:val="left"/>
      <w:pPr>
        <w:ind w:left="1" w:hanging="1"/>
      </w:pPr>
      <w:rPr>
        <w:rFonts w:ascii="Courier New" w:hAnsi="Courier New" w:cs="Courier New" w:hint="default"/>
      </w:rPr>
    </w:lvl>
  </w:abstractNum>
  <w:abstractNum w:abstractNumId="3">
    <w:nsid w:val="1F6A5842"/>
    <w:multiLevelType w:val="singleLevel"/>
    <w:tmpl w:val="5CBAA8C4"/>
    <w:lvl w:ilvl="0">
      <w:start w:val="4"/>
      <w:numFmt w:val="decimal"/>
      <w:lvlText w:val="%1)"/>
      <w:legacy w:legacy="1" w:legacySpace="0" w:legacyIndent="1"/>
      <w:lvlJc w:val="left"/>
      <w:pPr>
        <w:ind w:left="1" w:hanging="1"/>
      </w:pPr>
      <w:rPr>
        <w:rFonts w:ascii="Courier New" w:hAnsi="Courier New" w:cs="Courier New" w:hint="default"/>
      </w:rPr>
    </w:lvl>
  </w:abstractNum>
  <w:abstractNum w:abstractNumId="4">
    <w:nsid w:val="36C8479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58335603"/>
    <w:multiLevelType w:val="singleLevel"/>
    <w:tmpl w:val="F676C0C0"/>
    <w:lvl w:ilvl="0">
      <w:start w:val="4"/>
      <w:numFmt w:val="lowerLetter"/>
      <w:lvlText w:val="%1."/>
      <w:legacy w:legacy="1" w:legacySpace="0" w:legacyIndent="1"/>
      <w:lvlJc w:val="left"/>
      <w:pPr>
        <w:ind w:left="1" w:hanging="1"/>
      </w:pPr>
      <w:rPr>
        <w:rFonts w:ascii="Courier New" w:hAnsi="Courier New" w:cs="Courier New" w:hint="default"/>
      </w:rPr>
    </w:lvl>
  </w:abstractNum>
  <w:abstractNum w:abstractNumId="6">
    <w:nsid w:val="71824656"/>
    <w:multiLevelType w:val="singleLevel"/>
    <w:tmpl w:val="5CBAA8C4"/>
    <w:lvl w:ilvl="0">
      <w:start w:val="4"/>
      <w:numFmt w:val="decimal"/>
      <w:lvlText w:val="%1)"/>
      <w:legacy w:legacy="1" w:legacySpace="0" w:legacyIndent="1"/>
      <w:lvlJc w:val="left"/>
      <w:pPr>
        <w:ind w:left="1" w:hanging="1"/>
      </w:pPr>
      <w:rPr>
        <w:rFonts w:ascii="Courier New" w:hAnsi="Courier New" w:cs="Courier New" w:hint="default"/>
      </w:rPr>
    </w:lvl>
  </w:abstractNum>
  <w:abstractNum w:abstractNumId="7">
    <w:nsid w:val="72877AA8"/>
    <w:multiLevelType w:val="hybridMultilevel"/>
    <w:tmpl w:val="60146B9A"/>
    <w:lvl w:ilvl="0" w:tplc="ED86CAF2">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7DA0356E"/>
    <w:multiLevelType w:val="multilevel"/>
    <w:tmpl w:val="5C1CFA7E"/>
    <w:lvl w:ilvl="0">
      <w:start w:val="1"/>
      <w:numFmt w:val="lowerLetter"/>
      <w:lvlText w:val="%1."/>
      <w:lvlJc w:val="left"/>
      <w:pPr>
        <w:tabs>
          <w:tab w:val="num" w:pos="1305"/>
        </w:tabs>
        <w:ind w:left="1305" w:hanging="58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3"/>
  </w:num>
  <w:num w:numId="2">
    <w:abstractNumId w:val="6"/>
  </w:num>
  <w:num w:numId="3">
    <w:abstractNumId w:val="5"/>
  </w:num>
  <w:num w:numId="4">
    <w:abstractNumId w:val="2"/>
  </w:num>
  <w:num w:numId="5">
    <w:abstractNumId w:val="0"/>
    <w:lvlOverride w:ilvl="0">
      <w:lvl w:ilvl="0">
        <w:start w:val="1"/>
        <w:numFmt w:val="bullet"/>
        <w:lvlText w:val=""/>
        <w:legacy w:legacy="1" w:legacySpace="0" w:legacyIndent="1"/>
        <w:lvlJc w:val="left"/>
        <w:pPr>
          <w:ind w:left="1" w:hanging="1"/>
        </w:pPr>
        <w:rPr>
          <w:rFonts w:ascii="WP MathA" w:hAnsi="WP MathA" w:hint="default"/>
        </w:rPr>
      </w:lvl>
    </w:lvlOverride>
  </w:num>
  <w:num w:numId="6">
    <w:abstractNumId w:val="1"/>
  </w:num>
  <w:num w:numId="7">
    <w:abstractNumId w:val="8"/>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82C52"/>
    <w:rsid w:val="00002BC0"/>
    <w:rsid w:val="00016E92"/>
    <w:rsid w:val="00033595"/>
    <w:rsid w:val="00086EBE"/>
    <w:rsid w:val="000A367C"/>
    <w:rsid w:val="00111D3F"/>
    <w:rsid w:val="00122C20"/>
    <w:rsid w:val="00126B70"/>
    <w:rsid w:val="00126CAE"/>
    <w:rsid w:val="00126EB7"/>
    <w:rsid w:val="001271AC"/>
    <w:rsid w:val="00145482"/>
    <w:rsid w:val="00193907"/>
    <w:rsid w:val="001A4C14"/>
    <w:rsid w:val="001D7483"/>
    <w:rsid w:val="00257FDC"/>
    <w:rsid w:val="002A3F0D"/>
    <w:rsid w:val="002B22F5"/>
    <w:rsid w:val="002B422C"/>
    <w:rsid w:val="00316051"/>
    <w:rsid w:val="00322D21"/>
    <w:rsid w:val="00334AED"/>
    <w:rsid w:val="0035138E"/>
    <w:rsid w:val="003C0CAD"/>
    <w:rsid w:val="003C2DEA"/>
    <w:rsid w:val="003D52FF"/>
    <w:rsid w:val="003E165F"/>
    <w:rsid w:val="0040241B"/>
    <w:rsid w:val="00405551"/>
    <w:rsid w:val="00422802"/>
    <w:rsid w:val="00423F25"/>
    <w:rsid w:val="00446159"/>
    <w:rsid w:val="00446646"/>
    <w:rsid w:val="0046446F"/>
    <w:rsid w:val="0046795F"/>
    <w:rsid w:val="004718E5"/>
    <w:rsid w:val="00476745"/>
    <w:rsid w:val="004A3FDB"/>
    <w:rsid w:val="004E2F36"/>
    <w:rsid w:val="004E58F8"/>
    <w:rsid w:val="00525ABB"/>
    <w:rsid w:val="00556797"/>
    <w:rsid w:val="00557B5A"/>
    <w:rsid w:val="00574765"/>
    <w:rsid w:val="00582C52"/>
    <w:rsid w:val="005953C2"/>
    <w:rsid w:val="005B02E8"/>
    <w:rsid w:val="005C78F8"/>
    <w:rsid w:val="005D24F1"/>
    <w:rsid w:val="005E6212"/>
    <w:rsid w:val="006204B0"/>
    <w:rsid w:val="006713BB"/>
    <w:rsid w:val="006720FC"/>
    <w:rsid w:val="00675523"/>
    <w:rsid w:val="006A6B82"/>
    <w:rsid w:val="006B4822"/>
    <w:rsid w:val="006C46D6"/>
    <w:rsid w:val="006D1364"/>
    <w:rsid w:val="006D4EE3"/>
    <w:rsid w:val="006E654A"/>
    <w:rsid w:val="00714A71"/>
    <w:rsid w:val="00756A3A"/>
    <w:rsid w:val="007647ED"/>
    <w:rsid w:val="00777FCB"/>
    <w:rsid w:val="00781833"/>
    <w:rsid w:val="007972A1"/>
    <w:rsid w:val="007D645E"/>
    <w:rsid w:val="007E152C"/>
    <w:rsid w:val="007F3BBD"/>
    <w:rsid w:val="00803079"/>
    <w:rsid w:val="008052EA"/>
    <w:rsid w:val="008069F2"/>
    <w:rsid w:val="008212C2"/>
    <w:rsid w:val="00823363"/>
    <w:rsid w:val="008647F7"/>
    <w:rsid w:val="008B02AA"/>
    <w:rsid w:val="008C43C7"/>
    <w:rsid w:val="008F3D11"/>
    <w:rsid w:val="00981A7C"/>
    <w:rsid w:val="00994598"/>
    <w:rsid w:val="009A4157"/>
    <w:rsid w:val="009B4A10"/>
    <w:rsid w:val="009D43E7"/>
    <w:rsid w:val="009E40F9"/>
    <w:rsid w:val="00A0150F"/>
    <w:rsid w:val="00A1651A"/>
    <w:rsid w:val="00A7475E"/>
    <w:rsid w:val="00A748F7"/>
    <w:rsid w:val="00A8259E"/>
    <w:rsid w:val="00A84DE4"/>
    <w:rsid w:val="00A9530F"/>
    <w:rsid w:val="00AB6F8A"/>
    <w:rsid w:val="00AD0B54"/>
    <w:rsid w:val="00AF2643"/>
    <w:rsid w:val="00B173C2"/>
    <w:rsid w:val="00B23A97"/>
    <w:rsid w:val="00B41F5A"/>
    <w:rsid w:val="00B43D43"/>
    <w:rsid w:val="00B53320"/>
    <w:rsid w:val="00B62BA3"/>
    <w:rsid w:val="00B805C4"/>
    <w:rsid w:val="00BA57E4"/>
    <w:rsid w:val="00BC4A52"/>
    <w:rsid w:val="00BE305A"/>
    <w:rsid w:val="00C00F29"/>
    <w:rsid w:val="00C4560C"/>
    <w:rsid w:val="00C468C8"/>
    <w:rsid w:val="00C722E2"/>
    <w:rsid w:val="00C91EA0"/>
    <w:rsid w:val="00CE0C1E"/>
    <w:rsid w:val="00CF1969"/>
    <w:rsid w:val="00D302DF"/>
    <w:rsid w:val="00D3218E"/>
    <w:rsid w:val="00D529B9"/>
    <w:rsid w:val="00D55E00"/>
    <w:rsid w:val="00D71063"/>
    <w:rsid w:val="00DA0CCA"/>
    <w:rsid w:val="00DA44CB"/>
    <w:rsid w:val="00DB6371"/>
    <w:rsid w:val="00DE6D8B"/>
    <w:rsid w:val="00E4131B"/>
    <w:rsid w:val="00E442E8"/>
    <w:rsid w:val="00E57E0E"/>
    <w:rsid w:val="00E950EC"/>
    <w:rsid w:val="00EB3C60"/>
    <w:rsid w:val="00EB48A0"/>
    <w:rsid w:val="00EB61DB"/>
    <w:rsid w:val="00F26922"/>
    <w:rsid w:val="00F44552"/>
    <w:rsid w:val="00F649A2"/>
    <w:rsid w:val="00FE0487"/>
    <w:rsid w:val="00FF5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E8"/>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E442E8"/>
    <w:pPr>
      <w:widowControl w:val="0"/>
      <w:autoSpaceDE w:val="0"/>
      <w:autoSpaceDN w:val="0"/>
      <w:ind w:left="720"/>
      <w:jc w:val="both"/>
    </w:pPr>
    <w:rPr>
      <w:sz w:val="24"/>
      <w:szCs w:val="24"/>
    </w:rPr>
  </w:style>
  <w:style w:type="paragraph" w:customStyle="1" w:styleId="Level2">
    <w:name w:val="Level 2"/>
    <w:uiPriority w:val="99"/>
    <w:rsid w:val="00E442E8"/>
    <w:pPr>
      <w:widowControl w:val="0"/>
      <w:autoSpaceDE w:val="0"/>
      <w:autoSpaceDN w:val="0"/>
      <w:ind w:left="1440"/>
      <w:jc w:val="both"/>
    </w:pPr>
    <w:rPr>
      <w:sz w:val="24"/>
      <w:szCs w:val="24"/>
    </w:rPr>
  </w:style>
  <w:style w:type="paragraph" w:customStyle="1" w:styleId="Level3">
    <w:name w:val="Level 3"/>
    <w:uiPriority w:val="99"/>
    <w:rsid w:val="00E442E8"/>
    <w:pPr>
      <w:widowControl w:val="0"/>
      <w:autoSpaceDE w:val="0"/>
      <w:autoSpaceDN w:val="0"/>
      <w:ind w:left="2160"/>
      <w:jc w:val="both"/>
    </w:pPr>
    <w:rPr>
      <w:sz w:val="24"/>
      <w:szCs w:val="24"/>
    </w:rPr>
  </w:style>
  <w:style w:type="paragraph" w:customStyle="1" w:styleId="Level4">
    <w:name w:val="Level 4"/>
    <w:uiPriority w:val="99"/>
    <w:rsid w:val="00E442E8"/>
    <w:pPr>
      <w:widowControl w:val="0"/>
      <w:autoSpaceDE w:val="0"/>
      <w:autoSpaceDN w:val="0"/>
      <w:ind w:left="2880"/>
      <w:jc w:val="both"/>
    </w:pPr>
    <w:rPr>
      <w:sz w:val="24"/>
      <w:szCs w:val="24"/>
    </w:rPr>
  </w:style>
  <w:style w:type="paragraph" w:customStyle="1" w:styleId="Level5">
    <w:name w:val="Level 5"/>
    <w:uiPriority w:val="99"/>
    <w:rsid w:val="00E442E8"/>
    <w:pPr>
      <w:widowControl w:val="0"/>
      <w:autoSpaceDE w:val="0"/>
      <w:autoSpaceDN w:val="0"/>
      <w:ind w:left="3600"/>
      <w:jc w:val="both"/>
    </w:pPr>
    <w:rPr>
      <w:sz w:val="24"/>
      <w:szCs w:val="24"/>
    </w:rPr>
  </w:style>
  <w:style w:type="paragraph" w:customStyle="1" w:styleId="Level6">
    <w:name w:val="Level 6"/>
    <w:uiPriority w:val="99"/>
    <w:rsid w:val="00E442E8"/>
    <w:pPr>
      <w:widowControl w:val="0"/>
      <w:autoSpaceDE w:val="0"/>
      <w:autoSpaceDN w:val="0"/>
      <w:ind w:left="4320"/>
      <w:jc w:val="both"/>
    </w:pPr>
    <w:rPr>
      <w:sz w:val="24"/>
      <w:szCs w:val="24"/>
    </w:rPr>
  </w:style>
  <w:style w:type="paragraph" w:customStyle="1" w:styleId="Level7">
    <w:name w:val="Level 7"/>
    <w:uiPriority w:val="99"/>
    <w:rsid w:val="00E442E8"/>
    <w:pPr>
      <w:widowControl w:val="0"/>
      <w:autoSpaceDE w:val="0"/>
      <w:autoSpaceDN w:val="0"/>
      <w:ind w:left="5040"/>
      <w:jc w:val="both"/>
    </w:pPr>
    <w:rPr>
      <w:sz w:val="24"/>
      <w:szCs w:val="24"/>
    </w:rPr>
  </w:style>
  <w:style w:type="paragraph" w:customStyle="1" w:styleId="Level8">
    <w:name w:val="Level 8"/>
    <w:uiPriority w:val="99"/>
    <w:rsid w:val="00E442E8"/>
    <w:pPr>
      <w:widowControl w:val="0"/>
      <w:autoSpaceDE w:val="0"/>
      <w:autoSpaceDN w:val="0"/>
      <w:ind w:left="5760"/>
      <w:jc w:val="both"/>
    </w:pPr>
    <w:rPr>
      <w:sz w:val="24"/>
      <w:szCs w:val="24"/>
    </w:rPr>
  </w:style>
  <w:style w:type="paragraph" w:customStyle="1" w:styleId="Level9">
    <w:name w:val="Level 9"/>
    <w:uiPriority w:val="99"/>
    <w:rsid w:val="00E442E8"/>
    <w:pPr>
      <w:widowControl w:val="0"/>
      <w:autoSpaceDE w:val="0"/>
      <w:autoSpaceDN w:val="0"/>
      <w:ind w:left="-1440"/>
      <w:jc w:val="both"/>
    </w:pPr>
    <w:rPr>
      <w:b/>
      <w:bCs/>
      <w:sz w:val="24"/>
      <w:szCs w:val="24"/>
    </w:rPr>
  </w:style>
  <w:style w:type="character" w:customStyle="1" w:styleId="SYSHYPERTEXT">
    <w:name w:val="SYS_HYPERTEXT"/>
    <w:uiPriority w:val="99"/>
    <w:rsid w:val="00E442E8"/>
    <w:rPr>
      <w:color w:val="0000FF"/>
      <w:u w:val="single"/>
    </w:rPr>
  </w:style>
  <w:style w:type="paragraph" w:styleId="Header">
    <w:name w:val="header"/>
    <w:basedOn w:val="Normal"/>
    <w:link w:val="HeaderChar"/>
    <w:uiPriority w:val="99"/>
    <w:rsid w:val="00E442E8"/>
    <w:pPr>
      <w:tabs>
        <w:tab w:val="center" w:pos="4320"/>
        <w:tab w:val="right" w:pos="8640"/>
      </w:tabs>
    </w:pPr>
  </w:style>
  <w:style w:type="character" w:customStyle="1" w:styleId="HeaderChar">
    <w:name w:val="Header Char"/>
    <w:basedOn w:val="DefaultParagraphFont"/>
    <w:link w:val="Header"/>
    <w:uiPriority w:val="99"/>
    <w:semiHidden/>
    <w:locked/>
    <w:rsid w:val="00E442E8"/>
    <w:rPr>
      <w:rFonts w:cs="Times New Roman"/>
      <w:sz w:val="20"/>
      <w:szCs w:val="20"/>
    </w:rPr>
  </w:style>
  <w:style w:type="paragraph" w:styleId="Footer">
    <w:name w:val="footer"/>
    <w:basedOn w:val="Normal"/>
    <w:link w:val="FooterChar"/>
    <w:uiPriority w:val="99"/>
    <w:rsid w:val="00E442E8"/>
    <w:pPr>
      <w:tabs>
        <w:tab w:val="center" w:pos="4320"/>
        <w:tab w:val="right" w:pos="8640"/>
      </w:tabs>
    </w:pPr>
  </w:style>
  <w:style w:type="character" w:customStyle="1" w:styleId="FooterChar">
    <w:name w:val="Footer Char"/>
    <w:basedOn w:val="DefaultParagraphFont"/>
    <w:link w:val="Footer"/>
    <w:uiPriority w:val="99"/>
    <w:semiHidden/>
    <w:locked/>
    <w:rsid w:val="00E442E8"/>
    <w:rPr>
      <w:rFonts w:cs="Times New Roman"/>
      <w:sz w:val="20"/>
      <w:szCs w:val="20"/>
    </w:rPr>
  </w:style>
  <w:style w:type="paragraph" w:styleId="DocumentMap">
    <w:name w:val="Document Map"/>
    <w:basedOn w:val="Normal"/>
    <w:link w:val="DocumentMapChar"/>
    <w:uiPriority w:val="99"/>
    <w:rsid w:val="00E442E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E442E8"/>
    <w:rPr>
      <w:rFonts w:ascii="Tahoma" w:hAnsi="Tahoma" w:cs="Tahoma"/>
      <w:sz w:val="16"/>
      <w:szCs w:val="16"/>
    </w:rPr>
  </w:style>
  <w:style w:type="character" w:styleId="Hyperlink">
    <w:name w:val="Hyperlink"/>
    <w:basedOn w:val="DefaultParagraphFont"/>
    <w:uiPriority w:val="99"/>
    <w:rsid w:val="00E442E8"/>
    <w:rPr>
      <w:rFonts w:cs="Times New Roman"/>
      <w:color w:val="0000FF"/>
      <w:u w:val="single"/>
    </w:rPr>
  </w:style>
  <w:style w:type="character" w:styleId="FootnoteReference">
    <w:name w:val="footnote reference"/>
    <w:basedOn w:val="DefaultParagraphFont"/>
    <w:uiPriority w:val="99"/>
    <w:rsid w:val="00E442E8"/>
    <w:rPr>
      <w:rFonts w:cs="Times New Roman"/>
      <w:vertAlign w:val="superscript"/>
    </w:rPr>
  </w:style>
  <w:style w:type="table" w:styleId="TableGrid">
    <w:name w:val="Table Grid"/>
    <w:basedOn w:val="TableNormal"/>
    <w:uiPriority w:val="59"/>
    <w:rsid w:val="009E40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6745"/>
    <w:rPr>
      <w:rFonts w:ascii="Tahoma" w:hAnsi="Tahoma" w:cs="Tahoma"/>
      <w:sz w:val="16"/>
      <w:szCs w:val="16"/>
    </w:rPr>
  </w:style>
  <w:style w:type="character" w:customStyle="1" w:styleId="BalloonTextChar">
    <w:name w:val="Balloon Text Char"/>
    <w:basedOn w:val="DefaultParagraphFont"/>
    <w:link w:val="BalloonText"/>
    <w:uiPriority w:val="99"/>
    <w:semiHidden/>
    <w:rsid w:val="00476745"/>
    <w:rPr>
      <w:rFonts w:ascii="Tahoma" w:hAnsi="Tahoma" w:cs="Tahoma"/>
      <w:sz w:val="16"/>
      <w:szCs w:val="16"/>
    </w:rPr>
  </w:style>
  <w:style w:type="character" w:styleId="CommentReference">
    <w:name w:val="annotation reference"/>
    <w:basedOn w:val="DefaultParagraphFont"/>
    <w:uiPriority w:val="99"/>
    <w:semiHidden/>
    <w:unhideWhenUsed/>
    <w:rsid w:val="00A9530F"/>
    <w:rPr>
      <w:sz w:val="16"/>
      <w:szCs w:val="16"/>
    </w:rPr>
  </w:style>
  <w:style w:type="paragraph" w:styleId="CommentText">
    <w:name w:val="annotation text"/>
    <w:basedOn w:val="Normal"/>
    <w:link w:val="CommentTextChar"/>
    <w:uiPriority w:val="99"/>
    <w:semiHidden/>
    <w:unhideWhenUsed/>
    <w:rsid w:val="00A9530F"/>
  </w:style>
  <w:style w:type="character" w:customStyle="1" w:styleId="CommentTextChar">
    <w:name w:val="Comment Text Char"/>
    <w:basedOn w:val="DefaultParagraphFont"/>
    <w:link w:val="CommentText"/>
    <w:uiPriority w:val="99"/>
    <w:semiHidden/>
    <w:rsid w:val="00A9530F"/>
  </w:style>
  <w:style w:type="paragraph" w:styleId="CommentSubject">
    <w:name w:val="annotation subject"/>
    <w:basedOn w:val="CommentText"/>
    <w:next w:val="CommentText"/>
    <w:link w:val="CommentSubjectChar"/>
    <w:uiPriority w:val="99"/>
    <w:semiHidden/>
    <w:unhideWhenUsed/>
    <w:rsid w:val="00A9530F"/>
    <w:rPr>
      <w:b/>
      <w:bCs/>
    </w:rPr>
  </w:style>
  <w:style w:type="character" w:customStyle="1" w:styleId="CommentSubjectChar">
    <w:name w:val="Comment Subject Char"/>
    <w:basedOn w:val="CommentTextChar"/>
    <w:link w:val="CommentSubject"/>
    <w:uiPriority w:val="99"/>
    <w:semiHidden/>
    <w:rsid w:val="00A9530F"/>
    <w:rPr>
      <w:b/>
      <w:bCs/>
    </w:rPr>
  </w:style>
  <w:style w:type="paragraph" w:styleId="Revision">
    <w:name w:val="Revision"/>
    <w:hidden/>
    <w:uiPriority w:val="99"/>
    <w:semiHidden/>
    <w:rsid w:val="00C91EA0"/>
  </w:style>
  <w:style w:type="character" w:styleId="FollowedHyperlink">
    <w:name w:val="FollowedHyperlink"/>
    <w:basedOn w:val="DefaultParagraphFont"/>
    <w:uiPriority w:val="99"/>
    <w:semiHidden/>
    <w:unhideWhenUsed/>
    <w:rsid w:val="00981A7C"/>
    <w:rPr>
      <w:color w:val="800080"/>
      <w:u w:val="single"/>
    </w:rPr>
  </w:style>
  <w:style w:type="paragraph" w:customStyle="1" w:styleId="font0">
    <w:name w:val="font0"/>
    <w:basedOn w:val="Normal"/>
    <w:rsid w:val="00981A7C"/>
    <w:pPr>
      <w:widowControl/>
      <w:autoSpaceDE/>
      <w:autoSpaceDN/>
      <w:spacing w:before="100" w:beforeAutospacing="1" w:after="100" w:afterAutospacing="1"/>
    </w:pPr>
    <w:rPr>
      <w:rFonts w:ascii="Calibri" w:hAnsi="Calibri" w:cs="Calibri"/>
      <w:color w:val="000000"/>
      <w:sz w:val="22"/>
      <w:szCs w:val="22"/>
    </w:rPr>
  </w:style>
  <w:style w:type="paragraph" w:customStyle="1" w:styleId="font5">
    <w:name w:val="font5"/>
    <w:basedOn w:val="Normal"/>
    <w:rsid w:val="00981A7C"/>
    <w:pPr>
      <w:widowControl/>
      <w:autoSpaceDE/>
      <w:autoSpaceDN/>
      <w:spacing w:before="100" w:beforeAutospacing="1" w:after="100" w:afterAutospacing="1"/>
    </w:pPr>
    <w:rPr>
      <w:rFonts w:ascii="Calibri" w:hAnsi="Calibri" w:cs="Calibri"/>
      <w:color w:val="7F7F7F"/>
      <w:sz w:val="22"/>
      <w:szCs w:val="22"/>
    </w:rPr>
  </w:style>
  <w:style w:type="paragraph" w:customStyle="1" w:styleId="xl64">
    <w:name w:val="xl64"/>
    <w:basedOn w:val="Normal"/>
    <w:rsid w:val="00981A7C"/>
    <w:pPr>
      <w:widowControl/>
      <w:autoSpaceDE/>
      <w:autoSpaceDN/>
      <w:spacing w:before="100" w:beforeAutospacing="1" w:after="100" w:afterAutospacing="1"/>
    </w:pPr>
    <w:rPr>
      <w:b/>
      <w:bCs/>
      <w:sz w:val="24"/>
      <w:szCs w:val="24"/>
    </w:rPr>
  </w:style>
  <w:style w:type="paragraph" w:customStyle="1" w:styleId="xl65">
    <w:name w:val="xl65"/>
    <w:basedOn w:val="Normal"/>
    <w:rsid w:val="00981A7C"/>
    <w:pPr>
      <w:widowControl/>
      <w:autoSpaceDE/>
      <w:autoSpaceDN/>
      <w:spacing w:before="100" w:beforeAutospacing="1" w:after="100" w:afterAutospacing="1"/>
    </w:pPr>
    <w:rPr>
      <w:i/>
      <w:iCs/>
      <w:sz w:val="24"/>
      <w:szCs w:val="24"/>
    </w:rPr>
  </w:style>
  <w:style w:type="paragraph" w:customStyle="1" w:styleId="xl66">
    <w:name w:val="xl66"/>
    <w:basedOn w:val="Normal"/>
    <w:rsid w:val="00981A7C"/>
    <w:pPr>
      <w:widowControl/>
      <w:autoSpaceDE/>
      <w:autoSpaceDN/>
      <w:spacing w:before="100" w:beforeAutospacing="1" w:after="100" w:afterAutospacing="1"/>
    </w:pPr>
    <w:rPr>
      <w:sz w:val="24"/>
      <w:szCs w:val="24"/>
      <w:u w:val="single"/>
    </w:rPr>
  </w:style>
  <w:style w:type="paragraph" w:customStyle="1" w:styleId="xl67">
    <w:name w:val="xl67"/>
    <w:basedOn w:val="Normal"/>
    <w:rsid w:val="00981A7C"/>
    <w:pPr>
      <w:widowControl/>
      <w:autoSpaceDE/>
      <w:autoSpaceDN/>
      <w:spacing w:before="100" w:beforeAutospacing="1" w:after="100" w:afterAutospacing="1"/>
    </w:pPr>
    <w:rPr>
      <w:b/>
      <w:bCs/>
      <w:color w:val="7F7F7F"/>
      <w:sz w:val="24"/>
      <w:szCs w:val="24"/>
    </w:rPr>
  </w:style>
  <w:style w:type="paragraph" w:customStyle="1" w:styleId="xl68">
    <w:name w:val="xl68"/>
    <w:basedOn w:val="Normal"/>
    <w:rsid w:val="00981A7C"/>
    <w:pPr>
      <w:widowControl/>
      <w:autoSpaceDE/>
      <w:autoSpaceDN/>
      <w:spacing w:before="100" w:beforeAutospacing="1" w:after="100" w:afterAutospacing="1"/>
    </w:pPr>
    <w:rPr>
      <w:color w:val="7F7F7F"/>
      <w:sz w:val="24"/>
      <w:szCs w:val="24"/>
    </w:rPr>
  </w:style>
  <w:style w:type="paragraph" w:customStyle="1" w:styleId="xl69">
    <w:name w:val="xl69"/>
    <w:basedOn w:val="Normal"/>
    <w:rsid w:val="00981A7C"/>
    <w:pPr>
      <w:widowControl/>
      <w:autoSpaceDE/>
      <w:autoSpaceDN/>
      <w:spacing w:before="100" w:beforeAutospacing="1" w:after="100" w:afterAutospacing="1"/>
    </w:pPr>
    <w:rPr>
      <w:sz w:val="24"/>
      <w:szCs w:val="24"/>
    </w:rPr>
  </w:style>
  <w:style w:type="paragraph" w:customStyle="1" w:styleId="xl70">
    <w:name w:val="xl70"/>
    <w:basedOn w:val="Normal"/>
    <w:rsid w:val="00981A7C"/>
    <w:pPr>
      <w:widowControl/>
      <w:pBdr>
        <w:top w:val="single" w:sz="8" w:space="0" w:color="auto"/>
        <w:left w:val="single" w:sz="8" w:space="0" w:color="auto"/>
      </w:pBdr>
      <w:autoSpaceDE/>
      <w:autoSpaceDN/>
      <w:spacing w:before="100" w:beforeAutospacing="1" w:after="100" w:afterAutospacing="1"/>
      <w:textAlignment w:val="top"/>
    </w:pPr>
    <w:rPr>
      <w:b/>
      <w:bCs/>
      <w:sz w:val="24"/>
      <w:szCs w:val="24"/>
    </w:rPr>
  </w:style>
  <w:style w:type="paragraph" w:customStyle="1" w:styleId="xl71">
    <w:name w:val="xl71"/>
    <w:basedOn w:val="Normal"/>
    <w:rsid w:val="00981A7C"/>
    <w:pPr>
      <w:widowControl/>
      <w:pBdr>
        <w:top w:val="single" w:sz="8" w:space="0" w:color="auto"/>
      </w:pBdr>
      <w:autoSpaceDE/>
      <w:autoSpaceDN/>
      <w:spacing w:before="100" w:beforeAutospacing="1" w:after="100" w:afterAutospacing="1"/>
    </w:pPr>
    <w:rPr>
      <w:sz w:val="24"/>
      <w:szCs w:val="24"/>
    </w:rPr>
  </w:style>
  <w:style w:type="paragraph" w:customStyle="1" w:styleId="xl72">
    <w:name w:val="xl72"/>
    <w:basedOn w:val="Normal"/>
    <w:rsid w:val="00981A7C"/>
    <w:pPr>
      <w:widowControl/>
      <w:pBdr>
        <w:top w:val="single" w:sz="8" w:space="0" w:color="auto"/>
      </w:pBdr>
      <w:autoSpaceDE/>
      <w:autoSpaceDN/>
      <w:spacing w:before="100" w:beforeAutospacing="1" w:after="100" w:afterAutospacing="1"/>
    </w:pPr>
    <w:rPr>
      <w:sz w:val="24"/>
      <w:szCs w:val="24"/>
    </w:rPr>
  </w:style>
  <w:style w:type="paragraph" w:customStyle="1" w:styleId="xl73">
    <w:name w:val="xl73"/>
    <w:basedOn w:val="Normal"/>
    <w:rsid w:val="00981A7C"/>
    <w:pPr>
      <w:widowControl/>
      <w:pBdr>
        <w:top w:val="single" w:sz="8" w:space="0" w:color="auto"/>
        <w:right w:val="single" w:sz="8" w:space="0" w:color="auto"/>
      </w:pBdr>
      <w:autoSpaceDE/>
      <w:autoSpaceDN/>
      <w:spacing w:before="100" w:beforeAutospacing="1" w:after="100" w:afterAutospacing="1"/>
    </w:pPr>
    <w:rPr>
      <w:sz w:val="24"/>
      <w:szCs w:val="24"/>
    </w:rPr>
  </w:style>
  <w:style w:type="paragraph" w:customStyle="1" w:styleId="xl74">
    <w:name w:val="xl74"/>
    <w:basedOn w:val="Normal"/>
    <w:rsid w:val="00981A7C"/>
    <w:pPr>
      <w:widowControl/>
      <w:pBdr>
        <w:left w:val="single" w:sz="8" w:space="0" w:color="auto"/>
      </w:pBdr>
      <w:autoSpaceDE/>
      <w:autoSpaceDN/>
      <w:spacing w:before="100" w:beforeAutospacing="1" w:after="100" w:afterAutospacing="1"/>
      <w:textAlignment w:val="top"/>
    </w:pPr>
    <w:rPr>
      <w:sz w:val="24"/>
      <w:szCs w:val="24"/>
    </w:rPr>
  </w:style>
  <w:style w:type="paragraph" w:customStyle="1" w:styleId="xl75">
    <w:name w:val="xl75"/>
    <w:basedOn w:val="Normal"/>
    <w:rsid w:val="00981A7C"/>
    <w:pPr>
      <w:widowControl/>
      <w:pBdr>
        <w:right w:val="single" w:sz="8" w:space="0" w:color="auto"/>
      </w:pBdr>
      <w:autoSpaceDE/>
      <w:autoSpaceDN/>
      <w:spacing w:before="100" w:beforeAutospacing="1" w:after="100" w:afterAutospacing="1"/>
    </w:pPr>
    <w:rPr>
      <w:sz w:val="24"/>
      <w:szCs w:val="24"/>
    </w:rPr>
  </w:style>
  <w:style w:type="paragraph" w:customStyle="1" w:styleId="xl76">
    <w:name w:val="xl76"/>
    <w:basedOn w:val="Normal"/>
    <w:rsid w:val="00981A7C"/>
    <w:pPr>
      <w:widowControl/>
      <w:pBdr>
        <w:top w:val="single" w:sz="8" w:space="0" w:color="auto"/>
        <w:right w:val="single" w:sz="8" w:space="0" w:color="auto"/>
      </w:pBdr>
      <w:autoSpaceDE/>
      <w:autoSpaceDN/>
      <w:spacing w:before="100" w:beforeAutospacing="1" w:after="100" w:afterAutospacing="1"/>
      <w:textAlignment w:val="top"/>
    </w:pPr>
    <w:rPr>
      <w:sz w:val="24"/>
      <w:szCs w:val="24"/>
    </w:rPr>
  </w:style>
  <w:style w:type="paragraph" w:customStyle="1" w:styleId="xl77">
    <w:name w:val="xl77"/>
    <w:basedOn w:val="Normal"/>
    <w:rsid w:val="00981A7C"/>
    <w:pPr>
      <w:widowControl/>
      <w:pBdr>
        <w:right w:val="single" w:sz="8" w:space="0" w:color="auto"/>
      </w:pBdr>
      <w:autoSpaceDE/>
      <w:autoSpaceDN/>
      <w:spacing w:before="100" w:beforeAutospacing="1" w:after="100" w:afterAutospacing="1"/>
      <w:textAlignment w:val="top"/>
    </w:pPr>
    <w:rPr>
      <w:sz w:val="24"/>
      <w:szCs w:val="24"/>
    </w:rPr>
  </w:style>
  <w:style w:type="paragraph" w:customStyle="1" w:styleId="xl78">
    <w:name w:val="xl78"/>
    <w:basedOn w:val="Normal"/>
    <w:rsid w:val="00981A7C"/>
    <w:pPr>
      <w:widowControl/>
      <w:pBdr>
        <w:top w:val="single" w:sz="8" w:space="0" w:color="auto"/>
        <w:left w:val="single" w:sz="8" w:space="0" w:color="auto"/>
        <w:bottom w:val="single" w:sz="8" w:space="0" w:color="auto"/>
      </w:pBdr>
      <w:autoSpaceDE/>
      <w:autoSpaceDN/>
      <w:spacing w:before="100" w:beforeAutospacing="1" w:after="100" w:afterAutospacing="1"/>
    </w:pPr>
    <w:rPr>
      <w:sz w:val="24"/>
      <w:szCs w:val="24"/>
    </w:rPr>
  </w:style>
  <w:style w:type="paragraph" w:customStyle="1" w:styleId="xl79">
    <w:name w:val="xl79"/>
    <w:basedOn w:val="Normal"/>
    <w:rsid w:val="00981A7C"/>
    <w:pPr>
      <w:widowControl/>
      <w:pBdr>
        <w:top w:val="single" w:sz="8" w:space="0" w:color="auto"/>
        <w:bottom w:val="single" w:sz="8" w:space="0" w:color="auto"/>
      </w:pBdr>
      <w:autoSpaceDE/>
      <w:autoSpaceDN/>
      <w:spacing w:before="100" w:beforeAutospacing="1" w:after="100" w:afterAutospacing="1"/>
    </w:pPr>
    <w:rPr>
      <w:sz w:val="24"/>
      <w:szCs w:val="24"/>
    </w:rPr>
  </w:style>
  <w:style w:type="paragraph" w:customStyle="1" w:styleId="xl80">
    <w:name w:val="xl80"/>
    <w:basedOn w:val="Normal"/>
    <w:rsid w:val="00981A7C"/>
    <w:pPr>
      <w:widowControl/>
      <w:pBdr>
        <w:top w:val="single" w:sz="8" w:space="0" w:color="auto"/>
        <w:bottom w:val="single" w:sz="8" w:space="0" w:color="auto"/>
        <w:right w:val="single" w:sz="8" w:space="0" w:color="auto"/>
      </w:pBdr>
      <w:autoSpaceDE/>
      <w:autoSpaceDN/>
      <w:spacing w:before="100" w:beforeAutospacing="1" w:after="100" w:afterAutospacing="1"/>
    </w:pPr>
    <w:rPr>
      <w:sz w:val="24"/>
      <w:szCs w:val="24"/>
    </w:rPr>
  </w:style>
  <w:style w:type="paragraph" w:customStyle="1" w:styleId="xl81">
    <w:name w:val="xl81"/>
    <w:basedOn w:val="Normal"/>
    <w:rsid w:val="00981A7C"/>
    <w:pPr>
      <w:widowControl/>
      <w:pBdr>
        <w:top w:val="single" w:sz="8" w:space="0" w:color="auto"/>
        <w:left w:val="single" w:sz="8" w:space="0" w:color="auto"/>
        <w:bottom w:val="single" w:sz="8" w:space="0" w:color="auto"/>
      </w:pBdr>
      <w:autoSpaceDE/>
      <w:autoSpaceDN/>
      <w:spacing w:before="100" w:beforeAutospacing="1" w:after="100" w:afterAutospacing="1"/>
    </w:pPr>
    <w:rPr>
      <w:sz w:val="24"/>
      <w:szCs w:val="24"/>
    </w:rPr>
  </w:style>
  <w:style w:type="paragraph" w:customStyle="1" w:styleId="xl82">
    <w:name w:val="xl82"/>
    <w:basedOn w:val="Normal"/>
    <w:rsid w:val="00981A7C"/>
    <w:pPr>
      <w:widowControl/>
      <w:pBdr>
        <w:top w:val="single" w:sz="8" w:space="0" w:color="auto"/>
        <w:bottom w:val="single" w:sz="8" w:space="0" w:color="auto"/>
      </w:pBdr>
      <w:autoSpaceDE/>
      <w:autoSpaceDN/>
      <w:spacing w:before="100" w:beforeAutospacing="1" w:after="100" w:afterAutospacing="1"/>
    </w:pPr>
    <w:rPr>
      <w:sz w:val="24"/>
      <w:szCs w:val="24"/>
    </w:rPr>
  </w:style>
  <w:style w:type="paragraph" w:customStyle="1" w:styleId="xl83">
    <w:name w:val="xl83"/>
    <w:basedOn w:val="Normal"/>
    <w:rsid w:val="00981A7C"/>
    <w:pPr>
      <w:widowControl/>
      <w:pBdr>
        <w:top w:val="single" w:sz="8" w:space="0" w:color="auto"/>
        <w:bottom w:val="single" w:sz="8" w:space="0" w:color="auto"/>
        <w:right w:val="single" w:sz="8" w:space="0" w:color="auto"/>
      </w:pBdr>
      <w:autoSpaceDE/>
      <w:autoSpaceDN/>
      <w:spacing w:before="100" w:beforeAutospacing="1" w:after="100" w:afterAutospacing="1"/>
    </w:pPr>
    <w:rPr>
      <w:sz w:val="24"/>
      <w:szCs w:val="24"/>
    </w:rPr>
  </w:style>
  <w:style w:type="paragraph" w:customStyle="1" w:styleId="xl84">
    <w:name w:val="xl84"/>
    <w:basedOn w:val="Normal"/>
    <w:rsid w:val="00981A7C"/>
    <w:pPr>
      <w:widowControl/>
      <w:pBdr>
        <w:bottom w:val="single" w:sz="8" w:space="0" w:color="auto"/>
        <w:right w:val="single" w:sz="8" w:space="0" w:color="auto"/>
      </w:pBdr>
      <w:autoSpaceDE/>
      <w:autoSpaceDN/>
      <w:spacing w:before="100" w:beforeAutospacing="1" w:after="100" w:afterAutospacing="1"/>
    </w:pPr>
    <w:rPr>
      <w:sz w:val="24"/>
      <w:szCs w:val="24"/>
    </w:rPr>
  </w:style>
  <w:style w:type="paragraph" w:customStyle="1" w:styleId="xl85">
    <w:name w:val="xl85"/>
    <w:basedOn w:val="Normal"/>
    <w:rsid w:val="00981A7C"/>
    <w:pPr>
      <w:widowControl/>
      <w:pBdr>
        <w:top w:val="single" w:sz="8" w:space="0" w:color="auto"/>
        <w:left w:val="single" w:sz="8" w:space="0" w:color="auto"/>
      </w:pBdr>
      <w:autoSpaceDE/>
      <w:autoSpaceDN/>
      <w:spacing w:before="100" w:beforeAutospacing="1" w:after="100" w:afterAutospacing="1"/>
    </w:pPr>
    <w:rPr>
      <w:sz w:val="24"/>
      <w:szCs w:val="24"/>
    </w:rPr>
  </w:style>
  <w:style w:type="paragraph" w:customStyle="1" w:styleId="xl86">
    <w:name w:val="xl86"/>
    <w:basedOn w:val="Normal"/>
    <w:rsid w:val="00981A7C"/>
    <w:pPr>
      <w:widowControl/>
      <w:pBdr>
        <w:left w:val="single" w:sz="8" w:space="0" w:color="auto"/>
      </w:pBdr>
      <w:autoSpaceDE/>
      <w:autoSpaceDN/>
      <w:spacing w:before="100" w:beforeAutospacing="1" w:after="100" w:afterAutospacing="1"/>
      <w:textAlignment w:val="top"/>
    </w:pPr>
    <w:rPr>
      <w:b/>
      <w:bCs/>
      <w:sz w:val="24"/>
      <w:szCs w:val="24"/>
    </w:rPr>
  </w:style>
  <w:style w:type="paragraph" w:customStyle="1" w:styleId="xl87">
    <w:name w:val="xl87"/>
    <w:basedOn w:val="Normal"/>
    <w:rsid w:val="00981A7C"/>
    <w:pPr>
      <w:widowControl/>
      <w:pBdr>
        <w:top w:val="single" w:sz="8" w:space="0" w:color="auto"/>
        <w:left w:val="single" w:sz="8" w:space="0" w:color="auto"/>
      </w:pBdr>
      <w:autoSpaceDE/>
      <w:autoSpaceDN/>
      <w:spacing w:before="100" w:beforeAutospacing="1" w:after="100" w:afterAutospacing="1"/>
      <w:textAlignment w:val="top"/>
    </w:pPr>
    <w:rPr>
      <w:b/>
      <w:bCs/>
      <w:color w:val="7F7F7F"/>
      <w:sz w:val="24"/>
      <w:szCs w:val="24"/>
    </w:rPr>
  </w:style>
  <w:style w:type="paragraph" w:customStyle="1" w:styleId="xl88">
    <w:name w:val="xl88"/>
    <w:basedOn w:val="Normal"/>
    <w:rsid w:val="00981A7C"/>
    <w:pPr>
      <w:widowControl/>
      <w:pBdr>
        <w:top w:val="single" w:sz="8" w:space="0" w:color="auto"/>
        <w:right w:val="single" w:sz="8" w:space="0" w:color="auto"/>
      </w:pBdr>
      <w:autoSpaceDE/>
      <w:autoSpaceDN/>
      <w:spacing w:before="100" w:beforeAutospacing="1" w:after="100" w:afterAutospacing="1"/>
      <w:textAlignment w:val="top"/>
    </w:pPr>
    <w:rPr>
      <w:color w:val="7F7F7F"/>
      <w:sz w:val="24"/>
      <w:szCs w:val="24"/>
    </w:rPr>
  </w:style>
  <w:style w:type="paragraph" w:customStyle="1" w:styleId="xl89">
    <w:name w:val="xl89"/>
    <w:basedOn w:val="Normal"/>
    <w:rsid w:val="00981A7C"/>
    <w:pPr>
      <w:widowControl/>
      <w:pBdr>
        <w:top w:val="single" w:sz="8" w:space="0" w:color="auto"/>
        <w:left w:val="single" w:sz="8" w:space="0" w:color="auto"/>
      </w:pBdr>
      <w:autoSpaceDE/>
      <w:autoSpaceDN/>
      <w:spacing w:before="100" w:beforeAutospacing="1" w:after="100" w:afterAutospacing="1"/>
    </w:pPr>
    <w:rPr>
      <w:color w:val="7F7F7F"/>
      <w:sz w:val="24"/>
      <w:szCs w:val="24"/>
    </w:rPr>
  </w:style>
  <w:style w:type="paragraph" w:customStyle="1" w:styleId="xl90">
    <w:name w:val="xl90"/>
    <w:basedOn w:val="Normal"/>
    <w:rsid w:val="00981A7C"/>
    <w:pPr>
      <w:widowControl/>
      <w:pBdr>
        <w:top w:val="single" w:sz="8" w:space="0" w:color="auto"/>
      </w:pBdr>
      <w:autoSpaceDE/>
      <w:autoSpaceDN/>
      <w:spacing w:before="100" w:beforeAutospacing="1" w:after="100" w:afterAutospacing="1"/>
    </w:pPr>
    <w:rPr>
      <w:color w:val="7F7F7F"/>
      <w:sz w:val="24"/>
      <w:szCs w:val="24"/>
    </w:rPr>
  </w:style>
  <w:style w:type="paragraph" w:customStyle="1" w:styleId="xl91">
    <w:name w:val="xl91"/>
    <w:basedOn w:val="Normal"/>
    <w:rsid w:val="00981A7C"/>
    <w:pPr>
      <w:widowControl/>
      <w:pBdr>
        <w:top w:val="single" w:sz="8" w:space="0" w:color="auto"/>
        <w:right w:val="single" w:sz="8" w:space="0" w:color="auto"/>
      </w:pBdr>
      <w:autoSpaceDE/>
      <w:autoSpaceDN/>
      <w:spacing w:before="100" w:beforeAutospacing="1" w:after="100" w:afterAutospacing="1"/>
    </w:pPr>
    <w:rPr>
      <w:color w:val="7F7F7F"/>
      <w:sz w:val="24"/>
      <w:szCs w:val="24"/>
    </w:rPr>
  </w:style>
  <w:style w:type="paragraph" w:customStyle="1" w:styleId="xl92">
    <w:name w:val="xl92"/>
    <w:basedOn w:val="Normal"/>
    <w:rsid w:val="00981A7C"/>
    <w:pPr>
      <w:widowControl/>
      <w:pBdr>
        <w:left w:val="single" w:sz="8" w:space="0" w:color="auto"/>
      </w:pBdr>
      <w:autoSpaceDE/>
      <w:autoSpaceDN/>
      <w:spacing w:before="100" w:beforeAutospacing="1" w:after="100" w:afterAutospacing="1"/>
      <w:textAlignment w:val="top"/>
    </w:pPr>
    <w:rPr>
      <w:color w:val="7F7F7F"/>
      <w:sz w:val="24"/>
      <w:szCs w:val="24"/>
    </w:rPr>
  </w:style>
  <w:style w:type="paragraph" w:customStyle="1" w:styleId="xl93">
    <w:name w:val="xl93"/>
    <w:basedOn w:val="Normal"/>
    <w:rsid w:val="00981A7C"/>
    <w:pPr>
      <w:widowControl/>
      <w:pBdr>
        <w:right w:val="single" w:sz="8" w:space="0" w:color="auto"/>
      </w:pBdr>
      <w:autoSpaceDE/>
      <w:autoSpaceDN/>
      <w:spacing w:before="100" w:beforeAutospacing="1" w:after="100" w:afterAutospacing="1"/>
      <w:textAlignment w:val="top"/>
    </w:pPr>
    <w:rPr>
      <w:color w:val="7F7F7F"/>
      <w:sz w:val="24"/>
      <w:szCs w:val="24"/>
    </w:rPr>
  </w:style>
  <w:style w:type="paragraph" w:customStyle="1" w:styleId="xl94">
    <w:name w:val="xl94"/>
    <w:basedOn w:val="Normal"/>
    <w:rsid w:val="00981A7C"/>
    <w:pPr>
      <w:widowControl/>
      <w:autoSpaceDE/>
      <w:autoSpaceDN/>
      <w:spacing w:before="100" w:beforeAutospacing="1" w:after="100" w:afterAutospacing="1"/>
    </w:pPr>
    <w:rPr>
      <w:color w:val="7F7F7F"/>
      <w:sz w:val="24"/>
      <w:szCs w:val="24"/>
    </w:rPr>
  </w:style>
  <w:style w:type="paragraph" w:customStyle="1" w:styleId="xl95">
    <w:name w:val="xl95"/>
    <w:basedOn w:val="Normal"/>
    <w:rsid w:val="00981A7C"/>
    <w:pPr>
      <w:widowControl/>
      <w:pBdr>
        <w:right w:val="single" w:sz="8" w:space="0" w:color="auto"/>
      </w:pBdr>
      <w:autoSpaceDE/>
      <w:autoSpaceDN/>
      <w:spacing w:before="100" w:beforeAutospacing="1" w:after="100" w:afterAutospacing="1"/>
    </w:pPr>
    <w:rPr>
      <w:color w:val="7F7F7F"/>
      <w:sz w:val="24"/>
      <w:szCs w:val="24"/>
    </w:rPr>
  </w:style>
  <w:style w:type="paragraph" w:customStyle="1" w:styleId="xl96">
    <w:name w:val="xl96"/>
    <w:basedOn w:val="Normal"/>
    <w:rsid w:val="00981A7C"/>
    <w:pPr>
      <w:widowControl/>
      <w:pBdr>
        <w:top w:val="single" w:sz="8" w:space="0" w:color="auto"/>
        <w:left w:val="single" w:sz="8" w:space="0" w:color="auto"/>
        <w:bottom w:val="single" w:sz="8" w:space="0" w:color="auto"/>
      </w:pBdr>
      <w:autoSpaceDE/>
      <w:autoSpaceDN/>
      <w:spacing w:before="100" w:beforeAutospacing="1" w:after="100" w:afterAutospacing="1"/>
    </w:pPr>
    <w:rPr>
      <w:color w:val="7F7F7F"/>
      <w:sz w:val="24"/>
      <w:szCs w:val="24"/>
    </w:rPr>
  </w:style>
  <w:style w:type="paragraph" w:customStyle="1" w:styleId="xl97">
    <w:name w:val="xl97"/>
    <w:basedOn w:val="Normal"/>
    <w:rsid w:val="00981A7C"/>
    <w:pPr>
      <w:widowControl/>
      <w:pBdr>
        <w:top w:val="single" w:sz="8" w:space="0" w:color="auto"/>
        <w:bottom w:val="single" w:sz="8" w:space="0" w:color="auto"/>
      </w:pBdr>
      <w:autoSpaceDE/>
      <w:autoSpaceDN/>
      <w:spacing w:before="100" w:beforeAutospacing="1" w:after="100" w:afterAutospacing="1"/>
    </w:pPr>
    <w:rPr>
      <w:color w:val="7F7F7F"/>
      <w:sz w:val="24"/>
      <w:szCs w:val="24"/>
    </w:rPr>
  </w:style>
  <w:style w:type="paragraph" w:customStyle="1" w:styleId="xl98">
    <w:name w:val="xl98"/>
    <w:basedOn w:val="Normal"/>
    <w:rsid w:val="00981A7C"/>
    <w:pPr>
      <w:widowControl/>
      <w:pBdr>
        <w:top w:val="single" w:sz="8" w:space="0" w:color="auto"/>
        <w:bottom w:val="single" w:sz="8" w:space="0" w:color="auto"/>
        <w:right w:val="single" w:sz="8" w:space="0" w:color="auto"/>
      </w:pBdr>
      <w:autoSpaceDE/>
      <w:autoSpaceDN/>
      <w:spacing w:before="100" w:beforeAutospacing="1" w:after="100" w:afterAutospacing="1"/>
    </w:pPr>
    <w:rPr>
      <w:color w:val="7F7F7F"/>
      <w:sz w:val="24"/>
      <w:szCs w:val="24"/>
    </w:rPr>
  </w:style>
  <w:style w:type="paragraph" w:customStyle="1" w:styleId="xl99">
    <w:name w:val="xl99"/>
    <w:basedOn w:val="Normal"/>
    <w:rsid w:val="00981A7C"/>
    <w:pPr>
      <w:widowControl/>
      <w:pBdr>
        <w:top w:val="single" w:sz="8" w:space="0" w:color="auto"/>
        <w:right w:val="single" w:sz="8" w:space="0" w:color="auto"/>
      </w:pBdr>
      <w:autoSpaceDE/>
      <w:autoSpaceDN/>
      <w:spacing w:before="100" w:beforeAutospacing="1" w:after="100" w:afterAutospacing="1"/>
      <w:textAlignment w:val="top"/>
    </w:pPr>
    <w:rPr>
      <w:b/>
      <w:bCs/>
      <w:sz w:val="24"/>
      <w:szCs w:val="24"/>
    </w:rPr>
  </w:style>
  <w:style w:type="paragraph" w:customStyle="1" w:styleId="xl100">
    <w:name w:val="xl100"/>
    <w:basedOn w:val="Normal"/>
    <w:rsid w:val="00981A7C"/>
    <w:pPr>
      <w:widowControl/>
      <w:pBdr>
        <w:left w:val="single" w:sz="8" w:space="0" w:color="auto"/>
        <w:bottom w:val="single" w:sz="8" w:space="0" w:color="auto"/>
      </w:pBdr>
      <w:autoSpaceDE/>
      <w:autoSpaceDN/>
      <w:spacing w:before="100" w:beforeAutospacing="1" w:after="100" w:afterAutospacing="1"/>
      <w:textAlignment w:val="top"/>
    </w:pPr>
    <w:rPr>
      <w:b/>
      <w:bCs/>
      <w:sz w:val="24"/>
      <w:szCs w:val="24"/>
    </w:rPr>
  </w:style>
  <w:style w:type="paragraph" w:customStyle="1" w:styleId="xl101">
    <w:name w:val="xl101"/>
    <w:basedOn w:val="Normal"/>
    <w:rsid w:val="00981A7C"/>
    <w:pPr>
      <w:widowControl/>
      <w:pBdr>
        <w:bottom w:val="single" w:sz="8" w:space="0" w:color="auto"/>
        <w:right w:val="single" w:sz="8" w:space="0" w:color="auto"/>
      </w:pBdr>
      <w:autoSpaceDE/>
      <w:autoSpaceDN/>
      <w:spacing w:before="100" w:beforeAutospacing="1" w:after="100" w:afterAutospacing="1"/>
      <w:textAlignment w:val="top"/>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E8"/>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E442E8"/>
    <w:pPr>
      <w:widowControl w:val="0"/>
      <w:autoSpaceDE w:val="0"/>
      <w:autoSpaceDN w:val="0"/>
      <w:ind w:left="720"/>
      <w:jc w:val="both"/>
    </w:pPr>
    <w:rPr>
      <w:sz w:val="24"/>
      <w:szCs w:val="24"/>
    </w:rPr>
  </w:style>
  <w:style w:type="paragraph" w:customStyle="1" w:styleId="Level2">
    <w:name w:val="Level 2"/>
    <w:uiPriority w:val="99"/>
    <w:rsid w:val="00E442E8"/>
    <w:pPr>
      <w:widowControl w:val="0"/>
      <w:autoSpaceDE w:val="0"/>
      <w:autoSpaceDN w:val="0"/>
      <w:ind w:left="1440"/>
      <w:jc w:val="both"/>
    </w:pPr>
    <w:rPr>
      <w:sz w:val="24"/>
      <w:szCs w:val="24"/>
    </w:rPr>
  </w:style>
  <w:style w:type="paragraph" w:customStyle="1" w:styleId="Level3">
    <w:name w:val="Level 3"/>
    <w:uiPriority w:val="99"/>
    <w:rsid w:val="00E442E8"/>
    <w:pPr>
      <w:widowControl w:val="0"/>
      <w:autoSpaceDE w:val="0"/>
      <w:autoSpaceDN w:val="0"/>
      <w:ind w:left="2160"/>
      <w:jc w:val="both"/>
    </w:pPr>
    <w:rPr>
      <w:sz w:val="24"/>
      <w:szCs w:val="24"/>
    </w:rPr>
  </w:style>
  <w:style w:type="paragraph" w:customStyle="1" w:styleId="Level4">
    <w:name w:val="Level 4"/>
    <w:uiPriority w:val="99"/>
    <w:rsid w:val="00E442E8"/>
    <w:pPr>
      <w:widowControl w:val="0"/>
      <w:autoSpaceDE w:val="0"/>
      <w:autoSpaceDN w:val="0"/>
      <w:ind w:left="2880"/>
      <w:jc w:val="both"/>
    </w:pPr>
    <w:rPr>
      <w:sz w:val="24"/>
      <w:szCs w:val="24"/>
    </w:rPr>
  </w:style>
  <w:style w:type="paragraph" w:customStyle="1" w:styleId="Level5">
    <w:name w:val="Level 5"/>
    <w:uiPriority w:val="99"/>
    <w:rsid w:val="00E442E8"/>
    <w:pPr>
      <w:widowControl w:val="0"/>
      <w:autoSpaceDE w:val="0"/>
      <w:autoSpaceDN w:val="0"/>
      <w:ind w:left="3600"/>
      <w:jc w:val="both"/>
    </w:pPr>
    <w:rPr>
      <w:sz w:val="24"/>
      <w:szCs w:val="24"/>
    </w:rPr>
  </w:style>
  <w:style w:type="paragraph" w:customStyle="1" w:styleId="Level6">
    <w:name w:val="Level 6"/>
    <w:uiPriority w:val="99"/>
    <w:rsid w:val="00E442E8"/>
    <w:pPr>
      <w:widowControl w:val="0"/>
      <w:autoSpaceDE w:val="0"/>
      <w:autoSpaceDN w:val="0"/>
      <w:ind w:left="4320"/>
      <w:jc w:val="both"/>
    </w:pPr>
    <w:rPr>
      <w:sz w:val="24"/>
      <w:szCs w:val="24"/>
    </w:rPr>
  </w:style>
  <w:style w:type="paragraph" w:customStyle="1" w:styleId="Level7">
    <w:name w:val="Level 7"/>
    <w:uiPriority w:val="99"/>
    <w:rsid w:val="00E442E8"/>
    <w:pPr>
      <w:widowControl w:val="0"/>
      <w:autoSpaceDE w:val="0"/>
      <w:autoSpaceDN w:val="0"/>
      <w:ind w:left="5040"/>
      <w:jc w:val="both"/>
    </w:pPr>
    <w:rPr>
      <w:sz w:val="24"/>
      <w:szCs w:val="24"/>
    </w:rPr>
  </w:style>
  <w:style w:type="paragraph" w:customStyle="1" w:styleId="Level8">
    <w:name w:val="Level 8"/>
    <w:uiPriority w:val="99"/>
    <w:rsid w:val="00E442E8"/>
    <w:pPr>
      <w:widowControl w:val="0"/>
      <w:autoSpaceDE w:val="0"/>
      <w:autoSpaceDN w:val="0"/>
      <w:ind w:left="5760"/>
      <w:jc w:val="both"/>
    </w:pPr>
    <w:rPr>
      <w:sz w:val="24"/>
      <w:szCs w:val="24"/>
    </w:rPr>
  </w:style>
  <w:style w:type="paragraph" w:customStyle="1" w:styleId="Level9">
    <w:name w:val="Level 9"/>
    <w:uiPriority w:val="99"/>
    <w:rsid w:val="00E442E8"/>
    <w:pPr>
      <w:widowControl w:val="0"/>
      <w:autoSpaceDE w:val="0"/>
      <w:autoSpaceDN w:val="0"/>
      <w:ind w:left="-1440"/>
      <w:jc w:val="both"/>
    </w:pPr>
    <w:rPr>
      <w:b/>
      <w:bCs/>
      <w:sz w:val="24"/>
      <w:szCs w:val="24"/>
    </w:rPr>
  </w:style>
  <w:style w:type="character" w:customStyle="1" w:styleId="SYSHYPERTEXT">
    <w:name w:val="SYS_HYPERTEXT"/>
    <w:uiPriority w:val="99"/>
    <w:rsid w:val="00E442E8"/>
    <w:rPr>
      <w:color w:val="0000FF"/>
      <w:u w:val="single"/>
    </w:rPr>
  </w:style>
  <w:style w:type="paragraph" w:styleId="Header">
    <w:name w:val="header"/>
    <w:basedOn w:val="Normal"/>
    <w:link w:val="HeaderChar"/>
    <w:uiPriority w:val="99"/>
    <w:rsid w:val="00E442E8"/>
    <w:pPr>
      <w:tabs>
        <w:tab w:val="center" w:pos="4320"/>
        <w:tab w:val="right" w:pos="8640"/>
      </w:tabs>
    </w:pPr>
  </w:style>
  <w:style w:type="character" w:customStyle="1" w:styleId="HeaderChar">
    <w:name w:val="Header Char"/>
    <w:basedOn w:val="DefaultParagraphFont"/>
    <w:link w:val="Header"/>
    <w:uiPriority w:val="99"/>
    <w:semiHidden/>
    <w:locked/>
    <w:rsid w:val="00E442E8"/>
    <w:rPr>
      <w:rFonts w:cs="Times New Roman"/>
      <w:sz w:val="20"/>
      <w:szCs w:val="20"/>
    </w:rPr>
  </w:style>
  <w:style w:type="paragraph" w:styleId="Footer">
    <w:name w:val="footer"/>
    <w:basedOn w:val="Normal"/>
    <w:link w:val="FooterChar"/>
    <w:uiPriority w:val="99"/>
    <w:rsid w:val="00E442E8"/>
    <w:pPr>
      <w:tabs>
        <w:tab w:val="center" w:pos="4320"/>
        <w:tab w:val="right" w:pos="8640"/>
      </w:tabs>
    </w:pPr>
  </w:style>
  <w:style w:type="character" w:customStyle="1" w:styleId="FooterChar">
    <w:name w:val="Footer Char"/>
    <w:basedOn w:val="DefaultParagraphFont"/>
    <w:link w:val="Footer"/>
    <w:uiPriority w:val="99"/>
    <w:semiHidden/>
    <w:locked/>
    <w:rsid w:val="00E442E8"/>
    <w:rPr>
      <w:rFonts w:cs="Times New Roman"/>
      <w:sz w:val="20"/>
      <w:szCs w:val="20"/>
    </w:rPr>
  </w:style>
  <w:style w:type="paragraph" w:styleId="DocumentMap">
    <w:name w:val="Document Map"/>
    <w:basedOn w:val="Normal"/>
    <w:link w:val="DocumentMapChar"/>
    <w:uiPriority w:val="99"/>
    <w:rsid w:val="00E442E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E442E8"/>
    <w:rPr>
      <w:rFonts w:ascii="Tahoma" w:hAnsi="Tahoma" w:cs="Tahoma"/>
      <w:sz w:val="16"/>
      <w:szCs w:val="16"/>
    </w:rPr>
  </w:style>
  <w:style w:type="character" w:styleId="Hyperlink">
    <w:name w:val="Hyperlink"/>
    <w:basedOn w:val="DefaultParagraphFont"/>
    <w:uiPriority w:val="99"/>
    <w:rsid w:val="00E442E8"/>
    <w:rPr>
      <w:rFonts w:cs="Times New Roman"/>
      <w:color w:val="0000FF"/>
      <w:u w:val="single"/>
    </w:rPr>
  </w:style>
  <w:style w:type="character" w:styleId="FootnoteReference">
    <w:name w:val="footnote reference"/>
    <w:basedOn w:val="DefaultParagraphFont"/>
    <w:uiPriority w:val="99"/>
    <w:rsid w:val="00E442E8"/>
    <w:rPr>
      <w:rFonts w:cs="Times New Roman"/>
      <w:vertAlign w:val="superscript"/>
    </w:rPr>
  </w:style>
  <w:style w:type="table" w:styleId="TableGrid">
    <w:name w:val="Table Grid"/>
    <w:basedOn w:val="TableNormal"/>
    <w:uiPriority w:val="59"/>
    <w:rsid w:val="009E40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6745"/>
    <w:rPr>
      <w:rFonts w:ascii="Tahoma" w:hAnsi="Tahoma" w:cs="Tahoma"/>
      <w:sz w:val="16"/>
      <w:szCs w:val="16"/>
    </w:rPr>
  </w:style>
  <w:style w:type="character" w:customStyle="1" w:styleId="BalloonTextChar">
    <w:name w:val="Balloon Text Char"/>
    <w:basedOn w:val="DefaultParagraphFont"/>
    <w:link w:val="BalloonText"/>
    <w:uiPriority w:val="99"/>
    <w:semiHidden/>
    <w:rsid w:val="00476745"/>
    <w:rPr>
      <w:rFonts w:ascii="Tahoma" w:hAnsi="Tahoma" w:cs="Tahoma"/>
      <w:sz w:val="16"/>
      <w:szCs w:val="16"/>
    </w:rPr>
  </w:style>
  <w:style w:type="character" w:styleId="CommentReference">
    <w:name w:val="annotation reference"/>
    <w:basedOn w:val="DefaultParagraphFont"/>
    <w:uiPriority w:val="99"/>
    <w:semiHidden/>
    <w:unhideWhenUsed/>
    <w:rsid w:val="00A9530F"/>
    <w:rPr>
      <w:sz w:val="16"/>
      <w:szCs w:val="16"/>
    </w:rPr>
  </w:style>
  <w:style w:type="paragraph" w:styleId="CommentText">
    <w:name w:val="annotation text"/>
    <w:basedOn w:val="Normal"/>
    <w:link w:val="CommentTextChar"/>
    <w:uiPriority w:val="99"/>
    <w:semiHidden/>
    <w:unhideWhenUsed/>
    <w:rsid w:val="00A9530F"/>
  </w:style>
  <w:style w:type="character" w:customStyle="1" w:styleId="CommentTextChar">
    <w:name w:val="Comment Text Char"/>
    <w:basedOn w:val="DefaultParagraphFont"/>
    <w:link w:val="CommentText"/>
    <w:uiPriority w:val="99"/>
    <w:semiHidden/>
    <w:rsid w:val="00A9530F"/>
  </w:style>
  <w:style w:type="paragraph" w:styleId="CommentSubject">
    <w:name w:val="annotation subject"/>
    <w:basedOn w:val="CommentText"/>
    <w:next w:val="CommentText"/>
    <w:link w:val="CommentSubjectChar"/>
    <w:uiPriority w:val="99"/>
    <w:semiHidden/>
    <w:unhideWhenUsed/>
    <w:rsid w:val="00A9530F"/>
    <w:rPr>
      <w:b/>
      <w:bCs/>
    </w:rPr>
  </w:style>
  <w:style w:type="character" w:customStyle="1" w:styleId="CommentSubjectChar">
    <w:name w:val="Comment Subject Char"/>
    <w:basedOn w:val="CommentTextChar"/>
    <w:link w:val="CommentSubject"/>
    <w:uiPriority w:val="99"/>
    <w:semiHidden/>
    <w:rsid w:val="00A9530F"/>
    <w:rPr>
      <w:b/>
      <w:bCs/>
    </w:rPr>
  </w:style>
  <w:style w:type="paragraph" w:styleId="Revision">
    <w:name w:val="Revision"/>
    <w:hidden/>
    <w:uiPriority w:val="99"/>
    <w:semiHidden/>
    <w:rsid w:val="00C91EA0"/>
  </w:style>
</w:styles>
</file>

<file path=word/webSettings.xml><?xml version="1.0" encoding="utf-8"?>
<w:webSettings xmlns:r="http://schemas.openxmlformats.org/officeDocument/2006/relationships" xmlns:w="http://schemas.openxmlformats.org/wordprocessingml/2006/main">
  <w:divs>
    <w:div w:id="71435265">
      <w:marLeft w:val="0"/>
      <w:marRight w:val="0"/>
      <w:marTop w:val="0"/>
      <w:marBottom w:val="0"/>
      <w:divBdr>
        <w:top w:val="none" w:sz="0" w:space="0" w:color="auto"/>
        <w:left w:val="none" w:sz="0" w:space="0" w:color="auto"/>
        <w:bottom w:val="none" w:sz="0" w:space="0" w:color="auto"/>
        <w:right w:val="none" w:sz="0" w:space="0" w:color="auto"/>
      </w:divBdr>
    </w:div>
    <w:div w:id="71435266">
      <w:marLeft w:val="0"/>
      <w:marRight w:val="0"/>
      <w:marTop w:val="0"/>
      <w:marBottom w:val="0"/>
      <w:divBdr>
        <w:top w:val="none" w:sz="0" w:space="0" w:color="auto"/>
        <w:left w:val="none" w:sz="0" w:space="0" w:color="auto"/>
        <w:bottom w:val="none" w:sz="0" w:space="0" w:color="auto"/>
        <w:right w:val="none" w:sz="0" w:space="0" w:color="auto"/>
      </w:divBdr>
    </w:div>
    <w:div w:id="71435267">
      <w:marLeft w:val="0"/>
      <w:marRight w:val="0"/>
      <w:marTop w:val="0"/>
      <w:marBottom w:val="0"/>
      <w:divBdr>
        <w:top w:val="none" w:sz="0" w:space="0" w:color="auto"/>
        <w:left w:val="none" w:sz="0" w:space="0" w:color="auto"/>
        <w:bottom w:val="none" w:sz="0" w:space="0" w:color="auto"/>
        <w:right w:val="none" w:sz="0" w:space="0" w:color="auto"/>
      </w:divBdr>
    </w:div>
    <w:div w:id="145708719">
      <w:bodyDiv w:val="1"/>
      <w:marLeft w:val="0"/>
      <w:marRight w:val="0"/>
      <w:marTop w:val="0"/>
      <w:marBottom w:val="0"/>
      <w:divBdr>
        <w:top w:val="none" w:sz="0" w:space="0" w:color="auto"/>
        <w:left w:val="none" w:sz="0" w:space="0" w:color="auto"/>
        <w:bottom w:val="none" w:sz="0" w:space="0" w:color="auto"/>
        <w:right w:val="none" w:sz="0" w:space="0" w:color="auto"/>
      </w:divBdr>
    </w:div>
    <w:div w:id="131880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otaq/fuels/reporting/diesel.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3AF43-467B-4897-A4E0-5D3CB7E3C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5372</Words>
  <Characters>30624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Supp. Stmt. Info. Col. Rq</vt:lpstr>
    </vt:vector>
  </TitlesOfParts>
  <Company>OMB</Company>
  <LinksUpToDate>false</LinksUpToDate>
  <CharactersWithSpaces>35925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 Stmt. Info. Col. Rq</dc:title>
  <dc:creator>R. NASH</dc:creator>
  <dc:description>(RF) 6/03/91</dc:description>
  <cp:lastModifiedBy>Courtney Kerwin</cp:lastModifiedBy>
  <cp:revision>3</cp:revision>
  <cp:lastPrinted>2012-08-02T14:49:00Z</cp:lastPrinted>
  <dcterms:created xsi:type="dcterms:W3CDTF">2012-08-03T20:03:00Z</dcterms:created>
  <dcterms:modified xsi:type="dcterms:W3CDTF">2012-08-03T20:05:00Z</dcterms:modified>
</cp:coreProperties>
</file>