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4AA" w:rsidRDefault="00E014AA">
      <w:pPr>
        <w:tabs>
          <w:tab w:val="center" w:pos="4680"/>
        </w:tabs>
        <w:jc w:val="center"/>
        <w:rPr>
          <w:b/>
          <w:bCs/>
        </w:rPr>
      </w:pPr>
      <w:r>
        <w:rPr>
          <w:b/>
          <w:bCs/>
        </w:rPr>
        <w:t>SUPPORTING STATEMENT</w:t>
      </w:r>
    </w:p>
    <w:p w:rsidR="00E014AA" w:rsidRDefault="00E014AA">
      <w:pPr>
        <w:tabs>
          <w:tab w:val="center" w:pos="4680"/>
        </w:tabs>
        <w:jc w:val="center"/>
      </w:pPr>
      <w:r>
        <w:rPr>
          <w:b/>
          <w:bCs/>
        </w:rPr>
        <w:t>ENVIRONMENTAL PROTECTION AGENCY</w:t>
      </w:r>
    </w:p>
    <w:p w:rsidR="00E014AA" w:rsidRDefault="00E014AA">
      <w:pPr>
        <w:tabs>
          <w:tab w:val="center" w:pos="4680"/>
        </w:tabs>
      </w:pPr>
    </w:p>
    <w:p w:rsidR="002F67E2" w:rsidRDefault="002F67E2" w:rsidP="002F67E2">
      <w:r>
        <w:rPr>
          <w:b/>
          <w:bCs/>
        </w:rPr>
        <w:t xml:space="preserve">NSPS for </w:t>
      </w:r>
      <w:r w:rsidR="00295B03">
        <w:rPr>
          <w:b/>
          <w:bCs/>
        </w:rPr>
        <w:t>Petroleum Refineries</w:t>
      </w:r>
      <w:r>
        <w:rPr>
          <w:b/>
          <w:bCs/>
        </w:rPr>
        <w:t xml:space="preserve"> (40 CFR Part 60, Subpart </w:t>
      </w:r>
      <w:r w:rsidR="00295B03">
        <w:rPr>
          <w:b/>
          <w:bCs/>
        </w:rPr>
        <w:t>Ja</w:t>
      </w:r>
      <w:r>
        <w:rPr>
          <w:b/>
          <w:bCs/>
        </w:rPr>
        <w:t>) (Renewal)</w:t>
      </w:r>
    </w:p>
    <w:p w:rsidR="00E014AA" w:rsidRDefault="00E014AA"/>
    <w:p w:rsidR="00E014AA" w:rsidRDefault="00E014AA">
      <w:pPr>
        <w:rPr>
          <w:b/>
          <w:bCs/>
        </w:rPr>
      </w:pPr>
      <w:r>
        <w:rPr>
          <w:b/>
          <w:bCs/>
        </w:rPr>
        <w:t>1.  Identification of the Information Collection</w:t>
      </w:r>
    </w:p>
    <w:p w:rsidR="00E014AA" w:rsidRDefault="00E014AA"/>
    <w:p w:rsidR="00E014AA" w:rsidRDefault="00E014AA">
      <w:pPr>
        <w:ind w:firstLine="720"/>
      </w:pPr>
      <w:r>
        <w:rPr>
          <w:b/>
          <w:bCs/>
        </w:rPr>
        <w:t>1(a)  Title of the Information Collection</w:t>
      </w:r>
    </w:p>
    <w:p w:rsidR="00E014AA" w:rsidRDefault="00E014AA"/>
    <w:p w:rsidR="002F67E2" w:rsidRPr="003406A7" w:rsidRDefault="002F67E2" w:rsidP="002F67E2">
      <w:pPr>
        <w:rPr>
          <w:bCs/>
        </w:rPr>
      </w:pPr>
      <w:r>
        <w:t>NSPS for</w:t>
      </w:r>
      <w:r>
        <w:rPr>
          <w:b/>
        </w:rPr>
        <w:t xml:space="preserve"> </w:t>
      </w:r>
      <w:r w:rsidR="00295B03">
        <w:t>Petroleum Refineries</w:t>
      </w:r>
      <w:r>
        <w:rPr>
          <w:bCs/>
        </w:rPr>
        <w:t xml:space="preserve"> (40 CFR </w:t>
      </w:r>
      <w:r w:rsidR="00C23A49">
        <w:rPr>
          <w:bCs/>
        </w:rPr>
        <w:t xml:space="preserve">Part 60, Subpart </w:t>
      </w:r>
      <w:r w:rsidR="00295B03">
        <w:rPr>
          <w:bCs/>
        </w:rPr>
        <w:t>Ja</w:t>
      </w:r>
      <w:r w:rsidR="00C23A49">
        <w:rPr>
          <w:bCs/>
        </w:rPr>
        <w:t>) (Renewal)</w:t>
      </w:r>
      <w:r w:rsidR="003406A7">
        <w:rPr>
          <w:bCs/>
        </w:rPr>
        <w:t xml:space="preserve">, </w:t>
      </w:r>
      <w:r>
        <w:rPr>
          <w:bCs/>
        </w:rPr>
        <w:t xml:space="preserve">EPA ICR Number </w:t>
      </w:r>
      <w:r w:rsidR="00295B03">
        <w:rPr>
          <w:bCs/>
        </w:rPr>
        <w:t>2263.03</w:t>
      </w:r>
      <w:r>
        <w:rPr>
          <w:bCs/>
        </w:rPr>
        <w:t>, OMB Control Number 2060-0</w:t>
      </w:r>
      <w:r w:rsidR="00295B03">
        <w:rPr>
          <w:bCs/>
        </w:rPr>
        <w:t>6</w:t>
      </w:r>
      <w:r>
        <w:rPr>
          <w:bCs/>
        </w:rPr>
        <w:t>0</w:t>
      </w:r>
      <w:r w:rsidR="00295B03">
        <w:rPr>
          <w:bCs/>
        </w:rPr>
        <w:t>2</w:t>
      </w:r>
    </w:p>
    <w:p w:rsidR="00E014AA" w:rsidRDefault="00E014AA"/>
    <w:p w:rsidR="00E014AA" w:rsidRDefault="00E014AA">
      <w:pPr>
        <w:ind w:firstLine="720"/>
      </w:pPr>
      <w:r>
        <w:rPr>
          <w:b/>
          <w:bCs/>
        </w:rPr>
        <w:t>1(b)  Short Characterization/Abstract</w:t>
      </w:r>
    </w:p>
    <w:p w:rsidR="00E014AA" w:rsidRDefault="00E014AA"/>
    <w:p w:rsidR="00E014AA" w:rsidRDefault="002A5FA3" w:rsidP="00295B03">
      <w:pPr>
        <w:spacing w:after="240"/>
        <w:ind w:firstLine="720"/>
      </w:pPr>
      <w:r w:rsidRPr="00A72B1A">
        <w:t xml:space="preserve">The New Source Performance Standards (NSPS) for the regulations published at </w:t>
      </w:r>
      <w:r w:rsidR="00295B03" w:rsidRPr="006D065E">
        <w:t xml:space="preserve">40 CFR part 60, subpart Ja, apply to affected facilities that are constructed, reconstructed, or modified after </w:t>
      </w:r>
      <w:r>
        <w:t>May 14, 2007</w:t>
      </w:r>
      <w:r w:rsidR="00295B03" w:rsidRPr="006D065E">
        <w:t>.  The affected facilities include:  fluid catalytic cracking units, fluid coking units, delayed coking units, process heaters and other fuel gas combustion devices, and sulfur recovery plants.  Emissions limitations would be used to control emissions of particulate matter (PM), nitrogen oxides (NO</w:t>
      </w:r>
      <w:r w:rsidR="00295B03" w:rsidRPr="006D065E">
        <w:rPr>
          <w:vertAlign w:val="subscript"/>
        </w:rPr>
        <w:t>x</w:t>
      </w:r>
      <w:r w:rsidR="00295B03" w:rsidRPr="006D065E">
        <w:t>), carbon monoxide (CO), sulfur dioxide (SO</w:t>
      </w:r>
      <w:r w:rsidR="00295B03" w:rsidRPr="006D065E">
        <w:rPr>
          <w:vertAlign w:val="subscript"/>
        </w:rPr>
        <w:t>2</w:t>
      </w:r>
      <w:r w:rsidR="00295B03" w:rsidRPr="006D065E">
        <w:t>), hydrogen sulfide (H</w:t>
      </w:r>
      <w:r w:rsidR="00295B03" w:rsidRPr="006D065E">
        <w:rPr>
          <w:vertAlign w:val="subscript"/>
        </w:rPr>
        <w:t>2</w:t>
      </w:r>
      <w:r w:rsidR="00295B03" w:rsidRPr="006D065E">
        <w:t>S) and/or reduced sulfur compounds (RSC).  Work practice standards would apply to depressuring operations and flaring of fuel gases.  Plants would also conduct an analysis of any exceedance or discharge of SO</w:t>
      </w:r>
      <w:r w:rsidR="00295B03" w:rsidRPr="006D065E">
        <w:rPr>
          <w:vertAlign w:val="subscript"/>
        </w:rPr>
        <w:t>2</w:t>
      </w:r>
      <w:r w:rsidR="00295B03" w:rsidRPr="006D065E">
        <w:t xml:space="preserve"> emissions that exceeds 500 pounds per day.  Plants would be required to prepare written plans to describe monitoring for the flow to an affected flare, methods to minimize emissions from planned startup and shutdown of process units, and procedures for investigating the causes of large flaring events.</w:t>
      </w:r>
    </w:p>
    <w:p w:rsidR="003406A7" w:rsidRDefault="003406A7" w:rsidP="00BC0790">
      <w:pPr>
        <w:ind w:firstLine="720"/>
      </w:pPr>
      <w:r>
        <w:t>Owners or operators of the affected facilities</w:t>
      </w:r>
      <w:r w:rsidRPr="006D065E">
        <w:t xml:space="preserve"> would be required to use continuous parameter monitoring systems (CPMS), bag leak detection systems, or continuous emissions monitoring systems (CEMS), depending on the type of unit, pollutant, and control device.  Exemptions are included for low emitters of CO or H</w:t>
      </w:r>
      <w:r w:rsidRPr="006D065E">
        <w:rPr>
          <w:vertAlign w:val="subscript"/>
        </w:rPr>
        <w:t>2</w:t>
      </w:r>
      <w:r w:rsidRPr="006D065E">
        <w:t xml:space="preserve">S.  An initial performance test would be required for all affected facilities; some affected facilities using CPMS would be required to conduct more frequent tests.  </w:t>
      </w:r>
    </w:p>
    <w:p w:rsidR="003406A7" w:rsidRDefault="003406A7" w:rsidP="00BC0790">
      <w:pPr>
        <w:ind w:firstLine="720"/>
      </w:pPr>
    </w:p>
    <w:p w:rsidR="00BC0790" w:rsidRDefault="00BC0790" w:rsidP="00BC0790">
      <w:pPr>
        <w:ind w:firstLine="720"/>
      </w:pPr>
      <w:r>
        <w:t>Owners or operators of the affected facilities described must make the following one-time</w:t>
      </w:r>
      <w:r w:rsidR="007F06FC">
        <w:t>-</w:t>
      </w:r>
      <w:r>
        <w:t xml:space="preserve">only reports: notification of the date of construction or reconstruction; notification of the actual dates of startup; notification of any physical or operational change to an existing facility which may increase the regulated pollutant emission rate; notification of the date of the initial performance test; and the results of the initial performance test.  </w:t>
      </w:r>
      <w:r w:rsidR="007F06FC">
        <w:t>In general, t</w:t>
      </w:r>
      <w:r>
        <w:t>hese notifications, re</w:t>
      </w:r>
      <w:r w:rsidR="007F06FC">
        <w:t xml:space="preserve">ports and records are required </w:t>
      </w:r>
      <w:r>
        <w:t>of all sources subject to NSPS.</w:t>
      </w:r>
    </w:p>
    <w:p w:rsidR="00E014AA" w:rsidRDefault="00E014AA"/>
    <w:p w:rsidR="00BC0790" w:rsidRDefault="00BC0790" w:rsidP="00BC0790">
      <w:pPr>
        <w:ind w:firstLine="720"/>
      </w:pPr>
      <w:r>
        <w:t xml:space="preserve">In general, any owner or operator subject to the provisions of this part will maintain a file of these records, and retain the file for at least two years following the date of such measurements, maintenance reports, and records.  Records of all replacements or additions of components shall be kept on file for at least three years.  The reporting requirements for this industry currently include only the initial notifications and initial performance test report listed above.  All reports are sent to the delegated state or local authority.  In the event that there is no such delegated authority, the </w:t>
      </w:r>
      <w:r>
        <w:lastRenderedPageBreak/>
        <w:t>reports are sent directly to the United States Environmental Protection Agency (EPA) regional office.</w:t>
      </w:r>
    </w:p>
    <w:p w:rsidR="00BC0790" w:rsidRDefault="00BC0790"/>
    <w:p w:rsidR="00E014AA" w:rsidRDefault="003B3FF0">
      <w:pPr>
        <w:ind w:firstLine="720"/>
      </w:pPr>
      <w:r>
        <w:t xml:space="preserve">Approximately </w:t>
      </w:r>
      <w:r w:rsidR="003406A7">
        <w:t>18</w:t>
      </w:r>
      <w:r>
        <w:t xml:space="preserve"> sources are currently subject to the regulation, </w:t>
      </w:r>
      <w:r w:rsidR="00BC0790">
        <w:t>(i.e., bulk terminals with a gasoline throughput greater than 75,700 liters/day)</w:t>
      </w:r>
      <w:r w:rsidR="00BE28C9">
        <w:t>.  I</w:t>
      </w:r>
      <w:r>
        <w:t>t is estimated that no additional respondents per year will become subject to the regulation in the next three years.</w:t>
      </w:r>
    </w:p>
    <w:p w:rsidR="003B3FF0" w:rsidRDefault="003B3FF0">
      <w:pPr>
        <w:ind w:firstLine="720"/>
      </w:pPr>
    </w:p>
    <w:p w:rsidR="00BC0790" w:rsidRDefault="00BE28C9" w:rsidP="00BC0790">
      <w:pPr>
        <w:ind w:firstLine="720"/>
        <w:rPr>
          <w:bCs/>
        </w:rPr>
      </w:pPr>
      <w:r>
        <w:t>In the United States, t</w:t>
      </w:r>
      <w:r w:rsidR="003406A7">
        <w:t xml:space="preserve">here are approximately18 petroleum refineries facilities </w:t>
      </w:r>
      <w:r w:rsidR="003B3FF0">
        <w:t xml:space="preserve">which are owned and operated by the </w:t>
      </w:r>
      <w:r w:rsidR="00BC0790">
        <w:t xml:space="preserve">bulk gasoline terminals industry </w:t>
      </w:r>
      <w:r w:rsidR="003B3FF0">
        <w:t xml:space="preserve">(the “Affected Public”).  </w:t>
      </w:r>
      <w:r>
        <w:t>T</w:t>
      </w:r>
      <w:r w:rsidR="00BC0790">
        <w:t>he</w:t>
      </w:r>
      <w:r>
        <w:t>se</w:t>
      </w:r>
      <w:r w:rsidR="00BC0790">
        <w:t xml:space="preserve"> facilities</w:t>
      </w:r>
      <w:r>
        <w:t xml:space="preserve"> are privately owned for-profit businesses, and are not </w:t>
      </w:r>
      <w:r w:rsidR="00BC0790">
        <w:t>owned by state, local, tribal</w:t>
      </w:r>
      <w:r>
        <w:t>,</w:t>
      </w:r>
      <w:r w:rsidR="00BC0790">
        <w:t xml:space="preserve"> or the Federal government,.  The burden to the “Affected Public” is listed in Table 1: Annual Industry Burden and Cost – NSPS for </w:t>
      </w:r>
      <w:r w:rsidR="003406A7">
        <w:t>Petroleum Refineries</w:t>
      </w:r>
      <w:r w:rsidR="003406A7">
        <w:rPr>
          <w:bCs/>
        </w:rPr>
        <w:t xml:space="preserve"> (40 CFR Part 60, Subpart Ja)</w:t>
      </w:r>
      <w:r w:rsidR="00BC0790">
        <w:t xml:space="preserve"> (Renewal).  The Federal government burden associated with the review of reports submitted by the respondent is shown in Table 2: Average Annual EPA Burden – NSPS </w:t>
      </w:r>
      <w:r w:rsidR="003406A7">
        <w:t>Petroleum Refineries</w:t>
      </w:r>
      <w:r w:rsidR="003406A7">
        <w:rPr>
          <w:bCs/>
        </w:rPr>
        <w:t xml:space="preserve"> (40 CFR Part 60, Subpart Ja)</w:t>
      </w:r>
      <w:r w:rsidR="00BC0790">
        <w:t xml:space="preserve"> (Renewal).</w:t>
      </w:r>
    </w:p>
    <w:p w:rsidR="00E014AA" w:rsidRDefault="00E014AA" w:rsidP="00BC0790">
      <w:pPr>
        <w:ind w:firstLine="720"/>
      </w:pPr>
    </w:p>
    <w:p w:rsidR="003B3FF0" w:rsidRDefault="003406A7" w:rsidP="003B3FF0">
      <w:pPr>
        <w:ind w:firstLine="720"/>
      </w:pPr>
      <w:r>
        <w:t>T</w:t>
      </w:r>
      <w:r w:rsidR="003B3FF0">
        <w:t xml:space="preserve">he Office of Management and Budget (OMB) </w:t>
      </w:r>
      <w:r>
        <w:t xml:space="preserve">approved the currently active Information Collection Request (ICR) without any </w:t>
      </w:r>
      <w:r w:rsidR="003B3FF0">
        <w:t>“Terms of Clearance (TOC)</w:t>
      </w:r>
      <w:r>
        <w:t>.</w:t>
      </w:r>
      <w:r w:rsidR="003B3FF0">
        <w:t xml:space="preserve">” </w:t>
      </w:r>
    </w:p>
    <w:p w:rsidR="00E014AA" w:rsidRDefault="00E014AA"/>
    <w:p w:rsidR="00E014AA" w:rsidRDefault="00E014AA">
      <w:r>
        <w:rPr>
          <w:b/>
          <w:bCs/>
        </w:rPr>
        <w:t>2.  Need for and Use of the Collection</w:t>
      </w:r>
    </w:p>
    <w:p w:rsidR="00E014AA" w:rsidRDefault="00E014AA"/>
    <w:p w:rsidR="00E014AA" w:rsidRDefault="00E014AA">
      <w:pPr>
        <w:ind w:firstLine="720"/>
      </w:pPr>
      <w:r>
        <w:rPr>
          <w:b/>
          <w:bCs/>
        </w:rPr>
        <w:t>2(a)  Need/Authority for the Collection</w:t>
      </w:r>
    </w:p>
    <w:p w:rsidR="00E014AA" w:rsidRDefault="00E014AA"/>
    <w:p w:rsidR="00E014AA" w:rsidRDefault="00E014AA">
      <w:pPr>
        <w:pBdr>
          <w:top w:val="single" w:sz="6" w:space="0" w:color="FFFFFF"/>
          <w:left w:val="single" w:sz="6" w:space="0" w:color="FFFFFF"/>
          <w:bottom w:val="single" w:sz="6" w:space="0" w:color="FFFFFF"/>
          <w:right w:val="single" w:sz="6" w:space="0" w:color="FFFFFF"/>
        </w:pBdr>
        <w:ind w:firstLine="720"/>
      </w:pPr>
      <w:r>
        <w:t xml:space="preserve">The EPA is charged </w:t>
      </w:r>
      <w:r w:rsidR="000E7AF7">
        <w:t>under s</w:t>
      </w:r>
      <w:r>
        <w:t xml:space="preserve">ection 111 of the Clean Air Act (CAA), as amended, to establish standards of performance for new stationary sources that reflect: </w:t>
      </w:r>
    </w:p>
    <w:p w:rsidR="00E014AA" w:rsidRDefault="00E014AA">
      <w:pPr>
        <w:pBdr>
          <w:top w:val="single" w:sz="6" w:space="0" w:color="FFFFFF"/>
          <w:left w:val="single" w:sz="6" w:space="0" w:color="FFFFFF"/>
          <w:bottom w:val="single" w:sz="6" w:space="0" w:color="FFFFFF"/>
          <w:right w:val="single" w:sz="6" w:space="0" w:color="FFFFFF"/>
        </w:pBdr>
      </w:pPr>
    </w:p>
    <w:p w:rsidR="00E014AA" w:rsidRDefault="00E014AA">
      <w:pPr>
        <w:pBdr>
          <w:top w:val="single" w:sz="6" w:space="0" w:color="FFFFFF"/>
          <w:left w:val="single" w:sz="6" w:space="0" w:color="FFFFFF"/>
          <w:bottom w:val="single" w:sz="6" w:space="0" w:color="FFFFFF"/>
          <w:right w:val="single" w:sz="6" w:space="0" w:color="FFFFFF"/>
        </w:pBdr>
        <w:ind w:left="1440" w:right="1440"/>
      </w:pPr>
      <w:r>
        <w:rPr>
          <w:b/>
          <w:bCs/>
        </w:rPr>
        <w:t>. . .</w:t>
      </w:r>
      <w: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E014AA" w:rsidRDefault="00E014AA">
      <w:pPr>
        <w:pBdr>
          <w:top w:val="single" w:sz="6" w:space="0" w:color="FFFFFF"/>
          <w:left w:val="single" w:sz="6" w:space="0" w:color="FFFFFF"/>
          <w:bottom w:val="single" w:sz="6" w:space="0" w:color="FFFFFF"/>
          <w:right w:val="single" w:sz="6" w:space="0" w:color="FFFFFF"/>
        </w:pBdr>
      </w:pPr>
    </w:p>
    <w:p w:rsidR="00E014AA" w:rsidRDefault="00E014AA">
      <w:pPr>
        <w:pBdr>
          <w:top w:val="single" w:sz="6" w:space="0" w:color="FFFFFF"/>
          <w:left w:val="single" w:sz="6" w:space="0" w:color="FFFFFF"/>
          <w:bottom w:val="single" w:sz="6" w:space="0" w:color="FFFFFF"/>
          <w:right w:val="single" w:sz="6" w:space="0" w:color="FFFFFF"/>
        </w:pBdr>
      </w:pPr>
      <w:r>
        <w:t xml:space="preserve">The Agency refers to this charge as selecting the best demonstrated technology (BDT).  Section 111 also requires that the Administrator review and, if appropriate, revise such standards every four years. </w:t>
      </w:r>
    </w:p>
    <w:p w:rsidR="00E014AA" w:rsidRDefault="00E014AA">
      <w:pPr>
        <w:ind w:firstLine="720"/>
      </w:pPr>
    </w:p>
    <w:p w:rsidR="00E014AA" w:rsidRDefault="00E014AA">
      <w:pPr>
        <w:ind w:firstLine="720"/>
      </w:pPr>
      <w:r>
        <w:t>In addition, section 114(a) states that the Administrator may require any owner or operator subject to any requirement of this Act to:</w:t>
      </w:r>
    </w:p>
    <w:p w:rsidR="00E014AA" w:rsidRDefault="00E014AA"/>
    <w:p w:rsidR="00E014AA" w:rsidRDefault="00E014AA">
      <w:pPr>
        <w:ind w:left="1440" w:right="1440"/>
      </w:pPr>
      <w:r>
        <w:t xml:space="preserve">(A) Establish and maintain such records; (B) make such reports; </w:t>
      </w:r>
      <w:r w:rsidR="005F7D0D">
        <w:t xml:space="preserve"> </w:t>
      </w:r>
      <w:r>
        <w:t xml:space="preserve">(C)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lastRenderedPageBreak/>
        <w:t>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E014AA" w:rsidRDefault="00E014AA">
      <w:pPr>
        <w:ind w:left="1440" w:right="1440"/>
      </w:pPr>
    </w:p>
    <w:p w:rsidR="00E52E50" w:rsidRDefault="00E52E50" w:rsidP="00E52E50">
      <w:pPr>
        <w:ind w:firstLine="720"/>
      </w:pPr>
      <w:r>
        <w:t xml:space="preserve">In the Administrator's judgment, </w:t>
      </w:r>
      <w:r w:rsidR="00600D8B">
        <w:t>CEMS</w:t>
      </w:r>
      <w:r>
        <w:t xml:space="preserve"> emissions from </w:t>
      </w:r>
      <w:r w:rsidR="00600D8B">
        <w:t>petroleum refineries</w:t>
      </w:r>
      <w:r>
        <w:t xml:space="preserve"> cause or contribute to air pollution that may reasonably be anticipated to endanger public health or welfare.  Therefore, the NSPS was promulgated for this source category at 40 CFR part 60, subpart </w:t>
      </w:r>
      <w:r w:rsidR="00600D8B">
        <w:t>Ja</w:t>
      </w:r>
      <w:r>
        <w:t>.</w:t>
      </w:r>
    </w:p>
    <w:p w:rsidR="00E014AA" w:rsidRDefault="00E014AA"/>
    <w:p w:rsidR="00E014AA" w:rsidRDefault="00E014AA">
      <w:pPr>
        <w:ind w:firstLine="720"/>
      </w:pPr>
      <w:r>
        <w:rPr>
          <w:b/>
          <w:bCs/>
        </w:rPr>
        <w:t>2(b)  Practical Utility/Users of the Data</w:t>
      </w:r>
    </w:p>
    <w:p w:rsidR="00E014AA" w:rsidRDefault="00E014AA"/>
    <w:p w:rsidR="00E014AA" w:rsidRDefault="00E014AA">
      <w:pPr>
        <w:ind w:firstLine="720"/>
      </w:pPr>
      <w:r>
        <w:t>The recordkeeping and reporting requirements in the standard ensure compliance with the applicable regulations which were promulgated in accordance with the Clean Air Act.  In addition, the collected information is used for targeting inspections and as evidence in legal proceedings.</w:t>
      </w:r>
    </w:p>
    <w:p w:rsidR="00E014AA" w:rsidRDefault="00E014AA">
      <w:pPr>
        <w:ind w:firstLine="720"/>
      </w:pPr>
    </w:p>
    <w:p w:rsidR="00E014AA" w:rsidRDefault="00E014AA">
      <w:pPr>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E014AA" w:rsidRDefault="00E014AA">
      <w:pPr>
        <w:ind w:firstLine="720"/>
      </w:pPr>
    </w:p>
    <w:p w:rsidR="00E014AA" w:rsidRDefault="00E014AA">
      <w:pPr>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w:t>
      </w:r>
      <w:r w:rsidR="0055479C">
        <w:t>stalled and operated</w:t>
      </w:r>
      <w:r>
        <w:t>, that leaks are being detected and repaired, and that the standards are being met.  The performance test may also be observed.</w:t>
      </w:r>
    </w:p>
    <w:p w:rsidR="00E014AA" w:rsidRDefault="00E014AA">
      <w:pPr>
        <w:ind w:firstLine="720"/>
      </w:pPr>
    </w:p>
    <w:p w:rsidR="00E014AA" w:rsidRDefault="00E014AA">
      <w:pPr>
        <w:ind w:firstLine="720"/>
      </w:pPr>
      <w:r>
        <w:t>The required semiannual reports are used to determi</w:t>
      </w:r>
      <w:r w:rsidR="00AA580A">
        <w:t xml:space="preserve">ne periods of excess emissions, to </w:t>
      </w:r>
      <w:r>
        <w:t xml:space="preserve">identify problems at the facility, </w:t>
      </w:r>
      <w:r w:rsidR="006E63F5">
        <w:t xml:space="preserve">to </w:t>
      </w:r>
      <w:r>
        <w:t>verify operation/maintenance procedures and compliance.</w:t>
      </w:r>
    </w:p>
    <w:p w:rsidR="00E014AA" w:rsidRDefault="00E014AA"/>
    <w:p w:rsidR="00E014AA" w:rsidRDefault="00E014AA">
      <w:r>
        <w:rPr>
          <w:b/>
          <w:bCs/>
        </w:rPr>
        <w:t>3.  Non</w:t>
      </w:r>
      <w:r w:rsidR="005F7D0D">
        <w:rPr>
          <w:b/>
          <w:bCs/>
        </w:rPr>
        <w:t>-</w:t>
      </w:r>
      <w:r>
        <w:rPr>
          <w:b/>
          <w:bCs/>
        </w:rPr>
        <w:t>duplication, Consultations, and Other Collection Criteria</w:t>
      </w:r>
    </w:p>
    <w:p w:rsidR="00E014AA" w:rsidRDefault="00E014AA"/>
    <w:p w:rsidR="00E014AA" w:rsidRDefault="00E014AA" w:rsidP="00E52E50">
      <w:pPr>
        <w:ind w:firstLine="720"/>
      </w:pPr>
      <w:r>
        <w:t xml:space="preserve">The requested recordkeeping and reporting are required under 40 CFR part 60, subpart </w:t>
      </w:r>
      <w:r w:rsidR="004E5269">
        <w:t>Ja</w:t>
      </w:r>
      <w:r w:rsidR="00E52E50">
        <w:t>.</w:t>
      </w:r>
    </w:p>
    <w:p w:rsidR="004E5269" w:rsidRDefault="004E5269" w:rsidP="00E52E50">
      <w:pPr>
        <w:ind w:firstLine="720"/>
      </w:pPr>
    </w:p>
    <w:p w:rsidR="00E014AA" w:rsidRDefault="00E014AA">
      <w:pPr>
        <w:ind w:firstLine="720"/>
      </w:pPr>
      <w:r>
        <w:rPr>
          <w:b/>
          <w:bCs/>
        </w:rPr>
        <w:t>3(a)  Non</w:t>
      </w:r>
      <w:r w:rsidR="005F7D0D">
        <w:rPr>
          <w:b/>
          <w:bCs/>
        </w:rPr>
        <w:t>-</w:t>
      </w:r>
      <w:r>
        <w:rPr>
          <w:b/>
          <w:bCs/>
        </w:rPr>
        <w:t>duplication</w:t>
      </w:r>
    </w:p>
    <w:p w:rsidR="00E014AA" w:rsidRDefault="00E014AA"/>
    <w:p w:rsidR="00E014AA" w:rsidRDefault="00E014AA">
      <w:pPr>
        <w:ind w:firstLine="720"/>
      </w:pPr>
      <w:r>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E014AA" w:rsidRDefault="00E014AA"/>
    <w:p w:rsidR="00E014AA" w:rsidRDefault="00E014AA">
      <w:pPr>
        <w:ind w:firstLine="720"/>
      </w:pPr>
      <w:r>
        <w:rPr>
          <w:b/>
          <w:bCs/>
        </w:rPr>
        <w:t>3(b)  Public Notice Required Prior to ICR Submission to OMB</w:t>
      </w:r>
    </w:p>
    <w:p w:rsidR="00E014AA" w:rsidRDefault="00E014AA" w:rsidP="00AA1D03">
      <w:pPr>
        <w:spacing w:before="240"/>
        <w:ind w:firstLine="720"/>
      </w:pPr>
      <w:r>
        <w:t xml:space="preserve">An announcement of a public comment period for the renewal of this ICR was published in </w:t>
      </w:r>
      <w:r>
        <w:lastRenderedPageBreak/>
        <w:t xml:space="preserve">the </w:t>
      </w:r>
      <w:r>
        <w:rPr>
          <w:u w:val="single"/>
        </w:rPr>
        <w:t>Federal Register</w:t>
      </w:r>
      <w:r>
        <w:t xml:space="preserve"> (7</w:t>
      </w:r>
      <w:r w:rsidR="00D46223">
        <w:t>6</w:t>
      </w:r>
      <w:r>
        <w:t xml:space="preserve"> </w:t>
      </w:r>
      <w:r>
        <w:rPr>
          <w:u w:val="single"/>
        </w:rPr>
        <w:t>FR</w:t>
      </w:r>
      <w:r>
        <w:t xml:space="preserve"> </w:t>
      </w:r>
      <w:r w:rsidR="00D46223">
        <w:t>26900</w:t>
      </w:r>
      <w:r>
        <w:t xml:space="preserve">) on May </w:t>
      </w:r>
      <w:r w:rsidR="00D46223">
        <w:t>9</w:t>
      </w:r>
      <w:r>
        <w:t>, 20</w:t>
      </w:r>
      <w:r w:rsidR="00D46223">
        <w:t>11</w:t>
      </w:r>
      <w:r>
        <w:t xml:space="preserve">.  No comments were received on the burden published in the </w:t>
      </w:r>
      <w:r>
        <w:rPr>
          <w:u w:val="single"/>
        </w:rPr>
        <w:t>Federal Register</w:t>
      </w:r>
      <w:r>
        <w:t>.</w:t>
      </w:r>
    </w:p>
    <w:p w:rsidR="00F53B21" w:rsidRDefault="00F53B21">
      <w:pPr>
        <w:ind w:firstLine="720"/>
        <w:rPr>
          <w:b/>
          <w:bCs/>
        </w:rPr>
      </w:pPr>
    </w:p>
    <w:p w:rsidR="00E014AA" w:rsidRDefault="00E014AA">
      <w:pPr>
        <w:ind w:firstLine="720"/>
      </w:pPr>
      <w:r>
        <w:rPr>
          <w:b/>
          <w:bCs/>
        </w:rPr>
        <w:t>3(c)  Consultations</w:t>
      </w:r>
    </w:p>
    <w:p w:rsidR="00E014AA" w:rsidRDefault="00E014AA"/>
    <w:p w:rsidR="00E014AA" w:rsidRDefault="00E014AA">
      <w:pPr>
        <w:widowControl/>
        <w:ind w:firstLine="720"/>
      </w:pPr>
      <w:r>
        <w:t>T</w:t>
      </w:r>
      <w:r>
        <w:rPr>
          <w:bCs/>
        </w:rPr>
        <w:t>he Agency’s industry experts have been consulted, and the Agency’s internal data sources and projections of industry growth over the next three years have been considered.</w:t>
      </w:r>
      <w:r>
        <w:rPr>
          <w:b/>
          <w:bCs/>
        </w:rPr>
        <w:t xml:space="preserve">  </w:t>
      </w:r>
      <w:r>
        <w:t>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The growth rate for the industry is based on our consultations with the Agenc</w:t>
      </w:r>
      <w:r w:rsidR="00FB23F5">
        <w:t>y’s internal industry experts.</w:t>
      </w:r>
    </w:p>
    <w:p w:rsidR="00E014AA" w:rsidRDefault="00E014AA"/>
    <w:p w:rsidR="00392877" w:rsidRDefault="00E014AA">
      <w:pPr>
        <w:ind w:firstLine="720"/>
      </w:pPr>
      <w:r w:rsidRPr="00F23407">
        <w:t>Industry trade associations and other interested parties were provided an opportunity to comment on the burden associated with the stan</w:t>
      </w:r>
      <w:r w:rsidR="00D46223" w:rsidRPr="00F23407">
        <w:t xml:space="preserve">dard as it was being developed.  In developing this ICR, we contacted the </w:t>
      </w:r>
      <w:r w:rsidR="00E52E50" w:rsidRPr="00F23407">
        <w:t>American Petroleum Institute (API) at (202) 682-8319</w:t>
      </w:r>
      <w:r w:rsidR="00D46223" w:rsidRPr="00F23407">
        <w:t xml:space="preserve">, </w:t>
      </w:r>
      <w:r w:rsidR="00E52E50" w:rsidRPr="00F23407">
        <w:t>the Oil Price Information Services</w:t>
      </w:r>
      <w:r w:rsidR="00BA0987" w:rsidRPr="00F23407">
        <w:t xml:space="preserve"> </w:t>
      </w:r>
      <w:r w:rsidR="00E52E50" w:rsidRPr="00F23407">
        <w:t xml:space="preserve">(OPIS) </w:t>
      </w:r>
      <w:r w:rsidR="00BA0987" w:rsidRPr="00F23407">
        <w:t>at (</w:t>
      </w:r>
      <w:r w:rsidR="00E52E50" w:rsidRPr="00F23407">
        <w:t>877</w:t>
      </w:r>
      <w:r w:rsidR="00BA0987" w:rsidRPr="00F23407">
        <w:t xml:space="preserve">) </w:t>
      </w:r>
      <w:r w:rsidR="00E52E50" w:rsidRPr="00F23407">
        <w:t>210</w:t>
      </w:r>
      <w:r w:rsidR="00BA0987" w:rsidRPr="00F23407">
        <w:t>-</w:t>
      </w:r>
      <w:r w:rsidR="00E52E50" w:rsidRPr="00F23407">
        <w:t>4287</w:t>
      </w:r>
      <w:r w:rsidR="00BA0987" w:rsidRPr="00F23407">
        <w:t xml:space="preserve">, and </w:t>
      </w:r>
      <w:r w:rsidR="00E52E50" w:rsidRPr="00F23407">
        <w:t>the Se</w:t>
      </w:r>
      <w:r w:rsidR="00392877">
        <w:t>rvice Station Dealers of America</w:t>
      </w:r>
      <w:r w:rsidR="00E52E50" w:rsidRPr="00F23407">
        <w:t>/</w:t>
      </w:r>
    </w:p>
    <w:p w:rsidR="00E014AA" w:rsidRPr="00F23407" w:rsidRDefault="00E52E50" w:rsidP="00392877">
      <w:r w:rsidRPr="00F23407">
        <w:t>National Coalition of Petroleum Retailers and Allied Trades</w:t>
      </w:r>
      <w:r w:rsidR="00BA0987" w:rsidRPr="00F23407">
        <w:t xml:space="preserve"> </w:t>
      </w:r>
      <w:r w:rsidRPr="00F23407">
        <w:t xml:space="preserve">(SSDA/NCPR) </w:t>
      </w:r>
      <w:r w:rsidR="00BA0987" w:rsidRPr="00F23407">
        <w:t>at (</w:t>
      </w:r>
      <w:r w:rsidRPr="00F23407">
        <w:t>301</w:t>
      </w:r>
      <w:r w:rsidR="00BA0987" w:rsidRPr="00F23407">
        <w:t xml:space="preserve">) </w:t>
      </w:r>
      <w:r w:rsidRPr="00F23407">
        <w:t>390</w:t>
      </w:r>
      <w:r w:rsidR="00BA0987" w:rsidRPr="00F23407">
        <w:t>-</w:t>
      </w:r>
      <w:r w:rsidRPr="00F23407">
        <w:t>4405</w:t>
      </w:r>
      <w:r w:rsidR="00BA0987" w:rsidRPr="00F23407">
        <w:t>.</w:t>
      </w:r>
    </w:p>
    <w:p w:rsidR="00E014AA" w:rsidRDefault="00E014AA">
      <w:pPr>
        <w:pBdr>
          <w:top w:val="single" w:sz="6" w:space="0" w:color="FFFFFF"/>
          <w:left w:val="single" w:sz="6" w:space="0" w:color="FFFFFF"/>
          <w:bottom w:val="single" w:sz="6" w:space="0" w:color="FFFFFF"/>
          <w:right w:val="single" w:sz="6" w:space="0" w:color="FFFFFF"/>
        </w:pBdr>
        <w:rPr>
          <w:bCs/>
        </w:rPr>
      </w:pPr>
    </w:p>
    <w:p w:rsidR="00E014AA" w:rsidRDefault="00E014AA">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w:t>
      </w:r>
      <w:r w:rsidR="005F7D0D">
        <w:rPr>
          <w:bCs/>
        </w:rPr>
        <w:t>f</w:t>
      </w:r>
      <w:r>
        <w:rPr>
          <w:bCs/>
        </w:rPr>
        <w:t xml:space="preserve">irst </w:t>
      </w:r>
      <w:r w:rsidRPr="005F7D0D">
        <w:rPr>
          <w:bCs/>
          <w:u w:val="single"/>
        </w:rPr>
        <w:t>Federal Register</w:t>
      </w:r>
      <w:r>
        <w:rPr>
          <w:bCs/>
        </w:rPr>
        <w:t xml:space="preserve"> </w:t>
      </w:r>
      <w:r w:rsidR="005F7D0D">
        <w:rPr>
          <w:bCs/>
        </w:rPr>
        <w:t>n</w:t>
      </w:r>
      <w:r>
        <w:rPr>
          <w:bCs/>
        </w:rPr>
        <w:t>otice.</w:t>
      </w:r>
    </w:p>
    <w:p w:rsidR="00E014AA" w:rsidRDefault="00E014AA">
      <w:pPr>
        <w:pBdr>
          <w:top w:val="single" w:sz="6" w:space="0" w:color="FFFFFF"/>
          <w:left w:val="single" w:sz="6" w:space="0" w:color="FFFFFF"/>
          <w:bottom w:val="single" w:sz="6" w:space="0" w:color="FFFFFF"/>
          <w:right w:val="single" w:sz="6" w:space="0" w:color="FFFFFF"/>
        </w:pBdr>
        <w:ind w:firstLine="720"/>
      </w:pPr>
    </w:p>
    <w:p w:rsidR="00E014AA" w:rsidRDefault="00E014AA">
      <w:pPr>
        <w:ind w:firstLine="720"/>
      </w:pPr>
      <w:r>
        <w:rPr>
          <w:b/>
          <w:bCs/>
        </w:rPr>
        <w:t>3(d)  Effects of Less Frequent Collection</w:t>
      </w:r>
    </w:p>
    <w:p w:rsidR="00E014AA" w:rsidRDefault="00E014AA"/>
    <w:p w:rsidR="00E014AA" w:rsidRDefault="00E014AA">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E014AA" w:rsidRDefault="00E014AA"/>
    <w:p w:rsidR="00E014AA" w:rsidRDefault="00E014AA">
      <w:pPr>
        <w:ind w:firstLine="720"/>
      </w:pPr>
      <w:r>
        <w:rPr>
          <w:b/>
          <w:bCs/>
        </w:rPr>
        <w:t>3(e)  General Guidelines</w:t>
      </w:r>
    </w:p>
    <w:p w:rsidR="00E014AA" w:rsidRDefault="00E014AA"/>
    <w:p w:rsidR="00E014AA" w:rsidRDefault="00E014AA">
      <w:pPr>
        <w:ind w:firstLine="720"/>
      </w:pPr>
      <w:r>
        <w:t>These reporting or recordkeeping requirements do not violate any of the regulations promulgated by OMB under 5 CFR part 1320, section 1320.5.</w:t>
      </w:r>
    </w:p>
    <w:p w:rsidR="00E014AA" w:rsidRDefault="00E014AA">
      <w:pPr>
        <w:tabs>
          <w:tab w:val="left" w:pos="-1440"/>
        </w:tabs>
        <w:ind w:left="720" w:hanging="720"/>
      </w:pPr>
      <w:r>
        <w:t xml:space="preserve"> </w:t>
      </w:r>
      <w:r>
        <w:tab/>
      </w:r>
    </w:p>
    <w:p w:rsidR="00E014AA" w:rsidRDefault="00E014AA" w:rsidP="00B678FF">
      <w:pPr>
        <w:ind w:firstLine="720"/>
      </w:pPr>
      <w: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w:t>
      </w:r>
      <w:r w:rsidR="005F7D0D">
        <w:t xml:space="preserve">the </w:t>
      </w:r>
      <w:r>
        <w:t>EPA to establish the compliance history of a source, any pattern of non-compliance, and to determine the appropriate level of enforcement action.  EPA has found that the most flagrant violators have violations extending beyond the five years.  In addition, EPA would be prevented from pursuing the violators due to the destruction or</w:t>
      </w:r>
      <w:r w:rsidR="001F27ED">
        <w:t xml:space="preserve"> </w:t>
      </w:r>
      <w:r>
        <w:t>nonexistence of essential records.</w:t>
      </w:r>
    </w:p>
    <w:p w:rsidR="009E1784" w:rsidRDefault="009E1784">
      <w:pPr>
        <w:ind w:firstLine="720"/>
        <w:rPr>
          <w:b/>
          <w:bCs/>
        </w:rPr>
      </w:pPr>
    </w:p>
    <w:p w:rsidR="00E014AA" w:rsidRDefault="00E014AA">
      <w:pPr>
        <w:ind w:firstLine="720"/>
        <w:rPr>
          <w:b/>
          <w:bCs/>
        </w:rPr>
      </w:pPr>
      <w:r>
        <w:rPr>
          <w:b/>
          <w:bCs/>
        </w:rPr>
        <w:lastRenderedPageBreak/>
        <w:t>3(f)  Confidentiality</w:t>
      </w:r>
    </w:p>
    <w:p w:rsidR="00E014AA" w:rsidRDefault="00E014AA">
      <w:pPr>
        <w:ind w:firstLine="720"/>
      </w:pPr>
    </w:p>
    <w:p w:rsidR="00E014AA" w:rsidRDefault="00E014AA">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5F7D0D" w:rsidRDefault="005F7D0D" w:rsidP="00B678FF">
      <w:pPr>
        <w:rPr>
          <w:b/>
          <w:bCs/>
        </w:rPr>
      </w:pPr>
    </w:p>
    <w:p w:rsidR="00E014AA" w:rsidRDefault="00E014AA">
      <w:pPr>
        <w:ind w:firstLine="720"/>
      </w:pPr>
      <w:r>
        <w:rPr>
          <w:b/>
          <w:bCs/>
        </w:rPr>
        <w:t>3(g)  Sensitive Questions</w:t>
      </w:r>
    </w:p>
    <w:p w:rsidR="00E014AA" w:rsidRDefault="00E014AA">
      <w:pPr>
        <w:ind w:firstLine="720"/>
      </w:pPr>
    </w:p>
    <w:p w:rsidR="00E014AA" w:rsidRDefault="00E014AA">
      <w:pPr>
        <w:ind w:firstLine="720"/>
      </w:pPr>
      <w:r>
        <w:t>The reporting or recordkeeping requirements in the standard do not include sensitive questions.</w:t>
      </w:r>
    </w:p>
    <w:p w:rsidR="00E014AA" w:rsidRDefault="00E014AA">
      <w:pPr>
        <w:ind w:firstLine="720"/>
      </w:pPr>
    </w:p>
    <w:p w:rsidR="00E014AA" w:rsidRDefault="00E014AA">
      <w:pPr>
        <w:rPr>
          <w:b/>
          <w:bCs/>
        </w:rPr>
      </w:pPr>
      <w:r>
        <w:rPr>
          <w:b/>
          <w:bCs/>
        </w:rPr>
        <w:t>4.  The Respondents and the Information Requested</w:t>
      </w:r>
    </w:p>
    <w:p w:rsidR="00E014AA" w:rsidRDefault="00E014AA">
      <w:pPr>
        <w:rPr>
          <w:b/>
          <w:bCs/>
        </w:rPr>
      </w:pPr>
    </w:p>
    <w:p w:rsidR="00E014AA" w:rsidRDefault="00E014AA">
      <w:pPr>
        <w:ind w:firstLine="720"/>
        <w:rPr>
          <w:b/>
          <w:bCs/>
        </w:rPr>
      </w:pPr>
      <w:r>
        <w:rPr>
          <w:b/>
          <w:bCs/>
        </w:rPr>
        <w:t>4(a)  Respondents/SIC Codes</w:t>
      </w:r>
    </w:p>
    <w:p w:rsidR="00E014AA" w:rsidRDefault="00E014AA"/>
    <w:p w:rsidR="00F23407" w:rsidRDefault="00F23407" w:rsidP="00F23407">
      <w:pPr>
        <w:ind w:firstLine="720"/>
      </w:pPr>
      <w:r>
        <w:t xml:space="preserve">The respondents to the recordkeeping and reporting requirements are bulk gasoline terminals.  The United States Standard Industrial Classification (SIC) code for the respondents affected by the standards is SIC </w:t>
      </w:r>
      <w:r w:rsidR="00393F57">
        <w:t>2911</w:t>
      </w:r>
      <w:r>
        <w:t xml:space="preserve"> which corresponds to the North American Industry Classification System (NAICS) </w:t>
      </w:r>
      <w:r w:rsidR="00393F57">
        <w:t>324110</w:t>
      </w:r>
      <w:r>
        <w:t xml:space="preserve"> for </w:t>
      </w:r>
      <w:r w:rsidR="00393F57">
        <w:t>petroleum refineries</w:t>
      </w:r>
      <w:r>
        <w:t>.</w:t>
      </w:r>
    </w:p>
    <w:p w:rsidR="00E014AA" w:rsidRDefault="00E014AA"/>
    <w:p w:rsidR="00E014AA" w:rsidRDefault="00E014AA">
      <w:pPr>
        <w:ind w:firstLine="720"/>
      </w:pPr>
      <w:r>
        <w:rPr>
          <w:b/>
          <w:bCs/>
        </w:rPr>
        <w:t>4(b)  Information Requested</w:t>
      </w:r>
    </w:p>
    <w:p w:rsidR="00E014AA" w:rsidRDefault="00E014AA"/>
    <w:p w:rsidR="00E014AA" w:rsidRDefault="00E014AA">
      <w:pPr>
        <w:ind w:firstLine="720"/>
      </w:pPr>
      <w:r>
        <w:t>None of these reporting or recordkeeping requirements violate any of the regulations established by OMB at 5 CFR part 1320, section 1320.5.</w:t>
      </w:r>
    </w:p>
    <w:p w:rsidR="00E014AA" w:rsidRDefault="00E014AA"/>
    <w:p w:rsidR="00E014AA" w:rsidRDefault="00E014AA">
      <w:pPr>
        <w:ind w:firstLine="1440"/>
        <w:rPr>
          <w:rStyle w:val="1"/>
          <w:rFonts w:ascii="Agency FB" w:hAnsi="Agency FB"/>
        </w:rPr>
      </w:pPr>
      <w:r>
        <w:rPr>
          <w:b/>
          <w:bCs/>
        </w:rPr>
        <w:t>(i)  Data Items</w:t>
      </w:r>
    </w:p>
    <w:p w:rsidR="00E014AA" w:rsidRDefault="00E014AA"/>
    <w:p w:rsidR="00E014AA" w:rsidRDefault="00E014AA">
      <w:pPr>
        <w:ind w:firstLine="720"/>
      </w:pPr>
      <w:r>
        <w:t xml:space="preserve">In this ICR, all the data that is recorded or reported is required by NSPS for </w:t>
      </w:r>
      <w:r w:rsidR="00393F57">
        <w:t xml:space="preserve">Petroleum Refineries </w:t>
      </w:r>
      <w:r>
        <w:t xml:space="preserve">(40 CFR Part 60, Subpart </w:t>
      </w:r>
      <w:r w:rsidR="00393F57">
        <w:t>Ja</w:t>
      </w:r>
      <w:r>
        <w:t>)</w:t>
      </w:r>
      <w:r w:rsidR="005F7D0D">
        <w:t xml:space="preserve"> (Renewal)</w:t>
      </w:r>
      <w:r>
        <w:t>.</w:t>
      </w:r>
    </w:p>
    <w:p w:rsidR="00E014AA" w:rsidRDefault="00E014AA">
      <w:pPr>
        <w:ind w:firstLine="720"/>
      </w:pPr>
    </w:p>
    <w:p w:rsidR="00E014AA" w:rsidRDefault="00E014AA">
      <w:pPr>
        <w:ind w:firstLine="720"/>
      </w:pPr>
      <w:r>
        <w:t>A source must make the following reports:</w:t>
      </w:r>
    </w:p>
    <w:p w:rsidR="00E014AA" w:rsidRDefault="00E014AA">
      <w:pPr>
        <w:ind w:firstLine="720"/>
      </w:pPr>
    </w:p>
    <w:tbl>
      <w:tblPr>
        <w:tblW w:w="0" w:type="auto"/>
        <w:jc w:val="center"/>
        <w:tblLayout w:type="fixed"/>
        <w:tblCellMar>
          <w:left w:w="120" w:type="dxa"/>
          <w:right w:w="120" w:type="dxa"/>
        </w:tblCellMar>
        <w:tblLook w:val="0000"/>
      </w:tblPr>
      <w:tblGrid>
        <w:gridCol w:w="7200"/>
        <w:gridCol w:w="2160"/>
      </w:tblGrid>
      <w:tr w:rsidR="00E014AA" w:rsidTr="00164B28">
        <w:trPr>
          <w:cantSplit/>
          <w:tblHeader/>
          <w:jc w:val="center"/>
        </w:trPr>
        <w:tc>
          <w:tcPr>
            <w:tcW w:w="9360" w:type="dxa"/>
            <w:gridSpan w:val="2"/>
            <w:tcBorders>
              <w:top w:val="single" w:sz="2" w:space="0" w:color="000000"/>
              <w:left w:val="single" w:sz="2" w:space="0" w:color="000000"/>
              <w:bottom w:val="single" w:sz="2" w:space="0" w:color="000000"/>
              <w:right w:val="single" w:sz="2" w:space="0" w:color="000000"/>
            </w:tcBorders>
            <w:vAlign w:val="center"/>
          </w:tcPr>
          <w:p w:rsidR="00E014AA" w:rsidRDefault="00E014AA">
            <w:pPr>
              <w:spacing w:after="58"/>
              <w:jc w:val="center"/>
              <w:rPr>
                <w:b/>
              </w:rPr>
            </w:pPr>
            <w:r>
              <w:rPr>
                <w:b/>
              </w:rPr>
              <w:t>Notifications</w:t>
            </w:r>
          </w:p>
        </w:tc>
      </w:tr>
      <w:tr w:rsidR="00392877" w:rsidTr="00392877">
        <w:trPr>
          <w:cantSplit/>
          <w:jc w:val="center"/>
        </w:trPr>
        <w:tc>
          <w:tcPr>
            <w:tcW w:w="720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keepNext/>
            </w:pPr>
            <w:r w:rsidRPr="006D065E">
              <w:t xml:space="preserve">Construction/reconstruction </w:t>
            </w:r>
          </w:p>
        </w:tc>
        <w:tc>
          <w:tcPr>
            <w:tcW w:w="216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keepNext/>
            </w:pPr>
            <w:r w:rsidRPr="006D065E">
              <w:t xml:space="preserve">60.7(a)(1) </w:t>
            </w:r>
          </w:p>
        </w:tc>
      </w:tr>
      <w:tr w:rsidR="00392877" w:rsidTr="00392877">
        <w:trPr>
          <w:cantSplit/>
          <w:jc w:val="center"/>
        </w:trPr>
        <w:tc>
          <w:tcPr>
            <w:tcW w:w="720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keepNext/>
            </w:pPr>
            <w:r w:rsidRPr="006D065E">
              <w:t xml:space="preserve">Initial notifications </w:t>
            </w:r>
          </w:p>
        </w:tc>
        <w:tc>
          <w:tcPr>
            <w:tcW w:w="216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keepNext/>
            </w:pPr>
            <w:r w:rsidRPr="006D065E">
              <w:t xml:space="preserve">60.7 </w:t>
            </w:r>
          </w:p>
        </w:tc>
      </w:tr>
      <w:tr w:rsidR="00392877" w:rsidTr="00392877">
        <w:trPr>
          <w:cantSplit/>
          <w:jc w:val="center"/>
        </w:trPr>
        <w:tc>
          <w:tcPr>
            <w:tcW w:w="720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keepNext/>
            </w:pPr>
            <w:r w:rsidRPr="006D065E">
              <w:t xml:space="preserve">Actual Start-up </w:t>
            </w:r>
          </w:p>
        </w:tc>
        <w:tc>
          <w:tcPr>
            <w:tcW w:w="216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keepNext/>
            </w:pPr>
            <w:r w:rsidRPr="006D065E">
              <w:t xml:space="preserve">60.7(a)(3) </w:t>
            </w:r>
          </w:p>
        </w:tc>
      </w:tr>
      <w:tr w:rsidR="00392877" w:rsidTr="00392877">
        <w:trPr>
          <w:cantSplit/>
          <w:jc w:val="center"/>
        </w:trPr>
        <w:tc>
          <w:tcPr>
            <w:tcW w:w="720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pStyle w:val="Default"/>
              <w:keepNext/>
              <w:widowControl/>
              <w:tabs>
                <w:tab w:val="center" w:pos="3260"/>
              </w:tabs>
              <w:rPr>
                <w:rFonts w:ascii="Times New Roman" w:hAnsi="Times New Roman" w:cs="Times New Roman"/>
              </w:rPr>
            </w:pPr>
            <w:r w:rsidRPr="006D065E">
              <w:rPr>
                <w:rFonts w:ascii="Times New Roman" w:hAnsi="Times New Roman" w:cs="Times New Roman"/>
              </w:rPr>
              <w:t>Excess emissions report</w:t>
            </w:r>
          </w:p>
        </w:tc>
        <w:tc>
          <w:tcPr>
            <w:tcW w:w="216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pStyle w:val="Default"/>
              <w:keepNext/>
              <w:widowControl/>
              <w:rPr>
                <w:rFonts w:ascii="Times New Roman" w:hAnsi="Times New Roman" w:cs="Times New Roman"/>
              </w:rPr>
            </w:pPr>
            <w:r w:rsidRPr="006D065E">
              <w:rPr>
                <w:rFonts w:ascii="Times New Roman" w:hAnsi="Times New Roman" w:cs="Times New Roman"/>
              </w:rPr>
              <w:t xml:space="preserve">60.7(c), 60.108a(f) </w:t>
            </w:r>
          </w:p>
        </w:tc>
      </w:tr>
      <w:tr w:rsidR="00392877" w:rsidTr="00392877">
        <w:trPr>
          <w:cantSplit/>
          <w:jc w:val="center"/>
        </w:trPr>
        <w:tc>
          <w:tcPr>
            <w:tcW w:w="720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pStyle w:val="Default"/>
              <w:keepNext/>
              <w:widowControl/>
              <w:rPr>
                <w:rFonts w:ascii="Times New Roman" w:hAnsi="Times New Roman" w:cs="Times New Roman"/>
              </w:rPr>
            </w:pPr>
            <w:r w:rsidRPr="006D065E">
              <w:rPr>
                <w:rFonts w:ascii="Times New Roman" w:hAnsi="Times New Roman" w:cs="Times New Roman"/>
              </w:rPr>
              <w:t xml:space="preserve">Initial performance test results </w:t>
            </w:r>
          </w:p>
        </w:tc>
        <w:tc>
          <w:tcPr>
            <w:tcW w:w="216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pStyle w:val="Default"/>
              <w:keepNext/>
              <w:widowControl/>
              <w:rPr>
                <w:rFonts w:ascii="Times New Roman" w:hAnsi="Times New Roman" w:cs="Times New Roman"/>
              </w:rPr>
            </w:pPr>
            <w:r w:rsidRPr="006D065E">
              <w:rPr>
                <w:rFonts w:ascii="Times New Roman" w:hAnsi="Times New Roman" w:cs="Times New Roman"/>
              </w:rPr>
              <w:t xml:space="preserve">60.8(a) </w:t>
            </w:r>
          </w:p>
        </w:tc>
      </w:tr>
      <w:tr w:rsidR="00392877" w:rsidTr="00392877">
        <w:trPr>
          <w:cantSplit/>
          <w:jc w:val="center"/>
        </w:trPr>
        <w:tc>
          <w:tcPr>
            <w:tcW w:w="720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pStyle w:val="Default"/>
              <w:keepNext/>
              <w:widowControl/>
              <w:rPr>
                <w:rFonts w:ascii="Times New Roman" w:hAnsi="Times New Roman" w:cs="Times New Roman"/>
              </w:rPr>
            </w:pPr>
            <w:r w:rsidRPr="006D065E">
              <w:rPr>
                <w:rFonts w:ascii="Times New Roman" w:hAnsi="Times New Roman" w:cs="Times New Roman"/>
              </w:rPr>
              <w:t xml:space="preserve">Notification of initial performance test </w:t>
            </w:r>
          </w:p>
        </w:tc>
        <w:tc>
          <w:tcPr>
            <w:tcW w:w="216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pStyle w:val="Default"/>
              <w:keepNext/>
              <w:widowControl/>
              <w:rPr>
                <w:rFonts w:ascii="Times New Roman" w:hAnsi="Times New Roman" w:cs="Times New Roman"/>
              </w:rPr>
            </w:pPr>
            <w:r w:rsidRPr="006D065E">
              <w:rPr>
                <w:rFonts w:ascii="Times New Roman" w:hAnsi="Times New Roman" w:cs="Times New Roman"/>
              </w:rPr>
              <w:t xml:space="preserve">60.8(d) </w:t>
            </w:r>
          </w:p>
        </w:tc>
      </w:tr>
      <w:tr w:rsidR="00392877" w:rsidTr="00392877">
        <w:trPr>
          <w:cantSplit/>
          <w:jc w:val="center"/>
        </w:trPr>
        <w:tc>
          <w:tcPr>
            <w:tcW w:w="720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pStyle w:val="Default"/>
              <w:keepNext/>
              <w:widowControl/>
              <w:rPr>
                <w:rFonts w:ascii="Times New Roman" w:hAnsi="Times New Roman" w:cs="Times New Roman"/>
              </w:rPr>
            </w:pPr>
            <w:r w:rsidRPr="006D065E">
              <w:rPr>
                <w:rFonts w:ascii="Times New Roman" w:hAnsi="Times New Roman" w:cs="Times New Roman"/>
              </w:rPr>
              <w:t xml:space="preserve">Demonstration of continuous emission monitoring system (CEMS) </w:t>
            </w:r>
          </w:p>
        </w:tc>
        <w:tc>
          <w:tcPr>
            <w:tcW w:w="216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pStyle w:val="Default"/>
              <w:keepNext/>
              <w:widowControl/>
              <w:rPr>
                <w:rFonts w:ascii="Times New Roman" w:hAnsi="Times New Roman" w:cs="Times New Roman"/>
              </w:rPr>
            </w:pPr>
            <w:r w:rsidRPr="006D065E">
              <w:rPr>
                <w:rFonts w:ascii="Times New Roman" w:hAnsi="Times New Roman" w:cs="Times New Roman"/>
              </w:rPr>
              <w:t xml:space="preserve">60.7(a)(5) </w:t>
            </w:r>
          </w:p>
        </w:tc>
      </w:tr>
      <w:tr w:rsidR="00392877" w:rsidTr="00392877">
        <w:trPr>
          <w:cantSplit/>
          <w:jc w:val="center"/>
        </w:trPr>
        <w:tc>
          <w:tcPr>
            <w:tcW w:w="720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pStyle w:val="Default"/>
              <w:keepNext/>
              <w:widowControl/>
              <w:rPr>
                <w:rFonts w:ascii="Times New Roman" w:hAnsi="Times New Roman" w:cs="Times New Roman"/>
              </w:rPr>
            </w:pPr>
            <w:r w:rsidRPr="006D065E">
              <w:rPr>
                <w:rFonts w:ascii="Times New Roman" w:hAnsi="Times New Roman" w:cs="Times New Roman"/>
              </w:rPr>
              <w:t xml:space="preserve">Notification of Compliance status </w:t>
            </w:r>
          </w:p>
        </w:tc>
        <w:tc>
          <w:tcPr>
            <w:tcW w:w="2160" w:type="dxa"/>
            <w:tcBorders>
              <w:top w:val="single" w:sz="2" w:space="0" w:color="000000"/>
              <w:left w:val="single" w:sz="2" w:space="0" w:color="000000"/>
              <w:bottom w:val="single" w:sz="2" w:space="0" w:color="000000"/>
              <w:right w:val="single" w:sz="2" w:space="0" w:color="000000"/>
            </w:tcBorders>
          </w:tcPr>
          <w:p w:rsidR="00392877" w:rsidRPr="006D065E" w:rsidRDefault="00392877" w:rsidP="008E083C">
            <w:pPr>
              <w:pStyle w:val="Default"/>
              <w:keepNext/>
              <w:widowControl/>
              <w:rPr>
                <w:rFonts w:ascii="Times New Roman" w:hAnsi="Times New Roman" w:cs="Times New Roman"/>
              </w:rPr>
            </w:pPr>
            <w:r w:rsidRPr="006D065E">
              <w:rPr>
                <w:rFonts w:ascii="Times New Roman" w:hAnsi="Times New Roman" w:cs="Times New Roman"/>
              </w:rPr>
              <w:t>60.11(a</w:t>
            </w:r>
            <w:r w:rsidR="008E083C">
              <w:rPr>
                <w:rFonts w:ascii="Times New Roman" w:hAnsi="Times New Roman" w:cs="Times New Roman"/>
              </w:rPr>
              <w:t>-c</w:t>
            </w:r>
            <w:r w:rsidRPr="006D065E">
              <w:rPr>
                <w:rFonts w:ascii="Times New Roman" w:hAnsi="Times New Roman" w:cs="Times New Roman"/>
              </w:rPr>
              <w:t xml:space="preserve">) </w:t>
            </w:r>
          </w:p>
        </w:tc>
      </w:tr>
      <w:tr w:rsidR="00392877" w:rsidTr="00392877">
        <w:trPr>
          <w:cantSplit/>
          <w:jc w:val="center"/>
        </w:trPr>
        <w:tc>
          <w:tcPr>
            <w:tcW w:w="720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pStyle w:val="Default"/>
              <w:keepNext/>
              <w:widowControl/>
              <w:rPr>
                <w:rFonts w:ascii="Times New Roman" w:hAnsi="Times New Roman" w:cs="Times New Roman"/>
              </w:rPr>
            </w:pPr>
            <w:r w:rsidRPr="006D065E">
              <w:rPr>
                <w:rFonts w:ascii="Times New Roman" w:hAnsi="Times New Roman" w:cs="Times New Roman"/>
              </w:rPr>
              <w:t>Physical or Operational Change</w:t>
            </w:r>
          </w:p>
        </w:tc>
        <w:tc>
          <w:tcPr>
            <w:tcW w:w="2160" w:type="dxa"/>
            <w:tcBorders>
              <w:top w:val="single" w:sz="2" w:space="0" w:color="000000"/>
              <w:left w:val="single" w:sz="2" w:space="0" w:color="000000"/>
              <w:bottom w:val="single" w:sz="2" w:space="0" w:color="000000"/>
              <w:right w:val="single" w:sz="2" w:space="0" w:color="000000"/>
            </w:tcBorders>
          </w:tcPr>
          <w:p w:rsidR="00392877" w:rsidRPr="006D065E" w:rsidRDefault="00392877" w:rsidP="00A37F27">
            <w:pPr>
              <w:pStyle w:val="Default"/>
              <w:keepNext/>
              <w:widowControl/>
              <w:rPr>
                <w:rFonts w:ascii="Times New Roman" w:hAnsi="Times New Roman" w:cs="Times New Roman"/>
              </w:rPr>
            </w:pPr>
            <w:r w:rsidRPr="006D065E">
              <w:rPr>
                <w:rFonts w:ascii="Times New Roman" w:hAnsi="Times New Roman" w:cs="Times New Roman"/>
              </w:rPr>
              <w:t xml:space="preserve">60.7(a)(4) </w:t>
            </w:r>
          </w:p>
        </w:tc>
      </w:tr>
      <w:tr w:rsidR="008E083C" w:rsidTr="00392877">
        <w:trPr>
          <w:cantSplit/>
          <w:jc w:val="center"/>
        </w:trPr>
        <w:tc>
          <w:tcPr>
            <w:tcW w:w="7200" w:type="dxa"/>
            <w:tcBorders>
              <w:top w:val="single" w:sz="2" w:space="0" w:color="000000"/>
              <w:left w:val="single" w:sz="2" w:space="0" w:color="000000"/>
              <w:bottom w:val="single" w:sz="2" w:space="0" w:color="000000"/>
              <w:right w:val="single" w:sz="2" w:space="0" w:color="000000"/>
            </w:tcBorders>
          </w:tcPr>
          <w:p w:rsidR="008E083C" w:rsidRPr="006D065E" w:rsidRDefault="008E083C" w:rsidP="00A37F27">
            <w:pPr>
              <w:pStyle w:val="Default"/>
              <w:keepNext/>
              <w:widowControl/>
              <w:rPr>
                <w:rFonts w:ascii="Times New Roman" w:hAnsi="Times New Roman" w:cs="Times New Roman"/>
              </w:rPr>
            </w:pPr>
            <w:r w:rsidRPr="006D065E">
              <w:rPr>
                <w:rFonts w:ascii="Times New Roman" w:hAnsi="Times New Roman" w:cs="Times New Roman"/>
              </w:rPr>
              <w:t xml:space="preserve">Periodic start-up, shutdown, malfunction reports </w:t>
            </w:r>
          </w:p>
        </w:tc>
        <w:tc>
          <w:tcPr>
            <w:tcW w:w="2160" w:type="dxa"/>
            <w:tcBorders>
              <w:top w:val="single" w:sz="2" w:space="0" w:color="000000"/>
              <w:left w:val="single" w:sz="2" w:space="0" w:color="000000"/>
              <w:bottom w:val="single" w:sz="2" w:space="0" w:color="000000"/>
              <w:right w:val="single" w:sz="2" w:space="0" w:color="000000"/>
            </w:tcBorders>
          </w:tcPr>
          <w:p w:rsidR="008E083C" w:rsidRPr="006D065E" w:rsidRDefault="008E083C" w:rsidP="00A37F27">
            <w:pPr>
              <w:pStyle w:val="Default"/>
              <w:keepNext/>
              <w:widowControl/>
              <w:rPr>
                <w:rFonts w:ascii="Times New Roman" w:hAnsi="Times New Roman" w:cs="Times New Roman"/>
              </w:rPr>
            </w:pPr>
            <w:r w:rsidRPr="006D065E">
              <w:rPr>
                <w:rFonts w:ascii="Times New Roman" w:hAnsi="Times New Roman" w:cs="Times New Roman"/>
              </w:rPr>
              <w:t xml:space="preserve">60.8(c) </w:t>
            </w:r>
          </w:p>
        </w:tc>
      </w:tr>
      <w:tr w:rsidR="008E083C" w:rsidTr="00392877">
        <w:trPr>
          <w:cantSplit/>
          <w:jc w:val="center"/>
        </w:trPr>
        <w:tc>
          <w:tcPr>
            <w:tcW w:w="7200" w:type="dxa"/>
            <w:tcBorders>
              <w:top w:val="single" w:sz="2" w:space="0" w:color="000000"/>
              <w:left w:val="single" w:sz="2" w:space="0" w:color="000000"/>
              <w:bottom w:val="single" w:sz="2" w:space="0" w:color="000000"/>
              <w:right w:val="single" w:sz="2" w:space="0" w:color="000000"/>
            </w:tcBorders>
          </w:tcPr>
          <w:p w:rsidR="008E083C" w:rsidRDefault="008E083C" w:rsidP="008E083C">
            <w:pPr>
              <w:spacing w:after="58"/>
            </w:pPr>
            <w:r>
              <w:t>Written work practice plans/root cause analysis</w:t>
            </w:r>
          </w:p>
        </w:tc>
        <w:tc>
          <w:tcPr>
            <w:tcW w:w="2160" w:type="dxa"/>
            <w:tcBorders>
              <w:top w:val="single" w:sz="2" w:space="0" w:color="000000"/>
              <w:left w:val="single" w:sz="2" w:space="0" w:color="000000"/>
              <w:bottom w:val="single" w:sz="2" w:space="0" w:color="000000"/>
              <w:right w:val="single" w:sz="2" w:space="0" w:color="000000"/>
            </w:tcBorders>
          </w:tcPr>
          <w:p w:rsidR="008E083C" w:rsidRDefault="008E083C" w:rsidP="0010266B">
            <w:pPr>
              <w:spacing w:after="58"/>
            </w:pPr>
            <w:r>
              <w:t>60.103a(a-b)</w:t>
            </w:r>
          </w:p>
        </w:tc>
      </w:tr>
    </w:tbl>
    <w:p w:rsidR="00E014AA" w:rsidRDefault="00E014AA"/>
    <w:p w:rsidR="00E014AA" w:rsidRDefault="00E014AA" w:rsidP="00470884">
      <w:pPr>
        <w:ind w:firstLine="720"/>
      </w:pPr>
      <w:r>
        <w:t>A source must keep the following records:</w:t>
      </w:r>
    </w:p>
    <w:p w:rsidR="00164B28" w:rsidRDefault="00164B28" w:rsidP="00470884">
      <w:pPr>
        <w:ind w:firstLine="720"/>
      </w:pPr>
    </w:p>
    <w:tbl>
      <w:tblPr>
        <w:tblW w:w="0" w:type="auto"/>
        <w:jc w:val="center"/>
        <w:tblLayout w:type="fixed"/>
        <w:tblCellMar>
          <w:left w:w="120" w:type="dxa"/>
          <w:right w:w="120" w:type="dxa"/>
        </w:tblCellMar>
        <w:tblLook w:val="0000"/>
      </w:tblPr>
      <w:tblGrid>
        <w:gridCol w:w="7200"/>
        <w:gridCol w:w="2160"/>
      </w:tblGrid>
      <w:tr w:rsidR="00E014AA" w:rsidTr="00BE28C9">
        <w:trPr>
          <w:cantSplit/>
          <w:tblHeader/>
          <w:jc w:val="center"/>
        </w:trPr>
        <w:tc>
          <w:tcPr>
            <w:tcW w:w="9360" w:type="dxa"/>
            <w:gridSpan w:val="2"/>
            <w:tcBorders>
              <w:top w:val="single" w:sz="2" w:space="0" w:color="000000"/>
              <w:left w:val="single" w:sz="2" w:space="0" w:color="000000"/>
              <w:bottom w:val="single" w:sz="2" w:space="0" w:color="000000"/>
              <w:right w:val="single" w:sz="2" w:space="0" w:color="000000"/>
            </w:tcBorders>
            <w:vAlign w:val="center"/>
          </w:tcPr>
          <w:p w:rsidR="00E014AA" w:rsidRDefault="00E014AA">
            <w:pPr>
              <w:spacing w:after="58"/>
              <w:jc w:val="center"/>
              <w:rPr>
                <w:b/>
              </w:rPr>
            </w:pPr>
            <w:r>
              <w:rPr>
                <w:b/>
              </w:rPr>
              <w:t xml:space="preserve">Recordkeeping </w:t>
            </w:r>
          </w:p>
        </w:tc>
      </w:tr>
      <w:tr w:rsidR="008E083C" w:rsidTr="008E083C">
        <w:trPr>
          <w:cantSplit/>
          <w:jc w:val="center"/>
        </w:trPr>
        <w:tc>
          <w:tcPr>
            <w:tcW w:w="7200" w:type="dxa"/>
            <w:tcBorders>
              <w:top w:val="single" w:sz="2" w:space="0" w:color="000000"/>
              <w:left w:val="single" w:sz="2" w:space="0" w:color="000000"/>
              <w:bottom w:val="single" w:sz="2" w:space="0" w:color="000000"/>
              <w:right w:val="single" w:sz="2" w:space="0" w:color="000000"/>
            </w:tcBorders>
          </w:tcPr>
          <w:p w:rsidR="008E083C" w:rsidRPr="006D065E" w:rsidRDefault="008E083C" w:rsidP="00A37F27">
            <w:r w:rsidRPr="006D065E">
              <w:t xml:space="preserve">Start-ups, shutdowns, malfunctions, periods where the continuous monitoring system is inoperative </w:t>
            </w:r>
          </w:p>
        </w:tc>
        <w:tc>
          <w:tcPr>
            <w:tcW w:w="2160" w:type="dxa"/>
            <w:tcBorders>
              <w:top w:val="single" w:sz="2" w:space="0" w:color="000000"/>
              <w:left w:val="single" w:sz="2" w:space="0" w:color="000000"/>
              <w:bottom w:val="single" w:sz="2" w:space="0" w:color="000000"/>
              <w:right w:val="single" w:sz="2" w:space="0" w:color="000000"/>
            </w:tcBorders>
          </w:tcPr>
          <w:p w:rsidR="008E083C" w:rsidRPr="006D065E" w:rsidRDefault="008E083C" w:rsidP="00A37F27">
            <w:r w:rsidRPr="006D065E">
              <w:t xml:space="preserve">60.7(b) </w:t>
            </w:r>
          </w:p>
        </w:tc>
      </w:tr>
      <w:tr w:rsidR="008E083C" w:rsidTr="008E083C">
        <w:trPr>
          <w:cantSplit/>
          <w:jc w:val="center"/>
        </w:trPr>
        <w:tc>
          <w:tcPr>
            <w:tcW w:w="7200" w:type="dxa"/>
            <w:tcBorders>
              <w:top w:val="single" w:sz="2" w:space="0" w:color="000000"/>
              <w:left w:val="single" w:sz="2" w:space="0" w:color="000000"/>
              <w:bottom w:val="single" w:sz="2" w:space="0" w:color="000000"/>
              <w:right w:val="single" w:sz="2" w:space="0" w:color="000000"/>
            </w:tcBorders>
          </w:tcPr>
          <w:p w:rsidR="008E083C" w:rsidRPr="006D065E" w:rsidRDefault="008E083C" w:rsidP="00A37F27">
            <w:r w:rsidRPr="006D065E">
              <w:t xml:space="preserve">All reports and notifications </w:t>
            </w:r>
          </w:p>
        </w:tc>
        <w:tc>
          <w:tcPr>
            <w:tcW w:w="2160" w:type="dxa"/>
            <w:tcBorders>
              <w:top w:val="single" w:sz="2" w:space="0" w:color="000000"/>
              <w:left w:val="single" w:sz="2" w:space="0" w:color="000000"/>
              <w:bottom w:val="single" w:sz="2" w:space="0" w:color="000000"/>
              <w:right w:val="single" w:sz="2" w:space="0" w:color="000000"/>
            </w:tcBorders>
          </w:tcPr>
          <w:p w:rsidR="008E083C" w:rsidRPr="006D065E" w:rsidRDefault="008E083C" w:rsidP="00A37F27">
            <w:r w:rsidRPr="006D065E">
              <w:t xml:space="preserve">60.7 </w:t>
            </w:r>
          </w:p>
        </w:tc>
      </w:tr>
      <w:tr w:rsidR="008E083C" w:rsidTr="00A37F27">
        <w:trPr>
          <w:cantSplit/>
          <w:jc w:val="center"/>
        </w:trPr>
        <w:tc>
          <w:tcPr>
            <w:tcW w:w="7200" w:type="dxa"/>
            <w:tcBorders>
              <w:top w:val="single" w:sz="2" w:space="0" w:color="000000"/>
              <w:left w:val="single" w:sz="2" w:space="0" w:color="000000"/>
              <w:bottom w:val="single" w:sz="2" w:space="0" w:color="000000"/>
              <w:right w:val="single" w:sz="2" w:space="0" w:color="000000"/>
            </w:tcBorders>
          </w:tcPr>
          <w:p w:rsidR="008E083C" w:rsidRPr="006D065E" w:rsidRDefault="008E083C" w:rsidP="00A37F27">
            <w:r w:rsidRPr="006D065E">
              <w:t xml:space="preserve">Emission test methods and other data needed to determine emissions </w:t>
            </w:r>
          </w:p>
        </w:tc>
        <w:tc>
          <w:tcPr>
            <w:tcW w:w="2160" w:type="dxa"/>
            <w:tcBorders>
              <w:top w:val="single" w:sz="2" w:space="0" w:color="000000"/>
              <w:left w:val="single" w:sz="2" w:space="0" w:color="000000"/>
              <w:bottom w:val="single" w:sz="2" w:space="0" w:color="000000"/>
              <w:right w:val="single" w:sz="2" w:space="0" w:color="000000"/>
            </w:tcBorders>
          </w:tcPr>
          <w:p w:rsidR="008E083C" w:rsidRPr="006D065E" w:rsidRDefault="008E083C" w:rsidP="00A37F27">
            <w:r w:rsidRPr="006D065E">
              <w:t>60.104a</w:t>
            </w:r>
          </w:p>
        </w:tc>
      </w:tr>
      <w:tr w:rsidR="008E083C" w:rsidTr="00A37F27">
        <w:trPr>
          <w:cantSplit/>
          <w:jc w:val="center"/>
        </w:trPr>
        <w:tc>
          <w:tcPr>
            <w:tcW w:w="7200" w:type="dxa"/>
            <w:tcBorders>
              <w:top w:val="single" w:sz="2" w:space="0" w:color="000000"/>
              <w:left w:val="single" w:sz="2" w:space="0" w:color="000000"/>
              <w:bottom w:val="single" w:sz="2" w:space="0" w:color="000000"/>
              <w:right w:val="single" w:sz="2" w:space="0" w:color="000000"/>
            </w:tcBorders>
          </w:tcPr>
          <w:p w:rsidR="008E083C" w:rsidRPr="006D065E" w:rsidRDefault="008E083C" w:rsidP="00A37F27">
            <w:r w:rsidRPr="006D065E">
              <w:t>Written plans, information to document conformance with operation and maintenance requirements, bag leak detection system alarms, records of coke burn-off rate, monitoring exemptions, discharges to flare gas system</w:t>
            </w:r>
          </w:p>
        </w:tc>
        <w:tc>
          <w:tcPr>
            <w:tcW w:w="2160" w:type="dxa"/>
            <w:tcBorders>
              <w:top w:val="single" w:sz="2" w:space="0" w:color="000000"/>
              <w:left w:val="single" w:sz="2" w:space="0" w:color="000000"/>
              <w:bottom w:val="single" w:sz="2" w:space="0" w:color="000000"/>
              <w:right w:val="single" w:sz="2" w:space="0" w:color="000000"/>
            </w:tcBorders>
          </w:tcPr>
          <w:p w:rsidR="008E083C" w:rsidRPr="006D065E" w:rsidRDefault="008E083C" w:rsidP="00A37F27">
            <w:r w:rsidRPr="006D065E">
              <w:t>60.108a</w:t>
            </w:r>
          </w:p>
        </w:tc>
      </w:tr>
    </w:tbl>
    <w:p w:rsidR="00E014AA" w:rsidRDefault="00E014AA"/>
    <w:p w:rsidR="00E014AA" w:rsidRDefault="00E014AA">
      <w:r>
        <w:rPr>
          <w:u w:val="single"/>
        </w:rPr>
        <w:t>Electronic Reporting</w:t>
      </w:r>
    </w:p>
    <w:p w:rsidR="00E014AA" w:rsidRDefault="00E014AA"/>
    <w:p w:rsidR="00E014AA" w:rsidRDefault="00E014AA">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E014AA" w:rsidRDefault="00E014AA">
      <w:pPr>
        <w:pBdr>
          <w:top w:val="single" w:sz="6" w:space="0" w:color="FFFFFF"/>
          <w:left w:val="single" w:sz="6" w:space="0" w:color="FFFFFF"/>
          <w:bottom w:val="single" w:sz="6" w:space="0" w:color="FFFFFF"/>
          <w:right w:val="single" w:sz="6" w:space="0" w:color="FFFFFF"/>
        </w:pBdr>
        <w:ind w:firstLine="720"/>
        <w:rPr>
          <w:color w:val="000000"/>
        </w:rPr>
      </w:pPr>
    </w:p>
    <w:p w:rsidR="00E014AA" w:rsidRDefault="00E014A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respondents continue to create reporting systems to transmit data electronically.  However, electronic reporting systems are not widely used.  At this time, it is estimated that approximately </w:t>
      </w:r>
      <w:r w:rsidR="00785A38">
        <w:rPr>
          <w:color w:val="000000"/>
        </w:rPr>
        <w:t>7</w:t>
      </w:r>
      <w:r>
        <w:rPr>
          <w:color w:val="000000"/>
        </w:rPr>
        <w:t>0 percent of the respondents use electronic reporting.</w:t>
      </w:r>
    </w:p>
    <w:p w:rsidR="00E014AA" w:rsidRDefault="00E014AA"/>
    <w:tbl>
      <w:tblPr>
        <w:tblW w:w="0" w:type="auto"/>
        <w:jc w:val="center"/>
        <w:tblLayout w:type="fixed"/>
        <w:tblCellMar>
          <w:left w:w="120" w:type="dxa"/>
          <w:right w:w="120" w:type="dxa"/>
        </w:tblCellMar>
        <w:tblLook w:val="0000"/>
      </w:tblPr>
      <w:tblGrid>
        <w:gridCol w:w="9360"/>
      </w:tblGrid>
      <w:tr w:rsidR="00E014AA" w:rsidTr="00164B28">
        <w:trPr>
          <w:cantSplit/>
          <w:tblHeader/>
          <w:jc w:val="center"/>
        </w:trPr>
        <w:tc>
          <w:tcPr>
            <w:tcW w:w="9360" w:type="dxa"/>
            <w:tcBorders>
              <w:top w:val="single" w:sz="2" w:space="0" w:color="000000"/>
              <w:left w:val="single" w:sz="2" w:space="0" w:color="000000"/>
              <w:bottom w:val="single" w:sz="2" w:space="0" w:color="000000"/>
              <w:right w:val="single" w:sz="2" w:space="0" w:color="000000"/>
            </w:tcBorders>
            <w:vAlign w:val="center"/>
          </w:tcPr>
          <w:p w:rsidR="00E014AA" w:rsidRDefault="00E014AA">
            <w:pPr>
              <w:spacing w:after="55"/>
              <w:jc w:val="center"/>
              <w:rPr>
                <w:b/>
                <w:bCs/>
              </w:rPr>
            </w:pPr>
            <w:r>
              <w:rPr>
                <w:b/>
                <w:bCs/>
              </w:rPr>
              <w:t>Respondent Activities</w:t>
            </w:r>
          </w:p>
        </w:tc>
      </w:tr>
      <w:tr w:rsidR="00785A38" w:rsidTr="00164B28">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785A38" w:rsidRPr="006D065E" w:rsidRDefault="00785A38" w:rsidP="00A37F27">
            <w:pPr>
              <w:keepNext/>
            </w:pPr>
            <w:r w:rsidRPr="00F306BD">
              <w:rPr>
                <w:rFonts w:ascii="TimesNewRoman" w:hAnsi="TimesNewRoman" w:cs="TimesNewRoman"/>
              </w:rPr>
              <w:t>Read instructions.</w:t>
            </w:r>
          </w:p>
        </w:tc>
      </w:tr>
      <w:tr w:rsidR="00785A38" w:rsidTr="00164B28">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785A38" w:rsidRPr="006D065E" w:rsidRDefault="00785A38" w:rsidP="00A37F27">
            <w:pPr>
              <w:keepNext/>
            </w:pPr>
            <w:r w:rsidRPr="00F306BD">
              <w:rPr>
                <w:rFonts w:ascii="TimesNewRoman" w:hAnsi="TimesNewRoman" w:cs="TimesNewRoman"/>
              </w:rPr>
              <w:t>Gather relevant information.</w:t>
            </w:r>
          </w:p>
        </w:tc>
      </w:tr>
      <w:tr w:rsidR="00785A38" w:rsidTr="00164B28">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785A38" w:rsidRPr="006D065E" w:rsidRDefault="00785A38" w:rsidP="00A37F27">
            <w:pPr>
              <w:keepNext/>
            </w:pPr>
            <w:r w:rsidRPr="00F306BD">
              <w:rPr>
                <w:rFonts w:ascii="TimesNewRoman" w:hAnsi="TimesNewRoman" w:cs="TimesNewRoman"/>
              </w:rPr>
              <w:t>Install, calibrate, maintain, and operate CEMS for opacity, or for pressure drop and liquid supply pressure for wet scrubber</w:t>
            </w:r>
          </w:p>
        </w:tc>
      </w:tr>
      <w:tr w:rsidR="00785A38" w:rsidTr="00164B28">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785A38" w:rsidRPr="006D065E" w:rsidRDefault="00785A38" w:rsidP="00A37F27">
            <w:r w:rsidRPr="00F306BD">
              <w:rPr>
                <w:rFonts w:ascii="TimesNewRoman" w:hAnsi="TimesNewRoman" w:cs="TimesNewRoman"/>
              </w:rPr>
              <w:t>Perform initial performance test, Reference Method 1-6, 8-11, 15.</w:t>
            </w:r>
          </w:p>
        </w:tc>
      </w:tr>
      <w:tr w:rsidR="00785A38" w:rsidTr="00164B28">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785A38" w:rsidRPr="006D065E" w:rsidRDefault="00785A38" w:rsidP="00A37F27">
            <w:r w:rsidRPr="00F306BD">
              <w:rPr>
                <w:rFonts w:ascii="TimesNewRoman" w:hAnsi="TimesNewRoman" w:cs="TimesNewRoman"/>
              </w:rPr>
              <w:t>Write the notifications and reports listed above.</w:t>
            </w:r>
          </w:p>
        </w:tc>
      </w:tr>
      <w:tr w:rsidR="00785A38" w:rsidTr="00164B28">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785A38" w:rsidRPr="006D065E" w:rsidRDefault="00785A38" w:rsidP="00A37F27">
            <w:r w:rsidRPr="00F306BD">
              <w:rPr>
                <w:rFonts w:ascii="TimesNewRoman" w:hAnsi="TimesNewRoman" w:cs="TimesNewRoman"/>
              </w:rPr>
              <w:t>Enter information required to be recorded above.</w:t>
            </w:r>
          </w:p>
        </w:tc>
      </w:tr>
      <w:tr w:rsidR="00785A38" w:rsidTr="00164B28">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785A38" w:rsidRPr="006D065E" w:rsidRDefault="00785A38" w:rsidP="00A37F27">
            <w:r w:rsidRPr="00F306BD">
              <w:rPr>
                <w:rFonts w:ascii="TimesNewRoman" w:hAnsi="TimesNewRoman" w:cs="TimesNewRoman"/>
              </w:rPr>
              <w:t>Submit the required reports developing, acquiring, installing, and utilizing technology and systems for the purpose of collecting, validating, and verifying information.</w:t>
            </w:r>
          </w:p>
        </w:tc>
      </w:tr>
      <w:tr w:rsidR="00785A38" w:rsidTr="00164B28">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785A38" w:rsidRPr="006D065E" w:rsidRDefault="00785A38" w:rsidP="00A37F27">
            <w:r w:rsidRPr="00F306BD">
              <w:rPr>
                <w:rFonts w:ascii="TimesNewRoman" w:hAnsi="TimesNewRoman" w:cs="TimesNewRoman"/>
              </w:rPr>
              <w:t>Develop, acquire, install, and utilize technology and systems for the purpose of processing and maintaining information.</w:t>
            </w:r>
          </w:p>
        </w:tc>
      </w:tr>
      <w:tr w:rsidR="00785A38" w:rsidTr="00164B28">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785A38" w:rsidRPr="00F306BD" w:rsidRDefault="00785A38" w:rsidP="00A37F27">
            <w:pPr>
              <w:rPr>
                <w:rFonts w:ascii="TimesNewRoman" w:hAnsi="TimesNewRoman" w:cs="TimesNewRoman"/>
              </w:rPr>
            </w:pPr>
            <w:r w:rsidRPr="00F306BD">
              <w:rPr>
                <w:rFonts w:ascii="TimesNewRoman" w:hAnsi="TimesNewRoman" w:cs="TimesNewRoman"/>
              </w:rPr>
              <w:t>Develop, acquire, install, and utilize technology and systems for the purpose of disclosing and providing information.</w:t>
            </w:r>
          </w:p>
        </w:tc>
      </w:tr>
      <w:tr w:rsidR="00785A38" w:rsidTr="00A37F27">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785A38" w:rsidRPr="00F306BD" w:rsidRDefault="00785A38" w:rsidP="00A37F27">
            <w:pPr>
              <w:rPr>
                <w:rFonts w:ascii="TimesNewRoman" w:hAnsi="TimesNewRoman" w:cs="TimesNewRoman"/>
              </w:rPr>
            </w:pPr>
            <w:r w:rsidRPr="00F306BD">
              <w:rPr>
                <w:rFonts w:ascii="TimesNewRoman" w:hAnsi="TimesNewRoman" w:cs="TimesNewRoman"/>
              </w:rPr>
              <w:t>Adjust the existing ways to comply with any previously applicable instructions and requirements.</w:t>
            </w:r>
          </w:p>
        </w:tc>
      </w:tr>
      <w:tr w:rsidR="00785A38" w:rsidTr="00A37F27">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785A38" w:rsidRPr="00F306BD" w:rsidRDefault="00785A38" w:rsidP="00A37F27">
            <w:pPr>
              <w:rPr>
                <w:rFonts w:ascii="TimesNewRoman" w:hAnsi="TimesNewRoman" w:cs="TimesNewRoman"/>
              </w:rPr>
            </w:pPr>
            <w:r w:rsidRPr="00F306BD">
              <w:rPr>
                <w:rFonts w:ascii="TimesNewRoman" w:hAnsi="TimesNewRoman" w:cs="TimesNewRoman"/>
              </w:rPr>
              <w:t>Train personnel to be able to respond to a collection of information.</w:t>
            </w:r>
          </w:p>
        </w:tc>
      </w:tr>
      <w:tr w:rsidR="00785A38" w:rsidTr="00A37F27">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785A38" w:rsidRPr="00F306BD" w:rsidRDefault="00785A38" w:rsidP="00A37F27">
            <w:pPr>
              <w:rPr>
                <w:rFonts w:ascii="TimesNewRoman" w:hAnsi="TimesNewRoman" w:cs="TimesNewRoman"/>
              </w:rPr>
            </w:pPr>
            <w:r w:rsidRPr="00F306BD">
              <w:rPr>
                <w:rFonts w:ascii="TimesNewRoman" w:hAnsi="TimesNewRoman" w:cs="TimesNewRoman"/>
              </w:rPr>
              <w:t>Transmit, or otherwise disclose the information.</w:t>
            </w:r>
          </w:p>
        </w:tc>
      </w:tr>
    </w:tbl>
    <w:p w:rsidR="00E014AA" w:rsidRDefault="00E014AA"/>
    <w:p w:rsidR="00E014AA" w:rsidRDefault="00E014AA">
      <w:r>
        <w:tab/>
        <w:t xml:space="preserve">Currently, sources are using monitoring equipment that provides parameter data in an automated way (e.g., continuous parameter monitoring system).  Although personnel at the source </w:t>
      </w:r>
      <w:r>
        <w:lastRenderedPageBreak/>
        <w:t>still need to evaluate the data, this type of monitoring equipment has significantly reduced the burden associated with monitoring and recordkeeping.</w:t>
      </w:r>
    </w:p>
    <w:p w:rsidR="00E014AA" w:rsidRDefault="00E014AA"/>
    <w:p w:rsidR="00E014AA" w:rsidRDefault="00E014AA">
      <w:pPr>
        <w:rPr>
          <w:b/>
          <w:bCs/>
        </w:rPr>
      </w:pPr>
      <w:r>
        <w:rPr>
          <w:b/>
          <w:bCs/>
        </w:rPr>
        <w:t>5.  The Information Collected: Agency Activities, Collection Methodology, and Information Management</w:t>
      </w:r>
    </w:p>
    <w:p w:rsidR="00F53B21" w:rsidRDefault="00F53B21">
      <w:pPr>
        <w:rPr>
          <w:b/>
          <w:bCs/>
        </w:rPr>
      </w:pPr>
    </w:p>
    <w:p w:rsidR="00E014AA" w:rsidRDefault="00E014AA">
      <w:pPr>
        <w:ind w:firstLine="720"/>
      </w:pPr>
      <w:r>
        <w:rPr>
          <w:b/>
          <w:bCs/>
        </w:rPr>
        <w:t>5(a)  Agency Activities</w:t>
      </w:r>
    </w:p>
    <w:p w:rsidR="00E014AA" w:rsidRDefault="00E014AA"/>
    <w:p w:rsidR="00E014AA" w:rsidRDefault="00E014AA">
      <w:pPr>
        <w:ind w:firstLine="720"/>
      </w:pPr>
      <w:r>
        <w:t>EPA conducts the following activities in connection with the acquisition, analysis, storage, and distribution of the required information.</w:t>
      </w:r>
    </w:p>
    <w:p w:rsidR="00E014AA" w:rsidRDefault="00E014AA"/>
    <w:tbl>
      <w:tblPr>
        <w:tblW w:w="0" w:type="auto"/>
        <w:jc w:val="center"/>
        <w:tblLayout w:type="fixed"/>
        <w:tblCellMar>
          <w:left w:w="120" w:type="dxa"/>
          <w:right w:w="120" w:type="dxa"/>
        </w:tblCellMar>
        <w:tblLook w:val="0000"/>
      </w:tblPr>
      <w:tblGrid>
        <w:gridCol w:w="9360"/>
      </w:tblGrid>
      <w:tr w:rsidR="00E014AA" w:rsidTr="00164B28">
        <w:trPr>
          <w:cantSplit/>
          <w:tblHeader/>
          <w:jc w:val="center"/>
        </w:trPr>
        <w:tc>
          <w:tcPr>
            <w:tcW w:w="9360" w:type="dxa"/>
            <w:tcBorders>
              <w:top w:val="single" w:sz="2" w:space="0" w:color="000000"/>
              <w:left w:val="single" w:sz="2" w:space="0" w:color="000000"/>
              <w:bottom w:val="single" w:sz="2" w:space="0" w:color="000000"/>
              <w:right w:val="single" w:sz="2" w:space="0" w:color="000000"/>
            </w:tcBorders>
            <w:vAlign w:val="center"/>
          </w:tcPr>
          <w:p w:rsidR="00E014AA" w:rsidRDefault="00E014AA">
            <w:pPr>
              <w:spacing w:after="52"/>
              <w:jc w:val="center"/>
              <w:rPr>
                <w:b/>
                <w:bCs/>
              </w:rPr>
            </w:pPr>
            <w:r>
              <w:rPr>
                <w:b/>
                <w:bCs/>
              </w:rPr>
              <w:t>Agency Activities</w:t>
            </w:r>
          </w:p>
        </w:tc>
      </w:tr>
      <w:tr w:rsidR="00A8512D" w:rsidTr="00164B28">
        <w:trPr>
          <w:cantSplit/>
          <w:jc w:val="center"/>
        </w:trPr>
        <w:tc>
          <w:tcPr>
            <w:tcW w:w="9360" w:type="dxa"/>
            <w:tcBorders>
              <w:top w:val="single" w:sz="2" w:space="0" w:color="000000"/>
              <w:left w:val="single" w:sz="2" w:space="0" w:color="000000"/>
              <w:bottom w:val="single" w:sz="2" w:space="0" w:color="000000"/>
              <w:right w:val="single" w:sz="2" w:space="0" w:color="000000"/>
            </w:tcBorders>
            <w:vAlign w:val="center"/>
          </w:tcPr>
          <w:p w:rsidR="00A8512D" w:rsidRDefault="00A8512D">
            <w:pPr>
              <w:spacing w:after="52"/>
            </w:pPr>
            <w:r>
              <w:t>Observe initial performance tests and repeat performance tests if necessary.</w:t>
            </w:r>
          </w:p>
        </w:tc>
      </w:tr>
      <w:tr w:rsidR="00E014AA" w:rsidTr="00164B28">
        <w:trPr>
          <w:cantSplit/>
          <w:jc w:val="center"/>
        </w:trPr>
        <w:tc>
          <w:tcPr>
            <w:tcW w:w="9360" w:type="dxa"/>
            <w:tcBorders>
              <w:top w:val="single" w:sz="2" w:space="0" w:color="000000"/>
              <w:left w:val="single" w:sz="2" w:space="0" w:color="000000"/>
              <w:bottom w:val="single" w:sz="2" w:space="0" w:color="000000"/>
              <w:right w:val="single" w:sz="2" w:space="0" w:color="000000"/>
            </w:tcBorders>
            <w:vAlign w:val="center"/>
          </w:tcPr>
          <w:p w:rsidR="00E014AA" w:rsidRDefault="00E014AA">
            <w:pPr>
              <w:spacing w:after="52"/>
            </w:pPr>
            <w:r>
              <w:t>Review notifications and reports, including performance test reports, excess emissions reports, required to be submitted by industry.</w:t>
            </w:r>
          </w:p>
        </w:tc>
      </w:tr>
      <w:tr w:rsidR="00E014AA" w:rsidTr="00164B28">
        <w:trPr>
          <w:cantSplit/>
          <w:jc w:val="center"/>
        </w:trPr>
        <w:tc>
          <w:tcPr>
            <w:tcW w:w="9360" w:type="dxa"/>
            <w:tcBorders>
              <w:top w:val="single" w:sz="2" w:space="0" w:color="000000"/>
              <w:left w:val="single" w:sz="2" w:space="0" w:color="000000"/>
              <w:bottom w:val="single" w:sz="2" w:space="0" w:color="000000"/>
              <w:right w:val="single" w:sz="2" w:space="0" w:color="000000"/>
            </w:tcBorders>
            <w:vAlign w:val="center"/>
          </w:tcPr>
          <w:p w:rsidR="00E014AA" w:rsidRDefault="00E014AA">
            <w:pPr>
              <w:spacing w:after="52"/>
            </w:pPr>
            <w:r>
              <w:t>Audit facility records.</w:t>
            </w:r>
          </w:p>
        </w:tc>
      </w:tr>
      <w:tr w:rsidR="00E014AA" w:rsidTr="00164B28">
        <w:trPr>
          <w:cantSplit/>
          <w:jc w:val="center"/>
        </w:trPr>
        <w:tc>
          <w:tcPr>
            <w:tcW w:w="9360" w:type="dxa"/>
            <w:tcBorders>
              <w:top w:val="single" w:sz="2" w:space="0" w:color="000000"/>
              <w:left w:val="single" w:sz="2" w:space="0" w:color="000000"/>
              <w:bottom w:val="single" w:sz="2" w:space="0" w:color="000000"/>
              <w:right w:val="single" w:sz="2" w:space="0" w:color="000000"/>
            </w:tcBorders>
            <w:vAlign w:val="center"/>
          </w:tcPr>
          <w:p w:rsidR="00E014AA" w:rsidRDefault="00E014AA">
            <w:pPr>
              <w:spacing w:after="72"/>
            </w:pPr>
            <w:r>
              <w:t xml:space="preserve">Input, analyze, and maintain data in the </w:t>
            </w:r>
            <w:r w:rsidR="00BE28C9">
              <w:t>Online T</w:t>
            </w:r>
            <w:r w:rsidR="00A8512D">
              <w:t>racking Information system (</w:t>
            </w:r>
            <w:r>
              <w:t>OTIS</w:t>
            </w:r>
            <w:r w:rsidR="00A8512D">
              <w:t>)</w:t>
            </w:r>
            <w:r>
              <w:t>.</w:t>
            </w:r>
          </w:p>
        </w:tc>
      </w:tr>
    </w:tbl>
    <w:p w:rsidR="00E014AA" w:rsidRDefault="00E014AA">
      <w:pPr>
        <w:rPr>
          <w:b/>
          <w:bCs/>
        </w:rPr>
      </w:pPr>
    </w:p>
    <w:p w:rsidR="00E014AA" w:rsidRDefault="00E014AA">
      <w:pPr>
        <w:ind w:firstLine="720"/>
      </w:pPr>
      <w:r>
        <w:rPr>
          <w:b/>
          <w:bCs/>
        </w:rPr>
        <w:t>5(b)  Collection Methodology and Management</w:t>
      </w:r>
    </w:p>
    <w:p w:rsidR="00E014AA" w:rsidRDefault="00E014AA"/>
    <w:p w:rsidR="00E014AA" w:rsidRDefault="00E014AA">
      <w:pPr>
        <w:ind w:right="-180" w:firstLine="720"/>
      </w:pPr>
      <w:r>
        <w:t>Following notification of startup, the reviewing authority could inspect the source to determine whether the pollution control devices are</w:t>
      </w:r>
      <w:r w:rsidR="0055479C">
        <w:t xml:space="preserve"> properly installed and operational</w:t>
      </w:r>
      <w:r>
        <w:t xml:space="preserve">.  Performance test reports are used by the Agency to discern a source’s initial capability to comply with the emission standard, and </w:t>
      </w:r>
      <w:r w:rsidR="00F53B21">
        <w:t xml:space="preserve">to </w:t>
      </w:r>
      <w:r>
        <w:t>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E014AA" w:rsidRDefault="00E014AA">
      <w:pPr>
        <w:ind w:right="-180" w:firstLine="720"/>
      </w:pPr>
    </w:p>
    <w:p w:rsidR="00E014AA" w:rsidRDefault="00E014AA">
      <w:pPr>
        <w:ind w:firstLine="720"/>
      </w:pPr>
      <w:r>
        <w:t>Information contained in the reports is entered into OTIS which is operated and maintained by the EPA Office of Compliance.  OTIS is the EPA database for the collection, maintenance, and retrieval of compliance data for approximately 125,000 industrial and government-owned facilities.  EPA uses OTIS for tracking air pollution compliance and enforcement by local and state regulatory agencies, EPA regional offices, and EPA headquarters.  EPA delegated Authorities can edit, store, retrieve</w:t>
      </w:r>
      <w:r w:rsidR="00F53B21">
        <w:t>,</w:t>
      </w:r>
      <w:r>
        <w:t xml:space="preserve"> and analyze the data.</w:t>
      </w:r>
    </w:p>
    <w:p w:rsidR="00E014AA" w:rsidRDefault="00E014AA"/>
    <w:p w:rsidR="00E014AA" w:rsidRDefault="00E014AA">
      <w:pPr>
        <w:ind w:firstLine="720"/>
      </w:pPr>
      <w:r>
        <w:t>The records required by this regulation must be retained by the owner or operator for two years.</w:t>
      </w:r>
    </w:p>
    <w:p w:rsidR="00E014AA" w:rsidRDefault="00E014AA">
      <w:pPr>
        <w:ind w:firstLine="720"/>
      </w:pPr>
    </w:p>
    <w:p w:rsidR="00E014AA" w:rsidRDefault="00E014AA">
      <w:pPr>
        <w:ind w:firstLine="720"/>
      </w:pPr>
      <w:r>
        <w:rPr>
          <w:b/>
          <w:bCs/>
        </w:rPr>
        <w:t>5(c)  Small Entity Flexibility</w:t>
      </w:r>
    </w:p>
    <w:p w:rsidR="00E014AA" w:rsidRDefault="00E014AA"/>
    <w:p w:rsidR="00E014AA" w:rsidRDefault="00E014AA" w:rsidP="006C696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w:t>
      </w:r>
      <w:r>
        <w:rPr>
          <w:color w:val="000000"/>
        </w:rPr>
        <w:lastRenderedPageBreak/>
        <w:t>requirements needed to ensure compliance and, therefore, cannot reduce them further for small entities.  To the extent that larger businesses can use economies of scale to reduce their burden, the overall burden will be reduced.</w:t>
      </w:r>
    </w:p>
    <w:p w:rsidR="006A4F7C" w:rsidRPr="006C696E" w:rsidRDefault="006A4F7C" w:rsidP="006C696E">
      <w:pPr>
        <w:pBdr>
          <w:top w:val="single" w:sz="6" w:space="0" w:color="FFFFFF"/>
          <w:left w:val="single" w:sz="6" w:space="0" w:color="FFFFFF"/>
          <w:bottom w:val="single" w:sz="6" w:space="0" w:color="FFFFFF"/>
          <w:right w:val="single" w:sz="6" w:space="0" w:color="FFFFFF"/>
        </w:pBdr>
        <w:ind w:firstLine="720"/>
        <w:rPr>
          <w:color w:val="000000"/>
        </w:rPr>
      </w:pPr>
    </w:p>
    <w:p w:rsidR="00E014AA" w:rsidRDefault="00E014AA">
      <w:pPr>
        <w:ind w:firstLine="720"/>
      </w:pPr>
      <w:r>
        <w:rPr>
          <w:b/>
          <w:bCs/>
        </w:rPr>
        <w:t>5(d)  Collection Schedule</w:t>
      </w:r>
    </w:p>
    <w:p w:rsidR="00E014AA" w:rsidRDefault="00E014AA"/>
    <w:p w:rsidR="001F42DA" w:rsidRDefault="00E014AA" w:rsidP="001F42DA">
      <w:pPr>
        <w:ind w:firstLine="720"/>
      </w:pPr>
      <w:r>
        <w:t xml:space="preserve">The specific frequency for each information collection activity within this request is shown in Table 1: Annual Industry Burden for NSPS for </w:t>
      </w:r>
      <w:r w:rsidR="001F42DA">
        <w:t xml:space="preserve">NSPS for </w:t>
      </w:r>
      <w:r w:rsidR="00240A1B">
        <w:t>Petroleum Refineries</w:t>
      </w:r>
      <w:r w:rsidR="001F42DA">
        <w:t xml:space="preserve"> (40 CFR Part 60, Subpart </w:t>
      </w:r>
      <w:r w:rsidR="00240A1B">
        <w:t>Ja</w:t>
      </w:r>
      <w:r w:rsidR="001F42DA">
        <w:t>) (Renewal).</w:t>
      </w:r>
    </w:p>
    <w:p w:rsidR="00E014AA" w:rsidRDefault="00E014AA" w:rsidP="001F42DA">
      <w:pPr>
        <w:ind w:firstLine="720"/>
        <w:rPr>
          <w:b/>
          <w:bCs/>
        </w:rPr>
      </w:pPr>
    </w:p>
    <w:p w:rsidR="00E014AA" w:rsidRDefault="00E014AA">
      <w:pPr>
        <w:rPr>
          <w:b/>
          <w:bCs/>
        </w:rPr>
      </w:pPr>
      <w:r>
        <w:rPr>
          <w:b/>
          <w:bCs/>
        </w:rPr>
        <w:t>6.  Estimating the Burden and Cost of the Collection</w:t>
      </w:r>
    </w:p>
    <w:p w:rsidR="00E014AA" w:rsidRDefault="00E014AA"/>
    <w:p w:rsidR="00E014AA" w:rsidRDefault="00E014AA">
      <w:pP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information collection are mandatory.</w:t>
      </w:r>
    </w:p>
    <w:p w:rsidR="00E014AA" w:rsidRDefault="00E014AA">
      <w:pPr>
        <w:ind w:firstLine="720"/>
      </w:pPr>
    </w:p>
    <w:p w:rsidR="00E014AA" w:rsidRDefault="00E014AA">
      <w:pPr>
        <w:ind w:firstLine="720"/>
      </w:pPr>
      <w:r>
        <w:t>The Agency may not conduct or sponsor, and a person is not required to respond to, a collection of information unless it displays a currently valid OMB Control Number.</w:t>
      </w:r>
    </w:p>
    <w:p w:rsidR="00E014AA" w:rsidRDefault="00E014AA"/>
    <w:p w:rsidR="00E014AA" w:rsidRDefault="00E014AA">
      <w:pPr>
        <w:ind w:firstLine="720"/>
      </w:pPr>
      <w:r>
        <w:rPr>
          <w:b/>
          <w:bCs/>
        </w:rPr>
        <w:t>6(a)  Estimating Respondent Burden</w:t>
      </w:r>
    </w:p>
    <w:p w:rsidR="00E014AA" w:rsidRDefault="00E014AA"/>
    <w:p w:rsidR="00E014AA" w:rsidRDefault="00E014AA">
      <w:pPr>
        <w:ind w:firstLine="720"/>
      </w:pPr>
      <w:r>
        <w:t xml:space="preserve">The average annual burden to industry over the next three years from these recordkeeping and reporting requirements is estimated to be </w:t>
      </w:r>
      <w:r w:rsidR="009C1CD3">
        <w:t>2,142</w:t>
      </w:r>
      <w:r>
        <w:t xml:space="preserve"> (Total Labor Hours from Table 1).  These hours are based on Agency studies and background documents from the development of the regulation, Agency knowledge and experience with the NSPS program, the previously approved ICR, and any comments received.</w:t>
      </w:r>
    </w:p>
    <w:p w:rsidR="00E014AA" w:rsidRDefault="00E014AA">
      <w:pPr>
        <w:rPr>
          <w:b/>
          <w:bCs/>
        </w:rPr>
      </w:pPr>
    </w:p>
    <w:p w:rsidR="00E014AA" w:rsidRDefault="00E014AA">
      <w:pPr>
        <w:ind w:firstLine="720"/>
        <w:rPr>
          <w:b/>
          <w:bCs/>
        </w:rPr>
      </w:pPr>
      <w:r>
        <w:rPr>
          <w:b/>
          <w:bCs/>
        </w:rPr>
        <w:t>6(b)  Estimating Respondent Costs</w:t>
      </w:r>
    </w:p>
    <w:p w:rsidR="00E014AA" w:rsidRDefault="00E014AA">
      <w:pPr>
        <w:rPr>
          <w:b/>
          <w:bCs/>
        </w:rPr>
      </w:pPr>
    </w:p>
    <w:p w:rsidR="00E014AA" w:rsidRDefault="00E014AA">
      <w:pPr>
        <w:ind w:firstLine="1440"/>
      </w:pPr>
      <w:r>
        <w:rPr>
          <w:b/>
          <w:bCs/>
        </w:rPr>
        <w:t>(i)  Estimating Labor Costs</w:t>
      </w:r>
      <w:r>
        <w:t xml:space="preserve"> </w:t>
      </w:r>
    </w:p>
    <w:p w:rsidR="00E014AA" w:rsidRDefault="00E014AA"/>
    <w:p w:rsidR="00A8512D" w:rsidRDefault="00A8512D" w:rsidP="00A8512D">
      <w:pPr>
        <w:ind w:left="720"/>
        <w:rPr>
          <w:bCs/>
        </w:rPr>
      </w:pPr>
      <w:r w:rsidRPr="00C03C8C">
        <w:rPr>
          <w:bCs/>
        </w:rPr>
        <w:t>This ICR uses the following labor rates:</w:t>
      </w:r>
    </w:p>
    <w:p w:rsidR="00A8512D" w:rsidRPr="00C03C8C" w:rsidRDefault="00A8512D" w:rsidP="00A8512D">
      <w:pPr>
        <w:ind w:left="720"/>
      </w:pPr>
    </w:p>
    <w:p w:rsidR="00A8512D" w:rsidRDefault="00A8512D" w:rsidP="00A8512D">
      <w:pPr>
        <w:pBdr>
          <w:top w:val="single" w:sz="4" w:space="0" w:color="FFFFFF"/>
          <w:left w:val="single" w:sz="4" w:space="0" w:color="FFFFFF"/>
          <w:bottom w:val="single" w:sz="4" w:space="0" w:color="FFFFFF"/>
          <w:right w:val="single" w:sz="4" w:space="0" w:color="FFFFFF"/>
        </w:pBdr>
        <w:tabs>
          <w:tab w:val="left" w:pos="-1440"/>
        </w:tabs>
        <w:ind w:left="2880" w:hanging="1440"/>
        <w:rPr>
          <w:color w:val="000000"/>
        </w:rPr>
      </w:pPr>
      <w:r>
        <w:rPr>
          <w:color w:val="000000"/>
        </w:rPr>
        <w:t>Managerial</w:t>
      </w:r>
      <w:r>
        <w:rPr>
          <w:color w:val="000000"/>
        </w:rPr>
        <w:tab/>
        <w:t xml:space="preserve">$119.36 ($56.84 + 110%)   </w:t>
      </w:r>
    </w:p>
    <w:p w:rsidR="00A8512D" w:rsidRDefault="00A8512D" w:rsidP="00A8512D">
      <w:pPr>
        <w:pBdr>
          <w:top w:val="single" w:sz="4" w:space="0" w:color="FFFFFF"/>
          <w:left w:val="single" w:sz="4" w:space="0" w:color="FFFFFF"/>
          <w:bottom w:val="single" w:sz="4" w:space="0" w:color="FFFFFF"/>
          <w:right w:val="single" w:sz="4" w:space="0" w:color="FFFFFF"/>
        </w:pBdr>
        <w:tabs>
          <w:tab w:val="left" w:pos="-1440"/>
        </w:tabs>
        <w:ind w:left="2880" w:hanging="1440"/>
        <w:rPr>
          <w:color w:val="000000"/>
        </w:rPr>
      </w:pPr>
      <w:r>
        <w:rPr>
          <w:color w:val="000000"/>
        </w:rPr>
        <w:t>Technical</w:t>
      </w:r>
      <w:r>
        <w:rPr>
          <w:color w:val="000000"/>
        </w:rPr>
        <w:tab/>
        <w:t>$99.18 ($47.23 + 110%)</w:t>
      </w:r>
    </w:p>
    <w:p w:rsidR="00A8512D" w:rsidRDefault="00A8512D" w:rsidP="00A8512D">
      <w:pPr>
        <w:pBdr>
          <w:top w:val="single" w:sz="4" w:space="0" w:color="FFFFFF"/>
          <w:left w:val="single" w:sz="4" w:space="0" w:color="FFFFFF"/>
          <w:bottom w:val="single" w:sz="4" w:space="0" w:color="FFFFFF"/>
          <w:right w:val="single" w:sz="4" w:space="0" w:color="FFFFFF"/>
        </w:pBdr>
        <w:tabs>
          <w:tab w:val="left" w:pos="-1440"/>
        </w:tabs>
        <w:ind w:left="2880" w:hanging="1440"/>
        <w:rPr>
          <w:color w:val="000000"/>
        </w:rPr>
      </w:pPr>
      <w:r>
        <w:rPr>
          <w:color w:val="000000"/>
        </w:rPr>
        <w:t>Clerical</w:t>
      </w:r>
      <w:r>
        <w:rPr>
          <w:color w:val="000000"/>
        </w:rPr>
        <w:tab/>
        <w:t>$49.35 ($23.50 + 110%)</w:t>
      </w:r>
    </w:p>
    <w:p w:rsidR="00A8512D" w:rsidRDefault="00A8512D" w:rsidP="00A8512D">
      <w:pPr>
        <w:pBdr>
          <w:top w:val="single" w:sz="4" w:space="0" w:color="FFFFFF"/>
          <w:left w:val="single" w:sz="4" w:space="0" w:color="FFFFFF"/>
          <w:bottom w:val="single" w:sz="4" w:space="0" w:color="FFFFFF"/>
          <w:right w:val="single" w:sz="4" w:space="0" w:color="FFFFFF"/>
        </w:pBdr>
        <w:rPr>
          <w:color w:val="000000"/>
        </w:rPr>
      </w:pPr>
    </w:p>
    <w:p w:rsidR="00A8512D" w:rsidRDefault="00A8512D" w:rsidP="00A8512D">
      <w:pPr>
        <w:pBdr>
          <w:top w:val="single" w:sz="4" w:space="0" w:color="FFFFFF"/>
          <w:left w:val="single" w:sz="4" w:space="0" w:color="FFFFFF"/>
          <w:bottom w:val="single" w:sz="4" w:space="0" w:color="FFFFFF"/>
          <w:right w:val="single" w:sz="4" w:space="0" w:color="FFFFFF"/>
        </w:pBdr>
        <w:rPr>
          <w:color w:val="000000"/>
        </w:rPr>
      </w:pPr>
      <w:r>
        <w:rPr>
          <w:color w:val="000000"/>
        </w:rPr>
        <w:t>These rates are from the United States Department of Labor, Bureau of Labor Statistics, March 2011, "Table 2. Civilian Workers, by Occupational and Industry group."  The rates are from column 1, "Total Compensation."  The rates have been increased by 110 percent to account for the benefit packages available to those employed by private industry.</w:t>
      </w:r>
    </w:p>
    <w:p w:rsidR="00E014AA" w:rsidRDefault="00E014AA" w:rsidP="00A8512D"/>
    <w:p w:rsidR="00E014AA" w:rsidRDefault="00E014AA">
      <w:pPr>
        <w:ind w:firstLine="1440"/>
        <w:rPr>
          <w:b/>
          <w:bCs/>
        </w:rPr>
      </w:pPr>
      <w:r>
        <w:rPr>
          <w:b/>
          <w:bCs/>
        </w:rPr>
        <w:t>(ii)  Estimating Capital/Startup and Operation and Maintenance Costs</w:t>
      </w:r>
    </w:p>
    <w:p w:rsidR="00FE38B3" w:rsidRDefault="00FE38B3" w:rsidP="009C1CD3"/>
    <w:p w:rsidR="009C5199" w:rsidRDefault="009C5199" w:rsidP="009C5199">
      <w:pPr>
        <w:spacing w:line="248" w:lineRule="auto"/>
        <w:ind w:firstLine="720"/>
      </w:pPr>
      <w:r>
        <w:lastRenderedPageBreak/>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rsidR="009C5199" w:rsidRDefault="009C5199" w:rsidP="009C5199">
      <w:pPr>
        <w:spacing w:line="248" w:lineRule="auto"/>
        <w:rPr>
          <w:b/>
          <w:bCs/>
        </w:rPr>
      </w:pPr>
    </w:p>
    <w:p w:rsidR="009C5199" w:rsidRDefault="009C5199" w:rsidP="009C5199">
      <w:pPr>
        <w:spacing w:line="248" w:lineRule="auto"/>
        <w:ind w:firstLine="1440"/>
      </w:pPr>
      <w:r>
        <w:rPr>
          <w:b/>
          <w:bCs/>
        </w:rPr>
        <w:t>(iii)  Capital/Startup vs. Operation and Maintenance (O&amp;M) Costs</w:t>
      </w:r>
    </w:p>
    <w:p w:rsidR="009C5199" w:rsidRDefault="009C5199" w:rsidP="009C5199">
      <w:pPr>
        <w:spacing w:line="248" w:lineRule="auto"/>
      </w:pPr>
    </w:p>
    <w:tbl>
      <w:tblPr>
        <w:tblW w:w="0" w:type="auto"/>
        <w:jc w:val="center"/>
        <w:tblLayout w:type="fixed"/>
        <w:tblCellMar>
          <w:left w:w="111" w:type="dxa"/>
          <w:right w:w="111" w:type="dxa"/>
        </w:tblCellMar>
        <w:tblLook w:val="0000"/>
      </w:tblPr>
      <w:tblGrid>
        <w:gridCol w:w="1260"/>
        <w:gridCol w:w="1440"/>
        <w:gridCol w:w="1350"/>
        <w:gridCol w:w="1530"/>
        <w:gridCol w:w="1350"/>
        <w:gridCol w:w="1260"/>
        <w:gridCol w:w="1170"/>
      </w:tblGrid>
      <w:tr w:rsidR="009C5199" w:rsidTr="00F0386F">
        <w:trPr>
          <w:cantSplit/>
          <w:tblHeader/>
          <w:jc w:val="center"/>
        </w:trPr>
        <w:tc>
          <w:tcPr>
            <w:tcW w:w="9360" w:type="dxa"/>
            <w:gridSpan w:val="7"/>
            <w:tcBorders>
              <w:top w:val="single" w:sz="2" w:space="0" w:color="000000"/>
              <w:left w:val="single" w:sz="2" w:space="0" w:color="000000"/>
              <w:bottom w:val="single" w:sz="2" w:space="0" w:color="000000"/>
              <w:right w:val="single" w:sz="2" w:space="0" w:color="000000"/>
            </w:tcBorders>
          </w:tcPr>
          <w:p w:rsidR="009C5199" w:rsidRDefault="009C5199" w:rsidP="00F0386F">
            <w:pPr>
              <w:spacing w:after="52" w:line="248" w:lineRule="auto"/>
              <w:jc w:val="center"/>
              <w:rPr>
                <w:b/>
                <w:bCs/>
              </w:rPr>
            </w:pPr>
            <w:r>
              <w:rPr>
                <w:b/>
                <w:bCs/>
              </w:rPr>
              <w:t>Capital/Startup vs. Operation and Maintenance (O&amp;M) Costs</w:t>
            </w:r>
          </w:p>
        </w:tc>
      </w:tr>
      <w:tr w:rsidR="009C5199" w:rsidTr="009C5199">
        <w:trPr>
          <w:cantSplit/>
          <w:tblHeader/>
          <w:jc w:val="center"/>
        </w:trPr>
        <w:tc>
          <w:tcPr>
            <w:tcW w:w="1260" w:type="dxa"/>
            <w:tcBorders>
              <w:top w:val="single" w:sz="2" w:space="0" w:color="000000"/>
              <w:left w:val="single" w:sz="2" w:space="0" w:color="000000"/>
              <w:bottom w:val="single" w:sz="2" w:space="0" w:color="000000"/>
              <w:right w:val="single" w:sz="2" w:space="0" w:color="000000"/>
            </w:tcBorders>
          </w:tcPr>
          <w:p w:rsidR="009C5199" w:rsidRDefault="009C5199" w:rsidP="00F0386F">
            <w:pPr>
              <w:spacing w:line="247" w:lineRule="auto"/>
              <w:jc w:val="center"/>
              <w:rPr>
                <w:sz w:val="20"/>
                <w:szCs w:val="20"/>
              </w:rPr>
            </w:pPr>
            <w:r>
              <w:rPr>
                <w:sz w:val="20"/>
                <w:szCs w:val="20"/>
              </w:rPr>
              <w:t>(A)</w:t>
            </w:r>
          </w:p>
          <w:p w:rsidR="009C5199" w:rsidRDefault="009C5199" w:rsidP="00F0386F">
            <w:pPr>
              <w:spacing w:after="52" w:line="247" w:lineRule="auto"/>
              <w:jc w:val="center"/>
              <w:rPr>
                <w:sz w:val="20"/>
                <w:szCs w:val="20"/>
              </w:rPr>
            </w:pPr>
            <w:r>
              <w:rPr>
                <w:sz w:val="20"/>
                <w:szCs w:val="20"/>
              </w:rPr>
              <w:t>Continuous Monitoring Device</w:t>
            </w:r>
          </w:p>
        </w:tc>
        <w:tc>
          <w:tcPr>
            <w:tcW w:w="1440" w:type="dxa"/>
            <w:tcBorders>
              <w:top w:val="single" w:sz="2" w:space="0" w:color="000000"/>
              <w:left w:val="single" w:sz="2" w:space="0" w:color="000000"/>
              <w:bottom w:val="single" w:sz="2" w:space="0" w:color="000000"/>
              <w:right w:val="single" w:sz="2" w:space="0" w:color="000000"/>
            </w:tcBorders>
          </w:tcPr>
          <w:p w:rsidR="009C5199" w:rsidRDefault="009C5199" w:rsidP="00F0386F">
            <w:pPr>
              <w:spacing w:line="247" w:lineRule="auto"/>
              <w:jc w:val="center"/>
              <w:rPr>
                <w:sz w:val="20"/>
                <w:szCs w:val="20"/>
              </w:rPr>
            </w:pPr>
            <w:r>
              <w:rPr>
                <w:sz w:val="20"/>
                <w:szCs w:val="20"/>
              </w:rPr>
              <w:t>(B)</w:t>
            </w:r>
          </w:p>
          <w:p w:rsidR="009C5199" w:rsidRDefault="009C5199" w:rsidP="00F0386F">
            <w:pPr>
              <w:spacing w:after="52" w:line="247" w:lineRule="auto"/>
              <w:jc w:val="center"/>
              <w:rPr>
                <w:sz w:val="20"/>
                <w:szCs w:val="20"/>
              </w:rPr>
            </w:pPr>
            <w:r>
              <w:rPr>
                <w:sz w:val="20"/>
                <w:szCs w:val="20"/>
              </w:rPr>
              <w:t>Capital/Startup Cost for One Respondent</w:t>
            </w:r>
          </w:p>
        </w:tc>
        <w:tc>
          <w:tcPr>
            <w:tcW w:w="1350" w:type="dxa"/>
            <w:tcBorders>
              <w:top w:val="single" w:sz="2" w:space="0" w:color="000000"/>
              <w:left w:val="single" w:sz="2" w:space="0" w:color="000000"/>
              <w:bottom w:val="single" w:sz="2" w:space="0" w:color="000000"/>
              <w:right w:val="single" w:sz="2" w:space="0" w:color="000000"/>
            </w:tcBorders>
          </w:tcPr>
          <w:p w:rsidR="009C5199" w:rsidRDefault="009C5199" w:rsidP="00F0386F">
            <w:pPr>
              <w:spacing w:line="247" w:lineRule="auto"/>
              <w:jc w:val="center"/>
              <w:rPr>
                <w:sz w:val="20"/>
                <w:szCs w:val="20"/>
              </w:rPr>
            </w:pPr>
            <w:r>
              <w:rPr>
                <w:sz w:val="20"/>
                <w:szCs w:val="20"/>
              </w:rPr>
              <w:t>(C)</w:t>
            </w:r>
          </w:p>
          <w:p w:rsidR="009C5199" w:rsidRDefault="009C5199" w:rsidP="00F0386F">
            <w:pPr>
              <w:spacing w:after="52" w:line="247" w:lineRule="auto"/>
              <w:jc w:val="center"/>
              <w:rPr>
                <w:sz w:val="20"/>
                <w:szCs w:val="20"/>
              </w:rPr>
            </w:pPr>
            <w:r>
              <w:rPr>
                <w:sz w:val="20"/>
                <w:szCs w:val="20"/>
              </w:rPr>
              <w:t xml:space="preserve">Number of New Respondents </w:t>
            </w:r>
            <w:r w:rsidRPr="009C5199">
              <w:rPr>
                <w:sz w:val="20"/>
                <w:szCs w:val="20"/>
                <w:vertAlign w:val="superscript"/>
              </w:rPr>
              <w:t>1</w:t>
            </w:r>
          </w:p>
        </w:tc>
        <w:tc>
          <w:tcPr>
            <w:tcW w:w="1530" w:type="dxa"/>
            <w:tcBorders>
              <w:top w:val="single" w:sz="2" w:space="0" w:color="000000"/>
              <w:left w:val="single" w:sz="2" w:space="0" w:color="000000"/>
              <w:bottom w:val="single" w:sz="2" w:space="0" w:color="000000"/>
              <w:right w:val="single" w:sz="2" w:space="0" w:color="000000"/>
            </w:tcBorders>
          </w:tcPr>
          <w:p w:rsidR="009C5199" w:rsidRDefault="009C5199" w:rsidP="00F0386F">
            <w:pPr>
              <w:spacing w:line="247" w:lineRule="auto"/>
              <w:jc w:val="center"/>
              <w:rPr>
                <w:sz w:val="20"/>
                <w:szCs w:val="20"/>
              </w:rPr>
            </w:pPr>
            <w:r>
              <w:rPr>
                <w:sz w:val="20"/>
                <w:szCs w:val="20"/>
              </w:rPr>
              <w:t>(D)</w:t>
            </w:r>
          </w:p>
          <w:p w:rsidR="009C5199" w:rsidRDefault="009C5199" w:rsidP="00F0386F">
            <w:pPr>
              <w:spacing w:line="247" w:lineRule="auto"/>
              <w:jc w:val="center"/>
              <w:rPr>
                <w:sz w:val="20"/>
                <w:szCs w:val="20"/>
              </w:rPr>
            </w:pPr>
            <w:r>
              <w:rPr>
                <w:sz w:val="20"/>
                <w:szCs w:val="20"/>
              </w:rPr>
              <w:t xml:space="preserve">Total Capital/Startup Cost </w:t>
            </w:r>
          </w:p>
          <w:p w:rsidR="009C5199" w:rsidRDefault="009C5199" w:rsidP="00F0386F">
            <w:pPr>
              <w:spacing w:line="247" w:lineRule="auto"/>
              <w:jc w:val="center"/>
              <w:rPr>
                <w:sz w:val="20"/>
                <w:szCs w:val="20"/>
              </w:rPr>
            </w:pPr>
            <w:r>
              <w:rPr>
                <w:sz w:val="20"/>
                <w:szCs w:val="20"/>
              </w:rPr>
              <w:t xml:space="preserve">(B X C) </w:t>
            </w:r>
          </w:p>
        </w:tc>
        <w:tc>
          <w:tcPr>
            <w:tcW w:w="1350" w:type="dxa"/>
            <w:tcBorders>
              <w:top w:val="single" w:sz="2" w:space="0" w:color="000000"/>
              <w:left w:val="single" w:sz="2" w:space="0" w:color="000000"/>
              <w:bottom w:val="single" w:sz="2" w:space="0" w:color="000000"/>
              <w:right w:val="single" w:sz="2" w:space="0" w:color="000000"/>
            </w:tcBorders>
          </w:tcPr>
          <w:p w:rsidR="009C5199" w:rsidRDefault="009C5199" w:rsidP="00F0386F">
            <w:pPr>
              <w:spacing w:line="247" w:lineRule="auto"/>
              <w:jc w:val="center"/>
              <w:rPr>
                <w:sz w:val="20"/>
                <w:szCs w:val="20"/>
              </w:rPr>
            </w:pPr>
            <w:r>
              <w:rPr>
                <w:sz w:val="20"/>
                <w:szCs w:val="20"/>
              </w:rPr>
              <w:t>(E)</w:t>
            </w:r>
          </w:p>
          <w:p w:rsidR="009C5199" w:rsidRDefault="009C5199" w:rsidP="00F0386F">
            <w:pPr>
              <w:spacing w:after="52" w:line="247" w:lineRule="auto"/>
              <w:jc w:val="center"/>
              <w:rPr>
                <w:sz w:val="20"/>
                <w:szCs w:val="20"/>
              </w:rPr>
            </w:pPr>
            <w:r>
              <w:rPr>
                <w:sz w:val="20"/>
                <w:szCs w:val="20"/>
              </w:rPr>
              <w:t>Annual O&amp;M Costs for One Respondent</w:t>
            </w:r>
          </w:p>
        </w:tc>
        <w:tc>
          <w:tcPr>
            <w:tcW w:w="1260" w:type="dxa"/>
            <w:tcBorders>
              <w:top w:val="single" w:sz="2" w:space="0" w:color="000000"/>
              <w:left w:val="single" w:sz="2" w:space="0" w:color="000000"/>
              <w:bottom w:val="single" w:sz="2" w:space="0" w:color="000000"/>
              <w:right w:val="single" w:sz="2" w:space="0" w:color="000000"/>
            </w:tcBorders>
          </w:tcPr>
          <w:p w:rsidR="009C5199" w:rsidRDefault="009C5199" w:rsidP="00F0386F">
            <w:pPr>
              <w:spacing w:line="247" w:lineRule="auto"/>
              <w:jc w:val="center"/>
              <w:rPr>
                <w:sz w:val="20"/>
                <w:szCs w:val="20"/>
              </w:rPr>
            </w:pPr>
            <w:r>
              <w:rPr>
                <w:sz w:val="20"/>
                <w:szCs w:val="20"/>
              </w:rPr>
              <w:t>(F)</w:t>
            </w:r>
          </w:p>
          <w:p w:rsidR="009C5199" w:rsidRDefault="009C5199" w:rsidP="00F0386F">
            <w:pPr>
              <w:spacing w:after="52" w:line="247" w:lineRule="auto"/>
              <w:jc w:val="center"/>
              <w:rPr>
                <w:sz w:val="20"/>
                <w:szCs w:val="20"/>
              </w:rPr>
            </w:pPr>
            <w:r>
              <w:rPr>
                <w:sz w:val="20"/>
                <w:szCs w:val="20"/>
              </w:rPr>
              <w:t xml:space="preserve">Number of Respondents with O&amp;M </w:t>
            </w:r>
            <w:r w:rsidRPr="009C5199">
              <w:rPr>
                <w:sz w:val="20"/>
                <w:szCs w:val="20"/>
                <w:vertAlign w:val="superscript"/>
              </w:rPr>
              <w:t>1</w:t>
            </w:r>
            <w:r>
              <w:rPr>
                <w:sz w:val="20"/>
                <w:szCs w:val="20"/>
              </w:rPr>
              <w:t xml:space="preserve"> </w:t>
            </w:r>
          </w:p>
        </w:tc>
        <w:tc>
          <w:tcPr>
            <w:tcW w:w="1170" w:type="dxa"/>
            <w:tcBorders>
              <w:top w:val="single" w:sz="2" w:space="0" w:color="000000"/>
              <w:left w:val="single" w:sz="2" w:space="0" w:color="000000"/>
              <w:bottom w:val="single" w:sz="2" w:space="0" w:color="000000"/>
              <w:right w:val="single" w:sz="2" w:space="0" w:color="000000"/>
            </w:tcBorders>
          </w:tcPr>
          <w:p w:rsidR="009C5199" w:rsidRDefault="009C5199" w:rsidP="00F0386F">
            <w:pPr>
              <w:spacing w:line="247" w:lineRule="auto"/>
              <w:jc w:val="center"/>
              <w:rPr>
                <w:sz w:val="20"/>
                <w:szCs w:val="20"/>
              </w:rPr>
            </w:pPr>
            <w:r>
              <w:rPr>
                <w:sz w:val="20"/>
                <w:szCs w:val="20"/>
              </w:rPr>
              <w:t>(G)</w:t>
            </w:r>
          </w:p>
          <w:p w:rsidR="009C5199" w:rsidRDefault="009C5199" w:rsidP="00F0386F">
            <w:pPr>
              <w:spacing w:line="247" w:lineRule="auto"/>
              <w:jc w:val="center"/>
              <w:rPr>
                <w:sz w:val="20"/>
                <w:szCs w:val="20"/>
              </w:rPr>
            </w:pPr>
            <w:r>
              <w:rPr>
                <w:sz w:val="20"/>
                <w:szCs w:val="20"/>
              </w:rPr>
              <w:t>Total O&amp;M,</w:t>
            </w:r>
          </w:p>
          <w:p w:rsidR="009C5199" w:rsidRDefault="009C5199" w:rsidP="00F0386F">
            <w:pPr>
              <w:spacing w:after="52" w:line="247" w:lineRule="auto"/>
              <w:jc w:val="center"/>
              <w:rPr>
                <w:sz w:val="20"/>
                <w:szCs w:val="20"/>
              </w:rPr>
            </w:pPr>
            <w:r>
              <w:rPr>
                <w:sz w:val="20"/>
                <w:szCs w:val="20"/>
              </w:rPr>
              <w:t xml:space="preserve">(E X F) </w:t>
            </w:r>
          </w:p>
        </w:tc>
      </w:tr>
      <w:tr w:rsidR="009C5199" w:rsidTr="009C5199">
        <w:trPr>
          <w:cantSplit/>
          <w:tblHeader/>
          <w:jc w:val="center"/>
        </w:trPr>
        <w:tc>
          <w:tcPr>
            <w:tcW w:w="1260" w:type="dxa"/>
            <w:tcBorders>
              <w:top w:val="single" w:sz="2" w:space="0" w:color="000000"/>
              <w:left w:val="single" w:sz="2" w:space="0" w:color="000000"/>
              <w:bottom w:val="single" w:sz="2" w:space="0" w:color="000000"/>
              <w:right w:val="single" w:sz="2" w:space="0" w:color="000000"/>
            </w:tcBorders>
          </w:tcPr>
          <w:p w:rsidR="009C5199" w:rsidRDefault="009C5199" w:rsidP="009C5199">
            <w:pPr>
              <w:spacing w:after="52" w:line="247" w:lineRule="auto"/>
              <w:rPr>
                <w:sz w:val="20"/>
                <w:szCs w:val="20"/>
              </w:rPr>
            </w:pPr>
            <w:r>
              <w:rPr>
                <w:sz w:val="20"/>
                <w:szCs w:val="20"/>
              </w:rPr>
              <w:t>CEMS</w:t>
            </w:r>
          </w:p>
        </w:tc>
        <w:tc>
          <w:tcPr>
            <w:tcW w:w="1440" w:type="dxa"/>
            <w:tcBorders>
              <w:top w:val="single" w:sz="2" w:space="0" w:color="000000"/>
              <w:left w:val="single" w:sz="2" w:space="0" w:color="000000"/>
              <w:bottom w:val="single" w:sz="2" w:space="0" w:color="000000"/>
              <w:right w:val="single" w:sz="2" w:space="0" w:color="000000"/>
            </w:tcBorders>
            <w:vAlign w:val="center"/>
          </w:tcPr>
          <w:p w:rsidR="009C5199" w:rsidRDefault="009C5199" w:rsidP="00F0386F">
            <w:pPr>
              <w:spacing w:after="52" w:line="247" w:lineRule="auto"/>
              <w:jc w:val="center"/>
              <w:rPr>
                <w:sz w:val="20"/>
                <w:szCs w:val="20"/>
              </w:rPr>
            </w:pPr>
            <w:r>
              <w:rPr>
                <w:sz w:val="20"/>
                <w:szCs w:val="20"/>
              </w:rPr>
              <w:t>$19,000</w:t>
            </w:r>
          </w:p>
        </w:tc>
        <w:tc>
          <w:tcPr>
            <w:tcW w:w="1350" w:type="dxa"/>
            <w:tcBorders>
              <w:top w:val="single" w:sz="2" w:space="0" w:color="000000"/>
              <w:left w:val="single" w:sz="2" w:space="0" w:color="000000"/>
              <w:bottom w:val="single" w:sz="2" w:space="0" w:color="000000"/>
              <w:right w:val="single" w:sz="2" w:space="0" w:color="000000"/>
            </w:tcBorders>
            <w:vAlign w:val="center"/>
          </w:tcPr>
          <w:p w:rsidR="009C5199" w:rsidRDefault="009C5199" w:rsidP="00F0386F">
            <w:pPr>
              <w:spacing w:after="52" w:line="247" w:lineRule="auto"/>
              <w:jc w:val="center"/>
              <w:rPr>
                <w:sz w:val="20"/>
                <w:szCs w:val="20"/>
              </w:rPr>
            </w:pPr>
            <w:r>
              <w:rPr>
                <w:sz w:val="20"/>
                <w:szCs w:val="20"/>
              </w:rPr>
              <w:t>0</w:t>
            </w:r>
          </w:p>
        </w:tc>
        <w:tc>
          <w:tcPr>
            <w:tcW w:w="1530" w:type="dxa"/>
            <w:tcBorders>
              <w:top w:val="single" w:sz="2" w:space="0" w:color="000000"/>
              <w:left w:val="single" w:sz="2" w:space="0" w:color="000000"/>
              <w:bottom w:val="single" w:sz="2" w:space="0" w:color="000000"/>
              <w:right w:val="single" w:sz="2" w:space="0" w:color="000000"/>
            </w:tcBorders>
            <w:vAlign w:val="center"/>
          </w:tcPr>
          <w:p w:rsidR="009C5199" w:rsidRDefault="009C5199" w:rsidP="00F0386F">
            <w:pPr>
              <w:spacing w:after="52" w:line="247" w:lineRule="auto"/>
              <w:jc w:val="center"/>
              <w:rPr>
                <w:sz w:val="20"/>
                <w:szCs w:val="20"/>
              </w:rPr>
            </w:pPr>
            <w:r>
              <w:rPr>
                <w:sz w:val="20"/>
                <w:szCs w:val="20"/>
              </w:rPr>
              <w:t>$0</w:t>
            </w:r>
          </w:p>
        </w:tc>
        <w:tc>
          <w:tcPr>
            <w:tcW w:w="1350" w:type="dxa"/>
            <w:tcBorders>
              <w:top w:val="single" w:sz="2" w:space="0" w:color="000000"/>
              <w:left w:val="single" w:sz="2" w:space="0" w:color="000000"/>
              <w:bottom w:val="single" w:sz="2" w:space="0" w:color="000000"/>
              <w:right w:val="single" w:sz="2" w:space="0" w:color="000000"/>
            </w:tcBorders>
            <w:vAlign w:val="center"/>
          </w:tcPr>
          <w:p w:rsidR="009C5199" w:rsidRDefault="009C5199" w:rsidP="009C5199">
            <w:pPr>
              <w:spacing w:after="52" w:line="247" w:lineRule="auto"/>
              <w:jc w:val="center"/>
              <w:rPr>
                <w:sz w:val="20"/>
                <w:szCs w:val="20"/>
              </w:rPr>
            </w:pPr>
            <w:r>
              <w:rPr>
                <w:sz w:val="20"/>
                <w:szCs w:val="20"/>
              </w:rPr>
              <w:t>$15,520</w:t>
            </w:r>
          </w:p>
        </w:tc>
        <w:tc>
          <w:tcPr>
            <w:tcW w:w="1260" w:type="dxa"/>
            <w:tcBorders>
              <w:top w:val="single" w:sz="2" w:space="0" w:color="000000"/>
              <w:left w:val="single" w:sz="2" w:space="0" w:color="000000"/>
              <w:bottom w:val="single" w:sz="2" w:space="0" w:color="000000"/>
              <w:right w:val="single" w:sz="2" w:space="0" w:color="000000"/>
            </w:tcBorders>
            <w:vAlign w:val="center"/>
          </w:tcPr>
          <w:p w:rsidR="009C5199" w:rsidRDefault="009C5199" w:rsidP="00F0386F">
            <w:pPr>
              <w:spacing w:after="52" w:line="247" w:lineRule="auto"/>
              <w:jc w:val="center"/>
              <w:rPr>
                <w:sz w:val="20"/>
                <w:szCs w:val="20"/>
              </w:rPr>
            </w:pPr>
            <w:r>
              <w:rPr>
                <w:sz w:val="20"/>
                <w:szCs w:val="20"/>
              </w:rPr>
              <w:t>18</w:t>
            </w:r>
          </w:p>
        </w:tc>
        <w:tc>
          <w:tcPr>
            <w:tcW w:w="1170" w:type="dxa"/>
            <w:tcBorders>
              <w:top w:val="single" w:sz="2" w:space="0" w:color="000000"/>
              <w:left w:val="single" w:sz="2" w:space="0" w:color="000000"/>
              <w:bottom w:val="single" w:sz="2" w:space="0" w:color="000000"/>
              <w:right w:val="single" w:sz="2" w:space="0" w:color="000000"/>
            </w:tcBorders>
            <w:vAlign w:val="center"/>
          </w:tcPr>
          <w:p w:rsidR="009C5199" w:rsidRDefault="009C5199" w:rsidP="009C5199">
            <w:pPr>
              <w:spacing w:after="52" w:line="247" w:lineRule="auto"/>
              <w:jc w:val="center"/>
              <w:rPr>
                <w:sz w:val="20"/>
                <w:szCs w:val="20"/>
              </w:rPr>
            </w:pPr>
            <w:r>
              <w:rPr>
                <w:sz w:val="20"/>
                <w:szCs w:val="20"/>
              </w:rPr>
              <w:t>$1,676,160</w:t>
            </w:r>
          </w:p>
        </w:tc>
      </w:tr>
      <w:tr w:rsidR="009C5199" w:rsidTr="009C5199">
        <w:trPr>
          <w:cantSplit/>
          <w:tblHeader/>
          <w:jc w:val="center"/>
        </w:trPr>
        <w:tc>
          <w:tcPr>
            <w:tcW w:w="1260" w:type="dxa"/>
            <w:tcBorders>
              <w:top w:val="single" w:sz="2" w:space="0" w:color="000000"/>
              <w:left w:val="single" w:sz="2" w:space="0" w:color="000000"/>
              <w:bottom w:val="single" w:sz="2" w:space="0" w:color="000000"/>
              <w:right w:val="single" w:sz="2" w:space="0" w:color="000000"/>
            </w:tcBorders>
          </w:tcPr>
          <w:p w:rsidR="009C5199" w:rsidRDefault="009C5199" w:rsidP="00F0386F">
            <w:pPr>
              <w:spacing w:after="52" w:line="247" w:lineRule="auto"/>
              <w:rPr>
                <w:sz w:val="20"/>
                <w:szCs w:val="20"/>
              </w:rPr>
            </w:pPr>
            <w:r>
              <w:rPr>
                <w:sz w:val="20"/>
                <w:szCs w:val="20"/>
              </w:rPr>
              <w:t>Total</w:t>
            </w:r>
          </w:p>
        </w:tc>
        <w:tc>
          <w:tcPr>
            <w:tcW w:w="1440" w:type="dxa"/>
            <w:tcBorders>
              <w:top w:val="single" w:sz="2" w:space="0" w:color="000000"/>
              <w:left w:val="single" w:sz="2" w:space="0" w:color="000000"/>
              <w:bottom w:val="single" w:sz="2" w:space="0" w:color="000000"/>
              <w:right w:val="single" w:sz="2" w:space="0" w:color="000000"/>
            </w:tcBorders>
            <w:vAlign w:val="center"/>
          </w:tcPr>
          <w:p w:rsidR="009C5199" w:rsidRDefault="009C5199" w:rsidP="00F0386F">
            <w:pPr>
              <w:spacing w:after="52" w:line="247" w:lineRule="auto"/>
              <w:jc w:val="center"/>
              <w:rPr>
                <w:sz w:val="20"/>
                <w:szCs w:val="2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9C5199" w:rsidRDefault="009C5199" w:rsidP="00F0386F">
            <w:pPr>
              <w:spacing w:after="52" w:line="247" w:lineRule="auto"/>
              <w:jc w:val="center"/>
              <w:rPr>
                <w:sz w:val="20"/>
                <w:szCs w:val="20"/>
              </w:rPr>
            </w:pPr>
          </w:p>
        </w:tc>
        <w:tc>
          <w:tcPr>
            <w:tcW w:w="1530" w:type="dxa"/>
            <w:tcBorders>
              <w:top w:val="single" w:sz="2" w:space="0" w:color="000000"/>
              <w:left w:val="single" w:sz="2" w:space="0" w:color="000000"/>
              <w:bottom w:val="single" w:sz="2" w:space="0" w:color="000000"/>
              <w:right w:val="single" w:sz="2" w:space="0" w:color="000000"/>
            </w:tcBorders>
            <w:vAlign w:val="center"/>
          </w:tcPr>
          <w:p w:rsidR="009C5199" w:rsidRDefault="009C5199" w:rsidP="00F0386F">
            <w:pPr>
              <w:spacing w:after="52" w:line="247" w:lineRule="auto"/>
              <w:jc w:val="center"/>
              <w:rPr>
                <w:sz w:val="20"/>
                <w:szCs w:val="20"/>
              </w:rPr>
            </w:pPr>
            <w:r>
              <w:rPr>
                <w:sz w:val="20"/>
                <w:szCs w:val="20"/>
              </w:rPr>
              <w:t>$0</w:t>
            </w:r>
          </w:p>
        </w:tc>
        <w:tc>
          <w:tcPr>
            <w:tcW w:w="1350" w:type="dxa"/>
            <w:tcBorders>
              <w:top w:val="single" w:sz="2" w:space="0" w:color="000000"/>
              <w:left w:val="single" w:sz="2" w:space="0" w:color="000000"/>
              <w:bottom w:val="single" w:sz="2" w:space="0" w:color="000000"/>
              <w:right w:val="single" w:sz="2" w:space="0" w:color="000000"/>
            </w:tcBorders>
            <w:vAlign w:val="center"/>
          </w:tcPr>
          <w:p w:rsidR="009C5199" w:rsidRDefault="009C5199" w:rsidP="00F0386F">
            <w:pPr>
              <w:spacing w:after="52" w:line="247" w:lineRule="auto"/>
              <w:jc w:val="center"/>
              <w:rPr>
                <w:sz w:val="20"/>
                <w:szCs w:val="20"/>
              </w:rPr>
            </w:pPr>
          </w:p>
        </w:tc>
        <w:tc>
          <w:tcPr>
            <w:tcW w:w="1260" w:type="dxa"/>
            <w:tcBorders>
              <w:top w:val="single" w:sz="2" w:space="0" w:color="000000"/>
              <w:left w:val="single" w:sz="2" w:space="0" w:color="000000"/>
              <w:bottom w:val="single" w:sz="2" w:space="0" w:color="000000"/>
              <w:right w:val="single" w:sz="2" w:space="0" w:color="000000"/>
            </w:tcBorders>
            <w:vAlign w:val="center"/>
          </w:tcPr>
          <w:p w:rsidR="009C5199" w:rsidRDefault="009C5199" w:rsidP="00F0386F">
            <w:pPr>
              <w:spacing w:after="52" w:line="247" w:lineRule="auto"/>
              <w:jc w:val="center"/>
              <w:rPr>
                <w:sz w:val="20"/>
                <w:szCs w:val="20"/>
              </w:rPr>
            </w:pPr>
          </w:p>
        </w:tc>
        <w:tc>
          <w:tcPr>
            <w:tcW w:w="1170" w:type="dxa"/>
            <w:tcBorders>
              <w:top w:val="single" w:sz="2" w:space="0" w:color="000000"/>
              <w:left w:val="single" w:sz="2" w:space="0" w:color="000000"/>
              <w:bottom w:val="single" w:sz="2" w:space="0" w:color="000000"/>
              <w:right w:val="single" w:sz="2" w:space="0" w:color="000000"/>
            </w:tcBorders>
            <w:vAlign w:val="center"/>
          </w:tcPr>
          <w:p w:rsidR="009C5199" w:rsidRDefault="009C5199" w:rsidP="009C5199">
            <w:pPr>
              <w:spacing w:after="52" w:line="247" w:lineRule="auto"/>
              <w:jc w:val="center"/>
              <w:rPr>
                <w:sz w:val="20"/>
                <w:szCs w:val="20"/>
              </w:rPr>
            </w:pPr>
            <w:r>
              <w:rPr>
                <w:sz w:val="20"/>
                <w:szCs w:val="20"/>
              </w:rPr>
              <w:t>$1,676,160</w:t>
            </w:r>
          </w:p>
        </w:tc>
      </w:tr>
    </w:tbl>
    <w:p w:rsidR="009C5199" w:rsidRDefault="009C5199" w:rsidP="00240B94">
      <w:pPr>
        <w:numPr>
          <w:ilvl w:val="0"/>
          <w:numId w:val="5"/>
        </w:numPr>
        <w:rPr>
          <w:sz w:val="18"/>
          <w:szCs w:val="18"/>
        </w:rPr>
      </w:pPr>
      <w:r w:rsidRPr="00240B94">
        <w:rPr>
          <w:sz w:val="18"/>
          <w:szCs w:val="18"/>
        </w:rPr>
        <w:t>This is based on 6 CEMS per respondent</w:t>
      </w:r>
    </w:p>
    <w:p w:rsidR="00240B94" w:rsidRPr="00240B94" w:rsidRDefault="00240B94" w:rsidP="00240B94">
      <w:pPr>
        <w:ind w:left="510"/>
        <w:rPr>
          <w:sz w:val="18"/>
          <w:szCs w:val="18"/>
        </w:rPr>
      </w:pPr>
    </w:p>
    <w:p w:rsidR="009C5199" w:rsidRDefault="009C5199" w:rsidP="009C5199">
      <w:pPr>
        <w:ind w:firstLine="720"/>
      </w:pPr>
      <w:r>
        <w:t>The total capital/startup costs for this ICR are $0.  This is the total of column D in the above table.</w:t>
      </w:r>
    </w:p>
    <w:p w:rsidR="009C5199" w:rsidRDefault="009C5199" w:rsidP="009C5199"/>
    <w:p w:rsidR="009C5199" w:rsidRDefault="009C5199" w:rsidP="009C519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$1</w:t>
      </w:r>
      <w:r w:rsidR="00240B94">
        <w:rPr>
          <w:color w:val="000000"/>
        </w:rPr>
        <w:t>,676,160</w:t>
      </w:r>
      <w:r>
        <w:rPr>
          <w:color w:val="000000"/>
        </w:rPr>
        <w:t>.  This is the total of column G.</w:t>
      </w:r>
    </w:p>
    <w:p w:rsidR="009C5199" w:rsidRDefault="009C5199" w:rsidP="009C5199">
      <w:pPr>
        <w:rPr>
          <w:color w:val="000000"/>
        </w:rPr>
      </w:pPr>
    </w:p>
    <w:p w:rsidR="009C5199" w:rsidRDefault="009C5199" w:rsidP="009C5199">
      <w:pPr>
        <w:ind w:firstLine="720"/>
        <w:rPr>
          <w:color w:val="000000"/>
        </w:rPr>
      </w:pPr>
      <w:r>
        <w:rPr>
          <w:color w:val="000000"/>
        </w:rPr>
        <w:t>The average annual cost for capital/startup and operation and maintenance costs to industry over the next three years of the ICR is estimated to be $</w:t>
      </w:r>
      <w:r w:rsidR="00E80D0A">
        <w:rPr>
          <w:color w:val="000000"/>
        </w:rPr>
        <w:t>1,676,160</w:t>
      </w:r>
    </w:p>
    <w:p w:rsidR="00E014AA" w:rsidRDefault="00E014AA"/>
    <w:p w:rsidR="00E014AA" w:rsidRDefault="00E014AA">
      <w:pPr>
        <w:ind w:firstLine="720"/>
      </w:pPr>
      <w:r>
        <w:rPr>
          <w:b/>
          <w:bCs/>
        </w:rPr>
        <w:t>6(c)  Estimating Agency Burden and Cost</w:t>
      </w:r>
    </w:p>
    <w:p w:rsidR="00E014AA" w:rsidRDefault="00E014AA"/>
    <w:p w:rsidR="00E014AA" w:rsidRDefault="00E014AA">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w:t>
      </w:r>
    </w:p>
    <w:p w:rsidR="00E014AA" w:rsidRDefault="00E014AA">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E014AA" w:rsidRDefault="00E014AA">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 xml:space="preserve">The average annual Agency cost during the three years of the ICR is estimated to be </w:t>
      </w:r>
      <w:r w:rsidR="006959FE">
        <w:rPr>
          <w:color w:val="000000"/>
        </w:rPr>
        <w:t>$7,8</w:t>
      </w:r>
      <w:r w:rsidR="0088278C">
        <w:rPr>
          <w:color w:val="000000"/>
        </w:rPr>
        <w:t>3</w:t>
      </w:r>
      <w:r w:rsidR="006959FE">
        <w:rPr>
          <w:color w:val="000000"/>
        </w:rPr>
        <w:t>6</w:t>
      </w:r>
      <w:r>
        <w:rPr>
          <w:color w:val="000000"/>
        </w:rPr>
        <w:t>.</w:t>
      </w:r>
    </w:p>
    <w:p w:rsidR="00E014AA" w:rsidRDefault="00E014AA">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8D328E" w:rsidRDefault="008D328E" w:rsidP="008D328E">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This cost is based on the average hourly labor rate as follows:</w:t>
      </w:r>
    </w:p>
    <w:p w:rsidR="008D328E" w:rsidRDefault="008D328E" w:rsidP="008D328E"/>
    <w:p w:rsidR="008D328E" w:rsidRDefault="008D328E" w:rsidP="008D328E">
      <w:r>
        <w:tab/>
      </w:r>
      <w:r>
        <w:tab/>
        <w:t>Managerial</w:t>
      </w:r>
      <w:r>
        <w:tab/>
        <w:t xml:space="preserve">$62.27 (GS-13, Step 5, $38.92 + 60%) </w:t>
      </w:r>
    </w:p>
    <w:p w:rsidR="008D328E" w:rsidRDefault="008D328E" w:rsidP="008D328E">
      <w:r>
        <w:tab/>
      </w:r>
      <w:r>
        <w:tab/>
        <w:t>Technical</w:t>
      </w:r>
      <w:r>
        <w:tab/>
        <w:t>$46.21 (GS-12, Step 1, $28.88 + 60%)</w:t>
      </w:r>
    </w:p>
    <w:p w:rsidR="008D328E" w:rsidRDefault="008D328E" w:rsidP="008D328E">
      <w:r>
        <w:tab/>
      </w:r>
      <w:r>
        <w:tab/>
        <w:t>Clerical</w:t>
      </w:r>
      <w:r>
        <w:tab/>
        <w:t>$25.01 (GS-6, Step 3, $15.63 + 60%)</w:t>
      </w:r>
    </w:p>
    <w:p w:rsidR="008D328E" w:rsidRDefault="008D328E" w:rsidP="008D328E">
      <w:pPr>
        <w:pBdr>
          <w:top w:val="single" w:sz="6" w:space="0" w:color="FFFFFF"/>
          <w:left w:val="single" w:sz="6" w:space="0" w:color="FFFFFF"/>
          <w:bottom w:val="single" w:sz="6" w:space="0" w:color="FFFFFF"/>
          <w:right w:val="single" w:sz="6" w:space="0" w:color="FFFFFF"/>
        </w:pBdr>
        <w:tabs>
          <w:tab w:val="left" w:pos="-1080"/>
        </w:tabs>
        <w:rPr>
          <w:color w:val="000000"/>
        </w:rPr>
      </w:pPr>
    </w:p>
    <w:p w:rsidR="00E014AA" w:rsidRDefault="008D328E" w:rsidP="008D328E">
      <w:pPr>
        <w:pBdr>
          <w:top w:val="single" w:sz="6" w:space="0" w:color="FFFFFF"/>
          <w:left w:val="single" w:sz="6" w:space="8" w:color="FFFFFF"/>
          <w:bottom w:val="single" w:sz="6" w:space="0" w:color="FFFFFF"/>
          <w:right w:val="single" w:sz="6" w:space="0" w:color="FFFFFF"/>
        </w:pBdr>
      </w:pPr>
      <w:r>
        <w:t>These rates are from the Office of Personnel Management (OPM) “2011 General Schedule” which excludes locality rates of pay.  The rates have been increased by 60 percent to account for the benefit packages available to government employees</w:t>
      </w:r>
      <w:r w:rsidRPr="00843851">
        <w:t>.</w:t>
      </w:r>
      <w:r w:rsidR="00E014AA">
        <w:t xml:space="preserve">  Details upon which this estimate is based appear in Table 2: Average Annual EPA Burden, NSPS for </w:t>
      </w:r>
      <w:r w:rsidR="00240A1B">
        <w:t>Petroleum Refineries</w:t>
      </w:r>
      <w:r w:rsidR="00E014AA">
        <w:t xml:space="preserve"> (40 CFR Part 60, </w:t>
      </w:r>
      <w:r w:rsidR="00E014AA">
        <w:lastRenderedPageBreak/>
        <w:t xml:space="preserve">Subpart </w:t>
      </w:r>
      <w:r w:rsidR="00240A1B">
        <w:t>Ja</w:t>
      </w:r>
      <w:r w:rsidR="00E014AA">
        <w:t>)</w:t>
      </w:r>
      <w:r w:rsidR="009407A4">
        <w:t xml:space="preserve"> (Renewal)</w:t>
      </w:r>
      <w:r>
        <w:t>.</w:t>
      </w:r>
    </w:p>
    <w:p w:rsidR="00E014AA" w:rsidRDefault="00E014AA">
      <w:pPr>
        <w:pBdr>
          <w:top w:val="single" w:sz="6" w:space="0" w:color="FFFFFF"/>
          <w:left w:val="single" w:sz="6" w:space="8" w:color="FFFFFF"/>
          <w:bottom w:val="single" w:sz="6" w:space="0" w:color="FFFFFF"/>
          <w:right w:val="single" w:sz="6" w:space="0" w:color="FFFFFF"/>
        </w:pBdr>
      </w:pPr>
    </w:p>
    <w:p w:rsidR="00E014AA" w:rsidRDefault="00E014AA">
      <w:pPr>
        <w:ind w:firstLine="720"/>
      </w:pPr>
      <w:r>
        <w:rPr>
          <w:b/>
          <w:bCs/>
        </w:rPr>
        <w:t>6(d)  Estimating the Respondent Universe and Total Burden and Costs</w:t>
      </w:r>
    </w:p>
    <w:p w:rsidR="00E014AA" w:rsidRDefault="00E014AA"/>
    <w:p w:rsidR="00E014AA" w:rsidRDefault="00E014AA">
      <w:r>
        <w:tab/>
        <w:t xml:space="preserve">Based on our research for this ICR, on average over the next three years, approximately </w:t>
      </w:r>
      <w:r w:rsidR="00240A1B">
        <w:t>18</w:t>
      </w:r>
      <w:r>
        <w:t xml:space="preserve"> existing respondents will be subject to the standard.  It is estimated that no additional respondent per year will become subject</w:t>
      </w:r>
      <w:r w:rsidR="00CE61DD">
        <w:t xml:space="preserve"> to the standard</w:t>
      </w:r>
      <w:r>
        <w:t xml:space="preserve">.  The overall average number of respondents, </w:t>
      </w:r>
      <w:r w:rsidR="00240A1B">
        <w:t xml:space="preserve">as shown in the table below, is 18 </w:t>
      </w:r>
      <w:r>
        <w:t xml:space="preserve">per year. </w:t>
      </w:r>
    </w:p>
    <w:p w:rsidR="00E014AA" w:rsidRDefault="00E014AA"/>
    <w:p w:rsidR="00E014AA" w:rsidRDefault="00E014AA">
      <w:r>
        <w:tab/>
        <w:t>The number of respondents is calculated using the following table that addresses the three years covered by this ICR.</w:t>
      </w:r>
    </w:p>
    <w:p w:rsidR="00E014AA" w:rsidRDefault="00E014AA"/>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E014AA" w:rsidTr="00D0072C">
        <w:trPr>
          <w:cantSplit/>
          <w:tblHeader/>
          <w:jc w:val="center"/>
        </w:trPr>
        <w:tc>
          <w:tcPr>
            <w:tcW w:w="9157" w:type="dxa"/>
            <w:gridSpan w:val="6"/>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b/>
                <w:bCs/>
              </w:rPr>
            </w:pPr>
            <w:r>
              <w:rPr>
                <w:b/>
                <w:bCs/>
              </w:rPr>
              <w:t>Number of Respondents</w:t>
            </w:r>
          </w:p>
        </w:tc>
      </w:tr>
      <w:tr w:rsidR="00E014AA" w:rsidTr="00D0072C">
        <w:trPr>
          <w:cantSplit/>
          <w:tblHeader/>
          <w:jc w:val="center"/>
        </w:trPr>
        <w:tc>
          <w:tcPr>
            <w:tcW w:w="1069"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Year</w:t>
            </w:r>
          </w:p>
        </w:tc>
        <w:tc>
          <w:tcPr>
            <w:tcW w:w="1440" w:type="dxa"/>
            <w:tcBorders>
              <w:top w:val="single" w:sz="2" w:space="0" w:color="auto"/>
              <w:left w:val="single" w:sz="2" w:space="0" w:color="auto"/>
              <w:bottom w:val="single" w:sz="2" w:space="0" w:color="auto"/>
              <w:right w:val="single" w:sz="2" w:space="0" w:color="auto"/>
            </w:tcBorders>
          </w:tcPr>
          <w:p w:rsidR="00E014AA" w:rsidRDefault="00E014AA">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w:t>
            </w:r>
          </w:p>
          <w:p w:rsidR="00E014AA" w:rsidRDefault="00E014A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Number of New Respondents </w:t>
            </w:r>
            <w:r>
              <w:rPr>
                <w:sz w:val="20"/>
                <w:szCs w:val="20"/>
                <w:vertAlign w:val="superscript"/>
              </w:rPr>
              <w:t>1</w:t>
            </w:r>
          </w:p>
        </w:tc>
        <w:tc>
          <w:tcPr>
            <w:tcW w:w="1260" w:type="dxa"/>
            <w:tcBorders>
              <w:top w:val="single" w:sz="2" w:space="0" w:color="auto"/>
              <w:left w:val="single" w:sz="2" w:space="0" w:color="auto"/>
              <w:bottom w:val="single" w:sz="2" w:space="0" w:color="auto"/>
              <w:right w:val="single" w:sz="2" w:space="0" w:color="auto"/>
            </w:tcBorders>
          </w:tcPr>
          <w:p w:rsidR="00E014AA" w:rsidRDefault="00E014AA">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(B)</w:t>
            </w:r>
          </w:p>
          <w:p w:rsidR="00E014AA" w:rsidRDefault="00E014A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w:t>
            </w:r>
          </w:p>
        </w:tc>
        <w:tc>
          <w:tcPr>
            <w:tcW w:w="1980" w:type="dxa"/>
            <w:tcBorders>
              <w:top w:val="single" w:sz="2" w:space="0" w:color="auto"/>
              <w:left w:val="single" w:sz="2" w:space="0" w:color="auto"/>
              <w:bottom w:val="single" w:sz="2" w:space="0" w:color="auto"/>
              <w:right w:val="single" w:sz="2" w:space="0" w:color="auto"/>
            </w:tcBorders>
          </w:tcPr>
          <w:p w:rsidR="00E014AA" w:rsidRDefault="00E014AA">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w:t>
            </w:r>
          </w:p>
          <w:p w:rsidR="00E014AA" w:rsidRDefault="00E014A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Keep Records But Do Not Submit Reports</w:t>
            </w:r>
          </w:p>
        </w:tc>
        <w:tc>
          <w:tcPr>
            <w:tcW w:w="1890" w:type="dxa"/>
            <w:tcBorders>
              <w:top w:val="single" w:sz="2" w:space="0" w:color="auto"/>
              <w:left w:val="single" w:sz="2" w:space="0" w:color="auto"/>
              <w:bottom w:val="single" w:sz="2" w:space="0" w:color="auto"/>
              <w:right w:val="single" w:sz="2" w:space="0" w:color="auto"/>
            </w:tcBorders>
          </w:tcPr>
          <w:p w:rsidR="00E014AA" w:rsidRDefault="00E014AA">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(D)</w:t>
            </w:r>
          </w:p>
          <w:p w:rsidR="00E014AA" w:rsidRDefault="00E014A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Are Also New Respondents</w:t>
            </w:r>
          </w:p>
        </w:tc>
        <w:tc>
          <w:tcPr>
            <w:tcW w:w="1518" w:type="dxa"/>
            <w:tcBorders>
              <w:top w:val="single" w:sz="2" w:space="0" w:color="auto"/>
              <w:left w:val="single" w:sz="2" w:space="0" w:color="auto"/>
              <w:bottom w:val="single" w:sz="2" w:space="0" w:color="auto"/>
              <w:right w:val="single" w:sz="2" w:space="0" w:color="auto"/>
            </w:tcBorders>
          </w:tcPr>
          <w:p w:rsidR="00E014AA" w:rsidRDefault="00E014AA">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(E)</w:t>
            </w:r>
          </w:p>
          <w:p w:rsidR="00E014AA" w:rsidRDefault="00E014AA">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Number of Respondents</w:t>
            </w:r>
          </w:p>
          <w:p w:rsidR="00E014AA" w:rsidRDefault="00E014A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(E=A+B+C-D)</w:t>
            </w:r>
          </w:p>
        </w:tc>
      </w:tr>
      <w:tr w:rsidR="00E014AA" w:rsidTr="00D0072C">
        <w:trPr>
          <w:cantSplit/>
          <w:tblHeader/>
          <w:jc w:val="center"/>
        </w:trPr>
        <w:tc>
          <w:tcPr>
            <w:tcW w:w="1069"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40"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60" w:type="dxa"/>
            <w:tcBorders>
              <w:top w:val="single" w:sz="2" w:space="0" w:color="auto"/>
              <w:left w:val="single" w:sz="2" w:space="0" w:color="auto"/>
              <w:bottom w:val="single" w:sz="2" w:space="0" w:color="auto"/>
              <w:right w:val="single" w:sz="2" w:space="0" w:color="auto"/>
            </w:tcBorders>
            <w:vAlign w:val="center"/>
          </w:tcPr>
          <w:p w:rsidR="00E014AA" w:rsidRDefault="00240A1B">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18</w:t>
            </w:r>
          </w:p>
        </w:tc>
        <w:tc>
          <w:tcPr>
            <w:tcW w:w="1980"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890"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2" w:space="0" w:color="auto"/>
              <w:left w:val="single" w:sz="2" w:space="0" w:color="auto"/>
              <w:bottom w:val="single" w:sz="2" w:space="0" w:color="auto"/>
              <w:right w:val="single" w:sz="2" w:space="0" w:color="auto"/>
            </w:tcBorders>
            <w:vAlign w:val="center"/>
          </w:tcPr>
          <w:p w:rsidR="00E014AA" w:rsidRDefault="00240A1B">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18</w:t>
            </w:r>
          </w:p>
        </w:tc>
      </w:tr>
      <w:tr w:rsidR="00E014AA" w:rsidTr="00D0072C">
        <w:trPr>
          <w:cantSplit/>
          <w:tblHeader/>
          <w:jc w:val="center"/>
        </w:trPr>
        <w:tc>
          <w:tcPr>
            <w:tcW w:w="1069"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1440"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60" w:type="dxa"/>
            <w:tcBorders>
              <w:top w:val="single" w:sz="2" w:space="0" w:color="auto"/>
              <w:left w:val="single" w:sz="2" w:space="0" w:color="auto"/>
              <w:bottom w:val="single" w:sz="2" w:space="0" w:color="auto"/>
              <w:right w:val="single" w:sz="2" w:space="0" w:color="auto"/>
            </w:tcBorders>
            <w:vAlign w:val="center"/>
          </w:tcPr>
          <w:p w:rsidR="00E014AA" w:rsidRDefault="00240A1B">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18</w:t>
            </w:r>
          </w:p>
        </w:tc>
        <w:tc>
          <w:tcPr>
            <w:tcW w:w="1980"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890"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2" w:space="0" w:color="auto"/>
              <w:left w:val="single" w:sz="2" w:space="0" w:color="auto"/>
              <w:bottom w:val="single" w:sz="2" w:space="0" w:color="auto"/>
              <w:right w:val="single" w:sz="2" w:space="0" w:color="auto"/>
            </w:tcBorders>
            <w:vAlign w:val="center"/>
          </w:tcPr>
          <w:p w:rsidR="00E014AA" w:rsidRDefault="00240A1B">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18</w:t>
            </w:r>
          </w:p>
        </w:tc>
      </w:tr>
      <w:tr w:rsidR="00E014AA" w:rsidTr="00D0072C">
        <w:trPr>
          <w:cantSplit/>
          <w:tblHeader/>
          <w:jc w:val="center"/>
        </w:trPr>
        <w:tc>
          <w:tcPr>
            <w:tcW w:w="1069"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w:t>
            </w:r>
          </w:p>
        </w:tc>
        <w:tc>
          <w:tcPr>
            <w:tcW w:w="1440"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60" w:type="dxa"/>
            <w:tcBorders>
              <w:top w:val="single" w:sz="2" w:space="0" w:color="auto"/>
              <w:left w:val="single" w:sz="2" w:space="0" w:color="auto"/>
              <w:bottom w:val="single" w:sz="2" w:space="0" w:color="auto"/>
              <w:right w:val="single" w:sz="2" w:space="0" w:color="auto"/>
            </w:tcBorders>
            <w:vAlign w:val="center"/>
          </w:tcPr>
          <w:p w:rsidR="00E014AA" w:rsidRDefault="00240A1B">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18</w:t>
            </w:r>
          </w:p>
        </w:tc>
        <w:tc>
          <w:tcPr>
            <w:tcW w:w="1980"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890"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2" w:space="0" w:color="auto"/>
              <w:left w:val="single" w:sz="2" w:space="0" w:color="auto"/>
              <w:bottom w:val="single" w:sz="2" w:space="0" w:color="auto"/>
              <w:right w:val="single" w:sz="2" w:space="0" w:color="auto"/>
            </w:tcBorders>
            <w:vAlign w:val="center"/>
          </w:tcPr>
          <w:p w:rsidR="00E014AA" w:rsidRDefault="00240A1B">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18</w:t>
            </w:r>
          </w:p>
        </w:tc>
      </w:tr>
      <w:tr w:rsidR="00E014AA" w:rsidTr="00D0072C">
        <w:trPr>
          <w:cantSplit/>
          <w:tblHeader/>
          <w:jc w:val="center"/>
        </w:trPr>
        <w:tc>
          <w:tcPr>
            <w:tcW w:w="1069"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Average</w:t>
            </w:r>
          </w:p>
        </w:tc>
        <w:tc>
          <w:tcPr>
            <w:tcW w:w="1440"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60" w:type="dxa"/>
            <w:tcBorders>
              <w:top w:val="single" w:sz="2" w:space="0" w:color="auto"/>
              <w:left w:val="single" w:sz="2" w:space="0" w:color="auto"/>
              <w:bottom w:val="single" w:sz="2" w:space="0" w:color="auto"/>
              <w:right w:val="single" w:sz="2" w:space="0" w:color="auto"/>
            </w:tcBorders>
            <w:vAlign w:val="center"/>
          </w:tcPr>
          <w:p w:rsidR="00E014AA" w:rsidRDefault="00240A1B">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18</w:t>
            </w:r>
          </w:p>
        </w:tc>
        <w:tc>
          <w:tcPr>
            <w:tcW w:w="1980"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890" w:type="dxa"/>
            <w:tcBorders>
              <w:top w:val="single" w:sz="2" w:space="0" w:color="auto"/>
              <w:left w:val="single" w:sz="2" w:space="0" w:color="auto"/>
              <w:bottom w:val="single" w:sz="2" w:space="0" w:color="auto"/>
              <w:right w:val="single" w:sz="2" w:space="0" w:color="auto"/>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2" w:space="0" w:color="auto"/>
              <w:left w:val="single" w:sz="2" w:space="0" w:color="auto"/>
              <w:bottom w:val="single" w:sz="2" w:space="0" w:color="auto"/>
              <w:right w:val="single" w:sz="2" w:space="0" w:color="auto"/>
            </w:tcBorders>
            <w:vAlign w:val="center"/>
          </w:tcPr>
          <w:p w:rsidR="00E014AA" w:rsidRDefault="00240A1B">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18</w:t>
            </w:r>
          </w:p>
        </w:tc>
      </w:tr>
    </w:tbl>
    <w:p w:rsidR="00E014AA" w:rsidRDefault="00E014AA">
      <w:pPr>
        <w:pBdr>
          <w:top w:val="single" w:sz="6" w:space="0" w:color="FFFFFF"/>
          <w:left w:val="single" w:sz="6" w:space="0" w:color="FFFFFF"/>
          <w:bottom w:val="single" w:sz="6" w:space="0" w:color="FFFFFF"/>
          <w:right w:val="single" w:sz="6" w:space="0" w:color="FFFFFF"/>
        </w:pBdr>
        <w:ind w:firstLine="720"/>
        <w:rPr>
          <w:sz w:val="18"/>
          <w:szCs w:val="20"/>
        </w:rPr>
      </w:pPr>
      <w:r>
        <w:rPr>
          <w:color w:val="000000"/>
          <w:sz w:val="18"/>
          <w:vertAlign w:val="superscript"/>
        </w:rPr>
        <w:t>1</w:t>
      </w:r>
      <w:r w:rsidR="008D328E">
        <w:rPr>
          <w:color w:val="000000"/>
          <w:sz w:val="18"/>
        </w:rPr>
        <w:t xml:space="preserve"> New respondent</w:t>
      </w:r>
      <w:r w:rsidR="00CE61DD">
        <w:rPr>
          <w:color w:val="000000"/>
          <w:sz w:val="18"/>
        </w:rPr>
        <w:t>s</w:t>
      </w:r>
      <w:r>
        <w:rPr>
          <w:color w:val="000000"/>
          <w:sz w:val="18"/>
        </w:rPr>
        <w:t xml:space="preserve"> include sources with constructed, reconstructed</w:t>
      </w:r>
      <w:r w:rsidR="00CE61DD">
        <w:rPr>
          <w:color w:val="000000"/>
          <w:sz w:val="18"/>
        </w:rPr>
        <w:t>,</w:t>
      </w:r>
      <w:r>
        <w:rPr>
          <w:color w:val="000000"/>
          <w:sz w:val="18"/>
        </w:rPr>
        <w:t xml:space="preserve"> and modified affected facilities.</w:t>
      </w:r>
    </w:p>
    <w:p w:rsidR="00E014AA" w:rsidRDefault="00E014AA">
      <w:pPr>
        <w:pBdr>
          <w:top w:val="single" w:sz="6" w:space="0" w:color="FFFFFF"/>
          <w:left w:val="single" w:sz="6" w:space="0" w:color="FFFFFF"/>
          <w:bottom w:val="single" w:sz="6" w:space="0" w:color="FFFFFF"/>
          <w:right w:val="single" w:sz="6" w:space="0" w:color="FFFFFF"/>
        </w:pBdr>
        <w:ind w:firstLine="720"/>
        <w:rPr>
          <w:sz w:val="18"/>
          <w:szCs w:val="20"/>
        </w:rPr>
      </w:pPr>
    </w:p>
    <w:p w:rsidR="00E014AA" w:rsidRDefault="00E014AA">
      <w:pPr>
        <w:ind w:firstLine="720"/>
      </w:pPr>
      <w:r>
        <w:t>To avoid double-counting respondents</w:t>
      </w:r>
      <w:r w:rsidR="00CE61DD">
        <w:t>,</w:t>
      </w:r>
      <w:r>
        <w:t xml:space="preserve"> column D is subtracted.  As shown above, the average Number of Respondents over the three-year period of this ICR is </w:t>
      </w:r>
      <w:r w:rsidR="003241DB">
        <w:t>18</w:t>
      </w:r>
      <w:r>
        <w:t>.</w:t>
      </w:r>
    </w:p>
    <w:p w:rsidR="00E014AA" w:rsidRDefault="00E014AA">
      <w:pPr>
        <w:ind w:firstLine="720"/>
      </w:pPr>
    </w:p>
    <w:p w:rsidR="00E014AA" w:rsidRDefault="00E014AA">
      <w:pPr>
        <w:ind w:firstLine="720"/>
      </w:pPr>
      <w:r>
        <w:t>The total number of annual responses per year is calculated using the following table:</w:t>
      </w:r>
    </w:p>
    <w:p w:rsidR="00E014AA" w:rsidRDefault="00E014AA"/>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960"/>
        <w:gridCol w:w="1260"/>
        <w:gridCol w:w="1170"/>
        <w:gridCol w:w="1710"/>
        <w:gridCol w:w="1260"/>
      </w:tblGrid>
      <w:tr w:rsidR="00E014AA" w:rsidTr="00D0072C">
        <w:trPr>
          <w:cantSplit/>
          <w:tblHeader/>
          <w:jc w:val="center"/>
        </w:trPr>
        <w:tc>
          <w:tcPr>
            <w:tcW w:w="9360" w:type="dxa"/>
            <w:gridSpan w:val="5"/>
            <w:tcBorders>
              <w:top w:val="single" w:sz="2" w:space="0" w:color="000000"/>
              <w:left w:val="single" w:sz="2" w:space="0" w:color="000000"/>
              <w:bottom w:val="single" w:sz="2" w:space="0" w:color="000000"/>
              <w:right w:val="single" w:sz="2" w:space="0" w:color="000000"/>
            </w:tcBorders>
          </w:tcPr>
          <w:p w:rsidR="00E014AA" w:rsidRDefault="00E014AA">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E014AA" w:rsidTr="00D0072C">
        <w:trPr>
          <w:cantSplit/>
          <w:tblHeader/>
          <w:jc w:val="center"/>
        </w:trPr>
        <w:tc>
          <w:tcPr>
            <w:tcW w:w="3960" w:type="dxa"/>
            <w:tcBorders>
              <w:top w:val="single" w:sz="2" w:space="0" w:color="000000"/>
              <w:left w:val="single" w:sz="2" w:space="0" w:color="000000"/>
              <w:bottom w:val="single" w:sz="2" w:space="0" w:color="000000"/>
              <w:right w:val="single" w:sz="2" w:space="0" w:color="000000"/>
            </w:tcBorders>
          </w:tcPr>
          <w:p w:rsidR="00E014AA" w:rsidRDefault="00E014A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E014AA" w:rsidRDefault="00E014A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Information Collection Activity</w:t>
            </w: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Responses</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E014AA" w:rsidRDefault="00E014A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Responses</w:t>
            </w:r>
          </w:p>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E=(BxC)+D</w:t>
            </w:r>
          </w:p>
        </w:tc>
      </w:tr>
      <w:tr w:rsidR="00E014AA" w:rsidTr="00D0072C">
        <w:trPr>
          <w:cantSplit/>
          <w:jc w:val="center"/>
        </w:trPr>
        <w:tc>
          <w:tcPr>
            <w:tcW w:w="3960" w:type="dxa"/>
            <w:tcBorders>
              <w:top w:val="single" w:sz="2" w:space="0" w:color="000000"/>
              <w:left w:val="single" w:sz="2" w:space="0" w:color="000000"/>
              <w:bottom w:val="single" w:sz="2" w:space="0" w:color="000000"/>
              <w:right w:val="single" w:sz="2" w:space="0" w:color="000000"/>
            </w:tcBorders>
            <w:vAlign w:val="center"/>
          </w:tcPr>
          <w:p w:rsidR="00E014AA" w:rsidRDefault="00F16362" w:rsidP="007B404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Initial </w:t>
            </w:r>
            <w:r w:rsidR="007B404E">
              <w:rPr>
                <w:color w:val="000000"/>
                <w:sz w:val="20"/>
                <w:szCs w:val="20"/>
              </w:rPr>
              <w:t>of construction/reconstruction</w:t>
            </w:r>
          </w:p>
        </w:tc>
        <w:tc>
          <w:tcPr>
            <w:tcW w:w="1260" w:type="dxa"/>
            <w:tcBorders>
              <w:top w:val="single" w:sz="2" w:space="0" w:color="000000"/>
              <w:left w:val="single" w:sz="2" w:space="0" w:color="000000"/>
              <w:bottom w:val="single" w:sz="2" w:space="0" w:color="000000"/>
              <w:right w:val="single" w:sz="2" w:space="0" w:color="000000"/>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tcBorders>
              <w:top w:val="single" w:sz="2" w:space="0" w:color="000000"/>
              <w:left w:val="single" w:sz="2" w:space="0" w:color="000000"/>
              <w:bottom w:val="single" w:sz="2" w:space="0" w:color="000000"/>
              <w:right w:val="single" w:sz="2" w:space="0" w:color="000000"/>
            </w:tcBorders>
            <w:vAlign w:val="center"/>
          </w:tcPr>
          <w:p w:rsidR="00E014AA" w:rsidRDefault="00CB53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tcBorders>
              <w:top w:val="single" w:sz="2" w:space="0" w:color="000000"/>
              <w:left w:val="single" w:sz="2" w:space="0" w:color="000000"/>
              <w:bottom w:val="single" w:sz="2" w:space="0" w:color="000000"/>
              <w:right w:val="single" w:sz="2" w:space="0" w:color="000000"/>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2" w:space="0" w:color="000000"/>
              <w:left w:val="single" w:sz="2" w:space="0" w:color="000000"/>
              <w:bottom w:val="single" w:sz="2" w:space="0" w:color="000000"/>
              <w:right w:val="single" w:sz="2" w:space="0" w:color="000000"/>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014AA" w:rsidTr="00D0072C">
        <w:trPr>
          <w:cantSplit/>
          <w:jc w:val="center"/>
        </w:trPr>
        <w:tc>
          <w:tcPr>
            <w:tcW w:w="3960" w:type="dxa"/>
            <w:tcBorders>
              <w:top w:val="single" w:sz="2" w:space="0" w:color="000000"/>
              <w:left w:val="single" w:sz="2" w:space="0" w:color="000000"/>
              <w:bottom w:val="single" w:sz="2" w:space="0" w:color="000000"/>
              <w:right w:val="single" w:sz="2" w:space="0" w:color="000000"/>
            </w:tcBorders>
            <w:vAlign w:val="center"/>
          </w:tcPr>
          <w:p w:rsidR="00E014AA" w:rsidRDefault="007B404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anticipated startup</w:t>
            </w:r>
          </w:p>
        </w:tc>
        <w:tc>
          <w:tcPr>
            <w:tcW w:w="1260" w:type="dxa"/>
            <w:tcBorders>
              <w:top w:val="single" w:sz="2" w:space="0" w:color="000000"/>
              <w:left w:val="single" w:sz="2" w:space="0" w:color="000000"/>
              <w:bottom w:val="single" w:sz="2" w:space="0" w:color="000000"/>
              <w:right w:val="single" w:sz="2" w:space="0" w:color="000000"/>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tcBorders>
              <w:top w:val="single" w:sz="2" w:space="0" w:color="000000"/>
              <w:left w:val="single" w:sz="2" w:space="0" w:color="000000"/>
              <w:bottom w:val="single" w:sz="2" w:space="0" w:color="000000"/>
              <w:right w:val="single" w:sz="2" w:space="0" w:color="000000"/>
            </w:tcBorders>
            <w:vAlign w:val="center"/>
          </w:tcPr>
          <w:p w:rsidR="00E014AA" w:rsidRDefault="00CB53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tcBorders>
              <w:top w:val="single" w:sz="2" w:space="0" w:color="000000"/>
              <w:left w:val="single" w:sz="2" w:space="0" w:color="000000"/>
              <w:bottom w:val="single" w:sz="2" w:space="0" w:color="000000"/>
              <w:right w:val="single" w:sz="2" w:space="0" w:color="000000"/>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2" w:space="0" w:color="000000"/>
              <w:left w:val="single" w:sz="2" w:space="0" w:color="000000"/>
              <w:bottom w:val="single" w:sz="2" w:space="0" w:color="000000"/>
              <w:right w:val="single" w:sz="2" w:space="0" w:color="000000"/>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014AA" w:rsidTr="00D0072C">
        <w:trPr>
          <w:cantSplit/>
          <w:jc w:val="center"/>
        </w:trPr>
        <w:tc>
          <w:tcPr>
            <w:tcW w:w="3960" w:type="dxa"/>
            <w:tcBorders>
              <w:top w:val="single" w:sz="2" w:space="0" w:color="000000"/>
              <w:left w:val="single" w:sz="2" w:space="0" w:color="000000"/>
              <w:bottom w:val="single" w:sz="2" w:space="0" w:color="000000"/>
              <w:right w:val="single" w:sz="2" w:space="0" w:color="000000"/>
            </w:tcBorders>
            <w:vAlign w:val="center"/>
          </w:tcPr>
          <w:p w:rsidR="00E014AA" w:rsidRDefault="007B404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w:t>
            </w:r>
          </w:p>
        </w:tc>
        <w:tc>
          <w:tcPr>
            <w:tcW w:w="1260" w:type="dxa"/>
            <w:tcBorders>
              <w:top w:val="single" w:sz="2" w:space="0" w:color="000000"/>
              <w:left w:val="single" w:sz="2" w:space="0" w:color="000000"/>
              <w:bottom w:val="single" w:sz="2" w:space="0" w:color="000000"/>
              <w:right w:val="single" w:sz="2" w:space="0" w:color="000000"/>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tcBorders>
              <w:top w:val="single" w:sz="2" w:space="0" w:color="000000"/>
              <w:left w:val="single" w:sz="2" w:space="0" w:color="000000"/>
              <w:bottom w:val="single" w:sz="2" w:space="0" w:color="000000"/>
              <w:right w:val="single" w:sz="2" w:space="0" w:color="000000"/>
            </w:tcBorders>
            <w:vAlign w:val="center"/>
          </w:tcPr>
          <w:p w:rsidR="00E014AA" w:rsidRDefault="00CB53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tcBorders>
              <w:top w:val="single" w:sz="2" w:space="0" w:color="000000"/>
              <w:left w:val="single" w:sz="2" w:space="0" w:color="000000"/>
              <w:bottom w:val="single" w:sz="2" w:space="0" w:color="000000"/>
              <w:right w:val="single" w:sz="2" w:space="0" w:color="000000"/>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2" w:space="0" w:color="000000"/>
              <w:left w:val="single" w:sz="2" w:space="0" w:color="000000"/>
              <w:bottom w:val="single" w:sz="2" w:space="0" w:color="000000"/>
              <w:right w:val="single" w:sz="2" w:space="0" w:color="000000"/>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7B404E" w:rsidTr="00D0072C">
        <w:trPr>
          <w:cantSplit/>
          <w:jc w:val="center"/>
        </w:trPr>
        <w:tc>
          <w:tcPr>
            <w:tcW w:w="3960" w:type="dxa"/>
            <w:tcBorders>
              <w:top w:val="single" w:sz="2" w:space="0" w:color="000000"/>
              <w:left w:val="single" w:sz="2" w:space="0" w:color="000000"/>
              <w:bottom w:val="single" w:sz="2" w:space="0" w:color="000000"/>
              <w:right w:val="single" w:sz="2" w:space="0" w:color="000000"/>
            </w:tcBorders>
            <w:vAlign w:val="center"/>
          </w:tcPr>
          <w:p w:rsidR="007B404E" w:rsidRDefault="007B404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performance test</w:t>
            </w:r>
          </w:p>
        </w:tc>
        <w:tc>
          <w:tcPr>
            <w:tcW w:w="1260" w:type="dxa"/>
            <w:tcBorders>
              <w:top w:val="single" w:sz="2" w:space="0" w:color="000000"/>
              <w:left w:val="single" w:sz="2" w:space="0" w:color="000000"/>
              <w:bottom w:val="single" w:sz="2" w:space="0" w:color="000000"/>
              <w:right w:val="single" w:sz="2" w:space="0" w:color="000000"/>
            </w:tcBorders>
            <w:vAlign w:val="center"/>
          </w:tcPr>
          <w:p w:rsidR="007B404E" w:rsidRDefault="007B404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tcBorders>
              <w:top w:val="single" w:sz="2" w:space="0" w:color="000000"/>
              <w:left w:val="single" w:sz="2" w:space="0" w:color="000000"/>
              <w:bottom w:val="single" w:sz="2" w:space="0" w:color="000000"/>
              <w:right w:val="single" w:sz="2" w:space="0" w:color="000000"/>
            </w:tcBorders>
            <w:vAlign w:val="center"/>
          </w:tcPr>
          <w:p w:rsidR="007B404E" w:rsidRDefault="007B404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tcBorders>
              <w:top w:val="single" w:sz="2" w:space="0" w:color="000000"/>
              <w:left w:val="single" w:sz="2" w:space="0" w:color="000000"/>
              <w:bottom w:val="single" w:sz="2" w:space="0" w:color="000000"/>
              <w:right w:val="single" w:sz="2" w:space="0" w:color="000000"/>
            </w:tcBorders>
            <w:vAlign w:val="center"/>
          </w:tcPr>
          <w:p w:rsidR="007B404E" w:rsidRDefault="007B404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2" w:space="0" w:color="000000"/>
              <w:left w:val="single" w:sz="2" w:space="0" w:color="000000"/>
              <w:bottom w:val="single" w:sz="2" w:space="0" w:color="000000"/>
              <w:right w:val="single" w:sz="2" w:space="0" w:color="000000"/>
            </w:tcBorders>
            <w:vAlign w:val="center"/>
          </w:tcPr>
          <w:p w:rsidR="007B404E" w:rsidRDefault="007B404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014AA" w:rsidTr="00D0072C">
        <w:trPr>
          <w:cantSplit/>
          <w:jc w:val="center"/>
        </w:trPr>
        <w:tc>
          <w:tcPr>
            <w:tcW w:w="3960" w:type="dxa"/>
            <w:tcBorders>
              <w:top w:val="single" w:sz="2" w:space="0" w:color="000000"/>
              <w:left w:val="single" w:sz="2" w:space="0" w:color="000000"/>
              <w:bottom w:val="single" w:sz="2" w:space="0" w:color="000000"/>
              <w:right w:val="single" w:sz="2" w:space="0" w:color="000000"/>
            </w:tcBorders>
            <w:vAlign w:val="center"/>
          </w:tcPr>
          <w:p w:rsidR="00E014AA" w:rsidRDefault="007B404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reports of excess emission</w:t>
            </w:r>
          </w:p>
        </w:tc>
        <w:tc>
          <w:tcPr>
            <w:tcW w:w="1260" w:type="dxa"/>
            <w:tcBorders>
              <w:top w:val="single" w:sz="2" w:space="0" w:color="000000"/>
              <w:left w:val="single" w:sz="2" w:space="0" w:color="000000"/>
              <w:bottom w:val="single" w:sz="2" w:space="0" w:color="000000"/>
              <w:right w:val="single" w:sz="2" w:space="0" w:color="000000"/>
            </w:tcBorders>
            <w:vAlign w:val="center"/>
          </w:tcPr>
          <w:p w:rsidR="00E014AA" w:rsidRDefault="007B404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18</w:t>
            </w:r>
          </w:p>
        </w:tc>
        <w:tc>
          <w:tcPr>
            <w:tcW w:w="1170" w:type="dxa"/>
            <w:tcBorders>
              <w:top w:val="single" w:sz="2" w:space="0" w:color="000000"/>
              <w:left w:val="single" w:sz="2" w:space="0" w:color="000000"/>
              <w:bottom w:val="single" w:sz="2" w:space="0" w:color="000000"/>
              <w:right w:val="single" w:sz="2" w:space="0" w:color="000000"/>
            </w:tcBorders>
            <w:vAlign w:val="center"/>
          </w:tcPr>
          <w:p w:rsidR="00E014AA" w:rsidRDefault="007B404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710" w:type="dxa"/>
            <w:tcBorders>
              <w:top w:val="single" w:sz="2" w:space="0" w:color="000000"/>
              <w:left w:val="single" w:sz="2" w:space="0" w:color="000000"/>
              <w:bottom w:val="single" w:sz="2" w:space="0" w:color="000000"/>
              <w:right w:val="single" w:sz="2" w:space="0" w:color="000000"/>
            </w:tcBorders>
            <w:vAlign w:val="center"/>
          </w:tcPr>
          <w:p w:rsidR="00E014AA" w:rsidRDefault="007B404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36</w:t>
            </w:r>
          </w:p>
        </w:tc>
        <w:tc>
          <w:tcPr>
            <w:tcW w:w="1260" w:type="dxa"/>
            <w:tcBorders>
              <w:top w:val="single" w:sz="2" w:space="0" w:color="000000"/>
              <w:left w:val="single" w:sz="2" w:space="0" w:color="000000"/>
              <w:bottom w:val="single" w:sz="2" w:space="0" w:color="000000"/>
              <w:right w:val="single" w:sz="2" w:space="0" w:color="000000"/>
            </w:tcBorders>
            <w:vAlign w:val="center"/>
          </w:tcPr>
          <w:p w:rsidR="00E014AA" w:rsidRDefault="007B404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36</w:t>
            </w:r>
          </w:p>
        </w:tc>
      </w:tr>
      <w:tr w:rsidR="00E014AA" w:rsidTr="00D0072C">
        <w:trPr>
          <w:cantSplit/>
          <w:jc w:val="center"/>
        </w:trPr>
        <w:tc>
          <w:tcPr>
            <w:tcW w:w="3960" w:type="dxa"/>
            <w:tcBorders>
              <w:top w:val="single" w:sz="2" w:space="0" w:color="000000"/>
              <w:left w:val="single" w:sz="2" w:space="0" w:color="000000"/>
              <w:bottom w:val="single" w:sz="2" w:space="0" w:color="000000"/>
              <w:right w:val="single" w:sz="2" w:space="0" w:color="000000"/>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tcBorders>
              <w:top w:val="single" w:sz="2" w:space="0" w:color="000000"/>
              <w:left w:val="single" w:sz="2" w:space="0" w:color="000000"/>
              <w:bottom w:val="single" w:sz="2" w:space="0" w:color="000000"/>
              <w:right w:val="single" w:sz="2" w:space="0" w:color="000000"/>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170" w:type="dxa"/>
            <w:tcBorders>
              <w:top w:val="single" w:sz="2" w:space="0" w:color="000000"/>
              <w:left w:val="single" w:sz="2" w:space="0" w:color="000000"/>
              <w:bottom w:val="single" w:sz="2" w:space="0" w:color="000000"/>
              <w:right w:val="single" w:sz="2" w:space="0" w:color="000000"/>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710" w:type="dxa"/>
            <w:tcBorders>
              <w:top w:val="single" w:sz="2" w:space="0" w:color="000000"/>
              <w:left w:val="single" w:sz="2" w:space="0" w:color="000000"/>
              <w:bottom w:val="single" w:sz="2" w:space="0" w:color="000000"/>
              <w:right w:val="single" w:sz="2" w:space="0" w:color="000000"/>
            </w:tcBorders>
            <w:vAlign w:val="center"/>
          </w:tcPr>
          <w:p w:rsidR="00E014AA" w:rsidRDefault="00E014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260" w:type="dxa"/>
            <w:tcBorders>
              <w:top w:val="single" w:sz="2" w:space="0" w:color="000000"/>
              <w:left w:val="single" w:sz="2" w:space="0" w:color="000000"/>
              <w:bottom w:val="single" w:sz="2" w:space="0" w:color="000000"/>
              <w:right w:val="single" w:sz="2" w:space="0" w:color="000000"/>
            </w:tcBorders>
            <w:vAlign w:val="center"/>
          </w:tcPr>
          <w:p w:rsidR="00E014AA" w:rsidRDefault="007B404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36</w:t>
            </w:r>
          </w:p>
        </w:tc>
      </w:tr>
    </w:tbl>
    <w:p w:rsidR="00F5103C" w:rsidRDefault="00F5103C" w:rsidP="00013BD4">
      <w:pPr>
        <w:ind w:firstLine="720"/>
      </w:pPr>
    </w:p>
    <w:p w:rsidR="00E014AA" w:rsidRDefault="00E014AA" w:rsidP="00013BD4">
      <w:pPr>
        <w:ind w:firstLine="720"/>
      </w:pPr>
      <w:r>
        <w:t xml:space="preserve">The number of Total Annual Responses is </w:t>
      </w:r>
      <w:r w:rsidR="007B404E">
        <w:t>36</w:t>
      </w:r>
      <w:r>
        <w:t>.</w:t>
      </w:r>
    </w:p>
    <w:p w:rsidR="00E014AA" w:rsidRDefault="00E014AA">
      <w:pPr>
        <w:ind w:firstLine="720"/>
      </w:pPr>
    </w:p>
    <w:p w:rsidR="001549C6" w:rsidRDefault="00E014AA" w:rsidP="00D0564F">
      <w:pPr>
        <w:pBdr>
          <w:top w:val="single" w:sz="6" w:space="0" w:color="FFFFFF"/>
          <w:left w:val="single" w:sz="6" w:space="8" w:color="FFFFFF"/>
          <w:bottom w:val="single" w:sz="6" w:space="0" w:color="FFFFFF"/>
          <w:right w:val="single" w:sz="6" w:space="0" w:color="FFFFFF"/>
        </w:pBdr>
        <w:ind w:firstLine="720"/>
      </w:pPr>
      <w:r>
        <w:lastRenderedPageBreak/>
        <w:t>The total annual labor costs are $</w:t>
      </w:r>
      <w:r w:rsidR="00BB6536">
        <w:t>197,720.</w:t>
      </w:r>
      <w:r>
        <w:t xml:space="preserve">  Details regarding these estimates may be found in Table 1: Annual </w:t>
      </w:r>
      <w:r w:rsidR="008D328E">
        <w:t>Industry</w:t>
      </w:r>
      <w:r>
        <w:t xml:space="preserve"> Burden and Cost – NSPS </w:t>
      </w:r>
      <w:r w:rsidR="001549C6">
        <w:t xml:space="preserve">for </w:t>
      </w:r>
      <w:r w:rsidR="007B404E">
        <w:t>Petroleum Refineries</w:t>
      </w:r>
      <w:r w:rsidR="001549C6">
        <w:t xml:space="preserve"> (40 CFR Part 60, Subpart </w:t>
      </w:r>
      <w:r w:rsidR="007B404E">
        <w:t>Ja</w:t>
      </w:r>
      <w:r w:rsidR="001549C6">
        <w:t>) (Renewal).</w:t>
      </w:r>
    </w:p>
    <w:p w:rsidR="00E014AA" w:rsidRDefault="00E014AA">
      <w:pPr>
        <w:ind w:firstLine="720"/>
        <w:rPr>
          <w:b/>
          <w:bCs/>
        </w:rPr>
      </w:pPr>
    </w:p>
    <w:p w:rsidR="00E014AA" w:rsidRDefault="00E014AA">
      <w:pPr>
        <w:ind w:firstLine="720"/>
        <w:rPr>
          <w:b/>
          <w:bCs/>
        </w:rPr>
      </w:pPr>
      <w:r>
        <w:rPr>
          <w:b/>
          <w:bCs/>
        </w:rPr>
        <w:t>6(e)  Bottom Line Burden Hours Burden Hours and Cost Tables</w:t>
      </w:r>
    </w:p>
    <w:p w:rsidR="00E014AA" w:rsidRDefault="00E014AA">
      <w:pPr>
        <w:ind w:firstLine="720"/>
      </w:pPr>
    </w:p>
    <w:p w:rsidR="00E014AA" w:rsidRDefault="00E014A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E014AA" w:rsidRDefault="00E014AA">
      <w:pPr>
        <w:pBdr>
          <w:top w:val="single" w:sz="6" w:space="0" w:color="FFFFFF"/>
          <w:left w:val="single" w:sz="6" w:space="0" w:color="FFFFFF"/>
          <w:bottom w:val="single" w:sz="6" w:space="0" w:color="FFFFFF"/>
          <w:right w:val="single" w:sz="6" w:space="0" w:color="FFFFFF"/>
        </w:pBdr>
        <w:ind w:firstLine="720"/>
        <w:rPr>
          <w:color w:val="000000"/>
        </w:rPr>
      </w:pPr>
    </w:p>
    <w:p w:rsidR="00E014AA" w:rsidRDefault="00E014AA">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E014AA" w:rsidRDefault="00E014AA">
      <w:pPr>
        <w:rPr>
          <w:b/>
          <w:bCs/>
        </w:rPr>
      </w:pPr>
    </w:p>
    <w:p w:rsidR="001549C6" w:rsidRDefault="00E014AA" w:rsidP="00BD3848">
      <w:pPr>
        <w:pBdr>
          <w:top w:val="single" w:sz="6" w:space="0" w:color="FFFFFF"/>
          <w:left w:val="single" w:sz="6" w:space="8" w:color="FFFFFF"/>
          <w:bottom w:val="single" w:sz="6" w:space="0" w:color="FFFFFF"/>
          <w:right w:val="single" w:sz="6" w:space="0" w:color="FFFFFF"/>
        </w:pBdr>
        <w:ind w:firstLine="720"/>
      </w:pPr>
      <w:r>
        <w:rPr>
          <w:color w:val="000000"/>
        </w:rPr>
        <w:t xml:space="preserve">The total annual labor hours are </w:t>
      </w:r>
      <w:r w:rsidR="00300541">
        <w:rPr>
          <w:color w:val="000000"/>
        </w:rPr>
        <w:t>2,142</w:t>
      </w:r>
      <w:r>
        <w:rPr>
          <w:color w:val="000000"/>
        </w:rPr>
        <w:t>.  Details regarding these estimates may be found in Table 1</w:t>
      </w:r>
      <w:r w:rsidR="003D591D">
        <w:rPr>
          <w:color w:val="000000"/>
        </w:rPr>
        <w:t>:</w:t>
      </w:r>
      <w:r>
        <w:rPr>
          <w:color w:val="000000"/>
        </w:rPr>
        <w:t xml:space="preserve"> Annual Respondent Burden and Cost: NSPS </w:t>
      </w:r>
      <w:r>
        <w:t xml:space="preserve">for </w:t>
      </w:r>
      <w:r w:rsidR="00F30896">
        <w:t>Petroleum Refineries</w:t>
      </w:r>
      <w:r w:rsidR="001549C6">
        <w:t xml:space="preserve"> (40 CFR Part 60, Subpart </w:t>
      </w:r>
      <w:r w:rsidR="00F30896">
        <w:t>Ja</w:t>
      </w:r>
      <w:r w:rsidR="001549C6">
        <w:t>) (Renewal).</w:t>
      </w:r>
    </w:p>
    <w:p w:rsidR="00585B4A" w:rsidRDefault="00585B4A">
      <w:pPr>
        <w:ind w:firstLine="720"/>
      </w:pPr>
    </w:p>
    <w:p w:rsidR="00E014AA" w:rsidRDefault="00E014AA">
      <w:pPr>
        <w:ind w:firstLine="720"/>
      </w:pPr>
      <w:r>
        <w:rPr>
          <w:color w:val="000000"/>
        </w:rPr>
        <w:t xml:space="preserve">Furthermore, the annual public reporting and recordkeeping burden for this collection of information is estimated to average </w:t>
      </w:r>
      <w:r w:rsidR="00666EE8">
        <w:rPr>
          <w:color w:val="000000"/>
        </w:rPr>
        <w:t>59</w:t>
      </w:r>
      <w:r>
        <w:rPr>
          <w:color w:val="000000"/>
        </w:rPr>
        <w:t xml:space="preserve"> hours per response.</w:t>
      </w:r>
    </w:p>
    <w:p w:rsidR="00E014AA" w:rsidRDefault="00E014AA">
      <w:pPr>
        <w:pBdr>
          <w:top w:val="single" w:sz="6" w:space="0" w:color="FFFFFF"/>
          <w:left w:val="single" w:sz="6" w:space="0" w:color="FFFFFF"/>
          <w:bottom w:val="single" w:sz="6" w:space="0" w:color="FFFFFF"/>
          <w:right w:val="single" w:sz="6" w:space="0" w:color="FFFFFF"/>
        </w:pBdr>
        <w:ind w:firstLine="720"/>
        <w:rPr>
          <w:color w:val="000000"/>
        </w:rPr>
      </w:pPr>
    </w:p>
    <w:p w:rsidR="00E014AA" w:rsidRDefault="00432F5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w:t>
      </w:r>
      <w:r w:rsidR="00E014AA">
        <w:rPr>
          <w:color w:val="000000"/>
        </w:rPr>
        <w:t xml:space="preserve">capital/startup and </w:t>
      </w:r>
      <w:r w:rsidR="00585B4A">
        <w:rPr>
          <w:color w:val="000000"/>
        </w:rPr>
        <w:t>operation and maintenance (</w:t>
      </w:r>
      <w:r w:rsidR="00E014AA">
        <w:rPr>
          <w:color w:val="000000"/>
        </w:rPr>
        <w:t>O&amp;M</w:t>
      </w:r>
      <w:r w:rsidR="00585B4A">
        <w:rPr>
          <w:color w:val="000000"/>
        </w:rPr>
        <w:t>)</w:t>
      </w:r>
      <w:r w:rsidR="00E014AA">
        <w:rPr>
          <w:color w:val="000000"/>
        </w:rPr>
        <w:t xml:space="preserve"> costs to the regulated entity </w:t>
      </w:r>
      <w:r>
        <w:rPr>
          <w:color w:val="000000"/>
        </w:rPr>
        <w:t xml:space="preserve">is </w:t>
      </w:r>
      <w:r w:rsidR="00F30896">
        <w:rPr>
          <w:color w:val="000000"/>
        </w:rPr>
        <w:t>$1,676,160</w:t>
      </w:r>
      <w:r w:rsidR="00585B4A">
        <w:rPr>
          <w:color w:val="000000"/>
        </w:rPr>
        <w:t>.</w:t>
      </w:r>
    </w:p>
    <w:p w:rsidR="00E014AA" w:rsidRDefault="00E014AA">
      <w:pPr>
        <w:pBdr>
          <w:top w:val="single" w:sz="6" w:space="0" w:color="FFFFFF"/>
          <w:left w:val="single" w:sz="6" w:space="0" w:color="FFFFFF"/>
          <w:bottom w:val="single" w:sz="6" w:space="0" w:color="FFFFFF"/>
          <w:right w:val="single" w:sz="6" w:space="0" w:color="FFFFFF"/>
        </w:pBdr>
        <w:ind w:firstLine="2160"/>
        <w:rPr>
          <w:color w:val="000000"/>
        </w:rPr>
      </w:pPr>
    </w:p>
    <w:p w:rsidR="00E014AA" w:rsidRDefault="00E014AA">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E014AA" w:rsidRDefault="00E014AA">
      <w:pPr>
        <w:pBdr>
          <w:top w:val="single" w:sz="6" w:space="0" w:color="FFFFFF"/>
          <w:left w:val="single" w:sz="6" w:space="0" w:color="FFFFFF"/>
          <w:bottom w:val="single" w:sz="6" w:space="0" w:color="FFFFFF"/>
          <w:right w:val="single" w:sz="6" w:space="0" w:color="FFFFFF"/>
        </w:pBdr>
        <w:ind w:firstLine="720"/>
      </w:pPr>
    </w:p>
    <w:p w:rsidR="00E014AA" w:rsidRDefault="00E014AA" w:rsidP="00C25024">
      <w:pPr>
        <w:pBdr>
          <w:top w:val="single" w:sz="6" w:space="0" w:color="FFFFFF"/>
          <w:left w:val="single" w:sz="6" w:space="8" w:color="FFFFFF"/>
          <w:bottom w:val="single" w:sz="6" w:space="0" w:color="FFFFFF"/>
          <w:right w:val="single" w:sz="6" w:space="0" w:color="FFFFFF"/>
        </w:pBdr>
        <w:ind w:firstLine="720"/>
      </w:pPr>
      <w:r>
        <w:t xml:space="preserve">The average annual Agency burden and cost over the next three years is estimated to be </w:t>
      </w:r>
      <w:r w:rsidR="00675020">
        <w:t>174</w:t>
      </w:r>
      <w:r w:rsidR="006F0119">
        <w:t xml:space="preserve"> </w:t>
      </w:r>
      <w:r>
        <w:t>labor hours at a cost of $</w:t>
      </w:r>
      <w:r w:rsidR="00675020">
        <w:t>7,836</w:t>
      </w:r>
      <w:r>
        <w:t>.  See Table 2</w:t>
      </w:r>
      <w:r w:rsidR="003D591D">
        <w:t>:</w:t>
      </w:r>
      <w:r>
        <w:t xml:space="preserve"> Annual Agency Burden and Cost: NSPS </w:t>
      </w:r>
      <w:r w:rsidR="00C87F71">
        <w:t xml:space="preserve">for </w:t>
      </w:r>
      <w:r w:rsidR="00F30896">
        <w:t>Petroleum Refineries</w:t>
      </w:r>
      <w:r w:rsidR="00C87F71">
        <w:t xml:space="preserve"> (40 CFR Part 60, Subpart </w:t>
      </w:r>
      <w:r w:rsidR="00F30896">
        <w:t>Ja</w:t>
      </w:r>
      <w:r w:rsidR="00C87F71">
        <w:t>) (Renewal).</w:t>
      </w:r>
    </w:p>
    <w:p w:rsidR="00E014AA" w:rsidRDefault="00E014AA"/>
    <w:p w:rsidR="00E014AA" w:rsidRDefault="00E014AA">
      <w:pPr>
        <w:ind w:firstLine="720"/>
      </w:pPr>
      <w:r>
        <w:rPr>
          <w:b/>
          <w:bCs/>
        </w:rPr>
        <w:t>6(f)  Reasons for Change in Burden</w:t>
      </w:r>
    </w:p>
    <w:p w:rsidR="00E014AA" w:rsidRDefault="00E014AA"/>
    <w:p w:rsidR="0000542C" w:rsidRDefault="002F170B">
      <w:pPr>
        <w:ind w:firstLine="720"/>
        <w:rPr>
          <w:color w:val="000000"/>
        </w:rPr>
      </w:pPr>
      <w:r>
        <w:rPr>
          <w:color w:val="000000"/>
        </w:rPr>
        <w:t xml:space="preserve">There </w:t>
      </w:r>
      <w:r w:rsidR="00675020">
        <w:rPr>
          <w:color w:val="000000"/>
        </w:rPr>
        <w:t>is a decrease</w:t>
      </w:r>
      <w:r>
        <w:rPr>
          <w:color w:val="000000"/>
        </w:rPr>
        <w:t xml:space="preserve"> in the labor hours </w:t>
      </w:r>
      <w:r w:rsidR="00675020">
        <w:rPr>
          <w:color w:val="000000"/>
        </w:rPr>
        <w:t xml:space="preserve">and cost </w:t>
      </w:r>
      <w:r>
        <w:rPr>
          <w:color w:val="000000"/>
        </w:rPr>
        <w:t>in this ICR compared to the previous ICR.</w:t>
      </w:r>
      <w:r w:rsidR="00585B4A">
        <w:rPr>
          <w:color w:val="000000"/>
        </w:rPr>
        <w:t xml:space="preserve">  </w:t>
      </w:r>
      <w:r w:rsidR="00A876A3">
        <w:rPr>
          <w:color w:val="000000"/>
        </w:rPr>
        <w:t xml:space="preserve">Consultations with </w:t>
      </w:r>
      <w:r w:rsidR="00585B4A">
        <w:rPr>
          <w:color w:val="000000"/>
        </w:rPr>
        <w:t>the Offi</w:t>
      </w:r>
      <w:r w:rsidR="002F5674">
        <w:rPr>
          <w:color w:val="000000"/>
        </w:rPr>
        <w:t>ce of Air Quality Planning and S</w:t>
      </w:r>
      <w:r w:rsidR="00585B4A">
        <w:rPr>
          <w:color w:val="000000"/>
        </w:rPr>
        <w:t>tandards (OAQPS) and trade associatio</w:t>
      </w:r>
      <w:r w:rsidR="009D1F78">
        <w:rPr>
          <w:color w:val="000000"/>
        </w:rPr>
        <w:t>ns</w:t>
      </w:r>
      <w:r w:rsidR="00585B4A">
        <w:rPr>
          <w:color w:val="000000"/>
        </w:rPr>
        <w:t xml:space="preserve"> </w:t>
      </w:r>
      <w:r w:rsidR="0025168D">
        <w:rPr>
          <w:color w:val="000000"/>
        </w:rPr>
        <w:t>reveal</w:t>
      </w:r>
      <w:r w:rsidR="00A876A3">
        <w:rPr>
          <w:color w:val="000000"/>
        </w:rPr>
        <w:t xml:space="preserve">ed </w:t>
      </w:r>
      <w:r w:rsidR="00585B4A">
        <w:rPr>
          <w:color w:val="000000"/>
        </w:rPr>
        <w:t xml:space="preserve">that there are approximately </w:t>
      </w:r>
      <w:r w:rsidR="00675020">
        <w:rPr>
          <w:color w:val="000000"/>
        </w:rPr>
        <w:t>eighteen</w:t>
      </w:r>
      <w:r w:rsidR="00585B4A">
        <w:rPr>
          <w:color w:val="000000"/>
        </w:rPr>
        <w:t xml:space="preserve"> sources subject to the rule, </w:t>
      </w:r>
      <w:r>
        <w:rPr>
          <w:color w:val="000000"/>
        </w:rPr>
        <w:t>with no new facilities expected to be constructed over the</w:t>
      </w:r>
      <w:r w:rsidR="00585B4A">
        <w:rPr>
          <w:color w:val="000000"/>
        </w:rPr>
        <w:t xml:space="preserve"> next three years of this ICR.</w:t>
      </w:r>
      <w:r w:rsidR="00675020">
        <w:rPr>
          <w:color w:val="000000"/>
        </w:rPr>
        <w:t xml:space="preserve"> </w:t>
      </w:r>
    </w:p>
    <w:p w:rsidR="0000542C" w:rsidRDefault="0000542C">
      <w:pPr>
        <w:ind w:firstLine="720"/>
        <w:rPr>
          <w:color w:val="000000"/>
        </w:rPr>
      </w:pPr>
    </w:p>
    <w:p w:rsidR="00E014AA" w:rsidRDefault="00675020">
      <w:pPr>
        <w:ind w:firstLine="720"/>
        <w:rPr>
          <w:color w:val="000000"/>
        </w:rPr>
      </w:pPr>
      <w:r>
        <w:rPr>
          <w:color w:val="000000"/>
        </w:rPr>
        <w:t>Because there are no new sources with reporting requirements, no capital/startup costs are incurred.  The only cost that is incurred is for the O&amp;M of the monitoring equipment.</w:t>
      </w:r>
    </w:p>
    <w:p w:rsidR="00E014AA" w:rsidRDefault="00E014AA" w:rsidP="0025168D"/>
    <w:p w:rsidR="00E014AA" w:rsidRDefault="00E014AA">
      <w:pPr>
        <w:ind w:firstLine="720"/>
      </w:pPr>
      <w:r>
        <w:rPr>
          <w:b/>
          <w:bCs/>
        </w:rPr>
        <w:t>6(g)  Burden Statement</w:t>
      </w:r>
    </w:p>
    <w:p w:rsidR="00E014AA" w:rsidRDefault="00E014AA"/>
    <w:p w:rsidR="00E014AA" w:rsidRDefault="00E014AA">
      <w:pPr>
        <w:ind w:firstLine="720"/>
      </w:pPr>
      <w:r>
        <w:t xml:space="preserve">The annual public reporting and recordkeeping burden for this collection of information is estimated to average </w:t>
      </w:r>
      <w:r w:rsidR="00675020">
        <w:t>59</w:t>
      </w:r>
      <w:r>
        <w:t xml:space="preserve"> hours per response.  Burden means the total time, effort, or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w:t>
      </w:r>
      <w:r>
        <w:lastRenderedPageBreak/>
        <w:t>train personnel to be able to respond to a collection of information; search data sources; complete and review the collection of information; and transmit or otherwise disclose the information.</w:t>
      </w:r>
    </w:p>
    <w:p w:rsidR="00E014AA" w:rsidRDefault="00E014AA">
      <w:pPr>
        <w:ind w:firstLine="720"/>
      </w:pPr>
    </w:p>
    <w:p w:rsidR="00E014AA" w:rsidRDefault="00E014AA">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3D591D">
        <w:rPr>
          <w:color w:val="000000"/>
        </w:rPr>
        <w:t>’</w:t>
      </w:r>
      <w:r>
        <w:rPr>
          <w:color w:val="000000"/>
        </w:rPr>
        <w:t>s regulations are listed at 40 CFR part 9 and 48 CFR chapter 15.</w:t>
      </w:r>
    </w:p>
    <w:p w:rsidR="00E014AA" w:rsidRDefault="00E014AA"/>
    <w:p w:rsidR="00E014AA" w:rsidRDefault="00E014AA">
      <w:pPr>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w:t>
      </w:r>
      <w:r w:rsidR="00BA0987">
        <w:t>11</w:t>
      </w:r>
      <w:r>
        <w:t>-02</w:t>
      </w:r>
      <w:r w:rsidR="00430A2F">
        <w:t>2</w:t>
      </w:r>
      <w:r w:rsidR="00AB566B">
        <w:t>8</w:t>
      </w:r>
      <w:r w:rsidR="00433EE3" w:rsidRPr="00433EE3">
        <w:t xml:space="preserve">, which is available for online viewing at www.regulations.gov, or in person viewing at the </w:t>
      </w:r>
      <w:r w:rsidR="00433EE3">
        <w:t xml:space="preserve">Enforcement and Compliance Docket </w:t>
      </w:r>
      <w:r w:rsidR="00433EE3" w:rsidRPr="00433EE3">
        <w:t xml:space="preserve">in the EPA Docket Center (EPA/DC), EPA West, Room </w:t>
      </w:r>
      <w:r w:rsidR="00433EE3">
        <w:t>3334</w:t>
      </w:r>
      <w:r w:rsidR="00433EE3" w:rsidRPr="00433EE3">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433EE3">
        <w:t>Enforcement and Compliance Docket</w:t>
      </w:r>
      <w:r w:rsidR="00433EE3" w:rsidRPr="00433EE3">
        <w:t xml:space="preserve"> is (202) 566-</w:t>
      </w:r>
      <w:r w:rsidR="00433EE3">
        <w:t>1752</w:t>
      </w:r>
      <w:r w:rsidR="00433EE3" w:rsidRPr="00433EE3">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w:t>
      </w:r>
      <w:r>
        <w:rPr>
          <w:rStyle w:val="1"/>
        </w:rPr>
        <w:t xml:space="preserve">  </w:t>
      </w:r>
      <w:r>
        <w:t>Also, you can send comments to the Office of Information and Regulatory Affairs, Office of Management and Budget, 725 17th Street, N.W., Washington, D</w:t>
      </w:r>
      <w:r w:rsidR="00CB2DD3">
        <w:t>.</w:t>
      </w:r>
      <w:r>
        <w:t>C</w:t>
      </w:r>
      <w:r w:rsidR="00CB2DD3">
        <w:t>.</w:t>
      </w:r>
      <w:r>
        <w:t xml:space="preserve"> 20503, Attention: Desk Officer for EPA.  Please include the EPA Docket ID Number EPA-HQ-OECA-20</w:t>
      </w:r>
      <w:r w:rsidR="00BA0987">
        <w:t>11</w:t>
      </w:r>
      <w:r>
        <w:t>-02</w:t>
      </w:r>
      <w:r w:rsidR="00430A2F">
        <w:t>2</w:t>
      </w:r>
      <w:r w:rsidR="00AB566B">
        <w:t>8</w:t>
      </w:r>
      <w:r>
        <w:t xml:space="preserve"> and OMB Control Number 2060-0</w:t>
      </w:r>
      <w:r w:rsidR="00AB566B">
        <w:t>6</w:t>
      </w:r>
      <w:r w:rsidR="00430A2F">
        <w:t>0</w:t>
      </w:r>
      <w:r w:rsidR="00AB566B">
        <w:t>2</w:t>
      </w:r>
      <w:r>
        <w:t xml:space="preserve"> in any correspondence.</w:t>
      </w:r>
    </w:p>
    <w:p w:rsidR="00E014AA" w:rsidRDefault="00E014AA">
      <w:pPr>
        <w:rPr>
          <w:b/>
          <w:bCs/>
        </w:rPr>
      </w:pPr>
    </w:p>
    <w:p w:rsidR="00E014AA" w:rsidRDefault="00E014AA">
      <w:r>
        <w:rPr>
          <w:b/>
          <w:bCs/>
        </w:rPr>
        <w:t>Part B of the Supporting Statement</w:t>
      </w:r>
    </w:p>
    <w:p w:rsidR="00E014AA" w:rsidRDefault="00E014AA"/>
    <w:p w:rsidR="00E014AA" w:rsidRDefault="00E014AA">
      <w:pPr>
        <w:ind w:firstLine="720"/>
      </w:pPr>
      <w:r>
        <w:t>This part is not applicable because no statistical methods were used in collecting this information.</w:t>
      </w:r>
    </w:p>
    <w:p w:rsidR="00E014AA" w:rsidRDefault="00E014AA"/>
    <w:p w:rsidR="00E014AA" w:rsidRDefault="00E014AA">
      <w:pPr>
        <w:ind w:firstLine="720"/>
      </w:pPr>
    </w:p>
    <w:p w:rsidR="00E014AA" w:rsidRDefault="00E014AA">
      <w:pPr>
        <w:sectPr w:rsidR="00E014AA" w:rsidSect="00BE28C9">
          <w:headerReference w:type="even" r:id="rId7"/>
          <w:headerReference w:type="default" r:id="rId8"/>
          <w:footerReference w:type="even" r:id="rId9"/>
          <w:type w:val="continuous"/>
          <w:pgSz w:w="12240" w:h="15840" w:code="1"/>
          <w:pgMar w:top="1440" w:right="1440" w:bottom="1440" w:left="1440" w:header="1008" w:footer="0" w:gutter="0"/>
          <w:cols w:space="720"/>
          <w:noEndnote/>
          <w:titlePg/>
        </w:sectPr>
      </w:pPr>
    </w:p>
    <w:p w:rsidR="0099646D" w:rsidRDefault="00E014AA" w:rsidP="00912BAB">
      <w:pPr>
        <w:tabs>
          <w:tab w:val="left" w:pos="1350"/>
        </w:tabs>
        <w:jc w:val="both"/>
        <w:rPr>
          <w:b/>
          <w:bCs/>
        </w:rPr>
      </w:pPr>
      <w:r>
        <w:rPr>
          <w:b/>
          <w:bCs/>
        </w:rPr>
        <w:lastRenderedPageBreak/>
        <w:t xml:space="preserve">Table 1:  Annual Respondent Burden and Cost – NSPS for </w:t>
      </w:r>
      <w:r w:rsidR="00D05564">
        <w:rPr>
          <w:b/>
          <w:bCs/>
        </w:rPr>
        <w:t>Petroleum Refineries</w:t>
      </w:r>
      <w:r w:rsidR="0099646D">
        <w:rPr>
          <w:b/>
        </w:rPr>
        <w:t xml:space="preserve"> (40 CFR Part 60, Subpart </w:t>
      </w:r>
      <w:r w:rsidR="00D05564">
        <w:rPr>
          <w:b/>
        </w:rPr>
        <w:t>Ja)</w:t>
      </w:r>
      <w:r w:rsidR="0099646D">
        <w:rPr>
          <w:b/>
        </w:rPr>
        <w:t xml:space="preserve"> (Renewal)</w:t>
      </w:r>
    </w:p>
    <w:p w:rsidR="00E014AA" w:rsidRDefault="00E014AA">
      <w:pPr>
        <w:tabs>
          <w:tab w:val="left" w:pos="1350"/>
        </w:tabs>
        <w:jc w:val="both"/>
        <w:rPr>
          <w:b/>
          <w:bCs/>
        </w:rPr>
      </w:pPr>
    </w:p>
    <w:tbl>
      <w:tblPr>
        <w:tblW w:w="15108"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314"/>
        <w:gridCol w:w="1710"/>
        <w:gridCol w:w="1314"/>
        <w:gridCol w:w="1260"/>
        <w:gridCol w:w="1440"/>
        <w:gridCol w:w="1170"/>
        <w:gridCol w:w="1440"/>
        <w:gridCol w:w="990"/>
        <w:gridCol w:w="1470"/>
      </w:tblGrid>
      <w:tr w:rsidR="007167C1" w:rsidTr="002E59F7">
        <w:trPr>
          <w:cantSplit/>
          <w:tblHeader/>
          <w:jc w:val="center"/>
        </w:trPr>
        <w:tc>
          <w:tcPr>
            <w:tcW w:w="4314" w:type="dxa"/>
            <w:tcBorders>
              <w:top w:val="single" w:sz="2" w:space="0" w:color="000000"/>
              <w:left w:val="single" w:sz="2" w:space="0" w:color="000000"/>
              <w:bottom w:val="single" w:sz="2" w:space="0" w:color="000000"/>
              <w:right w:val="single" w:sz="2" w:space="0" w:color="000000"/>
            </w:tcBorders>
            <w:vAlign w:val="center"/>
          </w:tcPr>
          <w:p w:rsidR="00E014AA" w:rsidRDefault="00E014AA">
            <w:pPr>
              <w:tabs>
                <w:tab w:val="center" w:pos="1351"/>
              </w:tabs>
              <w:spacing w:after="58"/>
              <w:jc w:val="center"/>
              <w:rPr>
                <w:b/>
                <w:bCs/>
                <w:sz w:val="20"/>
                <w:szCs w:val="20"/>
              </w:rPr>
            </w:pPr>
            <w:r>
              <w:rPr>
                <w:b/>
                <w:bCs/>
                <w:sz w:val="20"/>
                <w:szCs w:val="20"/>
              </w:rPr>
              <w:t>Burden item</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tabs>
                <w:tab w:val="center" w:pos="541"/>
              </w:tabs>
              <w:jc w:val="center"/>
              <w:rPr>
                <w:b/>
                <w:bCs/>
                <w:sz w:val="20"/>
                <w:szCs w:val="20"/>
              </w:rPr>
            </w:pPr>
            <w:r>
              <w:rPr>
                <w:b/>
                <w:bCs/>
                <w:sz w:val="20"/>
                <w:szCs w:val="20"/>
              </w:rPr>
              <w:t>(A)</w:t>
            </w:r>
          </w:p>
          <w:p w:rsidR="0025533F" w:rsidRDefault="00E014AA">
            <w:pPr>
              <w:tabs>
                <w:tab w:val="center" w:pos="541"/>
              </w:tabs>
              <w:jc w:val="center"/>
              <w:rPr>
                <w:b/>
                <w:bCs/>
                <w:sz w:val="20"/>
                <w:szCs w:val="20"/>
              </w:rPr>
            </w:pPr>
            <w:r>
              <w:rPr>
                <w:b/>
                <w:bCs/>
                <w:sz w:val="20"/>
                <w:szCs w:val="20"/>
              </w:rPr>
              <w:t xml:space="preserve">Person </w:t>
            </w:r>
          </w:p>
          <w:p w:rsidR="00E014AA" w:rsidRDefault="00E014AA">
            <w:pPr>
              <w:tabs>
                <w:tab w:val="center" w:pos="541"/>
              </w:tabs>
              <w:jc w:val="center"/>
              <w:rPr>
                <w:b/>
                <w:bCs/>
                <w:sz w:val="20"/>
                <w:szCs w:val="20"/>
              </w:rPr>
            </w:pPr>
            <w:r>
              <w:rPr>
                <w:b/>
                <w:bCs/>
                <w:sz w:val="20"/>
                <w:szCs w:val="20"/>
              </w:rPr>
              <w:t>hours per occurrence</w:t>
            </w: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tabs>
                <w:tab w:val="center" w:pos="541"/>
              </w:tabs>
              <w:jc w:val="center"/>
              <w:rPr>
                <w:b/>
                <w:bCs/>
                <w:sz w:val="20"/>
                <w:szCs w:val="20"/>
              </w:rPr>
            </w:pPr>
            <w:r>
              <w:rPr>
                <w:b/>
                <w:bCs/>
                <w:sz w:val="20"/>
                <w:szCs w:val="20"/>
              </w:rPr>
              <w:t>(B)</w:t>
            </w:r>
          </w:p>
          <w:p w:rsidR="00E014AA" w:rsidRDefault="00E014AA">
            <w:pPr>
              <w:tabs>
                <w:tab w:val="center" w:pos="541"/>
              </w:tabs>
              <w:jc w:val="center"/>
              <w:rPr>
                <w:b/>
                <w:bCs/>
                <w:sz w:val="20"/>
                <w:szCs w:val="20"/>
              </w:rPr>
            </w:pPr>
            <w:r>
              <w:rPr>
                <w:b/>
                <w:bCs/>
                <w:sz w:val="20"/>
                <w:szCs w:val="20"/>
              </w:rPr>
              <w:t>No. of occurrences per respondent per year</w:t>
            </w: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tabs>
                <w:tab w:val="center" w:pos="541"/>
              </w:tabs>
              <w:jc w:val="center"/>
              <w:rPr>
                <w:b/>
                <w:bCs/>
                <w:sz w:val="20"/>
                <w:szCs w:val="20"/>
              </w:rPr>
            </w:pPr>
            <w:r>
              <w:rPr>
                <w:b/>
                <w:bCs/>
                <w:sz w:val="20"/>
                <w:szCs w:val="20"/>
              </w:rPr>
              <w:t>(C)</w:t>
            </w:r>
          </w:p>
          <w:p w:rsidR="00E014AA" w:rsidRDefault="00E014AA">
            <w:pPr>
              <w:tabs>
                <w:tab w:val="center" w:pos="541"/>
              </w:tabs>
              <w:jc w:val="center"/>
              <w:rPr>
                <w:b/>
                <w:bCs/>
                <w:sz w:val="20"/>
                <w:szCs w:val="20"/>
              </w:rPr>
            </w:pPr>
            <w:r>
              <w:rPr>
                <w:b/>
                <w:bCs/>
                <w:sz w:val="20"/>
                <w:szCs w:val="20"/>
              </w:rPr>
              <w:t>Person hours per respondent per year</w:t>
            </w:r>
          </w:p>
          <w:p w:rsidR="00E014AA" w:rsidRDefault="00E014AA">
            <w:pPr>
              <w:tabs>
                <w:tab w:val="center" w:pos="541"/>
              </w:tabs>
              <w:spacing w:after="58"/>
              <w:jc w:val="center"/>
              <w:rPr>
                <w:b/>
                <w:bCs/>
                <w:sz w:val="20"/>
                <w:szCs w:val="20"/>
              </w:rPr>
            </w:pPr>
            <w:r>
              <w:rPr>
                <w:b/>
                <w:bCs/>
                <w:sz w:val="20"/>
                <w:szCs w:val="20"/>
              </w:rPr>
              <w:t>(C=AxB)</w:t>
            </w: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tabs>
                <w:tab w:val="center" w:pos="541"/>
              </w:tabs>
              <w:jc w:val="center"/>
              <w:rPr>
                <w:b/>
                <w:bCs/>
                <w:sz w:val="20"/>
                <w:szCs w:val="20"/>
              </w:rPr>
            </w:pPr>
            <w:r>
              <w:rPr>
                <w:b/>
                <w:bCs/>
                <w:sz w:val="20"/>
                <w:szCs w:val="20"/>
              </w:rPr>
              <w:t>(D)</w:t>
            </w:r>
          </w:p>
          <w:p w:rsidR="00E014AA" w:rsidRDefault="00E014AA">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tabs>
                <w:tab w:val="center" w:pos="451"/>
              </w:tabs>
              <w:jc w:val="center"/>
              <w:rPr>
                <w:b/>
                <w:bCs/>
                <w:sz w:val="20"/>
                <w:szCs w:val="20"/>
              </w:rPr>
            </w:pPr>
            <w:r>
              <w:rPr>
                <w:b/>
                <w:bCs/>
                <w:sz w:val="20"/>
                <w:szCs w:val="20"/>
              </w:rPr>
              <w:t>(E)</w:t>
            </w:r>
          </w:p>
          <w:p w:rsidR="00E014AA" w:rsidRDefault="00E014AA">
            <w:pPr>
              <w:tabs>
                <w:tab w:val="center" w:pos="451"/>
              </w:tabs>
              <w:jc w:val="center"/>
              <w:rPr>
                <w:b/>
                <w:bCs/>
                <w:sz w:val="20"/>
                <w:szCs w:val="20"/>
              </w:rPr>
            </w:pPr>
            <w:r>
              <w:rPr>
                <w:b/>
                <w:bCs/>
                <w:sz w:val="20"/>
                <w:szCs w:val="20"/>
              </w:rPr>
              <w:t>Technical person- hours per year</w:t>
            </w:r>
          </w:p>
          <w:p w:rsidR="00E014AA" w:rsidRDefault="00E014AA">
            <w:pPr>
              <w:tabs>
                <w:tab w:val="center" w:pos="451"/>
              </w:tabs>
              <w:spacing w:after="58"/>
              <w:jc w:val="center"/>
              <w:rPr>
                <w:b/>
                <w:bCs/>
                <w:sz w:val="20"/>
                <w:szCs w:val="20"/>
              </w:rPr>
            </w:pPr>
            <w:r>
              <w:rPr>
                <w:b/>
                <w:bCs/>
                <w:sz w:val="20"/>
                <w:szCs w:val="20"/>
              </w:rPr>
              <w:t>(E=CxD)</w:t>
            </w: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tabs>
                <w:tab w:val="center" w:pos="586"/>
              </w:tabs>
              <w:jc w:val="center"/>
              <w:rPr>
                <w:b/>
                <w:bCs/>
                <w:sz w:val="20"/>
                <w:szCs w:val="20"/>
              </w:rPr>
            </w:pPr>
            <w:r>
              <w:rPr>
                <w:b/>
                <w:bCs/>
                <w:sz w:val="20"/>
                <w:szCs w:val="20"/>
              </w:rPr>
              <w:t>(F)</w:t>
            </w:r>
          </w:p>
          <w:p w:rsidR="00E014AA" w:rsidRDefault="00E014AA">
            <w:pPr>
              <w:tabs>
                <w:tab w:val="center" w:pos="586"/>
              </w:tabs>
              <w:jc w:val="center"/>
              <w:rPr>
                <w:b/>
                <w:bCs/>
                <w:sz w:val="20"/>
                <w:szCs w:val="20"/>
              </w:rPr>
            </w:pPr>
            <w:r>
              <w:rPr>
                <w:b/>
                <w:bCs/>
                <w:sz w:val="20"/>
                <w:szCs w:val="20"/>
              </w:rPr>
              <w:t>Management person hours per year</w:t>
            </w:r>
          </w:p>
          <w:p w:rsidR="00E014AA" w:rsidRDefault="00E014AA">
            <w:pPr>
              <w:tabs>
                <w:tab w:val="center" w:pos="586"/>
              </w:tabs>
              <w:spacing w:after="58"/>
              <w:jc w:val="center"/>
              <w:rPr>
                <w:b/>
                <w:bCs/>
                <w:sz w:val="20"/>
                <w:szCs w:val="20"/>
              </w:rPr>
            </w:pPr>
            <w:r>
              <w:rPr>
                <w:b/>
                <w:bCs/>
                <w:sz w:val="20"/>
                <w:szCs w:val="20"/>
              </w:rPr>
              <w:t>(Ex0.05)</w:t>
            </w: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tabs>
                <w:tab w:val="center" w:pos="406"/>
              </w:tabs>
              <w:jc w:val="center"/>
              <w:rPr>
                <w:b/>
                <w:bCs/>
                <w:sz w:val="20"/>
                <w:szCs w:val="20"/>
              </w:rPr>
            </w:pPr>
            <w:r>
              <w:rPr>
                <w:b/>
                <w:bCs/>
                <w:sz w:val="20"/>
                <w:szCs w:val="20"/>
              </w:rPr>
              <w:t>(G)</w:t>
            </w:r>
          </w:p>
          <w:p w:rsidR="00E014AA" w:rsidRDefault="00E014AA" w:rsidP="007167C1">
            <w:pPr>
              <w:tabs>
                <w:tab w:val="center" w:pos="406"/>
              </w:tabs>
              <w:jc w:val="center"/>
              <w:rPr>
                <w:b/>
                <w:bCs/>
                <w:sz w:val="20"/>
                <w:szCs w:val="20"/>
              </w:rPr>
            </w:pPr>
            <w:r>
              <w:rPr>
                <w:b/>
                <w:bCs/>
                <w:sz w:val="20"/>
                <w:szCs w:val="20"/>
              </w:rPr>
              <w:t>Clerical person hours per year</w:t>
            </w:r>
          </w:p>
          <w:p w:rsidR="00E014AA" w:rsidRDefault="00E014AA" w:rsidP="007167C1">
            <w:pPr>
              <w:tabs>
                <w:tab w:val="center" w:pos="406"/>
              </w:tabs>
              <w:spacing w:after="58"/>
              <w:jc w:val="center"/>
              <w:rPr>
                <w:b/>
                <w:bCs/>
                <w:sz w:val="20"/>
                <w:szCs w:val="20"/>
              </w:rPr>
            </w:pPr>
            <w:r>
              <w:rPr>
                <w:b/>
                <w:bCs/>
                <w:sz w:val="20"/>
                <w:szCs w:val="20"/>
              </w:rPr>
              <w:t>(Ex0.1)</w:t>
            </w: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tabs>
                <w:tab w:val="center" w:pos="631"/>
              </w:tabs>
              <w:jc w:val="center"/>
              <w:rPr>
                <w:b/>
                <w:bCs/>
                <w:sz w:val="20"/>
                <w:szCs w:val="20"/>
              </w:rPr>
            </w:pPr>
            <w:r>
              <w:rPr>
                <w:b/>
                <w:bCs/>
                <w:sz w:val="20"/>
                <w:szCs w:val="20"/>
              </w:rPr>
              <w:t>(H)</w:t>
            </w:r>
          </w:p>
          <w:p w:rsidR="00E014AA" w:rsidRDefault="00E014AA">
            <w:pPr>
              <w:tabs>
                <w:tab w:val="center" w:pos="631"/>
              </w:tabs>
              <w:spacing w:after="58"/>
              <w:jc w:val="center"/>
              <w:rPr>
                <w:b/>
                <w:bCs/>
                <w:sz w:val="20"/>
                <w:szCs w:val="20"/>
              </w:rPr>
            </w:pPr>
            <w:r>
              <w:rPr>
                <w:b/>
                <w:bCs/>
                <w:sz w:val="20"/>
                <w:szCs w:val="20"/>
              </w:rPr>
              <w:t xml:space="preserve">Total Cost </w:t>
            </w:r>
          </w:p>
          <w:p w:rsidR="00E014AA" w:rsidRDefault="00E014AA">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E014AA" w:rsidRDefault="00E014AA">
            <w:pPr>
              <w:tabs>
                <w:tab w:val="center" w:pos="631"/>
              </w:tabs>
              <w:spacing w:after="58"/>
              <w:rPr>
                <w:b/>
                <w:bCs/>
                <w:sz w:val="20"/>
                <w:szCs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r>
              <w:rPr>
                <w:sz w:val="20"/>
              </w:rPr>
              <w:t>1.  Applications</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N/A</w:t>
            </w: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r>
              <w:rPr>
                <w:sz w:val="20"/>
              </w:rPr>
              <w:t>2.  Survey and Studies</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jc w:val="right"/>
              <w:rPr>
                <w:sz w:val="20"/>
              </w:rPr>
            </w:pPr>
          </w:p>
        </w:tc>
      </w:tr>
      <w:tr w:rsidR="00D05564"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D05564" w:rsidRDefault="00D05564">
            <w:pPr>
              <w:rPr>
                <w:sz w:val="20"/>
              </w:rPr>
            </w:pPr>
            <w:r>
              <w:rPr>
                <w:sz w:val="20"/>
              </w:rPr>
              <w:t xml:space="preserve">   Flare management plan</w:t>
            </w:r>
          </w:p>
        </w:tc>
        <w:tc>
          <w:tcPr>
            <w:tcW w:w="1710" w:type="dxa"/>
            <w:tcBorders>
              <w:top w:val="single" w:sz="2" w:space="0" w:color="000000"/>
              <w:left w:val="single" w:sz="2" w:space="0" w:color="000000"/>
              <w:bottom w:val="single" w:sz="2" w:space="0" w:color="000000"/>
              <w:right w:val="single" w:sz="2" w:space="0" w:color="000000"/>
            </w:tcBorders>
          </w:tcPr>
          <w:p w:rsidR="00D05564" w:rsidRDefault="00D05564">
            <w:pPr>
              <w:jc w:val="center"/>
              <w:rPr>
                <w:sz w:val="20"/>
              </w:rPr>
            </w:pPr>
            <w:r>
              <w:rPr>
                <w:sz w:val="20"/>
              </w:rPr>
              <w:t>160</w:t>
            </w:r>
          </w:p>
        </w:tc>
        <w:tc>
          <w:tcPr>
            <w:tcW w:w="1314" w:type="dxa"/>
            <w:tcBorders>
              <w:top w:val="single" w:sz="2" w:space="0" w:color="000000"/>
              <w:left w:val="single" w:sz="2" w:space="0" w:color="000000"/>
              <w:bottom w:val="single" w:sz="2" w:space="0" w:color="000000"/>
              <w:right w:val="single" w:sz="2" w:space="0" w:color="000000"/>
            </w:tcBorders>
          </w:tcPr>
          <w:p w:rsidR="00D05564" w:rsidRDefault="00D05564" w:rsidP="00D05564">
            <w:pPr>
              <w:jc w:val="center"/>
              <w:rPr>
                <w:sz w:val="20"/>
              </w:rPr>
            </w:pPr>
            <w:r>
              <w:rPr>
                <w:sz w:val="20"/>
              </w:rPr>
              <w:t>1</w:t>
            </w:r>
          </w:p>
        </w:tc>
        <w:tc>
          <w:tcPr>
            <w:tcW w:w="1260" w:type="dxa"/>
            <w:tcBorders>
              <w:top w:val="single" w:sz="2" w:space="0" w:color="000000"/>
              <w:left w:val="single" w:sz="2" w:space="0" w:color="000000"/>
              <w:bottom w:val="single" w:sz="2" w:space="0" w:color="000000"/>
              <w:right w:val="single" w:sz="2" w:space="0" w:color="000000"/>
            </w:tcBorders>
          </w:tcPr>
          <w:p w:rsidR="00D05564" w:rsidRDefault="00D05564">
            <w:pPr>
              <w:jc w:val="center"/>
              <w:rPr>
                <w:sz w:val="20"/>
              </w:rPr>
            </w:pPr>
            <w:r>
              <w:rPr>
                <w:sz w:val="20"/>
              </w:rPr>
              <w:t>160</w:t>
            </w:r>
          </w:p>
        </w:tc>
        <w:tc>
          <w:tcPr>
            <w:tcW w:w="1440" w:type="dxa"/>
            <w:tcBorders>
              <w:top w:val="single" w:sz="2" w:space="0" w:color="000000"/>
              <w:left w:val="single" w:sz="2" w:space="0" w:color="000000"/>
              <w:bottom w:val="single" w:sz="2" w:space="0" w:color="000000"/>
              <w:right w:val="single" w:sz="2" w:space="0" w:color="000000"/>
            </w:tcBorders>
          </w:tcPr>
          <w:p w:rsidR="00D05564" w:rsidRDefault="00D05564">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D05564" w:rsidRDefault="00D05564">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D05564" w:rsidRDefault="00D05564">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D05564" w:rsidRDefault="00D05564">
            <w:pPr>
              <w:jc w:val="center"/>
              <w:rPr>
                <w:sz w:val="20"/>
              </w:rPr>
            </w:pPr>
            <w:r>
              <w:rPr>
                <w:sz w:val="20"/>
              </w:rPr>
              <w:t>0</w:t>
            </w:r>
          </w:p>
        </w:tc>
        <w:tc>
          <w:tcPr>
            <w:tcW w:w="1470" w:type="dxa"/>
            <w:tcBorders>
              <w:top w:val="single" w:sz="2" w:space="0" w:color="000000"/>
              <w:left w:val="single" w:sz="2" w:space="0" w:color="000000"/>
              <w:bottom w:val="single" w:sz="2" w:space="0" w:color="000000"/>
              <w:right w:val="single" w:sz="2" w:space="0" w:color="000000"/>
            </w:tcBorders>
          </w:tcPr>
          <w:p w:rsidR="00D05564" w:rsidRDefault="00D05564">
            <w:pPr>
              <w:jc w:val="right"/>
              <w:rPr>
                <w:sz w:val="20"/>
              </w:rPr>
            </w:pPr>
            <w:r>
              <w:rPr>
                <w:sz w:val="20"/>
              </w:rPr>
              <w:t>$0</w:t>
            </w:r>
          </w:p>
        </w:tc>
      </w:tr>
      <w:tr w:rsidR="00D05564"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D05564" w:rsidRDefault="00D05564">
            <w:pPr>
              <w:rPr>
                <w:sz w:val="20"/>
              </w:rPr>
            </w:pPr>
            <w:r>
              <w:rPr>
                <w:sz w:val="20"/>
              </w:rPr>
              <w:t xml:space="preserve">   Root cause analysis`</w:t>
            </w:r>
          </w:p>
        </w:tc>
        <w:tc>
          <w:tcPr>
            <w:tcW w:w="1710" w:type="dxa"/>
            <w:tcBorders>
              <w:top w:val="single" w:sz="2" w:space="0" w:color="000000"/>
              <w:left w:val="single" w:sz="2" w:space="0" w:color="000000"/>
              <w:bottom w:val="single" w:sz="2" w:space="0" w:color="000000"/>
              <w:right w:val="single" w:sz="2" w:space="0" w:color="000000"/>
            </w:tcBorders>
          </w:tcPr>
          <w:p w:rsidR="00D05564" w:rsidRDefault="00D05564">
            <w:pPr>
              <w:jc w:val="center"/>
              <w:rPr>
                <w:sz w:val="20"/>
              </w:rPr>
            </w:pPr>
            <w:r>
              <w:rPr>
                <w:sz w:val="20"/>
              </w:rPr>
              <w:t>40</w:t>
            </w:r>
          </w:p>
        </w:tc>
        <w:tc>
          <w:tcPr>
            <w:tcW w:w="1314" w:type="dxa"/>
            <w:tcBorders>
              <w:top w:val="single" w:sz="2" w:space="0" w:color="000000"/>
              <w:left w:val="single" w:sz="2" w:space="0" w:color="000000"/>
              <w:bottom w:val="single" w:sz="2" w:space="0" w:color="000000"/>
              <w:right w:val="single" w:sz="2" w:space="0" w:color="000000"/>
            </w:tcBorders>
          </w:tcPr>
          <w:p w:rsidR="00D05564" w:rsidRDefault="00D05564" w:rsidP="00D05564">
            <w:pPr>
              <w:jc w:val="center"/>
              <w:rPr>
                <w:sz w:val="20"/>
              </w:rPr>
            </w:pPr>
            <w:r>
              <w:rPr>
                <w:sz w:val="20"/>
              </w:rPr>
              <w:t>4</w:t>
            </w:r>
          </w:p>
        </w:tc>
        <w:tc>
          <w:tcPr>
            <w:tcW w:w="1260" w:type="dxa"/>
            <w:tcBorders>
              <w:top w:val="single" w:sz="2" w:space="0" w:color="000000"/>
              <w:left w:val="single" w:sz="2" w:space="0" w:color="000000"/>
              <w:bottom w:val="single" w:sz="2" w:space="0" w:color="000000"/>
              <w:right w:val="single" w:sz="2" w:space="0" w:color="000000"/>
            </w:tcBorders>
          </w:tcPr>
          <w:p w:rsidR="00D05564" w:rsidRDefault="00D05564">
            <w:pPr>
              <w:jc w:val="center"/>
              <w:rPr>
                <w:sz w:val="20"/>
              </w:rPr>
            </w:pPr>
            <w:r>
              <w:rPr>
                <w:sz w:val="20"/>
              </w:rPr>
              <w:t>160</w:t>
            </w:r>
          </w:p>
        </w:tc>
        <w:tc>
          <w:tcPr>
            <w:tcW w:w="1440" w:type="dxa"/>
            <w:tcBorders>
              <w:top w:val="single" w:sz="2" w:space="0" w:color="000000"/>
              <w:left w:val="single" w:sz="2" w:space="0" w:color="000000"/>
              <w:bottom w:val="single" w:sz="2" w:space="0" w:color="000000"/>
              <w:right w:val="single" w:sz="2" w:space="0" w:color="000000"/>
            </w:tcBorders>
          </w:tcPr>
          <w:p w:rsidR="00D05564" w:rsidRDefault="00D05564">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D05564" w:rsidRDefault="00D05564">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D05564" w:rsidRDefault="00D05564">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D05564" w:rsidRDefault="00D05564">
            <w:pPr>
              <w:jc w:val="center"/>
              <w:rPr>
                <w:sz w:val="20"/>
              </w:rPr>
            </w:pPr>
            <w:r>
              <w:rPr>
                <w:sz w:val="20"/>
              </w:rPr>
              <w:t>0</w:t>
            </w:r>
          </w:p>
        </w:tc>
        <w:tc>
          <w:tcPr>
            <w:tcW w:w="1470" w:type="dxa"/>
            <w:tcBorders>
              <w:top w:val="single" w:sz="2" w:space="0" w:color="000000"/>
              <w:left w:val="single" w:sz="2" w:space="0" w:color="000000"/>
              <w:bottom w:val="single" w:sz="2" w:space="0" w:color="000000"/>
              <w:right w:val="single" w:sz="2" w:space="0" w:color="000000"/>
            </w:tcBorders>
          </w:tcPr>
          <w:p w:rsidR="00D05564" w:rsidRDefault="00D05564">
            <w:pPr>
              <w:jc w:val="right"/>
              <w:rPr>
                <w:sz w:val="20"/>
              </w:rPr>
            </w:pPr>
            <w:r>
              <w:rPr>
                <w:sz w:val="20"/>
              </w:rPr>
              <w:t>$0</w:t>
            </w: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r>
              <w:rPr>
                <w:sz w:val="20"/>
              </w:rPr>
              <w:t>3.  Reporting requirements</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00"/>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rsidP="0099646D">
            <w:pPr>
              <w:rPr>
                <w:sz w:val="20"/>
              </w:rPr>
            </w:pPr>
            <w:r>
              <w:rPr>
                <w:sz w:val="20"/>
              </w:rPr>
              <w:t xml:space="preserve">     A.  Read instructions </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1</w:t>
            </w: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1</w:t>
            </w: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1</w:t>
            </w: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r>
              <w:rPr>
                <w:sz w:val="20"/>
              </w:rPr>
              <w:t>$0</w:t>
            </w: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r>
              <w:rPr>
                <w:sz w:val="20"/>
              </w:rPr>
              <w:t xml:space="preserve">     B.  Required activities</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rsidP="00D05564">
            <w:pPr>
              <w:rPr>
                <w:sz w:val="20"/>
              </w:rPr>
            </w:pPr>
            <w:r>
              <w:rPr>
                <w:sz w:val="20"/>
              </w:rPr>
              <w:t xml:space="preserve">        Initial performance tests </w:t>
            </w:r>
            <w:r w:rsidR="008F7EC7" w:rsidRPr="00381BAE">
              <w:rPr>
                <w:sz w:val="20"/>
                <w:vertAlign w:val="superscript"/>
              </w:rPr>
              <w:t>c</w:t>
            </w:r>
          </w:p>
        </w:tc>
        <w:tc>
          <w:tcPr>
            <w:tcW w:w="1710" w:type="dxa"/>
            <w:tcBorders>
              <w:top w:val="single" w:sz="2" w:space="0" w:color="000000"/>
              <w:left w:val="single" w:sz="2" w:space="0" w:color="000000"/>
              <w:bottom w:val="single" w:sz="2" w:space="0" w:color="000000"/>
              <w:right w:val="single" w:sz="2" w:space="0" w:color="000000"/>
            </w:tcBorders>
          </w:tcPr>
          <w:p w:rsidR="00E014AA" w:rsidRDefault="00D05564">
            <w:pPr>
              <w:jc w:val="center"/>
              <w:rPr>
                <w:sz w:val="20"/>
              </w:rPr>
            </w:pPr>
            <w:r>
              <w:rPr>
                <w:sz w:val="20"/>
              </w:rPr>
              <w:t>40</w:t>
            </w:r>
          </w:p>
        </w:tc>
        <w:tc>
          <w:tcPr>
            <w:tcW w:w="1314" w:type="dxa"/>
            <w:tcBorders>
              <w:top w:val="single" w:sz="2" w:space="0" w:color="000000"/>
              <w:left w:val="single" w:sz="2" w:space="0" w:color="000000"/>
              <w:bottom w:val="single" w:sz="2" w:space="0" w:color="000000"/>
              <w:right w:val="single" w:sz="2" w:space="0" w:color="000000"/>
            </w:tcBorders>
          </w:tcPr>
          <w:p w:rsidR="00E014AA" w:rsidRDefault="00D05564">
            <w:pPr>
              <w:jc w:val="center"/>
              <w:rPr>
                <w:sz w:val="20"/>
              </w:rPr>
            </w:pPr>
            <w:r>
              <w:rPr>
                <w:sz w:val="20"/>
              </w:rPr>
              <w:t>6</w:t>
            </w:r>
          </w:p>
        </w:tc>
        <w:tc>
          <w:tcPr>
            <w:tcW w:w="1260" w:type="dxa"/>
            <w:tcBorders>
              <w:top w:val="single" w:sz="2" w:space="0" w:color="000000"/>
              <w:left w:val="single" w:sz="2" w:space="0" w:color="000000"/>
              <w:bottom w:val="single" w:sz="2" w:space="0" w:color="000000"/>
              <w:right w:val="single" w:sz="2" w:space="0" w:color="000000"/>
            </w:tcBorders>
          </w:tcPr>
          <w:p w:rsidR="00E014AA" w:rsidRDefault="00D05564">
            <w:pPr>
              <w:jc w:val="center"/>
              <w:rPr>
                <w:sz w:val="20"/>
              </w:rPr>
            </w:pPr>
            <w:r>
              <w:rPr>
                <w:sz w:val="20"/>
              </w:rPr>
              <w:t>320</w:t>
            </w: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r>
              <w:rPr>
                <w:sz w:val="20"/>
              </w:rPr>
              <w:t>$0</w:t>
            </w: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rsidP="0099646D">
            <w:pPr>
              <w:rPr>
                <w:sz w:val="20"/>
              </w:rPr>
            </w:pPr>
            <w:r>
              <w:rPr>
                <w:sz w:val="20"/>
              </w:rPr>
              <w:t xml:space="preserve">        Repeat of p</w:t>
            </w:r>
            <w:r w:rsidR="007167C1">
              <w:rPr>
                <w:sz w:val="20"/>
              </w:rPr>
              <w:t xml:space="preserve">erformance tests </w:t>
            </w:r>
            <w:r w:rsidR="007167C1" w:rsidRPr="0025533F">
              <w:rPr>
                <w:sz w:val="20"/>
                <w:vertAlign w:val="superscript"/>
              </w:rPr>
              <w:t>d</w:t>
            </w:r>
          </w:p>
        </w:tc>
        <w:tc>
          <w:tcPr>
            <w:tcW w:w="1710" w:type="dxa"/>
            <w:tcBorders>
              <w:top w:val="single" w:sz="2" w:space="0" w:color="000000"/>
              <w:left w:val="single" w:sz="2" w:space="0" w:color="000000"/>
              <w:bottom w:val="single" w:sz="2" w:space="0" w:color="000000"/>
              <w:right w:val="single" w:sz="2" w:space="0" w:color="000000"/>
            </w:tcBorders>
          </w:tcPr>
          <w:p w:rsidR="00E014AA" w:rsidRDefault="00D05564">
            <w:pPr>
              <w:jc w:val="center"/>
              <w:rPr>
                <w:sz w:val="20"/>
              </w:rPr>
            </w:pPr>
            <w:r>
              <w:rPr>
                <w:sz w:val="20"/>
              </w:rPr>
              <w:t>40</w:t>
            </w:r>
          </w:p>
        </w:tc>
        <w:tc>
          <w:tcPr>
            <w:tcW w:w="1314" w:type="dxa"/>
            <w:tcBorders>
              <w:top w:val="single" w:sz="2" w:space="0" w:color="000000"/>
              <w:left w:val="single" w:sz="2" w:space="0" w:color="000000"/>
              <w:bottom w:val="single" w:sz="2" w:space="0" w:color="000000"/>
              <w:right w:val="single" w:sz="2" w:space="0" w:color="000000"/>
            </w:tcBorders>
          </w:tcPr>
          <w:p w:rsidR="00E014AA" w:rsidRDefault="00BB3F7C">
            <w:pPr>
              <w:jc w:val="center"/>
              <w:rPr>
                <w:sz w:val="20"/>
              </w:rPr>
            </w:pPr>
            <w:r>
              <w:rPr>
                <w:sz w:val="20"/>
              </w:rPr>
              <w:t>0.2</w:t>
            </w:r>
          </w:p>
        </w:tc>
        <w:tc>
          <w:tcPr>
            <w:tcW w:w="1260" w:type="dxa"/>
            <w:tcBorders>
              <w:top w:val="single" w:sz="2" w:space="0" w:color="000000"/>
              <w:left w:val="single" w:sz="2" w:space="0" w:color="000000"/>
              <w:bottom w:val="single" w:sz="2" w:space="0" w:color="000000"/>
              <w:right w:val="single" w:sz="2" w:space="0" w:color="000000"/>
            </w:tcBorders>
          </w:tcPr>
          <w:p w:rsidR="00E014AA" w:rsidRDefault="00D05564">
            <w:pPr>
              <w:jc w:val="center"/>
              <w:rPr>
                <w:sz w:val="20"/>
              </w:rPr>
            </w:pPr>
            <w:r>
              <w:rPr>
                <w:sz w:val="20"/>
              </w:rPr>
              <w:t>8</w:t>
            </w: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r>
              <w:rPr>
                <w:sz w:val="20"/>
              </w:rPr>
              <w:t>$0</w:t>
            </w: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99646D" w:rsidRDefault="00712F0A" w:rsidP="0099646D">
            <w:pPr>
              <w:rPr>
                <w:sz w:val="20"/>
              </w:rPr>
            </w:pPr>
            <w:r>
              <w:rPr>
                <w:sz w:val="20"/>
              </w:rPr>
              <w:t xml:space="preserve">        Relative accuracy test</w:t>
            </w:r>
          </w:p>
        </w:tc>
        <w:tc>
          <w:tcPr>
            <w:tcW w:w="1710" w:type="dxa"/>
            <w:tcBorders>
              <w:top w:val="single" w:sz="2" w:space="0" w:color="000000"/>
              <w:left w:val="single" w:sz="2" w:space="0" w:color="000000"/>
              <w:bottom w:val="single" w:sz="2" w:space="0" w:color="000000"/>
              <w:right w:val="single" w:sz="2" w:space="0" w:color="000000"/>
            </w:tcBorders>
          </w:tcPr>
          <w:p w:rsidR="0099646D" w:rsidRDefault="00712F0A">
            <w:pPr>
              <w:jc w:val="center"/>
              <w:rPr>
                <w:sz w:val="20"/>
              </w:rPr>
            </w:pPr>
            <w:r>
              <w:rPr>
                <w:sz w:val="20"/>
              </w:rPr>
              <w:t>24</w:t>
            </w:r>
          </w:p>
        </w:tc>
        <w:tc>
          <w:tcPr>
            <w:tcW w:w="1314" w:type="dxa"/>
            <w:tcBorders>
              <w:top w:val="single" w:sz="2" w:space="0" w:color="000000"/>
              <w:left w:val="single" w:sz="2" w:space="0" w:color="000000"/>
              <w:bottom w:val="single" w:sz="2" w:space="0" w:color="000000"/>
              <w:right w:val="single" w:sz="2" w:space="0" w:color="000000"/>
            </w:tcBorders>
          </w:tcPr>
          <w:p w:rsidR="0099646D" w:rsidRDefault="00712F0A">
            <w:pPr>
              <w:jc w:val="center"/>
              <w:rPr>
                <w:sz w:val="20"/>
              </w:rPr>
            </w:pPr>
            <w:r>
              <w:rPr>
                <w:sz w:val="20"/>
              </w:rPr>
              <w:t>6</w:t>
            </w:r>
          </w:p>
        </w:tc>
        <w:tc>
          <w:tcPr>
            <w:tcW w:w="1260" w:type="dxa"/>
            <w:tcBorders>
              <w:top w:val="single" w:sz="2" w:space="0" w:color="000000"/>
              <w:left w:val="single" w:sz="2" w:space="0" w:color="000000"/>
              <w:bottom w:val="single" w:sz="2" w:space="0" w:color="000000"/>
              <w:right w:val="single" w:sz="2" w:space="0" w:color="000000"/>
            </w:tcBorders>
          </w:tcPr>
          <w:p w:rsidR="0099646D" w:rsidRDefault="00712F0A">
            <w:pPr>
              <w:jc w:val="center"/>
              <w:rPr>
                <w:sz w:val="20"/>
              </w:rPr>
            </w:pPr>
            <w:r>
              <w:rPr>
                <w:sz w:val="20"/>
              </w:rPr>
              <w:t>192</w:t>
            </w:r>
          </w:p>
        </w:tc>
        <w:tc>
          <w:tcPr>
            <w:tcW w:w="1440" w:type="dxa"/>
            <w:tcBorders>
              <w:top w:val="single" w:sz="2" w:space="0" w:color="000000"/>
              <w:left w:val="single" w:sz="2" w:space="0" w:color="000000"/>
              <w:bottom w:val="single" w:sz="2" w:space="0" w:color="000000"/>
              <w:right w:val="single" w:sz="2" w:space="0" w:color="000000"/>
            </w:tcBorders>
          </w:tcPr>
          <w:p w:rsidR="0099646D" w:rsidRDefault="00712F0A">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99646D" w:rsidRDefault="00712F0A">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99646D" w:rsidRDefault="00712F0A">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99646D" w:rsidRDefault="00712F0A">
            <w:pPr>
              <w:jc w:val="center"/>
              <w:rPr>
                <w:sz w:val="20"/>
              </w:rPr>
            </w:pPr>
            <w:r>
              <w:rPr>
                <w:sz w:val="20"/>
              </w:rPr>
              <w:t>0</w:t>
            </w:r>
          </w:p>
        </w:tc>
        <w:tc>
          <w:tcPr>
            <w:tcW w:w="1470" w:type="dxa"/>
            <w:tcBorders>
              <w:top w:val="single" w:sz="2" w:space="0" w:color="000000"/>
              <w:left w:val="single" w:sz="2" w:space="0" w:color="000000"/>
              <w:bottom w:val="single" w:sz="2" w:space="0" w:color="000000"/>
              <w:right w:val="single" w:sz="2" w:space="0" w:color="000000"/>
            </w:tcBorders>
          </w:tcPr>
          <w:p w:rsidR="0099646D" w:rsidRDefault="00712F0A">
            <w:pPr>
              <w:ind w:right="-14"/>
              <w:jc w:val="right"/>
              <w:rPr>
                <w:sz w:val="20"/>
              </w:rPr>
            </w:pPr>
            <w:r>
              <w:rPr>
                <w:sz w:val="20"/>
              </w:rPr>
              <w:t>$0</w:t>
            </w:r>
          </w:p>
        </w:tc>
      </w:tr>
      <w:tr w:rsidR="00712F0A"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712F0A" w:rsidRDefault="00712F0A" w:rsidP="0099646D">
            <w:pPr>
              <w:rPr>
                <w:sz w:val="20"/>
              </w:rPr>
            </w:pPr>
            <w:r>
              <w:rPr>
                <w:sz w:val="20"/>
              </w:rPr>
              <w:t xml:space="preserve">        CEMS audits (RAA or CGA)</w:t>
            </w:r>
          </w:p>
        </w:tc>
        <w:tc>
          <w:tcPr>
            <w:tcW w:w="1710" w:type="dxa"/>
            <w:tcBorders>
              <w:top w:val="single" w:sz="2" w:space="0" w:color="000000"/>
              <w:left w:val="single" w:sz="2" w:space="0" w:color="000000"/>
              <w:bottom w:val="single" w:sz="2" w:space="0" w:color="000000"/>
              <w:right w:val="single" w:sz="2" w:space="0" w:color="000000"/>
            </w:tcBorders>
          </w:tcPr>
          <w:p w:rsidR="00712F0A" w:rsidRDefault="00712F0A">
            <w:pPr>
              <w:jc w:val="center"/>
              <w:rPr>
                <w:sz w:val="20"/>
              </w:rPr>
            </w:pPr>
            <w:r>
              <w:rPr>
                <w:sz w:val="20"/>
              </w:rPr>
              <w:t>36</w:t>
            </w:r>
          </w:p>
        </w:tc>
        <w:tc>
          <w:tcPr>
            <w:tcW w:w="1314" w:type="dxa"/>
            <w:tcBorders>
              <w:top w:val="single" w:sz="2" w:space="0" w:color="000000"/>
              <w:left w:val="single" w:sz="2" w:space="0" w:color="000000"/>
              <w:bottom w:val="single" w:sz="2" w:space="0" w:color="000000"/>
              <w:right w:val="single" w:sz="2" w:space="0" w:color="000000"/>
            </w:tcBorders>
          </w:tcPr>
          <w:p w:rsidR="00712F0A" w:rsidRDefault="00712F0A">
            <w:pPr>
              <w:jc w:val="center"/>
              <w:rPr>
                <w:sz w:val="20"/>
              </w:rPr>
            </w:pPr>
            <w:r>
              <w:rPr>
                <w:sz w:val="20"/>
              </w:rPr>
              <w:t>6</w:t>
            </w:r>
          </w:p>
        </w:tc>
        <w:tc>
          <w:tcPr>
            <w:tcW w:w="1260" w:type="dxa"/>
            <w:tcBorders>
              <w:top w:val="single" w:sz="2" w:space="0" w:color="000000"/>
              <w:left w:val="single" w:sz="2" w:space="0" w:color="000000"/>
              <w:bottom w:val="single" w:sz="2" w:space="0" w:color="000000"/>
              <w:right w:val="single" w:sz="2" w:space="0" w:color="000000"/>
            </w:tcBorders>
          </w:tcPr>
          <w:p w:rsidR="00712F0A" w:rsidRDefault="00712F0A">
            <w:pPr>
              <w:jc w:val="center"/>
              <w:rPr>
                <w:sz w:val="20"/>
              </w:rPr>
            </w:pPr>
            <w:r>
              <w:rPr>
                <w:sz w:val="20"/>
              </w:rPr>
              <w:t>288</w:t>
            </w:r>
          </w:p>
        </w:tc>
        <w:tc>
          <w:tcPr>
            <w:tcW w:w="1440" w:type="dxa"/>
            <w:tcBorders>
              <w:top w:val="single" w:sz="2" w:space="0" w:color="000000"/>
              <w:left w:val="single" w:sz="2" w:space="0" w:color="000000"/>
              <w:bottom w:val="single" w:sz="2" w:space="0" w:color="000000"/>
              <w:right w:val="single" w:sz="2" w:space="0" w:color="000000"/>
            </w:tcBorders>
          </w:tcPr>
          <w:p w:rsidR="00712F0A" w:rsidRDefault="00712F0A">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712F0A" w:rsidRDefault="00712F0A">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712F0A" w:rsidRDefault="00712F0A">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712F0A" w:rsidRDefault="00712F0A">
            <w:pPr>
              <w:jc w:val="center"/>
              <w:rPr>
                <w:sz w:val="20"/>
              </w:rPr>
            </w:pPr>
            <w:r>
              <w:rPr>
                <w:sz w:val="20"/>
              </w:rPr>
              <w:t>0</w:t>
            </w:r>
          </w:p>
        </w:tc>
        <w:tc>
          <w:tcPr>
            <w:tcW w:w="1470" w:type="dxa"/>
            <w:tcBorders>
              <w:top w:val="single" w:sz="2" w:space="0" w:color="000000"/>
              <w:left w:val="single" w:sz="2" w:space="0" w:color="000000"/>
              <w:bottom w:val="single" w:sz="2" w:space="0" w:color="000000"/>
              <w:right w:val="single" w:sz="2" w:space="0" w:color="000000"/>
            </w:tcBorders>
          </w:tcPr>
          <w:p w:rsidR="00712F0A" w:rsidRDefault="00712F0A">
            <w:pPr>
              <w:ind w:right="-14"/>
              <w:jc w:val="right"/>
              <w:rPr>
                <w:sz w:val="20"/>
              </w:rPr>
            </w:pPr>
            <w:r>
              <w:rPr>
                <w:sz w:val="20"/>
              </w:rPr>
              <w:t>$0</w:t>
            </w:r>
          </w:p>
        </w:tc>
      </w:tr>
      <w:tr w:rsidR="00712F0A"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712F0A" w:rsidRDefault="00712F0A" w:rsidP="0099646D">
            <w:pPr>
              <w:rPr>
                <w:sz w:val="20"/>
              </w:rPr>
            </w:pPr>
            <w:r>
              <w:rPr>
                <w:sz w:val="20"/>
              </w:rPr>
              <w:t xml:space="preserve">     C.  Create Information</w:t>
            </w:r>
          </w:p>
        </w:tc>
        <w:tc>
          <w:tcPr>
            <w:tcW w:w="1710" w:type="dxa"/>
            <w:tcBorders>
              <w:top w:val="single" w:sz="2" w:space="0" w:color="000000"/>
              <w:left w:val="single" w:sz="2" w:space="0" w:color="000000"/>
              <w:bottom w:val="single" w:sz="2" w:space="0" w:color="000000"/>
              <w:right w:val="single" w:sz="2" w:space="0" w:color="000000"/>
            </w:tcBorders>
          </w:tcPr>
          <w:p w:rsidR="00712F0A" w:rsidRDefault="00712F0A">
            <w:pPr>
              <w:jc w:val="center"/>
              <w:rPr>
                <w:sz w:val="20"/>
              </w:rPr>
            </w:pPr>
          </w:p>
        </w:tc>
        <w:tc>
          <w:tcPr>
            <w:tcW w:w="1314" w:type="dxa"/>
            <w:tcBorders>
              <w:top w:val="single" w:sz="2" w:space="0" w:color="000000"/>
              <w:left w:val="single" w:sz="2" w:space="0" w:color="000000"/>
              <w:bottom w:val="single" w:sz="2" w:space="0" w:color="000000"/>
              <w:right w:val="single" w:sz="2" w:space="0" w:color="000000"/>
            </w:tcBorders>
          </w:tcPr>
          <w:p w:rsidR="00712F0A" w:rsidRDefault="00712F0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712F0A" w:rsidRDefault="00712F0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712F0A" w:rsidRDefault="00712F0A">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712F0A" w:rsidRDefault="00712F0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712F0A" w:rsidRDefault="00712F0A">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712F0A" w:rsidRDefault="00712F0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712F0A" w:rsidRDefault="00712F0A">
            <w:pPr>
              <w:ind w:right="-14"/>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rsidP="00712F0A">
            <w:pPr>
              <w:rPr>
                <w:sz w:val="20"/>
              </w:rPr>
            </w:pPr>
            <w:r>
              <w:rPr>
                <w:sz w:val="20"/>
              </w:rPr>
              <w:t xml:space="preserve">     </w:t>
            </w:r>
            <w:r w:rsidR="00712F0A">
              <w:rPr>
                <w:sz w:val="20"/>
              </w:rPr>
              <w:t>D</w:t>
            </w:r>
            <w:r>
              <w:rPr>
                <w:sz w:val="20"/>
              </w:rPr>
              <w:t>.  Gather existing information</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rsidP="00712F0A">
            <w:pPr>
              <w:jc w:val="center"/>
              <w:rPr>
                <w:sz w:val="20"/>
              </w:rPr>
            </w:pPr>
            <w:r>
              <w:rPr>
                <w:sz w:val="20"/>
              </w:rPr>
              <w:t xml:space="preserve">See 3B </w:t>
            </w: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rsidP="00712F0A">
            <w:pPr>
              <w:rPr>
                <w:sz w:val="20"/>
              </w:rPr>
            </w:pPr>
            <w:r>
              <w:rPr>
                <w:sz w:val="20"/>
              </w:rPr>
              <w:t xml:space="preserve">     </w:t>
            </w:r>
            <w:r w:rsidR="00712F0A">
              <w:rPr>
                <w:sz w:val="20"/>
              </w:rPr>
              <w:t>E.</w:t>
            </w:r>
            <w:r>
              <w:rPr>
                <w:sz w:val="20"/>
              </w:rPr>
              <w:t xml:space="preserve">  Write Report</w:t>
            </w:r>
            <w:r w:rsidR="00381BAE">
              <w:rPr>
                <w:sz w:val="20"/>
              </w:rPr>
              <w:t xml:space="preserve"> </w:t>
            </w:r>
            <w:r w:rsidR="00381BAE" w:rsidRPr="00381BAE">
              <w:rPr>
                <w:sz w:val="20"/>
                <w:vertAlign w:val="superscript"/>
              </w:rPr>
              <w:t>e</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rsidP="00263D6B">
            <w:pPr>
              <w:rPr>
                <w:sz w:val="20"/>
              </w:rPr>
            </w:pPr>
            <w:r>
              <w:rPr>
                <w:sz w:val="20"/>
              </w:rPr>
              <w:t xml:space="preserve">        </w:t>
            </w:r>
            <w:r w:rsidR="00712F0A">
              <w:rPr>
                <w:sz w:val="20"/>
              </w:rPr>
              <w:t>Notification of construction/reconstruction</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2</w:t>
            </w:r>
          </w:p>
        </w:tc>
        <w:tc>
          <w:tcPr>
            <w:tcW w:w="1314"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7</w:t>
            </w:r>
          </w:p>
        </w:tc>
        <w:tc>
          <w:tcPr>
            <w:tcW w:w="126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14</w:t>
            </w: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r>
              <w:rPr>
                <w:sz w:val="20"/>
              </w:rPr>
              <w:t>$0</w:t>
            </w: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rsidP="00712F0A">
            <w:pPr>
              <w:rPr>
                <w:sz w:val="20"/>
              </w:rPr>
            </w:pPr>
            <w:r>
              <w:rPr>
                <w:sz w:val="20"/>
              </w:rPr>
              <w:t xml:space="preserve">        </w:t>
            </w:r>
            <w:r w:rsidR="00712F0A">
              <w:rPr>
                <w:sz w:val="20"/>
              </w:rPr>
              <w:t>Notification of anticipated startup</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2</w:t>
            </w:r>
          </w:p>
        </w:tc>
        <w:tc>
          <w:tcPr>
            <w:tcW w:w="1314"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7</w:t>
            </w:r>
          </w:p>
        </w:tc>
        <w:tc>
          <w:tcPr>
            <w:tcW w:w="126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14</w:t>
            </w: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r>
              <w:rPr>
                <w:sz w:val="20"/>
              </w:rPr>
              <w:t>$0</w:t>
            </w: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rsidP="00712F0A">
            <w:pPr>
              <w:rPr>
                <w:sz w:val="20"/>
              </w:rPr>
            </w:pPr>
            <w:r>
              <w:rPr>
                <w:sz w:val="20"/>
              </w:rPr>
              <w:t xml:space="preserve">        </w:t>
            </w:r>
            <w:r w:rsidR="00712F0A">
              <w:rPr>
                <w:sz w:val="20"/>
              </w:rPr>
              <w:t>Notification of actual startup</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2</w:t>
            </w:r>
          </w:p>
        </w:tc>
        <w:tc>
          <w:tcPr>
            <w:tcW w:w="1314"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7</w:t>
            </w:r>
          </w:p>
        </w:tc>
        <w:tc>
          <w:tcPr>
            <w:tcW w:w="126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14</w:t>
            </w: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0</w:t>
            </w: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r>
              <w:rPr>
                <w:sz w:val="20"/>
              </w:rPr>
              <w:t>$0</w:t>
            </w: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712F0A" w:rsidP="00CB5394">
            <w:pPr>
              <w:rPr>
                <w:sz w:val="20"/>
              </w:rPr>
            </w:pPr>
            <w:r>
              <w:rPr>
                <w:sz w:val="20"/>
              </w:rPr>
              <w:t xml:space="preserve">        Notification of initial performance test</w:t>
            </w:r>
          </w:p>
        </w:tc>
        <w:tc>
          <w:tcPr>
            <w:tcW w:w="171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2</w:t>
            </w:r>
          </w:p>
        </w:tc>
        <w:tc>
          <w:tcPr>
            <w:tcW w:w="1314"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7</w:t>
            </w:r>
          </w:p>
        </w:tc>
        <w:tc>
          <w:tcPr>
            <w:tcW w:w="126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14</w:t>
            </w:r>
          </w:p>
        </w:tc>
        <w:tc>
          <w:tcPr>
            <w:tcW w:w="144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0</w:t>
            </w:r>
          </w:p>
        </w:tc>
        <w:tc>
          <w:tcPr>
            <w:tcW w:w="1470" w:type="dxa"/>
            <w:tcBorders>
              <w:top w:val="single" w:sz="2" w:space="0" w:color="000000"/>
              <w:left w:val="single" w:sz="2" w:space="0" w:color="000000"/>
              <w:bottom w:val="single" w:sz="2" w:space="0" w:color="000000"/>
              <w:right w:val="single" w:sz="2" w:space="0" w:color="000000"/>
            </w:tcBorders>
          </w:tcPr>
          <w:p w:rsidR="00E014AA" w:rsidRDefault="00712F0A">
            <w:pPr>
              <w:ind w:right="-14"/>
              <w:jc w:val="right"/>
              <w:rPr>
                <w:sz w:val="20"/>
              </w:rPr>
            </w:pPr>
            <w:r>
              <w:rPr>
                <w:sz w:val="20"/>
              </w:rPr>
              <w:t>$0</w:t>
            </w: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rsidP="00712F0A">
            <w:pPr>
              <w:rPr>
                <w:sz w:val="20"/>
              </w:rPr>
            </w:pPr>
            <w:r>
              <w:rPr>
                <w:sz w:val="20"/>
              </w:rPr>
              <w:t xml:space="preserve">        </w:t>
            </w:r>
            <w:r w:rsidR="00712F0A">
              <w:rPr>
                <w:sz w:val="20"/>
              </w:rPr>
              <w:t>Report of performance test</w:t>
            </w:r>
          </w:p>
        </w:tc>
        <w:tc>
          <w:tcPr>
            <w:tcW w:w="171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See 3B</w:t>
            </w: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rsidP="001E6D6E">
            <w:pPr>
              <w:rPr>
                <w:sz w:val="20"/>
              </w:rPr>
            </w:pPr>
            <w:r>
              <w:rPr>
                <w:sz w:val="20"/>
              </w:rPr>
              <w:t xml:space="preserve">        Semiannual report</w:t>
            </w:r>
            <w:r w:rsidR="001E6D6E">
              <w:rPr>
                <w:sz w:val="20"/>
              </w:rPr>
              <w:t>s</w:t>
            </w:r>
            <w:r w:rsidR="007167C1">
              <w:rPr>
                <w:sz w:val="20"/>
              </w:rPr>
              <w:t xml:space="preserve"> </w:t>
            </w:r>
            <w:r w:rsidR="00712F0A">
              <w:rPr>
                <w:sz w:val="20"/>
              </w:rPr>
              <w:t xml:space="preserve"> of excess emission </w:t>
            </w:r>
            <w:r w:rsidR="007167C1" w:rsidRPr="0025533F">
              <w:rPr>
                <w:sz w:val="20"/>
                <w:vertAlign w:val="superscript"/>
              </w:rPr>
              <w:t>f</w:t>
            </w:r>
          </w:p>
        </w:tc>
        <w:tc>
          <w:tcPr>
            <w:tcW w:w="171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8</w:t>
            </w:r>
          </w:p>
        </w:tc>
        <w:tc>
          <w:tcPr>
            <w:tcW w:w="1314"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2</w:t>
            </w:r>
          </w:p>
        </w:tc>
        <w:tc>
          <w:tcPr>
            <w:tcW w:w="126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16</w:t>
            </w:r>
          </w:p>
        </w:tc>
        <w:tc>
          <w:tcPr>
            <w:tcW w:w="144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18</w:t>
            </w:r>
          </w:p>
        </w:tc>
        <w:tc>
          <w:tcPr>
            <w:tcW w:w="117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288</w:t>
            </w:r>
          </w:p>
        </w:tc>
        <w:tc>
          <w:tcPr>
            <w:tcW w:w="144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14.4</w:t>
            </w:r>
          </w:p>
        </w:tc>
        <w:tc>
          <w:tcPr>
            <w:tcW w:w="990" w:type="dxa"/>
            <w:tcBorders>
              <w:top w:val="single" w:sz="2" w:space="0" w:color="000000"/>
              <w:left w:val="single" w:sz="2" w:space="0" w:color="000000"/>
              <w:bottom w:val="single" w:sz="2" w:space="0" w:color="000000"/>
              <w:right w:val="single" w:sz="2" w:space="0" w:color="000000"/>
            </w:tcBorders>
          </w:tcPr>
          <w:p w:rsidR="00E014AA" w:rsidRDefault="00712F0A">
            <w:pPr>
              <w:jc w:val="center"/>
              <w:rPr>
                <w:sz w:val="20"/>
              </w:rPr>
            </w:pPr>
            <w:r>
              <w:rPr>
                <w:sz w:val="20"/>
              </w:rPr>
              <w:t>28.8</w:t>
            </w:r>
          </w:p>
        </w:tc>
        <w:tc>
          <w:tcPr>
            <w:tcW w:w="1470" w:type="dxa"/>
            <w:tcBorders>
              <w:top w:val="single" w:sz="2" w:space="0" w:color="000000"/>
              <w:left w:val="single" w:sz="2" w:space="0" w:color="000000"/>
              <w:bottom w:val="single" w:sz="2" w:space="0" w:color="000000"/>
              <w:right w:val="single" w:sz="2" w:space="0" w:color="000000"/>
            </w:tcBorders>
          </w:tcPr>
          <w:p w:rsidR="00E014AA" w:rsidRDefault="00A41DF7" w:rsidP="00FB4D5D">
            <w:pPr>
              <w:ind w:right="-14"/>
              <w:jc w:val="right"/>
              <w:rPr>
                <w:sz w:val="20"/>
              </w:rPr>
            </w:pPr>
            <w:r>
              <w:rPr>
                <w:sz w:val="20"/>
              </w:rPr>
              <w:t>$31,703.90</w:t>
            </w: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r>
              <w:rPr>
                <w:sz w:val="20"/>
              </w:rPr>
              <w:t>Subtotal  for Reporting  Requirements</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4" w:space="0" w:color="auto"/>
              <w:right w:val="single" w:sz="4" w:space="0" w:color="auto"/>
            </w:tcBorders>
          </w:tcPr>
          <w:p w:rsidR="00E014AA" w:rsidRDefault="00E014AA">
            <w:pPr>
              <w:jc w:val="center"/>
              <w:rPr>
                <w:sz w:val="20"/>
              </w:rPr>
            </w:pPr>
          </w:p>
        </w:tc>
        <w:tc>
          <w:tcPr>
            <w:tcW w:w="1170" w:type="dxa"/>
            <w:tcBorders>
              <w:top w:val="single" w:sz="2" w:space="0" w:color="000000"/>
              <w:left w:val="single" w:sz="4" w:space="0" w:color="auto"/>
              <w:bottom w:val="single" w:sz="4" w:space="0" w:color="auto"/>
              <w:right w:val="single" w:sz="4" w:space="0" w:color="auto"/>
            </w:tcBorders>
          </w:tcPr>
          <w:p w:rsidR="00E014AA" w:rsidRDefault="00E014AA">
            <w:pPr>
              <w:jc w:val="center"/>
              <w:rPr>
                <w:sz w:val="20"/>
              </w:rPr>
            </w:pPr>
          </w:p>
        </w:tc>
        <w:tc>
          <w:tcPr>
            <w:tcW w:w="1440" w:type="dxa"/>
            <w:tcBorders>
              <w:top w:val="single" w:sz="2" w:space="0" w:color="000000"/>
              <w:left w:val="single" w:sz="4" w:space="0" w:color="auto"/>
              <w:bottom w:val="single" w:sz="4" w:space="0" w:color="auto"/>
              <w:right w:val="single" w:sz="4" w:space="0" w:color="auto"/>
            </w:tcBorders>
          </w:tcPr>
          <w:p w:rsidR="00E014AA" w:rsidRDefault="00E014AA">
            <w:pPr>
              <w:jc w:val="center"/>
              <w:rPr>
                <w:sz w:val="20"/>
              </w:rPr>
            </w:pPr>
          </w:p>
        </w:tc>
        <w:tc>
          <w:tcPr>
            <w:tcW w:w="990" w:type="dxa"/>
            <w:tcBorders>
              <w:top w:val="single" w:sz="2" w:space="0" w:color="000000"/>
              <w:left w:val="single" w:sz="4" w:space="0" w:color="auto"/>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r>
              <w:rPr>
                <w:sz w:val="20"/>
              </w:rPr>
              <w:t>4.  Recordkeeping requirements</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4" w:space="0" w:color="auto"/>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4" w:space="0" w:color="auto"/>
              <w:left w:val="single" w:sz="2" w:space="0" w:color="000000"/>
              <w:bottom w:val="single" w:sz="2" w:space="0" w:color="000000"/>
              <w:right w:val="nil"/>
            </w:tcBorders>
          </w:tcPr>
          <w:p w:rsidR="00E014AA" w:rsidRDefault="00E014AA">
            <w:pPr>
              <w:jc w:val="center"/>
              <w:rPr>
                <w:sz w:val="20"/>
              </w:rPr>
            </w:pPr>
          </w:p>
        </w:tc>
        <w:tc>
          <w:tcPr>
            <w:tcW w:w="1440" w:type="dxa"/>
            <w:tcBorders>
              <w:top w:val="single" w:sz="4" w:space="0" w:color="auto"/>
              <w:left w:val="nil"/>
              <w:bottom w:val="single" w:sz="2" w:space="0" w:color="000000"/>
              <w:right w:val="nil"/>
            </w:tcBorders>
          </w:tcPr>
          <w:p w:rsidR="00E014AA" w:rsidRDefault="00A41DF7">
            <w:pPr>
              <w:jc w:val="center"/>
              <w:rPr>
                <w:sz w:val="20"/>
              </w:rPr>
            </w:pPr>
            <w:r>
              <w:rPr>
                <w:sz w:val="20"/>
              </w:rPr>
              <w:t>331.2</w:t>
            </w:r>
          </w:p>
        </w:tc>
        <w:tc>
          <w:tcPr>
            <w:tcW w:w="990" w:type="dxa"/>
            <w:tcBorders>
              <w:top w:val="single" w:sz="2" w:space="0" w:color="000000"/>
              <w:left w:val="nil"/>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r>
              <w:rPr>
                <w:sz w:val="20"/>
              </w:rPr>
              <w:t xml:space="preserve">     A.  Read instructions </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See 3A</w:t>
            </w: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r>
              <w:rPr>
                <w:sz w:val="20"/>
              </w:rPr>
              <w:t xml:space="preserve">     B.  Plan activities</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rsidP="00712F0A">
            <w:pPr>
              <w:jc w:val="center"/>
              <w:rPr>
                <w:sz w:val="20"/>
              </w:rPr>
            </w:pPr>
            <w:r>
              <w:rPr>
                <w:sz w:val="20"/>
              </w:rPr>
              <w:t>See 3</w:t>
            </w:r>
            <w:r w:rsidR="00712F0A">
              <w:rPr>
                <w:sz w:val="20"/>
              </w:rPr>
              <w:t>B</w:t>
            </w: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r>
              <w:rPr>
                <w:sz w:val="20"/>
              </w:rPr>
              <w:t xml:space="preserve">     C.  Implement Activities </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rsidP="00712F0A">
            <w:pPr>
              <w:jc w:val="center"/>
              <w:rPr>
                <w:sz w:val="20"/>
              </w:rPr>
            </w:pPr>
            <w:r>
              <w:rPr>
                <w:sz w:val="20"/>
              </w:rPr>
              <w:t>See 3</w:t>
            </w:r>
            <w:r w:rsidR="00712F0A">
              <w:rPr>
                <w:sz w:val="20"/>
              </w:rPr>
              <w:t>B</w:t>
            </w: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r>
              <w:rPr>
                <w:sz w:val="20"/>
              </w:rPr>
              <w:t xml:space="preserve">     D.  Develop record system</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N/A</w:t>
            </w: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rsidP="00712F0A">
            <w:pPr>
              <w:rPr>
                <w:sz w:val="20"/>
              </w:rPr>
            </w:pPr>
            <w:r>
              <w:rPr>
                <w:sz w:val="20"/>
              </w:rPr>
              <w:t xml:space="preserve">     E.  Time to enter information</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rsidP="00A41DF7">
            <w:pPr>
              <w:rPr>
                <w:sz w:val="20"/>
              </w:rPr>
            </w:pPr>
            <w:r>
              <w:rPr>
                <w:sz w:val="20"/>
              </w:rPr>
              <w:t xml:space="preserve">        </w:t>
            </w:r>
            <w:r w:rsidR="00A41DF7">
              <w:rPr>
                <w:sz w:val="20"/>
              </w:rPr>
              <w:t xml:space="preserve">  </w:t>
            </w:r>
            <w:r>
              <w:rPr>
                <w:sz w:val="20"/>
              </w:rPr>
              <w:t xml:space="preserve"> Records of </w:t>
            </w:r>
            <w:r w:rsidR="00A41DF7">
              <w:rPr>
                <w:sz w:val="20"/>
              </w:rPr>
              <w:t>operating parameters</w:t>
            </w:r>
            <w:r w:rsidR="00381BAE">
              <w:rPr>
                <w:sz w:val="20"/>
              </w:rPr>
              <w:t xml:space="preserve"> </w:t>
            </w:r>
            <w:r w:rsidR="00381BAE" w:rsidRPr="00381BAE">
              <w:rPr>
                <w:sz w:val="20"/>
                <w:vertAlign w:val="superscript"/>
              </w:rPr>
              <w:t>g</w:t>
            </w:r>
          </w:p>
        </w:tc>
        <w:tc>
          <w:tcPr>
            <w:tcW w:w="1710" w:type="dxa"/>
            <w:tcBorders>
              <w:top w:val="single" w:sz="2" w:space="0" w:color="000000"/>
              <w:left w:val="single" w:sz="2" w:space="0" w:color="000000"/>
              <w:bottom w:val="single" w:sz="2" w:space="0" w:color="000000"/>
              <w:right w:val="single" w:sz="2" w:space="0" w:color="000000"/>
            </w:tcBorders>
          </w:tcPr>
          <w:p w:rsidR="00E014AA" w:rsidRDefault="00A41DF7">
            <w:pPr>
              <w:jc w:val="center"/>
              <w:rPr>
                <w:sz w:val="20"/>
              </w:rPr>
            </w:pPr>
            <w:r>
              <w:rPr>
                <w:sz w:val="20"/>
              </w:rPr>
              <w:t>0.25</w:t>
            </w:r>
          </w:p>
        </w:tc>
        <w:tc>
          <w:tcPr>
            <w:tcW w:w="1314" w:type="dxa"/>
            <w:tcBorders>
              <w:top w:val="single" w:sz="2" w:space="0" w:color="000000"/>
              <w:left w:val="single" w:sz="2" w:space="0" w:color="000000"/>
              <w:bottom w:val="single" w:sz="2" w:space="0" w:color="000000"/>
              <w:right w:val="single" w:sz="2" w:space="0" w:color="000000"/>
            </w:tcBorders>
          </w:tcPr>
          <w:p w:rsidR="00E014AA" w:rsidRDefault="00A41DF7">
            <w:pPr>
              <w:jc w:val="center"/>
              <w:rPr>
                <w:sz w:val="20"/>
              </w:rPr>
            </w:pPr>
            <w:r>
              <w:rPr>
                <w:sz w:val="20"/>
              </w:rPr>
              <w:t>3</w:t>
            </w:r>
            <w:r w:rsidR="00E014AA">
              <w:rPr>
                <w:sz w:val="20"/>
              </w:rPr>
              <w:t>50</w:t>
            </w:r>
          </w:p>
        </w:tc>
        <w:tc>
          <w:tcPr>
            <w:tcW w:w="1260" w:type="dxa"/>
            <w:tcBorders>
              <w:top w:val="single" w:sz="2" w:space="0" w:color="000000"/>
              <w:left w:val="single" w:sz="2" w:space="0" w:color="000000"/>
              <w:bottom w:val="single" w:sz="2" w:space="0" w:color="000000"/>
              <w:right w:val="single" w:sz="2" w:space="0" w:color="000000"/>
            </w:tcBorders>
          </w:tcPr>
          <w:p w:rsidR="00E014AA" w:rsidRDefault="00A41DF7">
            <w:pPr>
              <w:jc w:val="center"/>
              <w:rPr>
                <w:sz w:val="20"/>
              </w:rPr>
            </w:pPr>
            <w:r>
              <w:rPr>
                <w:sz w:val="20"/>
              </w:rPr>
              <w:t>8</w:t>
            </w:r>
            <w:r w:rsidR="001E6D6E">
              <w:rPr>
                <w:sz w:val="20"/>
              </w:rPr>
              <w:t>7</w:t>
            </w:r>
            <w:r>
              <w:rPr>
                <w:sz w:val="20"/>
              </w:rPr>
              <w:t>.</w:t>
            </w:r>
            <w:r w:rsidR="001E6D6E">
              <w:rPr>
                <w:sz w:val="20"/>
              </w:rPr>
              <w:t>5</w:t>
            </w:r>
          </w:p>
        </w:tc>
        <w:tc>
          <w:tcPr>
            <w:tcW w:w="1440" w:type="dxa"/>
            <w:tcBorders>
              <w:top w:val="single" w:sz="2" w:space="0" w:color="000000"/>
              <w:left w:val="single" w:sz="2" w:space="0" w:color="000000"/>
              <w:bottom w:val="single" w:sz="2" w:space="0" w:color="000000"/>
              <w:right w:val="single" w:sz="2" w:space="0" w:color="000000"/>
            </w:tcBorders>
          </w:tcPr>
          <w:p w:rsidR="00E014AA" w:rsidRDefault="00A41DF7">
            <w:pPr>
              <w:jc w:val="center"/>
              <w:rPr>
                <w:sz w:val="20"/>
              </w:rPr>
            </w:pPr>
            <w:r>
              <w:rPr>
                <w:sz w:val="20"/>
              </w:rPr>
              <w:t>18</w:t>
            </w:r>
          </w:p>
        </w:tc>
        <w:tc>
          <w:tcPr>
            <w:tcW w:w="1170" w:type="dxa"/>
            <w:tcBorders>
              <w:top w:val="single" w:sz="2" w:space="0" w:color="000000"/>
              <w:left w:val="single" w:sz="2" w:space="0" w:color="000000"/>
              <w:bottom w:val="single" w:sz="2" w:space="0" w:color="000000"/>
              <w:right w:val="single" w:sz="2" w:space="0" w:color="000000"/>
            </w:tcBorders>
          </w:tcPr>
          <w:p w:rsidR="00E014AA" w:rsidRDefault="00A41DF7" w:rsidP="00B932CD">
            <w:pPr>
              <w:jc w:val="center"/>
              <w:rPr>
                <w:sz w:val="20"/>
              </w:rPr>
            </w:pPr>
            <w:r>
              <w:rPr>
                <w:sz w:val="20"/>
              </w:rPr>
              <w:t>1,575</w:t>
            </w:r>
          </w:p>
        </w:tc>
        <w:tc>
          <w:tcPr>
            <w:tcW w:w="1440" w:type="dxa"/>
            <w:tcBorders>
              <w:top w:val="single" w:sz="2" w:space="0" w:color="000000"/>
              <w:left w:val="single" w:sz="2" w:space="0" w:color="000000"/>
              <w:bottom w:val="single" w:sz="2" w:space="0" w:color="000000"/>
              <w:right w:val="single" w:sz="2" w:space="0" w:color="000000"/>
            </w:tcBorders>
          </w:tcPr>
          <w:p w:rsidR="00E014AA" w:rsidRDefault="00A41DF7">
            <w:pPr>
              <w:jc w:val="center"/>
              <w:rPr>
                <w:sz w:val="20"/>
              </w:rPr>
            </w:pPr>
            <w:r>
              <w:rPr>
                <w:sz w:val="20"/>
              </w:rPr>
              <w:t>78.75</w:t>
            </w:r>
          </w:p>
        </w:tc>
        <w:tc>
          <w:tcPr>
            <w:tcW w:w="990" w:type="dxa"/>
            <w:tcBorders>
              <w:top w:val="single" w:sz="2" w:space="0" w:color="000000"/>
              <w:left w:val="single" w:sz="2" w:space="0" w:color="000000"/>
              <w:bottom w:val="single" w:sz="2" w:space="0" w:color="000000"/>
              <w:right w:val="single" w:sz="2" w:space="0" w:color="000000"/>
            </w:tcBorders>
          </w:tcPr>
          <w:p w:rsidR="00E014AA" w:rsidRDefault="00A41DF7">
            <w:pPr>
              <w:jc w:val="center"/>
              <w:rPr>
                <w:sz w:val="20"/>
              </w:rPr>
            </w:pPr>
            <w:r>
              <w:rPr>
                <w:sz w:val="20"/>
              </w:rPr>
              <w:t>157.5</w:t>
            </w:r>
          </w:p>
        </w:tc>
        <w:tc>
          <w:tcPr>
            <w:tcW w:w="1470" w:type="dxa"/>
            <w:tcBorders>
              <w:top w:val="single" w:sz="2" w:space="0" w:color="000000"/>
              <w:left w:val="single" w:sz="2" w:space="0" w:color="000000"/>
              <w:bottom w:val="single" w:sz="2" w:space="0" w:color="000000"/>
              <w:right w:val="single" w:sz="2" w:space="0" w:color="000000"/>
            </w:tcBorders>
          </w:tcPr>
          <w:p w:rsidR="00E014AA" w:rsidRDefault="00060AD7" w:rsidP="00A41DF7">
            <w:pPr>
              <w:ind w:right="-14"/>
              <w:jc w:val="right"/>
              <w:rPr>
                <w:sz w:val="20"/>
              </w:rPr>
            </w:pPr>
            <w:r>
              <w:rPr>
                <w:sz w:val="20"/>
              </w:rPr>
              <w:t>$</w:t>
            </w:r>
            <w:r w:rsidR="003A6672">
              <w:rPr>
                <w:sz w:val="20"/>
              </w:rPr>
              <w:t>166,016.60</w:t>
            </w: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r>
              <w:rPr>
                <w:sz w:val="20"/>
              </w:rPr>
              <w:t xml:space="preserve">  </w:t>
            </w:r>
            <w:r w:rsidR="00A41DF7">
              <w:rPr>
                <w:sz w:val="20"/>
              </w:rPr>
              <w:t xml:space="preserve"> </w:t>
            </w:r>
            <w:r>
              <w:rPr>
                <w:sz w:val="20"/>
              </w:rPr>
              <w:t xml:space="preserve">  F.  Time to train personnel </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N/A</w:t>
            </w: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r>
              <w:rPr>
                <w:sz w:val="20"/>
              </w:rPr>
              <w:t xml:space="preserve">   </w:t>
            </w:r>
            <w:r w:rsidR="00A41DF7">
              <w:rPr>
                <w:sz w:val="20"/>
              </w:rPr>
              <w:t xml:space="preserve"> </w:t>
            </w:r>
            <w:r>
              <w:rPr>
                <w:sz w:val="20"/>
              </w:rPr>
              <w:t xml:space="preserve"> G.  Time for audits</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r>
              <w:rPr>
                <w:sz w:val="20"/>
              </w:rPr>
              <w:t>N/A</w:t>
            </w: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r>
              <w:rPr>
                <w:sz w:val="20"/>
              </w:rPr>
              <w:t xml:space="preserve">Subtotal  for Recordkeeping Requirements  </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170" w:type="dxa"/>
            <w:tcBorders>
              <w:top w:val="single" w:sz="2" w:space="0" w:color="000000"/>
              <w:left w:val="single" w:sz="2" w:space="0" w:color="000000"/>
              <w:bottom w:val="single" w:sz="2" w:space="0" w:color="000000"/>
              <w:right w:val="nil"/>
            </w:tcBorders>
          </w:tcPr>
          <w:p w:rsidR="00E014AA" w:rsidRDefault="00E014AA">
            <w:pPr>
              <w:jc w:val="center"/>
              <w:rPr>
                <w:sz w:val="20"/>
              </w:rPr>
            </w:pPr>
          </w:p>
        </w:tc>
        <w:tc>
          <w:tcPr>
            <w:tcW w:w="1440" w:type="dxa"/>
            <w:tcBorders>
              <w:top w:val="single" w:sz="2" w:space="0" w:color="000000"/>
              <w:left w:val="nil"/>
              <w:bottom w:val="single" w:sz="2" w:space="0" w:color="000000"/>
              <w:right w:val="nil"/>
            </w:tcBorders>
          </w:tcPr>
          <w:p w:rsidR="00E014AA" w:rsidRDefault="00A41DF7">
            <w:pPr>
              <w:jc w:val="center"/>
              <w:rPr>
                <w:sz w:val="20"/>
              </w:rPr>
            </w:pPr>
            <w:r>
              <w:rPr>
                <w:sz w:val="20"/>
              </w:rPr>
              <w:t>1,811.25</w:t>
            </w:r>
          </w:p>
        </w:tc>
        <w:tc>
          <w:tcPr>
            <w:tcW w:w="990" w:type="dxa"/>
            <w:tcBorders>
              <w:top w:val="single" w:sz="2" w:space="0" w:color="000000"/>
              <w:left w:val="nil"/>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pPr>
              <w:ind w:right="-14"/>
              <w:jc w:val="right"/>
              <w:rPr>
                <w:sz w:val="20"/>
              </w:rPr>
            </w:pPr>
          </w:p>
        </w:tc>
      </w:tr>
      <w:tr w:rsidR="007167C1" w:rsidTr="0025533F">
        <w:trPr>
          <w:jc w:val="center"/>
        </w:trPr>
        <w:tc>
          <w:tcPr>
            <w:tcW w:w="4314" w:type="dxa"/>
            <w:tcBorders>
              <w:top w:val="single" w:sz="2" w:space="0" w:color="000000"/>
              <w:left w:val="single" w:sz="2" w:space="0" w:color="000000"/>
              <w:bottom w:val="single" w:sz="2" w:space="0" w:color="000000"/>
              <w:right w:val="single" w:sz="2" w:space="0" w:color="000000"/>
            </w:tcBorders>
          </w:tcPr>
          <w:p w:rsidR="00E014AA" w:rsidRPr="00330363" w:rsidRDefault="009407A4">
            <w:pPr>
              <w:rPr>
                <w:b/>
                <w:sz w:val="20"/>
              </w:rPr>
            </w:pPr>
            <w:r w:rsidRPr="00330363">
              <w:rPr>
                <w:b/>
                <w:sz w:val="20"/>
              </w:rPr>
              <w:lastRenderedPageBreak/>
              <w:t>Subtotals</w:t>
            </w:r>
            <w:r w:rsidR="003D33CB" w:rsidRPr="00330363">
              <w:rPr>
                <w:b/>
                <w:sz w:val="20"/>
              </w:rPr>
              <w:t>:</w:t>
            </w:r>
            <w:r w:rsidRPr="00330363">
              <w:rPr>
                <w:b/>
                <w:sz w:val="20"/>
              </w:rPr>
              <w:t xml:space="preserve"> Labor Burden and costs</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A41DF7">
            <w:pPr>
              <w:jc w:val="center"/>
              <w:rPr>
                <w:sz w:val="20"/>
              </w:rPr>
            </w:pPr>
            <w:r>
              <w:rPr>
                <w:sz w:val="20"/>
              </w:rPr>
              <w:t>1,863</w:t>
            </w:r>
          </w:p>
        </w:tc>
        <w:tc>
          <w:tcPr>
            <w:tcW w:w="1440" w:type="dxa"/>
            <w:tcBorders>
              <w:top w:val="single" w:sz="2" w:space="0" w:color="000000"/>
              <w:left w:val="single" w:sz="2" w:space="0" w:color="000000"/>
              <w:bottom w:val="single" w:sz="2" w:space="0" w:color="000000"/>
              <w:right w:val="single" w:sz="2" w:space="0" w:color="000000"/>
            </w:tcBorders>
          </w:tcPr>
          <w:p w:rsidR="00E014AA" w:rsidRDefault="00A41DF7">
            <w:pPr>
              <w:jc w:val="center"/>
              <w:rPr>
                <w:sz w:val="20"/>
              </w:rPr>
            </w:pPr>
            <w:r>
              <w:rPr>
                <w:sz w:val="20"/>
              </w:rPr>
              <w:t>93.15</w:t>
            </w:r>
          </w:p>
        </w:tc>
        <w:tc>
          <w:tcPr>
            <w:tcW w:w="990" w:type="dxa"/>
            <w:tcBorders>
              <w:top w:val="single" w:sz="2" w:space="0" w:color="000000"/>
              <w:left w:val="single" w:sz="2" w:space="0" w:color="000000"/>
              <w:bottom w:val="single" w:sz="2" w:space="0" w:color="000000"/>
              <w:right w:val="single" w:sz="2" w:space="0" w:color="000000"/>
            </w:tcBorders>
          </w:tcPr>
          <w:p w:rsidR="00E014AA" w:rsidRDefault="00A41DF7">
            <w:pPr>
              <w:jc w:val="center"/>
              <w:rPr>
                <w:sz w:val="20"/>
              </w:rPr>
            </w:pPr>
            <w:r>
              <w:rPr>
                <w:sz w:val="20"/>
              </w:rPr>
              <w:t>186.3</w:t>
            </w: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rsidP="00A41DF7">
            <w:pPr>
              <w:ind w:right="-14"/>
              <w:jc w:val="right"/>
              <w:rPr>
                <w:sz w:val="20"/>
              </w:rPr>
            </w:pPr>
            <w:r>
              <w:rPr>
                <w:sz w:val="20"/>
              </w:rPr>
              <w:t>$</w:t>
            </w:r>
            <w:r w:rsidR="003A6672">
              <w:rPr>
                <w:sz w:val="20"/>
              </w:rPr>
              <w:t>197,720.50</w:t>
            </w:r>
          </w:p>
        </w:tc>
      </w:tr>
      <w:tr w:rsidR="007167C1" w:rsidTr="0025533F">
        <w:trPr>
          <w:cantSplit/>
          <w:jc w:val="center"/>
        </w:trPr>
        <w:tc>
          <w:tcPr>
            <w:tcW w:w="4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r>
              <w:rPr>
                <w:b/>
                <w:sz w:val="20"/>
              </w:rPr>
              <w:t>TOTAL LABOR BURDEN AND COST (rounded)</w:t>
            </w:r>
          </w:p>
        </w:tc>
        <w:tc>
          <w:tcPr>
            <w:tcW w:w="1710"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p>
        </w:tc>
        <w:tc>
          <w:tcPr>
            <w:tcW w:w="1314"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p>
        </w:tc>
        <w:tc>
          <w:tcPr>
            <w:tcW w:w="1260"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E014AA">
            <w:pPr>
              <w:rPr>
                <w:sz w:val="20"/>
              </w:rPr>
            </w:pPr>
          </w:p>
        </w:tc>
        <w:tc>
          <w:tcPr>
            <w:tcW w:w="117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E014AA" w:rsidRDefault="00A41DF7">
            <w:pPr>
              <w:jc w:val="center"/>
              <w:rPr>
                <w:sz w:val="20"/>
              </w:rPr>
            </w:pPr>
            <w:r>
              <w:rPr>
                <w:sz w:val="20"/>
              </w:rPr>
              <w:t>2,142.45</w:t>
            </w:r>
          </w:p>
          <w:p w:rsidR="00E014AA" w:rsidRDefault="00A41DF7">
            <w:pPr>
              <w:jc w:val="center"/>
              <w:rPr>
                <w:sz w:val="20"/>
              </w:rPr>
            </w:pPr>
            <w:r>
              <w:rPr>
                <w:sz w:val="20"/>
              </w:rPr>
              <w:t>2,142</w:t>
            </w:r>
          </w:p>
          <w:p w:rsidR="00E014AA" w:rsidRDefault="00E014AA">
            <w:pPr>
              <w:rPr>
                <w:sz w:val="20"/>
              </w:rPr>
            </w:pPr>
            <w:r>
              <w:rPr>
                <w:sz w:val="20"/>
              </w:rPr>
              <w:t xml:space="preserve">    (rounded)                                                                                                                        </w:t>
            </w:r>
          </w:p>
        </w:tc>
        <w:tc>
          <w:tcPr>
            <w:tcW w:w="990" w:type="dxa"/>
            <w:tcBorders>
              <w:top w:val="single" w:sz="2" w:space="0" w:color="000000"/>
              <w:left w:val="single" w:sz="2" w:space="0" w:color="000000"/>
              <w:bottom w:val="single" w:sz="2" w:space="0" w:color="000000"/>
              <w:right w:val="single" w:sz="2" w:space="0" w:color="000000"/>
            </w:tcBorders>
          </w:tcPr>
          <w:p w:rsidR="00E014AA" w:rsidRDefault="00E014AA">
            <w:pPr>
              <w:jc w:val="center"/>
              <w:rPr>
                <w:sz w:val="20"/>
              </w:rPr>
            </w:pPr>
          </w:p>
        </w:tc>
        <w:tc>
          <w:tcPr>
            <w:tcW w:w="1470" w:type="dxa"/>
            <w:tcBorders>
              <w:top w:val="single" w:sz="2" w:space="0" w:color="000000"/>
              <w:left w:val="single" w:sz="2" w:space="0" w:color="000000"/>
              <w:bottom w:val="single" w:sz="2" w:space="0" w:color="000000"/>
              <w:right w:val="single" w:sz="2" w:space="0" w:color="000000"/>
            </w:tcBorders>
          </w:tcPr>
          <w:p w:rsidR="00E014AA" w:rsidRDefault="00E014AA" w:rsidP="003A6672">
            <w:pPr>
              <w:ind w:right="-14"/>
              <w:jc w:val="right"/>
              <w:rPr>
                <w:sz w:val="20"/>
              </w:rPr>
            </w:pPr>
            <w:r>
              <w:rPr>
                <w:sz w:val="20"/>
              </w:rPr>
              <w:t>$</w:t>
            </w:r>
            <w:r w:rsidR="003A6672">
              <w:rPr>
                <w:sz w:val="20"/>
              </w:rPr>
              <w:t>197,720</w:t>
            </w:r>
          </w:p>
        </w:tc>
      </w:tr>
    </w:tbl>
    <w:p w:rsidR="00E014AA" w:rsidRDefault="00E014AA">
      <w:pPr>
        <w:ind w:right="-270"/>
        <w:rPr>
          <w:b/>
          <w:bCs/>
          <w:sz w:val="20"/>
          <w:szCs w:val="20"/>
        </w:rPr>
      </w:pPr>
    </w:p>
    <w:p w:rsidR="00E014AA" w:rsidRDefault="00E014AA">
      <w:pPr>
        <w:ind w:left="-180" w:right="-270"/>
        <w:rPr>
          <w:sz w:val="20"/>
          <w:szCs w:val="20"/>
        </w:rPr>
      </w:pPr>
      <w:r>
        <w:rPr>
          <w:b/>
          <w:bCs/>
          <w:sz w:val="20"/>
          <w:szCs w:val="20"/>
        </w:rPr>
        <w:t>Assumptions:</w:t>
      </w:r>
    </w:p>
    <w:p w:rsidR="009550E7" w:rsidRDefault="009550E7" w:rsidP="00540AB1">
      <w:pPr>
        <w:ind w:left="-180" w:right="270" w:hanging="90"/>
        <w:rPr>
          <w:sz w:val="20"/>
          <w:szCs w:val="20"/>
        </w:rPr>
      </w:pPr>
      <w:r>
        <w:rPr>
          <w:vertAlign w:val="superscript"/>
        </w:rPr>
        <w:t xml:space="preserve">  </w:t>
      </w:r>
      <w:r w:rsidR="00E014AA">
        <w:rPr>
          <w:vertAlign w:val="superscript"/>
        </w:rPr>
        <w:t>a</w:t>
      </w:r>
      <w:r w:rsidR="00E014AA">
        <w:rPr>
          <w:sz w:val="20"/>
          <w:szCs w:val="20"/>
        </w:rPr>
        <w:t xml:space="preserve"> </w:t>
      </w:r>
      <w:r w:rsidR="00AA580A">
        <w:rPr>
          <w:sz w:val="20"/>
          <w:szCs w:val="20"/>
        </w:rPr>
        <w:tab/>
      </w:r>
      <w:r w:rsidR="00E014AA">
        <w:rPr>
          <w:sz w:val="20"/>
          <w:szCs w:val="20"/>
        </w:rPr>
        <w:t xml:space="preserve"> We have assumed that there are approximately </w:t>
      </w:r>
      <w:r w:rsidR="008F7EC7">
        <w:rPr>
          <w:sz w:val="20"/>
          <w:szCs w:val="20"/>
        </w:rPr>
        <w:t>18</w:t>
      </w:r>
      <w:r w:rsidR="00E014AA">
        <w:rPr>
          <w:sz w:val="20"/>
          <w:szCs w:val="20"/>
        </w:rPr>
        <w:t xml:space="preserve"> respondents, with no additional new or reconstructed sources becoming subject to the r</w:t>
      </w:r>
      <w:r>
        <w:rPr>
          <w:sz w:val="20"/>
          <w:szCs w:val="20"/>
        </w:rPr>
        <w:t>ule over the next three years.</w:t>
      </w:r>
      <w:r w:rsidR="008F7EC7">
        <w:rPr>
          <w:sz w:val="20"/>
          <w:szCs w:val="20"/>
        </w:rPr>
        <w:t xml:space="preserve">  </w:t>
      </w:r>
    </w:p>
    <w:p w:rsidR="00540AB1" w:rsidRDefault="009550E7" w:rsidP="00540AB1">
      <w:pPr>
        <w:ind w:left="-180" w:right="270" w:hanging="90"/>
        <w:rPr>
          <w:sz w:val="20"/>
          <w:szCs w:val="20"/>
        </w:rPr>
      </w:pPr>
      <w:r>
        <w:rPr>
          <w:vertAlign w:val="superscript"/>
        </w:rPr>
        <w:t xml:space="preserve">  </w:t>
      </w:r>
      <w:r w:rsidR="00E014AA">
        <w:rPr>
          <w:vertAlign w:val="superscript"/>
        </w:rPr>
        <w:t>b</w:t>
      </w:r>
      <w:r w:rsidR="00E014AA">
        <w:rPr>
          <w:sz w:val="20"/>
          <w:szCs w:val="20"/>
        </w:rPr>
        <w:t xml:space="preserve">  </w:t>
      </w:r>
      <w:r w:rsidR="00540AB1">
        <w:rPr>
          <w:sz w:val="20"/>
          <w:szCs w:val="20"/>
        </w:rPr>
        <w:t>This ICR uses the following labor rates:  $119.36 per hour for Executive, Administrative, and Managerial labor; $99.18 per hour for Technical labor, and $49.35 per hour for Clerical labor.  These rates are from the United States Department of Labor, Bureau of Labor Statistics, March 2011, Table 2. Civilian Workers, by Occupational and Industry groups.  The rates are from column 1, Total Compensation.  The rates have been increased by 110 percent to account for the benefit packages available to those employed by private industry.</w:t>
      </w:r>
    </w:p>
    <w:p w:rsidR="00E014AA" w:rsidRDefault="00E014AA" w:rsidP="00540AB1">
      <w:pPr>
        <w:ind w:left="-180" w:right="-270"/>
        <w:rPr>
          <w:sz w:val="20"/>
          <w:szCs w:val="20"/>
        </w:rPr>
      </w:pPr>
      <w:r>
        <w:rPr>
          <w:vertAlign w:val="superscript"/>
        </w:rPr>
        <w:t>c</w:t>
      </w:r>
      <w:r>
        <w:rPr>
          <w:sz w:val="20"/>
          <w:szCs w:val="20"/>
        </w:rPr>
        <w:t xml:space="preserve">  We have assumed that it will take </w:t>
      </w:r>
      <w:r w:rsidR="008F7EC7">
        <w:rPr>
          <w:sz w:val="20"/>
          <w:szCs w:val="20"/>
        </w:rPr>
        <w:t>4</w:t>
      </w:r>
      <w:r w:rsidR="007167C1">
        <w:rPr>
          <w:sz w:val="20"/>
          <w:szCs w:val="20"/>
        </w:rPr>
        <w:t>0</w:t>
      </w:r>
      <w:r>
        <w:rPr>
          <w:sz w:val="20"/>
          <w:szCs w:val="20"/>
        </w:rPr>
        <w:t xml:space="preserve"> hour for each respondent to </w:t>
      </w:r>
      <w:r w:rsidR="007167C1">
        <w:rPr>
          <w:sz w:val="20"/>
          <w:szCs w:val="20"/>
        </w:rPr>
        <w:t xml:space="preserve">perform initial performance tests.  </w:t>
      </w:r>
      <w:r w:rsidR="00381BAE">
        <w:rPr>
          <w:sz w:val="20"/>
          <w:szCs w:val="20"/>
        </w:rPr>
        <w:t>There are 6 CEM units per plant (respondent)</w:t>
      </w:r>
    </w:p>
    <w:p w:rsidR="00E014AA" w:rsidRDefault="00E014AA">
      <w:pPr>
        <w:ind w:left="-180" w:right="-270"/>
        <w:rPr>
          <w:sz w:val="20"/>
          <w:szCs w:val="20"/>
        </w:rPr>
      </w:pPr>
      <w:r>
        <w:rPr>
          <w:vertAlign w:val="superscript"/>
        </w:rPr>
        <w:t>d</w:t>
      </w:r>
      <w:r>
        <w:rPr>
          <w:sz w:val="20"/>
          <w:szCs w:val="20"/>
        </w:rPr>
        <w:t xml:space="preserve">  We have assumed that </w:t>
      </w:r>
      <w:r w:rsidR="007167C1">
        <w:rPr>
          <w:sz w:val="20"/>
          <w:szCs w:val="20"/>
        </w:rPr>
        <w:t>20 percent of sources would have to repeat performance test due to failure.</w:t>
      </w:r>
    </w:p>
    <w:p w:rsidR="00E014AA" w:rsidRDefault="00E014AA">
      <w:pPr>
        <w:ind w:left="-180" w:right="-270"/>
        <w:rPr>
          <w:sz w:val="20"/>
          <w:szCs w:val="20"/>
        </w:rPr>
      </w:pPr>
      <w:r>
        <w:rPr>
          <w:vertAlign w:val="superscript"/>
        </w:rPr>
        <w:t>e</w:t>
      </w:r>
      <w:r>
        <w:rPr>
          <w:sz w:val="20"/>
          <w:szCs w:val="20"/>
        </w:rPr>
        <w:t xml:space="preserve">  </w:t>
      </w:r>
      <w:r w:rsidR="00381BAE">
        <w:rPr>
          <w:sz w:val="20"/>
          <w:szCs w:val="20"/>
        </w:rPr>
        <w:t>We have assumed that each respondent will take 2 hours to write report.</w:t>
      </w:r>
    </w:p>
    <w:p w:rsidR="00E014AA" w:rsidRDefault="00E014AA">
      <w:pPr>
        <w:ind w:left="-180" w:right="-270"/>
        <w:rPr>
          <w:sz w:val="20"/>
          <w:szCs w:val="20"/>
        </w:rPr>
      </w:pPr>
      <w:r>
        <w:rPr>
          <w:vertAlign w:val="superscript"/>
        </w:rPr>
        <w:t>f</w:t>
      </w:r>
      <w:r>
        <w:rPr>
          <w:sz w:val="20"/>
          <w:szCs w:val="20"/>
        </w:rPr>
        <w:t xml:space="preserve">  We have assumed that </w:t>
      </w:r>
      <w:r w:rsidR="00381BAE">
        <w:rPr>
          <w:sz w:val="20"/>
          <w:szCs w:val="20"/>
        </w:rPr>
        <w:t xml:space="preserve">each respondent </w:t>
      </w:r>
      <w:r w:rsidR="007167C1">
        <w:rPr>
          <w:sz w:val="20"/>
          <w:szCs w:val="20"/>
        </w:rPr>
        <w:t xml:space="preserve">will </w:t>
      </w:r>
      <w:r w:rsidR="00381BAE">
        <w:rPr>
          <w:sz w:val="20"/>
          <w:szCs w:val="20"/>
        </w:rPr>
        <w:t>take 8 hours twice per year to complete semiannual reports.</w:t>
      </w:r>
    </w:p>
    <w:p w:rsidR="00E014AA" w:rsidRDefault="00E014AA">
      <w:pPr>
        <w:ind w:left="-180" w:right="-270"/>
        <w:rPr>
          <w:sz w:val="20"/>
          <w:szCs w:val="20"/>
        </w:rPr>
      </w:pPr>
      <w:r>
        <w:rPr>
          <w:vertAlign w:val="superscript"/>
        </w:rPr>
        <w:t>g</w:t>
      </w:r>
      <w:r>
        <w:rPr>
          <w:sz w:val="20"/>
          <w:szCs w:val="20"/>
        </w:rPr>
        <w:t xml:space="preserve">  We have assumed that it will take </w:t>
      </w:r>
      <w:r w:rsidR="00381BAE">
        <w:rPr>
          <w:sz w:val="20"/>
          <w:szCs w:val="20"/>
        </w:rPr>
        <w:t>0</w:t>
      </w:r>
      <w:r w:rsidR="00AC76C8">
        <w:rPr>
          <w:sz w:val="20"/>
          <w:szCs w:val="20"/>
        </w:rPr>
        <w:t>.5</w:t>
      </w:r>
      <w:r>
        <w:rPr>
          <w:sz w:val="20"/>
          <w:szCs w:val="20"/>
        </w:rPr>
        <w:t xml:space="preserve"> hours</w:t>
      </w:r>
      <w:r w:rsidR="009550E7">
        <w:rPr>
          <w:sz w:val="20"/>
          <w:szCs w:val="20"/>
        </w:rPr>
        <w:t>,</w:t>
      </w:r>
      <w:r>
        <w:rPr>
          <w:sz w:val="20"/>
          <w:szCs w:val="20"/>
        </w:rPr>
        <w:t xml:space="preserve"> </w:t>
      </w:r>
      <w:r w:rsidR="00381BAE">
        <w:rPr>
          <w:sz w:val="20"/>
          <w:szCs w:val="20"/>
        </w:rPr>
        <w:t>350 times per year</w:t>
      </w:r>
      <w:r>
        <w:rPr>
          <w:sz w:val="20"/>
          <w:szCs w:val="20"/>
        </w:rPr>
        <w:t xml:space="preserve"> for each respondent to </w:t>
      </w:r>
      <w:r w:rsidR="00AC76C8">
        <w:rPr>
          <w:sz w:val="20"/>
          <w:szCs w:val="20"/>
        </w:rPr>
        <w:t xml:space="preserve">enter and </w:t>
      </w:r>
      <w:r w:rsidR="00381BAE">
        <w:rPr>
          <w:sz w:val="20"/>
          <w:szCs w:val="20"/>
        </w:rPr>
        <w:t>operating parameters</w:t>
      </w:r>
      <w:r w:rsidR="00AC76C8">
        <w:rPr>
          <w:sz w:val="20"/>
          <w:szCs w:val="20"/>
        </w:rPr>
        <w:t xml:space="preserve"> reports.</w:t>
      </w:r>
    </w:p>
    <w:p w:rsidR="00E014AA" w:rsidRDefault="00E014AA">
      <w:pPr>
        <w:ind w:left="-180" w:right="-270"/>
        <w:rPr>
          <w:sz w:val="20"/>
          <w:szCs w:val="20"/>
          <w:vertAlign w:val="superscript"/>
        </w:rPr>
      </w:pPr>
    </w:p>
    <w:p w:rsidR="00381BAE" w:rsidRDefault="00381BAE">
      <w:pPr>
        <w:ind w:left="-180" w:right="-270"/>
        <w:rPr>
          <w:sz w:val="20"/>
          <w:szCs w:val="20"/>
          <w:vertAlign w:val="superscript"/>
        </w:rPr>
      </w:pPr>
    </w:p>
    <w:p w:rsidR="00381BAE" w:rsidRDefault="00381BAE">
      <w:pPr>
        <w:ind w:left="-180" w:right="-270"/>
        <w:rPr>
          <w:sz w:val="20"/>
          <w:szCs w:val="20"/>
          <w:vertAlign w:val="superscript"/>
        </w:rPr>
      </w:pPr>
    </w:p>
    <w:p w:rsidR="00381BAE" w:rsidRDefault="00381BAE">
      <w:pPr>
        <w:ind w:left="-180" w:right="-270"/>
        <w:rPr>
          <w:sz w:val="20"/>
          <w:szCs w:val="20"/>
          <w:vertAlign w:val="superscript"/>
        </w:rPr>
      </w:pPr>
    </w:p>
    <w:p w:rsidR="00381BAE" w:rsidRDefault="00381BAE">
      <w:pPr>
        <w:ind w:left="-180" w:right="-270"/>
        <w:rPr>
          <w:sz w:val="20"/>
          <w:szCs w:val="20"/>
          <w:vertAlign w:val="superscript"/>
        </w:rPr>
      </w:pPr>
    </w:p>
    <w:p w:rsidR="00381BAE" w:rsidRDefault="00381BAE">
      <w:pPr>
        <w:ind w:left="-180" w:right="-270"/>
        <w:rPr>
          <w:sz w:val="20"/>
          <w:szCs w:val="20"/>
          <w:vertAlign w:val="superscript"/>
        </w:rPr>
      </w:pPr>
    </w:p>
    <w:p w:rsidR="00381BAE" w:rsidRDefault="00381BAE">
      <w:pPr>
        <w:ind w:left="-180" w:right="-270"/>
        <w:rPr>
          <w:sz w:val="20"/>
          <w:szCs w:val="20"/>
          <w:vertAlign w:val="superscript"/>
        </w:rPr>
      </w:pPr>
    </w:p>
    <w:p w:rsidR="00E014AA" w:rsidRDefault="00E014AA">
      <w:pPr>
        <w:ind w:left="-180" w:right="-270"/>
        <w:rPr>
          <w:sz w:val="20"/>
          <w:szCs w:val="20"/>
          <w:vertAlign w:val="superscript"/>
        </w:rPr>
      </w:pPr>
    </w:p>
    <w:p w:rsidR="00E014AA" w:rsidRDefault="00E014AA">
      <w:pPr>
        <w:ind w:left="-180" w:right="-270"/>
        <w:rPr>
          <w:sz w:val="20"/>
          <w:szCs w:val="20"/>
          <w:vertAlign w:val="superscript"/>
        </w:rPr>
      </w:pPr>
    </w:p>
    <w:p w:rsidR="00E014AA" w:rsidRDefault="00E014AA">
      <w:pPr>
        <w:ind w:left="-180" w:right="-270"/>
        <w:rPr>
          <w:sz w:val="20"/>
          <w:szCs w:val="20"/>
          <w:vertAlign w:val="superscript"/>
        </w:rPr>
      </w:pPr>
    </w:p>
    <w:p w:rsidR="00E014AA" w:rsidRDefault="00E014AA">
      <w:pPr>
        <w:ind w:left="-180" w:right="-270"/>
        <w:rPr>
          <w:sz w:val="20"/>
          <w:szCs w:val="20"/>
          <w:vertAlign w:val="superscript"/>
        </w:rPr>
      </w:pPr>
    </w:p>
    <w:p w:rsidR="00E014AA" w:rsidRDefault="00E014AA">
      <w:pPr>
        <w:ind w:left="-180" w:right="-270"/>
        <w:rPr>
          <w:sz w:val="20"/>
          <w:szCs w:val="20"/>
          <w:vertAlign w:val="superscript"/>
        </w:rPr>
      </w:pPr>
    </w:p>
    <w:p w:rsidR="00E014AA" w:rsidRDefault="00E014AA">
      <w:pPr>
        <w:ind w:left="-180" w:right="-270"/>
        <w:rPr>
          <w:sz w:val="20"/>
          <w:szCs w:val="20"/>
          <w:vertAlign w:val="superscript"/>
        </w:rPr>
      </w:pPr>
    </w:p>
    <w:p w:rsidR="00E014AA" w:rsidRDefault="00E014AA">
      <w:pPr>
        <w:ind w:left="-180" w:right="-270"/>
        <w:rPr>
          <w:sz w:val="20"/>
          <w:szCs w:val="20"/>
          <w:vertAlign w:val="superscript"/>
        </w:rPr>
      </w:pPr>
    </w:p>
    <w:p w:rsidR="00E014AA" w:rsidRDefault="00E014AA" w:rsidP="00685F81">
      <w:pPr>
        <w:ind w:right="-270"/>
        <w:rPr>
          <w:sz w:val="20"/>
          <w:szCs w:val="20"/>
          <w:vertAlign w:val="superscript"/>
        </w:rPr>
      </w:pPr>
    </w:p>
    <w:p w:rsidR="0099646D" w:rsidRDefault="00E014AA" w:rsidP="0099646D">
      <w:pPr>
        <w:tabs>
          <w:tab w:val="left" w:pos="1350"/>
        </w:tabs>
        <w:jc w:val="both"/>
        <w:rPr>
          <w:b/>
          <w:bCs/>
        </w:rPr>
      </w:pPr>
      <w:r>
        <w:rPr>
          <w:b/>
          <w:bCs/>
        </w:rPr>
        <w:lastRenderedPageBreak/>
        <w:t xml:space="preserve">Table 2:  Average Annual EPA Burden - NSPS for </w:t>
      </w:r>
      <w:r w:rsidR="008A1B78">
        <w:rPr>
          <w:b/>
          <w:bCs/>
        </w:rPr>
        <w:t>Petroleum Refineries</w:t>
      </w:r>
      <w:r w:rsidR="008A1B78">
        <w:rPr>
          <w:b/>
        </w:rPr>
        <w:t xml:space="preserve"> (40 CFR Part 60, Subpart Ja) </w:t>
      </w:r>
      <w:r w:rsidR="0099646D">
        <w:rPr>
          <w:b/>
        </w:rPr>
        <w:t xml:space="preserve"> (Renewal)</w:t>
      </w:r>
    </w:p>
    <w:p w:rsidR="00E014AA" w:rsidRDefault="00E014AA">
      <w:pPr>
        <w:tabs>
          <w:tab w:val="left" w:pos="1350"/>
        </w:tabs>
        <w:jc w:val="both"/>
        <w:rPr>
          <w:sz w:val="20"/>
          <w:szCs w:val="20"/>
        </w:rPr>
      </w:pPr>
    </w:p>
    <w:tbl>
      <w:tblPr>
        <w:tblW w:w="137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34" w:type="dxa"/>
          <w:right w:w="134" w:type="dxa"/>
        </w:tblCellMar>
        <w:tblLook w:val="0000"/>
      </w:tblPr>
      <w:tblGrid>
        <w:gridCol w:w="4256"/>
        <w:gridCol w:w="1350"/>
        <w:gridCol w:w="1350"/>
        <w:gridCol w:w="1170"/>
        <w:gridCol w:w="810"/>
        <w:gridCol w:w="1170"/>
        <w:gridCol w:w="1440"/>
        <w:gridCol w:w="990"/>
        <w:gridCol w:w="1195"/>
      </w:tblGrid>
      <w:tr w:rsidR="00E014AA" w:rsidTr="00EF085F">
        <w:trPr>
          <w:cantSplit/>
          <w:tblHeader/>
          <w:jc w:val="center"/>
        </w:trPr>
        <w:tc>
          <w:tcPr>
            <w:tcW w:w="4256" w:type="dxa"/>
            <w:vAlign w:val="center"/>
          </w:tcPr>
          <w:p w:rsidR="00E014AA" w:rsidRDefault="00E014AA">
            <w:pPr>
              <w:tabs>
                <w:tab w:val="center" w:pos="1306"/>
              </w:tabs>
              <w:spacing w:after="58"/>
              <w:jc w:val="center"/>
              <w:rPr>
                <w:b/>
                <w:bCs/>
                <w:sz w:val="20"/>
                <w:szCs w:val="20"/>
              </w:rPr>
            </w:pPr>
            <w:r>
              <w:rPr>
                <w:b/>
                <w:bCs/>
                <w:sz w:val="20"/>
                <w:szCs w:val="20"/>
              </w:rPr>
              <w:t>Activity</w:t>
            </w:r>
          </w:p>
        </w:tc>
        <w:tc>
          <w:tcPr>
            <w:tcW w:w="1350" w:type="dxa"/>
          </w:tcPr>
          <w:p w:rsidR="00E014AA" w:rsidRDefault="00E014AA">
            <w:pPr>
              <w:tabs>
                <w:tab w:val="center" w:pos="496"/>
              </w:tabs>
              <w:jc w:val="center"/>
              <w:rPr>
                <w:b/>
                <w:bCs/>
                <w:sz w:val="20"/>
                <w:szCs w:val="20"/>
              </w:rPr>
            </w:pPr>
            <w:r>
              <w:rPr>
                <w:b/>
                <w:bCs/>
                <w:sz w:val="20"/>
                <w:szCs w:val="20"/>
              </w:rPr>
              <w:t>(A)</w:t>
            </w:r>
          </w:p>
          <w:p w:rsidR="00E014AA" w:rsidRDefault="00E014AA">
            <w:pPr>
              <w:jc w:val="center"/>
              <w:rPr>
                <w:b/>
                <w:bCs/>
                <w:sz w:val="20"/>
                <w:szCs w:val="20"/>
              </w:rPr>
            </w:pPr>
            <w:r>
              <w:rPr>
                <w:b/>
                <w:bCs/>
                <w:sz w:val="20"/>
                <w:szCs w:val="20"/>
              </w:rPr>
              <w:t>EPA person- hours per occurrence</w:t>
            </w:r>
          </w:p>
        </w:tc>
        <w:tc>
          <w:tcPr>
            <w:tcW w:w="1350" w:type="dxa"/>
          </w:tcPr>
          <w:p w:rsidR="00E014AA" w:rsidRDefault="00E014AA">
            <w:pPr>
              <w:tabs>
                <w:tab w:val="center" w:pos="541"/>
              </w:tabs>
              <w:jc w:val="center"/>
              <w:rPr>
                <w:b/>
                <w:bCs/>
                <w:sz w:val="20"/>
                <w:szCs w:val="20"/>
              </w:rPr>
            </w:pPr>
            <w:r>
              <w:rPr>
                <w:b/>
                <w:bCs/>
                <w:sz w:val="20"/>
                <w:szCs w:val="20"/>
              </w:rPr>
              <w:t>(B)</w:t>
            </w:r>
          </w:p>
          <w:p w:rsidR="00E014AA" w:rsidRDefault="00E014AA">
            <w:pPr>
              <w:tabs>
                <w:tab w:val="center" w:pos="541"/>
              </w:tabs>
              <w:jc w:val="center"/>
              <w:rPr>
                <w:b/>
                <w:bCs/>
                <w:sz w:val="20"/>
                <w:szCs w:val="20"/>
              </w:rPr>
            </w:pPr>
            <w:r>
              <w:rPr>
                <w:b/>
                <w:bCs/>
                <w:sz w:val="20"/>
                <w:szCs w:val="20"/>
              </w:rPr>
              <w:t>No. of occurrences per plant per year</w:t>
            </w:r>
          </w:p>
        </w:tc>
        <w:tc>
          <w:tcPr>
            <w:tcW w:w="1170" w:type="dxa"/>
          </w:tcPr>
          <w:p w:rsidR="00E014AA" w:rsidRDefault="00E014AA">
            <w:pPr>
              <w:tabs>
                <w:tab w:val="center" w:pos="541"/>
              </w:tabs>
              <w:jc w:val="center"/>
              <w:rPr>
                <w:b/>
                <w:bCs/>
                <w:sz w:val="20"/>
                <w:szCs w:val="20"/>
              </w:rPr>
            </w:pPr>
            <w:r>
              <w:rPr>
                <w:b/>
                <w:bCs/>
                <w:sz w:val="20"/>
                <w:szCs w:val="20"/>
              </w:rPr>
              <w:t>(C)</w:t>
            </w:r>
          </w:p>
          <w:p w:rsidR="00E014AA" w:rsidRDefault="00E014AA">
            <w:pPr>
              <w:tabs>
                <w:tab w:val="center" w:pos="541"/>
              </w:tabs>
              <w:jc w:val="center"/>
              <w:rPr>
                <w:b/>
                <w:bCs/>
                <w:sz w:val="20"/>
                <w:szCs w:val="20"/>
              </w:rPr>
            </w:pPr>
            <w:r>
              <w:rPr>
                <w:b/>
                <w:bCs/>
                <w:sz w:val="20"/>
                <w:szCs w:val="20"/>
              </w:rPr>
              <w:t>EPA person- hours per plant per year</w:t>
            </w:r>
          </w:p>
          <w:p w:rsidR="00E014AA" w:rsidRDefault="00E014AA">
            <w:pPr>
              <w:tabs>
                <w:tab w:val="center" w:pos="541"/>
              </w:tabs>
              <w:spacing w:after="58"/>
              <w:jc w:val="center"/>
              <w:rPr>
                <w:b/>
                <w:bCs/>
                <w:sz w:val="20"/>
                <w:szCs w:val="20"/>
              </w:rPr>
            </w:pPr>
            <w:r>
              <w:rPr>
                <w:b/>
                <w:bCs/>
                <w:sz w:val="20"/>
                <w:szCs w:val="20"/>
              </w:rPr>
              <w:t>(C=AxB)</w:t>
            </w:r>
          </w:p>
        </w:tc>
        <w:tc>
          <w:tcPr>
            <w:tcW w:w="810" w:type="dxa"/>
          </w:tcPr>
          <w:p w:rsidR="00E014AA" w:rsidRDefault="00E014AA">
            <w:pPr>
              <w:tabs>
                <w:tab w:val="center" w:pos="451"/>
              </w:tabs>
              <w:jc w:val="center"/>
              <w:rPr>
                <w:b/>
                <w:bCs/>
                <w:sz w:val="20"/>
                <w:szCs w:val="20"/>
              </w:rPr>
            </w:pPr>
            <w:r>
              <w:rPr>
                <w:b/>
                <w:bCs/>
                <w:sz w:val="20"/>
                <w:szCs w:val="20"/>
              </w:rPr>
              <w:t>(D)</w:t>
            </w:r>
          </w:p>
          <w:p w:rsidR="00E014AA" w:rsidRDefault="00E014AA">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Pr>
          <w:p w:rsidR="00E014AA" w:rsidRDefault="00E014AA">
            <w:pPr>
              <w:tabs>
                <w:tab w:val="center" w:pos="451"/>
              </w:tabs>
              <w:jc w:val="center"/>
              <w:rPr>
                <w:b/>
                <w:bCs/>
                <w:sz w:val="20"/>
                <w:szCs w:val="20"/>
              </w:rPr>
            </w:pPr>
            <w:r>
              <w:rPr>
                <w:b/>
                <w:bCs/>
                <w:sz w:val="20"/>
                <w:szCs w:val="20"/>
              </w:rPr>
              <w:t>(E)</w:t>
            </w:r>
          </w:p>
          <w:p w:rsidR="00E014AA" w:rsidRDefault="00E014AA">
            <w:pPr>
              <w:tabs>
                <w:tab w:val="center" w:pos="451"/>
              </w:tabs>
              <w:jc w:val="center"/>
              <w:rPr>
                <w:b/>
                <w:bCs/>
                <w:sz w:val="20"/>
                <w:szCs w:val="20"/>
              </w:rPr>
            </w:pPr>
            <w:r>
              <w:rPr>
                <w:b/>
                <w:bCs/>
                <w:sz w:val="20"/>
                <w:szCs w:val="20"/>
              </w:rPr>
              <w:t>Technical person- hours per year</w:t>
            </w:r>
          </w:p>
          <w:p w:rsidR="00E014AA" w:rsidRDefault="00E014AA">
            <w:pPr>
              <w:tabs>
                <w:tab w:val="center" w:pos="451"/>
              </w:tabs>
              <w:spacing w:after="58"/>
              <w:jc w:val="center"/>
              <w:rPr>
                <w:b/>
                <w:bCs/>
                <w:sz w:val="20"/>
                <w:szCs w:val="20"/>
              </w:rPr>
            </w:pPr>
            <w:r>
              <w:rPr>
                <w:b/>
                <w:bCs/>
                <w:sz w:val="20"/>
                <w:szCs w:val="20"/>
              </w:rPr>
              <w:t>(E=CxD)</w:t>
            </w:r>
          </w:p>
        </w:tc>
        <w:tc>
          <w:tcPr>
            <w:tcW w:w="1440" w:type="dxa"/>
          </w:tcPr>
          <w:p w:rsidR="00E014AA" w:rsidRDefault="00E014AA">
            <w:pPr>
              <w:tabs>
                <w:tab w:val="center" w:pos="676"/>
              </w:tabs>
              <w:jc w:val="center"/>
              <w:rPr>
                <w:b/>
                <w:bCs/>
                <w:sz w:val="20"/>
                <w:szCs w:val="20"/>
              </w:rPr>
            </w:pPr>
            <w:r>
              <w:rPr>
                <w:b/>
                <w:bCs/>
                <w:sz w:val="20"/>
                <w:szCs w:val="20"/>
              </w:rPr>
              <w:t>(F)</w:t>
            </w:r>
          </w:p>
          <w:p w:rsidR="00E014AA" w:rsidRDefault="00E014AA">
            <w:pPr>
              <w:tabs>
                <w:tab w:val="center" w:pos="676"/>
              </w:tabs>
              <w:jc w:val="center"/>
              <w:rPr>
                <w:b/>
                <w:bCs/>
                <w:sz w:val="20"/>
                <w:szCs w:val="20"/>
              </w:rPr>
            </w:pPr>
            <w:r>
              <w:rPr>
                <w:b/>
                <w:bCs/>
                <w:sz w:val="20"/>
                <w:szCs w:val="20"/>
              </w:rPr>
              <w:t>Management person-hours per year</w:t>
            </w:r>
          </w:p>
          <w:p w:rsidR="00E014AA" w:rsidRDefault="00E014AA">
            <w:pPr>
              <w:tabs>
                <w:tab w:val="center" w:pos="676"/>
              </w:tabs>
              <w:jc w:val="center"/>
              <w:rPr>
                <w:b/>
                <w:bCs/>
                <w:sz w:val="20"/>
                <w:szCs w:val="20"/>
              </w:rPr>
            </w:pPr>
            <w:r>
              <w:rPr>
                <w:b/>
                <w:bCs/>
                <w:sz w:val="20"/>
                <w:szCs w:val="20"/>
              </w:rPr>
              <w:t>(Ex0.05)</w:t>
            </w:r>
          </w:p>
          <w:p w:rsidR="00E014AA" w:rsidRDefault="00E014AA">
            <w:pPr>
              <w:spacing w:after="58"/>
              <w:jc w:val="center"/>
              <w:rPr>
                <w:b/>
                <w:bCs/>
                <w:sz w:val="20"/>
                <w:szCs w:val="20"/>
              </w:rPr>
            </w:pPr>
          </w:p>
        </w:tc>
        <w:tc>
          <w:tcPr>
            <w:tcW w:w="990" w:type="dxa"/>
          </w:tcPr>
          <w:p w:rsidR="00E014AA" w:rsidRDefault="00E014AA">
            <w:pPr>
              <w:tabs>
                <w:tab w:val="center" w:pos="451"/>
              </w:tabs>
              <w:jc w:val="center"/>
              <w:rPr>
                <w:b/>
                <w:bCs/>
                <w:sz w:val="20"/>
                <w:szCs w:val="20"/>
              </w:rPr>
            </w:pPr>
            <w:r>
              <w:rPr>
                <w:b/>
                <w:bCs/>
                <w:sz w:val="20"/>
                <w:szCs w:val="20"/>
              </w:rPr>
              <w:t>(G)</w:t>
            </w:r>
          </w:p>
          <w:p w:rsidR="00E014AA" w:rsidRDefault="00E014AA">
            <w:pPr>
              <w:tabs>
                <w:tab w:val="center" w:pos="451"/>
              </w:tabs>
              <w:jc w:val="center"/>
              <w:rPr>
                <w:b/>
                <w:bCs/>
                <w:sz w:val="20"/>
                <w:szCs w:val="20"/>
              </w:rPr>
            </w:pPr>
            <w:r>
              <w:rPr>
                <w:b/>
                <w:bCs/>
                <w:sz w:val="20"/>
                <w:szCs w:val="20"/>
              </w:rPr>
              <w:t>Clerical person-hours per year</w:t>
            </w:r>
          </w:p>
          <w:p w:rsidR="00E014AA" w:rsidRDefault="00E014AA">
            <w:pPr>
              <w:tabs>
                <w:tab w:val="center" w:pos="451"/>
              </w:tabs>
              <w:jc w:val="center"/>
              <w:rPr>
                <w:b/>
                <w:bCs/>
                <w:sz w:val="20"/>
                <w:szCs w:val="20"/>
              </w:rPr>
            </w:pPr>
            <w:r>
              <w:rPr>
                <w:b/>
                <w:bCs/>
                <w:sz w:val="20"/>
                <w:szCs w:val="20"/>
              </w:rPr>
              <w:t>(Ex0.1)</w:t>
            </w:r>
          </w:p>
        </w:tc>
        <w:tc>
          <w:tcPr>
            <w:tcW w:w="1195" w:type="dxa"/>
          </w:tcPr>
          <w:p w:rsidR="00E014AA" w:rsidRDefault="00E014AA">
            <w:pPr>
              <w:tabs>
                <w:tab w:val="center" w:pos="541"/>
              </w:tabs>
              <w:jc w:val="center"/>
              <w:rPr>
                <w:b/>
                <w:bCs/>
                <w:sz w:val="20"/>
                <w:szCs w:val="20"/>
              </w:rPr>
            </w:pPr>
            <w:r>
              <w:rPr>
                <w:b/>
                <w:bCs/>
                <w:sz w:val="20"/>
                <w:szCs w:val="20"/>
              </w:rPr>
              <w:t>(H)</w:t>
            </w:r>
          </w:p>
          <w:p w:rsidR="00E014AA" w:rsidRDefault="00E014AA">
            <w:pPr>
              <w:tabs>
                <w:tab w:val="center" w:pos="541"/>
              </w:tabs>
              <w:spacing w:after="58"/>
              <w:jc w:val="center"/>
              <w:rPr>
                <w:b/>
                <w:bCs/>
                <w:sz w:val="20"/>
                <w:szCs w:val="20"/>
              </w:rPr>
            </w:pPr>
            <w:r>
              <w:rPr>
                <w:b/>
                <w:bCs/>
                <w:sz w:val="20"/>
                <w:szCs w:val="20"/>
              </w:rPr>
              <w:t xml:space="preserve">Cost, $ </w:t>
            </w:r>
            <w:r>
              <w:rPr>
                <w:b/>
                <w:bCs/>
                <w:vertAlign w:val="superscript"/>
              </w:rPr>
              <w:t>b</w:t>
            </w:r>
          </w:p>
        </w:tc>
      </w:tr>
      <w:tr w:rsidR="00EF085F" w:rsidTr="00EF085F">
        <w:trPr>
          <w:cantSplit/>
          <w:jc w:val="center"/>
        </w:trPr>
        <w:tc>
          <w:tcPr>
            <w:tcW w:w="4256" w:type="dxa"/>
          </w:tcPr>
          <w:p w:rsidR="00EF085F" w:rsidRDefault="00EF085F" w:rsidP="00912BAB">
            <w:pPr>
              <w:rPr>
                <w:sz w:val="20"/>
              </w:rPr>
            </w:pPr>
            <w:r>
              <w:rPr>
                <w:sz w:val="20"/>
              </w:rPr>
              <w:t>New Plants</w:t>
            </w:r>
          </w:p>
        </w:tc>
        <w:tc>
          <w:tcPr>
            <w:tcW w:w="1350" w:type="dxa"/>
          </w:tcPr>
          <w:p w:rsidR="00EF085F" w:rsidRDefault="00EF085F">
            <w:pPr>
              <w:jc w:val="center"/>
              <w:rPr>
                <w:sz w:val="20"/>
              </w:rPr>
            </w:pPr>
          </w:p>
        </w:tc>
        <w:tc>
          <w:tcPr>
            <w:tcW w:w="1350" w:type="dxa"/>
          </w:tcPr>
          <w:p w:rsidR="00EF085F" w:rsidRDefault="00EF085F">
            <w:pPr>
              <w:jc w:val="center"/>
              <w:rPr>
                <w:sz w:val="20"/>
              </w:rPr>
            </w:pPr>
          </w:p>
        </w:tc>
        <w:tc>
          <w:tcPr>
            <w:tcW w:w="1170" w:type="dxa"/>
          </w:tcPr>
          <w:p w:rsidR="00EF085F" w:rsidRDefault="00EF085F">
            <w:pPr>
              <w:jc w:val="center"/>
              <w:rPr>
                <w:sz w:val="20"/>
              </w:rPr>
            </w:pPr>
          </w:p>
        </w:tc>
        <w:tc>
          <w:tcPr>
            <w:tcW w:w="810" w:type="dxa"/>
          </w:tcPr>
          <w:p w:rsidR="00EF085F" w:rsidRDefault="00EF085F">
            <w:pPr>
              <w:jc w:val="center"/>
              <w:rPr>
                <w:sz w:val="20"/>
              </w:rPr>
            </w:pPr>
          </w:p>
        </w:tc>
        <w:tc>
          <w:tcPr>
            <w:tcW w:w="1170" w:type="dxa"/>
          </w:tcPr>
          <w:p w:rsidR="00EF085F" w:rsidRDefault="00EF085F">
            <w:pPr>
              <w:jc w:val="center"/>
              <w:rPr>
                <w:sz w:val="20"/>
              </w:rPr>
            </w:pPr>
          </w:p>
        </w:tc>
        <w:tc>
          <w:tcPr>
            <w:tcW w:w="1440" w:type="dxa"/>
          </w:tcPr>
          <w:p w:rsidR="00EF085F" w:rsidRDefault="00EF085F">
            <w:pPr>
              <w:jc w:val="center"/>
              <w:rPr>
                <w:sz w:val="20"/>
              </w:rPr>
            </w:pPr>
          </w:p>
        </w:tc>
        <w:tc>
          <w:tcPr>
            <w:tcW w:w="990" w:type="dxa"/>
          </w:tcPr>
          <w:p w:rsidR="00EF085F" w:rsidRDefault="00EF085F">
            <w:pPr>
              <w:jc w:val="center"/>
              <w:rPr>
                <w:sz w:val="20"/>
              </w:rPr>
            </w:pPr>
          </w:p>
        </w:tc>
        <w:tc>
          <w:tcPr>
            <w:tcW w:w="1195" w:type="dxa"/>
          </w:tcPr>
          <w:p w:rsidR="00EF085F" w:rsidRDefault="00EF085F">
            <w:pPr>
              <w:jc w:val="right"/>
              <w:rPr>
                <w:sz w:val="20"/>
              </w:rPr>
            </w:pPr>
          </w:p>
        </w:tc>
      </w:tr>
      <w:tr w:rsidR="00E014AA" w:rsidTr="00EF085F">
        <w:trPr>
          <w:cantSplit/>
          <w:jc w:val="center"/>
        </w:trPr>
        <w:tc>
          <w:tcPr>
            <w:tcW w:w="4256" w:type="dxa"/>
          </w:tcPr>
          <w:p w:rsidR="00E014AA" w:rsidRDefault="00E014AA" w:rsidP="00912BAB">
            <w:pPr>
              <w:rPr>
                <w:sz w:val="20"/>
              </w:rPr>
            </w:pPr>
            <w:r>
              <w:rPr>
                <w:sz w:val="20"/>
              </w:rPr>
              <w:t xml:space="preserve">   </w:t>
            </w:r>
            <w:r w:rsidR="00912BAB">
              <w:rPr>
                <w:sz w:val="20"/>
              </w:rPr>
              <w:t>Initial n</w:t>
            </w:r>
            <w:r>
              <w:rPr>
                <w:sz w:val="20"/>
              </w:rPr>
              <w:t>otification</w:t>
            </w:r>
            <w:r w:rsidR="0049191E">
              <w:rPr>
                <w:sz w:val="20"/>
              </w:rPr>
              <w:t xml:space="preserve"> </w:t>
            </w:r>
            <w:r w:rsidR="00EF085F">
              <w:rPr>
                <w:sz w:val="20"/>
              </w:rPr>
              <w:t>test</w:t>
            </w:r>
          </w:p>
        </w:tc>
        <w:tc>
          <w:tcPr>
            <w:tcW w:w="1350" w:type="dxa"/>
          </w:tcPr>
          <w:p w:rsidR="00E014AA" w:rsidRDefault="00E014AA">
            <w:pPr>
              <w:jc w:val="center"/>
              <w:rPr>
                <w:sz w:val="20"/>
              </w:rPr>
            </w:pPr>
            <w:r>
              <w:rPr>
                <w:sz w:val="20"/>
              </w:rPr>
              <w:t>2</w:t>
            </w:r>
            <w:r w:rsidR="00EF085F">
              <w:rPr>
                <w:sz w:val="20"/>
              </w:rPr>
              <w:t>4</w:t>
            </w:r>
          </w:p>
        </w:tc>
        <w:tc>
          <w:tcPr>
            <w:tcW w:w="1350" w:type="dxa"/>
          </w:tcPr>
          <w:p w:rsidR="00E014AA" w:rsidRDefault="00EF085F">
            <w:pPr>
              <w:jc w:val="center"/>
              <w:rPr>
                <w:sz w:val="20"/>
              </w:rPr>
            </w:pPr>
            <w:r>
              <w:rPr>
                <w:sz w:val="20"/>
              </w:rPr>
              <w:t>1</w:t>
            </w:r>
          </w:p>
        </w:tc>
        <w:tc>
          <w:tcPr>
            <w:tcW w:w="1170" w:type="dxa"/>
          </w:tcPr>
          <w:p w:rsidR="00E014AA" w:rsidRDefault="00EF085F">
            <w:pPr>
              <w:jc w:val="center"/>
              <w:rPr>
                <w:sz w:val="20"/>
              </w:rPr>
            </w:pPr>
            <w:r>
              <w:rPr>
                <w:sz w:val="20"/>
              </w:rPr>
              <w:t>24</w:t>
            </w:r>
          </w:p>
        </w:tc>
        <w:tc>
          <w:tcPr>
            <w:tcW w:w="810" w:type="dxa"/>
          </w:tcPr>
          <w:p w:rsidR="00E014AA" w:rsidRDefault="00E014AA">
            <w:pPr>
              <w:jc w:val="center"/>
              <w:rPr>
                <w:sz w:val="20"/>
              </w:rPr>
            </w:pPr>
            <w:r>
              <w:rPr>
                <w:sz w:val="20"/>
              </w:rPr>
              <w:t>0</w:t>
            </w:r>
          </w:p>
        </w:tc>
        <w:tc>
          <w:tcPr>
            <w:tcW w:w="1170" w:type="dxa"/>
          </w:tcPr>
          <w:p w:rsidR="00E014AA" w:rsidRDefault="00E014AA">
            <w:pPr>
              <w:jc w:val="center"/>
              <w:rPr>
                <w:sz w:val="20"/>
              </w:rPr>
            </w:pPr>
            <w:r>
              <w:rPr>
                <w:sz w:val="20"/>
              </w:rPr>
              <w:t>0</w:t>
            </w:r>
          </w:p>
        </w:tc>
        <w:tc>
          <w:tcPr>
            <w:tcW w:w="1440" w:type="dxa"/>
          </w:tcPr>
          <w:p w:rsidR="00E014AA" w:rsidRDefault="00E014AA">
            <w:pPr>
              <w:jc w:val="center"/>
              <w:rPr>
                <w:sz w:val="20"/>
              </w:rPr>
            </w:pPr>
            <w:r>
              <w:rPr>
                <w:sz w:val="20"/>
              </w:rPr>
              <w:t>0</w:t>
            </w:r>
          </w:p>
        </w:tc>
        <w:tc>
          <w:tcPr>
            <w:tcW w:w="990" w:type="dxa"/>
          </w:tcPr>
          <w:p w:rsidR="00E014AA" w:rsidRDefault="00E014AA">
            <w:pPr>
              <w:jc w:val="center"/>
              <w:rPr>
                <w:sz w:val="20"/>
              </w:rPr>
            </w:pPr>
            <w:r>
              <w:rPr>
                <w:sz w:val="20"/>
              </w:rPr>
              <w:t>0</w:t>
            </w:r>
          </w:p>
        </w:tc>
        <w:tc>
          <w:tcPr>
            <w:tcW w:w="1195" w:type="dxa"/>
          </w:tcPr>
          <w:p w:rsidR="00E014AA" w:rsidRDefault="00E014AA">
            <w:pPr>
              <w:jc w:val="right"/>
              <w:rPr>
                <w:sz w:val="20"/>
              </w:rPr>
            </w:pPr>
            <w:r>
              <w:rPr>
                <w:sz w:val="20"/>
              </w:rPr>
              <w:t>$0</w:t>
            </w:r>
          </w:p>
        </w:tc>
      </w:tr>
      <w:tr w:rsidR="00EF085F" w:rsidTr="00EF085F">
        <w:trPr>
          <w:cantSplit/>
          <w:jc w:val="center"/>
        </w:trPr>
        <w:tc>
          <w:tcPr>
            <w:tcW w:w="4256" w:type="dxa"/>
          </w:tcPr>
          <w:p w:rsidR="00EF085F" w:rsidRDefault="00EF085F" w:rsidP="00EF085F">
            <w:pPr>
              <w:rPr>
                <w:sz w:val="20"/>
              </w:rPr>
            </w:pPr>
            <w:r>
              <w:rPr>
                <w:sz w:val="20"/>
              </w:rPr>
              <w:t xml:space="preserve">   Report of performance test </w:t>
            </w:r>
          </w:p>
        </w:tc>
        <w:tc>
          <w:tcPr>
            <w:tcW w:w="1350" w:type="dxa"/>
          </w:tcPr>
          <w:p w:rsidR="00EF085F" w:rsidRDefault="00EF085F">
            <w:pPr>
              <w:jc w:val="center"/>
              <w:rPr>
                <w:sz w:val="20"/>
              </w:rPr>
            </w:pPr>
            <w:r>
              <w:rPr>
                <w:sz w:val="20"/>
              </w:rPr>
              <w:t>24</w:t>
            </w:r>
          </w:p>
        </w:tc>
        <w:tc>
          <w:tcPr>
            <w:tcW w:w="1350" w:type="dxa"/>
          </w:tcPr>
          <w:p w:rsidR="00EF085F" w:rsidRDefault="00EF085F">
            <w:pPr>
              <w:jc w:val="center"/>
              <w:rPr>
                <w:sz w:val="20"/>
              </w:rPr>
            </w:pPr>
            <w:r>
              <w:rPr>
                <w:sz w:val="20"/>
              </w:rPr>
              <w:t>0.2</w:t>
            </w:r>
          </w:p>
        </w:tc>
        <w:tc>
          <w:tcPr>
            <w:tcW w:w="1170" w:type="dxa"/>
          </w:tcPr>
          <w:p w:rsidR="00EF085F" w:rsidRDefault="00EF085F">
            <w:pPr>
              <w:jc w:val="center"/>
              <w:rPr>
                <w:sz w:val="20"/>
              </w:rPr>
            </w:pPr>
            <w:r>
              <w:rPr>
                <w:sz w:val="20"/>
              </w:rPr>
              <w:t>4.8</w:t>
            </w:r>
          </w:p>
        </w:tc>
        <w:tc>
          <w:tcPr>
            <w:tcW w:w="810" w:type="dxa"/>
          </w:tcPr>
          <w:p w:rsidR="00EF085F" w:rsidRDefault="00EF085F">
            <w:pPr>
              <w:jc w:val="center"/>
              <w:rPr>
                <w:sz w:val="20"/>
              </w:rPr>
            </w:pPr>
            <w:r>
              <w:rPr>
                <w:sz w:val="20"/>
              </w:rPr>
              <w:t>0</w:t>
            </w:r>
          </w:p>
        </w:tc>
        <w:tc>
          <w:tcPr>
            <w:tcW w:w="1170" w:type="dxa"/>
          </w:tcPr>
          <w:p w:rsidR="00EF085F" w:rsidRDefault="00EF085F">
            <w:pPr>
              <w:jc w:val="center"/>
              <w:rPr>
                <w:sz w:val="20"/>
              </w:rPr>
            </w:pPr>
            <w:r>
              <w:rPr>
                <w:sz w:val="20"/>
              </w:rPr>
              <w:t>0</w:t>
            </w:r>
          </w:p>
        </w:tc>
        <w:tc>
          <w:tcPr>
            <w:tcW w:w="1440" w:type="dxa"/>
          </w:tcPr>
          <w:p w:rsidR="00EF085F" w:rsidRDefault="00EF085F">
            <w:pPr>
              <w:jc w:val="center"/>
              <w:rPr>
                <w:sz w:val="20"/>
              </w:rPr>
            </w:pPr>
            <w:r>
              <w:rPr>
                <w:sz w:val="20"/>
              </w:rPr>
              <w:t>0</w:t>
            </w:r>
          </w:p>
        </w:tc>
        <w:tc>
          <w:tcPr>
            <w:tcW w:w="990" w:type="dxa"/>
          </w:tcPr>
          <w:p w:rsidR="00EF085F" w:rsidRDefault="00EF085F">
            <w:pPr>
              <w:jc w:val="center"/>
              <w:rPr>
                <w:sz w:val="20"/>
              </w:rPr>
            </w:pPr>
            <w:r>
              <w:rPr>
                <w:sz w:val="20"/>
              </w:rPr>
              <w:t>0</w:t>
            </w:r>
          </w:p>
        </w:tc>
        <w:tc>
          <w:tcPr>
            <w:tcW w:w="1195" w:type="dxa"/>
          </w:tcPr>
          <w:p w:rsidR="00EF085F" w:rsidRDefault="00EF085F">
            <w:pPr>
              <w:jc w:val="right"/>
              <w:rPr>
                <w:sz w:val="20"/>
              </w:rPr>
            </w:pPr>
            <w:r>
              <w:rPr>
                <w:sz w:val="20"/>
              </w:rPr>
              <w:t>$0</w:t>
            </w:r>
          </w:p>
        </w:tc>
      </w:tr>
      <w:tr w:rsidR="00EF085F" w:rsidTr="00EF085F">
        <w:trPr>
          <w:cantSplit/>
          <w:jc w:val="center"/>
        </w:trPr>
        <w:tc>
          <w:tcPr>
            <w:tcW w:w="4256" w:type="dxa"/>
          </w:tcPr>
          <w:p w:rsidR="00EF085F" w:rsidRDefault="00EF085F" w:rsidP="00912BAB">
            <w:pPr>
              <w:rPr>
                <w:sz w:val="20"/>
              </w:rPr>
            </w:pPr>
            <w:r>
              <w:rPr>
                <w:sz w:val="20"/>
              </w:rPr>
              <w:t xml:space="preserve">   Report review</w:t>
            </w:r>
          </w:p>
        </w:tc>
        <w:tc>
          <w:tcPr>
            <w:tcW w:w="1350" w:type="dxa"/>
          </w:tcPr>
          <w:p w:rsidR="00EF085F" w:rsidRDefault="00EF085F">
            <w:pPr>
              <w:jc w:val="center"/>
              <w:rPr>
                <w:sz w:val="20"/>
              </w:rPr>
            </w:pPr>
          </w:p>
        </w:tc>
        <w:tc>
          <w:tcPr>
            <w:tcW w:w="1350" w:type="dxa"/>
          </w:tcPr>
          <w:p w:rsidR="00EF085F" w:rsidRDefault="00EF085F">
            <w:pPr>
              <w:jc w:val="center"/>
              <w:rPr>
                <w:sz w:val="20"/>
              </w:rPr>
            </w:pPr>
          </w:p>
        </w:tc>
        <w:tc>
          <w:tcPr>
            <w:tcW w:w="1170" w:type="dxa"/>
          </w:tcPr>
          <w:p w:rsidR="00EF085F" w:rsidRDefault="00EF085F">
            <w:pPr>
              <w:jc w:val="center"/>
              <w:rPr>
                <w:sz w:val="20"/>
              </w:rPr>
            </w:pPr>
          </w:p>
        </w:tc>
        <w:tc>
          <w:tcPr>
            <w:tcW w:w="810" w:type="dxa"/>
          </w:tcPr>
          <w:p w:rsidR="00EF085F" w:rsidRDefault="00EF085F">
            <w:pPr>
              <w:jc w:val="center"/>
              <w:rPr>
                <w:sz w:val="20"/>
              </w:rPr>
            </w:pPr>
          </w:p>
        </w:tc>
        <w:tc>
          <w:tcPr>
            <w:tcW w:w="1170" w:type="dxa"/>
          </w:tcPr>
          <w:p w:rsidR="00EF085F" w:rsidRDefault="00EF085F">
            <w:pPr>
              <w:jc w:val="center"/>
              <w:rPr>
                <w:sz w:val="20"/>
              </w:rPr>
            </w:pPr>
          </w:p>
        </w:tc>
        <w:tc>
          <w:tcPr>
            <w:tcW w:w="1440" w:type="dxa"/>
          </w:tcPr>
          <w:p w:rsidR="00EF085F" w:rsidRDefault="00EF085F">
            <w:pPr>
              <w:jc w:val="center"/>
              <w:rPr>
                <w:sz w:val="20"/>
              </w:rPr>
            </w:pPr>
          </w:p>
        </w:tc>
        <w:tc>
          <w:tcPr>
            <w:tcW w:w="990" w:type="dxa"/>
          </w:tcPr>
          <w:p w:rsidR="00EF085F" w:rsidRDefault="00EF085F">
            <w:pPr>
              <w:jc w:val="center"/>
              <w:rPr>
                <w:sz w:val="20"/>
              </w:rPr>
            </w:pPr>
          </w:p>
        </w:tc>
        <w:tc>
          <w:tcPr>
            <w:tcW w:w="1195" w:type="dxa"/>
          </w:tcPr>
          <w:p w:rsidR="00EF085F" w:rsidRDefault="00EF085F">
            <w:pPr>
              <w:jc w:val="right"/>
              <w:rPr>
                <w:sz w:val="20"/>
              </w:rPr>
            </w:pPr>
          </w:p>
        </w:tc>
      </w:tr>
      <w:tr w:rsidR="00EF085F" w:rsidTr="00EF085F">
        <w:trPr>
          <w:cantSplit/>
          <w:jc w:val="center"/>
        </w:trPr>
        <w:tc>
          <w:tcPr>
            <w:tcW w:w="4256" w:type="dxa"/>
          </w:tcPr>
          <w:p w:rsidR="00EF085F" w:rsidRDefault="00EF085F" w:rsidP="00912BAB">
            <w:pPr>
              <w:rPr>
                <w:sz w:val="20"/>
              </w:rPr>
            </w:pPr>
            <w:r>
              <w:rPr>
                <w:sz w:val="20"/>
              </w:rPr>
              <w:t xml:space="preserve">      Notification of construction</w:t>
            </w:r>
            <w:r w:rsidR="00E516FF">
              <w:rPr>
                <w:sz w:val="20"/>
              </w:rPr>
              <w:t xml:space="preserve"> </w:t>
            </w:r>
            <w:r w:rsidR="00E516FF" w:rsidRPr="00E516FF">
              <w:rPr>
                <w:sz w:val="20"/>
                <w:vertAlign w:val="superscript"/>
              </w:rPr>
              <w:t>c</w:t>
            </w:r>
          </w:p>
        </w:tc>
        <w:tc>
          <w:tcPr>
            <w:tcW w:w="1350" w:type="dxa"/>
          </w:tcPr>
          <w:p w:rsidR="00EF085F" w:rsidRDefault="00EF085F">
            <w:pPr>
              <w:jc w:val="center"/>
              <w:rPr>
                <w:sz w:val="20"/>
              </w:rPr>
            </w:pPr>
            <w:r>
              <w:rPr>
                <w:sz w:val="20"/>
              </w:rPr>
              <w:t>2</w:t>
            </w:r>
          </w:p>
        </w:tc>
        <w:tc>
          <w:tcPr>
            <w:tcW w:w="1350" w:type="dxa"/>
          </w:tcPr>
          <w:p w:rsidR="00EF085F" w:rsidRDefault="00EF085F">
            <w:pPr>
              <w:jc w:val="center"/>
              <w:rPr>
                <w:sz w:val="20"/>
              </w:rPr>
            </w:pPr>
            <w:r>
              <w:rPr>
                <w:sz w:val="20"/>
              </w:rPr>
              <w:t>1</w:t>
            </w:r>
          </w:p>
        </w:tc>
        <w:tc>
          <w:tcPr>
            <w:tcW w:w="1170" w:type="dxa"/>
          </w:tcPr>
          <w:p w:rsidR="00EF085F" w:rsidRDefault="00EF085F">
            <w:pPr>
              <w:jc w:val="center"/>
              <w:rPr>
                <w:sz w:val="20"/>
              </w:rPr>
            </w:pPr>
            <w:r>
              <w:rPr>
                <w:sz w:val="20"/>
              </w:rPr>
              <w:t>2</w:t>
            </w:r>
          </w:p>
        </w:tc>
        <w:tc>
          <w:tcPr>
            <w:tcW w:w="810" w:type="dxa"/>
          </w:tcPr>
          <w:p w:rsidR="00EF085F" w:rsidRDefault="00EF085F">
            <w:pPr>
              <w:jc w:val="center"/>
              <w:rPr>
                <w:sz w:val="20"/>
              </w:rPr>
            </w:pPr>
            <w:r>
              <w:rPr>
                <w:sz w:val="20"/>
              </w:rPr>
              <w:t>0</w:t>
            </w:r>
          </w:p>
        </w:tc>
        <w:tc>
          <w:tcPr>
            <w:tcW w:w="1170" w:type="dxa"/>
          </w:tcPr>
          <w:p w:rsidR="00EF085F" w:rsidRDefault="00EF085F">
            <w:pPr>
              <w:jc w:val="center"/>
              <w:rPr>
                <w:sz w:val="20"/>
              </w:rPr>
            </w:pPr>
            <w:r>
              <w:rPr>
                <w:sz w:val="20"/>
              </w:rPr>
              <w:t>0</w:t>
            </w:r>
          </w:p>
        </w:tc>
        <w:tc>
          <w:tcPr>
            <w:tcW w:w="1440" w:type="dxa"/>
          </w:tcPr>
          <w:p w:rsidR="00EF085F" w:rsidRDefault="00EF085F">
            <w:pPr>
              <w:jc w:val="center"/>
              <w:rPr>
                <w:sz w:val="20"/>
              </w:rPr>
            </w:pPr>
            <w:r>
              <w:rPr>
                <w:sz w:val="20"/>
              </w:rPr>
              <w:t>0</w:t>
            </w:r>
          </w:p>
        </w:tc>
        <w:tc>
          <w:tcPr>
            <w:tcW w:w="990" w:type="dxa"/>
          </w:tcPr>
          <w:p w:rsidR="00EF085F" w:rsidRDefault="00EF085F">
            <w:pPr>
              <w:jc w:val="center"/>
              <w:rPr>
                <w:sz w:val="20"/>
              </w:rPr>
            </w:pPr>
            <w:r>
              <w:rPr>
                <w:sz w:val="20"/>
              </w:rPr>
              <w:t>0</w:t>
            </w:r>
          </w:p>
        </w:tc>
        <w:tc>
          <w:tcPr>
            <w:tcW w:w="1195" w:type="dxa"/>
          </w:tcPr>
          <w:p w:rsidR="00EF085F" w:rsidRDefault="00EF085F">
            <w:pPr>
              <w:jc w:val="right"/>
              <w:rPr>
                <w:sz w:val="20"/>
              </w:rPr>
            </w:pPr>
            <w:r>
              <w:rPr>
                <w:sz w:val="20"/>
              </w:rPr>
              <w:t>$0</w:t>
            </w:r>
          </w:p>
        </w:tc>
      </w:tr>
      <w:tr w:rsidR="00EF085F" w:rsidTr="00EF085F">
        <w:trPr>
          <w:cantSplit/>
          <w:jc w:val="center"/>
        </w:trPr>
        <w:tc>
          <w:tcPr>
            <w:tcW w:w="4256" w:type="dxa"/>
          </w:tcPr>
          <w:p w:rsidR="00EF085F" w:rsidRDefault="00EF085F" w:rsidP="00912BAB">
            <w:pPr>
              <w:rPr>
                <w:sz w:val="20"/>
              </w:rPr>
            </w:pPr>
            <w:r>
              <w:rPr>
                <w:sz w:val="20"/>
              </w:rPr>
              <w:t xml:space="preserve">      Notification of anticipated startup</w:t>
            </w:r>
            <w:r w:rsidR="00EA37A7">
              <w:rPr>
                <w:sz w:val="20"/>
              </w:rPr>
              <w:t xml:space="preserve"> </w:t>
            </w:r>
            <w:r w:rsidR="00EA37A7" w:rsidRPr="00EA37A7">
              <w:rPr>
                <w:sz w:val="20"/>
                <w:vertAlign w:val="superscript"/>
              </w:rPr>
              <w:t>d</w:t>
            </w:r>
          </w:p>
        </w:tc>
        <w:tc>
          <w:tcPr>
            <w:tcW w:w="1350" w:type="dxa"/>
          </w:tcPr>
          <w:p w:rsidR="00EF085F" w:rsidRDefault="00EF085F">
            <w:pPr>
              <w:jc w:val="center"/>
              <w:rPr>
                <w:sz w:val="20"/>
              </w:rPr>
            </w:pPr>
            <w:r>
              <w:rPr>
                <w:sz w:val="20"/>
              </w:rPr>
              <w:t>0.5</w:t>
            </w:r>
          </w:p>
        </w:tc>
        <w:tc>
          <w:tcPr>
            <w:tcW w:w="1350" w:type="dxa"/>
          </w:tcPr>
          <w:p w:rsidR="00EF085F" w:rsidRDefault="00EF085F">
            <w:pPr>
              <w:jc w:val="center"/>
              <w:rPr>
                <w:sz w:val="20"/>
              </w:rPr>
            </w:pPr>
            <w:r>
              <w:rPr>
                <w:sz w:val="20"/>
              </w:rPr>
              <w:t>1</w:t>
            </w:r>
          </w:p>
        </w:tc>
        <w:tc>
          <w:tcPr>
            <w:tcW w:w="1170" w:type="dxa"/>
          </w:tcPr>
          <w:p w:rsidR="00EF085F" w:rsidRDefault="00EF085F">
            <w:pPr>
              <w:jc w:val="center"/>
              <w:rPr>
                <w:sz w:val="20"/>
              </w:rPr>
            </w:pPr>
            <w:r>
              <w:rPr>
                <w:sz w:val="20"/>
              </w:rPr>
              <w:t>0.1</w:t>
            </w:r>
          </w:p>
        </w:tc>
        <w:tc>
          <w:tcPr>
            <w:tcW w:w="810" w:type="dxa"/>
          </w:tcPr>
          <w:p w:rsidR="00EF085F" w:rsidRDefault="00EF085F">
            <w:pPr>
              <w:jc w:val="center"/>
              <w:rPr>
                <w:sz w:val="20"/>
              </w:rPr>
            </w:pPr>
            <w:r>
              <w:rPr>
                <w:sz w:val="20"/>
              </w:rPr>
              <w:t>0</w:t>
            </w:r>
          </w:p>
        </w:tc>
        <w:tc>
          <w:tcPr>
            <w:tcW w:w="1170" w:type="dxa"/>
          </w:tcPr>
          <w:p w:rsidR="00EF085F" w:rsidRDefault="00EF085F">
            <w:pPr>
              <w:jc w:val="center"/>
              <w:rPr>
                <w:sz w:val="20"/>
              </w:rPr>
            </w:pPr>
            <w:r>
              <w:rPr>
                <w:sz w:val="20"/>
              </w:rPr>
              <w:t>0</w:t>
            </w:r>
          </w:p>
        </w:tc>
        <w:tc>
          <w:tcPr>
            <w:tcW w:w="1440" w:type="dxa"/>
          </w:tcPr>
          <w:p w:rsidR="00EF085F" w:rsidRDefault="00EF085F">
            <w:pPr>
              <w:jc w:val="center"/>
              <w:rPr>
                <w:sz w:val="20"/>
              </w:rPr>
            </w:pPr>
            <w:r>
              <w:rPr>
                <w:sz w:val="20"/>
              </w:rPr>
              <w:t>0</w:t>
            </w:r>
          </w:p>
        </w:tc>
        <w:tc>
          <w:tcPr>
            <w:tcW w:w="990" w:type="dxa"/>
          </w:tcPr>
          <w:p w:rsidR="00EF085F" w:rsidRDefault="00EF085F">
            <w:pPr>
              <w:jc w:val="center"/>
              <w:rPr>
                <w:sz w:val="20"/>
              </w:rPr>
            </w:pPr>
            <w:r>
              <w:rPr>
                <w:sz w:val="20"/>
              </w:rPr>
              <w:t>0</w:t>
            </w:r>
          </w:p>
        </w:tc>
        <w:tc>
          <w:tcPr>
            <w:tcW w:w="1195" w:type="dxa"/>
          </w:tcPr>
          <w:p w:rsidR="00EF085F" w:rsidRDefault="00EF085F">
            <w:pPr>
              <w:jc w:val="right"/>
              <w:rPr>
                <w:sz w:val="20"/>
              </w:rPr>
            </w:pPr>
            <w:r>
              <w:rPr>
                <w:sz w:val="20"/>
              </w:rPr>
              <w:t>$0</w:t>
            </w:r>
          </w:p>
        </w:tc>
      </w:tr>
      <w:tr w:rsidR="00EF085F" w:rsidTr="00EF085F">
        <w:trPr>
          <w:cantSplit/>
          <w:jc w:val="center"/>
        </w:trPr>
        <w:tc>
          <w:tcPr>
            <w:tcW w:w="4256" w:type="dxa"/>
          </w:tcPr>
          <w:p w:rsidR="00EF085F" w:rsidRDefault="00EF085F" w:rsidP="00912BAB">
            <w:pPr>
              <w:rPr>
                <w:sz w:val="20"/>
              </w:rPr>
            </w:pPr>
            <w:r>
              <w:rPr>
                <w:sz w:val="20"/>
              </w:rPr>
              <w:t xml:space="preserve">      Notification of actual startup</w:t>
            </w:r>
            <w:r w:rsidR="00EA37A7">
              <w:rPr>
                <w:sz w:val="20"/>
              </w:rPr>
              <w:t xml:space="preserve"> </w:t>
            </w:r>
            <w:r w:rsidR="00EA37A7" w:rsidRPr="00EA37A7">
              <w:rPr>
                <w:sz w:val="20"/>
                <w:vertAlign w:val="superscript"/>
              </w:rPr>
              <w:t>d</w:t>
            </w:r>
          </w:p>
        </w:tc>
        <w:tc>
          <w:tcPr>
            <w:tcW w:w="1350" w:type="dxa"/>
          </w:tcPr>
          <w:p w:rsidR="00EF085F" w:rsidRDefault="00EF085F">
            <w:pPr>
              <w:jc w:val="center"/>
              <w:rPr>
                <w:sz w:val="20"/>
              </w:rPr>
            </w:pPr>
            <w:r>
              <w:rPr>
                <w:sz w:val="20"/>
              </w:rPr>
              <w:t>0.5</w:t>
            </w:r>
          </w:p>
        </w:tc>
        <w:tc>
          <w:tcPr>
            <w:tcW w:w="1350" w:type="dxa"/>
          </w:tcPr>
          <w:p w:rsidR="00EF085F" w:rsidRDefault="00EF085F">
            <w:pPr>
              <w:jc w:val="center"/>
              <w:rPr>
                <w:sz w:val="20"/>
              </w:rPr>
            </w:pPr>
            <w:r>
              <w:rPr>
                <w:sz w:val="20"/>
              </w:rPr>
              <w:t>1</w:t>
            </w:r>
          </w:p>
        </w:tc>
        <w:tc>
          <w:tcPr>
            <w:tcW w:w="1170" w:type="dxa"/>
          </w:tcPr>
          <w:p w:rsidR="00EF085F" w:rsidRDefault="00EF085F">
            <w:pPr>
              <w:jc w:val="center"/>
              <w:rPr>
                <w:sz w:val="20"/>
              </w:rPr>
            </w:pPr>
            <w:r>
              <w:rPr>
                <w:sz w:val="20"/>
              </w:rPr>
              <w:t>0.5</w:t>
            </w:r>
          </w:p>
        </w:tc>
        <w:tc>
          <w:tcPr>
            <w:tcW w:w="810" w:type="dxa"/>
          </w:tcPr>
          <w:p w:rsidR="00EF085F" w:rsidRDefault="00EF085F">
            <w:pPr>
              <w:jc w:val="center"/>
              <w:rPr>
                <w:sz w:val="20"/>
              </w:rPr>
            </w:pPr>
            <w:r>
              <w:rPr>
                <w:sz w:val="20"/>
              </w:rPr>
              <w:t>0</w:t>
            </w:r>
          </w:p>
        </w:tc>
        <w:tc>
          <w:tcPr>
            <w:tcW w:w="1170" w:type="dxa"/>
          </w:tcPr>
          <w:p w:rsidR="00EF085F" w:rsidRDefault="00EF085F">
            <w:pPr>
              <w:jc w:val="center"/>
              <w:rPr>
                <w:sz w:val="20"/>
              </w:rPr>
            </w:pPr>
            <w:r>
              <w:rPr>
                <w:sz w:val="20"/>
              </w:rPr>
              <w:t>0</w:t>
            </w:r>
          </w:p>
        </w:tc>
        <w:tc>
          <w:tcPr>
            <w:tcW w:w="1440" w:type="dxa"/>
          </w:tcPr>
          <w:p w:rsidR="00EF085F" w:rsidRDefault="00EF085F">
            <w:pPr>
              <w:jc w:val="center"/>
              <w:rPr>
                <w:sz w:val="20"/>
              </w:rPr>
            </w:pPr>
            <w:r>
              <w:rPr>
                <w:sz w:val="20"/>
              </w:rPr>
              <w:t>0</w:t>
            </w:r>
          </w:p>
        </w:tc>
        <w:tc>
          <w:tcPr>
            <w:tcW w:w="990" w:type="dxa"/>
          </w:tcPr>
          <w:p w:rsidR="00EF085F" w:rsidRDefault="00EF085F">
            <w:pPr>
              <w:jc w:val="center"/>
              <w:rPr>
                <w:sz w:val="20"/>
              </w:rPr>
            </w:pPr>
            <w:r>
              <w:rPr>
                <w:sz w:val="20"/>
              </w:rPr>
              <w:t>0</w:t>
            </w:r>
          </w:p>
        </w:tc>
        <w:tc>
          <w:tcPr>
            <w:tcW w:w="1195" w:type="dxa"/>
          </w:tcPr>
          <w:p w:rsidR="00EF085F" w:rsidRDefault="00EF085F">
            <w:pPr>
              <w:jc w:val="right"/>
              <w:rPr>
                <w:sz w:val="20"/>
              </w:rPr>
            </w:pPr>
            <w:r>
              <w:rPr>
                <w:sz w:val="20"/>
              </w:rPr>
              <w:t>$0</w:t>
            </w:r>
          </w:p>
        </w:tc>
      </w:tr>
      <w:tr w:rsidR="00EF085F" w:rsidTr="00EF085F">
        <w:trPr>
          <w:cantSplit/>
          <w:jc w:val="center"/>
        </w:trPr>
        <w:tc>
          <w:tcPr>
            <w:tcW w:w="4256" w:type="dxa"/>
          </w:tcPr>
          <w:p w:rsidR="00EF085F" w:rsidRDefault="00EF085F" w:rsidP="00912BAB">
            <w:pPr>
              <w:rPr>
                <w:sz w:val="20"/>
              </w:rPr>
            </w:pPr>
            <w:r>
              <w:rPr>
                <w:sz w:val="20"/>
              </w:rPr>
              <w:t xml:space="preserve">      Notification of initial test</w:t>
            </w:r>
            <w:r w:rsidR="00EA37A7">
              <w:rPr>
                <w:sz w:val="20"/>
              </w:rPr>
              <w:t xml:space="preserve"> </w:t>
            </w:r>
            <w:r w:rsidR="00EA37A7" w:rsidRPr="00EA37A7">
              <w:rPr>
                <w:sz w:val="20"/>
                <w:vertAlign w:val="superscript"/>
              </w:rPr>
              <w:t>d</w:t>
            </w:r>
          </w:p>
        </w:tc>
        <w:tc>
          <w:tcPr>
            <w:tcW w:w="1350" w:type="dxa"/>
          </w:tcPr>
          <w:p w:rsidR="00EF085F" w:rsidRDefault="00EF085F">
            <w:pPr>
              <w:jc w:val="center"/>
              <w:rPr>
                <w:sz w:val="20"/>
              </w:rPr>
            </w:pPr>
            <w:r>
              <w:rPr>
                <w:sz w:val="20"/>
              </w:rPr>
              <w:t>0.5</w:t>
            </w:r>
          </w:p>
        </w:tc>
        <w:tc>
          <w:tcPr>
            <w:tcW w:w="1350" w:type="dxa"/>
          </w:tcPr>
          <w:p w:rsidR="00EF085F" w:rsidRDefault="00EF085F">
            <w:pPr>
              <w:jc w:val="center"/>
              <w:rPr>
                <w:sz w:val="20"/>
              </w:rPr>
            </w:pPr>
            <w:r>
              <w:rPr>
                <w:sz w:val="20"/>
              </w:rPr>
              <w:t>1</w:t>
            </w:r>
          </w:p>
        </w:tc>
        <w:tc>
          <w:tcPr>
            <w:tcW w:w="1170" w:type="dxa"/>
          </w:tcPr>
          <w:p w:rsidR="00EF085F" w:rsidRDefault="00EF085F">
            <w:pPr>
              <w:jc w:val="center"/>
              <w:rPr>
                <w:sz w:val="20"/>
              </w:rPr>
            </w:pPr>
            <w:r>
              <w:rPr>
                <w:sz w:val="20"/>
              </w:rPr>
              <w:t>0.5</w:t>
            </w:r>
          </w:p>
        </w:tc>
        <w:tc>
          <w:tcPr>
            <w:tcW w:w="810" w:type="dxa"/>
          </w:tcPr>
          <w:p w:rsidR="00EF085F" w:rsidRDefault="00EF085F">
            <w:pPr>
              <w:jc w:val="center"/>
              <w:rPr>
                <w:sz w:val="20"/>
              </w:rPr>
            </w:pPr>
            <w:r>
              <w:rPr>
                <w:sz w:val="20"/>
              </w:rPr>
              <w:t>0</w:t>
            </w:r>
          </w:p>
        </w:tc>
        <w:tc>
          <w:tcPr>
            <w:tcW w:w="1170" w:type="dxa"/>
          </w:tcPr>
          <w:p w:rsidR="00EF085F" w:rsidRDefault="00EF085F">
            <w:pPr>
              <w:jc w:val="center"/>
              <w:rPr>
                <w:sz w:val="20"/>
              </w:rPr>
            </w:pPr>
            <w:r>
              <w:rPr>
                <w:sz w:val="20"/>
              </w:rPr>
              <w:t>0</w:t>
            </w:r>
          </w:p>
        </w:tc>
        <w:tc>
          <w:tcPr>
            <w:tcW w:w="1440" w:type="dxa"/>
          </w:tcPr>
          <w:p w:rsidR="00EF085F" w:rsidRDefault="00EF085F">
            <w:pPr>
              <w:jc w:val="center"/>
              <w:rPr>
                <w:sz w:val="20"/>
              </w:rPr>
            </w:pPr>
            <w:r>
              <w:rPr>
                <w:sz w:val="20"/>
              </w:rPr>
              <w:t>0</w:t>
            </w:r>
          </w:p>
        </w:tc>
        <w:tc>
          <w:tcPr>
            <w:tcW w:w="990" w:type="dxa"/>
          </w:tcPr>
          <w:p w:rsidR="00EF085F" w:rsidRDefault="00EF085F">
            <w:pPr>
              <w:jc w:val="center"/>
              <w:rPr>
                <w:sz w:val="20"/>
              </w:rPr>
            </w:pPr>
            <w:r>
              <w:rPr>
                <w:sz w:val="20"/>
              </w:rPr>
              <w:t>0</w:t>
            </w:r>
          </w:p>
        </w:tc>
        <w:tc>
          <w:tcPr>
            <w:tcW w:w="1195" w:type="dxa"/>
          </w:tcPr>
          <w:p w:rsidR="00EF085F" w:rsidRDefault="00EF085F">
            <w:pPr>
              <w:jc w:val="right"/>
              <w:rPr>
                <w:sz w:val="20"/>
              </w:rPr>
            </w:pPr>
            <w:r>
              <w:rPr>
                <w:sz w:val="20"/>
              </w:rPr>
              <w:t>$0</w:t>
            </w:r>
          </w:p>
        </w:tc>
      </w:tr>
      <w:tr w:rsidR="00E014AA" w:rsidTr="00EF085F">
        <w:trPr>
          <w:cantSplit/>
          <w:jc w:val="center"/>
        </w:trPr>
        <w:tc>
          <w:tcPr>
            <w:tcW w:w="4256" w:type="dxa"/>
          </w:tcPr>
          <w:p w:rsidR="00E014AA" w:rsidRDefault="00EF085F" w:rsidP="0049191E">
            <w:pPr>
              <w:rPr>
                <w:sz w:val="20"/>
              </w:rPr>
            </w:pPr>
            <w:r>
              <w:rPr>
                <w:sz w:val="20"/>
              </w:rPr>
              <w:t xml:space="preserve">      Review test results</w:t>
            </w:r>
          </w:p>
        </w:tc>
        <w:tc>
          <w:tcPr>
            <w:tcW w:w="1350" w:type="dxa"/>
          </w:tcPr>
          <w:p w:rsidR="00E014AA" w:rsidRDefault="00EF085F">
            <w:pPr>
              <w:jc w:val="center"/>
              <w:rPr>
                <w:sz w:val="20"/>
              </w:rPr>
            </w:pPr>
            <w:r>
              <w:rPr>
                <w:sz w:val="20"/>
              </w:rPr>
              <w:t>8</w:t>
            </w:r>
          </w:p>
        </w:tc>
        <w:tc>
          <w:tcPr>
            <w:tcW w:w="1350" w:type="dxa"/>
          </w:tcPr>
          <w:p w:rsidR="00E014AA" w:rsidRDefault="00E014AA">
            <w:pPr>
              <w:jc w:val="center"/>
              <w:rPr>
                <w:sz w:val="20"/>
              </w:rPr>
            </w:pPr>
            <w:r>
              <w:rPr>
                <w:sz w:val="20"/>
              </w:rPr>
              <w:t>1</w:t>
            </w:r>
          </w:p>
        </w:tc>
        <w:tc>
          <w:tcPr>
            <w:tcW w:w="1170" w:type="dxa"/>
          </w:tcPr>
          <w:p w:rsidR="00E014AA" w:rsidRDefault="00912BAB">
            <w:pPr>
              <w:jc w:val="center"/>
              <w:rPr>
                <w:sz w:val="20"/>
              </w:rPr>
            </w:pPr>
            <w:r>
              <w:rPr>
                <w:sz w:val="20"/>
              </w:rPr>
              <w:t>8</w:t>
            </w:r>
          </w:p>
        </w:tc>
        <w:tc>
          <w:tcPr>
            <w:tcW w:w="810" w:type="dxa"/>
          </w:tcPr>
          <w:p w:rsidR="00E014AA" w:rsidRDefault="00E014AA">
            <w:pPr>
              <w:jc w:val="center"/>
              <w:rPr>
                <w:sz w:val="20"/>
              </w:rPr>
            </w:pPr>
            <w:r>
              <w:rPr>
                <w:sz w:val="20"/>
              </w:rPr>
              <w:t>0</w:t>
            </w:r>
          </w:p>
        </w:tc>
        <w:tc>
          <w:tcPr>
            <w:tcW w:w="1170" w:type="dxa"/>
          </w:tcPr>
          <w:p w:rsidR="00E014AA" w:rsidRDefault="00E014AA">
            <w:pPr>
              <w:jc w:val="center"/>
              <w:rPr>
                <w:sz w:val="20"/>
              </w:rPr>
            </w:pPr>
            <w:r>
              <w:rPr>
                <w:sz w:val="20"/>
              </w:rPr>
              <w:t>0</w:t>
            </w:r>
          </w:p>
        </w:tc>
        <w:tc>
          <w:tcPr>
            <w:tcW w:w="1440" w:type="dxa"/>
          </w:tcPr>
          <w:p w:rsidR="00E014AA" w:rsidRDefault="00E014AA">
            <w:pPr>
              <w:jc w:val="center"/>
              <w:rPr>
                <w:sz w:val="20"/>
              </w:rPr>
            </w:pPr>
            <w:r>
              <w:rPr>
                <w:sz w:val="20"/>
              </w:rPr>
              <w:t>0</w:t>
            </w:r>
          </w:p>
        </w:tc>
        <w:tc>
          <w:tcPr>
            <w:tcW w:w="990" w:type="dxa"/>
          </w:tcPr>
          <w:p w:rsidR="00E014AA" w:rsidRDefault="00E014AA">
            <w:pPr>
              <w:jc w:val="center"/>
              <w:rPr>
                <w:sz w:val="20"/>
              </w:rPr>
            </w:pPr>
            <w:r>
              <w:rPr>
                <w:sz w:val="20"/>
              </w:rPr>
              <w:t>0</w:t>
            </w:r>
          </w:p>
        </w:tc>
        <w:tc>
          <w:tcPr>
            <w:tcW w:w="1195" w:type="dxa"/>
          </w:tcPr>
          <w:p w:rsidR="00E014AA" w:rsidRDefault="00E014AA">
            <w:pPr>
              <w:jc w:val="right"/>
              <w:rPr>
                <w:sz w:val="20"/>
              </w:rPr>
            </w:pPr>
            <w:r>
              <w:rPr>
                <w:sz w:val="20"/>
              </w:rPr>
              <w:t>$0</w:t>
            </w:r>
          </w:p>
        </w:tc>
      </w:tr>
      <w:tr w:rsidR="00E014AA" w:rsidTr="00EF085F">
        <w:trPr>
          <w:cantSplit/>
          <w:jc w:val="center"/>
        </w:trPr>
        <w:tc>
          <w:tcPr>
            <w:tcW w:w="4256" w:type="dxa"/>
          </w:tcPr>
          <w:p w:rsidR="00E014AA" w:rsidRDefault="00E516FF" w:rsidP="00E516FF">
            <w:pPr>
              <w:rPr>
                <w:sz w:val="20"/>
              </w:rPr>
            </w:pPr>
            <w:r>
              <w:rPr>
                <w:sz w:val="20"/>
              </w:rPr>
              <w:t>Existing Plants</w:t>
            </w:r>
          </w:p>
        </w:tc>
        <w:tc>
          <w:tcPr>
            <w:tcW w:w="1350" w:type="dxa"/>
          </w:tcPr>
          <w:p w:rsidR="00E014AA" w:rsidRDefault="00E014AA" w:rsidP="00912BAB">
            <w:pPr>
              <w:jc w:val="center"/>
              <w:rPr>
                <w:sz w:val="20"/>
              </w:rPr>
            </w:pPr>
          </w:p>
        </w:tc>
        <w:tc>
          <w:tcPr>
            <w:tcW w:w="1350" w:type="dxa"/>
          </w:tcPr>
          <w:p w:rsidR="00E014AA" w:rsidRDefault="00E014AA">
            <w:pPr>
              <w:jc w:val="center"/>
              <w:rPr>
                <w:sz w:val="20"/>
              </w:rPr>
            </w:pPr>
          </w:p>
        </w:tc>
        <w:tc>
          <w:tcPr>
            <w:tcW w:w="1170" w:type="dxa"/>
          </w:tcPr>
          <w:p w:rsidR="00E014AA" w:rsidRDefault="00E014AA">
            <w:pPr>
              <w:jc w:val="center"/>
              <w:rPr>
                <w:sz w:val="20"/>
              </w:rPr>
            </w:pPr>
          </w:p>
        </w:tc>
        <w:tc>
          <w:tcPr>
            <w:tcW w:w="810" w:type="dxa"/>
          </w:tcPr>
          <w:p w:rsidR="00E014AA" w:rsidRDefault="00E014AA">
            <w:pPr>
              <w:jc w:val="center"/>
              <w:rPr>
                <w:sz w:val="20"/>
              </w:rPr>
            </w:pPr>
          </w:p>
        </w:tc>
        <w:tc>
          <w:tcPr>
            <w:tcW w:w="1170" w:type="dxa"/>
          </w:tcPr>
          <w:p w:rsidR="00E014AA" w:rsidRDefault="00E014AA">
            <w:pPr>
              <w:jc w:val="center"/>
              <w:rPr>
                <w:sz w:val="20"/>
              </w:rPr>
            </w:pPr>
          </w:p>
        </w:tc>
        <w:tc>
          <w:tcPr>
            <w:tcW w:w="1440" w:type="dxa"/>
          </w:tcPr>
          <w:p w:rsidR="00E014AA" w:rsidRDefault="00E014AA">
            <w:pPr>
              <w:jc w:val="center"/>
              <w:rPr>
                <w:sz w:val="20"/>
              </w:rPr>
            </w:pPr>
          </w:p>
        </w:tc>
        <w:tc>
          <w:tcPr>
            <w:tcW w:w="990" w:type="dxa"/>
          </w:tcPr>
          <w:p w:rsidR="00E014AA" w:rsidRDefault="00E014AA">
            <w:pPr>
              <w:jc w:val="center"/>
              <w:rPr>
                <w:sz w:val="20"/>
              </w:rPr>
            </w:pPr>
          </w:p>
        </w:tc>
        <w:tc>
          <w:tcPr>
            <w:tcW w:w="1195" w:type="dxa"/>
          </w:tcPr>
          <w:p w:rsidR="00E014AA" w:rsidRDefault="00E014AA">
            <w:pPr>
              <w:jc w:val="right"/>
              <w:rPr>
                <w:sz w:val="20"/>
              </w:rPr>
            </w:pPr>
          </w:p>
        </w:tc>
      </w:tr>
      <w:tr w:rsidR="00EF085F" w:rsidTr="00EF085F">
        <w:trPr>
          <w:cantSplit/>
          <w:jc w:val="center"/>
        </w:trPr>
        <w:tc>
          <w:tcPr>
            <w:tcW w:w="4256" w:type="dxa"/>
          </w:tcPr>
          <w:p w:rsidR="00EF085F" w:rsidRDefault="00E516FF" w:rsidP="00912BAB">
            <w:pPr>
              <w:rPr>
                <w:sz w:val="20"/>
              </w:rPr>
            </w:pPr>
            <w:r>
              <w:rPr>
                <w:sz w:val="20"/>
              </w:rPr>
              <w:t xml:space="preserve">  Emission reports</w:t>
            </w:r>
          </w:p>
        </w:tc>
        <w:tc>
          <w:tcPr>
            <w:tcW w:w="1350" w:type="dxa"/>
          </w:tcPr>
          <w:p w:rsidR="00EF085F" w:rsidRDefault="00E516FF" w:rsidP="00912BAB">
            <w:pPr>
              <w:jc w:val="center"/>
              <w:rPr>
                <w:sz w:val="20"/>
              </w:rPr>
            </w:pPr>
            <w:r>
              <w:rPr>
                <w:sz w:val="20"/>
              </w:rPr>
              <w:t>4.2</w:t>
            </w:r>
          </w:p>
        </w:tc>
        <w:tc>
          <w:tcPr>
            <w:tcW w:w="1350" w:type="dxa"/>
          </w:tcPr>
          <w:p w:rsidR="00EF085F" w:rsidRDefault="00E516FF">
            <w:pPr>
              <w:jc w:val="center"/>
              <w:rPr>
                <w:sz w:val="20"/>
              </w:rPr>
            </w:pPr>
            <w:r>
              <w:rPr>
                <w:sz w:val="20"/>
              </w:rPr>
              <w:t>2</w:t>
            </w:r>
          </w:p>
        </w:tc>
        <w:tc>
          <w:tcPr>
            <w:tcW w:w="1170" w:type="dxa"/>
          </w:tcPr>
          <w:p w:rsidR="00EF085F" w:rsidRDefault="00E516FF">
            <w:pPr>
              <w:jc w:val="center"/>
              <w:rPr>
                <w:sz w:val="20"/>
              </w:rPr>
            </w:pPr>
            <w:r>
              <w:rPr>
                <w:sz w:val="20"/>
              </w:rPr>
              <w:t>8.4</w:t>
            </w:r>
          </w:p>
        </w:tc>
        <w:tc>
          <w:tcPr>
            <w:tcW w:w="810" w:type="dxa"/>
          </w:tcPr>
          <w:p w:rsidR="00EF085F" w:rsidRDefault="00E516FF">
            <w:pPr>
              <w:jc w:val="center"/>
              <w:rPr>
                <w:sz w:val="20"/>
              </w:rPr>
            </w:pPr>
            <w:r>
              <w:rPr>
                <w:sz w:val="20"/>
              </w:rPr>
              <w:t>18</w:t>
            </w:r>
          </w:p>
        </w:tc>
        <w:tc>
          <w:tcPr>
            <w:tcW w:w="1170" w:type="dxa"/>
          </w:tcPr>
          <w:p w:rsidR="00EF085F" w:rsidRDefault="00E516FF">
            <w:pPr>
              <w:jc w:val="center"/>
              <w:rPr>
                <w:sz w:val="20"/>
              </w:rPr>
            </w:pPr>
            <w:r>
              <w:rPr>
                <w:sz w:val="20"/>
              </w:rPr>
              <w:t>151.2</w:t>
            </w:r>
          </w:p>
        </w:tc>
        <w:tc>
          <w:tcPr>
            <w:tcW w:w="1440" w:type="dxa"/>
          </w:tcPr>
          <w:p w:rsidR="00EF085F" w:rsidRDefault="00E516FF">
            <w:pPr>
              <w:jc w:val="center"/>
              <w:rPr>
                <w:sz w:val="20"/>
              </w:rPr>
            </w:pPr>
            <w:r>
              <w:rPr>
                <w:sz w:val="20"/>
              </w:rPr>
              <w:t>7.56</w:t>
            </w:r>
          </w:p>
        </w:tc>
        <w:tc>
          <w:tcPr>
            <w:tcW w:w="990" w:type="dxa"/>
          </w:tcPr>
          <w:p w:rsidR="00EF085F" w:rsidRDefault="00E516FF">
            <w:pPr>
              <w:jc w:val="center"/>
              <w:rPr>
                <w:sz w:val="20"/>
              </w:rPr>
            </w:pPr>
            <w:r>
              <w:rPr>
                <w:sz w:val="20"/>
              </w:rPr>
              <w:t>15.12</w:t>
            </w:r>
          </w:p>
        </w:tc>
        <w:tc>
          <w:tcPr>
            <w:tcW w:w="1195" w:type="dxa"/>
          </w:tcPr>
          <w:p w:rsidR="00EF085F" w:rsidRDefault="00E516FF" w:rsidP="00E516FF">
            <w:pPr>
              <w:jc w:val="right"/>
              <w:rPr>
                <w:sz w:val="20"/>
              </w:rPr>
            </w:pPr>
            <w:r>
              <w:rPr>
                <w:sz w:val="20"/>
              </w:rPr>
              <w:t>$7,835.86</w:t>
            </w:r>
          </w:p>
        </w:tc>
      </w:tr>
      <w:tr w:rsidR="00E014AA" w:rsidTr="00EF085F">
        <w:trPr>
          <w:cantSplit/>
          <w:jc w:val="center"/>
        </w:trPr>
        <w:tc>
          <w:tcPr>
            <w:tcW w:w="4256" w:type="dxa"/>
          </w:tcPr>
          <w:p w:rsidR="00E014AA" w:rsidRDefault="00E014AA">
            <w:pPr>
              <w:rPr>
                <w:sz w:val="20"/>
              </w:rPr>
            </w:pPr>
            <w:r>
              <w:rPr>
                <w:sz w:val="20"/>
              </w:rPr>
              <w:t>Subtotals Labor Burden and cost</w:t>
            </w:r>
          </w:p>
        </w:tc>
        <w:tc>
          <w:tcPr>
            <w:tcW w:w="1350" w:type="dxa"/>
          </w:tcPr>
          <w:p w:rsidR="00E014AA" w:rsidRDefault="00E014AA">
            <w:pPr>
              <w:jc w:val="center"/>
              <w:rPr>
                <w:sz w:val="20"/>
              </w:rPr>
            </w:pPr>
          </w:p>
        </w:tc>
        <w:tc>
          <w:tcPr>
            <w:tcW w:w="1350" w:type="dxa"/>
          </w:tcPr>
          <w:p w:rsidR="00E014AA" w:rsidRDefault="00E014AA">
            <w:pPr>
              <w:jc w:val="center"/>
              <w:rPr>
                <w:sz w:val="20"/>
              </w:rPr>
            </w:pPr>
          </w:p>
        </w:tc>
        <w:tc>
          <w:tcPr>
            <w:tcW w:w="1170" w:type="dxa"/>
          </w:tcPr>
          <w:p w:rsidR="00E014AA" w:rsidRDefault="00E014AA">
            <w:pPr>
              <w:jc w:val="center"/>
              <w:rPr>
                <w:sz w:val="20"/>
              </w:rPr>
            </w:pPr>
          </w:p>
        </w:tc>
        <w:tc>
          <w:tcPr>
            <w:tcW w:w="810" w:type="dxa"/>
          </w:tcPr>
          <w:p w:rsidR="00E014AA" w:rsidRDefault="00E014AA">
            <w:pPr>
              <w:jc w:val="center"/>
              <w:rPr>
                <w:sz w:val="20"/>
              </w:rPr>
            </w:pPr>
          </w:p>
        </w:tc>
        <w:tc>
          <w:tcPr>
            <w:tcW w:w="1170" w:type="dxa"/>
            <w:tcBorders>
              <w:bottom w:val="single" w:sz="2" w:space="0" w:color="auto"/>
            </w:tcBorders>
          </w:tcPr>
          <w:p w:rsidR="00E014AA" w:rsidRDefault="00E516FF">
            <w:pPr>
              <w:jc w:val="center"/>
              <w:rPr>
                <w:sz w:val="20"/>
              </w:rPr>
            </w:pPr>
            <w:r>
              <w:rPr>
                <w:sz w:val="20"/>
              </w:rPr>
              <w:t>151.2</w:t>
            </w:r>
          </w:p>
        </w:tc>
        <w:tc>
          <w:tcPr>
            <w:tcW w:w="1440" w:type="dxa"/>
            <w:tcBorders>
              <w:bottom w:val="single" w:sz="2" w:space="0" w:color="auto"/>
            </w:tcBorders>
          </w:tcPr>
          <w:p w:rsidR="00E014AA" w:rsidRDefault="00E516FF">
            <w:pPr>
              <w:jc w:val="center"/>
              <w:rPr>
                <w:sz w:val="20"/>
              </w:rPr>
            </w:pPr>
            <w:r>
              <w:rPr>
                <w:sz w:val="20"/>
              </w:rPr>
              <w:t>7.56</w:t>
            </w:r>
          </w:p>
        </w:tc>
        <w:tc>
          <w:tcPr>
            <w:tcW w:w="990" w:type="dxa"/>
            <w:tcBorders>
              <w:bottom w:val="single" w:sz="2" w:space="0" w:color="auto"/>
            </w:tcBorders>
          </w:tcPr>
          <w:p w:rsidR="00E014AA" w:rsidRDefault="00E516FF">
            <w:pPr>
              <w:jc w:val="center"/>
              <w:rPr>
                <w:sz w:val="20"/>
              </w:rPr>
            </w:pPr>
            <w:r>
              <w:rPr>
                <w:sz w:val="20"/>
              </w:rPr>
              <w:t>15.12</w:t>
            </w:r>
          </w:p>
        </w:tc>
        <w:tc>
          <w:tcPr>
            <w:tcW w:w="1195" w:type="dxa"/>
          </w:tcPr>
          <w:p w:rsidR="00E014AA" w:rsidRDefault="00E014AA" w:rsidP="00E516FF">
            <w:pPr>
              <w:jc w:val="right"/>
              <w:rPr>
                <w:sz w:val="20"/>
              </w:rPr>
            </w:pPr>
            <w:r>
              <w:rPr>
                <w:sz w:val="20"/>
              </w:rPr>
              <w:t>$</w:t>
            </w:r>
            <w:r w:rsidR="00E516FF">
              <w:rPr>
                <w:sz w:val="20"/>
              </w:rPr>
              <w:t>7,83586</w:t>
            </w:r>
          </w:p>
        </w:tc>
      </w:tr>
      <w:tr w:rsidR="00912BAB" w:rsidTr="00EF085F">
        <w:trPr>
          <w:cantSplit/>
          <w:jc w:val="center"/>
        </w:trPr>
        <w:tc>
          <w:tcPr>
            <w:tcW w:w="4256" w:type="dxa"/>
          </w:tcPr>
          <w:p w:rsidR="00912BAB" w:rsidRPr="00912BAB" w:rsidRDefault="00912BAB">
            <w:pPr>
              <w:rPr>
                <w:b/>
                <w:sz w:val="20"/>
              </w:rPr>
            </w:pPr>
            <w:r w:rsidRPr="00912BAB">
              <w:rPr>
                <w:b/>
                <w:sz w:val="20"/>
              </w:rPr>
              <w:t>TOTAL ANNUAL BURDEN AND COST</w:t>
            </w:r>
          </w:p>
        </w:tc>
        <w:tc>
          <w:tcPr>
            <w:tcW w:w="1350" w:type="dxa"/>
          </w:tcPr>
          <w:p w:rsidR="00912BAB" w:rsidRDefault="00912BAB">
            <w:pPr>
              <w:jc w:val="center"/>
              <w:rPr>
                <w:sz w:val="20"/>
              </w:rPr>
            </w:pPr>
          </w:p>
        </w:tc>
        <w:tc>
          <w:tcPr>
            <w:tcW w:w="1350" w:type="dxa"/>
          </w:tcPr>
          <w:p w:rsidR="00912BAB" w:rsidRDefault="00912BAB">
            <w:pPr>
              <w:jc w:val="center"/>
              <w:rPr>
                <w:sz w:val="20"/>
              </w:rPr>
            </w:pPr>
          </w:p>
        </w:tc>
        <w:tc>
          <w:tcPr>
            <w:tcW w:w="1170" w:type="dxa"/>
          </w:tcPr>
          <w:p w:rsidR="00912BAB" w:rsidRDefault="00912BAB">
            <w:pPr>
              <w:jc w:val="center"/>
              <w:rPr>
                <w:sz w:val="20"/>
              </w:rPr>
            </w:pPr>
          </w:p>
        </w:tc>
        <w:tc>
          <w:tcPr>
            <w:tcW w:w="810" w:type="dxa"/>
          </w:tcPr>
          <w:p w:rsidR="00912BAB" w:rsidRDefault="00912BAB">
            <w:pPr>
              <w:jc w:val="center"/>
              <w:rPr>
                <w:sz w:val="20"/>
              </w:rPr>
            </w:pPr>
          </w:p>
        </w:tc>
        <w:tc>
          <w:tcPr>
            <w:tcW w:w="1170" w:type="dxa"/>
            <w:tcBorders>
              <w:right w:val="nil"/>
            </w:tcBorders>
          </w:tcPr>
          <w:p w:rsidR="00912BAB" w:rsidRDefault="00912BAB">
            <w:pPr>
              <w:jc w:val="center"/>
              <w:rPr>
                <w:sz w:val="20"/>
              </w:rPr>
            </w:pPr>
          </w:p>
        </w:tc>
        <w:tc>
          <w:tcPr>
            <w:tcW w:w="1440" w:type="dxa"/>
            <w:tcBorders>
              <w:left w:val="nil"/>
              <w:right w:val="nil"/>
            </w:tcBorders>
          </w:tcPr>
          <w:p w:rsidR="00912BAB" w:rsidRDefault="00E516FF">
            <w:pPr>
              <w:jc w:val="center"/>
              <w:rPr>
                <w:sz w:val="20"/>
              </w:rPr>
            </w:pPr>
            <w:r>
              <w:rPr>
                <w:sz w:val="20"/>
              </w:rPr>
              <w:t>174</w:t>
            </w:r>
          </w:p>
        </w:tc>
        <w:tc>
          <w:tcPr>
            <w:tcW w:w="990" w:type="dxa"/>
            <w:tcBorders>
              <w:left w:val="nil"/>
            </w:tcBorders>
          </w:tcPr>
          <w:p w:rsidR="00912BAB" w:rsidRDefault="00912BAB">
            <w:pPr>
              <w:jc w:val="center"/>
              <w:rPr>
                <w:sz w:val="20"/>
              </w:rPr>
            </w:pPr>
          </w:p>
        </w:tc>
        <w:tc>
          <w:tcPr>
            <w:tcW w:w="1195" w:type="dxa"/>
          </w:tcPr>
          <w:p w:rsidR="00912BAB" w:rsidRDefault="00912BAB" w:rsidP="006959FE">
            <w:pPr>
              <w:jc w:val="right"/>
              <w:rPr>
                <w:sz w:val="20"/>
              </w:rPr>
            </w:pPr>
            <w:r>
              <w:rPr>
                <w:sz w:val="20"/>
              </w:rPr>
              <w:t>$</w:t>
            </w:r>
            <w:r w:rsidR="00E516FF">
              <w:rPr>
                <w:sz w:val="20"/>
              </w:rPr>
              <w:t>7,8</w:t>
            </w:r>
            <w:r w:rsidR="006959FE">
              <w:rPr>
                <w:sz w:val="20"/>
              </w:rPr>
              <w:t>3</w:t>
            </w:r>
            <w:r w:rsidR="00E516FF">
              <w:rPr>
                <w:sz w:val="20"/>
              </w:rPr>
              <w:t>6</w:t>
            </w:r>
          </w:p>
        </w:tc>
      </w:tr>
    </w:tbl>
    <w:p w:rsidR="00E014AA" w:rsidRDefault="00E014AA">
      <w:pPr>
        <w:rPr>
          <w:b/>
          <w:bCs/>
          <w:sz w:val="20"/>
          <w:szCs w:val="20"/>
        </w:rPr>
      </w:pPr>
    </w:p>
    <w:p w:rsidR="00E014AA" w:rsidRDefault="00E014AA">
      <w:pPr>
        <w:pBdr>
          <w:between w:val="single" w:sz="4" w:space="1" w:color="auto"/>
        </w:pBdr>
        <w:ind w:hanging="270"/>
        <w:rPr>
          <w:sz w:val="20"/>
          <w:szCs w:val="20"/>
        </w:rPr>
      </w:pPr>
      <w:r>
        <w:rPr>
          <w:b/>
          <w:bCs/>
          <w:sz w:val="20"/>
          <w:szCs w:val="20"/>
        </w:rPr>
        <w:t xml:space="preserve"> </w:t>
      </w:r>
      <w:r>
        <w:rPr>
          <w:b/>
          <w:bCs/>
          <w:sz w:val="20"/>
          <w:szCs w:val="20"/>
        </w:rPr>
        <w:tab/>
        <w:t>Assumptions:</w:t>
      </w:r>
    </w:p>
    <w:p w:rsidR="00E014AA" w:rsidRDefault="00E014AA">
      <w:pPr>
        <w:ind w:left="-180" w:right="-270"/>
        <w:rPr>
          <w:sz w:val="20"/>
          <w:szCs w:val="20"/>
        </w:rPr>
      </w:pPr>
      <w:r>
        <w:rPr>
          <w:vertAlign w:val="superscript"/>
        </w:rPr>
        <w:t xml:space="preserve">    a</w:t>
      </w:r>
      <w:r>
        <w:rPr>
          <w:sz w:val="20"/>
          <w:szCs w:val="20"/>
        </w:rPr>
        <w:t xml:space="preserve">  We have assumed that there are approximately </w:t>
      </w:r>
      <w:r w:rsidR="00E516FF">
        <w:rPr>
          <w:sz w:val="20"/>
          <w:szCs w:val="20"/>
        </w:rPr>
        <w:t>18</w:t>
      </w:r>
      <w:r>
        <w:rPr>
          <w:sz w:val="20"/>
          <w:szCs w:val="20"/>
        </w:rPr>
        <w:t xml:space="preserve"> respondents, with no additional new or reconstructed sources becoming subject to the rule over the next</w:t>
      </w:r>
    </w:p>
    <w:p w:rsidR="00E014AA" w:rsidRDefault="00E014AA">
      <w:pPr>
        <w:ind w:left="-180" w:right="-270"/>
        <w:rPr>
          <w:sz w:val="20"/>
          <w:szCs w:val="20"/>
        </w:rPr>
      </w:pPr>
      <w:r>
        <w:rPr>
          <w:sz w:val="20"/>
          <w:szCs w:val="20"/>
        </w:rPr>
        <w:t xml:space="preserve">    three years. </w:t>
      </w:r>
    </w:p>
    <w:p w:rsidR="00322AB4" w:rsidRDefault="00E014AA" w:rsidP="00322AB4">
      <w:pPr>
        <w:rPr>
          <w:sz w:val="20"/>
          <w:szCs w:val="20"/>
        </w:rPr>
      </w:pPr>
      <w:r>
        <w:rPr>
          <w:vertAlign w:val="superscript"/>
        </w:rPr>
        <w:t>b</w:t>
      </w:r>
      <w:r>
        <w:rPr>
          <w:sz w:val="20"/>
          <w:szCs w:val="20"/>
        </w:rPr>
        <w:t xml:space="preserve">  </w:t>
      </w:r>
      <w:r w:rsidR="00322AB4">
        <w:rPr>
          <w:sz w:val="20"/>
          <w:szCs w:val="20"/>
        </w:rPr>
        <w:t xml:space="preserve">This cost is based on the following hourly labor rates times a 1.6 benefits multiplication factor to account for government overhead expenses: $62.27 for Managerial (GS-13, Step 5, $38.92 x 1.6), $46.21 for Technical (GS-12, Step 1, $28.88 x 1.6) and $25.01 Clerical (GS-6, Step 3, $15.63 1.6).  These rates are from the Office of Personnel Management (OPM) </w:t>
      </w:r>
      <w:r w:rsidR="00322AB4">
        <w:rPr>
          <w:sz w:val="20"/>
          <w:szCs w:val="20"/>
        </w:rPr>
        <w:sym w:font="WP TypographicSymbols" w:char="0041"/>
      </w:r>
      <w:r w:rsidR="00322AB4">
        <w:rPr>
          <w:sz w:val="20"/>
          <w:szCs w:val="20"/>
        </w:rPr>
        <w:t>2011 General Schedule</w:t>
      </w:r>
      <w:r w:rsidR="00322AB4">
        <w:rPr>
          <w:sz w:val="20"/>
          <w:szCs w:val="20"/>
        </w:rPr>
        <w:sym w:font="WP TypographicSymbols" w:char="0040"/>
      </w:r>
      <w:r w:rsidR="00322AB4">
        <w:rPr>
          <w:sz w:val="20"/>
          <w:szCs w:val="20"/>
        </w:rPr>
        <w:t xml:space="preserve"> which excludes locality rates of pay.</w:t>
      </w:r>
    </w:p>
    <w:p w:rsidR="00E014AA" w:rsidRDefault="00E014AA">
      <w:pPr>
        <w:rPr>
          <w:sz w:val="20"/>
          <w:szCs w:val="20"/>
        </w:rPr>
      </w:pPr>
      <w:r>
        <w:rPr>
          <w:sz w:val="20"/>
          <w:szCs w:val="20"/>
          <w:vertAlign w:val="superscript"/>
        </w:rPr>
        <w:t>c</w:t>
      </w:r>
      <w:r>
        <w:rPr>
          <w:sz w:val="20"/>
          <w:szCs w:val="20"/>
        </w:rPr>
        <w:t xml:space="preserve">  We have assumed that </w:t>
      </w:r>
      <w:r w:rsidR="0049191E">
        <w:rPr>
          <w:sz w:val="20"/>
          <w:szCs w:val="20"/>
        </w:rPr>
        <w:t xml:space="preserve">all existing </w:t>
      </w:r>
      <w:r w:rsidR="00EA37A7">
        <w:rPr>
          <w:sz w:val="20"/>
          <w:szCs w:val="20"/>
        </w:rPr>
        <w:t xml:space="preserve">new </w:t>
      </w:r>
      <w:r w:rsidR="0049191E">
        <w:rPr>
          <w:sz w:val="20"/>
          <w:szCs w:val="20"/>
        </w:rPr>
        <w:t xml:space="preserve">sources </w:t>
      </w:r>
      <w:r w:rsidR="00EA37A7">
        <w:rPr>
          <w:sz w:val="20"/>
          <w:szCs w:val="20"/>
        </w:rPr>
        <w:t>will take 2 hours to complete report.</w:t>
      </w:r>
    </w:p>
    <w:p w:rsidR="00E014AA" w:rsidRDefault="00E014AA">
      <w:pPr>
        <w:rPr>
          <w:sz w:val="20"/>
          <w:szCs w:val="20"/>
        </w:rPr>
      </w:pPr>
      <w:r>
        <w:rPr>
          <w:sz w:val="20"/>
          <w:szCs w:val="20"/>
          <w:vertAlign w:val="superscript"/>
        </w:rPr>
        <w:t>d</w:t>
      </w:r>
      <w:r>
        <w:rPr>
          <w:sz w:val="20"/>
          <w:szCs w:val="20"/>
        </w:rPr>
        <w:t xml:space="preserve">  </w:t>
      </w:r>
      <w:r w:rsidR="00EA37A7">
        <w:rPr>
          <w:sz w:val="20"/>
          <w:szCs w:val="20"/>
        </w:rPr>
        <w:t>We have assumed that all existing sources will each take 0.5 hours to complete report.</w:t>
      </w:r>
    </w:p>
    <w:p w:rsidR="00EA37A7" w:rsidRDefault="00EA37A7">
      <w:pPr>
        <w:rPr>
          <w:sz w:val="20"/>
          <w:szCs w:val="20"/>
        </w:rPr>
      </w:pPr>
      <w:r>
        <w:rPr>
          <w:sz w:val="20"/>
          <w:szCs w:val="20"/>
        </w:rPr>
        <w:t>e  We have assumed that all existing plants will be required to complete emission reports.</w:t>
      </w:r>
    </w:p>
    <w:sectPr w:rsidR="00EA37A7" w:rsidSect="006A4E0D">
      <w:pgSz w:w="15840" w:h="12240" w:orient="landscape" w:code="1"/>
      <w:pgMar w:top="1440" w:right="1440" w:bottom="1440" w:left="1440" w:header="1008"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E75" w:rsidRDefault="006E6E75">
      <w:r>
        <w:separator/>
      </w:r>
    </w:p>
  </w:endnote>
  <w:endnote w:type="continuationSeparator" w:id="0">
    <w:p w:rsidR="006E6E75" w:rsidRDefault="006E6E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charset w:val="00"/>
    <w:family w:val="roman"/>
    <w:pitch w:val="variable"/>
    <w:sig w:usb0="20002A87" w:usb1="80000000" w:usb2="00000008"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FA3" w:rsidRDefault="004D2D6C">
    <w:pPr>
      <w:pStyle w:val="Footer"/>
      <w:framePr w:wrap="around" w:vAnchor="text" w:hAnchor="margin" w:xAlign="center" w:y="1"/>
      <w:rPr>
        <w:rStyle w:val="PageNumber"/>
      </w:rPr>
    </w:pPr>
    <w:r>
      <w:rPr>
        <w:rStyle w:val="PageNumber"/>
      </w:rPr>
      <w:fldChar w:fldCharType="begin"/>
    </w:r>
    <w:r w:rsidR="002A5FA3">
      <w:rPr>
        <w:rStyle w:val="PageNumber"/>
      </w:rPr>
      <w:instrText xml:space="preserve">PAGE  </w:instrText>
    </w:r>
    <w:r>
      <w:rPr>
        <w:rStyle w:val="PageNumber"/>
      </w:rPr>
      <w:fldChar w:fldCharType="end"/>
    </w:r>
  </w:p>
  <w:p w:rsidR="002A5FA3" w:rsidRDefault="002A5F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E75" w:rsidRDefault="006E6E75">
      <w:r>
        <w:separator/>
      </w:r>
    </w:p>
  </w:footnote>
  <w:footnote w:type="continuationSeparator" w:id="0">
    <w:p w:rsidR="006E6E75" w:rsidRDefault="006E6E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FA3" w:rsidRDefault="004D2D6C">
    <w:pPr>
      <w:pStyle w:val="Header"/>
      <w:framePr w:wrap="around" w:vAnchor="text" w:hAnchor="margin" w:xAlign="center" w:y="1"/>
      <w:rPr>
        <w:rStyle w:val="PageNumber"/>
      </w:rPr>
    </w:pPr>
    <w:r>
      <w:rPr>
        <w:rStyle w:val="PageNumber"/>
      </w:rPr>
      <w:fldChar w:fldCharType="begin"/>
    </w:r>
    <w:r w:rsidR="002A5FA3">
      <w:rPr>
        <w:rStyle w:val="PageNumber"/>
      </w:rPr>
      <w:instrText xml:space="preserve">PAGE  </w:instrText>
    </w:r>
    <w:r>
      <w:rPr>
        <w:rStyle w:val="PageNumber"/>
      </w:rPr>
      <w:fldChar w:fldCharType="end"/>
    </w:r>
  </w:p>
  <w:p w:rsidR="002A5FA3" w:rsidRDefault="002A5F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FA3" w:rsidRDefault="004D2D6C">
    <w:pPr>
      <w:pStyle w:val="Header"/>
      <w:framePr w:wrap="around" w:vAnchor="text" w:hAnchor="margin" w:xAlign="center" w:y="1"/>
      <w:rPr>
        <w:rStyle w:val="PageNumber"/>
      </w:rPr>
    </w:pPr>
    <w:r>
      <w:rPr>
        <w:rStyle w:val="PageNumber"/>
      </w:rPr>
      <w:fldChar w:fldCharType="begin"/>
    </w:r>
    <w:r w:rsidR="002A5FA3">
      <w:rPr>
        <w:rStyle w:val="PageNumber"/>
      </w:rPr>
      <w:instrText xml:space="preserve">PAGE  </w:instrText>
    </w:r>
    <w:r>
      <w:rPr>
        <w:rStyle w:val="PageNumber"/>
      </w:rPr>
      <w:fldChar w:fldCharType="separate"/>
    </w:r>
    <w:r w:rsidR="00433EE3">
      <w:rPr>
        <w:rStyle w:val="PageNumber"/>
        <w:noProof/>
      </w:rPr>
      <w:t>12</w:t>
    </w:r>
    <w:r>
      <w:rPr>
        <w:rStyle w:val="PageNumber"/>
      </w:rPr>
      <w:fldChar w:fldCharType="end"/>
    </w:r>
  </w:p>
  <w:p w:rsidR="002A5FA3" w:rsidRDefault="002A5FA3">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E484214"/>
    <w:multiLevelType w:val="hybridMultilevel"/>
    <w:tmpl w:val="C6DC5F78"/>
    <w:lvl w:ilvl="0" w:tplc="5F9C648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 w:numId="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14AA"/>
    <w:rsid w:val="0000290E"/>
    <w:rsid w:val="0000542C"/>
    <w:rsid w:val="00013BD4"/>
    <w:rsid w:val="00017F28"/>
    <w:rsid w:val="00044E91"/>
    <w:rsid w:val="00053771"/>
    <w:rsid w:val="00060AD7"/>
    <w:rsid w:val="000714A0"/>
    <w:rsid w:val="0008390A"/>
    <w:rsid w:val="000B0298"/>
    <w:rsid w:val="000D7D45"/>
    <w:rsid w:val="000E0514"/>
    <w:rsid w:val="000E7AF7"/>
    <w:rsid w:val="001008F6"/>
    <w:rsid w:val="0010266B"/>
    <w:rsid w:val="0010570B"/>
    <w:rsid w:val="001101B2"/>
    <w:rsid w:val="0011661F"/>
    <w:rsid w:val="001171F7"/>
    <w:rsid w:val="001549C6"/>
    <w:rsid w:val="00157A0E"/>
    <w:rsid w:val="00164B28"/>
    <w:rsid w:val="00173284"/>
    <w:rsid w:val="001777FE"/>
    <w:rsid w:val="001E0844"/>
    <w:rsid w:val="001E6D6E"/>
    <w:rsid w:val="001F27ED"/>
    <w:rsid w:val="001F42DA"/>
    <w:rsid w:val="00211C77"/>
    <w:rsid w:val="00240A1B"/>
    <w:rsid w:val="00240B94"/>
    <w:rsid w:val="0025168D"/>
    <w:rsid w:val="00254D0F"/>
    <w:rsid w:val="0025533F"/>
    <w:rsid w:val="002602D4"/>
    <w:rsid w:val="00263D6B"/>
    <w:rsid w:val="00295B03"/>
    <w:rsid w:val="002A5FA3"/>
    <w:rsid w:val="002A61A2"/>
    <w:rsid w:val="002E1990"/>
    <w:rsid w:val="002E59F7"/>
    <w:rsid w:val="002F170B"/>
    <w:rsid w:val="002F5674"/>
    <w:rsid w:val="002F67E2"/>
    <w:rsid w:val="00300541"/>
    <w:rsid w:val="003069E4"/>
    <w:rsid w:val="0031523E"/>
    <w:rsid w:val="00322AB4"/>
    <w:rsid w:val="003241DB"/>
    <w:rsid w:val="00330363"/>
    <w:rsid w:val="003406A7"/>
    <w:rsid w:val="00356A30"/>
    <w:rsid w:val="00381BAE"/>
    <w:rsid w:val="00392877"/>
    <w:rsid w:val="00393F57"/>
    <w:rsid w:val="003A6672"/>
    <w:rsid w:val="003B3FF0"/>
    <w:rsid w:val="003B5201"/>
    <w:rsid w:val="003D264F"/>
    <w:rsid w:val="003D33CB"/>
    <w:rsid w:val="003D591D"/>
    <w:rsid w:val="004053D3"/>
    <w:rsid w:val="00414651"/>
    <w:rsid w:val="00430A2F"/>
    <w:rsid w:val="00432F59"/>
    <w:rsid w:val="00433EE3"/>
    <w:rsid w:val="00440B94"/>
    <w:rsid w:val="00470516"/>
    <w:rsid w:val="00470884"/>
    <w:rsid w:val="0049191E"/>
    <w:rsid w:val="004B654D"/>
    <w:rsid w:val="004C0AF5"/>
    <w:rsid w:val="004D2D6C"/>
    <w:rsid w:val="004E5269"/>
    <w:rsid w:val="005211A6"/>
    <w:rsid w:val="00540AB1"/>
    <w:rsid w:val="0055479C"/>
    <w:rsid w:val="0056407E"/>
    <w:rsid w:val="00585B4A"/>
    <w:rsid w:val="005F7D0D"/>
    <w:rsid w:val="00600D8B"/>
    <w:rsid w:val="0064696C"/>
    <w:rsid w:val="00661D06"/>
    <w:rsid w:val="00666EE8"/>
    <w:rsid w:val="00675020"/>
    <w:rsid w:val="00685F81"/>
    <w:rsid w:val="006959FE"/>
    <w:rsid w:val="006A4E0D"/>
    <w:rsid w:val="006A4F7C"/>
    <w:rsid w:val="006C696E"/>
    <w:rsid w:val="006E63F5"/>
    <w:rsid w:val="006E6E75"/>
    <w:rsid w:val="006F0119"/>
    <w:rsid w:val="0070588B"/>
    <w:rsid w:val="00712F0A"/>
    <w:rsid w:val="007135E4"/>
    <w:rsid w:val="007167C1"/>
    <w:rsid w:val="0072672E"/>
    <w:rsid w:val="00767B56"/>
    <w:rsid w:val="00785A38"/>
    <w:rsid w:val="00786C40"/>
    <w:rsid w:val="00786DF1"/>
    <w:rsid w:val="00794DF4"/>
    <w:rsid w:val="007B404E"/>
    <w:rsid w:val="007F06FC"/>
    <w:rsid w:val="00811CEB"/>
    <w:rsid w:val="0088021C"/>
    <w:rsid w:val="0088278C"/>
    <w:rsid w:val="008A1B78"/>
    <w:rsid w:val="008B211D"/>
    <w:rsid w:val="008D328E"/>
    <w:rsid w:val="008E083C"/>
    <w:rsid w:val="008E735D"/>
    <w:rsid w:val="008F7EC7"/>
    <w:rsid w:val="00912BAB"/>
    <w:rsid w:val="009407A4"/>
    <w:rsid w:val="009550E7"/>
    <w:rsid w:val="00983523"/>
    <w:rsid w:val="0099646D"/>
    <w:rsid w:val="009C1CD3"/>
    <w:rsid w:val="009C5199"/>
    <w:rsid w:val="009D1F78"/>
    <w:rsid w:val="009E1784"/>
    <w:rsid w:val="009F17A1"/>
    <w:rsid w:val="00A06F09"/>
    <w:rsid w:val="00A37F27"/>
    <w:rsid w:val="00A41DF7"/>
    <w:rsid w:val="00A500CF"/>
    <w:rsid w:val="00A8512D"/>
    <w:rsid w:val="00A876A3"/>
    <w:rsid w:val="00AA1D03"/>
    <w:rsid w:val="00AA580A"/>
    <w:rsid w:val="00AB4568"/>
    <w:rsid w:val="00AB566B"/>
    <w:rsid w:val="00AC76C8"/>
    <w:rsid w:val="00AC7BDB"/>
    <w:rsid w:val="00AD0E00"/>
    <w:rsid w:val="00AF1FBF"/>
    <w:rsid w:val="00B42815"/>
    <w:rsid w:val="00B62217"/>
    <w:rsid w:val="00B678FF"/>
    <w:rsid w:val="00B81F3B"/>
    <w:rsid w:val="00B86ACE"/>
    <w:rsid w:val="00B932CD"/>
    <w:rsid w:val="00B94A75"/>
    <w:rsid w:val="00B94D07"/>
    <w:rsid w:val="00BA0987"/>
    <w:rsid w:val="00BA7CA9"/>
    <w:rsid w:val="00BB3F7C"/>
    <w:rsid w:val="00BB6536"/>
    <w:rsid w:val="00BC0790"/>
    <w:rsid w:val="00BD3848"/>
    <w:rsid w:val="00BD67E7"/>
    <w:rsid w:val="00BE28C9"/>
    <w:rsid w:val="00C0128C"/>
    <w:rsid w:val="00C23A49"/>
    <w:rsid w:val="00C25024"/>
    <w:rsid w:val="00C37489"/>
    <w:rsid w:val="00C632FF"/>
    <w:rsid w:val="00C87F71"/>
    <w:rsid w:val="00CA0805"/>
    <w:rsid w:val="00CB2DD3"/>
    <w:rsid w:val="00CB5394"/>
    <w:rsid w:val="00CC219E"/>
    <w:rsid w:val="00CE61DD"/>
    <w:rsid w:val="00CF7852"/>
    <w:rsid w:val="00D0072C"/>
    <w:rsid w:val="00D05564"/>
    <w:rsid w:val="00D0564F"/>
    <w:rsid w:val="00D34957"/>
    <w:rsid w:val="00D46223"/>
    <w:rsid w:val="00D5243D"/>
    <w:rsid w:val="00D71AE4"/>
    <w:rsid w:val="00D83D0F"/>
    <w:rsid w:val="00DC15C4"/>
    <w:rsid w:val="00DC3271"/>
    <w:rsid w:val="00DE2AD5"/>
    <w:rsid w:val="00E014AA"/>
    <w:rsid w:val="00E0284E"/>
    <w:rsid w:val="00E02CAF"/>
    <w:rsid w:val="00E24A2B"/>
    <w:rsid w:val="00E516FF"/>
    <w:rsid w:val="00E52E50"/>
    <w:rsid w:val="00E55B28"/>
    <w:rsid w:val="00E80D0A"/>
    <w:rsid w:val="00E9056C"/>
    <w:rsid w:val="00EA37A7"/>
    <w:rsid w:val="00EA55D2"/>
    <w:rsid w:val="00EF085F"/>
    <w:rsid w:val="00F0386F"/>
    <w:rsid w:val="00F15DD9"/>
    <w:rsid w:val="00F16362"/>
    <w:rsid w:val="00F23407"/>
    <w:rsid w:val="00F30896"/>
    <w:rsid w:val="00F45300"/>
    <w:rsid w:val="00F5103C"/>
    <w:rsid w:val="00F53B21"/>
    <w:rsid w:val="00FA0CDE"/>
    <w:rsid w:val="00FB23F5"/>
    <w:rsid w:val="00FB4D5D"/>
    <w:rsid w:val="00FC4B1A"/>
    <w:rsid w:val="00FE38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4E0D"/>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4E0D"/>
  </w:style>
  <w:style w:type="paragraph" w:customStyle="1" w:styleId="WPNormal">
    <w:name w:val="WP_Normal"/>
    <w:basedOn w:val="Normal"/>
    <w:rsid w:val="006A4E0D"/>
    <w:rPr>
      <w:rFonts w:ascii="Times New Roman CYR" w:hAnsi="Times New Roman CYR" w:cs="Times New Roman CYR"/>
      <w:b/>
      <w:bCs/>
    </w:rPr>
  </w:style>
  <w:style w:type="paragraph" w:customStyle="1" w:styleId="Level1">
    <w:name w:val="Level 1"/>
    <w:basedOn w:val="Normal"/>
    <w:rsid w:val="006A4E0D"/>
    <w:pPr>
      <w:numPr>
        <w:numId w:val="3"/>
      </w:numPr>
      <w:ind w:left="240" w:hanging="240"/>
      <w:outlineLvl w:val="0"/>
    </w:pPr>
  </w:style>
  <w:style w:type="paragraph" w:styleId="Header">
    <w:name w:val="header"/>
    <w:basedOn w:val="Normal"/>
    <w:rsid w:val="006A4E0D"/>
    <w:pPr>
      <w:tabs>
        <w:tab w:val="center" w:pos="4320"/>
        <w:tab w:val="right" w:pos="8640"/>
      </w:tabs>
    </w:pPr>
  </w:style>
  <w:style w:type="paragraph" w:styleId="Footer">
    <w:name w:val="footer"/>
    <w:basedOn w:val="Normal"/>
    <w:rsid w:val="006A4E0D"/>
    <w:pPr>
      <w:tabs>
        <w:tab w:val="center" w:pos="4320"/>
        <w:tab w:val="right" w:pos="8640"/>
      </w:tabs>
    </w:pPr>
  </w:style>
  <w:style w:type="character" w:customStyle="1" w:styleId="1">
    <w:name w:val="1"/>
    <w:rsid w:val="006A4E0D"/>
  </w:style>
  <w:style w:type="character" w:styleId="Hyperlink">
    <w:name w:val="Hyperlink"/>
    <w:basedOn w:val="DefaultParagraphFont"/>
    <w:rsid w:val="006A4E0D"/>
    <w:rPr>
      <w:color w:val="0000FF"/>
      <w:u w:val="single"/>
    </w:rPr>
  </w:style>
  <w:style w:type="character" w:styleId="PageNumber">
    <w:name w:val="page number"/>
    <w:basedOn w:val="DefaultParagraphFont"/>
    <w:rsid w:val="006A4E0D"/>
  </w:style>
  <w:style w:type="paragraph" w:customStyle="1" w:styleId="Default">
    <w:name w:val="Default"/>
    <w:rsid w:val="00392877"/>
    <w:pPr>
      <w:widowControl w:val="0"/>
      <w:autoSpaceDE w:val="0"/>
      <w:autoSpaceDN w:val="0"/>
      <w:adjustRightInd w:val="0"/>
    </w:pPr>
    <w:rPr>
      <w:rFonts w:ascii="Times New" w:eastAsia="Times New Roman" w:hAnsi="Times New" w:cs="Times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5142</Words>
  <Characters>29310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34384</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subject/>
  <dc:creator> </dc:creator>
  <cp:keywords/>
  <dc:description/>
  <cp:lastModifiedBy>ckerwin</cp:lastModifiedBy>
  <cp:revision>4</cp:revision>
  <cp:lastPrinted>2011-12-19T19:08:00Z</cp:lastPrinted>
  <dcterms:created xsi:type="dcterms:W3CDTF">2011-12-20T17:23:00Z</dcterms:created>
  <dcterms:modified xsi:type="dcterms:W3CDTF">2011-12-20T18:33:00Z</dcterms:modified>
</cp:coreProperties>
</file>