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4719" w:rsidRDefault="00FA4719" w:rsidP="00FA4719">
      <w:pPr>
        <w:jc w:val="center"/>
      </w:pPr>
      <w:r>
        <w:rPr>
          <w:rFonts w:ascii="Helvetica" w:hAnsi="Helvetica"/>
          <w:b/>
          <w:sz w:val="28"/>
        </w:rPr>
        <w:t>Paperwork Reduction Act Submission</w:t>
      </w:r>
    </w:p>
    <w:p w:rsidR="00FA4719" w:rsidRDefault="00FA4719" w:rsidP="00FA4719">
      <w:pPr>
        <w:pBdr>
          <w:top w:val="single" w:sz="6" w:space="4" w:color="auto"/>
        </w:pBdr>
        <w:spacing w:after="120"/>
        <w:ind w:left="-120"/>
        <w:jc w:val="both"/>
        <w:rPr>
          <w:sz w:val="18"/>
        </w:rPr>
      </w:pPr>
      <w:r>
        <w:rPr>
          <w:sz w:val="18"/>
        </w:rPr>
        <w:t>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NW</w:t>
      </w:r>
      <w:proofErr w:type="gramStart"/>
      <w:r>
        <w:rPr>
          <w:sz w:val="18"/>
        </w:rPr>
        <w:t>,  Washington</w:t>
      </w:r>
      <w:proofErr w:type="gramEnd"/>
      <w:r>
        <w:rPr>
          <w:sz w:val="18"/>
        </w:rPr>
        <w:t>, DC  20503.</w:t>
      </w:r>
    </w:p>
    <w:tbl>
      <w:tblPr>
        <w:tblW w:w="0" w:type="auto"/>
        <w:tblLayout w:type="fixed"/>
        <w:tblLook w:val="0000"/>
      </w:tblPr>
      <w:tblGrid>
        <w:gridCol w:w="5508"/>
        <w:gridCol w:w="1920"/>
        <w:gridCol w:w="1800"/>
        <w:gridCol w:w="1788"/>
      </w:tblGrid>
      <w:tr w:rsidR="00FA4719" w:rsidTr="00014759">
        <w:tblPrEx>
          <w:tblCellMar>
            <w:top w:w="0" w:type="dxa"/>
            <w:bottom w:w="0" w:type="dxa"/>
          </w:tblCellMar>
        </w:tblPrEx>
        <w:tc>
          <w:tcPr>
            <w:tcW w:w="7428" w:type="dxa"/>
            <w:gridSpan w:val="2"/>
            <w:tcBorders>
              <w:top w:val="single" w:sz="6" w:space="0" w:color="auto"/>
            </w:tcBorders>
          </w:tcPr>
          <w:p w:rsidR="00FA4719" w:rsidRDefault="00FA4719" w:rsidP="00014759">
            <w:pPr>
              <w:rPr>
                <w:rFonts w:ascii="Helvetica" w:hAnsi="Helvetica"/>
                <w:sz w:val="14"/>
              </w:rPr>
            </w:pPr>
            <w:r>
              <w:rPr>
                <w:rFonts w:ascii="Helvetica" w:hAnsi="Helvetica"/>
                <w:sz w:val="16"/>
              </w:rPr>
              <w:t>1</w:t>
            </w:r>
            <w:r>
              <w:rPr>
                <w:rFonts w:ascii="Helvetica" w:hAnsi="Helvetica"/>
                <w:sz w:val="14"/>
              </w:rPr>
              <w:t>. Agency/</w:t>
            </w:r>
            <w:proofErr w:type="spellStart"/>
            <w:r>
              <w:rPr>
                <w:rFonts w:ascii="Helvetica" w:hAnsi="Helvetica"/>
                <w:sz w:val="14"/>
              </w:rPr>
              <w:t>Subagency</w:t>
            </w:r>
            <w:proofErr w:type="spellEnd"/>
            <w:r>
              <w:rPr>
                <w:rFonts w:ascii="Helvetica" w:hAnsi="Helvetica"/>
                <w:sz w:val="14"/>
              </w:rPr>
              <w:t xml:space="preserve"> Originating Request:</w:t>
            </w:r>
          </w:p>
          <w:p w:rsidR="00FA4719" w:rsidRDefault="00FA4719" w:rsidP="00014759">
            <w:pPr>
              <w:ind w:left="120"/>
              <w:rPr>
                <w:rFonts w:ascii="Helvetica" w:hAnsi="Helvetica"/>
                <w:b/>
                <w:sz w:val="18"/>
              </w:rPr>
            </w:pPr>
            <w:r>
              <w:rPr>
                <w:rFonts w:ascii="Helvetica" w:hAnsi="Helvetica"/>
                <w:b/>
                <w:sz w:val="18"/>
              </w:rPr>
              <w:t>U.S. Department of Housing and Urban Development</w:t>
            </w:r>
          </w:p>
          <w:p w:rsidR="00FA4719" w:rsidRDefault="00FA4719" w:rsidP="00014759">
            <w:pPr>
              <w:spacing w:before="40" w:after="40"/>
              <w:ind w:left="120"/>
              <w:rPr>
                <w:rFonts w:ascii="Helvetica" w:hAnsi="Helvetica"/>
                <w:sz w:val="16"/>
              </w:rPr>
            </w:pPr>
            <w:r>
              <w:rPr>
                <w:rFonts w:ascii="Helvetica" w:hAnsi="Helvetica"/>
                <w:sz w:val="16"/>
              </w:rPr>
              <w:t>HUD A/S for CPD   Office of Block Grant Assistance.</w:t>
            </w:r>
          </w:p>
        </w:tc>
        <w:tc>
          <w:tcPr>
            <w:tcW w:w="1800" w:type="dxa"/>
            <w:tcBorders>
              <w:top w:val="single" w:sz="6" w:space="0" w:color="auto"/>
              <w:left w:val="single" w:sz="6" w:space="0" w:color="auto"/>
            </w:tcBorders>
          </w:tcPr>
          <w:p w:rsidR="00FA4719" w:rsidRDefault="00FA4719" w:rsidP="00014759">
            <w:pPr>
              <w:rPr>
                <w:rFonts w:ascii="Helvetica" w:hAnsi="Helvetica"/>
                <w:sz w:val="16"/>
              </w:rPr>
            </w:pPr>
            <w:r>
              <w:rPr>
                <w:rFonts w:ascii="Helvetica" w:hAnsi="Helvetica"/>
                <w:sz w:val="16"/>
              </w:rPr>
              <w:t xml:space="preserve">2. </w:t>
            </w:r>
            <w:r>
              <w:rPr>
                <w:rFonts w:ascii="Helvetica" w:hAnsi="Helvetica"/>
                <w:sz w:val="14"/>
              </w:rPr>
              <w:t>OMB Control Number:</w:t>
            </w:r>
          </w:p>
          <w:p w:rsidR="00FA4719" w:rsidRDefault="00FA4719" w:rsidP="00014759">
            <w:pPr>
              <w:spacing w:before="40" w:after="40"/>
              <w:ind w:left="132"/>
              <w:rPr>
                <w:rFonts w:ascii="Helvetica" w:hAnsi="Helvetica"/>
                <w:sz w:val="16"/>
              </w:rPr>
            </w:pPr>
            <w:r>
              <w:rPr>
                <w:rFonts w:ascii="Helvetica" w:hAnsi="Helvetica"/>
                <w:sz w:val="16"/>
              </w:rPr>
              <w:t xml:space="preserve">a. </w:t>
            </w:r>
            <w:r>
              <w:rPr>
                <w:rFonts w:ascii="Helvetica" w:hAnsi="Helvetica"/>
                <w:b/>
                <w:color w:val="000080"/>
              </w:rPr>
              <w:t>2506-0170</w:t>
            </w:r>
          </w:p>
          <w:p w:rsidR="00FA4719" w:rsidRDefault="00FA4719" w:rsidP="00014759">
            <w:pPr>
              <w:ind w:left="-120"/>
              <w:rPr>
                <w:rFonts w:ascii="Helvetica" w:hAnsi="Helvetica"/>
                <w:sz w:val="16"/>
              </w:rPr>
            </w:pPr>
          </w:p>
        </w:tc>
        <w:tc>
          <w:tcPr>
            <w:tcW w:w="1788" w:type="dxa"/>
            <w:tcBorders>
              <w:top w:val="single" w:sz="6" w:space="0" w:color="auto"/>
            </w:tcBorders>
          </w:tcPr>
          <w:p w:rsidR="00FA4719" w:rsidRDefault="00FA4719" w:rsidP="00014759">
            <w:pPr>
              <w:spacing w:before="120"/>
              <w:rPr>
                <w:rFonts w:ascii="Helvetica" w:hAnsi="Helvetica"/>
                <w:sz w:val="18"/>
              </w:rPr>
            </w:pPr>
            <w:r>
              <w:rPr>
                <w:rFonts w:ascii="Helvetica" w:hAnsi="Helvetica"/>
                <w:sz w:val="16"/>
              </w:rPr>
              <w:t xml:space="preserve">b. </w:t>
            </w:r>
            <w:r>
              <w:rPr>
                <w:rFonts w:ascii="Helvetica" w:hAnsi="Helvetica"/>
                <w:b/>
              </w:rPr>
              <w:fldChar w:fldCharType="begin">
                <w:ffData>
                  <w:name w:val="Check10"/>
                  <w:enabled/>
                  <w:calcOnExit w:val="0"/>
                  <w:checkBox>
                    <w:sizeAuto/>
                    <w:default w:val="0"/>
                  </w:checkBox>
                </w:ffData>
              </w:fldChar>
            </w:r>
            <w:r>
              <w:rPr>
                <w:rFonts w:ascii="Helvetica" w:hAnsi="Helvetica"/>
                <w:b/>
              </w:rPr>
              <w:instrText xml:space="preserve"> FORMCHECKBOX </w:instrText>
            </w:r>
            <w:r>
              <w:rPr>
                <w:rFonts w:ascii="Helvetica" w:hAnsi="Helvetica"/>
                <w:b/>
              </w:rPr>
            </w:r>
            <w:r>
              <w:rPr>
                <w:rFonts w:ascii="Helvetica" w:hAnsi="Helvetica"/>
                <w:b/>
              </w:rPr>
              <w:fldChar w:fldCharType="end"/>
            </w:r>
            <w:r>
              <w:rPr>
                <w:rFonts w:ascii="Helvetica" w:hAnsi="Helvetica"/>
                <w:b/>
                <w:color w:val="800000"/>
              </w:rPr>
              <w:t xml:space="preserve"> </w:t>
            </w:r>
            <w:r>
              <w:rPr>
                <w:rFonts w:ascii="Helvetica" w:hAnsi="Helvetica"/>
                <w:sz w:val="18"/>
              </w:rPr>
              <w:t>None</w:t>
            </w:r>
          </w:p>
          <w:p w:rsidR="00FA4719" w:rsidRDefault="00FA4719" w:rsidP="00014759">
            <w:pPr>
              <w:spacing w:before="40" w:after="40"/>
              <w:ind w:left="252"/>
              <w:rPr>
                <w:rFonts w:ascii="Helvetica" w:hAnsi="Helvetica"/>
                <w:color w:val="000080"/>
              </w:rPr>
            </w:pPr>
            <w:r>
              <w:rPr>
                <w:rFonts w:ascii="Helvetica" w:hAnsi="Helvetica"/>
                <w:sz w:val="16"/>
              </w:rPr>
              <w:t xml:space="preserve"> </w:t>
            </w:r>
            <w:r>
              <w:rPr>
                <w:rFonts w:ascii="Helvetica" w:hAnsi="Helvetica"/>
                <w:b/>
                <w:color w:val="000080"/>
              </w:rPr>
              <w:fldChar w:fldCharType="begin">
                <w:ffData>
                  <w:name w:val="Text3"/>
                  <w:enabled/>
                  <w:calcOnExit w:val="0"/>
                  <w:textInput/>
                </w:ffData>
              </w:fldChar>
            </w:r>
            <w:bookmarkStart w:id="0" w:name="Text3"/>
            <w:r>
              <w:rPr>
                <w:rFonts w:ascii="Helvetica" w:hAnsi="Helvetica"/>
                <w:b/>
                <w:color w:val="000080"/>
              </w:rPr>
              <w:instrText xml:space="preserve"> FORMTEXT </w:instrText>
            </w:r>
            <w:r>
              <w:rPr>
                <w:rFonts w:ascii="Helvetica" w:hAnsi="Helvetica"/>
                <w:b/>
                <w:color w:val="000080"/>
              </w:rPr>
            </w:r>
            <w:r>
              <w:rPr>
                <w:rFonts w:ascii="Helvetica" w:hAnsi="Helvetica"/>
                <w:b/>
                <w:color w:val="000080"/>
              </w:rPr>
              <w:fldChar w:fldCharType="separate"/>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noProof/>
                <w:color w:val="000080"/>
              </w:rPr>
              <w:t> </w:t>
            </w:r>
            <w:r>
              <w:rPr>
                <w:rFonts w:ascii="Helvetica" w:hAnsi="Helvetica"/>
                <w:b/>
                <w:color w:val="000080"/>
              </w:rPr>
              <w:fldChar w:fldCharType="end"/>
            </w:r>
            <w:bookmarkEnd w:id="0"/>
          </w:p>
        </w:tc>
      </w:tr>
      <w:tr w:rsidR="00FA4719" w:rsidTr="00014759">
        <w:tblPrEx>
          <w:tblCellMar>
            <w:top w:w="0" w:type="dxa"/>
            <w:bottom w:w="0" w:type="dxa"/>
          </w:tblCellMar>
        </w:tblPrEx>
        <w:tc>
          <w:tcPr>
            <w:tcW w:w="5508" w:type="dxa"/>
            <w:tcBorders>
              <w:top w:val="single" w:sz="6" w:space="0" w:color="auto"/>
            </w:tcBorders>
          </w:tcPr>
          <w:p w:rsidR="00FA4719" w:rsidRDefault="00FA4719" w:rsidP="00014759">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FA4719" w:rsidRDefault="00FA4719" w:rsidP="00014759">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New Collection </w:t>
            </w:r>
          </w:p>
          <w:p w:rsidR="00FA4719" w:rsidRDefault="00FA4719" w:rsidP="00014759">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Revision of a currently approved collection</w:t>
            </w:r>
          </w:p>
          <w:p w:rsidR="00FA4719" w:rsidRDefault="00FA4719" w:rsidP="00014759">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Extension of a currently approved collection</w:t>
            </w:r>
          </w:p>
          <w:p w:rsidR="00FA4719" w:rsidRDefault="00FA4719" w:rsidP="00014759">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Reinstatement, </w:t>
            </w:r>
            <w:r>
              <w:rPr>
                <w:rFonts w:ascii="Helvetica" w:hAnsi="Helvetica"/>
                <w:b/>
                <w:sz w:val="16"/>
              </w:rPr>
              <w:t>without change</w:t>
            </w:r>
            <w:r>
              <w:rPr>
                <w:rFonts w:ascii="Helvetica" w:hAnsi="Helvetica"/>
                <w:sz w:val="16"/>
              </w:rPr>
              <w:t xml:space="preserve">, of previously approved </w:t>
            </w:r>
          </w:p>
          <w:p w:rsidR="00FA4719" w:rsidRDefault="00FA4719" w:rsidP="00014759">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FA4719" w:rsidRDefault="00FA4719" w:rsidP="00014759">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Reinstatement, </w:t>
            </w:r>
            <w:r>
              <w:rPr>
                <w:rFonts w:ascii="Helvetica" w:hAnsi="Helvetica"/>
                <w:b/>
                <w:sz w:val="16"/>
              </w:rPr>
              <w:t>with change</w:t>
            </w:r>
            <w:r>
              <w:rPr>
                <w:rFonts w:ascii="Helvetica" w:hAnsi="Helvetica"/>
                <w:sz w:val="16"/>
              </w:rPr>
              <w:t xml:space="preserve">, of previously approved collection </w:t>
            </w:r>
          </w:p>
          <w:p w:rsidR="00FA4719" w:rsidRDefault="00FA4719" w:rsidP="00014759">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FA4719" w:rsidRDefault="00FA4719" w:rsidP="00014759">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Existing collection in use without an OMB control number</w:t>
            </w:r>
          </w:p>
          <w:p w:rsidR="00FA4719" w:rsidRDefault="00FA4719" w:rsidP="00014759">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sz="6" w:space="0" w:color="auto"/>
              <w:left w:val="single" w:sz="6" w:space="0" w:color="auto"/>
            </w:tcBorders>
          </w:tcPr>
          <w:p w:rsidR="00FA4719" w:rsidRDefault="00FA4719" w:rsidP="00014759">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FA4719" w:rsidRDefault="00FA4719" w:rsidP="00014759">
            <w:pPr>
              <w:numPr>
                <w:ilvl w:val="0"/>
                <w:numId w:val="2"/>
              </w:numPr>
              <w:tabs>
                <w:tab w:val="left" w:pos="492"/>
                <w:tab w:val="left" w:pos="732"/>
              </w:tabs>
              <w:rPr>
                <w:rFonts w:ascii="Helvetica" w:hAnsi="Helvetica"/>
                <w:sz w:val="16"/>
              </w:rPr>
            </w:pPr>
            <w:r>
              <w:rPr>
                <w:rFonts w:ascii="Helvetica" w:hAnsi="Helvetica"/>
                <w:b/>
              </w:rPr>
              <w:t xml:space="preserve">  </w:t>
            </w:r>
            <w:r>
              <w:rPr>
                <w:rFonts w:ascii="Helvetica" w:hAnsi="Helvetica"/>
                <w:b/>
              </w:rPr>
              <w:fldChar w:fldCharType="begin">
                <w:ffData>
                  <w:name w:val="Check10"/>
                  <w:enabled/>
                  <w:calcOnExit w:val="0"/>
                  <w:checkBox>
                    <w:sizeAuto/>
                    <w:default w:val="1"/>
                  </w:checkBox>
                </w:ffData>
              </w:fldChar>
            </w:r>
            <w:bookmarkStart w:id="1" w:name="Check10"/>
            <w:r>
              <w:rPr>
                <w:rFonts w:ascii="Helvetica" w:hAnsi="Helvetica"/>
                <w:b/>
              </w:rPr>
              <w:instrText xml:space="preserve"> FORMCHECKBOX </w:instrText>
            </w:r>
            <w:r>
              <w:rPr>
                <w:rFonts w:ascii="Helvetica" w:hAnsi="Helvetica"/>
                <w:b/>
              </w:rPr>
            </w:r>
            <w:r>
              <w:rPr>
                <w:rFonts w:ascii="Helvetica" w:hAnsi="Helvetica"/>
                <w:b/>
              </w:rPr>
              <w:fldChar w:fldCharType="end"/>
            </w:r>
            <w:bookmarkEnd w:id="1"/>
            <w:r>
              <w:rPr>
                <w:rFonts w:ascii="Helvetica" w:hAnsi="Helvetica"/>
                <w:b/>
                <w:color w:val="800000"/>
              </w:rPr>
              <w:t xml:space="preserve">  </w:t>
            </w:r>
            <w:r>
              <w:rPr>
                <w:rFonts w:ascii="Helvetica" w:hAnsi="Helvetica"/>
                <w:sz w:val="16"/>
              </w:rPr>
              <w:t>Regular</w:t>
            </w:r>
          </w:p>
          <w:p w:rsidR="00FA4719" w:rsidRDefault="00FA4719" w:rsidP="00014759">
            <w:pPr>
              <w:numPr>
                <w:ilvl w:val="0"/>
                <w:numId w:val="2"/>
              </w:numPr>
              <w:tabs>
                <w:tab w:val="left" w:pos="492"/>
                <w:tab w:val="left" w:pos="732"/>
              </w:tabs>
              <w:rPr>
                <w:rFonts w:ascii="Helvetica" w:hAnsi="Helvetica"/>
                <w:sz w:val="16"/>
              </w:rPr>
            </w:pPr>
            <w:r>
              <w:rPr>
                <w:rFonts w:ascii="Helvetica" w:hAnsi="Helvetica"/>
                <w:b/>
              </w:rPr>
              <w:t xml:space="preserve">  </w:t>
            </w:r>
            <w:r>
              <w:rPr>
                <w:rFonts w:ascii="Helvetica" w:hAnsi="Helvetica"/>
                <w:b/>
              </w:rPr>
              <w:fldChar w:fldCharType="begin">
                <w:ffData>
                  <w:name w:val="Check10"/>
                  <w:enabled/>
                  <w:calcOnExit w:val="0"/>
                  <w:checkBox>
                    <w:sizeAuto/>
                    <w:default w:val="0"/>
                  </w:checkBox>
                </w:ffData>
              </w:fldChar>
            </w:r>
            <w:r>
              <w:rPr>
                <w:rFonts w:ascii="Helvetica" w:hAnsi="Helvetica"/>
                <w:b/>
              </w:rPr>
              <w:instrText xml:space="preserve"> FORMCHECKBOX </w:instrText>
            </w:r>
            <w:r>
              <w:rPr>
                <w:rFonts w:ascii="Helvetica" w:hAnsi="Helvetica"/>
                <w:b/>
              </w:rPr>
            </w:r>
            <w:r>
              <w:rPr>
                <w:rFonts w:ascii="Helvetica" w:hAnsi="Helvetica"/>
                <w:b/>
              </w:rPr>
              <w:fldChar w:fldCharType="end"/>
            </w:r>
            <w:r>
              <w:rPr>
                <w:rFonts w:ascii="Helvetica" w:hAnsi="Helvetica"/>
                <w:b/>
                <w:color w:val="800000"/>
              </w:rPr>
              <w:t xml:space="preserve">  </w:t>
            </w:r>
            <w:r>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id="2" w:name="Text4"/>
            <w:r>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color w:val="000080"/>
                <w:sz w:val="18"/>
              </w:rPr>
              <w:fldChar w:fldCharType="end"/>
            </w:r>
            <w:bookmarkEnd w:id="2"/>
          </w:p>
          <w:p w:rsidR="00FA4719" w:rsidRDefault="00FA4719" w:rsidP="00014759">
            <w:pPr>
              <w:numPr>
                <w:ilvl w:val="0"/>
                <w:numId w:val="2"/>
              </w:numPr>
              <w:tabs>
                <w:tab w:val="left" w:pos="492"/>
                <w:tab w:val="left" w:pos="732"/>
              </w:tabs>
              <w:rPr>
                <w:rFonts w:ascii="Helvetica" w:hAnsi="Helvetica"/>
                <w:sz w:val="16"/>
              </w:rPr>
            </w:pPr>
            <w:r>
              <w:rPr>
                <w:rFonts w:ascii="Helvetica" w:hAnsi="Helvetica"/>
                <w:b/>
                <w:sz w:val="18"/>
              </w:rPr>
              <w:t xml:space="preserve">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sz w:val="18"/>
              </w:rPr>
              <w:t xml:space="preserve"> </w:t>
            </w:r>
            <w:r>
              <w:rPr>
                <w:rFonts w:ascii="Helvetica" w:hAnsi="Helvetica"/>
                <w:b/>
                <w:color w:val="800000"/>
              </w:rPr>
              <w:t xml:space="preserve"> </w:t>
            </w:r>
            <w:r>
              <w:rPr>
                <w:rFonts w:ascii="Helvetica" w:hAnsi="Helvetica"/>
                <w:sz w:val="16"/>
              </w:rPr>
              <w:t>Delegated</w:t>
            </w:r>
          </w:p>
          <w:p w:rsidR="00FA4719" w:rsidRDefault="00FA4719" w:rsidP="00014759">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FA4719" w:rsidRDefault="00FA4719" w:rsidP="00014759">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8"/>
              </w:rPr>
              <w:t>No</w:t>
            </w:r>
          </w:p>
          <w:p w:rsidR="00FA4719" w:rsidRDefault="00FA4719" w:rsidP="00014759">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FA4719" w:rsidRDefault="00FA4719" w:rsidP="00014759">
            <w:pPr>
              <w:tabs>
                <w:tab w:val="left" w:pos="240"/>
                <w:tab w:val="left" w:pos="3132"/>
              </w:tabs>
              <w:ind w:left="252"/>
              <w:rPr>
                <w:rFonts w:ascii="Helvetica" w:hAnsi="Helvetica"/>
                <w:sz w:val="16"/>
              </w:rPr>
            </w:pPr>
            <w:r>
              <w:rPr>
                <w:rFonts w:ascii="Helvetica" w:hAnsi="Helvetica"/>
                <w:sz w:val="16"/>
              </w:rPr>
              <w:t xml:space="preserve">a.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Three years from approval date  b.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FA4719" w:rsidRDefault="00FA4719" w:rsidP="00014759">
            <w:pPr>
              <w:tabs>
                <w:tab w:val="left" w:pos="3252"/>
              </w:tabs>
              <w:spacing w:after="60"/>
              <w:rPr>
                <w:rFonts w:ascii="Helvetica" w:hAnsi="Helvetica"/>
                <w:color w:val="000080"/>
                <w:sz w:val="16"/>
              </w:rPr>
            </w:pPr>
            <w:r>
              <w:rPr>
                <w:rFonts w:ascii="Helvetica" w:hAnsi="Helvetica"/>
                <w:sz w:val="18"/>
              </w:rPr>
              <w:tab/>
              <w:t xml:space="preserve"> </w:t>
            </w:r>
            <w:r>
              <w:rPr>
                <w:rFonts w:ascii="Helvetica" w:hAnsi="Helvetica"/>
                <w:color w:val="000080"/>
                <w:sz w:val="18"/>
              </w:rPr>
              <w:fldChar w:fldCharType="begin">
                <w:ffData>
                  <w:name w:val="Text5"/>
                  <w:enabled/>
                  <w:calcOnExit w:val="0"/>
                  <w:textInput/>
                </w:ffData>
              </w:fldChar>
            </w:r>
            <w:bookmarkStart w:id="3" w:name="Text5"/>
            <w:r>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color w:val="000080"/>
                <w:sz w:val="18"/>
              </w:rPr>
              <w:fldChar w:fldCharType="end"/>
            </w:r>
            <w:bookmarkEnd w:id="3"/>
          </w:p>
        </w:tc>
      </w:tr>
    </w:tbl>
    <w:p w:rsidR="00FA4719" w:rsidRDefault="00FA4719" w:rsidP="00FA4719">
      <w:pPr>
        <w:pBdr>
          <w:top w:val="single" w:sz="6" w:space="0" w:color="auto"/>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00FA4719" w:rsidRDefault="00FA4719" w:rsidP="00FA4719">
      <w:pPr>
        <w:tabs>
          <w:tab w:val="left" w:pos="240"/>
        </w:tabs>
        <w:spacing w:after="40"/>
        <w:ind w:left="120" w:right="-120"/>
        <w:rPr>
          <w:rFonts w:ascii="Helvetica" w:hAnsi="Helvetica"/>
          <w:sz w:val="18"/>
        </w:rPr>
      </w:pPr>
      <w:r>
        <w:rPr>
          <w:rFonts w:ascii="Helvetica" w:hAnsi="Helvetica"/>
          <w:sz w:val="18"/>
        </w:rPr>
        <w:t>CDBG Urban County Qualification/Requalification Process</w:t>
      </w:r>
    </w:p>
    <w:p w:rsidR="00FA4719" w:rsidRDefault="00FA4719" w:rsidP="00FA4719">
      <w:pPr>
        <w:pBdr>
          <w:top w:val="single" w:sz="6" w:space="0" w:color="auto"/>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FA4719" w:rsidRDefault="00FA4719" w:rsidP="00FA4719">
      <w:pPr>
        <w:spacing w:after="40"/>
        <w:ind w:left="120" w:right="-120"/>
        <w:rPr>
          <w:rFonts w:ascii="Helvetica" w:hAnsi="Helvetica"/>
          <w:color w:val="000080"/>
          <w:sz w:val="18"/>
        </w:rPr>
      </w:pPr>
      <w:r>
        <w:rPr>
          <w:rFonts w:ascii="Helvetica" w:hAnsi="Helvetica"/>
          <w:color w:val="000080"/>
          <w:sz w:val="18"/>
        </w:rPr>
        <w:t>None</w:t>
      </w:r>
    </w:p>
    <w:p w:rsidR="00FA4719" w:rsidRDefault="00FA4719" w:rsidP="00FA4719">
      <w:pPr>
        <w:spacing w:after="40"/>
        <w:ind w:left="120" w:right="-120"/>
        <w:rPr>
          <w:rFonts w:ascii="Helvetica" w:hAnsi="Helvetica"/>
          <w:color w:val="000080"/>
          <w:sz w:val="18"/>
        </w:rPr>
      </w:pPr>
    </w:p>
    <w:p w:rsidR="00FA4719" w:rsidRDefault="00FA4719" w:rsidP="00FA4719">
      <w:pPr>
        <w:pBdr>
          <w:top w:val="single" w:sz="6" w:space="0" w:color="auto"/>
        </w:pBdr>
        <w:tabs>
          <w:tab w:val="left" w:pos="240"/>
        </w:tabs>
        <w:ind w:right="-120"/>
        <w:rPr>
          <w:rFonts w:ascii="Helvetica" w:hAnsi="Helvetica"/>
          <w:sz w:val="14"/>
        </w:rPr>
      </w:pPr>
      <w:r>
        <w:rPr>
          <w:rFonts w:ascii="Helvetica" w:hAnsi="Helvetica"/>
          <w:sz w:val="16"/>
        </w:rPr>
        <w:t xml:space="preserve">9. </w:t>
      </w:r>
      <w:r>
        <w:rPr>
          <w:rFonts w:ascii="Helvetica" w:hAnsi="Helvetica"/>
          <w:sz w:val="14"/>
        </w:rPr>
        <w:t>Keywords:</w:t>
      </w:r>
    </w:p>
    <w:p w:rsidR="00FA4719" w:rsidRDefault="00FA4719" w:rsidP="00FA4719">
      <w:pPr>
        <w:spacing w:after="40"/>
        <w:ind w:left="120" w:right="-120"/>
        <w:rPr>
          <w:rFonts w:ascii="Helvetica" w:hAnsi="Helvetica"/>
          <w:color w:val="000080"/>
          <w:sz w:val="18"/>
        </w:rPr>
      </w:pPr>
      <w:r>
        <w:rPr>
          <w:rFonts w:ascii="Helvetica" w:hAnsi="Helvetica"/>
          <w:color w:val="000080"/>
          <w:sz w:val="18"/>
        </w:rPr>
        <w:t xml:space="preserve">Housing; Grants Management; Urban </w:t>
      </w:r>
      <w:proofErr w:type="gramStart"/>
      <w:r>
        <w:rPr>
          <w:rFonts w:ascii="Helvetica" w:hAnsi="Helvetica"/>
          <w:color w:val="000080"/>
          <w:sz w:val="18"/>
        </w:rPr>
        <w:t>County(</w:t>
      </w:r>
      <w:proofErr w:type="spellStart"/>
      <w:proofErr w:type="gramEnd"/>
      <w:r>
        <w:rPr>
          <w:rFonts w:ascii="Helvetica" w:hAnsi="Helvetica"/>
          <w:color w:val="000080"/>
          <w:sz w:val="18"/>
        </w:rPr>
        <w:t>ies</w:t>
      </w:r>
      <w:proofErr w:type="spellEnd"/>
      <w:r>
        <w:rPr>
          <w:rFonts w:ascii="Helvetica" w:hAnsi="Helvetica"/>
          <w:color w:val="000080"/>
          <w:sz w:val="18"/>
        </w:rPr>
        <w:t>)[UC(s)]; qualification; requalification; CDBG</w:t>
      </w:r>
    </w:p>
    <w:p w:rsidR="00FA4719" w:rsidRDefault="00FA4719" w:rsidP="00FA4719">
      <w:pPr>
        <w:spacing w:after="40"/>
        <w:ind w:left="120" w:right="-120"/>
        <w:rPr>
          <w:rFonts w:ascii="Helvetica" w:hAnsi="Helvetica"/>
          <w:color w:val="000080"/>
          <w:sz w:val="18"/>
        </w:rPr>
      </w:pPr>
    </w:p>
    <w:p w:rsidR="00FA4719" w:rsidRDefault="00FA4719" w:rsidP="00FA4719">
      <w:pPr>
        <w:pBdr>
          <w:top w:val="single" w:sz="6" w:space="0" w:color="auto"/>
        </w:pBdr>
        <w:tabs>
          <w:tab w:val="left" w:pos="240"/>
        </w:tabs>
        <w:ind w:right="-120"/>
        <w:rPr>
          <w:rFonts w:ascii="Helvetica" w:hAnsi="Helvetica"/>
          <w:sz w:val="14"/>
        </w:rPr>
      </w:pPr>
      <w:r>
        <w:rPr>
          <w:rFonts w:ascii="Helvetica" w:hAnsi="Helvetica"/>
          <w:sz w:val="16"/>
        </w:rPr>
        <w:t xml:space="preserve">10. </w:t>
      </w:r>
      <w:r>
        <w:rPr>
          <w:rFonts w:ascii="Helvetica" w:hAnsi="Helvetica"/>
          <w:sz w:val="14"/>
        </w:rPr>
        <w:t>Abstract:</w:t>
      </w:r>
    </w:p>
    <w:p w:rsidR="00FA4719" w:rsidRDefault="00FA4719" w:rsidP="00FA4719">
      <w:pPr>
        <w:tabs>
          <w:tab w:val="left" w:pos="240"/>
        </w:tabs>
        <w:spacing w:after="60"/>
        <w:ind w:left="120" w:right="-120"/>
        <w:rPr>
          <w:rFonts w:ascii="Helvetica" w:hAnsi="Helvetica"/>
          <w:color w:val="000080"/>
          <w:sz w:val="18"/>
        </w:rPr>
      </w:pPr>
      <w:r>
        <w:rPr>
          <w:rFonts w:ascii="Helvetica" w:hAnsi="Helvetica"/>
          <w:color w:val="000080"/>
          <w:sz w:val="18"/>
        </w:rPr>
        <w:t>The urban county qualification/requalification process obtains information yearly to establish the participating population used to calculate the final grant CDBG allocations for all CDBG grantees for the next fiscal year.</w:t>
      </w:r>
    </w:p>
    <w:p w:rsidR="00FA4719" w:rsidRDefault="00FA4719" w:rsidP="00FA4719">
      <w:pPr>
        <w:tabs>
          <w:tab w:val="left" w:pos="240"/>
        </w:tabs>
        <w:spacing w:after="60"/>
        <w:ind w:left="120" w:right="-120"/>
        <w:rPr>
          <w:rFonts w:ascii="Helvetica" w:hAnsi="Helvetica"/>
          <w:color w:val="000080"/>
          <w:sz w:val="16"/>
        </w:rPr>
      </w:pPr>
    </w:p>
    <w:tbl>
      <w:tblPr>
        <w:tblW w:w="0" w:type="auto"/>
        <w:tblLayout w:type="fixed"/>
        <w:tblLook w:val="0000"/>
      </w:tblPr>
      <w:tblGrid>
        <w:gridCol w:w="4908"/>
        <w:gridCol w:w="720"/>
        <w:gridCol w:w="5388"/>
      </w:tblGrid>
      <w:tr w:rsidR="00FA4719" w:rsidTr="00014759">
        <w:tblPrEx>
          <w:tblCellMar>
            <w:top w:w="0" w:type="dxa"/>
            <w:bottom w:w="0" w:type="dxa"/>
          </w:tblCellMar>
        </w:tblPrEx>
        <w:trPr>
          <w:trHeight w:val="1129"/>
        </w:trPr>
        <w:tc>
          <w:tcPr>
            <w:tcW w:w="5628" w:type="dxa"/>
            <w:gridSpan w:val="2"/>
            <w:tcBorders>
              <w:top w:val="single" w:sz="6" w:space="0" w:color="auto"/>
              <w:right w:val="single" w:sz="6" w:space="0" w:color="auto"/>
            </w:tcBorders>
          </w:tcPr>
          <w:p w:rsidR="00FA4719" w:rsidRDefault="00FA4719" w:rsidP="00014759">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FA4719" w:rsidRDefault="00FA4719" w:rsidP="00014759">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Pr>
                <w:rFonts w:ascii="Helvetica" w:hAnsi="Helvetica"/>
                <w:b/>
                <w:sz w:val="18"/>
              </w:rPr>
              <w:fldChar w:fldCharType="begin">
                <w:ffData>
                  <w:name w:val="Text17"/>
                  <w:enabled/>
                  <w:calcOnExit w:val="0"/>
                  <w:textInput>
                    <w:maxLength w:val="1"/>
                  </w:textInput>
                </w:ffData>
              </w:fldChar>
            </w:r>
            <w:bookmarkStart w:id="4" w:name="Text17"/>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4"/>
            <w:r>
              <w:rPr>
                <w:rFonts w:ascii="Helvetica" w:hAnsi="Helvetica"/>
                <w:b/>
                <w:sz w:val="18"/>
              </w:rPr>
              <w:tab/>
            </w:r>
            <w:r>
              <w:rPr>
                <w:rFonts w:ascii="Helvetica" w:hAnsi="Helvetica"/>
                <w:sz w:val="16"/>
              </w:rPr>
              <w:t>Individuals or households</w:t>
            </w:r>
            <w:r>
              <w:rPr>
                <w:rFonts w:ascii="Helvetica" w:hAnsi="Helvetica"/>
                <w:sz w:val="16"/>
              </w:rPr>
              <w:tab/>
              <w:t xml:space="preserve">e.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Farms</w:t>
            </w:r>
          </w:p>
          <w:p w:rsidR="00FA4719" w:rsidRDefault="00FA4719" w:rsidP="00014759">
            <w:pPr>
              <w:keepLines/>
              <w:pBdr>
                <w:between w:val="single" w:sz="6" w:space="1" w:color="auto"/>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Federal Government</w:t>
            </w:r>
          </w:p>
          <w:p w:rsidR="00FA4719" w:rsidRDefault="00FA4719" w:rsidP="00014759">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 xml:space="preserve">p </w:t>
            </w:r>
            <w:r>
              <w:rPr>
                <w:rFonts w:ascii="Helvetica" w:hAnsi="Helvetica"/>
                <w:sz w:val="16"/>
              </w:rPr>
              <w:t>State, Local or Tribal Government</w:t>
            </w:r>
          </w:p>
        </w:tc>
        <w:tc>
          <w:tcPr>
            <w:tcW w:w="5388" w:type="dxa"/>
            <w:tcBorders>
              <w:top w:val="single" w:sz="6" w:space="0" w:color="auto"/>
              <w:left w:val="nil"/>
            </w:tcBorders>
          </w:tcPr>
          <w:p w:rsidR="00FA4719" w:rsidRDefault="00FA4719" w:rsidP="00014759">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FA4719" w:rsidRDefault="00FA4719" w:rsidP="00014759">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Pr>
                <w:rFonts w:ascii="Helvetica" w:hAnsi="Helvetica"/>
                <w:b/>
                <w:sz w:val="18"/>
              </w:rPr>
              <w:fldChar w:fldCharType="begin">
                <w:ffData>
                  <w:name w:val="Text25"/>
                  <w:enabled/>
                  <w:calcOnExit w:val="0"/>
                  <w:textInput>
                    <w:maxLength w:val="1"/>
                  </w:textInput>
                </w:ffData>
              </w:fldChar>
            </w:r>
            <w:bookmarkStart w:id="5" w:name="Text25"/>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5"/>
            <w:r>
              <w:rPr>
                <w:rFonts w:ascii="Helvetica" w:hAnsi="Helvetica"/>
                <w:sz w:val="14"/>
              </w:rPr>
              <w:tab/>
            </w:r>
            <w:r>
              <w:rPr>
                <w:rFonts w:ascii="Helvetica" w:hAnsi="Helvetica"/>
                <w:sz w:val="16"/>
              </w:rPr>
              <w:t>Voluntary</w:t>
            </w:r>
          </w:p>
          <w:p w:rsidR="00FA4719" w:rsidRDefault="00FA4719" w:rsidP="00014759">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b/>
                <w:sz w:val="18"/>
              </w:rPr>
              <w:fldChar w:fldCharType="begin">
                <w:ffData>
                  <w:name w:val="Text26"/>
                  <w:enabled/>
                  <w:calcOnExit w:val="0"/>
                  <w:textInput>
                    <w:maxLength w:val="1"/>
                  </w:textInput>
                </w:ffData>
              </w:fldChar>
            </w:r>
            <w:bookmarkStart w:id="6" w:name="Text26"/>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6"/>
            <w:r>
              <w:rPr>
                <w:rFonts w:ascii="Helvetica" w:hAnsi="Helvetica"/>
                <w:b/>
                <w:sz w:val="18"/>
              </w:rPr>
              <w:t xml:space="preserve">p </w:t>
            </w:r>
            <w:r>
              <w:rPr>
                <w:rFonts w:ascii="Helvetica" w:hAnsi="Helvetica"/>
                <w:sz w:val="16"/>
              </w:rPr>
              <w:t>Required to obtain or retain benefits</w:t>
            </w:r>
          </w:p>
          <w:p w:rsidR="00FA4719" w:rsidRDefault="00FA4719" w:rsidP="00014759">
            <w:pPr>
              <w:tabs>
                <w:tab w:val="left" w:pos="492"/>
              </w:tabs>
              <w:spacing w:after="60"/>
              <w:ind w:left="120"/>
              <w:rPr>
                <w:rFonts w:ascii="Helvetica" w:hAnsi="Helvetica"/>
                <w:sz w:val="16"/>
              </w:rPr>
            </w:pPr>
            <w:r>
              <w:rPr>
                <w:rFonts w:ascii="Helvetica" w:hAnsi="Helvetica"/>
                <w:sz w:val="16"/>
              </w:rPr>
              <w:t xml:space="preserve">c. </w:t>
            </w:r>
            <w:r>
              <w:rPr>
                <w:rFonts w:ascii="Helvetica" w:hAnsi="Helvetica"/>
                <w:b/>
                <w:sz w:val="18"/>
              </w:rPr>
              <w:fldChar w:fldCharType="begin">
                <w:ffData>
                  <w:name w:val="Text27"/>
                  <w:enabled/>
                  <w:calcOnExit w:val="0"/>
                  <w:textInput>
                    <w:maxLength w:val="1"/>
                  </w:textInput>
                </w:ffData>
              </w:fldChar>
            </w:r>
            <w:bookmarkStart w:id="7" w:name="Text27"/>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7"/>
            <w:r>
              <w:rPr>
                <w:rFonts w:ascii="Helvetica" w:hAnsi="Helvetica"/>
                <w:sz w:val="16"/>
              </w:rPr>
              <w:tab/>
              <w:t>Mandatory</w:t>
            </w:r>
          </w:p>
        </w:tc>
      </w:tr>
      <w:tr w:rsidR="00FA4719" w:rsidTr="00014759">
        <w:tblPrEx>
          <w:tblCellMar>
            <w:top w:w="0" w:type="dxa"/>
            <w:bottom w:w="0" w:type="dxa"/>
          </w:tblCellMar>
        </w:tblPrEx>
        <w:trPr>
          <w:trHeight w:val="2146"/>
        </w:trPr>
        <w:tc>
          <w:tcPr>
            <w:tcW w:w="5628" w:type="dxa"/>
            <w:gridSpan w:val="2"/>
            <w:tcBorders>
              <w:top w:val="single" w:sz="6" w:space="0" w:color="auto"/>
              <w:right w:val="single" w:sz="6" w:space="0" w:color="auto"/>
            </w:tcBorders>
          </w:tcPr>
          <w:p w:rsidR="00FA4719" w:rsidRDefault="00FA4719" w:rsidP="00014759">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FA4719" w:rsidRDefault="00FA4719" w:rsidP="00014759">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Pr>
                <w:rFonts w:ascii="Helvetica" w:hAnsi="Helvetica"/>
                <w:sz w:val="18"/>
              </w:rPr>
              <w:t>183</w:t>
            </w:r>
          </w:p>
          <w:p w:rsidR="00FA4719" w:rsidRDefault="00FA4719" w:rsidP="00014759">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Pr>
                <w:rFonts w:ascii="Helvetica" w:hAnsi="Helvetica"/>
                <w:sz w:val="18"/>
              </w:rPr>
              <w:t>61</w:t>
            </w:r>
          </w:p>
          <w:p w:rsidR="00FA4719" w:rsidRDefault="00FA4719" w:rsidP="00014759">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electronically </w:t>
            </w:r>
            <w:r>
              <w:rPr>
                <w:rFonts w:ascii="Helvetica" w:hAnsi="Helvetica"/>
                <w:sz w:val="16"/>
              </w:rPr>
              <w:tab/>
            </w:r>
            <w:r>
              <w:rPr>
                <w:rFonts w:ascii="Helvetica" w:hAnsi="Helvetica"/>
                <w:sz w:val="18"/>
              </w:rPr>
              <w:fldChar w:fldCharType="begin">
                <w:ffData>
                  <w:name w:val="Text12"/>
                  <w:enabled/>
                  <w:calcOnExit w:val="0"/>
                  <w:textInput>
                    <w:type w:val="number"/>
                    <w:format w:val="0%"/>
                  </w:textInput>
                </w:ffData>
              </w:fldChar>
            </w:r>
            <w:bookmarkStart w:id="8" w:name="Text12"/>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8"/>
          </w:p>
          <w:p w:rsidR="00FA4719" w:rsidRDefault="00FA4719" w:rsidP="00014759">
            <w:pPr>
              <w:keepLines/>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r>
            <w:r>
              <w:rPr>
                <w:rFonts w:ascii="Helvetica" w:hAnsi="Helvetica"/>
                <w:sz w:val="18"/>
              </w:rPr>
              <w:t>3,960</w:t>
            </w:r>
          </w:p>
          <w:p w:rsidR="00FA4719" w:rsidRDefault="00FA4719" w:rsidP="00014759">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Pr>
                <w:rFonts w:ascii="Helvetica" w:hAnsi="Helvetica"/>
                <w:sz w:val="18"/>
              </w:rPr>
              <w:t>4,078</w:t>
            </w:r>
          </w:p>
          <w:p w:rsidR="00FA4719" w:rsidRDefault="00FA4719" w:rsidP="00014759">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t>-118</w:t>
            </w:r>
          </w:p>
          <w:p w:rsidR="00FA4719" w:rsidRDefault="00FA4719" w:rsidP="00014759">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FA4719" w:rsidRDefault="00FA4719" w:rsidP="00014759">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fldChar w:fldCharType="begin">
                <w:ffData>
                  <w:name w:val="Text15"/>
                  <w:enabled/>
                  <w:calcOnExit w:val="0"/>
                  <w:textInput/>
                </w:ffData>
              </w:fldChar>
            </w:r>
            <w:bookmarkStart w:id="9" w:name="Text15"/>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bookmarkEnd w:id="9"/>
            <w:r>
              <w:rPr>
                <w:rFonts w:ascii="Helvetica" w:hAnsi="Helvetica"/>
                <w:sz w:val="18"/>
              </w:rPr>
              <w:t>-118</w:t>
            </w:r>
          </w:p>
          <w:p w:rsidR="00FA4719" w:rsidRDefault="00FA4719" w:rsidP="00014759">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r>
          </w:p>
        </w:tc>
        <w:tc>
          <w:tcPr>
            <w:tcW w:w="5388" w:type="dxa"/>
            <w:tcBorders>
              <w:top w:val="single" w:sz="6" w:space="0" w:color="auto"/>
              <w:left w:val="nil"/>
            </w:tcBorders>
          </w:tcPr>
          <w:p w:rsidR="00FA4719" w:rsidRDefault="00FA4719" w:rsidP="00014759">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FA4719" w:rsidRDefault="00FA4719" w:rsidP="00014759">
            <w:pPr>
              <w:tabs>
                <w:tab w:val="left" w:pos="240"/>
              </w:tabs>
              <w:rPr>
                <w:rFonts w:ascii="Helvetica" w:hAnsi="Helvetica"/>
                <w:sz w:val="14"/>
              </w:rPr>
            </w:pPr>
            <w:r>
              <w:rPr>
                <w:rFonts w:ascii="Helvetica" w:hAnsi="Helvetica"/>
                <w:sz w:val="14"/>
              </w:rPr>
              <w:tab/>
              <w:t>Do not include costs based on the hours in item 13.</w:t>
            </w:r>
          </w:p>
          <w:p w:rsidR="00FA4719" w:rsidRDefault="00FA4719" w:rsidP="00014759">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t>$0</w:t>
            </w:r>
          </w:p>
          <w:p w:rsidR="00FA4719" w:rsidRDefault="00FA4719" w:rsidP="00014759">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p w:rsidR="00FA4719" w:rsidRDefault="00FA4719" w:rsidP="00014759">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t>0</w:t>
            </w:r>
          </w:p>
          <w:p w:rsidR="00FA4719" w:rsidRDefault="00FA4719" w:rsidP="00014759">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t>0</w:t>
            </w:r>
          </w:p>
          <w:p w:rsidR="00FA4719" w:rsidRDefault="00FA4719" w:rsidP="00014759">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p>
          <w:p w:rsidR="00FA4719" w:rsidRDefault="00FA4719" w:rsidP="00014759">
            <w:pPr>
              <w:tabs>
                <w:tab w:val="left" w:pos="240"/>
                <w:tab w:val="right" w:pos="4800"/>
              </w:tabs>
              <w:ind w:left="132"/>
              <w:rPr>
                <w:rFonts w:ascii="Helvetica" w:hAnsi="Helvetica"/>
                <w:sz w:val="16"/>
              </w:rPr>
            </w:pPr>
            <w:r>
              <w:rPr>
                <w:rFonts w:ascii="Helvetica" w:hAnsi="Helvetica"/>
                <w:sz w:val="16"/>
              </w:rPr>
              <w:t>f. Explanation of difference:</w:t>
            </w:r>
          </w:p>
          <w:p w:rsidR="00FA4719" w:rsidRDefault="00FA4719" w:rsidP="00014759">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p w:rsidR="00FA4719" w:rsidRDefault="00FA4719" w:rsidP="00014759">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p>
        </w:tc>
      </w:tr>
      <w:tr w:rsidR="00FA4719" w:rsidTr="00014759">
        <w:tblPrEx>
          <w:tblCellMar>
            <w:top w:w="0" w:type="dxa"/>
            <w:bottom w:w="0" w:type="dxa"/>
          </w:tblCellMar>
        </w:tblPrEx>
        <w:trPr>
          <w:trHeight w:val="1474"/>
        </w:trPr>
        <w:tc>
          <w:tcPr>
            <w:tcW w:w="5628" w:type="dxa"/>
            <w:gridSpan w:val="2"/>
            <w:tcBorders>
              <w:top w:val="single" w:sz="6" w:space="0" w:color="auto"/>
              <w:right w:val="single" w:sz="6" w:space="0" w:color="auto"/>
            </w:tcBorders>
          </w:tcPr>
          <w:p w:rsidR="00FA4719" w:rsidRDefault="00FA4719" w:rsidP="00014759">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FA4719" w:rsidRDefault="00FA4719" w:rsidP="00014759">
            <w:pPr>
              <w:keepLines/>
              <w:tabs>
                <w:tab w:val="left" w:pos="480"/>
                <w:tab w:val="left" w:pos="2520"/>
                <w:tab w:val="left" w:pos="2880"/>
              </w:tabs>
              <w:ind w:left="120"/>
              <w:rPr>
                <w:rFonts w:ascii="Helvetica" w:hAnsi="Helvetica"/>
                <w:sz w:val="16"/>
              </w:rPr>
            </w:pPr>
            <w:r>
              <w:rPr>
                <w:rFonts w:ascii="Helvetica" w:hAnsi="Helvetica"/>
                <w:sz w:val="16"/>
              </w:rPr>
              <w:t xml:space="preserve">a.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Application for benefits</w:t>
            </w:r>
            <w:r>
              <w:rPr>
                <w:rFonts w:ascii="Helvetica" w:hAnsi="Helvetica"/>
                <w:sz w:val="16"/>
              </w:rPr>
              <w:tab/>
              <w:t xml:space="preserve">e.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x </w:t>
            </w:r>
            <w:r>
              <w:rPr>
                <w:rFonts w:ascii="Helvetica" w:hAnsi="Helvetica"/>
                <w:sz w:val="16"/>
              </w:rPr>
              <w:t>Program planning or management</w:t>
            </w:r>
          </w:p>
          <w:p w:rsidR="00FA4719" w:rsidRDefault="00FA4719" w:rsidP="00014759">
            <w:pPr>
              <w:keepLines/>
              <w:pBdr>
                <w:between w:val="single" w:sz="6" w:space="1" w:color="auto"/>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FA4719" w:rsidRDefault="00FA4719" w:rsidP="00014759">
            <w:pPr>
              <w:keepLines/>
              <w:tabs>
                <w:tab w:val="left" w:pos="480"/>
                <w:tab w:val="left" w:pos="2520"/>
                <w:tab w:val="left" w:pos="2880"/>
              </w:tabs>
              <w:ind w:left="120"/>
              <w:rPr>
                <w:rFonts w:ascii="Helvetica" w:hAnsi="Helvetica"/>
                <w:sz w:val="16"/>
              </w:rPr>
            </w:pPr>
            <w:r>
              <w:rPr>
                <w:rFonts w:ascii="Helvetica" w:hAnsi="Helvetica"/>
                <w:sz w:val="16"/>
              </w:rPr>
              <w:t xml:space="preserve">c.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p </w:t>
            </w:r>
            <w:proofErr w:type="spellStart"/>
            <w:r>
              <w:rPr>
                <w:rFonts w:ascii="Helvetica" w:hAnsi="Helvetica"/>
                <w:sz w:val="16"/>
              </w:rPr>
              <w:t>Requlatory</w:t>
            </w:r>
            <w:proofErr w:type="spellEnd"/>
            <w:r>
              <w:rPr>
                <w:rFonts w:ascii="Helvetica" w:hAnsi="Helvetica"/>
                <w:sz w:val="16"/>
              </w:rPr>
              <w:t xml:space="preserve"> or compliance</w:t>
            </w:r>
          </w:p>
          <w:p w:rsidR="00FA4719" w:rsidRDefault="00FA4719" w:rsidP="00014759">
            <w:pPr>
              <w:keepLines/>
              <w:tabs>
                <w:tab w:val="left" w:pos="480"/>
                <w:tab w:val="left" w:pos="2880"/>
              </w:tabs>
              <w:spacing w:after="60"/>
              <w:ind w:left="120"/>
              <w:rPr>
                <w:rFonts w:ascii="Helvetica" w:hAnsi="Helvetica"/>
                <w:sz w:val="16"/>
              </w:rPr>
            </w:pPr>
            <w:r>
              <w:rPr>
                <w:rFonts w:ascii="Helvetica" w:hAnsi="Helvetica"/>
                <w:sz w:val="16"/>
              </w:rPr>
              <w:t xml:space="preserve">d.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sz="6" w:space="0" w:color="auto"/>
              <w:left w:val="nil"/>
            </w:tcBorders>
          </w:tcPr>
          <w:p w:rsidR="00FA4719" w:rsidRDefault="00FA4719" w:rsidP="00014759">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FA4719" w:rsidRDefault="00FA4719" w:rsidP="00014759">
            <w:pPr>
              <w:tabs>
                <w:tab w:val="left" w:pos="240"/>
                <w:tab w:val="left" w:pos="1932"/>
              </w:tabs>
              <w:ind w:left="120"/>
              <w:rPr>
                <w:rFonts w:ascii="Helvetica" w:hAnsi="Helvetica"/>
                <w:sz w:val="16"/>
              </w:rPr>
            </w:pPr>
            <w:r>
              <w:rPr>
                <w:rFonts w:ascii="Helvetica" w:hAnsi="Helvetica"/>
                <w:sz w:val="16"/>
              </w:rPr>
              <w:t xml:space="preserve">a.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FA4719" w:rsidRDefault="00FA4719" w:rsidP="00014759">
            <w:pPr>
              <w:pBdr>
                <w:between w:val="single" w:sz="6" w:space="1" w:color="auto"/>
              </w:pBdr>
              <w:tabs>
                <w:tab w:val="left" w:pos="240"/>
                <w:tab w:val="left" w:pos="1932"/>
                <w:tab w:val="left" w:pos="2520"/>
              </w:tabs>
              <w:ind w:left="132"/>
              <w:rPr>
                <w:rFonts w:ascii="Helvetica" w:hAnsi="Helvetica"/>
                <w:sz w:val="16"/>
              </w:rPr>
            </w:pPr>
            <w:r>
              <w:rPr>
                <w:rFonts w:ascii="Helvetica" w:hAnsi="Helvetica"/>
                <w:sz w:val="16"/>
              </w:rPr>
              <w:t xml:space="preserve">c.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Reporting:</w:t>
            </w:r>
          </w:p>
          <w:p w:rsidR="00FA4719" w:rsidRDefault="00FA4719" w:rsidP="00014759">
            <w:pPr>
              <w:tabs>
                <w:tab w:val="left" w:pos="240"/>
                <w:tab w:val="left" w:pos="2052"/>
                <w:tab w:val="left" w:pos="3732"/>
              </w:tabs>
              <w:ind w:left="492"/>
              <w:rPr>
                <w:rFonts w:ascii="Helvetica" w:hAnsi="Helvetica"/>
                <w:sz w:val="16"/>
              </w:rPr>
            </w:pPr>
            <w:r>
              <w:rPr>
                <w:rFonts w:ascii="Helvetica" w:hAnsi="Helvetica"/>
                <w:sz w:val="16"/>
              </w:rPr>
              <w:t xml:space="preserve">1.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FA4719" w:rsidRDefault="00FA4719" w:rsidP="00014759">
            <w:pPr>
              <w:tabs>
                <w:tab w:val="left" w:pos="240"/>
                <w:tab w:val="left" w:pos="2052"/>
                <w:tab w:val="left" w:pos="3732"/>
              </w:tabs>
              <w:ind w:left="492"/>
              <w:rPr>
                <w:rFonts w:ascii="Helvetica" w:hAnsi="Helvetica"/>
                <w:sz w:val="16"/>
              </w:rPr>
            </w:pPr>
            <w:r>
              <w:rPr>
                <w:rFonts w:ascii="Helvetica" w:hAnsi="Helvetica"/>
                <w:sz w:val="16"/>
              </w:rPr>
              <w:t xml:space="preserve">4.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Annually</w:t>
            </w:r>
          </w:p>
          <w:p w:rsidR="00FA4719" w:rsidRDefault="00FA4719" w:rsidP="00014759">
            <w:pPr>
              <w:tabs>
                <w:tab w:val="left" w:pos="240"/>
                <w:tab w:val="left" w:pos="2052"/>
                <w:tab w:val="left" w:pos="3732"/>
              </w:tabs>
              <w:ind w:left="2412" w:hanging="1920"/>
              <w:rPr>
                <w:rFonts w:ascii="Helvetica" w:hAnsi="Helvetica"/>
                <w:sz w:val="16"/>
              </w:rPr>
            </w:pPr>
            <w:r>
              <w:rPr>
                <w:rFonts w:ascii="Helvetica" w:hAnsi="Helvetica"/>
                <w:sz w:val="16"/>
              </w:rPr>
              <w:t xml:space="preserve">7.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proofErr w:type="spellStart"/>
            <w:r>
              <w:rPr>
                <w:rFonts w:ascii="Helvetica" w:hAnsi="Helvetica"/>
                <w:sz w:val="16"/>
              </w:rPr>
              <w:t>Biennually</w:t>
            </w:r>
            <w:proofErr w:type="spellEnd"/>
            <w:r>
              <w:rPr>
                <w:rFonts w:ascii="Helvetica" w:hAnsi="Helvetica"/>
                <w:sz w:val="16"/>
              </w:rPr>
              <w:tab/>
              <w:t xml:space="preserve">8.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proofErr w:type="spellStart"/>
            <w:r>
              <w:rPr>
                <w:rFonts w:ascii="Helvetica" w:hAnsi="Helvetica"/>
                <w:color w:val="000080"/>
                <w:sz w:val="16"/>
              </w:rPr>
              <w:t>trienially</w:t>
            </w:r>
            <w:proofErr w:type="spellEnd"/>
          </w:p>
          <w:p w:rsidR="00FA4719" w:rsidRDefault="00FA4719" w:rsidP="00014759">
            <w:pPr>
              <w:tabs>
                <w:tab w:val="left" w:pos="240"/>
              </w:tabs>
              <w:rPr>
                <w:rFonts w:ascii="Helvetica" w:hAnsi="Helvetica"/>
                <w:sz w:val="16"/>
              </w:rPr>
            </w:pPr>
          </w:p>
        </w:tc>
      </w:tr>
      <w:tr w:rsidR="00FA4719" w:rsidTr="00014759">
        <w:tblPrEx>
          <w:tblCellMar>
            <w:top w:w="0" w:type="dxa"/>
            <w:bottom w:w="0" w:type="dxa"/>
          </w:tblCellMar>
        </w:tblPrEx>
        <w:tc>
          <w:tcPr>
            <w:tcW w:w="4908" w:type="dxa"/>
            <w:tcBorders>
              <w:top w:val="single" w:sz="6" w:space="0" w:color="auto"/>
              <w:bottom w:val="single" w:sz="6" w:space="0" w:color="auto"/>
            </w:tcBorders>
          </w:tcPr>
          <w:p w:rsidR="00FA4719" w:rsidRDefault="00FA4719" w:rsidP="00014759">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FA4719" w:rsidRDefault="00FA4719" w:rsidP="00014759">
            <w:pPr>
              <w:keepLines/>
              <w:ind w:left="240"/>
              <w:rPr>
                <w:rFonts w:ascii="Helvetica" w:hAnsi="Helvetica"/>
                <w:sz w:val="16"/>
              </w:rPr>
            </w:pPr>
            <w:r>
              <w:rPr>
                <w:rFonts w:ascii="Helvetica" w:hAnsi="Helvetica"/>
                <w:sz w:val="16"/>
              </w:rPr>
              <w:t>Does this information collection employ statistical methods?</w:t>
            </w:r>
          </w:p>
          <w:p w:rsidR="00FA4719" w:rsidRDefault="00FA4719" w:rsidP="00014759">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8"/>
              </w:rPr>
              <w:t xml:space="preserve">Yes    </w:t>
            </w: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Pr>
                <w:rFonts w:ascii="Helvetica" w:hAnsi="Helvetica"/>
                <w:b/>
                <w:sz w:val="18"/>
              </w:rPr>
            </w:r>
            <w:r>
              <w:rPr>
                <w:rFonts w:ascii="Helvetica" w:hAnsi="Helvetica"/>
                <w:b/>
                <w:sz w:val="18"/>
              </w:rPr>
              <w:fldChar w:fldCharType="end"/>
            </w:r>
            <w:r>
              <w:rPr>
                <w:rFonts w:ascii="Helvetica" w:hAnsi="Helvetica"/>
                <w:b/>
                <w:color w:val="800000"/>
              </w:rPr>
              <w:t xml:space="preserve">  </w:t>
            </w:r>
            <w:r>
              <w:rPr>
                <w:rFonts w:ascii="Helvetica" w:hAnsi="Helvetica"/>
                <w:sz w:val="18"/>
              </w:rPr>
              <w:t>No</w:t>
            </w:r>
          </w:p>
          <w:p w:rsidR="00FA4719" w:rsidRDefault="00FA4719" w:rsidP="00014759">
            <w:pPr>
              <w:keepLines/>
              <w:tabs>
                <w:tab w:val="left" w:pos="240"/>
              </w:tabs>
              <w:rPr>
                <w:rFonts w:ascii="Helvetica" w:hAnsi="Helvetica"/>
                <w:sz w:val="16"/>
              </w:rPr>
            </w:pPr>
          </w:p>
        </w:tc>
        <w:tc>
          <w:tcPr>
            <w:tcW w:w="6108" w:type="dxa"/>
            <w:gridSpan w:val="2"/>
            <w:tcBorders>
              <w:top w:val="single" w:sz="6" w:space="0" w:color="auto"/>
              <w:left w:val="single" w:sz="6" w:space="0" w:color="auto"/>
              <w:bottom w:val="single" w:sz="6" w:space="0" w:color="auto"/>
            </w:tcBorders>
          </w:tcPr>
          <w:p w:rsidR="00FA4719" w:rsidRDefault="00FA4719" w:rsidP="00014759">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FA4719" w:rsidRDefault="00FA4719" w:rsidP="00014759">
            <w:pPr>
              <w:ind w:left="252"/>
              <w:rPr>
                <w:rFonts w:ascii="Helvetica" w:hAnsi="Helvetica"/>
                <w:sz w:val="16"/>
              </w:rPr>
            </w:pPr>
            <w:r>
              <w:rPr>
                <w:rFonts w:ascii="Helvetica" w:hAnsi="Helvetica"/>
                <w:sz w:val="16"/>
              </w:rPr>
              <w:t xml:space="preserve">Name: </w:t>
            </w:r>
            <w:r>
              <w:rPr>
                <w:rFonts w:ascii="Helvetica" w:hAnsi="Helvetica"/>
                <w:color w:val="800000"/>
                <w:sz w:val="18"/>
              </w:rPr>
              <w:t>Gloria Coates</w:t>
            </w:r>
          </w:p>
          <w:p w:rsidR="00FA4719" w:rsidRDefault="00FA4719" w:rsidP="00014759">
            <w:pPr>
              <w:ind w:left="252"/>
              <w:rPr>
                <w:rFonts w:ascii="Helvetica" w:hAnsi="Helvetica"/>
                <w:sz w:val="16"/>
              </w:rPr>
            </w:pPr>
            <w:r>
              <w:rPr>
                <w:rFonts w:ascii="Helvetica" w:hAnsi="Helvetica"/>
                <w:sz w:val="16"/>
              </w:rPr>
              <w:t xml:space="preserve">Phone: </w:t>
            </w:r>
            <w:r>
              <w:rPr>
                <w:rFonts w:ascii="Helvetica" w:hAnsi="Helvetica"/>
                <w:color w:val="800000"/>
                <w:sz w:val="18"/>
              </w:rPr>
              <w:t>202-708-1577</w:t>
            </w:r>
          </w:p>
          <w:p w:rsidR="00FA4719" w:rsidRDefault="00FA4719" w:rsidP="00014759">
            <w:pPr>
              <w:tabs>
                <w:tab w:val="left" w:pos="240"/>
              </w:tabs>
              <w:rPr>
                <w:rFonts w:ascii="Helvetica" w:hAnsi="Helvetica"/>
                <w:sz w:val="16"/>
              </w:rPr>
            </w:pPr>
          </w:p>
        </w:tc>
      </w:tr>
    </w:tbl>
    <w:p w:rsidR="00FA4719" w:rsidRDefault="00FA4719" w:rsidP="00FA4719">
      <w:pPr>
        <w:tabs>
          <w:tab w:val="left" w:pos="240"/>
        </w:tabs>
        <w:rPr>
          <w:rFonts w:ascii="Helvetica" w:hAnsi="Helvetica"/>
          <w:sz w:val="16"/>
        </w:rPr>
      </w:pPr>
    </w:p>
    <w:p w:rsidR="00FA4719" w:rsidRDefault="00FA4719" w:rsidP="00FA4719">
      <w:pPr>
        <w:pBdr>
          <w:top w:val="single" w:sz="6" w:space="1" w:color="auto"/>
        </w:pBdr>
        <w:tabs>
          <w:tab w:val="left" w:pos="240"/>
        </w:tabs>
        <w:jc w:val="center"/>
        <w:rPr>
          <w:rFonts w:ascii="Helvetica" w:hAnsi="Helvetica"/>
          <w:sz w:val="16"/>
        </w:rPr>
        <w:sectPr w:rsidR="00FA4719">
          <w:footerReference w:type="default" r:id="rId5"/>
          <w:pgSz w:w="12240" w:h="15840"/>
          <w:pgMar w:top="480" w:right="600" w:bottom="480" w:left="720" w:header="480" w:footer="480" w:gutter="0"/>
          <w:cols w:space="480" w:equalWidth="0">
            <w:col w:w="10920"/>
          </w:cols>
        </w:sectPr>
      </w:pPr>
    </w:p>
    <w:p w:rsidR="00FA4719" w:rsidRDefault="00FA4719" w:rsidP="00FA4719">
      <w:pPr>
        <w:pBdr>
          <w:top w:val="single" w:sz="6" w:space="1" w:color="auto"/>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FA4719" w:rsidRDefault="00FA4719" w:rsidP="00FA4719">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FA4719" w:rsidRDefault="00FA4719" w:rsidP="00FA4719">
      <w:pPr>
        <w:tabs>
          <w:tab w:val="left" w:pos="240"/>
        </w:tabs>
        <w:spacing w:line="280" w:lineRule="exact"/>
        <w:rPr>
          <w:sz w:val="22"/>
        </w:rPr>
      </w:pPr>
      <w:r>
        <w:rPr>
          <w:b/>
          <w:sz w:val="22"/>
        </w:rPr>
        <w:t>Note:</w:t>
      </w:r>
      <w:r>
        <w:rPr>
          <w:sz w:val="22"/>
        </w:rPr>
        <w:t xml:space="preserve"> The text of 5 CFR 1320.9, and the related provisions of 5 CFR 1320/8(b</w:t>
      </w:r>
      <w:proofErr w:type="gramStart"/>
      <w:r>
        <w:rPr>
          <w:sz w:val="22"/>
        </w:rPr>
        <w:t>)(</w:t>
      </w:r>
      <w:proofErr w:type="gramEnd"/>
      <w:r>
        <w:rPr>
          <w:sz w:val="22"/>
        </w:rPr>
        <w:t xml:space="preserve">3). </w:t>
      </w:r>
      <w:proofErr w:type="gramStart"/>
      <w:r>
        <w:rPr>
          <w:sz w:val="22"/>
        </w:rPr>
        <w:t>appear</w:t>
      </w:r>
      <w:proofErr w:type="gramEnd"/>
      <w:r>
        <w:rPr>
          <w:sz w:val="22"/>
        </w:rPr>
        <w:t xml:space="preserve"> at the end of the instructions.  The certification is to be made with reference to those regulatory provisions as set forth in the instructions.</w:t>
      </w:r>
    </w:p>
    <w:p w:rsidR="00FA4719" w:rsidRDefault="00FA4719" w:rsidP="00FA4719">
      <w:pPr>
        <w:tabs>
          <w:tab w:val="left" w:pos="240"/>
        </w:tabs>
        <w:spacing w:line="280" w:lineRule="exact"/>
        <w:rPr>
          <w:sz w:val="22"/>
        </w:rPr>
      </w:pPr>
    </w:p>
    <w:p w:rsidR="00FA4719" w:rsidRDefault="00FA4719" w:rsidP="00FA4719">
      <w:pPr>
        <w:tabs>
          <w:tab w:val="left" w:pos="240"/>
        </w:tabs>
        <w:spacing w:line="280" w:lineRule="exact"/>
        <w:rPr>
          <w:sz w:val="22"/>
        </w:rPr>
      </w:pPr>
      <w:r>
        <w:rPr>
          <w:sz w:val="22"/>
        </w:rPr>
        <w:t xml:space="preserve">The following is a summary of the topics, regarding the proposed collections of </w:t>
      </w:r>
      <w:proofErr w:type="gramStart"/>
      <w:r>
        <w:rPr>
          <w:sz w:val="22"/>
        </w:rPr>
        <w:t>information, that</w:t>
      </w:r>
      <w:proofErr w:type="gramEnd"/>
      <w:r>
        <w:rPr>
          <w:sz w:val="22"/>
        </w:rPr>
        <w:t xml:space="preserve"> the certification covers:</w:t>
      </w:r>
    </w:p>
    <w:p w:rsidR="00FA4719" w:rsidRDefault="00FA4719" w:rsidP="00FA4719">
      <w:pPr>
        <w:numPr>
          <w:ilvl w:val="0"/>
          <w:numId w:val="3"/>
        </w:numPr>
        <w:tabs>
          <w:tab w:val="left" w:pos="720"/>
        </w:tabs>
        <w:spacing w:line="280" w:lineRule="exact"/>
        <w:rPr>
          <w:sz w:val="22"/>
        </w:rPr>
      </w:pPr>
      <w:r>
        <w:rPr>
          <w:sz w:val="22"/>
        </w:rPr>
        <w:t>It is necessary for the proper performance of agency functions;</w:t>
      </w:r>
    </w:p>
    <w:p w:rsidR="00FA4719" w:rsidRDefault="00FA4719" w:rsidP="00FA4719">
      <w:pPr>
        <w:numPr>
          <w:ilvl w:val="0"/>
          <w:numId w:val="3"/>
        </w:numPr>
        <w:tabs>
          <w:tab w:val="left" w:pos="720"/>
        </w:tabs>
        <w:spacing w:line="280" w:lineRule="exact"/>
        <w:rPr>
          <w:sz w:val="22"/>
        </w:rPr>
      </w:pPr>
      <w:r>
        <w:rPr>
          <w:sz w:val="22"/>
        </w:rPr>
        <w:t>It avoids unnecessary duplication;</w:t>
      </w:r>
    </w:p>
    <w:p w:rsidR="00FA4719" w:rsidRDefault="00FA4719" w:rsidP="00FA4719">
      <w:pPr>
        <w:numPr>
          <w:ilvl w:val="0"/>
          <w:numId w:val="3"/>
        </w:numPr>
        <w:tabs>
          <w:tab w:val="left" w:pos="720"/>
        </w:tabs>
        <w:spacing w:line="280" w:lineRule="exact"/>
        <w:rPr>
          <w:sz w:val="22"/>
        </w:rPr>
      </w:pPr>
      <w:r>
        <w:rPr>
          <w:sz w:val="22"/>
        </w:rPr>
        <w:t>It reduces burden on small entities;</w:t>
      </w:r>
    </w:p>
    <w:p w:rsidR="00FA4719" w:rsidRDefault="00FA4719" w:rsidP="00FA4719">
      <w:pPr>
        <w:numPr>
          <w:ilvl w:val="0"/>
          <w:numId w:val="3"/>
        </w:numPr>
        <w:tabs>
          <w:tab w:val="left" w:pos="720"/>
        </w:tabs>
        <w:spacing w:line="280" w:lineRule="exact"/>
        <w:rPr>
          <w:sz w:val="22"/>
        </w:rPr>
      </w:pPr>
      <w:r>
        <w:rPr>
          <w:sz w:val="22"/>
        </w:rPr>
        <w:t>It uses plain, coherent, and unambiguous terminology that is understandable to respondents;</w:t>
      </w:r>
    </w:p>
    <w:p w:rsidR="00FA4719" w:rsidRDefault="00FA4719" w:rsidP="00FA4719">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FA4719" w:rsidRDefault="00FA4719" w:rsidP="00FA4719">
      <w:pPr>
        <w:numPr>
          <w:ilvl w:val="0"/>
          <w:numId w:val="3"/>
        </w:numPr>
        <w:tabs>
          <w:tab w:val="left" w:pos="720"/>
        </w:tabs>
        <w:spacing w:line="280" w:lineRule="exact"/>
        <w:rPr>
          <w:sz w:val="22"/>
        </w:rPr>
      </w:pPr>
      <w:r>
        <w:rPr>
          <w:sz w:val="22"/>
        </w:rPr>
        <w:t>It indicates the retention periods for recordkeeping requirements;</w:t>
      </w:r>
    </w:p>
    <w:p w:rsidR="00FA4719" w:rsidRDefault="00FA4719" w:rsidP="00FA4719">
      <w:pPr>
        <w:numPr>
          <w:ilvl w:val="0"/>
          <w:numId w:val="3"/>
        </w:numPr>
        <w:tabs>
          <w:tab w:val="left" w:pos="720"/>
        </w:tabs>
        <w:spacing w:line="280" w:lineRule="exact"/>
        <w:rPr>
          <w:sz w:val="22"/>
        </w:rPr>
      </w:pPr>
      <w:r>
        <w:rPr>
          <w:sz w:val="22"/>
        </w:rPr>
        <w:t>It informs respondents of the information called for under 5 CFR 1320.8(b)(3):</w:t>
      </w:r>
    </w:p>
    <w:p w:rsidR="00FA4719" w:rsidRDefault="00FA4719" w:rsidP="00FA4719">
      <w:pPr>
        <w:numPr>
          <w:ilvl w:val="0"/>
          <w:numId w:val="4"/>
        </w:numPr>
        <w:tabs>
          <w:tab w:val="left" w:pos="720"/>
        </w:tabs>
        <w:spacing w:line="280" w:lineRule="exact"/>
        <w:rPr>
          <w:sz w:val="22"/>
        </w:rPr>
      </w:pPr>
      <w:r>
        <w:rPr>
          <w:sz w:val="22"/>
        </w:rPr>
        <w:t>Why the information is being collected;</w:t>
      </w:r>
    </w:p>
    <w:p w:rsidR="00FA4719" w:rsidRDefault="00FA4719" w:rsidP="00FA4719">
      <w:pPr>
        <w:numPr>
          <w:ilvl w:val="0"/>
          <w:numId w:val="4"/>
        </w:numPr>
        <w:tabs>
          <w:tab w:val="left" w:pos="720"/>
        </w:tabs>
        <w:spacing w:line="280" w:lineRule="exact"/>
        <w:rPr>
          <w:sz w:val="22"/>
        </w:rPr>
      </w:pPr>
      <w:r>
        <w:rPr>
          <w:sz w:val="22"/>
        </w:rPr>
        <w:t>Use of the information;</w:t>
      </w:r>
    </w:p>
    <w:p w:rsidR="00FA4719" w:rsidRDefault="00FA4719" w:rsidP="00FA4719">
      <w:pPr>
        <w:numPr>
          <w:ilvl w:val="0"/>
          <w:numId w:val="4"/>
        </w:numPr>
        <w:tabs>
          <w:tab w:val="left" w:pos="720"/>
        </w:tabs>
        <w:spacing w:line="280" w:lineRule="exact"/>
        <w:rPr>
          <w:sz w:val="22"/>
        </w:rPr>
      </w:pPr>
      <w:r>
        <w:rPr>
          <w:sz w:val="22"/>
        </w:rPr>
        <w:t>Burden estimate;</w:t>
      </w:r>
    </w:p>
    <w:p w:rsidR="00FA4719" w:rsidRDefault="00FA4719" w:rsidP="00FA4719">
      <w:pPr>
        <w:numPr>
          <w:ilvl w:val="0"/>
          <w:numId w:val="4"/>
        </w:numPr>
        <w:tabs>
          <w:tab w:val="left" w:pos="720"/>
        </w:tabs>
        <w:spacing w:line="280" w:lineRule="exact"/>
        <w:rPr>
          <w:sz w:val="22"/>
        </w:rPr>
      </w:pPr>
      <w:r>
        <w:rPr>
          <w:sz w:val="22"/>
        </w:rPr>
        <w:t>Nature of response (voluntary, required for a benefit, or mandatory);</w:t>
      </w:r>
    </w:p>
    <w:p w:rsidR="00FA4719" w:rsidRDefault="00FA4719" w:rsidP="00FA4719">
      <w:pPr>
        <w:numPr>
          <w:ilvl w:val="0"/>
          <w:numId w:val="4"/>
        </w:numPr>
        <w:tabs>
          <w:tab w:val="left" w:pos="720"/>
        </w:tabs>
        <w:spacing w:line="280" w:lineRule="exact"/>
        <w:rPr>
          <w:sz w:val="22"/>
        </w:rPr>
      </w:pPr>
      <w:r>
        <w:rPr>
          <w:sz w:val="22"/>
        </w:rPr>
        <w:t>Nature and extent of confidentiality; and</w:t>
      </w:r>
    </w:p>
    <w:p w:rsidR="00FA4719" w:rsidRDefault="00FA4719" w:rsidP="00FA4719">
      <w:pPr>
        <w:numPr>
          <w:ilvl w:val="0"/>
          <w:numId w:val="4"/>
        </w:numPr>
        <w:tabs>
          <w:tab w:val="left" w:pos="720"/>
        </w:tabs>
        <w:spacing w:line="280" w:lineRule="exact"/>
        <w:rPr>
          <w:sz w:val="22"/>
        </w:rPr>
      </w:pPr>
      <w:r>
        <w:rPr>
          <w:sz w:val="22"/>
        </w:rPr>
        <w:t>Need to display currently valid OMB control number;</w:t>
      </w:r>
    </w:p>
    <w:p w:rsidR="00FA4719" w:rsidRDefault="00FA4719" w:rsidP="00FA4719">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FA4719" w:rsidRDefault="00FA4719" w:rsidP="00FA4719">
      <w:pPr>
        <w:numPr>
          <w:ilvl w:val="0"/>
          <w:numId w:val="6"/>
        </w:numPr>
        <w:tabs>
          <w:tab w:val="left" w:pos="720"/>
        </w:tabs>
        <w:spacing w:line="280" w:lineRule="exact"/>
        <w:rPr>
          <w:sz w:val="22"/>
        </w:rPr>
      </w:pPr>
      <w:r>
        <w:rPr>
          <w:sz w:val="22"/>
        </w:rPr>
        <w:t>It uses effective and efficient statistical survey methodology; and</w:t>
      </w:r>
    </w:p>
    <w:p w:rsidR="00FA4719" w:rsidRDefault="00FA4719" w:rsidP="00FA4719">
      <w:pPr>
        <w:numPr>
          <w:ilvl w:val="0"/>
          <w:numId w:val="6"/>
        </w:numPr>
        <w:tabs>
          <w:tab w:val="left" w:pos="720"/>
        </w:tabs>
        <w:spacing w:line="280" w:lineRule="exact"/>
        <w:rPr>
          <w:sz w:val="22"/>
        </w:rPr>
      </w:pPr>
      <w:r>
        <w:rPr>
          <w:sz w:val="22"/>
        </w:rPr>
        <w:t>It makes appropriate use of information technology.</w:t>
      </w:r>
    </w:p>
    <w:p w:rsidR="00FA4719" w:rsidRDefault="00FA4719" w:rsidP="00FA4719">
      <w:pPr>
        <w:tabs>
          <w:tab w:val="left" w:pos="600"/>
        </w:tabs>
        <w:spacing w:line="280" w:lineRule="exact"/>
        <w:rPr>
          <w:sz w:val="22"/>
        </w:rPr>
      </w:pPr>
    </w:p>
    <w:p w:rsidR="00FA4719" w:rsidRDefault="00FA4719" w:rsidP="00FA4719">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FA4719" w:rsidRDefault="00FA4719" w:rsidP="00FA4719">
      <w:pPr>
        <w:tabs>
          <w:tab w:val="left" w:pos="240"/>
        </w:tabs>
        <w:ind w:left="240"/>
      </w:pPr>
      <w:r>
        <w:fldChar w:fldCharType="begin">
          <w:ffData>
            <w:name w:val="Text20"/>
            <w:enabled/>
            <w:calcOnExit w:val="0"/>
            <w:textInput/>
          </w:ffData>
        </w:fldChar>
      </w:r>
      <w:bookmarkStart w:id="10"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rsidR="00FA4719" w:rsidRDefault="00FA4719" w:rsidP="00FA4719">
      <w:pPr>
        <w:tabs>
          <w:tab w:val="left" w:pos="240"/>
        </w:tabs>
      </w:pPr>
    </w:p>
    <w:tbl>
      <w:tblPr>
        <w:tblW w:w="0" w:type="auto"/>
        <w:tblLayout w:type="fixed"/>
        <w:tblLook w:val="0000"/>
      </w:tblPr>
      <w:tblGrid>
        <w:gridCol w:w="8388"/>
        <w:gridCol w:w="2628"/>
      </w:tblGrid>
      <w:tr w:rsidR="00FA4719" w:rsidTr="00014759">
        <w:tblPrEx>
          <w:tblCellMar>
            <w:top w:w="0" w:type="dxa"/>
            <w:bottom w:w="0" w:type="dxa"/>
          </w:tblCellMar>
        </w:tblPrEx>
        <w:tc>
          <w:tcPr>
            <w:tcW w:w="8388" w:type="dxa"/>
            <w:tcBorders>
              <w:top w:val="single" w:sz="6" w:space="0" w:color="auto"/>
              <w:bottom w:val="single" w:sz="6" w:space="0" w:color="auto"/>
            </w:tcBorders>
          </w:tcPr>
          <w:p w:rsidR="00FA4719" w:rsidRDefault="00FA4719" w:rsidP="00014759">
            <w:pPr>
              <w:tabs>
                <w:tab w:val="left" w:pos="240"/>
              </w:tabs>
              <w:rPr>
                <w:rFonts w:ascii="Helvetica" w:hAnsi="Helvetica"/>
                <w:sz w:val="16"/>
              </w:rPr>
            </w:pPr>
            <w:r>
              <w:rPr>
                <w:rFonts w:ascii="Helvetica" w:hAnsi="Helvetica"/>
                <w:sz w:val="16"/>
              </w:rPr>
              <w:t>Signature of Program Official:</w:t>
            </w:r>
          </w:p>
          <w:p w:rsidR="00FA4719" w:rsidRDefault="00FA4719" w:rsidP="00014759">
            <w:pPr>
              <w:tabs>
                <w:tab w:val="left" w:pos="240"/>
              </w:tabs>
              <w:rPr>
                <w:rFonts w:ascii="Helvetica" w:hAnsi="Helvetica"/>
                <w:sz w:val="16"/>
              </w:rPr>
            </w:pPr>
          </w:p>
          <w:p w:rsidR="00FA4719" w:rsidRDefault="00FA4719" w:rsidP="00014759">
            <w:pPr>
              <w:tabs>
                <w:tab w:val="left" w:pos="240"/>
              </w:tabs>
              <w:rPr>
                <w:rFonts w:ascii="Helvetica" w:hAnsi="Helvetica"/>
                <w:sz w:val="16"/>
              </w:rPr>
            </w:pPr>
          </w:p>
          <w:p w:rsidR="00FA4719" w:rsidRDefault="00FA4719" w:rsidP="00014759">
            <w:pPr>
              <w:tabs>
                <w:tab w:val="left" w:pos="240"/>
              </w:tabs>
              <w:rPr>
                <w:rFonts w:ascii="Helvetica" w:hAnsi="Helvetica"/>
                <w:sz w:val="16"/>
              </w:rPr>
            </w:pPr>
          </w:p>
          <w:p w:rsidR="00FA4719" w:rsidRDefault="00FA4719" w:rsidP="00014759">
            <w:pPr>
              <w:tabs>
                <w:tab w:val="left" w:pos="240"/>
              </w:tabs>
              <w:rPr>
                <w:rFonts w:ascii="Helvetica" w:hAnsi="Helvetica"/>
                <w:sz w:val="16"/>
              </w:rPr>
            </w:pPr>
            <w:r>
              <w:rPr>
                <w:rFonts w:ascii="Helvetica" w:hAnsi="Helvetica"/>
                <w:sz w:val="16"/>
              </w:rPr>
              <w:t>X</w:t>
            </w:r>
          </w:p>
          <w:p w:rsidR="00FA4719" w:rsidRDefault="00FA4719" w:rsidP="00014759">
            <w:pPr>
              <w:tabs>
                <w:tab w:val="left" w:pos="240"/>
              </w:tabs>
              <w:rPr>
                <w:rFonts w:ascii="Helvetica" w:hAnsi="Helvetica"/>
                <w:sz w:val="16"/>
              </w:rPr>
            </w:pPr>
            <w:r>
              <w:rPr>
                <w:rFonts w:ascii="Helvetica" w:hAnsi="Helvetica"/>
                <w:sz w:val="16"/>
              </w:rPr>
              <w:fldChar w:fldCharType="begin">
                <w:ffData>
                  <w:name w:val="Text21"/>
                  <w:enabled/>
                  <w:calcOnExit w:val="0"/>
                  <w:textInput/>
                </w:ffData>
              </w:fldChar>
            </w:r>
            <w:bookmarkStart w:id="11" w:name="Text21"/>
            <w:r>
              <w:rPr>
                <w:rFonts w:ascii="Helvetica" w:hAnsi="Helvetica"/>
                <w:sz w:val="16"/>
              </w:rPr>
              <w:instrText xml:space="preserve"> FORMTEXT </w:instrText>
            </w:r>
            <w:r>
              <w:rPr>
                <w:rFonts w:ascii="Helvetica" w:hAnsi="Helvetica"/>
                <w:sz w:val="16"/>
              </w:rPr>
            </w:r>
            <w:r>
              <w:rPr>
                <w:rFonts w:ascii="Helvetica" w:hAnsi="Helvetica"/>
                <w:sz w:val="16"/>
              </w:rPr>
              <w:fldChar w:fldCharType="separate"/>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noProof/>
                <w:sz w:val="16"/>
              </w:rPr>
              <w:t> </w:t>
            </w:r>
            <w:r>
              <w:rPr>
                <w:rFonts w:ascii="Helvetica" w:hAnsi="Helvetica"/>
                <w:sz w:val="16"/>
              </w:rPr>
              <w:fldChar w:fldCharType="end"/>
            </w:r>
            <w:bookmarkEnd w:id="11"/>
          </w:p>
        </w:tc>
        <w:tc>
          <w:tcPr>
            <w:tcW w:w="2628" w:type="dxa"/>
            <w:tcBorders>
              <w:top w:val="single" w:sz="6" w:space="0" w:color="auto"/>
              <w:left w:val="single" w:sz="6" w:space="0" w:color="auto"/>
              <w:bottom w:val="single" w:sz="6" w:space="0" w:color="auto"/>
            </w:tcBorders>
          </w:tcPr>
          <w:p w:rsidR="00FA4719" w:rsidRDefault="00FA4719" w:rsidP="00014759">
            <w:pPr>
              <w:tabs>
                <w:tab w:val="left" w:pos="240"/>
              </w:tabs>
              <w:rPr>
                <w:rFonts w:ascii="Helvetica" w:hAnsi="Helvetica"/>
                <w:sz w:val="16"/>
              </w:rPr>
            </w:pPr>
            <w:r>
              <w:rPr>
                <w:rFonts w:ascii="Helvetica" w:hAnsi="Helvetica"/>
                <w:sz w:val="16"/>
              </w:rPr>
              <w:t>Date:</w:t>
            </w:r>
          </w:p>
        </w:tc>
      </w:tr>
    </w:tbl>
    <w:p w:rsidR="00FA4719" w:rsidRDefault="00FA4719" w:rsidP="00FA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18"/>
        </w:rPr>
      </w:pPr>
    </w:p>
    <w:p w:rsidR="00FA4719" w:rsidRDefault="00FA4719" w:rsidP="00FA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18"/>
        </w:rPr>
      </w:pPr>
    </w:p>
    <w:p w:rsidR="00FA4719" w:rsidRDefault="00FA4719" w:rsidP="00FA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18"/>
        </w:rPr>
      </w:pPr>
    </w:p>
    <w:p w:rsidR="00FA4719" w:rsidRDefault="00FA4719" w:rsidP="00FA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18"/>
        </w:rPr>
      </w:pPr>
    </w:p>
    <w:p w:rsidR="00FA4719" w:rsidRDefault="00FA4719" w:rsidP="00FA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18"/>
        </w:rPr>
      </w:pPr>
    </w:p>
    <w:p w:rsidR="00FA4719" w:rsidRDefault="00FA4719" w:rsidP="00FA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18"/>
        </w:rPr>
      </w:pPr>
    </w:p>
    <w:p w:rsidR="00FA4719" w:rsidRDefault="00FA4719" w:rsidP="00FA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18"/>
        </w:rPr>
      </w:pPr>
    </w:p>
    <w:p w:rsidR="00FA4719" w:rsidRDefault="00FA4719" w:rsidP="00FA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18"/>
        </w:rPr>
      </w:pPr>
    </w:p>
    <w:p w:rsidR="00FA4719" w:rsidRDefault="00FA4719" w:rsidP="00FA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18"/>
        </w:rPr>
      </w:pPr>
    </w:p>
    <w:p w:rsidR="00FA4719" w:rsidRDefault="00FA4719" w:rsidP="00FA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18"/>
        </w:rPr>
      </w:pPr>
    </w:p>
    <w:p w:rsidR="00FA4719" w:rsidRDefault="00FA4719" w:rsidP="00FA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18"/>
        </w:rPr>
      </w:pPr>
    </w:p>
    <w:p w:rsidR="00FA4719" w:rsidRDefault="00FA4719" w:rsidP="00FA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18"/>
        </w:rPr>
      </w:pPr>
    </w:p>
    <w:p w:rsidR="00FA4719" w:rsidRDefault="00FA4719" w:rsidP="00FA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18"/>
        </w:rPr>
      </w:pPr>
    </w:p>
    <w:p w:rsidR="00FA4719" w:rsidRDefault="00FA4719" w:rsidP="00FA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18"/>
        </w:rPr>
      </w:pPr>
    </w:p>
    <w:p w:rsidR="00FA4719" w:rsidRDefault="00FA4719" w:rsidP="00FA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18"/>
        </w:rPr>
      </w:pPr>
    </w:p>
    <w:p w:rsidR="00FA4719" w:rsidRDefault="00FA4719" w:rsidP="00FA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18"/>
        </w:rPr>
      </w:pPr>
    </w:p>
    <w:p w:rsidR="00FA4719" w:rsidRDefault="00FA4719" w:rsidP="00FA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18"/>
        </w:rPr>
      </w:pPr>
    </w:p>
    <w:p w:rsidR="00FA4719" w:rsidRDefault="00FA4719" w:rsidP="00FA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18"/>
        </w:rPr>
      </w:pPr>
    </w:p>
    <w:p w:rsidR="00FA4719" w:rsidRDefault="00FA4719" w:rsidP="00FA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18"/>
        </w:rPr>
      </w:pPr>
    </w:p>
    <w:p w:rsidR="00FA4719" w:rsidRDefault="00FA4719" w:rsidP="00FA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18"/>
        </w:rPr>
      </w:pPr>
    </w:p>
    <w:p w:rsidR="00FA4719" w:rsidRDefault="00FA4719" w:rsidP="00FA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18"/>
        </w:rPr>
      </w:pPr>
    </w:p>
    <w:p w:rsidR="00FA4719" w:rsidRPr="004D7279" w:rsidRDefault="00FA4719" w:rsidP="00FA4719">
      <w:pPr>
        <w:jc w:val="center"/>
        <w:rPr>
          <w:sz w:val="24"/>
          <w:szCs w:val="24"/>
        </w:rPr>
      </w:pPr>
      <w:r w:rsidRPr="004D7279">
        <w:rPr>
          <w:sz w:val="24"/>
          <w:szCs w:val="24"/>
        </w:rPr>
        <w:lastRenderedPageBreak/>
        <w:t>SUPPORTING STATEMENT FOR PAPERWORK REDUCTION ACT SUBMISSION</w:t>
      </w:r>
    </w:p>
    <w:p w:rsidR="00FA4719" w:rsidRPr="004D7279" w:rsidRDefault="00FA4719" w:rsidP="00FA4719">
      <w:pPr>
        <w:jc w:val="center"/>
        <w:rPr>
          <w:sz w:val="24"/>
          <w:szCs w:val="24"/>
        </w:rPr>
      </w:pPr>
      <w:r w:rsidRPr="004D7279">
        <w:rPr>
          <w:sz w:val="24"/>
          <w:szCs w:val="24"/>
        </w:rPr>
        <w:t>Attachment to OMB 83-I</w:t>
      </w:r>
    </w:p>
    <w:p w:rsidR="00FA4719" w:rsidRPr="004D7279" w:rsidRDefault="00FA4719" w:rsidP="00FA4719">
      <w:pPr>
        <w:jc w:val="center"/>
        <w:rPr>
          <w:sz w:val="24"/>
          <w:szCs w:val="24"/>
        </w:rPr>
      </w:pPr>
      <w:r w:rsidRPr="004D7279">
        <w:rPr>
          <w:sz w:val="24"/>
          <w:szCs w:val="24"/>
        </w:rPr>
        <w:t>2506-0170</w:t>
      </w:r>
    </w:p>
    <w:p w:rsidR="00FA4719" w:rsidRPr="004D7279" w:rsidRDefault="00FA4719" w:rsidP="00FA4719">
      <w:pPr>
        <w:pStyle w:val="EndnoteText"/>
        <w:rPr>
          <w:rFonts w:ascii="Times New Roman" w:hAnsi="Times New Roman"/>
          <w:szCs w:val="24"/>
        </w:rPr>
      </w:pPr>
    </w:p>
    <w:p w:rsidR="00FA4719" w:rsidRPr="004D7279" w:rsidRDefault="00FA4719" w:rsidP="00FA4719">
      <w:pPr>
        <w:jc w:val="center"/>
        <w:rPr>
          <w:sz w:val="24"/>
          <w:szCs w:val="24"/>
        </w:rPr>
      </w:pPr>
      <w:r w:rsidRPr="004D7279">
        <w:rPr>
          <w:sz w:val="24"/>
          <w:szCs w:val="24"/>
        </w:rPr>
        <w:t>CDBG URBAN COUNTY</w:t>
      </w:r>
      <w:r w:rsidRPr="004D7279" w:rsidDel="00246DC6">
        <w:rPr>
          <w:sz w:val="24"/>
          <w:szCs w:val="24"/>
        </w:rPr>
        <w:t xml:space="preserve"> </w:t>
      </w:r>
      <w:r w:rsidRPr="004D7279">
        <w:rPr>
          <w:sz w:val="24"/>
          <w:szCs w:val="24"/>
        </w:rPr>
        <w:t>QUALIFICATION/REQUALIFICATION PROCESS</w:t>
      </w:r>
    </w:p>
    <w:p w:rsidR="00FA4719" w:rsidRPr="004D7279" w:rsidRDefault="00FA4719" w:rsidP="00FA4719">
      <w:pPr>
        <w:rPr>
          <w:sz w:val="24"/>
          <w:szCs w:val="24"/>
        </w:rPr>
      </w:pPr>
    </w:p>
    <w:p w:rsidR="00FA4719" w:rsidRPr="004D7279" w:rsidRDefault="00FA4719" w:rsidP="00FA4719">
      <w:pPr>
        <w:rPr>
          <w:sz w:val="24"/>
          <w:szCs w:val="24"/>
        </w:rPr>
      </w:pPr>
    </w:p>
    <w:p w:rsidR="00FA4719" w:rsidRPr="004D7279" w:rsidRDefault="00FA4719" w:rsidP="00FA4719">
      <w:pPr>
        <w:rPr>
          <w:sz w:val="24"/>
          <w:szCs w:val="24"/>
        </w:rPr>
      </w:pPr>
      <w:r w:rsidRPr="004D7279">
        <w:rPr>
          <w:sz w:val="24"/>
          <w:szCs w:val="24"/>
        </w:rPr>
        <w:t>Justification</w:t>
      </w:r>
    </w:p>
    <w:p w:rsidR="00FA4719" w:rsidRPr="004D7279" w:rsidRDefault="00FA4719" w:rsidP="00FA4719">
      <w:pPr>
        <w:rPr>
          <w:sz w:val="24"/>
          <w:szCs w:val="24"/>
        </w:rPr>
      </w:pPr>
    </w:p>
    <w:p w:rsidR="00FA4719" w:rsidRPr="004D7279" w:rsidRDefault="00FA4719" w:rsidP="00FA4719">
      <w:pPr>
        <w:rPr>
          <w:sz w:val="24"/>
          <w:szCs w:val="24"/>
        </w:rPr>
      </w:pPr>
      <w:r w:rsidRPr="004D7279">
        <w:rPr>
          <w:b/>
          <w:sz w:val="24"/>
          <w:szCs w:val="24"/>
        </w:rPr>
        <w:t>1.  Legal and administrative requirements</w:t>
      </w:r>
      <w:r w:rsidRPr="004D7279">
        <w:rPr>
          <w:sz w:val="24"/>
          <w:szCs w:val="24"/>
        </w:rPr>
        <w:tab/>
      </w:r>
    </w:p>
    <w:p w:rsidR="00FA4719" w:rsidRPr="004D7279" w:rsidRDefault="00FA4719" w:rsidP="00FA4719">
      <w:pPr>
        <w:rPr>
          <w:sz w:val="24"/>
          <w:szCs w:val="24"/>
        </w:rPr>
      </w:pPr>
    </w:p>
    <w:p w:rsidR="00FA4719" w:rsidRPr="004D7279" w:rsidRDefault="00FA4719" w:rsidP="00FA4719">
      <w:pPr>
        <w:rPr>
          <w:sz w:val="24"/>
          <w:szCs w:val="24"/>
        </w:rPr>
      </w:pPr>
      <w:r w:rsidRPr="004D7279">
        <w:rPr>
          <w:sz w:val="24"/>
          <w:szCs w:val="24"/>
        </w:rPr>
        <w:tab/>
        <w:t>The Housing and Community Development Act of 1974, as amended (the Act), authorizes the Secretary to make Community Development Block Grant (CDBG) funds available to states and units of general local government, which includes “urban counties” as defined in the Act.  Based on the provisions in the Act, HUD has established an urban county qualification/ requalification process that is conducted each year.</w:t>
      </w:r>
    </w:p>
    <w:p w:rsidR="00FA4719" w:rsidRPr="004D7279" w:rsidRDefault="00FA4719" w:rsidP="00FA4719">
      <w:pPr>
        <w:rPr>
          <w:sz w:val="24"/>
          <w:szCs w:val="24"/>
        </w:rPr>
      </w:pPr>
    </w:p>
    <w:p w:rsidR="00FA4719" w:rsidRPr="004D7279" w:rsidRDefault="00FA4719" w:rsidP="00FA4719">
      <w:pPr>
        <w:rPr>
          <w:sz w:val="24"/>
          <w:szCs w:val="24"/>
        </w:rPr>
      </w:pPr>
      <w:r w:rsidRPr="004D7279">
        <w:rPr>
          <w:sz w:val="24"/>
          <w:szCs w:val="24"/>
        </w:rPr>
        <w:tab/>
        <w:t>One of the provisions on which this process is based is Section 102(e) of the Act, which provides that “any county seeking qualification as an urban county, including any urban county seeking to continue such qualification, shall notify, . . . , each unit of general local government, which is included therein and is eligible to elect to have its population excluded from that of an urban county . . . of its opportunity to make such an election.  Such notification shall, at a time and manner prescribed by the Secretary, be provided so as to provide a reasonable period for response prior to the period for which such qualification is sought.  The population of any unit of general local government which is provided such notification and which does not inform, at a time and in a manner prescribed by the Secretary, the county of its election to exclude its population from that of the county shall, if the county qualifies as an urban county, be included in the population of such urban county as provided in subsection (d).”</w:t>
      </w:r>
    </w:p>
    <w:p w:rsidR="00FA4719" w:rsidRPr="004D7279" w:rsidRDefault="00FA4719" w:rsidP="00FA4719">
      <w:pPr>
        <w:rPr>
          <w:sz w:val="24"/>
          <w:szCs w:val="24"/>
        </w:rPr>
      </w:pPr>
    </w:p>
    <w:p w:rsidR="00FA4719" w:rsidRPr="004D7279" w:rsidRDefault="00FA4719" w:rsidP="00FA4719">
      <w:pPr>
        <w:rPr>
          <w:sz w:val="24"/>
          <w:szCs w:val="24"/>
        </w:rPr>
      </w:pPr>
      <w:r w:rsidRPr="004D7279">
        <w:rPr>
          <w:sz w:val="24"/>
          <w:szCs w:val="24"/>
        </w:rPr>
        <w:tab/>
        <w:t>Section 102(d) of the Act provides that any unit of general local government that is included in an urban county “shall be included in the population of such urban county for three program years.”</w:t>
      </w:r>
    </w:p>
    <w:p w:rsidR="00FA4719" w:rsidRPr="004D7279" w:rsidRDefault="00FA4719" w:rsidP="00FA4719">
      <w:pPr>
        <w:rPr>
          <w:sz w:val="24"/>
          <w:szCs w:val="24"/>
        </w:rPr>
      </w:pPr>
    </w:p>
    <w:p w:rsidR="00FA4719" w:rsidRPr="004D7279" w:rsidRDefault="00FA4719" w:rsidP="00FA4719">
      <w:pPr>
        <w:rPr>
          <w:sz w:val="24"/>
          <w:szCs w:val="24"/>
        </w:rPr>
      </w:pPr>
      <w:r w:rsidRPr="004D7279">
        <w:rPr>
          <w:sz w:val="24"/>
          <w:szCs w:val="24"/>
        </w:rPr>
        <w:tab/>
        <w:t xml:space="preserve">Based on these provisions, the urban county qualification/requalification process is conducted annually.  Once qualified, an urban county must </w:t>
      </w:r>
      <w:proofErr w:type="spellStart"/>
      <w:r w:rsidRPr="004D7279">
        <w:rPr>
          <w:sz w:val="24"/>
          <w:szCs w:val="24"/>
        </w:rPr>
        <w:t>requalify</w:t>
      </w:r>
      <w:proofErr w:type="spellEnd"/>
      <w:r w:rsidRPr="004D7279">
        <w:rPr>
          <w:sz w:val="24"/>
          <w:szCs w:val="24"/>
        </w:rPr>
        <w:t xml:space="preserve"> on a triennial cycle.  However, in the two intervening years of the cycle, a county may contact non-participating communities and advise them of their opportunity to be included as part of the county for the remaining one or two years of the period of qualification.</w:t>
      </w:r>
    </w:p>
    <w:p w:rsidR="00FA4719" w:rsidRPr="004D7279" w:rsidRDefault="00FA4719" w:rsidP="00FA4719">
      <w:pPr>
        <w:rPr>
          <w:sz w:val="24"/>
          <w:szCs w:val="24"/>
        </w:rPr>
      </w:pPr>
    </w:p>
    <w:p w:rsidR="00FA4719" w:rsidRPr="004D7279" w:rsidRDefault="00FA4719" w:rsidP="00FA4719">
      <w:pPr>
        <w:rPr>
          <w:sz w:val="24"/>
          <w:szCs w:val="24"/>
        </w:rPr>
      </w:pPr>
      <w:r w:rsidRPr="004D7279">
        <w:rPr>
          <w:sz w:val="24"/>
          <w:szCs w:val="24"/>
        </w:rPr>
        <w:tab/>
        <w:t>New York Towns undertook a similar requalification process every three years.  However, after consultation with program counsel, it has been determined that a requalification process for New York Towns in unnecessary because the units of general local government in New York towns do not have the same statutory notice rights (under Section 102(e) of the Act as units of general local government participating in an urban county.  In addition, each New York town has automatic renewing agreements with the incorporated units of general local governments contained within their boundaries.  Therefore, it is presumed that all incorporated units of general local government will continue to participate in the New York towns in which they are located unless HUD Headquarters is notified to the contrary.</w:t>
      </w:r>
    </w:p>
    <w:p w:rsidR="00FA4719" w:rsidRPr="004D7279" w:rsidRDefault="00FA4719" w:rsidP="00FA4719">
      <w:pPr>
        <w:rPr>
          <w:sz w:val="24"/>
          <w:szCs w:val="24"/>
        </w:rPr>
      </w:pPr>
    </w:p>
    <w:p w:rsidR="00FA4719" w:rsidRPr="004D7279" w:rsidRDefault="00FA4719" w:rsidP="00FA4719">
      <w:pPr>
        <w:rPr>
          <w:sz w:val="24"/>
          <w:szCs w:val="24"/>
        </w:rPr>
      </w:pPr>
      <w:r w:rsidRPr="004D7279">
        <w:rPr>
          <w:b/>
          <w:sz w:val="24"/>
          <w:szCs w:val="24"/>
        </w:rPr>
        <w:t>2.  Purpose and use of information</w:t>
      </w:r>
    </w:p>
    <w:p w:rsidR="00FA4719" w:rsidRPr="004D7279" w:rsidRDefault="00FA4719" w:rsidP="00FA4719">
      <w:pPr>
        <w:rPr>
          <w:sz w:val="24"/>
          <w:szCs w:val="24"/>
        </w:rPr>
      </w:pPr>
    </w:p>
    <w:p w:rsidR="00FA4719" w:rsidRPr="004D7279" w:rsidRDefault="00FA4719" w:rsidP="00FA4719">
      <w:pPr>
        <w:rPr>
          <w:sz w:val="24"/>
          <w:szCs w:val="24"/>
        </w:rPr>
      </w:pPr>
      <w:r w:rsidRPr="004D7279">
        <w:rPr>
          <w:sz w:val="24"/>
          <w:szCs w:val="24"/>
        </w:rPr>
        <w:tab/>
        <w:t>The information obtained each year from the urban county qualification/requalification process establishes the participating population that is used by HUD in calculating the final CDBG grant allocations for all entitlement (which includes metro cities and urban counties) and state CDBG grantees for the next fiscal year, in accordance with section 106 of the Act.</w:t>
      </w:r>
    </w:p>
    <w:p w:rsidR="00FA4719" w:rsidRPr="004D7279" w:rsidRDefault="00FA4719" w:rsidP="00FA4719">
      <w:pPr>
        <w:rPr>
          <w:b/>
          <w:sz w:val="24"/>
          <w:szCs w:val="24"/>
        </w:rPr>
      </w:pPr>
    </w:p>
    <w:p w:rsidR="00FA4719" w:rsidRDefault="00FA4719" w:rsidP="00FA4719">
      <w:pPr>
        <w:rPr>
          <w:b/>
          <w:sz w:val="24"/>
          <w:szCs w:val="24"/>
        </w:rPr>
      </w:pPr>
    </w:p>
    <w:p w:rsidR="00FA4719" w:rsidRPr="004D7279" w:rsidRDefault="00FA4719" w:rsidP="00FA4719">
      <w:pPr>
        <w:rPr>
          <w:sz w:val="24"/>
          <w:szCs w:val="24"/>
        </w:rPr>
      </w:pPr>
      <w:r w:rsidRPr="004D7279">
        <w:rPr>
          <w:b/>
          <w:sz w:val="24"/>
          <w:szCs w:val="24"/>
        </w:rPr>
        <w:lastRenderedPageBreak/>
        <w:t>3.  Automated or Electronic Collection of Information</w:t>
      </w:r>
    </w:p>
    <w:p w:rsidR="00FA4719" w:rsidRPr="004D7279" w:rsidRDefault="00FA4719" w:rsidP="00FA4719">
      <w:pPr>
        <w:pStyle w:val="EndnoteText"/>
        <w:rPr>
          <w:rFonts w:ascii="Times New Roman" w:hAnsi="Times New Roman"/>
          <w:szCs w:val="24"/>
        </w:rPr>
      </w:pPr>
    </w:p>
    <w:p w:rsidR="00FA4719" w:rsidRDefault="00FA4719" w:rsidP="00FA4719">
      <w:pPr>
        <w:ind w:firstLine="720"/>
        <w:rPr>
          <w:sz w:val="24"/>
          <w:szCs w:val="24"/>
        </w:rPr>
      </w:pPr>
      <w:r w:rsidRPr="004D7279">
        <w:rPr>
          <w:sz w:val="24"/>
          <w:szCs w:val="24"/>
        </w:rPr>
        <w:t>The process for urban county qualification and requalification is not automated because the information collected is based on written agreements that must be executed by the county and each unit of general local government that chooses to participate in the urban county program.  These agreements are subject to interpretation and application of state and local laws governing the essential powers of these units of general local government.  They vary greatly from state to state and may even vary from county to county within a given state.  These agreements are drafted by legal counsel for the counties and local governments participating in the urban county program.  As a result, HUD cannot provide one agreement that fits all situations and must review each on an individual basis to ensure that they address pertinent issues and are in compliance with HUD requirements, as well as state and local law.  HUD compiles limited statistical data with respect to these submissions.</w:t>
      </w:r>
    </w:p>
    <w:p w:rsidR="00FA4719" w:rsidRPr="004D7279" w:rsidRDefault="00FA4719" w:rsidP="00FA4719">
      <w:pPr>
        <w:ind w:firstLine="720"/>
        <w:rPr>
          <w:sz w:val="24"/>
          <w:szCs w:val="24"/>
        </w:rPr>
      </w:pPr>
    </w:p>
    <w:p w:rsidR="00FA4719" w:rsidRPr="004D7279" w:rsidRDefault="00FA4719" w:rsidP="00FA4719">
      <w:pPr>
        <w:rPr>
          <w:sz w:val="24"/>
          <w:szCs w:val="24"/>
        </w:rPr>
      </w:pPr>
      <w:r>
        <w:rPr>
          <w:b/>
          <w:sz w:val="24"/>
          <w:szCs w:val="24"/>
        </w:rPr>
        <w:t xml:space="preserve">4. </w:t>
      </w:r>
      <w:r w:rsidRPr="004D7279">
        <w:rPr>
          <w:b/>
          <w:sz w:val="24"/>
          <w:szCs w:val="24"/>
        </w:rPr>
        <w:t xml:space="preserve">  Duplication</w:t>
      </w:r>
    </w:p>
    <w:p w:rsidR="00FA4719" w:rsidRPr="004D7279" w:rsidRDefault="00FA4719" w:rsidP="00FA4719">
      <w:pPr>
        <w:rPr>
          <w:sz w:val="24"/>
          <w:szCs w:val="24"/>
        </w:rPr>
      </w:pPr>
    </w:p>
    <w:p w:rsidR="00FA4719" w:rsidRPr="004D7279" w:rsidRDefault="00FA4719" w:rsidP="00FA4719">
      <w:pPr>
        <w:rPr>
          <w:sz w:val="24"/>
          <w:szCs w:val="24"/>
        </w:rPr>
      </w:pPr>
      <w:r w:rsidRPr="004D7279">
        <w:rPr>
          <w:sz w:val="24"/>
          <w:szCs w:val="24"/>
        </w:rPr>
        <w:tab/>
        <w:t>The Department is not aware of any duplication of information collection requirements based on a review of the Act and existing program rules.</w:t>
      </w:r>
    </w:p>
    <w:p w:rsidR="00FA4719" w:rsidRPr="004D7279" w:rsidRDefault="00FA4719" w:rsidP="00FA4719">
      <w:pPr>
        <w:rPr>
          <w:sz w:val="24"/>
          <w:szCs w:val="24"/>
        </w:rPr>
      </w:pPr>
    </w:p>
    <w:p w:rsidR="00FA4719" w:rsidRPr="004D7279" w:rsidRDefault="00FA4719" w:rsidP="00FA4719">
      <w:pPr>
        <w:rPr>
          <w:sz w:val="24"/>
          <w:szCs w:val="24"/>
        </w:rPr>
      </w:pPr>
      <w:r w:rsidRPr="004D7279">
        <w:rPr>
          <w:b/>
          <w:sz w:val="24"/>
          <w:szCs w:val="24"/>
        </w:rPr>
        <w:t>5.  Impacts on Small Businesses or Other Small Entities</w:t>
      </w:r>
    </w:p>
    <w:p w:rsidR="00FA4719" w:rsidRPr="004D7279" w:rsidRDefault="00FA4719" w:rsidP="00FA4719">
      <w:pPr>
        <w:rPr>
          <w:sz w:val="24"/>
          <w:szCs w:val="24"/>
        </w:rPr>
      </w:pPr>
    </w:p>
    <w:p w:rsidR="00FA4719" w:rsidRPr="004D7279" w:rsidRDefault="00FA4719" w:rsidP="00FA4719">
      <w:pPr>
        <w:rPr>
          <w:sz w:val="24"/>
          <w:szCs w:val="24"/>
        </w:rPr>
      </w:pPr>
      <w:r w:rsidRPr="004D7279">
        <w:rPr>
          <w:sz w:val="24"/>
          <w:szCs w:val="24"/>
        </w:rPr>
        <w:tab/>
        <w:t>Units of general local government in which an urban county does not have essential community development and housing assistance powers must enter into cooperation agreements with the county if they wish to participate in the CDBG program as part of the urban county.  Some of these jurisdictions may be classified as small towns (entities); however, the information collection described here does not have a negative impact on these small towns (entities).  Small businesses do not participate in the program.</w:t>
      </w:r>
    </w:p>
    <w:p w:rsidR="00FA4719" w:rsidRPr="004D7279" w:rsidRDefault="00FA4719" w:rsidP="00FA4719">
      <w:pPr>
        <w:rPr>
          <w:sz w:val="24"/>
          <w:szCs w:val="24"/>
        </w:rPr>
      </w:pPr>
    </w:p>
    <w:p w:rsidR="00FA4719" w:rsidRPr="004D7279" w:rsidRDefault="00FA4719" w:rsidP="00FA4719">
      <w:pPr>
        <w:rPr>
          <w:sz w:val="24"/>
          <w:szCs w:val="24"/>
        </w:rPr>
      </w:pPr>
      <w:r w:rsidRPr="004D7279">
        <w:rPr>
          <w:b/>
          <w:sz w:val="24"/>
          <w:szCs w:val="24"/>
        </w:rPr>
        <w:t>6.  Technical or Legal Obstacles to Reducing the Burden</w:t>
      </w:r>
    </w:p>
    <w:p w:rsidR="00FA4719" w:rsidRPr="004D7279" w:rsidRDefault="00FA4719" w:rsidP="00FA4719">
      <w:pPr>
        <w:rPr>
          <w:sz w:val="24"/>
          <w:szCs w:val="24"/>
        </w:rPr>
      </w:pPr>
    </w:p>
    <w:p w:rsidR="00FA4719" w:rsidRPr="004D7279" w:rsidRDefault="00FA4719" w:rsidP="00FA4719">
      <w:pPr>
        <w:rPr>
          <w:sz w:val="24"/>
          <w:szCs w:val="24"/>
        </w:rPr>
      </w:pPr>
      <w:r w:rsidRPr="004D7279">
        <w:rPr>
          <w:sz w:val="24"/>
          <w:szCs w:val="24"/>
        </w:rPr>
        <w:tab/>
        <w:t>The collection requirement has been reduced to the minimum required by the Act.  The information obtained through this qualification/requalification process is used in calculating the annual grant allocations under the CDBG program.  Obtaining information for this purpose less frequently would be inconsistent with the Act.  It may also result in incorrect grant amounts, since the data is collected for the purpose of confirming those communities as part of urban counties and, thereby, the population of those entities that will be used as part of the formula to determine the amount of CDBG funds each grantee receives annually.</w:t>
      </w:r>
    </w:p>
    <w:p w:rsidR="00FA4719" w:rsidRPr="004D7279" w:rsidRDefault="00FA4719" w:rsidP="00FA4719">
      <w:pPr>
        <w:rPr>
          <w:b/>
          <w:sz w:val="24"/>
          <w:szCs w:val="24"/>
        </w:rPr>
      </w:pPr>
    </w:p>
    <w:p w:rsidR="00FA4719" w:rsidRPr="004D7279" w:rsidRDefault="00FA4719" w:rsidP="00FA4719">
      <w:pPr>
        <w:rPr>
          <w:sz w:val="24"/>
          <w:szCs w:val="24"/>
        </w:rPr>
      </w:pPr>
      <w:r w:rsidRPr="004D7279">
        <w:rPr>
          <w:b/>
          <w:sz w:val="24"/>
          <w:szCs w:val="24"/>
        </w:rPr>
        <w:t>7.  Special Circumstances for Information Collection</w:t>
      </w:r>
    </w:p>
    <w:p w:rsidR="00FA4719" w:rsidRPr="004D7279" w:rsidRDefault="00FA4719" w:rsidP="00FA4719">
      <w:pPr>
        <w:rPr>
          <w:sz w:val="24"/>
          <w:szCs w:val="24"/>
        </w:rPr>
      </w:pPr>
    </w:p>
    <w:p w:rsidR="00FA4719" w:rsidRPr="004D7279" w:rsidRDefault="00FA4719" w:rsidP="00FA4719">
      <w:pPr>
        <w:rPr>
          <w:sz w:val="24"/>
          <w:szCs w:val="24"/>
        </w:rPr>
      </w:pPr>
      <w:r w:rsidRPr="004D7279">
        <w:rPr>
          <w:sz w:val="24"/>
          <w:szCs w:val="24"/>
        </w:rPr>
        <w:tab/>
      </w:r>
      <w:proofErr w:type="gramStart"/>
      <w:r w:rsidRPr="004D7279">
        <w:rPr>
          <w:sz w:val="24"/>
          <w:szCs w:val="24"/>
        </w:rPr>
        <w:t>None.</w:t>
      </w:r>
      <w:proofErr w:type="gramEnd"/>
    </w:p>
    <w:p w:rsidR="00FA4719" w:rsidRPr="004D7279" w:rsidRDefault="00FA4719" w:rsidP="00FA4719">
      <w:pPr>
        <w:rPr>
          <w:sz w:val="24"/>
          <w:szCs w:val="24"/>
        </w:rPr>
      </w:pPr>
    </w:p>
    <w:p w:rsidR="00FA4719" w:rsidRPr="004D7279" w:rsidRDefault="00FA4719" w:rsidP="00FA4719">
      <w:pPr>
        <w:rPr>
          <w:sz w:val="24"/>
          <w:szCs w:val="24"/>
        </w:rPr>
      </w:pPr>
      <w:r w:rsidRPr="004D7279">
        <w:rPr>
          <w:b/>
          <w:sz w:val="24"/>
          <w:szCs w:val="24"/>
        </w:rPr>
        <w:t>8.  Public Consultation and Federal Register Publication</w:t>
      </w:r>
    </w:p>
    <w:p w:rsidR="00FA4719" w:rsidRPr="004D7279" w:rsidRDefault="00FA4719" w:rsidP="00FA4719">
      <w:pPr>
        <w:rPr>
          <w:sz w:val="24"/>
          <w:szCs w:val="24"/>
        </w:rPr>
      </w:pPr>
    </w:p>
    <w:p w:rsidR="00FA4719" w:rsidRPr="004D7279" w:rsidRDefault="00FA4719" w:rsidP="00FA4719">
      <w:pPr>
        <w:rPr>
          <w:sz w:val="24"/>
          <w:szCs w:val="24"/>
        </w:rPr>
      </w:pPr>
      <w:r w:rsidRPr="004D7279">
        <w:rPr>
          <w:sz w:val="24"/>
          <w:szCs w:val="24"/>
        </w:rPr>
        <w:tab/>
        <w:t xml:space="preserve">A </w:t>
      </w:r>
      <w:r w:rsidRPr="004D7279">
        <w:rPr>
          <w:sz w:val="24"/>
          <w:szCs w:val="24"/>
          <w:u w:val="single"/>
        </w:rPr>
        <w:t>Federal Register</w:t>
      </w:r>
      <w:r w:rsidRPr="004D7279">
        <w:rPr>
          <w:sz w:val="24"/>
          <w:szCs w:val="24"/>
        </w:rPr>
        <w:t xml:space="preserve"> Notice sol</w:t>
      </w:r>
      <w:r>
        <w:rPr>
          <w:sz w:val="24"/>
          <w:szCs w:val="24"/>
        </w:rPr>
        <w:t xml:space="preserve">iciting comments was published December 7, </w:t>
      </w:r>
      <w:r w:rsidRPr="004D7279">
        <w:rPr>
          <w:sz w:val="24"/>
          <w:szCs w:val="24"/>
        </w:rPr>
        <w:t xml:space="preserve">2011 </w:t>
      </w:r>
      <w:r>
        <w:rPr>
          <w:sz w:val="24"/>
          <w:szCs w:val="24"/>
        </w:rPr>
        <w:t xml:space="preserve">(Vol. 76, page 76431) </w:t>
      </w:r>
      <w:r w:rsidRPr="004D7279">
        <w:rPr>
          <w:sz w:val="24"/>
          <w:szCs w:val="24"/>
        </w:rPr>
        <w:t>(copy attached).  No comments were received.</w:t>
      </w:r>
    </w:p>
    <w:p w:rsidR="00FA4719" w:rsidRPr="004D7279" w:rsidRDefault="00FA4719" w:rsidP="00FA4719">
      <w:pPr>
        <w:rPr>
          <w:sz w:val="24"/>
          <w:szCs w:val="24"/>
        </w:rPr>
      </w:pPr>
    </w:p>
    <w:p w:rsidR="00FA4719" w:rsidRPr="004D7279" w:rsidRDefault="00FA4719" w:rsidP="00FA4719">
      <w:pPr>
        <w:rPr>
          <w:sz w:val="24"/>
          <w:szCs w:val="24"/>
        </w:rPr>
      </w:pPr>
      <w:r w:rsidRPr="004D7279">
        <w:rPr>
          <w:b/>
          <w:sz w:val="24"/>
          <w:szCs w:val="24"/>
        </w:rPr>
        <w:t>9.  Payment of Gift to Respondents</w:t>
      </w:r>
    </w:p>
    <w:p w:rsidR="00FA4719" w:rsidRPr="004D7279" w:rsidRDefault="00FA4719" w:rsidP="00FA4719">
      <w:pPr>
        <w:rPr>
          <w:sz w:val="24"/>
          <w:szCs w:val="24"/>
        </w:rPr>
      </w:pPr>
    </w:p>
    <w:p w:rsidR="00FA4719" w:rsidRPr="004D7279" w:rsidRDefault="00FA4719" w:rsidP="00FA4719">
      <w:pPr>
        <w:rPr>
          <w:sz w:val="24"/>
          <w:szCs w:val="24"/>
        </w:rPr>
      </w:pPr>
      <w:r w:rsidRPr="004D7279">
        <w:rPr>
          <w:sz w:val="24"/>
          <w:szCs w:val="24"/>
        </w:rPr>
        <w:tab/>
        <w:t>There is no payment of gifts to respondents associated with this information collection.</w:t>
      </w:r>
    </w:p>
    <w:p w:rsidR="00FA4719" w:rsidRPr="004D7279" w:rsidRDefault="00FA4719" w:rsidP="00FA4719">
      <w:pPr>
        <w:rPr>
          <w:sz w:val="24"/>
          <w:szCs w:val="24"/>
        </w:rPr>
      </w:pPr>
    </w:p>
    <w:p w:rsidR="00FA4719" w:rsidRPr="004D7279" w:rsidRDefault="00FA4719" w:rsidP="00FA4719">
      <w:pPr>
        <w:rPr>
          <w:sz w:val="24"/>
          <w:szCs w:val="24"/>
        </w:rPr>
      </w:pPr>
      <w:r w:rsidRPr="004D7279">
        <w:rPr>
          <w:b/>
          <w:sz w:val="24"/>
          <w:szCs w:val="24"/>
        </w:rPr>
        <w:t>10.  Assurance of Confidentiality Provided to Respondents</w:t>
      </w:r>
    </w:p>
    <w:p w:rsidR="00FA4719" w:rsidRPr="004D7279" w:rsidRDefault="00FA4719" w:rsidP="00FA4719">
      <w:pPr>
        <w:rPr>
          <w:sz w:val="24"/>
          <w:szCs w:val="24"/>
        </w:rPr>
      </w:pPr>
    </w:p>
    <w:p w:rsidR="00FA4719" w:rsidRPr="004D7279" w:rsidRDefault="00FA4719" w:rsidP="00FA4719">
      <w:pPr>
        <w:rPr>
          <w:sz w:val="24"/>
          <w:szCs w:val="24"/>
        </w:rPr>
      </w:pPr>
      <w:r w:rsidRPr="004D7279">
        <w:rPr>
          <w:sz w:val="24"/>
          <w:szCs w:val="24"/>
        </w:rPr>
        <w:tab/>
        <w:t>Information of a confidential nature is not collected.</w:t>
      </w:r>
    </w:p>
    <w:p w:rsidR="00FA4719" w:rsidRPr="004D7279" w:rsidRDefault="00FA4719" w:rsidP="00FA4719">
      <w:pPr>
        <w:rPr>
          <w:sz w:val="24"/>
          <w:szCs w:val="24"/>
        </w:rPr>
      </w:pPr>
    </w:p>
    <w:p w:rsidR="00FA4719" w:rsidRPr="004D7279" w:rsidRDefault="00FA4719" w:rsidP="00FA4719">
      <w:pPr>
        <w:rPr>
          <w:sz w:val="24"/>
          <w:szCs w:val="24"/>
        </w:rPr>
      </w:pPr>
      <w:r w:rsidRPr="004D7279">
        <w:rPr>
          <w:b/>
          <w:sz w:val="24"/>
          <w:szCs w:val="24"/>
        </w:rPr>
        <w:lastRenderedPageBreak/>
        <w:t>11.  Collection of Information of a Sensitive Nature</w:t>
      </w:r>
    </w:p>
    <w:p w:rsidR="00FA4719" w:rsidRPr="004D7279" w:rsidRDefault="00FA4719" w:rsidP="00FA4719">
      <w:pPr>
        <w:rPr>
          <w:sz w:val="24"/>
          <w:szCs w:val="24"/>
        </w:rPr>
      </w:pPr>
    </w:p>
    <w:p w:rsidR="00FA4719" w:rsidRPr="004D7279" w:rsidRDefault="00FA4719" w:rsidP="00FA4719">
      <w:pPr>
        <w:rPr>
          <w:sz w:val="24"/>
          <w:szCs w:val="24"/>
        </w:rPr>
      </w:pPr>
      <w:r w:rsidRPr="004D7279">
        <w:rPr>
          <w:sz w:val="24"/>
          <w:szCs w:val="24"/>
        </w:rPr>
        <w:tab/>
        <w:t>No sensitive information is being collected under 24 CFR Part 570.</w:t>
      </w:r>
    </w:p>
    <w:p w:rsidR="00FA4719" w:rsidRPr="004D7279" w:rsidRDefault="00FA4719" w:rsidP="00FA4719">
      <w:pPr>
        <w:rPr>
          <w:sz w:val="24"/>
          <w:szCs w:val="24"/>
        </w:rPr>
      </w:pPr>
    </w:p>
    <w:p w:rsidR="00FA4719" w:rsidRPr="004D7279" w:rsidRDefault="00FA4719" w:rsidP="00FA4719">
      <w:pPr>
        <w:rPr>
          <w:sz w:val="24"/>
          <w:szCs w:val="24"/>
        </w:rPr>
      </w:pPr>
      <w:r w:rsidRPr="004D7279">
        <w:rPr>
          <w:b/>
          <w:sz w:val="24"/>
          <w:szCs w:val="24"/>
        </w:rPr>
        <w:t>12.  Estimates of Hour Burden for Collection of Information</w:t>
      </w:r>
    </w:p>
    <w:p w:rsidR="00FA4719" w:rsidRPr="004D7279" w:rsidRDefault="00FA4719" w:rsidP="00FA4719">
      <w:pPr>
        <w:rPr>
          <w:sz w:val="24"/>
          <w:szCs w:val="24"/>
        </w:rPr>
      </w:pPr>
    </w:p>
    <w:p w:rsidR="00FA4719" w:rsidRPr="004D7279" w:rsidRDefault="00FA4719" w:rsidP="00FA4719">
      <w:pPr>
        <w:rPr>
          <w:sz w:val="24"/>
          <w:szCs w:val="24"/>
        </w:rPr>
      </w:pPr>
      <w:r w:rsidRPr="004D7279">
        <w:rPr>
          <w:sz w:val="24"/>
          <w:szCs w:val="24"/>
        </w:rPr>
        <w:tab/>
      </w:r>
      <w:r w:rsidRPr="004D7279">
        <w:rPr>
          <w:sz w:val="24"/>
          <w:szCs w:val="24"/>
          <w:u w:val="single"/>
        </w:rPr>
        <w:t>Computation of reporting hours</w:t>
      </w:r>
      <w:r w:rsidRPr="004D7279">
        <w:rPr>
          <w:sz w:val="24"/>
          <w:szCs w:val="24"/>
        </w:rPr>
        <w:t xml:space="preserve">:  There are currently 183 qualified urban counties participating in the CDBG program that must </w:t>
      </w:r>
      <w:proofErr w:type="spellStart"/>
      <w:r w:rsidRPr="004D7279">
        <w:rPr>
          <w:sz w:val="24"/>
          <w:szCs w:val="24"/>
        </w:rPr>
        <w:t>requalify</w:t>
      </w:r>
      <w:proofErr w:type="spellEnd"/>
      <w:r w:rsidRPr="004D7279">
        <w:rPr>
          <w:sz w:val="24"/>
          <w:szCs w:val="24"/>
        </w:rPr>
        <w:t xml:space="preserve"> on a triennial basis.  On average, three new counties qualify each year.  The burden on new counties is greater than for existing counties that </w:t>
      </w:r>
      <w:proofErr w:type="spellStart"/>
      <w:r w:rsidRPr="004D7279">
        <w:rPr>
          <w:sz w:val="24"/>
          <w:szCs w:val="24"/>
        </w:rPr>
        <w:t>requalify</w:t>
      </w:r>
      <w:proofErr w:type="spellEnd"/>
      <w:r w:rsidRPr="004D7279">
        <w:rPr>
          <w:sz w:val="24"/>
          <w:szCs w:val="24"/>
        </w:rPr>
        <w:t xml:space="preserve">.  The Department estimates new grantees use, on average, 100 hours to:  review instructions, contact communities in the county, prepare and review agreements (the county must enter into cooperation agreements with those communities that want to participate but in which the county does not have essential powers), obtain legal opinions, have agreements executed at the local and county level, and prepare and transmit copies of required documents to HUD.  It had been estimated that counties that are </w:t>
      </w:r>
      <w:proofErr w:type="spellStart"/>
      <w:r w:rsidRPr="004D7279">
        <w:rPr>
          <w:sz w:val="24"/>
          <w:szCs w:val="24"/>
        </w:rPr>
        <w:t>requalifying</w:t>
      </w:r>
      <w:proofErr w:type="spellEnd"/>
      <w:r w:rsidRPr="004D7279">
        <w:rPr>
          <w:sz w:val="24"/>
          <w:szCs w:val="24"/>
        </w:rPr>
        <w:t xml:space="preserve"> use, on average, 60 hours to complete these actions.  The timesaving on requalification is primarily because of a county’s ability to use cooperation agreements with no specified end date.  Although not all counties use this type of agreement, the use of “renewable” agreements enables a county to merely notify affected participating units of government in writing that their agreement will automatically be renewed unless the unit of government terminates the agreement in writing, rather than executing a new agreement every three years.</w:t>
      </w:r>
    </w:p>
    <w:p w:rsidR="00FA4719" w:rsidRPr="004D7279" w:rsidRDefault="00FA4719" w:rsidP="00FA4719">
      <w:pPr>
        <w:rPr>
          <w:sz w:val="24"/>
          <w:szCs w:val="24"/>
        </w:rPr>
      </w:pPr>
    </w:p>
    <w:p w:rsidR="00FA4719" w:rsidRPr="004D7279" w:rsidRDefault="00FA4719" w:rsidP="00FA4719">
      <w:pPr>
        <w:rPr>
          <w:sz w:val="24"/>
          <w:szCs w:val="24"/>
        </w:rPr>
      </w:pPr>
      <w:r w:rsidRPr="004D7279">
        <w:rPr>
          <w:sz w:val="24"/>
          <w:szCs w:val="24"/>
        </w:rPr>
        <w:tab/>
        <w:t xml:space="preserve">No comments on the Notice were received; however, the Department has determined it is appropriate to continue to use these estimates to calculate the time spent on the qualification process:  100 hours for a newly qualified grantee, and 60 hours for a grantee that is </w:t>
      </w:r>
      <w:proofErr w:type="spellStart"/>
      <w:r w:rsidRPr="004D7279">
        <w:rPr>
          <w:sz w:val="24"/>
          <w:szCs w:val="24"/>
        </w:rPr>
        <w:t>requalifying</w:t>
      </w:r>
      <w:proofErr w:type="spellEnd"/>
      <w:r w:rsidRPr="004D7279">
        <w:rPr>
          <w:sz w:val="24"/>
          <w:szCs w:val="24"/>
        </w:rPr>
        <w:t>.  The wide variance of factors that affect the amount of time it may take each county to complete the process make it difficult to accurately estimate this reporting burden.  However, HUD believes these estimates are reasonable based on a thorough review and consideration of the number of participating jurisdictions an urban county may have to contact to determine the interest of each in participating in, or remaining a part of, the urban county for purposes of receiving CDBG funds.  This number varies among counties from those that have very few communities to contact, to those counties that have as many as 125 communities to contact.  This current estimate reflects an increase from the previous information collection approval only because of an increase in the number of urban county grantees.  The computation of annual reporting hours using these estimates is as follows:</w:t>
      </w:r>
    </w:p>
    <w:p w:rsidR="00FA4719" w:rsidRPr="004D7279" w:rsidRDefault="00FA4719" w:rsidP="00FA4719">
      <w:pPr>
        <w:rPr>
          <w:sz w:val="24"/>
          <w:szCs w:val="24"/>
        </w:rPr>
      </w:pPr>
    </w:p>
    <w:p w:rsidR="00FA4719" w:rsidRPr="004D7279" w:rsidRDefault="00FA4719" w:rsidP="00FA4719">
      <w:pPr>
        <w:rPr>
          <w:sz w:val="24"/>
          <w:szCs w:val="24"/>
        </w:rPr>
      </w:pPr>
      <w:r w:rsidRPr="004D7279">
        <w:rPr>
          <w:sz w:val="24"/>
          <w:szCs w:val="24"/>
        </w:rPr>
        <w:tab/>
      </w:r>
      <w:r w:rsidRPr="004D7279">
        <w:rPr>
          <w:sz w:val="24"/>
          <w:szCs w:val="24"/>
        </w:rPr>
        <w:tab/>
      </w:r>
      <w:r w:rsidRPr="004D7279">
        <w:rPr>
          <w:sz w:val="24"/>
          <w:szCs w:val="24"/>
        </w:rPr>
        <w:tab/>
        <w:t xml:space="preserve">   No. of</w:t>
      </w:r>
      <w:r w:rsidRPr="004D7279">
        <w:rPr>
          <w:sz w:val="24"/>
          <w:szCs w:val="24"/>
        </w:rPr>
        <w:tab/>
        <w:t xml:space="preserve">    No. of Responses</w:t>
      </w:r>
      <w:r w:rsidRPr="004D7279">
        <w:rPr>
          <w:sz w:val="24"/>
          <w:szCs w:val="24"/>
        </w:rPr>
        <w:tab/>
        <w:t xml:space="preserve">        Hours</w:t>
      </w:r>
      <w:r w:rsidRPr="004D7279">
        <w:rPr>
          <w:sz w:val="24"/>
          <w:szCs w:val="24"/>
        </w:rPr>
        <w:tab/>
      </w:r>
      <w:r w:rsidRPr="004D7279">
        <w:rPr>
          <w:sz w:val="24"/>
          <w:szCs w:val="24"/>
        </w:rPr>
        <w:tab/>
        <w:t>Total</w:t>
      </w:r>
    </w:p>
    <w:p w:rsidR="00FA4719" w:rsidRPr="004D7279" w:rsidRDefault="00FA4719" w:rsidP="00FA4719">
      <w:pPr>
        <w:rPr>
          <w:sz w:val="24"/>
          <w:szCs w:val="24"/>
        </w:rPr>
      </w:pPr>
      <w:r w:rsidRPr="004D7279">
        <w:rPr>
          <w:sz w:val="24"/>
          <w:szCs w:val="24"/>
        </w:rPr>
        <w:tab/>
      </w:r>
      <w:r w:rsidRPr="004D7279">
        <w:rPr>
          <w:sz w:val="24"/>
          <w:szCs w:val="24"/>
        </w:rPr>
        <w:tab/>
      </w:r>
      <w:r w:rsidRPr="004D7279">
        <w:rPr>
          <w:sz w:val="24"/>
          <w:szCs w:val="24"/>
        </w:rPr>
        <w:tab/>
        <w:t xml:space="preserve">   </w:t>
      </w:r>
      <w:r w:rsidRPr="004D7279">
        <w:rPr>
          <w:sz w:val="24"/>
          <w:szCs w:val="24"/>
          <w:u w:val="single"/>
        </w:rPr>
        <w:t>Respondents</w:t>
      </w:r>
      <w:r w:rsidRPr="004D7279">
        <w:rPr>
          <w:sz w:val="24"/>
          <w:szCs w:val="24"/>
          <w:u w:val="single"/>
        </w:rPr>
        <w:tab/>
      </w:r>
      <w:r w:rsidRPr="004D7279">
        <w:rPr>
          <w:sz w:val="24"/>
          <w:szCs w:val="24"/>
        </w:rPr>
        <w:t xml:space="preserve">    </w:t>
      </w:r>
      <w:r w:rsidRPr="004D7279">
        <w:rPr>
          <w:sz w:val="24"/>
          <w:szCs w:val="24"/>
          <w:u w:val="single"/>
        </w:rPr>
        <w:t xml:space="preserve">         </w:t>
      </w:r>
      <w:proofErr w:type="gramStart"/>
      <w:r w:rsidRPr="004D7279">
        <w:rPr>
          <w:sz w:val="24"/>
          <w:szCs w:val="24"/>
          <w:u w:val="single"/>
        </w:rPr>
        <w:t>Per</w:t>
      </w:r>
      <w:proofErr w:type="gramEnd"/>
      <w:r w:rsidRPr="004D7279">
        <w:rPr>
          <w:sz w:val="24"/>
          <w:szCs w:val="24"/>
          <w:u w:val="single"/>
        </w:rPr>
        <w:t xml:space="preserve"> Year       </w:t>
      </w:r>
      <w:r w:rsidRPr="004D7279">
        <w:rPr>
          <w:sz w:val="24"/>
          <w:szCs w:val="24"/>
        </w:rPr>
        <w:t xml:space="preserve">    </w:t>
      </w:r>
      <w:r w:rsidRPr="004D7279">
        <w:rPr>
          <w:sz w:val="24"/>
          <w:szCs w:val="24"/>
          <w:u w:val="single"/>
        </w:rPr>
        <w:t>Per Response</w:t>
      </w:r>
      <w:r w:rsidRPr="004D7279">
        <w:rPr>
          <w:sz w:val="24"/>
          <w:szCs w:val="24"/>
        </w:rPr>
        <w:tab/>
      </w:r>
      <w:r w:rsidRPr="004D7279">
        <w:rPr>
          <w:sz w:val="24"/>
          <w:szCs w:val="24"/>
          <w:u w:val="single"/>
        </w:rPr>
        <w:t>Annual Hours</w:t>
      </w:r>
    </w:p>
    <w:p w:rsidR="00FA4719" w:rsidRPr="004D7279" w:rsidRDefault="00FA4719" w:rsidP="00FA4719">
      <w:pPr>
        <w:rPr>
          <w:sz w:val="24"/>
          <w:szCs w:val="24"/>
        </w:rPr>
      </w:pPr>
    </w:p>
    <w:p w:rsidR="00FA4719" w:rsidRPr="004D7279" w:rsidRDefault="00FA4719" w:rsidP="00FA4719">
      <w:pPr>
        <w:pStyle w:val="EndnoteText"/>
        <w:rPr>
          <w:rFonts w:ascii="Times New Roman" w:hAnsi="Times New Roman"/>
          <w:szCs w:val="24"/>
        </w:rPr>
      </w:pPr>
      <w:r w:rsidRPr="004D7279">
        <w:rPr>
          <w:rFonts w:ascii="Times New Roman" w:hAnsi="Times New Roman"/>
          <w:szCs w:val="24"/>
        </w:rPr>
        <w:t>Average no. of new</w:t>
      </w:r>
      <w:r w:rsidRPr="004D7279">
        <w:rPr>
          <w:rFonts w:ascii="Times New Roman" w:hAnsi="Times New Roman"/>
          <w:szCs w:val="24"/>
        </w:rPr>
        <w:tab/>
        <w:t xml:space="preserve">            3</w:t>
      </w:r>
      <w:r w:rsidRPr="004D7279">
        <w:rPr>
          <w:rFonts w:ascii="Times New Roman" w:hAnsi="Times New Roman"/>
          <w:szCs w:val="24"/>
        </w:rPr>
        <w:tab/>
      </w:r>
      <w:r w:rsidRPr="004D7279">
        <w:rPr>
          <w:rFonts w:ascii="Times New Roman" w:hAnsi="Times New Roman"/>
          <w:szCs w:val="24"/>
        </w:rPr>
        <w:tab/>
        <w:t>3</w:t>
      </w:r>
      <w:r w:rsidRPr="004D7279">
        <w:rPr>
          <w:rFonts w:ascii="Times New Roman" w:hAnsi="Times New Roman"/>
          <w:szCs w:val="24"/>
        </w:rPr>
        <w:tab/>
      </w:r>
      <w:r w:rsidRPr="004D7279">
        <w:rPr>
          <w:rFonts w:ascii="Times New Roman" w:hAnsi="Times New Roman"/>
          <w:szCs w:val="24"/>
        </w:rPr>
        <w:tab/>
        <w:t xml:space="preserve">        100</w:t>
      </w:r>
      <w:r w:rsidRPr="004D7279">
        <w:rPr>
          <w:rFonts w:ascii="Times New Roman" w:hAnsi="Times New Roman"/>
          <w:szCs w:val="24"/>
        </w:rPr>
        <w:tab/>
      </w:r>
      <w:r w:rsidRPr="004D7279">
        <w:rPr>
          <w:rFonts w:ascii="Times New Roman" w:hAnsi="Times New Roman"/>
          <w:szCs w:val="24"/>
        </w:rPr>
        <w:tab/>
        <w:t xml:space="preserve">  300</w:t>
      </w:r>
    </w:p>
    <w:p w:rsidR="00FA4719" w:rsidRPr="004D7279" w:rsidRDefault="00FA4719" w:rsidP="00FA4719">
      <w:pPr>
        <w:pStyle w:val="EndnoteText"/>
        <w:rPr>
          <w:rFonts w:ascii="Times New Roman" w:hAnsi="Times New Roman"/>
          <w:szCs w:val="24"/>
        </w:rPr>
      </w:pPr>
      <w:proofErr w:type="gramStart"/>
      <w:r w:rsidRPr="004D7279">
        <w:rPr>
          <w:rFonts w:ascii="Times New Roman" w:hAnsi="Times New Roman"/>
          <w:szCs w:val="24"/>
        </w:rPr>
        <w:t>urban</w:t>
      </w:r>
      <w:proofErr w:type="gramEnd"/>
      <w:r w:rsidRPr="004D7279">
        <w:rPr>
          <w:rFonts w:ascii="Times New Roman" w:hAnsi="Times New Roman"/>
          <w:szCs w:val="24"/>
        </w:rPr>
        <w:t xml:space="preserve"> counties that</w:t>
      </w:r>
    </w:p>
    <w:p w:rsidR="00FA4719" w:rsidRPr="004D7279" w:rsidRDefault="00FA4719" w:rsidP="00FA4719">
      <w:pPr>
        <w:pStyle w:val="EndnoteText"/>
        <w:rPr>
          <w:rFonts w:ascii="Times New Roman" w:hAnsi="Times New Roman"/>
          <w:szCs w:val="24"/>
        </w:rPr>
      </w:pPr>
      <w:proofErr w:type="gramStart"/>
      <w:r w:rsidRPr="004D7279">
        <w:rPr>
          <w:rFonts w:ascii="Times New Roman" w:hAnsi="Times New Roman"/>
          <w:szCs w:val="24"/>
        </w:rPr>
        <w:t>qualify</w:t>
      </w:r>
      <w:proofErr w:type="gramEnd"/>
      <w:r w:rsidRPr="004D7279">
        <w:rPr>
          <w:rFonts w:ascii="Times New Roman" w:hAnsi="Times New Roman"/>
          <w:szCs w:val="24"/>
        </w:rPr>
        <w:t xml:space="preserve"> per year</w:t>
      </w:r>
    </w:p>
    <w:p w:rsidR="00FA4719" w:rsidRPr="004D7279" w:rsidRDefault="00FA4719" w:rsidP="00FA4719">
      <w:pPr>
        <w:rPr>
          <w:sz w:val="24"/>
          <w:szCs w:val="24"/>
        </w:rPr>
      </w:pPr>
    </w:p>
    <w:p w:rsidR="00FA4719" w:rsidRPr="004D7279" w:rsidRDefault="00FA4719" w:rsidP="00FA4719">
      <w:pPr>
        <w:pStyle w:val="EndnoteText"/>
        <w:rPr>
          <w:rFonts w:ascii="Times New Roman" w:hAnsi="Times New Roman"/>
          <w:szCs w:val="24"/>
        </w:rPr>
      </w:pPr>
      <w:r w:rsidRPr="004D7279">
        <w:rPr>
          <w:rFonts w:ascii="Times New Roman" w:hAnsi="Times New Roman"/>
          <w:szCs w:val="24"/>
        </w:rPr>
        <w:t>No. of grantees that</w:t>
      </w:r>
      <w:r w:rsidRPr="004D7279">
        <w:rPr>
          <w:rFonts w:ascii="Times New Roman" w:hAnsi="Times New Roman"/>
          <w:szCs w:val="24"/>
        </w:rPr>
        <w:tab/>
        <w:t xml:space="preserve">        183</w:t>
      </w:r>
      <w:r w:rsidRPr="004D7279">
        <w:rPr>
          <w:rFonts w:ascii="Times New Roman" w:hAnsi="Times New Roman"/>
          <w:szCs w:val="24"/>
        </w:rPr>
        <w:tab/>
        <w:t xml:space="preserve">          61</w:t>
      </w:r>
      <w:r w:rsidRPr="004D7279">
        <w:rPr>
          <w:rFonts w:ascii="Times New Roman" w:hAnsi="Times New Roman"/>
          <w:szCs w:val="24"/>
        </w:rPr>
        <w:tab/>
      </w:r>
      <w:r w:rsidRPr="004D7279">
        <w:rPr>
          <w:rFonts w:ascii="Times New Roman" w:hAnsi="Times New Roman"/>
          <w:szCs w:val="24"/>
        </w:rPr>
        <w:tab/>
        <w:t xml:space="preserve">          60</w:t>
      </w:r>
      <w:r w:rsidRPr="004D7279">
        <w:rPr>
          <w:rFonts w:ascii="Times New Roman" w:hAnsi="Times New Roman"/>
          <w:szCs w:val="24"/>
        </w:rPr>
        <w:tab/>
      </w:r>
      <w:r w:rsidRPr="004D7279">
        <w:rPr>
          <w:rFonts w:ascii="Times New Roman" w:hAnsi="Times New Roman"/>
          <w:szCs w:val="24"/>
        </w:rPr>
        <w:tab/>
        <w:t>3,660</w:t>
      </w:r>
    </w:p>
    <w:p w:rsidR="00FA4719" w:rsidRPr="004D7279" w:rsidRDefault="00FA4719" w:rsidP="00FA4719">
      <w:pPr>
        <w:rPr>
          <w:sz w:val="24"/>
          <w:szCs w:val="24"/>
        </w:rPr>
      </w:pPr>
      <w:proofErr w:type="spellStart"/>
      <w:proofErr w:type="gramStart"/>
      <w:r w:rsidRPr="004D7279">
        <w:rPr>
          <w:sz w:val="24"/>
          <w:szCs w:val="24"/>
        </w:rPr>
        <w:t>requalify</w:t>
      </w:r>
      <w:proofErr w:type="spellEnd"/>
      <w:proofErr w:type="gramEnd"/>
      <w:r w:rsidRPr="004D7279">
        <w:rPr>
          <w:sz w:val="24"/>
          <w:szCs w:val="24"/>
        </w:rPr>
        <w:t xml:space="preserve"> on a triennial</w:t>
      </w:r>
    </w:p>
    <w:p w:rsidR="00FA4719" w:rsidRPr="004D7279" w:rsidRDefault="00FA4719" w:rsidP="00FA4719">
      <w:pPr>
        <w:rPr>
          <w:sz w:val="24"/>
          <w:szCs w:val="24"/>
        </w:rPr>
      </w:pPr>
      <w:proofErr w:type="gramStart"/>
      <w:r w:rsidRPr="004D7279">
        <w:rPr>
          <w:sz w:val="24"/>
          <w:szCs w:val="24"/>
        </w:rPr>
        <w:t>basis</w:t>
      </w:r>
      <w:proofErr w:type="gramEnd"/>
    </w:p>
    <w:p w:rsidR="00FA4719" w:rsidRPr="004D7279" w:rsidRDefault="00FA4719" w:rsidP="00FA4719">
      <w:pPr>
        <w:rPr>
          <w:sz w:val="24"/>
          <w:szCs w:val="24"/>
        </w:rPr>
      </w:pPr>
    </w:p>
    <w:p w:rsidR="00FA4719" w:rsidRPr="004D7279" w:rsidRDefault="00FA4719" w:rsidP="00FA4719">
      <w:pPr>
        <w:rPr>
          <w:sz w:val="24"/>
          <w:szCs w:val="24"/>
        </w:rPr>
      </w:pPr>
      <w:r w:rsidRPr="004D7279">
        <w:rPr>
          <w:sz w:val="24"/>
          <w:szCs w:val="24"/>
        </w:rPr>
        <w:t>Total combined hours:</w:t>
      </w:r>
      <w:r w:rsidRPr="004D7279">
        <w:rPr>
          <w:sz w:val="24"/>
          <w:szCs w:val="24"/>
        </w:rPr>
        <w:tab/>
      </w:r>
      <w:r w:rsidRPr="004D7279">
        <w:rPr>
          <w:sz w:val="24"/>
          <w:szCs w:val="24"/>
        </w:rPr>
        <w:tab/>
      </w:r>
      <w:r w:rsidRPr="004D7279">
        <w:rPr>
          <w:sz w:val="24"/>
          <w:szCs w:val="24"/>
        </w:rPr>
        <w:tab/>
      </w:r>
      <w:r w:rsidRPr="004D7279">
        <w:rPr>
          <w:sz w:val="24"/>
          <w:szCs w:val="24"/>
        </w:rPr>
        <w:tab/>
      </w:r>
      <w:r w:rsidRPr="004D7279">
        <w:rPr>
          <w:sz w:val="24"/>
          <w:szCs w:val="24"/>
        </w:rPr>
        <w:tab/>
      </w:r>
      <w:r w:rsidRPr="004D7279">
        <w:rPr>
          <w:sz w:val="24"/>
          <w:szCs w:val="24"/>
        </w:rPr>
        <w:tab/>
      </w:r>
      <w:r w:rsidRPr="004D7279">
        <w:rPr>
          <w:sz w:val="24"/>
          <w:szCs w:val="24"/>
        </w:rPr>
        <w:tab/>
      </w:r>
      <w:r w:rsidRPr="004D7279">
        <w:rPr>
          <w:sz w:val="24"/>
          <w:szCs w:val="24"/>
        </w:rPr>
        <w:tab/>
        <w:t>3,960</w:t>
      </w:r>
    </w:p>
    <w:p w:rsidR="00FA4719" w:rsidRPr="004D7279" w:rsidRDefault="00FA4719" w:rsidP="00FA4719">
      <w:pPr>
        <w:rPr>
          <w:sz w:val="24"/>
          <w:szCs w:val="24"/>
        </w:rPr>
      </w:pPr>
    </w:p>
    <w:p w:rsidR="00FA4719" w:rsidRPr="004D7279" w:rsidRDefault="00FA4719" w:rsidP="00FA4719">
      <w:pPr>
        <w:rPr>
          <w:sz w:val="24"/>
          <w:szCs w:val="24"/>
        </w:rPr>
      </w:pPr>
      <w:r w:rsidRPr="004D7279">
        <w:rPr>
          <w:sz w:val="24"/>
          <w:szCs w:val="24"/>
        </w:rPr>
        <w:t>Annualized cost to respondents:</w:t>
      </w:r>
    </w:p>
    <w:p w:rsidR="00FA4719" w:rsidRPr="004D7279" w:rsidRDefault="00FA4719" w:rsidP="00FA4719">
      <w:pPr>
        <w:rPr>
          <w:sz w:val="24"/>
          <w:szCs w:val="24"/>
        </w:rPr>
      </w:pPr>
    </w:p>
    <w:p w:rsidR="00FA4719" w:rsidRPr="004D7279" w:rsidRDefault="00FA4719" w:rsidP="00FA4719">
      <w:pPr>
        <w:rPr>
          <w:sz w:val="24"/>
          <w:szCs w:val="24"/>
        </w:rPr>
      </w:pPr>
      <w:r w:rsidRPr="004D7279">
        <w:rPr>
          <w:sz w:val="24"/>
          <w:szCs w:val="24"/>
        </w:rPr>
        <w:tab/>
      </w:r>
      <w:r w:rsidRPr="004D7279">
        <w:rPr>
          <w:sz w:val="24"/>
          <w:szCs w:val="24"/>
        </w:rPr>
        <w:tab/>
        <w:t>3,960 (hours) x $18.00/</w:t>
      </w:r>
      <w:proofErr w:type="gramStart"/>
      <w:r w:rsidRPr="004D7279">
        <w:rPr>
          <w:sz w:val="24"/>
          <w:szCs w:val="24"/>
        </w:rPr>
        <w:t>hour  =</w:t>
      </w:r>
      <w:proofErr w:type="gramEnd"/>
      <w:r w:rsidRPr="004D7279">
        <w:rPr>
          <w:sz w:val="24"/>
          <w:szCs w:val="24"/>
        </w:rPr>
        <w:t xml:space="preserve">  $71,280</w:t>
      </w:r>
    </w:p>
    <w:p w:rsidR="00FA4719" w:rsidRPr="004D7279" w:rsidRDefault="00FA4719" w:rsidP="00FA4719">
      <w:pPr>
        <w:rPr>
          <w:sz w:val="24"/>
          <w:szCs w:val="24"/>
        </w:rPr>
      </w:pPr>
    </w:p>
    <w:p w:rsidR="00FA4719" w:rsidRDefault="00FA4719" w:rsidP="00FA4719">
      <w:pPr>
        <w:rPr>
          <w:sz w:val="24"/>
          <w:szCs w:val="24"/>
        </w:rPr>
      </w:pPr>
    </w:p>
    <w:p w:rsidR="00FA4719" w:rsidRDefault="00FA4719" w:rsidP="00FA4719">
      <w:pPr>
        <w:rPr>
          <w:sz w:val="24"/>
          <w:szCs w:val="24"/>
        </w:rPr>
      </w:pPr>
    </w:p>
    <w:p w:rsidR="00FA4719" w:rsidRPr="004D7279" w:rsidRDefault="00FA4719" w:rsidP="00FA4719">
      <w:pPr>
        <w:rPr>
          <w:sz w:val="24"/>
          <w:szCs w:val="24"/>
        </w:rPr>
      </w:pPr>
    </w:p>
    <w:p w:rsidR="00FA4719" w:rsidRPr="004D7279" w:rsidRDefault="00FA4719" w:rsidP="00FA4719">
      <w:pPr>
        <w:rPr>
          <w:sz w:val="24"/>
          <w:szCs w:val="24"/>
        </w:rPr>
      </w:pPr>
      <w:r w:rsidRPr="004D7279">
        <w:rPr>
          <w:b/>
          <w:sz w:val="24"/>
          <w:szCs w:val="24"/>
        </w:rPr>
        <w:lastRenderedPageBreak/>
        <w:t>13.  Estimate of Annual Cost Burden for Collection/Recordkeeping of Information</w:t>
      </w:r>
    </w:p>
    <w:p w:rsidR="00FA4719" w:rsidRPr="004D7279" w:rsidRDefault="00FA4719" w:rsidP="00FA4719">
      <w:pPr>
        <w:rPr>
          <w:sz w:val="24"/>
          <w:szCs w:val="24"/>
        </w:rPr>
      </w:pPr>
    </w:p>
    <w:p w:rsidR="00FA4719" w:rsidRPr="004D7279" w:rsidRDefault="00FA4719" w:rsidP="00FA4719">
      <w:pPr>
        <w:rPr>
          <w:sz w:val="24"/>
          <w:szCs w:val="24"/>
        </w:rPr>
      </w:pPr>
      <w:r w:rsidRPr="004D7279">
        <w:rPr>
          <w:sz w:val="24"/>
          <w:szCs w:val="24"/>
        </w:rPr>
        <w:tab/>
        <w:t>Grantees are required to maintain records on CDBG activities for four years.  However, there are no annual costs not already covered by Items 12 or 14.</w:t>
      </w:r>
    </w:p>
    <w:p w:rsidR="00FA4719" w:rsidRPr="004D7279" w:rsidRDefault="00FA4719" w:rsidP="00FA4719">
      <w:pPr>
        <w:rPr>
          <w:b/>
          <w:sz w:val="24"/>
          <w:szCs w:val="24"/>
        </w:rPr>
      </w:pPr>
    </w:p>
    <w:p w:rsidR="00FA4719" w:rsidRPr="004D7279" w:rsidRDefault="00FA4719" w:rsidP="00FA4719">
      <w:pPr>
        <w:rPr>
          <w:sz w:val="24"/>
          <w:szCs w:val="24"/>
        </w:rPr>
      </w:pPr>
      <w:r w:rsidRPr="004D7279">
        <w:rPr>
          <w:b/>
          <w:sz w:val="24"/>
          <w:szCs w:val="24"/>
        </w:rPr>
        <w:t>14.  Estimates of Annualized Cost to the Federal Government</w:t>
      </w:r>
    </w:p>
    <w:p w:rsidR="00FA4719" w:rsidRPr="004D7279" w:rsidRDefault="00FA4719" w:rsidP="00FA4719">
      <w:pPr>
        <w:rPr>
          <w:sz w:val="24"/>
          <w:szCs w:val="24"/>
        </w:rPr>
      </w:pPr>
    </w:p>
    <w:p w:rsidR="00FA4719" w:rsidRPr="004D7279" w:rsidRDefault="00FA4719" w:rsidP="00FA4719">
      <w:pPr>
        <w:rPr>
          <w:sz w:val="24"/>
          <w:szCs w:val="24"/>
        </w:rPr>
      </w:pPr>
      <w:r w:rsidRPr="004D7279">
        <w:rPr>
          <w:sz w:val="24"/>
          <w:szCs w:val="24"/>
        </w:rPr>
        <w:tab/>
        <w:t>Legal review for determinations of essential community development and housing assistance powers; staff review and legal review/certification of acceptability of cooperation agreements; and staff review/completion of worksheets sent to HUD Headquarters:</w:t>
      </w:r>
    </w:p>
    <w:p w:rsidR="00FA4719" w:rsidRPr="004D7279" w:rsidRDefault="00FA4719" w:rsidP="00FA4719">
      <w:pPr>
        <w:rPr>
          <w:sz w:val="24"/>
          <w:szCs w:val="24"/>
        </w:rPr>
      </w:pPr>
    </w:p>
    <w:p w:rsidR="00FA4719" w:rsidRPr="004D7279" w:rsidRDefault="00FA4719" w:rsidP="00FA4719">
      <w:pPr>
        <w:rPr>
          <w:sz w:val="24"/>
          <w:szCs w:val="24"/>
        </w:rPr>
      </w:pPr>
      <w:proofErr w:type="gramStart"/>
      <w:r w:rsidRPr="004D7279">
        <w:rPr>
          <w:sz w:val="24"/>
          <w:szCs w:val="24"/>
        </w:rPr>
        <w:t>8 hrs.</w:t>
      </w:r>
      <w:proofErr w:type="gramEnd"/>
      <w:r w:rsidRPr="004D7279">
        <w:rPr>
          <w:sz w:val="24"/>
          <w:szCs w:val="24"/>
        </w:rPr>
        <w:t xml:space="preserve"> </w:t>
      </w:r>
      <w:proofErr w:type="gramStart"/>
      <w:r w:rsidRPr="004D7279">
        <w:rPr>
          <w:sz w:val="24"/>
          <w:szCs w:val="24"/>
        </w:rPr>
        <w:t>x</w:t>
      </w:r>
      <w:proofErr w:type="gramEnd"/>
      <w:r w:rsidRPr="004D7279">
        <w:rPr>
          <w:sz w:val="24"/>
          <w:szCs w:val="24"/>
        </w:rPr>
        <w:t xml:space="preserve"> 64.0 (3 new counties + 61 avg. counties </w:t>
      </w:r>
      <w:proofErr w:type="spellStart"/>
      <w:r w:rsidRPr="004D7279">
        <w:rPr>
          <w:sz w:val="24"/>
          <w:szCs w:val="24"/>
        </w:rPr>
        <w:t>requalifying</w:t>
      </w:r>
      <w:proofErr w:type="spellEnd"/>
      <w:r w:rsidRPr="004D7279">
        <w:rPr>
          <w:sz w:val="24"/>
          <w:szCs w:val="24"/>
        </w:rPr>
        <w:t>) = 512</w:t>
      </w:r>
    </w:p>
    <w:p w:rsidR="00FA4719" w:rsidRPr="004D7279" w:rsidRDefault="00FA4719" w:rsidP="00FA4719">
      <w:pPr>
        <w:rPr>
          <w:sz w:val="24"/>
          <w:szCs w:val="24"/>
        </w:rPr>
      </w:pPr>
      <w:r w:rsidRPr="004D7279">
        <w:rPr>
          <w:sz w:val="24"/>
          <w:szCs w:val="24"/>
        </w:rPr>
        <w:t>512 x $29.00/hr.  =</w:t>
      </w:r>
      <w:r w:rsidRPr="004D7279">
        <w:rPr>
          <w:sz w:val="24"/>
          <w:szCs w:val="24"/>
        </w:rPr>
        <w:tab/>
      </w:r>
      <w:r w:rsidRPr="004D7279">
        <w:rPr>
          <w:sz w:val="24"/>
          <w:szCs w:val="24"/>
        </w:rPr>
        <w:tab/>
        <w:t>$14,848</w:t>
      </w:r>
    </w:p>
    <w:p w:rsidR="00FA4719" w:rsidRPr="004D7279" w:rsidRDefault="00FA4719" w:rsidP="00FA4719">
      <w:pPr>
        <w:rPr>
          <w:sz w:val="24"/>
          <w:szCs w:val="24"/>
        </w:rPr>
      </w:pPr>
    </w:p>
    <w:p w:rsidR="00FA4719" w:rsidRPr="004D7279" w:rsidRDefault="00FA4719" w:rsidP="00FA4719">
      <w:pPr>
        <w:rPr>
          <w:sz w:val="24"/>
          <w:szCs w:val="24"/>
        </w:rPr>
      </w:pPr>
      <w:r w:rsidRPr="004D7279">
        <w:rPr>
          <w:b/>
          <w:sz w:val="24"/>
          <w:szCs w:val="24"/>
        </w:rPr>
        <w:t>15.  Reasons for Program Changes or Adjustments</w:t>
      </w:r>
    </w:p>
    <w:p w:rsidR="00FA4719" w:rsidRPr="004D7279" w:rsidRDefault="00FA4719" w:rsidP="00FA4719">
      <w:pPr>
        <w:rPr>
          <w:sz w:val="24"/>
          <w:szCs w:val="24"/>
        </w:rPr>
      </w:pPr>
    </w:p>
    <w:p w:rsidR="00FA4719" w:rsidRPr="004D7279" w:rsidRDefault="00FA4719" w:rsidP="00FA4719">
      <w:pPr>
        <w:rPr>
          <w:sz w:val="24"/>
          <w:szCs w:val="24"/>
        </w:rPr>
      </w:pPr>
      <w:r w:rsidRPr="004D7279">
        <w:rPr>
          <w:sz w:val="24"/>
          <w:szCs w:val="24"/>
        </w:rPr>
        <w:tab/>
        <w:t>The requested collection hours for the Urban County Qualification/Requalification process reflects the same number of hours estimated to be required to comply with program guidelines.  However, the overall estimates have increased because of a larger increase in the number of new urban counties than previously estimated.  There are now 183 qualified counties rather than 175 counties.</w:t>
      </w:r>
    </w:p>
    <w:p w:rsidR="00FA4719" w:rsidRPr="004D7279" w:rsidRDefault="00FA4719" w:rsidP="00FA4719">
      <w:pPr>
        <w:rPr>
          <w:sz w:val="24"/>
          <w:szCs w:val="24"/>
        </w:rPr>
      </w:pPr>
    </w:p>
    <w:p w:rsidR="00FA4719" w:rsidRPr="004D7279" w:rsidRDefault="00FA4719" w:rsidP="00FA4719">
      <w:pPr>
        <w:rPr>
          <w:sz w:val="24"/>
          <w:szCs w:val="24"/>
        </w:rPr>
      </w:pPr>
      <w:r w:rsidRPr="004D7279">
        <w:rPr>
          <w:b/>
          <w:sz w:val="24"/>
          <w:szCs w:val="24"/>
        </w:rPr>
        <w:t>16.  Publication of Collected Information</w:t>
      </w:r>
    </w:p>
    <w:p w:rsidR="00FA4719" w:rsidRPr="004D7279" w:rsidRDefault="00FA4719" w:rsidP="00FA4719">
      <w:pPr>
        <w:rPr>
          <w:sz w:val="24"/>
          <w:szCs w:val="24"/>
        </w:rPr>
      </w:pPr>
    </w:p>
    <w:p w:rsidR="00FA4719" w:rsidRPr="004D7279" w:rsidRDefault="00FA4719" w:rsidP="00FA4719">
      <w:pPr>
        <w:rPr>
          <w:sz w:val="24"/>
          <w:szCs w:val="24"/>
        </w:rPr>
      </w:pPr>
      <w:r w:rsidRPr="004D7279">
        <w:rPr>
          <w:sz w:val="24"/>
          <w:szCs w:val="24"/>
        </w:rPr>
        <w:tab/>
        <w:t>Information collected is not published.</w:t>
      </w:r>
    </w:p>
    <w:p w:rsidR="00FA4719" w:rsidRPr="004D7279" w:rsidRDefault="00FA4719" w:rsidP="00FA4719">
      <w:pPr>
        <w:rPr>
          <w:sz w:val="24"/>
          <w:szCs w:val="24"/>
        </w:rPr>
      </w:pPr>
    </w:p>
    <w:p w:rsidR="00FA4719" w:rsidRPr="004D7279" w:rsidRDefault="00FA4719" w:rsidP="00FA4719">
      <w:pPr>
        <w:rPr>
          <w:sz w:val="24"/>
          <w:szCs w:val="24"/>
        </w:rPr>
      </w:pPr>
      <w:r w:rsidRPr="004D7279">
        <w:rPr>
          <w:b/>
          <w:sz w:val="24"/>
          <w:szCs w:val="24"/>
        </w:rPr>
        <w:t>17.  Display of OMB Approval Date of Paperwork Reduction</w:t>
      </w:r>
      <w:r w:rsidRPr="004D7279">
        <w:rPr>
          <w:sz w:val="24"/>
          <w:szCs w:val="24"/>
        </w:rPr>
        <w:t xml:space="preserve"> </w:t>
      </w:r>
    </w:p>
    <w:p w:rsidR="00FA4719" w:rsidRPr="004D7279" w:rsidRDefault="00FA4719" w:rsidP="00FA4719">
      <w:pPr>
        <w:rPr>
          <w:sz w:val="24"/>
          <w:szCs w:val="24"/>
        </w:rPr>
      </w:pPr>
    </w:p>
    <w:p w:rsidR="00FA4719" w:rsidRPr="004D7279" w:rsidRDefault="00FA4719" w:rsidP="00FA4719">
      <w:pPr>
        <w:rPr>
          <w:sz w:val="24"/>
          <w:szCs w:val="24"/>
        </w:rPr>
      </w:pPr>
      <w:r w:rsidRPr="004D7279">
        <w:rPr>
          <w:sz w:val="24"/>
          <w:szCs w:val="24"/>
        </w:rPr>
        <w:tab/>
        <w:t>OMB Approval Date of Paperwork Reduction is provided in the annual Notice of Instructions for Urban County Qualification for Participation in the CDBG Program.</w:t>
      </w:r>
    </w:p>
    <w:p w:rsidR="00FA4719" w:rsidRPr="004D7279" w:rsidRDefault="00FA4719" w:rsidP="00FA4719">
      <w:pPr>
        <w:rPr>
          <w:sz w:val="24"/>
          <w:szCs w:val="24"/>
        </w:rPr>
      </w:pPr>
    </w:p>
    <w:p w:rsidR="00FA4719" w:rsidRPr="004D7279" w:rsidRDefault="00FA4719" w:rsidP="00FA4719">
      <w:pPr>
        <w:rPr>
          <w:sz w:val="24"/>
          <w:szCs w:val="24"/>
        </w:rPr>
      </w:pPr>
      <w:r w:rsidRPr="004D7279">
        <w:rPr>
          <w:b/>
          <w:sz w:val="24"/>
          <w:szCs w:val="24"/>
        </w:rPr>
        <w:t>18.  Exceptions to Certification Statement, Item 19</w:t>
      </w:r>
    </w:p>
    <w:p w:rsidR="00FA4719" w:rsidRPr="004D7279" w:rsidRDefault="00FA4719" w:rsidP="00FA4719">
      <w:pPr>
        <w:rPr>
          <w:sz w:val="24"/>
          <w:szCs w:val="24"/>
        </w:rPr>
      </w:pPr>
    </w:p>
    <w:p w:rsidR="00FA4719" w:rsidRPr="004D7279" w:rsidRDefault="00FA4719" w:rsidP="00FA4719">
      <w:pPr>
        <w:rPr>
          <w:sz w:val="24"/>
          <w:szCs w:val="24"/>
        </w:rPr>
      </w:pPr>
      <w:r w:rsidRPr="004D7279">
        <w:rPr>
          <w:sz w:val="24"/>
          <w:szCs w:val="24"/>
        </w:rPr>
        <w:tab/>
        <w:t>There are no exceptions to Certification Statement, Item 19.</w:t>
      </w:r>
    </w:p>
    <w:p w:rsidR="00FA4719" w:rsidRPr="004D7279" w:rsidRDefault="00FA4719" w:rsidP="00FA4719">
      <w:pPr>
        <w:rPr>
          <w:sz w:val="24"/>
          <w:szCs w:val="24"/>
        </w:rPr>
      </w:pPr>
    </w:p>
    <w:p w:rsidR="00FA4719" w:rsidRPr="004D7279" w:rsidRDefault="00FA4719" w:rsidP="00FA4719">
      <w:pPr>
        <w:rPr>
          <w:sz w:val="24"/>
          <w:szCs w:val="24"/>
        </w:rPr>
      </w:pPr>
      <w:r w:rsidRPr="004D7279">
        <w:rPr>
          <w:b/>
          <w:sz w:val="24"/>
          <w:szCs w:val="24"/>
        </w:rPr>
        <w:t>19.  Certification Requirement for Paperwork Reduction Act</w:t>
      </w:r>
      <w:r w:rsidRPr="004D7279">
        <w:rPr>
          <w:sz w:val="24"/>
          <w:szCs w:val="24"/>
        </w:rPr>
        <w:t xml:space="preserve"> </w:t>
      </w:r>
      <w:r w:rsidRPr="004D7279">
        <w:rPr>
          <w:b/>
          <w:sz w:val="24"/>
          <w:szCs w:val="24"/>
        </w:rPr>
        <w:t>Submissions</w:t>
      </w:r>
    </w:p>
    <w:p w:rsidR="00FA4719" w:rsidRPr="004D7279" w:rsidRDefault="00FA4719" w:rsidP="00FA4719">
      <w:pPr>
        <w:rPr>
          <w:sz w:val="24"/>
          <w:szCs w:val="24"/>
        </w:rPr>
      </w:pPr>
    </w:p>
    <w:p w:rsidR="00FA4719" w:rsidRPr="004D7279" w:rsidRDefault="00FA4719" w:rsidP="00FA4719">
      <w:pPr>
        <w:rPr>
          <w:sz w:val="24"/>
          <w:szCs w:val="24"/>
        </w:rPr>
      </w:pPr>
      <w:r w:rsidRPr="004D7279">
        <w:rPr>
          <w:sz w:val="24"/>
          <w:szCs w:val="24"/>
        </w:rPr>
        <w:tab/>
        <w:t xml:space="preserve">Attached following this page.  </w:t>
      </w:r>
    </w:p>
    <w:p w:rsidR="00FA4719" w:rsidRPr="004D7279" w:rsidRDefault="00FA4719" w:rsidP="00FA4719">
      <w:pPr>
        <w:tabs>
          <w:tab w:val="center" w:pos="4680"/>
        </w:tabs>
        <w:suppressAutoHyphens/>
        <w:jc w:val="center"/>
        <w:rPr>
          <w:sz w:val="24"/>
          <w:szCs w:val="24"/>
        </w:rPr>
      </w:pPr>
      <w:r>
        <w:rPr>
          <w:color w:val="000000"/>
          <w:sz w:val="24"/>
          <w:szCs w:val="24"/>
        </w:rPr>
        <w:br w:type="page"/>
      </w:r>
      <w:r w:rsidRPr="004D7279">
        <w:rPr>
          <w:sz w:val="24"/>
          <w:szCs w:val="24"/>
        </w:rPr>
        <w:lastRenderedPageBreak/>
        <w:t>CERTIFICATION REQUIREMENT FOR PAPERWORK REDUCTION ACT</w:t>
      </w:r>
    </w:p>
    <w:p w:rsidR="00FA4719" w:rsidRPr="004D7279" w:rsidRDefault="00FA4719" w:rsidP="00FA4719">
      <w:pPr>
        <w:tabs>
          <w:tab w:val="center" w:pos="4680"/>
        </w:tabs>
        <w:suppressAutoHyphens/>
        <w:rPr>
          <w:sz w:val="24"/>
          <w:szCs w:val="24"/>
        </w:rPr>
      </w:pPr>
      <w:r w:rsidRPr="004D7279">
        <w:rPr>
          <w:sz w:val="24"/>
          <w:szCs w:val="24"/>
        </w:rPr>
        <w:tab/>
        <w:t>OMB Control Number 2506-0170</w:t>
      </w:r>
    </w:p>
    <w:p w:rsidR="00FA4719" w:rsidRPr="004D7279" w:rsidRDefault="00FA4719" w:rsidP="00FA4719">
      <w:pPr>
        <w:tabs>
          <w:tab w:val="left" w:pos="-720"/>
        </w:tabs>
        <w:suppressAutoHyphens/>
        <w:rPr>
          <w:sz w:val="24"/>
          <w:szCs w:val="24"/>
        </w:rPr>
      </w:pPr>
    </w:p>
    <w:p w:rsidR="00FA4719" w:rsidRPr="004D7279" w:rsidRDefault="00FA4719" w:rsidP="00FA4719">
      <w:pPr>
        <w:tabs>
          <w:tab w:val="center" w:pos="4680"/>
        </w:tabs>
        <w:suppressAutoHyphens/>
        <w:rPr>
          <w:sz w:val="24"/>
          <w:szCs w:val="24"/>
        </w:rPr>
      </w:pPr>
      <w:r w:rsidRPr="004D7279">
        <w:rPr>
          <w:sz w:val="24"/>
          <w:szCs w:val="24"/>
        </w:rPr>
        <w:tab/>
        <w:t>CDBG Urban County Qualification/Requalification Process</w:t>
      </w:r>
    </w:p>
    <w:p w:rsidR="00FA4719" w:rsidRPr="004D7279" w:rsidRDefault="00FA4719" w:rsidP="00FA4719">
      <w:pPr>
        <w:tabs>
          <w:tab w:val="left" w:pos="-720"/>
        </w:tabs>
        <w:suppressAutoHyphens/>
        <w:rPr>
          <w:sz w:val="24"/>
          <w:szCs w:val="24"/>
        </w:rPr>
      </w:pPr>
    </w:p>
    <w:p w:rsidR="00FA4719" w:rsidRPr="004D7279" w:rsidRDefault="00FA4719" w:rsidP="00FA4719">
      <w:pPr>
        <w:tabs>
          <w:tab w:val="left" w:pos="-720"/>
        </w:tabs>
        <w:suppressAutoHyphens/>
        <w:rPr>
          <w:sz w:val="24"/>
          <w:szCs w:val="24"/>
        </w:rPr>
      </w:pPr>
    </w:p>
    <w:p w:rsidR="00FA4719" w:rsidRPr="004D7279" w:rsidRDefault="00FA4719" w:rsidP="00FA4719">
      <w:pPr>
        <w:tabs>
          <w:tab w:val="left" w:pos="-720"/>
        </w:tabs>
        <w:suppressAutoHyphens/>
        <w:rPr>
          <w:sz w:val="24"/>
          <w:szCs w:val="24"/>
        </w:rPr>
      </w:pPr>
      <w:r w:rsidRPr="004D7279">
        <w:rPr>
          <w:sz w:val="24"/>
          <w:szCs w:val="24"/>
        </w:rPr>
        <w:tab/>
        <w:t>5 CFR 1320.8 (b</w:t>
      </w:r>
      <w:proofErr w:type="gramStart"/>
      <w:r w:rsidRPr="004D7279">
        <w:rPr>
          <w:sz w:val="24"/>
          <w:szCs w:val="24"/>
        </w:rPr>
        <w:t>)(</w:t>
      </w:r>
      <w:proofErr w:type="gramEnd"/>
      <w:r w:rsidRPr="004D7279">
        <w:rPr>
          <w:sz w:val="24"/>
          <w:szCs w:val="24"/>
        </w:rPr>
        <w:t>3) requires that each collection of information informs and provides reasonable notice to the potential persons to whom the collection of information applies with regard to the following information:</w:t>
      </w:r>
    </w:p>
    <w:p w:rsidR="00FA4719" w:rsidRPr="004D7279" w:rsidRDefault="00FA4719" w:rsidP="00FA4719">
      <w:pPr>
        <w:tabs>
          <w:tab w:val="left" w:pos="-720"/>
        </w:tabs>
        <w:suppressAutoHyphens/>
        <w:rPr>
          <w:sz w:val="24"/>
          <w:szCs w:val="24"/>
        </w:rPr>
      </w:pPr>
    </w:p>
    <w:p w:rsidR="00FA4719" w:rsidRPr="004D7279" w:rsidRDefault="00FA4719" w:rsidP="00FA4719">
      <w:pPr>
        <w:tabs>
          <w:tab w:val="left" w:pos="-720"/>
        </w:tabs>
        <w:suppressAutoHyphens/>
        <w:rPr>
          <w:sz w:val="24"/>
          <w:szCs w:val="24"/>
        </w:rPr>
      </w:pPr>
      <w:r w:rsidRPr="004D7279">
        <w:rPr>
          <w:b/>
          <w:sz w:val="24"/>
          <w:szCs w:val="24"/>
        </w:rPr>
        <w:t>(</w:t>
      </w:r>
      <w:proofErr w:type="spellStart"/>
      <w:r w:rsidRPr="004D7279">
        <w:rPr>
          <w:b/>
          <w:sz w:val="24"/>
          <w:szCs w:val="24"/>
        </w:rPr>
        <w:t>i</w:t>
      </w:r>
      <w:proofErr w:type="spellEnd"/>
      <w:r w:rsidRPr="004D7279">
        <w:rPr>
          <w:b/>
          <w:sz w:val="24"/>
          <w:szCs w:val="24"/>
        </w:rPr>
        <w:t xml:space="preserve">) </w:t>
      </w:r>
      <w:proofErr w:type="gramStart"/>
      <w:r w:rsidRPr="004D7279">
        <w:rPr>
          <w:b/>
          <w:sz w:val="24"/>
          <w:szCs w:val="24"/>
        </w:rPr>
        <w:t>the</w:t>
      </w:r>
      <w:proofErr w:type="gramEnd"/>
      <w:r w:rsidRPr="004D7279">
        <w:rPr>
          <w:b/>
          <w:sz w:val="24"/>
          <w:szCs w:val="24"/>
        </w:rPr>
        <w:t xml:space="preserve"> reasons the information is planned to be and/or has been collected.</w:t>
      </w:r>
    </w:p>
    <w:p w:rsidR="00FA4719" w:rsidRPr="004D7279" w:rsidRDefault="00FA4719" w:rsidP="00FA4719">
      <w:pPr>
        <w:tabs>
          <w:tab w:val="left" w:pos="-720"/>
        </w:tabs>
        <w:suppressAutoHyphens/>
        <w:rPr>
          <w:sz w:val="24"/>
          <w:szCs w:val="24"/>
        </w:rPr>
      </w:pPr>
    </w:p>
    <w:p w:rsidR="00FA4719" w:rsidRPr="004D7279" w:rsidRDefault="00FA4719" w:rsidP="00FA4719">
      <w:pPr>
        <w:ind w:firstLine="720"/>
        <w:rPr>
          <w:sz w:val="24"/>
          <w:szCs w:val="24"/>
        </w:rPr>
      </w:pPr>
      <w:r w:rsidRPr="004D7279">
        <w:rPr>
          <w:sz w:val="24"/>
          <w:szCs w:val="24"/>
        </w:rPr>
        <w:t xml:space="preserve">The information obtained each year from the urban county qualification/requalification process establishes the participating population that is used by HUD in calculating the final grant allocations of Community Development Block Grant (CDBG) funds for all entitlement (which includes metro cities and urban counties) and State CDBG grantees for the next fiscal year, in accordance with section 106 of the Housing and Community Development Act of 1974, as amended (the Act).  </w:t>
      </w:r>
    </w:p>
    <w:p w:rsidR="00FA4719" w:rsidRPr="004D7279" w:rsidRDefault="00FA4719" w:rsidP="00FA4719">
      <w:pPr>
        <w:ind w:firstLine="720"/>
        <w:rPr>
          <w:sz w:val="24"/>
          <w:szCs w:val="24"/>
        </w:rPr>
      </w:pPr>
    </w:p>
    <w:p w:rsidR="00FA4719" w:rsidRPr="004D7279" w:rsidRDefault="00FA4719" w:rsidP="00FA4719">
      <w:pPr>
        <w:ind w:firstLine="720"/>
        <w:rPr>
          <w:sz w:val="24"/>
          <w:szCs w:val="24"/>
        </w:rPr>
      </w:pPr>
      <w:r w:rsidRPr="004D7279">
        <w:rPr>
          <w:sz w:val="24"/>
          <w:szCs w:val="24"/>
        </w:rPr>
        <w:t>The New York Towns qualification/requalification process will no longer be an annual activity.  HUD program counsel has determined that a requalification process for New York Towns in unnecessary because the units of general local government in New York towns do not have the same statutory notice rights (under Section 102(e) of the Act as units of general local government participating in an urban county.  In addition, each New York town has automatic renewing agreements with the incorporated units of general local governments contained within their boundaries.  Therefore, it is presumed that all incorporated units of general local government will continue to participate in the New York towns in which they are located unless HUD Headquarters is notified to the contrary.</w:t>
      </w:r>
    </w:p>
    <w:p w:rsidR="00FA4719" w:rsidRPr="004D7279" w:rsidRDefault="00FA4719" w:rsidP="00FA4719">
      <w:pPr>
        <w:tabs>
          <w:tab w:val="left" w:pos="-720"/>
        </w:tabs>
        <w:suppressAutoHyphens/>
        <w:rPr>
          <w:sz w:val="24"/>
          <w:szCs w:val="24"/>
        </w:rPr>
      </w:pPr>
    </w:p>
    <w:p w:rsidR="00FA4719" w:rsidRPr="004D7279" w:rsidRDefault="00FA4719" w:rsidP="00FA4719">
      <w:pPr>
        <w:tabs>
          <w:tab w:val="left" w:pos="-720"/>
        </w:tabs>
        <w:suppressAutoHyphens/>
        <w:rPr>
          <w:sz w:val="24"/>
          <w:szCs w:val="24"/>
        </w:rPr>
      </w:pPr>
      <w:r w:rsidRPr="004D7279">
        <w:rPr>
          <w:b/>
          <w:sz w:val="24"/>
          <w:szCs w:val="24"/>
        </w:rPr>
        <w:t xml:space="preserve">(ii) </w:t>
      </w:r>
      <w:proofErr w:type="gramStart"/>
      <w:r w:rsidRPr="004D7279">
        <w:rPr>
          <w:b/>
          <w:sz w:val="24"/>
          <w:szCs w:val="24"/>
        </w:rPr>
        <w:t>the</w:t>
      </w:r>
      <w:proofErr w:type="gramEnd"/>
      <w:r w:rsidRPr="004D7279">
        <w:rPr>
          <w:b/>
          <w:sz w:val="24"/>
          <w:szCs w:val="24"/>
        </w:rPr>
        <w:t xml:space="preserve"> way such information is planned to be and/or has been used to further the proper performance of the functions of the agency.</w:t>
      </w:r>
    </w:p>
    <w:p w:rsidR="00FA4719" w:rsidRPr="004D7279" w:rsidRDefault="00FA4719" w:rsidP="00FA4719">
      <w:pPr>
        <w:tabs>
          <w:tab w:val="left" w:pos="-720"/>
        </w:tabs>
        <w:suppressAutoHyphens/>
        <w:rPr>
          <w:sz w:val="24"/>
          <w:szCs w:val="24"/>
        </w:rPr>
      </w:pPr>
    </w:p>
    <w:p w:rsidR="00FA4719" w:rsidRPr="004D7279" w:rsidRDefault="00FA4719" w:rsidP="00FA4719">
      <w:pPr>
        <w:tabs>
          <w:tab w:val="left" w:pos="-720"/>
        </w:tabs>
        <w:suppressAutoHyphens/>
        <w:rPr>
          <w:sz w:val="24"/>
          <w:szCs w:val="24"/>
        </w:rPr>
      </w:pPr>
      <w:r w:rsidRPr="004D7279">
        <w:rPr>
          <w:sz w:val="24"/>
          <w:szCs w:val="24"/>
        </w:rPr>
        <w:tab/>
        <w:t>The Act authorizes the Secretary to make CDBG funds available to states and units of general local government, which includes “urban counties” as defined in the statute.  Based on the provisions in the statute, HUD has established an annual urban county qualification/ requalification process.  As stated above, there will no longer be an annual qualification/requalification process for New York Towns.  As noted above, HUD must determine the urban county participating populations before calculating final grant allocations for all CDBG grantees for the next federal fiscal year.</w:t>
      </w:r>
    </w:p>
    <w:p w:rsidR="00FA4719" w:rsidRPr="004D7279" w:rsidRDefault="00FA4719" w:rsidP="00FA4719">
      <w:pPr>
        <w:tabs>
          <w:tab w:val="left" w:pos="-720"/>
        </w:tabs>
        <w:suppressAutoHyphens/>
        <w:rPr>
          <w:sz w:val="24"/>
          <w:szCs w:val="24"/>
        </w:rPr>
      </w:pPr>
    </w:p>
    <w:p w:rsidR="00FA4719" w:rsidRPr="004D7279" w:rsidRDefault="00FA4719" w:rsidP="00FA4719">
      <w:pPr>
        <w:tabs>
          <w:tab w:val="left" w:pos="-720"/>
        </w:tabs>
        <w:suppressAutoHyphens/>
        <w:rPr>
          <w:sz w:val="24"/>
          <w:szCs w:val="24"/>
        </w:rPr>
      </w:pPr>
      <w:r w:rsidRPr="004D7279">
        <w:rPr>
          <w:b/>
          <w:sz w:val="24"/>
          <w:szCs w:val="24"/>
        </w:rPr>
        <w:t xml:space="preserve">(iii) </w:t>
      </w:r>
      <w:proofErr w:type="gramStart"/>
      <w:r w:rsidRPr="004D7279">
        <w:rPr>
          <w:b/>
          <w:sz w:val="24"/>
          <w:szCs w:val="24"/>
        </w:rPr>
        <w:t>an</w:t>
      </w:r>
      <w:proofErr w:type="gramEnd"/>
      <w:r w:rsidRPr="004D7279">
        <w:rPr>
          <w:b/>
          <w:sz w:val="24"/>
          <w:szCs w:val="24"/>
        </w:rPr>
        <w:t xml:space="preserve"> estimate, to the extent practicable, of the average burden of the collection (together with a request that the public direct to the agency any comments concerning the accuracy of this burden estimate and any suggestions for reducing this burden).</w:t>
      </w:r>
    </w:p>
    <w:p w:rsidR="00FA4719" w:rsidRPr="004D7279" w:rsidRDefault="00FA4719" w:rsidP="00FA4719">
      <w:pPr>
        <w:tabs>
          <w:tab w:val="left" w:pos="-720"/>
        </w:tabs>
        <w:suppressAutoHyphens/>
        <w:rPr>
          <w:sz w:val="24"/>
          <w:szCs w:val="24"/>
        </w:rPr>
      </w:pPr>
    </w:p>
    <w:p w:rsidR="00FA4719" w:rsidRPr="004D7279" w:rsidRDefault="00FA4719" w:rsidP="00FA4719">
      <w:pPr>
        <w:tabs>
          <w:tab w:val="left" w:pos="-720"/>
        </w:tabs>
        <w:suppressAutoHyphens/>
        <w:rPr>
          <w:sz w:val="24"/>
          <w:szCs w:val="24"/>
        </w:rPr>
      </w:pPr>
      <w:r w:rsidRPr="004D7279">
        <w:rPr>
          <w:sz w:val="24"/>
          <w:szCs w:val="24"/>
        </w:rPr>
        <w:tab/>
      </w:r>
      <w:r w:rsidRPr="004D7279">
        <w:rPr>
          <w:sz w:val="24"/>
          <w:szCs w:val="24"/>
          <w:u w:val="single"/>
        </w:rPr>
        <w:t>Computation of reporting hours</w:t>
      </w:r>
      <w:r w:rsidRPr="004D7279">
        <w:rPr>
          <w:sz w:val="24"/>
          <w:szCs w:val="24"/>
        </w:rPr>
        <w:t xml:space="preserve">:  There are currently 183 qualified urban counties participating in the CDBG program that must </w:t>
      </w:r>
      <w:proofErr w:type="spellStart"/>
      <w:r w:rsidRPr="004D7279">
        <w:rPr>
          <w:sz w:val="24"/>
          <w:szCs w:val="24"/>
        </w:rPr>
        <w:t>requalify</w:t>
      </w:r>
      <w:proofErr w:type="spellEnd"/>
      <w:r w:rsidRPr="004D7279">
        <w:rPr>
          <w:sz w:val="24"/>
          <w:szCs w:val="24"/>
        </w:rPr>
        <w:t xml:space="preserve"> on a triennial basis.  On average, three new counties qualify each year.  The burden on new counties is greater than for existing counties that </w:t>
      </w:r>
      <w:proofErr w:type="spellStart"/>
      <w:r w:rsidRPr="004D7279">
        <w:rPr>
          <w:sz w:val="24"/>
          <w:szCs w:val="24"/>
        </w:rPr>
        <w:t>requalify</w:t>
      </w:r>
      <w:proofErr w:type="spellEnd"/>
      <w:r w:rsidRPr="004D7279">
        <w:rPr>
          <w:sz w:val="24"/>
          <w:szCs w:val="24"/>
        </w:rPr>
        <w:t xml:space="preserve">.  The Department estimates that new grantees use, on average, 100 hours to:  review instructions, contact communities in the county, prepare and review agreements (the county must enter into cooperation agreements with communities that want to participate in which the county does not have essential community development and housing assistance powers), obtain legal opinions, have agreements executed at the local and county level, and prepare and transmit copies of required documents to HUD.  It has been estimated that counties </w:t>
      </w:r>
      <w:proofErr w:type="spellStart"/>
      <w:r w:rsidRPr="004D7279">
        <w:rPr>
          <w:sz w:val="24"/>
          <w:szCs w:val="24"/>
        </w:rPr>
        <w:t>requalifying</w:t>
      </w:r>
      <w:proofErr w:type="spellEnd"/>
      <w:r w:rsidRPr="004D7279">
        <w:rPr>
          <w:sz w:val="24"/>
          <w:szCs w:val="24"/>
        </w:rPr>
        <w:t xml:space="preserve"> use, on average, 60 hours to complete these actions.  The timesaving on requalification is primarily because of a county’s ability to use cooperation agreements with no specified end date.  Although not all counties use this type of agreement, the use of “renewable” agreements enables a county to merely notify affected participating </w:t>
      </w:r>
      <w:r w:rsidRPr="004D7279">
        <w:rPr>
          <w:sz w:val="24"/>
          <w:szCs w:val="24"/>
        </w:rPr>
        <w:lastRenderedPageBreak/>
        <w:t>units of government in writing that their agreement will automatically be renewed unless the unit of government terminates the agreement in writing, rather than executing a new agreement every three years.</w:t>
      </w:r>
    </w:p>
    <w:p w:rsidR="00FA4719" w:rsidRPr="004D7279" w:rsidRDefault="00FA4719" w:rsidP="00FA4719">
      <w:pPr>
        <w:tabs>
          <w:tab w:val="left" w:pos="-720"/>
        </w:tabs>
        <w:suppressAutoHyphens/>
        <w:rPr>
          <w:sz w:val="24"/>
          <w:szCs w:val="24"/>
        </w:rPr>
      </w:pPr>
    </w:p>
    <w:p w:rsidR="00FA4719" w:rsidRPr="004D7279" w:rsidRDefault="00FA4719" w:rsidP="00FA4719">
      <w:pPr>
        <w:tabs>
          <w:tab w:val="left" w:pos="-720"/>
        </w:tabs>
        <w:suppressAutoHyphens/>
        <w:rPr>
          <w:sz w:val="24"/>
          <w:szCs w:val="24"/>
        </w:rPr>
      </w:pPr>
      <w:r w:rsidRPr="004D7279">
        <w:rPr>
          <w:sz w:val="24"/>
          <w:szCs w:val="24"/>
        </w:rPr>
        <w:tab/>
        <w:t xml:space="preserve">No comments on the Notice were received, but based upon previous informal comments and further </w:t>
      </w:r>
      <w:proofErr w:type="gramStart"/>
      <w:r w:rsidRPr="004D7279">
        <w:rPr>
          <w:sz w:val="24"/>
          <w:szCs w:val="24"/>
        </w:rPr>
        <w:t>review,</w:t>
      </w:r>
      <w:proofErr w:type="gramEnd"/>
      <w:r w:rsidRPr="004D7279">
        <w:rPr>
          <w:sz w:val="24"/>
          <w:szCs w:val="24"/>
        </w:rPr>
        <w:t xml:space="preserve"> the Department has determined it is appropriate to continue to use these estimates to calculate the time spent on the qualification process:  100 hours for a newly qualified grantee, and 60 hours for a grantee that is </w:t>
      </w:r>
      <w:proofErr w:type="spellStart"/>
      <w:r w:rsidRPr="004D7279">
        <w:rPr>
          <w:sz w:val="24"/>
          <w:szCs w:val="24"/>
        </w:rPr>
        <w:t>requalifying</w:t>
      </w:r>
      <w:proofErr w:type="spellEnd"/>
      <w:r w:rsidRPr="004D7279">
        <w:rPr>
          <w:sz w:val="24"/>
          <w:szCs w:val="24"/>
        </w:rPr>
        <w:t>.  The variance of factors that affect the amount of time it may take each county to complete the process make it difficult to accurately estimate this reporting burden.  However, HUD believes these estimates are reasonable based on a thorough review and consideration of the number of participating units of general local government an urban county may have to contact to determine the interest of each in participating in, or remaining a part of, the urban county for purposes of receiving CDBG funds.  This number varies among counties from those that have very few communities to contact, to those counties that have as many as 100 communities to contact.  The reporting hours shown below reflect an increase from the information collection approved on February 9, 2009, because there has been an increase in the number of grantees subject to the qualification/requalification process:</w:t>
      </w:r>
    </w:p>
    <w:p w:rsidR="00FA4719" w:rsidRPr="004D7279" w:rsidRDefault="00FA4719" w:rsidP="00FA4719">
      <w:pPr>
        <w:tabs>
          <w:tab w:val="left" w:pos="-720"/>
        </w:tabs>
        <w:suppressAutoHyphens/>
        <w:rPr>
          <w:sz w:val="24"/>
          <w:szCs w:val="24"/>
        </w:rPr>
      </w:pPr>
    </w:p>
    <w:p w:rsidR="00FA4719" w:rsidRPr="004D7279" w:rsidRDefault="00FA4719" w:rsidP="00FA4719">
      <w:pPr>
        <w:tabs>
          <w:tab w:val="left" w:pos="-720"/>
        </w:tabs>
        <w:suppressAutoHyphens/>
        <w:ind w:left="720"/>
        <w:rPr>
          <w:sz w:val="24"/>
          <w:szCs w:val="24"/>
        </w:rPr>
      </w:pPr>
      <w:r w:rsidRPr="004D7279">
        <w:rPr>
          <w:sz w:val="24"/>
          <w:szCs w:val="24"/>
        </w:rPr>
        <w:t>Average of 3 new urban Counties qualify per year:</w:t>
      </w:r>
      <w:r w:rsidRPr="004D7279">
        <w:rPr>
          <w:sz w:val="24"/>
          <w:szCs w:val="24"/>
        </w:rPr>
        <w:tab/>
      </w:r>
      <w:r w:rsidRPr="004D7279">
        <w:rPr>
          <w:sz w:val="24"/>
          <w:szCs w:val="24"/>
        </w:rPr>
        <w:tab/>
        <w:t>3 x 100 hrs</w:t>
      </w:r>
      <w:proofErr w:type="gramStart"/>
      <w:r w:rsidRPr="004D7279">
        <w:rPr>
          <w:sz w:val="24"/>
          <w:szCs w:val="24"/>
        </w:rPr>
        <w:t>.=</w:t>
      </w:r>
      <w:proofErr w:type="gramEnd"/>
      <w:r w:rsidRPr="004D7279">
        <w:rPr>
          <w:sz w:val="24"/>
          <w:szCs w:val="24"/>
        </w:rPr>
        <w:tab/>
        <w:t xml:space="preserve">  300 hrs.</w:t>
      </w:r>
    </w:p>
    <w:p w:rsidR="00FA4719" w:rsidRPr="004D7279" w:rsidRDefault="00FA4719" w:rsidP="00FA4719">
      <w:pPr>
        <w:tabs>
          <w:tab w:val="left" w:pos="-720"/>
        </w:tabs>
        <w:suppressAutoHyphens/>
        <w:ind w:left="720"/>
        <w:rPr>
          <w:sz w:val="24"/>
          <w:szCs w:val="24"/>
        </w:rPr>
      </w:pPr>
    </w:p>
    <w:p w:rsidR="00FA4719" w:rsidRPr="004D7279" w:rsidRDefault="00FA4719" w:rsidP="00FA4719">
      <w:pPr>
        <w:tabs>
          <w:tab w:val="left" w:pos="-720"/>
        </w:tabs>
        <w:suppressAutoHyphens/>
        <w:ind w:left="720"/>
        <w:rPr>
          <w:sz w:val="24"/>
          <w:szCs w:val="24"/>
        </w:rPr>
      </w:pPr>
      <w:r w:rsidRPr="004D7279">
        <w:rPr>
          <w:sz w:val="24"/>
          <w:szCs w:val="24"/>
        </w:rPr>
        <w:t xml:space="preserve">183 grantees </w:t>
      </w:r>
      <w:proofErr w:type="spellStart"/>
      <w:r w:rsidRPr="004D7279">
        <w:rPr>
          <w:sz w:val="24"/>
          <w:szCs w:val="24"/>
        </w:rPr>
        <w:t>requalify</w:t>
      </w:r>
      <w:proofErr w:type="spellEnd"/>
      <w:r w:rsidRPr="004D7279">
        <w:rPr>
          <w:sz w:val="24"/>
          <w:szCs w:val="24"/>
        </w:rPr>
        <w:t xml:space="preserve"> on a triennial </w:t>
      </w:r>
    </w:p>
    <w:p w:rsidR="00FA4719" w:rsidRPr="004D7279" w:rsidRDefault="00FA4719" w:rsidP="00FA4719">
      <w:pPr>
        <w:tabs>
          <w:tab w:val="left" w:pos="-720"/>
        </w:tabs>
        <w:suppressAutoHyphens/>
        <w:ind w:left="720"/>
        <w:rPr>
          <w:sz w:val="24"/>
          <w:szCs w:val="24"/>
        </w:rPr>
      </w:pPr>
      <w:proofErr w:type="gramStart"/>
      <w:r w:rsidRPr="004D7279">
        <w:rPr>
          <w:sz w:val="24"/>
          <w:szCs w:val="24"/>
        </w:rPr>
        <w:t>basis</w:t>
      </w:r>
      <w:proofErr w:type="gramEnd"/>
      <w:r w:rsidRPr="004D7279">
        <w:rPr>
          <w:sz w:val="24"/>
          <w:szCs w:val="24"/>
        </w:rPr>
        <w:t>; avg. annual number of responses:  61</w:t>
      </w:r>
      <w:r w:rsidRPr="004D7279">
        <w:rPr>
          <w:sz w:val="24"/>
          <w:szCs w:val="24"/>
        </w:rPr>
        <w:tab/>
      </w:r>
      <w:r w:rsidRPr="004D7279">
        <w:rPr>
          <w:sz w:val="24"/>
          <w:szCs w:val="24"/>
        </w:rPr>
        <w:tab/>
      </w:r>
      <w:r w:rsidRPr="004D7279">
        <w:rPr>
          <w:sz w:val="24"/>
          <w:szCs w:val="24"/>
        </w:rPr>
        <w:tab/>
        <w:t>61 x 60 hrs.=</w:t>
      </w:r>
      <w:r w:rsidRPr="004D7279">
        <w:rPr>
          <w:sz w:val="24"/>
          <w:szCs w:val="24"/>
        </w:rPr>
        <w:tab/>
      </w:r>
      <w:r w:rsidRPr="004D7279">
        <w:rPr>
          <w:sz w:val="24"/>
          <w:szCs w:val="24"/>
          <w:u w:val="single"/>
        </w:rPr>
        <w:t>3,660</w:t>
      </w:r>
      <w:r w:rsidRPr="004D7279">
        <w:rPr>
          <w:sz w:val="24"/>
          <w:szCs w:val="24"/>
        </w:rPr>
        <w:t xml:space="preserve"> hrs.</w:t>
      </w:r>
    </w:p>
    <w:p w:rsidR="00FA4719" w:rsidRPr="004D7279" w:rsidRDefault="00FA4719" w:rsidP="00FA4719">
      <w:pPr>
        <w:tabs>
          <w:tab w:val="left" w:pos="-720"/>
        </w:tabs>
        <w:suppressAutoHyphens/>
        <w:ind w:left="720"/>
        <w:rPr>
          <w:sz w:val="24"/>
          <w:szCs w:val="24"/>
        </w:rPr>
      </w:pPr>
    </w:p>
    <w:p w:rsidR="00FA4719" w:rsidRPr="004D7279" w:rsidRDefault="00FA4719" w:rsidP="00FA4719">
      <w:pPr>
        <w:tabs>
          <w:tab w:val="left" w:pos="-720"/>
        </w:tabs>
        <w:suppressAutoHyphens/>
        <w:ind w:left="720"/>
        <w:rPr>
          <w:sz w:val="24"/>
          <w:szCs w:val="24"/>
        </w:rPr>
      </w:pPr>
      <w:r w:rsidRPr="004D7279">
        <w:rPr>
          <w:sz w:val="24"/>
          <w:szCs w:val="24"/>
        </w:rPr>
        <w:t>Total hours</w:t>
      </w:r>
      <w:r w:rsidRPr="004D7279">
        <w:rPr>
          <w:sz w:val="24"/>
          <w:szCs w:val="24"/>
        </w:rPr>
        <w:tab/>
      </w:r>
      <w:r w:rsidRPr="004D7279">
        <w:rPr>
          <w:sz w:val="24"/>
          <w:szCs w:val="24"/>
        </w:rPr>
        <w:tab/>
      </w:r>
      <w:r w:rsidRPr="004D7279">
        <w:rPr>
          <w:sz w:val="24"/>
          <w:szCs w:val="24"/>
        </w:rPr>
        <w:tab/>
      </w:r>
      <w:r w:rsidRPr="004D7279">
        <w:rPr>
          <w:sz w:val="24"/>
          <w:szCs w:val="24"/>
        </w:rPr>
        <w:tab/>
      </w:r>
      <w:r w:rsidRPr="004D7279">
        <w:rPr>
          <w:sz w:val="24"/>
          <w:szCs w:val="24"/>
        </w:rPr>
        <w:tab/>
      </w:r>
      <w:r w:rsidRPr="004D7279">
        <w:rPr>
          <w:sz w:val="24"/>
          <w:szCs w:val="24"/>
        </w:rPr>
        <w:tab/>
      </w:r>
      <w:r w:rsidRPr="004D7279">
        <w:rPr>
          <w:sz w:val="24"/>
          <w:szCs w:val="24"/>
        </w:rPr>
        <w:tab/>
      </w:r>
      <w:r w:rsidRPr="004D7279">
        <w:rPr>
          <w:sz w:val="24"/>
          <w:szCs w:val="24"/>
        </w:rPr>
        <w:tab/>
      </w:r>
      <w:r w:rsidRPr="004D7279">
        <w:rPr>
          <w:sz w:val="24"/>
          <w:szCs w:val="24"/>
        </w:rPr>
        <w:tab/>
        <w:t>3,960</w:t>
      </w:r>
    </w:p>
    <w:p w:rsidR="00FA4719" w:rsidRPr="004D7279" w:rsidRDefault="00FA4719" w:rsidP="00FA4719">
      <w:pPr>
        <w:tabs>
          <w:tab w:val="left" w:pos="-720"/>
        </w:tabs>
        <w:suppressAutoHyphens/>
        <w:rPr>
          <w:sz w:val="24"/>
          <w:szCs w:val="24"/>
        </w:rPr>
      </w:pPr>
    </w:p>
    <w:p w:rsidR="00FA4719" w:rsidRPr="004D7279" w:rsidRDefault="00FA4719" w:rsidP="00FA4719">
      <w:pPr>
        <w:tabs>
          <w:tab w:val="left" w:pos="-720"/>
        </w:tabs>
        <w:suppressAutoHyphens/>
        <w:ind w:left="720"/>
        <w:rPr>
          <w:sz w:val="24"/>
          <w:szCs w:val="24"/>
        </w:rPr>
      </w:pPr>
      <w:r w:rsidRPr="004D7279">
        <w:rPr>
          <w:sz w:val="24"/>
          <w:szCs w:val="24"/>
        </w:rPr>
        <w:tab/>
      </w:r>
      <w:r w:rsidRPr="004D7279">
        <w:rPr>
          <w:sz w:val="24"/>
          <w:szCs w:val="24"/>
        </w:rPr>
        <w:tab/>
        <w:t>Comments concerning the accuracy of this burden estimate and any suggestions for reducing this burden should be forwarded to:</w:t>
      </w:r>
    </w:p>
    <w:p w:rsidR="00FA4719" w:rsidRDefault="00FA4719" w:rsidP="00FA4719">
      <w:pPr>
        <w:tabs>
          <w:tab w:val="left" w:pos="-720"/>
        </w:tabs>
        <w:suppressAutoHyphens/>
        <w:rPr>
          <w:sz w:val="24"/>
          <w:szCs w:val="24"/>
        </w:rPr>
      </w:pPr>
    </w:p>
    <w:p w:rsidR="00FA4719" w:rsidRPr="004D7279" w:rsidRDefault="00FA4719" w:rsidP="00FA4719">
      <w:pPr>
        <w:tabs>
          <w:tab w:val="left" w:pos="-720"/>
        </w:tabs>
        <w:suppressAutoHyphens/>
        <w:rPr>
          <w:bCs/>
          <w:sz w:val="24"/>
          <w:szCs w:val="24"/>
        </w:rPr>
      </w:pPr>
      <w:r w:rsidRPr="004D7279">
        <w:rPr>
          <w:sz w:val="24"/>
          <w:szCs w:val="24"/>
        </w:rPr>
        <w:tab/>
      </w:r>
      <w:r w:rsidRPr="004D7279">
        <w:rPr>
          <w:sz w:val="24"/>
          <w:szCs w:val="24"/>
        </w:rPr>
        <w:tab/>
      </w:r>
      <w:r w:rsidRPr="004D7279">
        <w:rPr>
          <w:sz w:val="24"/>
          <w:szCs w:val="24"/>
        </w:rPr>
        <w:tab/>
      </w:r>
      <w:r w:rsidRPr="004D7279">
        <w:rPr>
          <w:bCs/>
          <w:sz w:val="24"/>
          <w:szCs w:val="24"/>
        </w:rPr>
        <w:t>COLLETTE POLLARD</w:t>
      </w:r>
    </w:p>
    <w:p w:rsidR="00FA4719" w:rsidRPr="004D7279" w:rsidRDefault="00FA4719" w:rsidP="00FA4719">
      <w:pPr>
        <w:tabs>
          <w:tab w:val="left" w:pos="-720"/>
        </w:tabs>
        <w:suppressAutoHyphens/>
        <w:rPr>
          <w:sz w:val="24"/>
          <w:szCs w:val="24"/>
        </w:rPr>
      </w:pPr>
      <w:r w:rsidRPr="004D7279">
        <w:rPr>
          <w:bCs/>
          <w:sz w:val="24"/>
          <w:szCs w:val="24"/>
        </w:rPr>
        <w:tab/>
      </w:r>
      <w:r w:rsidRPr="004D7279">
        <w:rPr>
          <w:bCs/>
          <w:sz w:val="24"/>
          <w:szCs w:val="24"/>
        </w:rPr>
        <w:tab/>
      </w:r>
      <w:r w:rsidRPr="004D7279">
        <w:rPr>
          <w:bCs/>
          <w:sz w:val="24"/>
          <w:szCs w:val="24"/>
        </w:rPr>
        <w:tab/>
        <w:t>DEPARTMENTAL PAPERWORK REDUCTION ACT OFFICER</w:t>
      </w:r>
    </w:p>
    <w:p w:rsidR="00FA4719" w:rsidRPr="004D7279" w:rsidRDefault="00FA4719" w:rsidP="00FA4719">
      <w:pPr>
        <w:tabs>
          <w:tab w:val="left" w:pos="-720"/>
        </w:tabs>
        <w:suppressAutoHyphens/>
        <w:rPr>
          <w:sz w:val="24"/>
          <w:szCs w:val="24"/>
        </w:rPr>
      </w:pPr>
      <w:r w:rsidRPr="004D7279">
        <w:rPr>
          <w:sz w:val="24"/>
          <w:szCs w:val="24"/>
        </w:rPr>
        <w:tab/>
      </w:r>
      <w:r w:rsidRPr="004D7279">
        <w:rPr>
          <w:sz w:val="24"/>
          <w:szCs w:val="24"/>
        </w:rPr>
        <w:tab/>
      </w:r>
      <w:r w:rsidRPr="004D7279">
        <w:rPr>
          <w:sz w:val="24"/>
          <w:szCs w:val="24"/>
        </w:rPr>
        <w:tab/>
        <w:t>DEPARTMENT OF HOUSING &amp; URBAN DEVELOPMENT</w:t>
      </w:r>
    </w:p>
    <w:p w:rsidR="00FA4719" w:rsidRPr="004D7279" w:rsidRDefault="00FA4719" w:rsidP="00FA4719">
      <w:pPr>
        <w:tabs>
          <w:tab w:val="left" w:pos="-720"/>
        </w:tabs>
        <w:suppressAutoHyphens/>
        <w:rPr>
          <w:sz w:val="24"/>
          <w:szCs w:val="24"/>
        </w:rPr>
      </w:pPr>
      <w:r w:rsidRPr="004D7279">
        <w:rPr>
          <w:sz w:val="24"/>
          <w:szCs w:val="24"/>
        </w:rPr>
        <w:tab/>
      </w:r>
      <w:r w:rsidRPr="004D7279">
        <w:rPr>
          <w:sz w:val="24"/>
          <w:szCs w:val="24"/>
        </w:rPr>
        <w:tab/>
      </w:r>
      <w:r w:rsidRPr="004D7279">
        <w:rPr>
          <w:sz w:val="24"/>
          <w:szCs w:val="24"/>
        </w:rPr>
        <w:tab/>
        <w:t>451 7th Street, SW, Room 4160</w:t>
      </w:r>
    </w:p>
    <w:p w:rsidR="00FA4719" w:rsidRPr="004D7279" w:rsidRDefault="00FA4719" w:rsidP="00FA4719">
      <w:pPr>
        <w:tabs>
          <w:tab w:val="left" w:pos="-720"/>
        </w:tabs>
        <w:suppressAutoHyphens/>
        <w:rPr>
          <w:sz w:val="24"/>
          <w:szCs w:val="24"/>
        </w:rPr>
      </w:pPr>
      <w:r w:rsidRPr="004D7279">
        <w:rPr>
          <w:sz w:val="24"/>
          <w:szCs w:val="24"/>
        </w:rPr>
        <w:tab/>
      </w:r>
      <w:r w:rsidRPr="004D7279">
        <w:rPr>
          <w:sz w:val="24"/>
          <w:szCs w:val="24"/>
        </w:rPr>
        <w:tab/>
      </w:r>
      <w:r w:rsidRPr="004D7279">
        <w:rPr>
          <w:sz w:val="24"/>
          <w:szCs w:val="24"/>
        </w:rPr>
        <w:tab/>
        <w:t>Washington, DC  20410</w:t>
      </w:r>
    </w:p>
    <w:p w:rsidR="00FA4719" w:rsidRPr="004D7279" w:rsidRDefault="00FA4719" w:rsidP="00FA4719">
      <w:pPr>
        <w:tabs>
          <w:tab w:val="left" w:pos="-720"/>
        </w:tabs>
        <w:suppressAutoHyphens/>
        <w:rPr>
          <w:sz w:val="24"/>
          <w:szCs w:val="24"/>
        </w:rPr>
      </w:pPr>
    </w:p>
    <w:p w:rsidR="00FA4719" w:rsidRPr="004D7279" w:rsidRDefault="00FA4719" w:rsidP="00FA4719">
      <w:pPr>
        <w:tabs>
          <w:tab w:val="left" w:pos="-720"/>
        </w:tabs>
        <w:suppressAutoHyphens/>
        <w:rPr>
          <w:sz w:val="24"/>
          <w:szCs w:val="24"/>
        </w:rPr>
      </w:pPr>
      <w:r w:rsidRPr="004D7279">
        <w:rPr>
          <w:b/>
          <w:sz w:val="24"/>
          <w:szCs w:val="24"/>
        </w:rPr>
        <w:t xml:space="preserve">(iv) </w:t>
      </w:r>
      <w:proofErr w:type="gramStart"/>
      <w:r w:rsidRPr="004D7279">
        <w:rPr>
          <w:b/>
          <w:sz w:val="24"/>
          <w:szCs w:val="24"/>
        </w:rPr>
        <w:t>whether</w:t>
      </w:r>
      <w:proofErr w:type="gramEnd"/>
      <w:r w:rsidRPr="004D7279">
        <w:rPr>
          <w:b/>
          <w:sz w:val="24"/>
          <w:szCs w:val="24"/>
        </w:rPr>
        <w:t xml:space="preserve"> responses to the collection of information are voluntary, required to obtain or retain a benefit (citing authority), or mandatory (citing authority).</w:t>
      </w:r>
    </w:p>
    <w:p w:rsidR="00FA4719" w:rsidRPr="004D7279" w:rsidRDefault="00FA4719" w:rsidP="00FA4719">
      <w:pPr>
        <w:tabs>
          <w:tab w:val="left" w:pos="-720"/>
        </w:tabs>
        <w:suppressAutoHyphens/>
        <w:rPr>
          <w:sz w:val="24"/>
          <w:szCs w:val="24"/>
        </w:rPr>
      </w:pPr>
    </w:p>
    <w:p w:rsidR="00FA4719" w:rsidRPr="004D7279" w:rsidRDefault="00FA4719" w:rsidP="00FA4719">
      <w:pPr>
        <w:tabs>
          <w:tab w:val="left" w:pos="-720"/>
        </w:tabs>
        <w:suppressAutoHyphens/>
        <w:rPr>
          <w:sz w:val="24"/>
          <w:szCs w:val="24"/>
        </w:rPr>
      </w:pPr>
      <w:r w:rsidRPr="004D7279">
        <w:rPr>
          <w:sz w:val="24"/>
          <w:szCs w:val="24"/>
        </w:rPr>
        <w:tab/>
        <w:t>The response to the information collection is required to obtain and/or retain a benefit.  In addition, the information obtained each year from the urban county qualification/requalification processes establishes the participating population that is used by HUD in calculating the final grant allocations of CDBG funds for all entitlement (which includes metro cities and urban counties) and state CDBG program grantees for the next federal fiscal year, in accordance with section 106 of the Act.</w:t>
      </w:r>
    </w:p>
    <w:p w:rsidR="00FA4719" w:rsidRPr="004D7279" w:rsidRDefault="00FA4719" w:rsidP="00FA4719">
      <w:pPr>
        <w:tabs>
          <w:tab w:val="left" w:pos="-720"/>
        </w:tabs>
        <w:suppressAutoHyphens/>
        <w:rPr>
          <w:sz w:val="24"/>
          <w:szCs w:val="24"/>
        </w:rPr>
      </w:pPr>
    </w:p>
    <w:p w:rsidR="00FA4719" w:rsidRPr="004D7279" w:rsidRDefault="00FA4719" w:rsidP="00FA4719">
      <w:pPr>
        <w:tabs>
          <w:tab w:val="left" w:pos="-720"/>
        </w:tabs>
        <w:suppressAutoHyphens/>
        <w:rPr>
          <w:sz w:val="24"/>
          <w:szCs w:val="24"/>
        </w:rPr>
      </w:pPr>
      <w:r w:rsidRPr="004D7279">
        <w:rPr>
          <w:b/>
          <w:sz w:val="24"/>
          <w:szCs w:val="24"/>
        </w:rPr>
        <w:t xml:space="preserve">(v) </w:t>
      </w:r>
      <w:proofErr w:type="gramStart"/>
      <w:r w:rsidRPr="004D7279">
        <w:rPr>
          <w:b/>
          <w:sz w:val="24"/>
          <w:szCs w:val="24"/>
        </w:rPr>
        <w:t>the</w:t>
      </w:r>
      <w:proofErr w:type="gramEnd"/>
      <w:r w:rsidRPr="004D7279">
        <w:rPr>
          <w:b/>
          <w:sz w:val="24"/>
          <w:szCs w:val="24"/>
        </w:rPr>
        <w:t xml:space="preserve"> nature and extent of confidentiality to be provided, if any (citing authority).</w:t>
      </w:r>
    </w:p>
    <w:p w:rsidR="00FA4719" w:rsidRPr="004D7279" w:rsidRDefault="00FA4719" w:rsidP="00FA4719">
      <w:pPr>
        <w:tabs>
          <w:tab w:val="left" w:pos="-720"/>
        </w:tabs>
        <w:suppressAutoHyphens/>
        <w:rPr>
          <w:sz w:val="24"/>
          <w:szCs w:val="24"/>
        </w:rPr>
      </w:pPr>
    </w:p>
    <w:p w:rsidR="00FA4719" w:rsidRPr="004D7279" w:rsidRDefault="00FA4719" w:rsidP="00FA4719">
      <w:pPr>
        <w:tabs>
          <w:tab w:val="left" w:pos="-720"/>
        </w:tabs>
        <w:suppressAutoHyphens/>
        <w:rPr>
          <w:sz w:val="24"/>
          <w:szCs w:val="24"/>
        </w:rPr>
      </w:pPr>
      <w:r w:rsidRPr="004D7279">
        <w:rPr>
          <w:sz w:val="24"/>
          <w:szCs w:val="24"/>
        </w:rPr>
        <w:tab/>
        <w:t>Not applicable.</w:t>
      </w:r>
    </w:p>
    <w:p w:rsidR="00FA4719" w:rsidRPr="004D7279" w:rsidRDefault="00FA4719" w:rsidP="00FA4719">
      <w:pPr>
        <w:tabs>
          <w:tab w:val="left" w:pos="-720"/>
        </w:tabs>
        <w:suppressAutoHyphens/>
        <w:rPr>
          <w:sz w:val="24"/>
          <w:szCs w:val="24"/>
        </w:rPr>
      </w:pPr>
    </w:p>
    <w:p w:rsidR="00FA4719" w:rsidRPr="004D7279" w:rsidRDefault="00FA4719" w:rsidP="00FA4719">
      <w:pPr>
        <w:tabs>
          <w:tab w:val="left" w:pos="-720"/>
        </w:tabs>
        <w:suppressAutoHyphens/>
        <w:rPr>
          <w:sz w:val="24"/>
          <w:szCs w:val="24"/>
        </w:rPr>
      </w:pPr>
      <w:r w:rsidRPr="004D7279">
        <w:rPr>
          <w:b/>
          <w:sz w:val="24"/>
          <w:szCs w:val="24"/>
        </w:rPr>
        <w:t>(vi) the fact that an agency may not conduct or sponsor, and a person is not required to respond to, a collection of information unless it displays a currently valid OMB control number.</w:t>
      </w:r>
    </w:p>
    <w:p w:rsidR="00FA4719" w:rsidRPr="004D7279" w:rsidRDefault="00FA4719" w:rsidP="00FA4719">
      <w:pPr>
        <w:tabs>
          <w:tab w:val="left" w:pos="-720"/>
        </w:tabs>
        <w:suppressAutoHyphens/>
        <w:rPr>
          <w:sz w:val="24"/>
          <w:szCs w:val="24"/>
        </w:rPr>
      </w:pPr>
    </w:p>
    <w:p w:rsidR="00FA4719" w:rsidRPr="004D7279" w:rsidRDefault="00FA4719" w:rsidP="00FA4719">
      <w:pPr>
        <w:tabs>
          <w:tab w:val="left" w:pos="-720"/>
        </w:tabs>
        <w:suppressAutoHyphens/>
        <w:rPr>
          <w:sz w:val="24"/>
          <w:szCs w:val="24"/>
        </w:rPr>
      </w:pPr>
      <w:r w:rsidRPr="004D7279">
        <w:rPr>
          <w:sz w:val="24"/>
          <w:szCs w:val="24"/>
        </w:rPr>
        <w:tab/>
        <w:t>The currently valid OMB Control Number 2506-0170 expires in February 2012.  This supports a requested renewal for three years.</w:t>
      </w:r>
    </w:p>
    <w:p w:rsidR="00FA4719" w:rsidRPr="004D7279" w:rsidRDefault="00FA4719" w:rsidP="00FA4719">
      <w:pPr>
        <w:tabs>
          <w:tab w:val="left" w:pos="-720"/>
        </w:tabs>
        <w:suppressAutoHyphens/>
        <w:rPr>
          <w:sz w:val="24"/>
          <w:szCs w:val="24"/>
        </w:rPr>
      </w:pPr>
    </w:p>
    <w:p w:rsidR="00FA4719" w:rsidRPr="004D7279" w:rsidRDefault="00FA4719" w:rsidP="00FA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szCs w:val="24"/>
        </w:rPr>
      </w:pPr>
    </w:p>
    <w:p w:rsidR="00754882" w:rsidRDefault="00754882"/>
    <w:sectPr w:rsidR="00754882">
      <w:headerReference w:type="default" r:id="rId6"/>
      <w:footerReference w:type="default" r:id="rId7"/>
      <w:footerReference w:type="first" r:id="rId8"/>
      <w:pgSz w:w="12240" w:h="15840"/>
      <w:pgMar w:top="480" w:right="720" w:bottom="480" w:left="600" w:header="480" w:footer="480" w:gutter="0"/>
      <w:cols w:space="480" w:equalWidth="0">
        <w:col w:w="10800"/>
      </w:cols>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D0" w:rsidRDefault="00FA4719">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D0" w:rsidRDefault="00FA4719">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6" w:space="0" w:color="auto"/>
        <w:left w:val="single" w:sz="6" w:space="0" w:color="auto"/>
      </w:tblBorders>
      <w:tblLayout w:type="fixed"/>
      <w:tblLook w:val="0000"/>
    </w:tblPr>
    <w:tblGrid>
      <w:gridCol w:w="8388"/>
      <w:gridCol w:w="2748"/>
    </w:tblGrid>
    <w:tr w:rsidR="00AD49D0">
      <w:tblPrEx>
        <w:tblCellMar>
          <w:top w:w="0" w:type="dxa"/>
          <w:bottom w:w="0" w:type="dxa"/>
        </w:tblCellMar>
      </w:tblPrEx>
      <w:tc>
        <w:tcPr>
          <w:tcW w:w="8388" w:type="dxa"/>
          <w:tcBorders>
            <w:top w:val="single" w:sz="6" w:space="0" w:color="auto"/>
            <w:left w:val="nil"/>
            <w:right w:val="single" w:sz="6" w:space="0" w:color="auto"/>
          </w:tcBorders>
        </w:tcPr>
        <w:p w:rsidR="00AD49D0" w:rsidRDefault="00FA4719">
          <w:pPr>
            <w:pStyle w:val="Footer"/>
            <w:rPr>
              <w:rFonts w:ascii="Helvetica" w:hAnsi="Helvetica"/>
              <w:sz w:val="16"/>
            </w:rPr>
          </w:pPr>
          <w:r>
            <w:rPr>
              <w:rFonts w:ascii="Helvetica" w:hAnsi="Helvetica"/>
              <w:sz w:val="16"/>
            </w:rPr>
            <w:t>Signature of Senior Officer or Designee:</w:t>
          </w:r>
        </w:p>
        <w:p w:rsidR="00AD49D0" w:rsidRDefault="00FA4719">
          <w:pPr>
            <w:pStyle w:val="Footer"/>
            <w:rPr>
              <w:rFonts w:ascii="Helvetica" w:hAnsi="Helvetica"/>
              <w:sz w:val="16"/>
            </w:rPr>
          </w:pPr>
        </w:p>
        <w:p w:rsidR="00AD49D0" w:rsidRDefault="00FA4719">
          <w:pPr>
            <w:pStyle w:val="Footer"/>
            <w:rPr>
              <w:rFonts w:ascii="Helvetica" w:hAnsi="Helvetica"/>
              <w:sz w:val="16"/>
            </w:rPr>
          </w:pPr>
        </w:p>
        <w:p w:rsidR="00AD49D0" w:rsidRDefault="00FA4719">
          <w:pPr>
            <w:pStyle w:val="Footer"/>
            <w:rPr>
              <w:rFonts w:ascii="Helvetica" w:hAnsi="Helvetica"/>
              <w:sz w:val="16"/>
            </w:rPr>
          </w:pPr>
          <w:r>
            <w:rPr>
              <w:rFonts w:ascii="Helvetica" w:hAnsi="Helvetica"/>
              <w:sz w:val="16"/>
            </w:rPr>
            <w:t>X</w:t>
          </w:r>
        </w:p>
        <w:p w:rsidR="00AD49D0" w:rsidRDefault="00FA4719">
          <w:pPr>
            <w:pStyle w:val="Footer"/>
            <w:rPr>
              <w:rFonts w:ascii="Helvetica" w:hAnsi="Helvetica"/>
              <w:sz w:val="16"/>
            </w:rPr>
          </w:pPr>
        </w:p>
      </w:tc>
      <w:tc>
        <w:tcPr>
          <w:tcW w:w="2748" w:type="dxa"/>
          <w:tcBorders>
            <w:left w:val="nil"/>
          </w:tcBorders>
        </w:tcPr>
        <w:p w:rsidR="00AD49D0" w:rsidRDefault="00FA4719">
          <w:pPr>
            <w:pStyle w:val="Footer"/>
            <w:rPr>
              <w:rFonts w:ascii="Helvetica" w:hAnsi="Helvetica"/>
              <w:sz w:val="16"/>
            </w:rPr>
          </w:pPr>
          <w:r>
            <w:rPr>
              <w:rFonts w:ascii="Helvetica" w:hAnsi="Helvetica"/>
              <w:sz w:val="16"/>
            </w:rPr>
            <w:t xml:space="preserve">Date: </w:t>
          </w:r>
        </w:p>
      </w:tc>
    </w:tr>
  </w:tbl>
  <w:p w:rsidR="00AD49D0" w:rsidRDefault="00FA4719">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49D0" w:rsidRDefault="00FA471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2">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1"/>
  </w:num>
  <w:num w:numId="2">
    <w:abstractNumId w:val="4"/>
  </w:num>
  <w:num w:numId="3">
    <w:abstractNumId w:val="0"/>
  </w:num>
  <w:num w:numId="4">
    <w:abstractNumId w:val="3"/>
  </w:num>
  <w:num w:numId="5">
    <w:abstractNumId w:val="2"/>
  </w:num>
  <w:num w:numId="6">
    <w:abstractNumId w:val="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FA4719"/>
    <w:rsid w:val="000009E0"/>
    <w:rsid w:val="0005093F"/>
    <w:rsid w:val="000D4FEC"/>
    <w:rsid w:val="000E0E1A"/>
    <w:rsid w:val="002E2416"/>
    <w:rsid w:val="00344710"/>
    <w:rsid w:val="006042B9"/>
    <w:rsid w:val="00671B67"/>
    <w:rsid w:val="007157A4"/>
    <w:rsid w:val="00723D75"/>
    <w:rsid w:val="00730E45"/>
    <w:rsid w:val="00754882"/>
    <w:rsid w:val="007A1395"/>
    <w:rsid w:val="007C7101"/>
    <w:rsid w:val="007D6526"/>
    <w:rsid w:val="007E1349"/>
    <w:rsid w:val="0082766B"/>
    <w:rsid w:val="00880EC0"/>
    <w:rsid w:val="008E0D9E"/>
    <w:rsid w:val="008E46D5"/>
    <w:rsid w:val="009C610C"/>
    <w:rsid w:val="009C7755"/>
    <w:rsid w:val="00BE493E"/>
    <w:rsid w:val="00CC1B81"/>
    <w:rsid w:val="00D57A78"/>
    <w:rsid w:val="00D81CA2"/>
    <w:rsid w:val="00E1481B"/>
    <w:rsid w:val="00E2787C"/>
    <w:rsid w:val="00E37DA4"/>
    <w:rsid w:val="00EC0D65"/>
    <w:rsid w:val="00F9325D"/>
    <w:rsid w:val="00FA4719"/>
    <w:rsid w:val="00FC03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719"/>
    <w:pPr>
      <w:overflowPunct w:val="0"/>
      <w:autoSpaceDE w:val="0"/>
      <w:autoSpaceDN w:val="0"/>
      <w:adjustRightInd w:val="0"/>
      <w:ind w:firstLine="0"/>
      <w:textAlignment w:val="baseline"/>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FA4719"/>
    <w:pPr>
      <w:tabs>
        <w:tab w:val="center" w:pos="4320"/>
        <w:tab w:val="right" w:pos="8640"/>
      </w:tabs>
    </w:pPr>
  </w:style>
  <w:style w:type="character" w:customStyle="1" w:styleId="HeaderChar">
    <w:name w:val="Header Char"/>
    <w:basedOn w:val="DefaultParagraphFont"/>
    <w:link w:val="Header"/>
    <w:semiHidden/>
    <w:rsid w:val="00FA4719"/>
    <w:rPr>
      <w:rFonts w:ascii="Times New Roman" w:eastAsia="Times New Roman" w:hAnsi="Times New Roman" w:cs="Times New Roman"/>
      <w:sz w:val="20"/>
      <w:szCs w:val="20"/>
    </w:rPr>
  </w:style>
  <w:style w:type="paragraph" w:styleId="Footer">
    <w:name w:val="footer"/>
    <w:basedOn w:val="Normal"/>
    <w:link w:val="FooterChar"/>
    <w:semiHidden/>
    <w:rsid w:val="00FA4719"/>
    <w:pPr>
      <w:tabs>
        <w:tab w:val="center" w:pos="4320"/>
        <w:tab w:val="right" w:pos="8640"/>
      </w:tabs>
    </w:pPr>
  </w:style>
  <w:style w:type="character" w:customStyle="1" w:styleId="FooterChar">
    <w:name w:val="Footer Char"/>
    <w:basedOn w:val="DefaultParagraphFont"/>
    <w:link w:val="Footer"/>
    <w:semiHidden/>
    <w:rsid w:val="00FA4719"/>
    <w:rPr>
      <w:rFonts w:ascii="Times New Roman" w:eastAsia="Times New Roman" w:hAnsi="Times New Roman" w:cs="Times New Roman"/>
      <w:sz w:val="20"/>
      <w:szCs w:val="20"/>
    </w:rPr>
  </w:style>
  <w:style w:type="paragraph" w:styleId="EndnoteText">
    <w:name w:val="endnote text"/>
    <w:basedOn w:val="Normal"/>
    <w:link w:val="EndnoteTextChar"/>
    <w:semiHidden/>
    <w:rsid w:val="00FA4719"/>
    <w:pPr>
      <w:widowControl w:val="0"/>
    </w:pPr>
    <w:rPr>
      <w:rFonts w:ascii="Courier New" w:hAnsi="Courier New"/>
      <w:sz w:val="24"/>
    </w:rPr>
  </w:style>
  <w:style w:type="character" w:customStyle="1" w:styleId="EndnoteTextChar">
    <w:name w:val="Endnote Text Char"/>
    <w:basedOn w:val="DefaultParagraphFont"/>
    <w:link w:val="EndnoteText"/>
    <w:semiHidden/>
    <w:rsid w:val="00FA4719"/>
    <w:rPr>
      <w:rFonts w:ascii="Courier New" w:eastAsia="Times New Roman" w:hAnsi="Courier New" w:cs="Times New Roman"/>
      <w:sz w:val="24"/>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3682</Words>
  <Characters>20988</Characters>
  <Application>Microsoft Office Word</Application>
  <DocSecurity>0</DocSecurity>
  <Lines>174</Lines>
  <Paragraphs>49</Paragraphs>
  <ScaleCrop>false</ScaleCrop>
  <Company>Housing and Urban Development</Company>
  <LinksUpToDate>false</LinksUpToDate>
  <CharactersWithSpaces>24621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D. Kelleher</dc:creator>
  <cp:keywords/>
  <dc:description/>
  <cp:lastModifiedBy>William D. Kelleher</cp:lastModifiedBy>
  <cp:revision>1</cp:revision>
  <dcterms:created xsi:type="dcterms:W3CDTF">2012-03-01T18:01:00Z</dcterms:created>
  <dcterms:modified xsi:type="dcterms:W3CDTF">2012-03-01T18:03:00Z</dcterms:modified>
</cp:coreProperties>
</file>