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CD" w:rsidRPr="00A762D2" w:rsidRDefault="001C4ACD" w:rsidP="001C4ACD">
      <w:pPr>
        <w:pStyle w:val="NoSpacing"/>
        <w:jc w:val="center"/>
        <w:rPr>
          <w:rFonts w:ascii="Times New Roman" w:hAnsi="Times New Roman" w:cs="Times New Roman"/>
          <w:b/>
          <w:sz w:val="24"/>
          <w:szCs w:val="24"/>
        </w:rPr>
      </w:pPr>
      <w:r w:rsidRPr="00A762D2">
        <w:rPr>
          <w:rFonts w:ascii="Times New Roman" w:hAnsi="Times New Roman" w:cs="Times New Roman"/>
          <w:b/>
          <w:sz w:val="24"/>
          <w:szCs w:val="24"/>
        </w:rPr>
        <w:t xml:space="preserve">Response to OMB Questions about Addendum (Master Teacher Fellows) to </w:t>
      </w:r>
    </w:p>
    <w:p w:rsidR="001C4ACD" w:rsidRPr="00A762D2" w:rsidRDefault="001C4ACD" w:rsidP="001C4ACD">
      <w:pPr>
        <w:pStyle w:val="NoSpacing"/>
        <w:jc w:val="center"/>
        <w:rPr>
          <w:rFonts w:ascii="Times New Roman" w:hAnsi="Times New Roman" w:cs="Times New Roman"/>
          <w:b/>
          <w:sz w:val="24"/>
          <w:szCs w:val="24"/>
        </w:rPr>
      </w:pPr>
      <w:r w:rsidRPr="00A762D2">
        <w:rPr>
          <w:rFonts w:ascii="Times New Roman" w:hAnsi="Times New Roman" w:cs="Times New Roman"/>
          <w:b/>
          <w:sz w:val="24"/>
          <w:szCs w:val="24"/>
        </w:rPr>
        <w:t xml:space="preserve">NSF’s Evaluation of the Robert Noyce Teacher Scholarship Program </w:t>
      </w:r>
    </w:p>
    <w:p w:rsidR="001C4ACD" w:rsidRPr="00A762D2" w:rsidRDefault="001C4ACD" w:rsidP="001C4ACD">
      <w:pPr>
        <w:pStyle w:val="NoSpacing"/>
        <w:jc w:val="center"/>
        <w:rPr>
          <w:rFonts w:ascii="Times New Roman" w:hAnsi="Times New Roman" w:cs="Times New Roman"/>
          <w:b/>
          <w:sz w:val="24"/>
          <w:szCs w:val="24"/>
        </w:rPr>
      </w:pPr>
      <w:r w:rsidRPr="00A762D2">
        <w:rPr>
          <w:rFonts w:ascii="Times New Roman" w:hAnsi="Times New Roman" w:cs="Times New Roman"/>
          <w:b/>
          <w:sz w:val="24"/>
          <w:szCs w:val="24"/>
        </w:rPr>
        <w:t>March 2012</w:t>
      </w:r>
    </w:p>
    <w:p w:rsidR="001C4ACD" w:rsidRPr="00A762D2" w:rsidRDefault="001C4ACD" w:rsidP="001C4ACD">
      <w:pPr>
        <w:pStyle w:val="NoSpacing"/>
        <w:jc w:val="center"/>
        <w:rPr>
          <w:rFonts w:ascii="Times New Roman" w:hAnsi="Times New Roman" w:cs="Times New Roman"/>
          <w:b/>
          <w:sz w:val="24"/>
          <w:szCs w:val="24"/>
        </w:rPr>
      </w:pPr>
    </w:p>
    <w:p w:rsidR="001C4ACD" w:rsidRDefault="001C4ACD" w:rsidP="001C4ACD">
      <w:pPr>
        <w:pStyle w:val="NoSpacing"/>
        <w:numPr>
          <w:ilvl w:val="0"/>
          <w:numId w:val="1"/>
        </w:numPr>
        <w:rPr>
          <w:rFonts w:ascii="Times New Roman" w:hAnsi="Times New Roman" w:cs="Times New Roman"/>
          <w:b/>
          <w:sz w:val="24"/>
          <w:szCs w:val="24"/>
        </w:rPr>
      </w:pPr>
      <w:r w:rsidRPr="00A762D2">
        <w:rPr>
          <w:rFonts w:ascii="Times New Roman" w:hAnsi="Times New Roman" w:cs="Times New Roman"/>
          <w:b/>
          <w:sz w:val="24"/>
          <w:szCs w:val="24"/>
        </w:rPr>
        <w:t>NSF uses the term confidentiality in A10, but does not cite any confidentiality statu</w:t>
      </w:r>
      <w:r w:rsidR="006427B1">
        <w:rPr>
          <w:rFonts w:ascii="Times New Roman" w:hAnsi="Times New Roman" w:cs="Times New Roman"/>
          <w:b/>
          <w:sz w:val="24"/>
          <w:szCs w:val="24"/>
        </w:rPr>
        <w:t>t</w:t>
      </w:r>
      <w:r w:rsidRPr="00A762D2">
        <w:rPr>
          <w:rFonts w:ascii="Times New Roman" w:hAnsi="Times New Roman" w:cs="Times New Roman"/>
          <w:b/>
          <w:sz w:val="24"/>
          <w:szCs w:val="24"/>
        </w:rPr>
        <w:t>e.</w:t>
      </w:r>
    </w:p>
    <w:p w:rsidR="00BB1D6B" w:rsidRPr="00A762D2" w:rsidRDefault="00BB1D6B" w:rsidP="00BB1D6B">
      <w:pPr>
        <w:pStyle w:val="NoSpacing"/>
        <w:rPr>
          <w:rFonts w:ascii="Times New Roman" w:hAnsi="Times New Roman" w:cs="Times New Roman"/>
          <w:b/>
          <w:sz w:val="24"/>
          <w:szCs w:val="24"/>
        </w:rPr>
      </w:pPr>
    </w:p>
    <w:p w:rsidR="001C4ACD" w:rsidRDefault="001C4ACD" w:rsidP="001C4ACD">
      <w:pPr>
        <w:pStyle w:val="NoSpacing"/>
        <w:ind w:left="720"/>
        <w:rPr>
          <w:rFonts w:ascii="Times New Roman" w:hAnsi="Times New Roman" w:cs="Times New Roman"/>
          <w:sz w:val="24"/>
          <w:szCs w:val="24"/>
        </w:rPr>
      </w:pPr>
      <w:r w:rsidRPr="00A762D2">
        <w:rPr>
          <w:rFonts w:ascii="Times New Roman" w:hAnsi="Times New Roman" w:cs="Times New Roman"/>
          <w:sz w:val="24"/>
          <w:szCs w:val="24"/>
        </w:rPr>
        <w:t>The NSF confidentiality st</w:t>
      </w:r>
      <w:r w:rsidR="003D6C4A" w:rsidRPr="00A762D2">
        <w:rPr>
          <w:rFonts w:ascii="Times New Roman" w:hAnsi="Times New Roman" w:cs="Times New Roman"/>
          <w:sz w:val="24"/>
          <w:szCs w:val="24"/>
        </w:rPr>
        <w:t>atu</w:t>
      </w:r>
      <w:r w:rsidR="006427B1">
        <w:rPr>
          <w:rFonts w:ascii="Times New Roman" w:hAnsi="Times New Roman" w:cs="Times New Roman"/>
          <w:sz w:val="24"/>
          <w:szCs w:val="24"/>
        </w:rPr>
        <w:t>t</w:t>
      </w:r>
      <w:r w:rsidR="003D6C4A" w:rsidRPr="00A762D2">
        <w:rPr>
          <w:rFonts w:ascii="Times New Roman" w:hAnsi="Times New Roman" w:cs="Times New Roman"/>
          <w:sz w:val="24"/>
          <w:szCs w:val="24"/>
        </w:rPr>
        <w:t>e is 42 U.S.C. § 1873(i).</w:t>
      </w:r>
    </w:p>
    <w:p w:rsidR="00E83440" w:rsidRPr="00A762D2" w:rsidRDefault="00E83440" w:rsidP="001C4ACD">
      <w:pPr>
        <w:pStyle w:val="NoSpacing"/>
        <w:ind w:left="720"/>
        <w:rPr>
          <w:rFonts w:ascii="Times New Roman" w:hAnsi="Times New Roman" w:cs="Times New Roman"/>
          <w:sz w:val="24"/>
          <w:szCs w:val="24"/>
        </w:rPr>
      </w:pPr>
    </w:p>
    <w:p w:rsidR="001C4ACD" w:rsidRPr="00A762D2" w:rsidRDefault="001C4ACD" w:rsidP="001C4ACD">
      <w:pPr>
        <w:pStyle w:val="NoSpacing"/>
        <w:numPr>
          <w:ilvl w:val="0"/>
          <w:numId w:val="1"/>
        </w:numPr>
        <w:rPr>
          <w:rFonts w:ascii="Times New Roman" w:hAnsi="Times New Roman" w:cs="Times New Roman"/>
          <w:b/>
          <w:sz w:val="24"/>
          <w:szCs w:val="24"/>
        </w:rPr>
      </w:pPr>
      <w:r w:rsidRPr="00A762D2">
        <w:rPr>
          <w:rFonts w:ascii="Times New Roman" w:hAnsi="Times New Roman" w:cs="Times New Roman"/>
          <w:b/>
          <w:sz w:val="24"/>
          <w:szCs w:val="24"/>
        </w:rPr>
        <w:t>What is their estimated response rate?  NSF does not mentio</w:t>
      </w:r>
      <w:r w:rsidR="003D6C4A" w:rsidRPr="00A762D2">
        <w:rPr>
          <w:rFonts w:ascii="Times New Roman" w:hAnsi="Times New Roman" w:cs="Times New Roman"/>
          <w:b/>
          <w:sz w:val="24"/>
          <w:szCs w:val="24"/>
        </w:rPr>
        <w:t>n one in B</w:t>
      </w:r>
      <w:r w:rsidR="00BB1D6B">
        <w:rPr>
          <w:rFonts w:ascii="Times New Roman" w:hAnsi="Times New Roman" w:cs="Times New Roman"/>
          <w:b/>
          <w:sz w:val="24"/>
          <w:szCs w:val="24"/>
        </w:rPr>
        <w:t>3</w:t>
      </w:r>
      <w:r w:rsidR="003D6C4A" w:rsidRPr="00A762D2">
        <w:rPr>
          <w:rFonts w:ascii="Times New Roman" w:hAnsi="Times New Roman" w:cs="Times New Roman"/>
          <w:b/>
          <w:sz w:val="24"/>
          <w:szCs w:val="24"/>
        </w:rPr>
        <w:t xml:space="preserve"> though they do cont</w:t>
      </w:r>
      <w:r w:rsidRPr="00A762D2">
        <w:rPr>
          <w:rFonts w:ascii="Times New Roman" w:hAnsi="Times New Roman" w:cs="Times New Roman"/>
          <w:b/>
          <w:sz w:val="24"/>
          <w:szCs w:val="24"/>
        </w:rPr>
        <w:t>en</w:t>
      </w:r>
      <w:r w:rsidR="00E15077">
        <w:rPr>
          <w:rFonts w:ascii="Times New Roman" w:hAnsi="Times New Roman" w:cs="Times New Roman"/>
          <w:b/>
          <w:sz w:val="24"/>
          <w:szCs w:val="24"/>
        </w:rPr>
        <w:t>d</w:t>
      </w:r>
      <w:r w:rsidRPr="00A762D2">
        <w:rPr>
          <w:rFonts w:ascii="Times New Roman" w:hAnsi="Times New Roman" w:cs="Times New Roman"/>
          <w:b/>
          <w:sz w:val="24"/>
          <w:szCs w:val="24"/>
        </w:rPr>
        <w:t xml:space="preserve"> that getting all 152 members of the universe to respond will be a challenge.  In the burden tables in A12 (Exhibit 2) they seem to be assuming a 100% response rate.</w:t>
      </w:r>
    </w:p>
    <w:p w:rsidR="000C66B6" w:rsidRDefault="000C66B6" w:rsidP="008F10BE">
      <w:pPr>
        <w:pStyle w:val="BodyText"/>
        <w:spacing w:after="0"/>
        <w:ind w:left="720"/>
      </w:pPr>
    </w:p>
    <w:p w:rsidR="008F10BE" w:rsidRDefault="00BB1D6B" w:rsidP="008F10BE">
      <w:pPr>
        <w:pStyle w:val="BodyText"/>
        <w:spacing w:after="0"/>
        <w:ind w:left="720"/>
        <w:rPr>
          <w:rFonts w:eastAsiaTheme="minorHAnsi"/>
        </w:rPr>
      </w:pPr>
      <w:r w:rsidRPr="00146AAD">
        <w:rPr>
          <w:rFonts w:eastAsiaTheme="minorHAnsi"/>
        </w:rPr>
        <w:t xml:space="preserve">The estimated response rate for Master Teaching Fellows (MTFs) is at least 85 percent. Among all recipient types, it is expected that MTFs will have </w:t>
      </w:r>
      <w:r w:rsidR="008F10BE" w:rsidRPr="00146AAD">
        <w:rPr>
          <w:rFonts w:eastAsiaTheme="minorHAnsi"/>
        </w:rPr>
        <w:t xml:space="preserve">among </w:t>
      </w:r>
      <w:r w:rsidRPr="00146AAD">
        <w:rPr>
          <w:rFonts w:eastAsiaTheme="minorHAnsi"/>
        </w:rPr>
        <w:t>the highest response rate</w:t>
      </w:r>
      <w:r w:rsidR="008F10BE" w:rsidRPr="00146AAD">
        <w:rPr>
          <w:rFonts w:eastAsiaTheme="minorHAnsi"/>
        </w:rPr>
        <w:t>s</w:t>
      </w:r>
      <w:r w:rsidRPr="00146AAD">
        <w:rPr>
          <w:rFonts w:eastAsiaTheme="minorHAnsi"/>
        </w:rPr>
        <w:t xml:space="preserve">, as they </w:t>
      </w:r>
      <w:r w:rsidR="00041008" w:rsidRPr="00146AAD">
        <w:rPr>
          <w:rFonts w:eastAsiaTheme="minorHAnsi"/>
        </w:rPr>
        <w:t>are</w:t>
      </w:r>
      <w:r w:rsidRPr="00146AAD">
        <w:rPr>
          <w:rFonts w:eastAsiaTheme="minorHAnsi"/>
        </w:rPr>
        <w:t xml:space="preserve"> all currently active and receiving support</w:t>
      </w:r>
      <w:r w:rsidR="008F10BE" w:rsidRPr="00146AAD">
        <w:rPr>
          <w:rFonts w:eastAsiaTheme="minorHAnsi"/>
        </w:rPr>
        <w:t xml:space="preserve"> from the program</w:t>
      </w:r>
      <w:r w:rsidR="00041008" w:rsidRPr="00146AAD">
        <w:rPr>
          <w:rFonts w:eastAsiaTheme="minorHAnsi"/>
        </w:rPr>
        <w:t>, based on information from the Noyce Program Monitoring System</w:t>
      </w:r>
      <w:r w:rsidRPr="00146AAD">
        <w:rPr>
          <w:rFonts w:eastAsiaTheme="minorHAnsi"/>
        </w:rPr>
        <w:t xml:space="preserve">. </w:t>
      </w:r>
      <w:r w:rsidR="008F10BE" w:rsidRPr="00146AAD">
        <w:rPr>
          <w:rFonts w:eastAsiaTheme="minorHAnsi"/>
        </w:rPr>
        <w:t>Thus, the study will have current contact information for them, and they may feel more inclined to participate in the program evaluation tha</w:t>
      </w:r>
      <w:r w:rsidR="00E15077" w:rsidRPr="00146AAD">
        <w:rPr>
          <w:rFonts w:eastAsiaTheme="minorHAnsi"/>
        </w:rPr>
        <w:t xml:space="preserve">n other recipients </w:t>
      </w:r>
      <w:r w:rsidR="00E83440" w:rsidRPr="00146AAD">
        <w:rPr>
          <w:rFonts w:eastAsiaTheme="minorHAnsi"/>
        </w:rPr>
        <w:t xml:space="preserve">who </w:t>
      </w:r>
      <w:r w:rsidR="00E15077" w:rsidRPr="00146AAD">
        <w:rPr>
          <w:rFonts w:eastAsiaTheme="minorHAnsi"/>
        </w:rPr>
        <w:t>are no longer receiving support</w:t>
      </w:r>
      <w:r w:rsidR="008F10BE" w:rsidRPr="00146AAD">
        <w:rPr>
          <w:rFonts w:eastAsiaTheme="minorHAnsi"/>
        </w:rPr>
        <w:t>.</w:t>
      </w:r>
      <w:r w:rsidR="008F10BE">
        <w:rPr>
          <w:rFonts w:eastAsiaTheme="minorHAnsi"/>
        </w:rPr>
        <w:t xml:space="preserve">  </w:t>
      </w:r>
    </w:p>
    <w:p w:rsidR="008F10BE" w:rsidRDefault="008F10BE" w:rsidP="008F10BE">
      <w:pPr>
        <w:pStyle w:val="BodyText"/>
        <w:spacing w:after="0"/>
        <w:ind w:left="720"/>
        <w:rPr>
          <w:rFonts w:eastAsiaTheme="minorHAnsi"/>
        </w:rPr>
      </w:pPr>
    </w:p>
    <w:p w:rsidR="00041008" w:rsidRDefault="00041008" w:rsidP="00041008">
      <w:pPr>
        <w:pStyle w:val="BodyText"/>
        <w:spacing w:after="0"/>
        <w:ind w:left="720"/>
      </w:pPr>
      <w:r w:rsidRPr="000F5EB6">
        <w:t>The study team will</w:t>
      </w:r>
      <w:r>
        <w:t xml:space="preserve"> field online surveys for Noyce Master Teaching Fellows.  The online survey will allow us to easily identify non-respondents for follow-up emails and phone contact to encourage participation, thus substantially increasing response rates. In an effort to increase overall survey response rate, follow-up with respondents will be multi-modal. Telephone and email follow-up will be used for non-respondents.</w:t>
      </w:r>
    </w:p>
    <w:p w:rsidR="00041008" w:rsidRDefault="00041008" w:rsidP="00041008">
      <w:pPr>
        <w:pStyle w:val="BodyText"/>
        <w:spacing w:after="0"/>
        <w:ind w:left="720"/>
      </w:pPr>
    </w:p>
    <w:p w:rsidR="008F10BE" w:rsidRDefault="008F10BE" w:rsidP="008F10BE">
      <w:pPr>
        <w:pStyle w:val="BodyText"/>
        <w:spacing w:after="0"/>
        <w:ind w:left="720"/>
        <w:rPr>
          <w:rFonts w:eastAsiaTheme="minorHAnsi"/>
        </w:rPr>
      </w:pPr>
      <w:r>
        <w:rPr>
          <w:rFonts w:eastAsiaTheme="minorHAnsi"/>
        </w:rPr>
        <w:t>Exhibit 2 in Section A12 estimates the maximum burden for this group</w:t>
      </w:r>
      <w:r w:rsidR="00E15077">
        <w:rPr>
          <w:rFonts w:eastAsiaTheme="minorHAnsi"/>
        </w:rPr>
        <w:t xml:space="preserve"> of recipients</w:t>
      </w:r>
      <w:r>
        <w:rPr>
          <w:rFonts w:eastAsiaTheme="minorHAnsi"/>
        </w:rPr>
        <w:t xml:space="preserve">. </w:t>
      </w:r>
    </w:p>
    <w:p w:rsidR="003D6C4A" w:rsidRPr="00A762D2" w:rsidRDefault="003D6C4A" w:rsidP="003D6C4A">
      <w:pPr>
        <w:pStyle w:val="NoSpacing"/>
        <w:rPr>
          <w:rFonts w:ascii="Times New Roman" w:hAnsi="Times New Roman" w:cs="Times New Roman"/>
          <w:b/>
          <w:sz w:val="24"/>
          <w:szCs w:val="24"/>
        </w:rPr>
      </w:pPr>
    </w:p>
    <w:p w:rsidR="001C4ACD" w:rsidRPr="00A762D2" w:rsidRDefault="001C4ACD" w:rsidP="001C4ACD">
      <w:pPr>
        <w:pStyle w:val="NoSpacing"/>
        <w:numPr>
          <w:ilvl w:val="0"/>
          <w:numId w:val="1"/>
        </w:numPr>
        <w:rPr>
          <w:rFonts w:ascii="Times New Roman" w:hAnsi="Times New Roman" w:cs="Times New Roman"/>
          <w:b/>
          <w:sz w:val="24"/>
          <w:szCs w:val="24"/>
        </w:rPr>
      </w:pPr>
      <w:r w:rsidRPr="00A762D2">
        <w:rPr>
          <w:rFonts w:ascii="Times New Roman" w:hAnsi="Times New Roman" w:cs="Times New Roman"/>
          <w:b/>
          <w:sz w:val="24"/>
          <w:szCs w:val="24"/>
        </w:rPr>
        <w:t>Letters –</w:t>
      </w:r>
    </w:p>
    <w:p w:rsidR="001C4ACD" w:rsidRPr="00A762D2" w:rsidRDefault="001C4ACD" w:rsidP="001C4ACD">
      <w:pPr>
        <w:pStyle w:val="NoSpacing"/>
        <w:numPr>
          <w:ilvl w:val="1"/>
          <w:numId w:val="1"/>
        </w:numPr>
        <w:rPr>
          <w:rFonts w:ascii="Times New Roman" w:hAnsi="Times New Roman" w:cs="Times New Roman"/>
          <w:b/>
          <w:sz w:val="24"/>
          <w:szCs w:val="24"/>
        </w:rPr>
      </w:pPr>
      <w:r w:rsidRPr="00A762D2">
        <w:rPr>
          <w:rFonts w:ascii="Times New Roman" w:hAnsi="Times New Roman" w:cs="Times New Roman"/>
          <w:b/>
          <w:sz w:val="24"/>
          <w:szCs w:val="24"/>
        </w:rPr>
        <w:t>The OMB/PRA statement needs to be included in all the letters and emails.</w:t>
      </w:r>
    </w:p>
    <w:p w:rsidR="001C4ACD" w:rsidRPr="00A762D2" w:rsidRDefault="001C4ACD" w:rsidP="001C4ACD">
      <w:pPr>
        <w:pStyle w:val="NoSpacing"/>
        <w:numPr>
          <w:ilvl w:val="1"/>
          <w:numId w:val="1"/>
        </w:numPr>
        <w:rPr>
          <w:rFonts w:ascii="Times New Roman" w:hAnsi="Times New Roman" w:cs="Times New Roman"/>
          <w:b/>
          <w:sz w:val="24"/>
          <w:szCs w:val="24"/>
        </w:rPr>
      </w:pPr>
      <w:r w:rsidRPr="00A762D2">
        <w:rPr>
          <w:rFonts w:ascii="Times New Roman" w:hAnsi="Times New Roman" w:cs="Times New Roman"/>
          <w:b/>
          <w:sz w:val="24"/>
          <w:szCs w:val="24"/>
        </w:rPr>
        <w:t xml:space="preserve">The letter from Abt doesn’t seem to be specifically about the MFTs.  Is this the correct </w:t>
      </w:r>
      <w:r w:rsidR="001B1D62" w:rsidRPr="00A762D2">
        <w:rPr>
          <w:rFonts w:ascii="Times New Roman" w:hAnsi="Times New Roman" w:cs="Times New Roman"/>
          <w:b/>
          <w:sz w:val="24"/>
          <w:szCs w:val="24"/>
        </w:rPr>
        <w:t>letter?</w:t>
      </w:r>
    </w:p>
    <w:p w:rsidR="001C4ACD" w:rsidRPr="00A762D2" w:rsidRDefault="001C4ACD" w:rsidP="001C4ACD">
      <w:pPr>
        <w:pStyle w:val="NoSpacing"/>
        <w:ind w:left="720"/>
        <w:rPr>
          <w:rFonts w:ascii="Times New Roman" w:hAnsi="Times New Roman" w:cs="Times New Roman"/>
          <w:b/>
          <w:sz w:val="24"/>
          <w:szCs w:val="24"/>
        </w:rPr>
      </w:pPr>
    </w:p>
    <w:p w:rsidR="003D6C4A" w:rsidRPr="00A762D2" w:rsidRDefault="003D6C4A" w:rsidP="003D6C4A">
      <w:pPr>
        <w:pStyle w:val="NoSpacing"/>
        <w:numPr>
          <w:ilvl w:val="0"/>
          <w:numId w:val="2"/>
        </w:numPr>
        <w:rPr>
          <w:rFonts w:ascii="Times New Roman" w:hAnsi="Times New Roman" w:cs="Times New Roman"/>
          <w:sz w:val="24"/>
          <w:szCs w:val="24"/>
        </w:rPr>
      </w:pPr>
      <w:r w:rsidRPr="00A762D2">
        <w:rPr>
          <w:rFonts w:ascii="Times New Roman" w:hAnsi="Times New Roman" w:cs="Times New Roman"/>
          <w:sz w:val="24"/>
          <w:szCs w:val="24"/>
        </w:rPr>
        <w:t>NSF will insert the following OMB/PRA statement in all letters and emails.</w:t>
      </w:r>
    </w:p>
    <w:p w:rsidR="003D6C4A" w:rsidRPr="00A762D2" w:rsidRDefault="003D6C4A" w:rsidP="003D6C4A">
      <w:pPr>
        <w:pStyle w:val="NoSpacing"/>
        <w:rPr>
          <w:rFonts w:ascii="Times New Roman" w:hAnsi="Times New Roman" w:cs="Times New Roman"/>
          <w:sz w:val="24"/>
          <w:szCs w:val="24"/>
        </w:rPr>
      </w:pPr>
    </w:p>
    <w:p w:rsidR="003D6C4A" w:rsidRPr="00A762D2" w:rsidRDefault="003D6C4A" w:rsidP="003D6C4A">
      <w:pPr>
        <w:tabs>
          <w:tab w:val="left" w:pos="1080"/>
        </w:tabs>
        <w:ind w:left="1080"/>
        <w:rPr>
          <w:rFonts w:ascii="Times New Roman" w:hAnsi="Times New Roman"/>
        </w:rPr>
      </w:pPr>
      <w:r w:rsidRPr="00A762D2">
        <w:rPr>
          <w:rFonts w:ascii="Times New Roman" w:hAnsi="Times New Roman"/>
        </w:rPr>
        <w:t>Pursuant to 5 CFR 1320.5(b),</w:t>
      </w:r>
      <w:r w:rsidRPr="00A762D2">
        <w:rPr>
          <w:rFonts w:ascii="Times New Roman" w:hAnsi="Times New Roman"/>
          <w:snapToGrid w:val="0"/>
        </w:rPr>
        <w:t xml:space="preserve"> an agency may not conduct or sponsor, and a person is not required to respond to an information collection unless it displays a valid OMB control number</w:t>
      </w:r>
      <w:r w:rsidRPr="00A762D2">
        <w:rPr>
          <w:rFonts w:ascii="Times New Roman" w:hAnsi="Times New Roman"/>
        </w:rPr>
        <w:t xml:space="preserve">.  The OMB control number for this collection is 3145-0217.  Public reporting burden for this collection of information is estimated to average </w:t>
      </w:r>
      <w:r w:rsidR="00E15077">
        <w:rPr>
          <w:rFonts w:ascii="Times New Roman" w:hAnsi="Times New Roman"/>
        </w:rPr>
        <w:t xml:space="preserve">30 </w:t>
      </w:r>
      <w:r w:rsidRPr="00A762D2">
        <w:rPr>
          <w:rFonts w:ascii="Times New Roman" w:hAnsi="Times New Roman"/>
        </w:rPr>
        <w:t>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3D6C4A" w:rsidRPr="00A762D2" w:rsidRDefault="003D6C4A" w:rsidP="003D6C4A">
      <w:pPr>
        <w:pStyle w:val="NoSpacing"/>
        <w:ind w:left="720"/>
        <w:rPr>
          <w:rFonts w:ascii="Times New Roman" w:hAnsi="Times New Roman" w:cs="Times New Roman"/>
          <w:sz w:val="24"/>
          <w:szCs w:val="24"/>
        </w:rPr>
      </w:pPr>
    </w:p>
    <w:p w:rsidR="001C4ACD" w:rsidRPr="000C66B6" w:rsidRDefault="003D6C4A" w:rsidP="000C66B6">
      <w:pPr>
        <w:pStyle w:val="NoSpacing"/>
        <w:numPr>
          <w:ilvl w:val="0"/>
          <w:numId w:val="2"/>
        </w:numPr>
        <w:rPr>
          <w:rFonts w:ascii="Times New Roman" w:hAnsi="Times New Roman" w:cs="Times New Roman"/>
          <w:sz w:val="24"/>
          <w:szCs w:val="24"/>
        </w:rPr>
      </w:pPr>
      <w:r w:rsidRPr="00A762D2">
        <w:rPr>
          <w:rFonts w:ascii="Times New Roman" w:hAnsi="Times New Roman" w:cs="Times New Roman"/>
          <w:sz w:val="24"/>
          <w:szCs w:val="24"/>
        </w:rPr>
        <w:t xml:space="preserve">The attached letter is the correct letter for the MFTs.  In addition, NSF’s letter inviting participation in the study is </w:t>
      </w:r>
      <w:r w:rsidR="000C66B6">
        <w:rPr>
          <w:rFonts w:ascii="Times New Roman" w:hAnsi="Times New Roman" w:cs="Times New Roman"/>
          <w:sz w:val="24"/>
          <w:szCs w:val="24"/>
        </w:rPr>
        <w:t xml:space="preserve">also </w:t>
      </w:r>
      <w:r w:rsidRPr="00A762D2">
        <w:rPr>
          <w:rFonts w:ascii="Times New Roman" w:hAnsi="Times New Roman" w:cs="Times New Roman"/>
          <w:sz w:val="24"/>
          <w:szCs w:val="24"/>
        </w:rPr>
        <w:t>attached.</w:t>
      </w:r>
      <w:bookmarkStart w:id="0" w:name="_GoBack"/>
      <w:bookmarkEnd w:id="0"/>
    </w:p>
    <w:sectPr w:rsidR="001C4ACD" w:rsidRPr="000C66B6" w:rsidSect="004D136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BE" w:rsidRDefault="008F10BE" w:rsidP="003D6C4A">
      <w:r>
        <w:separator/>
      </w:r>
    </w:p>
  </w:endnote>
  <w:endnote w:type="continuationSeparator" w:id="0">
    <w:p w:rsidR="008F10BE" w:rsidRDefault="008F10BE" w:rsidP="003D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BE" w:rsidRDefault="008F10BE" w:rsidP="003D6C4A">
      <w:r>
        <w:separator/>
      </w:r>
    </w:p>
  </w:footnote>
  <w:footnote w:type="continuationSeparator" w:id="0">
    <w:p w:rsidR="008F10BE" w:rsidRDefault="008F10BE" w:rsidP="003D6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146AAD">
      <w:trPr>
        <w:trHeight w:val="288"/>
      </w:trPr>
      <w:sdt>
        <w:sdtPr>
          <w:rPr>
            <w:rFonts w:asciiTheme="majorHAnsi" w:eastAsiaTheme="majorEastAsia" w:hAnsiTheme="majorHAnsi" w:cstheme="majorBidi"/>
            <w:sz w:val="20"/>
            <w:szCs w:val="20"/>
          </w:rPr>
          <w:alias w:val="Title"/>
          <w:id w:val="77761602"/>
          <w:placeholder>
            <w:docPart w:val="070644682B6C4D53A30AB7ACBFAE755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46AAD" w:rsidRDefault="00146AAD" w:rsidP="00146AAD">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0"/>
                  <w:szCs w:val="20"/>
                </w:rPr>
                <w:t>Response</w:t>
              </w:r>
              <w:r w:rsidRPr="00146AAD">
                <w:rPr>
                  <w:rFonts w:asciiTheme="majorHAnsi" w:eastAsiaTheme="majorEastAsia" w:hAnsiTheme="majorHAnsi" w:cstheme="majorBidi"/>
                  <w:sz w:val="20"/>
                  <w:szCs w:val="20"/>
                </w:rPr>
                <w:t xml:space="preserve"> to OMB: Robert Noyce Teacher Scholarship Program – Addendum: Master Teacher Fellows (MTF) </w:t>
              </w:r>
            </w:p>
          </w:tc>
        </w:sdtContent>
      </w:sdt>
      <w:tc>
        <w:tcPr>
          <w:tcW w:w="1105" w:type="dxa"/>
        </w:tcPr>
        <w:p w:rsidR="00146AAD" w:rsidRPr="00146AAD" w:rsidRDefault="00513A81">
          <w:pPr>
            <w:pStyle w:val="Header"/>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color w:val="4F81BD" w:themeColor="accent1"/>
              <w:sz w:val="20"/>
              <w:szCs w:val="20"/>
            </w:rPr>
            <w:t>03</w:t>
          </w:r>
          <w:r w:rsidR="00146AAD" w:rsidRPr="00146AAD">
            <w:rPr>
              <w:rFonts w:asciiTheme="majorHAnsi" w:eastAsiaTheme="majorEastAsia" w:hAnsiTheme="majorHAnsi" w:cstheme="majorBidi"/>
              <w:b/>
              <w:bCs/>
              <w:color w:val="4F81BD" w:themeColor="accent1"/>
              <w:sz w:val="20"/>
              <w:szCs w:val="20"/>
            </w:rPr>
            <w:t>.2012</w:t>
          </w:r>
        </w:p>
      </w:tc>
    </w:tr>
  </w:tbl>
  <w:p w:rsidR="008F10BE" w:rsidRDefault="008F10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2C32"/>
    <w:multiLevelType w:val="hybridMultilevel"/>
    <w:tmpl w:val="07E071A2"/>
    <w:lvl w:ilvl="0" w:tplc="8138C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AD4A8E"/>
    <w:multiLevelType w:val="hybridMultilevel"/>
    <w:tmpl w:val="11263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4D136E"/>
    <w:rsid w:val="00041008"/>
    <w:rsid w:val="00082178"/>
    <w:rsid w:val="000B29E5"/>
    <w:rsid w:val="000C66B6"/>
    <w:rsid w:val="000D77CA"/>
    <w:rsid w:val="000E2864"/>
    <w:rsid w:val="00146AAD"/>
    <w:rsid w:val="0016730B"/>
    <w:rsid w:val="001B1D62"/>
    <w:rsid w:val="001C4ACD"/>
    <w:rsid w:val="001D2BC1"/>
    <w:rsid w:val="001D483B"/>
    <w:rsid w:val="001D5BF0"/>
    <w:rsid w:val="002125DF"/>
    <w:rsid w:val="00240800"/>
    <w:rsid w:val="002A768B"/>
    <w:rsid w:val="003D6C4A"/>
    <w:rsid w:val="00407E06"/>
    <w:rsid w:val="004D136E"/>
    <w:rsid w:val="00513A81"/>
    <w:rsid w:val="0053034C"/>
    <w:rsid w:val="00547E44"/>
    <w:rsid w:val="00554A26"/>
    <w:rsid w:val="005E10ED"/>
    <w:rsid w:val="006427B1"/>
    <w:rsid w:val="006F46F9"/>
    <w:rsid w:val="00750EFE"/>
    <w:rsid w:val="008101F0"/>
    <w:rsid w:val="00834EFC"/>
    <w:rsid w:val="008363CC"/>
    <w:rsid w:val="00874CB1"/>
    <w:rsid w:val="008B0F10"/>
    <w:rsid w:val="008F10BE"/>
    <w:rsid w:val="009E7FED"/>
    <w:rsid w:val="00A6392D"/>
    <w:rsid w:val="00A762D2"/>
    <w:rsid w:val="00AC4E67"/>
    <w:rsid w:val="00BB1D6B"/>
    <w:rsid w:val="00C13233"/>
    <w:rsid w:val="00CC32C0"/>
    <w:rsid w:val="00D0741E"/>
    <w:rsid w:val="00DF50D6"/>
    <w:rsid w:val="00E15077"/>
    <w:rsid w:val="00E56168"/>
    <w:rsid w:val="00E83440"/>
    <w:rsid w:val="00EA30E1"/>
    <w:rsid w:val="00EC1361"/>
    <w:rsid w:val="00EC3090"/>
    <w:rsid w:val="00FF6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ACD"/>
    <w:pPr>
      <w:spacing w:after="0" w:line="240" w:lineRule="auto"/>
    </w:pPr>
  </w:style>
  <w:style w:type="paragraph" w:styleId="Header">
    <w:name w:val="header"/>
    <w:basedOn w:val="Normal"/>
    <w:link w:val="HeaderChar"/>
    <w:uiPriority w:val="99"/>
    <w:unhideWhenUsed/>
    <w:rsid w:val="003D6C4A"/>
    <w:pPr>
      <w:tabs>
        <w:tab w:val="center" w:pos="4680"/>
        <w:tab w:val="right" w:pos="9360"/>
      </w:tabs>
    </w:pPr>
  </w:style>
  <w:style w:type="character" w:customStyle="1" w:styleId="HeaderChar">
    <w:name w:val="Header Char"/>
    <w:basedOn w:val="DefaultParagraphFont"/>
    <w:link w:val="Header"/>
    <w:uiPriority w:val="99"/>
    <w:rsid w:val="003D6C4A"/>
    <w:rPr>
      <w:rFonts w:ascii="Calibri" w:hAnsi="Calibri" w:cs="Times New Roman"/>
    </w:rPr>
  </w:style>
  <w:style w:type="paragraph" w:styleId="Footer">
    <w:name w:val="footer"/>
    <w:basedOn w:val="Normal"/>
    <w:link w:val="FooterChar"/>
    <w:uiPriority w:val="99"/>
    <w:semiHidden/>
    <w:unhideWhenUsed/>
    <w:rsid w:val="003D6C4A"/>
    <w:pPr>
      <w:tabs>
        <w:tab w:val="center" w:pos="4680"/>
        <w:tab w:val="right" w:pos="9360"/>
      </w:tabs>
    </w:pPr>
  </w:style>
  <w:style w:type="character" w:customStyle="1" w:styleId="FooterChar">
    <w:name w:val="Footer Char"/>
    <w:basedOn w:val="DefaultParagraphFont"/>
    <w:link w:val="Footer"/>
    <w:uiPriority w:val="99"/>
    <w:semiHidden/>
    <w:rsid w:val="003D6C4A"/>
    <w:rPr>
      <w:rFonts w:ascii="Calibri" w:hAnsi="Calibri" w:cs="Times New Roman"/>
    </w:rPr>
  </w:style>
  <w:style w:type="paragraph" w:styleId="BodyText">
    <w:name w:val="Body Text"/>
    <w:basedOn w:val="Normal"/>
    <w:link w:val="BodyTextChar"/>
    <w:uiPriority w:val="99"/>
    <w:unhideWhenUsed/>
    <w:rsid w:val="00BB1D6B"/>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BB1D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6AAD"/>
    <w:rPr>
      <w:rFonts w:ascii="Tahoma" w:hAnsi="Tahoma" w:cs="Tahoma"/>
      <w:sz w:val="16"/>
      <w:szCs w:val="16"/>
    </w:rPr>
  </w:style>
  <w:style w:type="character" w:customStyle="1" w:styleId="BalloonTextChar">
    <w:name w:val="Balloon Text Char"/>
    <w:basedOn w:val="DefaultParagraphFont"/>
    <w:link w:val="BalloonText"/>
    <w:uiPriority w:val="99"/>
    <w:semiHidden/>
    <w:rsid w:val="00146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1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0644682B6C4D53A30AB7ACBFAE755E"/>
        <w:category>
          <w:name w:val="General"/>
          <w:gallery w:val="placeholder"/>
        </w:category>
        <w:types>
          <w:type w:val="bbPlcHdr"/>
        </w:types>
        <w:behaviors>
          <w:behavior w:val="content"/>
        </w:behaviors>
        <w:guid w:val="{219A7726-9582-4628-8371-B7729049F794}"/>
      </w:docPartPr>
      <w:docPartBody>
        <w:p w:rsidR="00000000" w:rsidRDefault="00CB3443" w:rsidP="00CB3443">
          <w:pPr>
            <w:pStyle w:val="070644682B6C4D53A30AB7ACBFAE755E"/>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B3443"/>
    <w:rsid w:val="00CB3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644682B6C4D53A30AB7ACBFAE755E">
    <w:name w:val="070644682B6C4D53A30AB7ACBFAE755E"/>
    <w:rsid w:val="00CB3443"/>
  </w:style>
  <w:style w:type="paragraph" w:customStyle="1" w:styleId="977D62A9815A4FED98F1170ECD137B8B">
    <w:name w:val="977D62A9815A4FED98F1170ECD137B8B"/>
    <w:rsid w:val="00CB3443"/>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OMB: Robert Noyce Teacher Scholarship Program – Addendum: Master Teacher Fellows (MTF) </dc:title>
  <dc:creator>Connie Kubo Della-Piana</dc:creator>
  <cp:lastModifiedBy>Connie Kubo Della-Piana</cp:lastModifiedBy>
  <cp:revision>2</cp:revision>
  <cp:lastPrinted>2012-03-28T17:24:00Z</cp:lastPrinted>
  <dcterms:created xsi:type="dcterms:W3CDTF">2012-03-28T21:11:00Z</dcterms:created>
  <dcterms:modified xsi:type="dcterms:W3CDTF">2012-03-28T21:11:00Z</dcterms:modified>
</cp:coreProperties>
</file>