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F1" w:rsidRPr="00386D4F" w:rsidRDefault="007D3F04" w:rsidP="00DD66F1">
      <w:pPr>
        <w:spacing w:line="480" w:lineRule="auto"/>
        <w:jc w:val="center"/>
        <w:rPr>
          <w:b/>
          <w:bCs/>
          <w:sz w:val="24"/>
          <w:szCs w:val="24"/>
        </w:rPr>
      </w:pPr>
      <w:r w:rsidRPr="007D3F04">
        <w:rPr>
          <w:b/>
          <w:bCs/>
          <w:sz w:val="24"/>
          <w:szCs w:val="24"/>
        </w:rPr>
        <w:t>THE INTEGRITY PROGRAM (TIP) DATA COLLECTION</w:t>
      </w:r>
    </w:p>
    <w:p w:rsidR="00DD66F1" w:rsidRPr="00386D4F" w:rsidRDefault="007D3F04" w:rsidP="00DD66F1">
      <w:pPr>
        <w:spacing w:line="480" w:lineRule="auto"/>
        <w:jc w:val="center"/>
        <w:rPr>
          <w:b/>
          <w:bCs/>
          <w:sz w:val="24"/>
          <w:szCs w:val="24"/>
        </w:rPr>
      </w:pPr>
      <w:r w:rsidRPr="007D3F04">
        <w:rPr>
          <w:b/>
          <w:bCs/>
          <w:sz w:val="24"/>
          <w:szCs w:val="24"/>
        </w:rPr>
        <w:t>FNS – 698, 699 and 700</w:t>
      </w:r>
    </w:p>
    <w:p w:rsidR="00DD66F1" w:rsidRPr="00386D4F" w:rsidRDefault="00DD66F1" w:rsidP="00DD66F1">
      <w:pPr>
        <w:spacing w:line="480" w:lineRule="auto"/>
        <w:rPr>
          <w:b/>
          <w:bCs/>
          <w:spacing w:val="-3"/>
          <w:sz w:val="24"/>
          <w:szCs w:val="24"/>
        </w:rPr>
      </w:pPr>
    </w:p>
    <w:p w:rsidR="00DD66F1" w:rsidRPr="00386D4F" w:rsidRDefault="007D3F04" w:rsidP="00DD66F1">
      <w:pPr>
        <w:spacing w:line="480" w:lineRule="auto"/>
        <w:jc w:val="center"/>
        <w:rPr>
          <w:b/>
          <w:bCs/>
          <w:spacing w:val="-3"/>
          <w:sz w:val="24"/>
          <w:szCs w:val="24"/>
        </w:rPr>
      </w:pPr>
      <w:r w:rsidRPr="007D3F04">
        <w:rPr>
          <w:b/>
          <w:bCs/>
          <w:spacing w:val="-3"/>
          <w:sz w:val="24"/>
          <w:szCs w:val="24"/>
        </w:rPr>
        <w:t>Tony Hardy, Program Analyst</w:t>
      </w:r>
    </w:p>
    <w:p w:rsidR="00DD66F1" w:rsidRPr="00386D4F" w:rsidRDefault="007D3F04" w:rsidP="00DD66F1">
      <w:pPr>
        <w:spacing w:line="480" w:lineRule="auto"/>
        <w:jc w:val="center"/>
        <w:rPr>
          <w:b/>
          <w:bCs/>
          <w:spacing w:val="-3"/>
          <w:sz w:val="24"/>
          <w:szCs w:val="24"/>
        </w:rPr>
      </w:pPr>
      <w:r w:rsidRPr="007D3F04">
        <w:rPr>
          <w:b/>
          <w:bCs/>
          <w:spacing w:val="-3"/>
          <w:sz w:val="24"/>
          <w:szCs w:val="24"/>
        </w:rPr>
        <w:t>Food and Nutrition Service, USDA</w:t>
      </w:r>
    </w:p>
    <w:p w:rsidR="00DD66F1" w:rsidRPr="00386D4F" w:rsidRDefault="007D3F04" w:rsidP="00DD66F1">
      <w:pPr>
        <w:spacing w:line="480" w:lineRule="auto"/>
        <w:jc w:val="center"/>
        <w:rPr>
          <w:b/>
          <w:bCs/>
          <w:spacing w:val="-3"/>
          <w:sz w:val="24"/>
          <w:szCs w:val="24"/>
        </w:rPr>
      </w:pPr>
      <w:r w:rsidRPr="007D3F04">
        <w:rPr>
          <w:b/>
          <w:bCs/>
          <w:spacing w:val="-3"/>
          <w:sz w:val="24"/>
          <w:szCs w:val="24"/>
        </w:rPr>
        <w:t xml:space="preserve">Special Supplemental Food Programs Division </w:t>
      </w:r>
    </w:p>
    <w:p w:rsidR="00DD66F1" w:rsidRPr="00386D4F" w:rsidRDefault="00EE3DB9" w:rsidP="00DD66F1">
      <w:pPr>
        <w:spacing w:line="480" w:lineRule="auto"/>
        <w:jc w:val="center"/>
        <w:rPr>
          <w:b/>
          <w:bCs/>
          <w:spacing w:val="-3"/>
          <w:sz w:val="24"/>
          <w:szCs w:val="24"/>
        </w:rPr>
      </w:pPr>
      <w:r>
        <w:rPr>
          <w:b/>
          <w:bCs/>
          <w:spacing w:val="-3"/>
          <w:sz w:val="24"/>
          <w:szCs w:val="24"/>
        </w:rPr>
        <w:t>Funding</w:t>
      </w:r>
      <w:r w:rsidR="00843356">
        <w:rPr>
          <w:b/>
          <w:bCs/>
          <w:spacing w:val="-3"/>
          <w:sz w:val="24"/>
          <w:szCs w:val="24"/>
        </w:rPr>
        <w:t>, Reporting</w:t>
      </w:r>
      <w:r w:rsidR="007D3C80">
        <w:rPr>
          <w:b/>
          <w:bCs/>
          <w:spacing w:val="-3"/>
          <w:sz w:val="24"/>
          <w:szCs w:val="24"/>
        </w:rPr>
        <w:t xml:space="preserve">, Analysis and </w:t>
      </w:r>
      <w:r w:rsidR="007D3F04" w:rsidRPr="007D3F04">
        <w:rPr>
          <w:b/>
          <w:bCs/>
          <w:spacing w:val="-3"/>
          <w:sz w:val="24"/>
          <w:szCs w:val="24"/>
        </w:rPr>
        <w:t>Monitoring Branch</w:t>
      </w:r>
    </w:p>
    <w:p w:rsidR="00DD66F1" w:rsidRPr="00386D4F" w:rsidRDefault="007D3F04" w:rsidP="00DD66F1">
      <w:pPr>
        <w:spacing w:line="480" w:lineRule="auto"/>
        <w:jc w:val="center"/>
        <w:rPr>
          <w:b/>
          <w:bCs/>
          <w:spacing w:val="-3"/>
          <w:sz w:val="24"/>
          <w:szCs w:val="24"/>
        </w:rPr>
      </w:pPr>
      <w:r w:rsidRPr="007D3F04">
        <w:rPr>
          <w:b/>
          <w:bCs/>
          <w:spacing w:val="-3"/>
          <w:sz w:val="24"/>
          <w:szCs w:val="24"/>
        </w:rPr>
        <w:t>3101 Park Center Drive</w:t>
      </w:r>
    </w:p>
    <w:p w:rsidR="00DD66F1" w:rsidRPr="00386D4F" w:rsidRDefault="007D3F04" w:rsidP="00DD66F1">
      <w:pPr>
        <w:spacing w:line="480" w:lineRule="auto"/>
        <w:jc w:val="center"/>
        <w:rPr>
          <w:b/>
          <w:bCs/>
          <w:spacing w:val="-3"/>
          <w:sz w:val="24"/>
          <w:szCs w:val="24"/>
        </w:rPr>
      </w:pPr>
      <w:r w:rsidRPr="007D3F04">
        <w:rPr>
          <w:b/>
          <w:bCs/>
          <w:spacing w:val="-3"/>
          <w:sz w:val="24"/>
          <w:szCs w:val="24"/>
        </w:rPr>
        <w:t>Alexandria, VA  22302</w:t>
      </w:r>
    </w:p>
    <w:p w:rsidR="00DD66F1" w:rsidRPr="00386D4F" w:rsidRDefault="007D3F04" w:rsidP="00DD66F1">
      <w:pPr>
        <w:spacing w:line="480" w:lineRule="auto"/>
        <w:jc w:val="center"/>
        <w:rPr>
          <w:b/>
          <w:bCs/>
          <w:spacing w:val="-3"/>
          <w:sz w:val="24"/>
          <w:szCs w:val="24"/>
        </w:rPr>
      </w:pPr>
      <w:r w:rsidRPr="007D3F04">
        <w:rPr>
          <w:b/>
          <w:bCs/>
          <w:spacing w:val="-3"/>
          <w:sz w:val="24"/>
          <w:szCs w:val="24"/>
        </w:rPr>
        <w:t xml:space="preserve">PH:  703-305-2715 </w:t>
      </w:r>
    </w:p>
    <w:p w:rsidR="00DD66F1" w:rsidRPr="00386D4F" w:rsidRDefault="007D3F04" w:rsidP="00DD66F1">
      <w:pPr>
        <w:spacing w:line="480" w:lineRule="auto"/>
        <w:jc w:val="center"/>
        <w:rPr>
          <w:b/>
          <w:bCs/>
          <w:spacing w:val="-3"/>
          <w:sz w:val="24"/>
          <w:szCs w:val="24"/>
        </w:rPr>
      </w:pPr>
      <w:r w:rsidRPr="007D3F04">
        <w:rPr>
          <w:b/>
          <w:bCs/>
          <w:spacing w:val="-3"/>
          <w:sz w:val="24"/>
          <w:szCs w:val="24"/>
        </w:rPr>
        <w:t>Tony.Hardy@fns.usda.gov</w:t>
      </w:r>
    </w:p>
    <w:p w:rsidR="00DD66F1" w:rsidRDefault="00DD66F1" w:rsidP="00A91FED">
      <w:pPr>
        <w:tabs>
          <w:tab w:val="left" w:pos="9630"/>
          <w:tab w:val="left" w:pos="9810"/>
        </w:tabs>
        <w:ind w:right="792"/>
        <w:jc w:val="center"/>
        <w:rPr>
          <w:b/>
          <w:sz w:val="24"/>
          <w:szCs w:val="24"/>
        </w:rPr>
      </w:pPr>
    </w:p>
    <w:p w:rsidR="00DD66F1" w:rsidRDefault="00DD66F1">
      <w:pPr>
        <w:rPr>
          <w:b/>
          <w:sz w:val="24"/>
          <w:szCs w:val="24"/>
        </w:rPr>
      </w:pPr>
      <w:r>
        <w:rPr>
          <w:b/>
          <w:sz w:val="24"/>
          <w:szCs w:val="24"/>
        </w:rPr>
        <w:br w:type="page"/>
      </w:r>
    </w:p>
    <w:p w:rsidR="00DD66F1" w:rsidRPr="009B1C75" w:rsidRDefault="00DD66F1" w:rsidP="00DD66F1">
      <w:pPr>
        <w:pStyle w:val="BodyText"/>
        <w:outlineLvl w:val="0"/>
        <w:rPr>
          <w:b w:val="0"/>
          <w:sz w:val="22"/>
          <w:szCs w:val="22"/>
        </w:rPr>
      </w:pPr>
      <w:r w:rsidRPr="009B1C75">
        <w:rPr>
          <w:sz w:val="22"/>
          <w:szCs w:val="22"/>
        </w:rPr>
        <w:lastRenderedPageBreak/>
        <w:t xml:space="preserve">Table of Contents </w:t>
      </w:r>
    </w:p>
    <w:p w:rsidR="00DD66F1" w:rsidRPr="009B1C75" w:rsidRDefault="001A7E35" w:rsidP="00DD66F1">
      <w:pPr>
        <w:pStyle w:val="TOC1"/>
        <w:tabs>
          <w:tab w:val="right" w:leader="dot" w:pos="8990"/>
        </w:tabs>
        <w:rPr>
          <w:rFonts w:ascii="Times New Roman" w:hAnsi="Times New Roman"/>
          <w:noProof/>
          <w:sz w:val="22"/>
          <w:szCs w:val="22"/>
        </w:rPr>
      </w:pPr>
      <w:r w:rsidRPr="001A7E35">
        <w:rPr>
          <w:rFonts w:ascii="Times New Roman" w:hAnsi="Times New Roman"/>
          <w:sz w:val="22"/>
          <w:szCs w:val="22"/>
        </w:rPr>
        <w:fldChar w:fldCharType="begin"/>
      </w:r>
      <w:r w:rsidR="00DD66F1" w:rsidRPr="009B1C75">
        <w:rPr>
          <w:rFonts w:ascii="Times New Roman" w:hAnsi="Times New Roman"/>
          <w:sz w:val="22"/>
          <w:szCs w:val="22"/>
        </w:rPr>
        <w:instrText xml:space="preserve"> TOC \o "1-2" \h \z \u </w:instrText>
      </w:r>
      <w:r w:rsidRPr="001A7E35">
        <w:rPr>
          <w:rFonts w:ascii="Times New Roman" w:hAnsi="Times New Roman"/>
          <w:sz w:val="22"/>
          <w:szCs w:val="22"/>
        </w:rPr>
        <w:fldChar w:fldCharType="separate"/>
      </w:r>
      <w:hyperlink w:anchor="_Toc185926661" w:history="1">
        <w:r w:rsidR="00DD66F1" w:rsidRPr="009B1C75">
          <w:rPr>
            <w:rStyle w:val="Hyperlink"/>
            <w:rFonts w:ascii="Times New Roman" w:hAnsi="Times New Roman"/>
            <w:noProof/>
            <w:sz w:val="22"/>
            <w:szCs w:val="22"/>
          </w:rPr>
          <w:t>Part A  Justification</w:t>
        </w:r>
        <w:r w:rsidR="00DD66F1" w:rsidRPr="009B1C75">
          <w:rPr>
            <w:rFonts w:ascii="Times New Roman" w:hAnsi="Times New Roman"/>
            <w:b/>
            <w:noProof/>
            <w:webHidden/>
            <w:sz w:val="22"/>
            <w:szCs w:val="22"/>
          </w:rPr>
          <w:tab/>
        </w:r>
      </w:hyperlink>
      <w:r w:rsidR="005F2B15">
        <w:t>3</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2" w:history="1">
        <w:r w:rsidR="00DD66F1" w:rsidRPr="009B1C75">
          <w:rPr>
            <w:rStyle w:val="Hyperlink"/>
            <w:rFonts w:ascii="Times New Roman" w:hAnsi="Times New Roman"/>
            <w:noProof/>
            <w:sz w:val="22"/>
            <w:szCs w:val="22"/>
          </w:rPr>
          <w:t>A.1</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Explanation of Circumstances That Make Collection of Data Necessary</w:t>
        </w:r>
        <w:r w:rsidR="00DD66F1" w:rsidRPr="009B1C75">
          <w:rPr>
            <w:rFonts w:ascii="Times New Roman" w:hAnsi="Times New Roman"/>
            <w:noProof/>
            <w:webHidden/>
            <w:sz w:val="22"/>
            <w:szCs w:val="22"/>
          </w:rPr>
          <w:tab/>
        </w:r>
      </w:hyperlink>
      <w:r w:rsidR="00DD66F1" w:rsidRPr="009B1C75">
        <w:rPr>
          <w:rStyle w:val="Hyperlink"/>
          <w:rFonts w:ascii="Times New Roman" w:hAnsi="Times New Roman"/>
          <w:noProof/>
          <w:sz w:val="22"/>
          <w:szCs w:val="22"/>
        </w:rPr>
        <w:t>3</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3" w:history="1">
        <w:r w:rsidR="00DD66F1" w:rsidRPr="009B1C75">
          <w:rPr>
            <w:rStyle w:val="Hyperlink"/>
            <w:rFonts w:ascii="Times New Roman" w:hAnsi="Times New Roman"/>
            <w:noProof/>
            <w:sz w:val="22"/>
            <w:szCs w:val="22"/>
          </w:rPr>
          <w:t>A.2</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How the Information Will Be Used, By Whom, and For What Purpose</w:t>
        </w:r>
        <w:r w:rsidR="00DD66F1" w:rsidRPr="009B1C75">
          <w:rPr>
            <w:rFonts w:ascii="Times New Roman" w:hAnsi="Times New Roman"/>
            <w:noProof/>
            <w:webHidden/>
            <w:sz w:val="22"/>
            <w:szCs w:val="22"/>
          </w:rPr>
          <w:tab/>
        </w:r>
      </w:hyperlink>
      <w:r w:rsidR="00DD66F1" w:rsidRPr="009B1C75">
        <w:rPr>
          <w:rStyle w:val="Hyperlink"/>
          <w:rFonts w:ascii="Times New Roman" w:hAnsi="Times New Roman"/>
          <w:noProof/>
          <w:sz w:val="22"/>
          <w:szCs w:val="22"/>
        </w:rPr>
        <w:t>3</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4" w:history="1">
        <w:r w:rsidR="00DD66F1" w:rsidRPr="009B1C75">
          <w:rPr>
            <w:rStyle w:val="Hyperlink"/>
            <w:rFonts w:ascii="Times New Roman" w:hAnsi="Times New Roman"/>
            <w:noProof/>
            <w:sz w:val="22"/>
            <w:szCs w:val="22"/>
          </w:rPr>
          <w:t>A.3</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Use of Improved Information Technology to Reduce Burden</w:t>
        </w:r>
        <w:r w:rsidR="00DD66F1" w:rsidRPr="009B1C75">
          <w:rPr>
            <w:rFonts w:ascii="Times New Roman" w:hAnsi="Times New Roman"/>
            <w:noProof/>
            <w:webHidden/>
            <w:sz w:val="22"/>
            <w:szCs w:val="22"/>
          </w:rPr>
          <w:tab/>
        </w:r>
      </w:hyperlink>
      <w:r w:rsidR="005F2B15">
        <w:t>4</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5" w:history="1">
        <w:r w:rsidR="00DD66F1" w:rsidRPr="009B1C75">
          <w:rPr>
            <w:rStyle w:val="Hyperlink"/>
            <w:rFonts w:ascii="Times New Roman" w:hAnsi="Times New Roman"/>
            <w:noProof/>
            <w:sz w:val="22"/>
            <w:szCs w:val="22"/>
          </w:rPr>
          <w:t>A.4</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Efforts to Identify and Avoid Duplication</w:t>
        </w:r>
        <w:r w:rsidR="00DD66F1" w:rsidRPr="009B1C75">
          <w:rPr>
            <w:rFonts w:ascii="Times New Roman" w:hAnsi="Times New Roman"/>
            <w:noProof/>
            <w:webHidden/>
            <w:sz w:val="22"/>
            <w:szCs w:val="22"/>
          </w:rPr>
          <w:tab/>
        </w:r>
      </w:hyperlink>
      <w:r w:rsidR="005F2B15">
        <w:t>5</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6" w:history="1">
        <w:r w:rsidR="00DD66F1" w:rsidRPr="009B1C75">
          <w:rPr>
            <w:rStyle w:val="Hyperlink"/>
            <w:rFonts w:ascii="Times New Roman" w:hAnsi="Times New Roman"/>
            <w:noProof/>
            <w:sz w:val="22"/>
            <w:szCs w:val="22"/>
          </w:rPr>
          <w:t>A.5</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Efforts to Minimize Burden on Small Businesses or Other Entities</w:t>
        </w:r>
        <w:r w:rsidR="00DD66F1" w:rsidRPr="009B1C75">
          <w:rPr>
            <w:rFonts w:ascii="Times New Roman" w:hAnsi="Times New Roman"/>
            <w:noProof/>
            <w:webHidden/>
            <w:sz w:val="22"/>
            <w:szCs w:val="22"/>
          </w:rPr>
          <w:tab/>
        </w:r>
      </w:hyperlink>
      <w:r w:rsidR="005F2B15">
        <w:t>5</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7" w:history="1">
        <w:r w:rsidR="00DD66F1" w:rsidRPr="009B1C75">
          <w:rPr>
            <w:rStyle w:val="Hyperlink"/>
            <w:rFonts w:ascii="Times New Roman" w:hAnsi="Times New Roman"/>
            <w:noProof/>
            <w:sz w:val="22"/>
            <w:szCs w:val="22"/>
          </w:rPr>
          <w:t>A.6</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Consequences of Less Frequent Data Collection</w:t>
        </w:r>
        <w:r w:rsidR="00DD66F1" w:rsidRPr="009B1C75">
          <w:rPr>
            <w:rFonts w:ascii="Times New Roman" w:hAnsi="Times New Roman"/>
            <w:noProof/>
            <w:webHidden/>
            <w:sz w:val="22"/>
            <w:szCs w:val="22"/>
          </w:rPr>
          <w:tab/>
        </w:r>
      </w:hyperlink>
      <w:r w:rsidR="005F2B15">
        <w:t>5</w:t>
      </w:r>
    </w:p>
    <w:p w:rsidR="00DD66F1" w:rsidRPr="009B1C75" w:rsidRDefault="001A7E35" w:rsidP="00DD66F1">
      <w:pPr>
        <w:pStyle w:val="TOC2"/>
        <w:tabs>
          <w:tab w:val="left" w:pos="1152"/>
          <w:tab w:val="right" w:leader="dot" w:pos="8990"/>
        </w:tabs>
        <w:ind w:left="1152" w:hanging="432"/>
        <w:rPr>
          <w:rFonts w:ascii="Times New Roman" w:hAnsi="Times New Roman"/>
          <w:noProof/>
          <w:sz w:val="22"/>
          <w:szCs w:val="22"/>
        </w:rPr>
      </w:pPr>
      <w:hyperlink w:anchor="_Toc185926668" w:history="1">
        <w:r w:rsidR="00DD66F1" w:rsidRPr="009B1C75">
          <w:rPr>
            <w:rStyle w:val="Hyperlink"/>
            <w:rFonts w:ascii="Times New Roman" w:hAnsi="Times New Roman"/>
            <w:noProof/>
            <w:sz w:val="22"/>
            <w:szCs w:val="22"/>
          </w:rPr>
          <w:t>A.7</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Special Circumstances Requiring Collection of Information in a Manner Inconsistent with Section 1320.5(d)(2) of the Code of Federal Regulations</w:t>
        </w:r>
        <w:r w:rsidR="00DD66F1" w:rsidRPr="009B1C75">
          <w:rPr>
            <w:rFonts w:ascii="Times New Roman" w:hAnsi="Times New Roman"/>
            <w:noProof/>
            <w:webHidden/>
            <w:sz w:val="22"/>
            <w:szCs w:val="22"/>
          </w:rPr>
          <w:tab/>
        </w:r>
      </w:hyperlink>
      <w:r w:rsidR="005F2B15">
        <w:rPr>
          <w:rStyle w:val="Hyperlink"/>
          <w:rFonts w:ascii="Times New Roman" w:hAnsi="Times New Roman"/>
          <w:noProof/>
          <w:sz w:val="22"/>
          <w:szCs w:val="22"/>
        </w:rPr>
        <w:t>6</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69" w:history="1">
        <w:r w:rsidR="00DD66F1" w:rsidRPr="009B1C75">
          <w:rPr>
            <w:rStyle w:val="Hyperlink"/>
            <w:rFonts w:ascii="Times New Roman" w:hAnsi="Times New Roman"/>
            <w:noProof/>
            <w:sz w:val="22"/>
            <w:szCs w:val="22"/>
          </w:rPr>
          <w:t>A.8</w:t>
        </w:r>
        <w:r w:rsidR="00DD66F1" w:rsidRPr="009B1C75">
          <w:rPr>
            <w:rFonts w:ascii="Times New Roman" w:hAnsi="Times New Roman"/>
            <w:noProof/>
            <w:sz w:val="22"/>
            <w:szCs w:val="22"/>
          </w:rPr>
          <w:tab/>
        </w:r>
        <w:r w:rsidR="00DD66F1" w:rsidRPr="009B1C75">
          <w:rPr>
            <w:rStyle w:val="Hyperlink"/>
            <w:rFonts w:ascii="Times New Roman" w:hAnsi="Times New Roman"/>
            <w:noProof/>
            <w:sz w:val="22"/>
            <w:szCs w:val="22"/>
          </w:rPr>
          <w:t>Federal Register Comments and Efforts to Consult with Persons Outside the Agency</w:t>
        </w:r>
        <w:r w:rsidR="00DD66F1" w:rsidRPr="009B1C75">
          <w:rPr>
            <w:rFonts w:ascii="Times New Roman" w:hAnsi="Times New Roman"/>
            <w:noProof/>
            <w:webHidden/>
            <w:sz w:val="22"/>
            <w:szCs w:val="22"/>
          </w:rPr>
          <w:tab/>
        </w:r>
      </w:hyperlink>
      <w:r w:rsidR="005F2B15">
        <w:rPr>
          <w:rStyle w:val="Hyperlink"/>
          <w:rFonts w:ascii="Times New Roman" w:hAnsi="Times New Roman"/>
          <w:noProof/>
          <w:sz w:val="22"/>
          <w:szCs w:val="22"/>
        </w:rPr>
        <w:t>6</w:t>
      </w:r>
    </w:p>
    <w:p w:rsidR="00DD66F1" w:rsidRPr="009B1C75" w:rsidRDefault="001A7E35" w:rsidP="00DD66F1">
      <w:pPr>
        <w:pStyle w:val="TOC2"/>
        <w:tabs>
          <w:tab w:val="left" w:pos="1152"/>
          <w:tab w:val="right" w:leader="dot" w:pos="8990"/>
        </w:tabs>
        <w:rPr>
          <w:rFonts w:ascii="Times New Roman" w:hAnsi="Times New Roman"/>
          <w:noProof/>
          <w:sz w:val="22"/>
          <w:szCs w:val="22"/>
        </w:rPr>
      </w:pPr>
      <w:hyperlink w:anchor="_Toc185926670" w:history="1">
        <w:r w:rsidR="00DD66F1" w:rsidRPr="009B1C75">
          <w:rPr>
            <w:rStyle w:val="Hyperlink"/>
            <w:rFonts w:ascii="Times New Roman" w:hAnsi="Times New Roman"/>
            <w:noProof/>
            <w:sz w:val="22"/>
            <w:szCs w:val="22"/>
          </w:rPr>
          <w:t>A.9</w:t>
        </w:r>
        <w:r w:rsidR="00DD66F1" w:rsidRPr="009B1C75">
          <w:rPr>
            <w:rFonts w:ascii="Times New Roman" w:hAnsi="Times New Roman"/>
            <w:noProof/>
            <w:sz w:val="22"/>
            <w:szCs w:val="22"/>
          </w:rPr>
          <w:tab/>
          <w:t xml:space="preserve">  </w:t>
        </w:r>
        <w:r w:rsidR="00DD66F1" w:rsidRPr="009B1C75">
          <w:rPr>
            <w:rStyle w:val="Hyperlink"/>
            <w:rFonts w:ascii="Times New Roman" w:hAnsi="Times New Roman"/>
            <w:noProof/>
            <w:sz w:val="22"/>
            <w:szCs w:val="22"/>
          </w:rPr>
          <w:t>Payments to Respondents</w:t>
        </w:r>
        <w:r w:rsidR="00DD66F1" w:rsidRPr="009B1C75">
          <w:rPr>
            <w:rFonts w:ascii="Times New Roman" w:hAnsi="Times New Roman"/>
            <w:noProof/>
            <w:webHidden/>
            <w:sz w:val="22"/>
            <w:szCs w:val="22"/>
          </w:rPr>
          <w:tab/>
        </w:r>
      </w:hyperlink>
      <w:r w:rsidR="005F2B15">
        <w:rPr>
          <w:rStyle w:val="Hyperlink"/>
          <w:rFonts w:ascii="Times New Roman" w:hAnsi="Times New Roman"/>
          <w:noProof/>
          <w:sz w:val="22"/>
          <w:szCs w:val="22"/>
        </w:rPr>
        <w:t>7</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1" w:history="1">
        <w:r w:rsidR="00DD66F1" w:rsidRPr="009B1C75">
          <w:rPr>
            <w:rStyle w:val="Hyperlink"/>
            <w:rFonts w:ascii="Times New Roman" w:hAnsi="Times New Roman"/>
            <w:noProof/>
            <w:sz w:val="22"/>
            <w:szCs w:val="22"/>
          </w:rPr>
          <w:t>A.10</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Assurance of Confidentiality</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7</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2" w:history="1">
        <w:r w:rsidR="00DD66F1" w:rsidRPr="009B1C75">
          <w:rPr>
            <w:rStyle w:val="Hyperlink"/>
            <w:rFonts w:ascii="Times New Roman" w:hAnsi="Times New Roman"/>
            <w:noProof/>
            <w:sz w:val="22"/>
            <w:szCs w:val="22"/>
          </w:rPr>
          <w:t>A.11</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Questions of a Sensitive Nature</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7</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3" w:history="1">
        <w:r w:rsidR="00DD66F1" w:rsidRPr="009B1C75">
          <w:rPr>
            <w:rStyle w:val="Hyperlink"/>
            <w:rFonts w:ascii="Times New Roman" w:hAnsi="Times New Roman"/>
            <w:noProof/>
            <w:sz w:val="22"/>
            <w:szCs w:val="22"/>
          </w:rPr>
          <w:t>A.12</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Estimates of Respondent Burden</w:t>
        </w:r>
        <w:r w:rsidR="00DD66F1" w:rsidRPr="009B1C75">
          <w:rPr>
            <w:rStyle w:val="Hyperlink"/>
            <w:rFonts w:ascii="Times New Roman" w:hAnsi="Times New Roman"/>
            <w:webHidden/>
            <w:sz w:val="22"/>
            <w:szCs w:val="22"/>
          </w:rPr>
          <w:tab/>
        </w:r>
      </w:hyperlink>
      <w:r w:rsidR="00DD66F1" w:rsidRPr="009B1C75">
        <w:rPr>
          <w:rStyle w:val="Hyperlink"/>
          <w:rFonts w:ascii="Times New Roman" w:hAnsi="Times New Roman"/>
          <w:noProof/>
          <w:sz w:val="22"/>
          <w:szCs w:val="22"/>
        </w:rPr>
        <w:t>8</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4" w:history="1">
        <w:r w:rsidR="00DD66F1" w:rsidRPr="009B1C75">
          <w:rPr>
            <w:rStyle w:val="Hyperlink"/>
            <w:rFonts w:ascii="Times New Roman" w:hAnsi="Times New Roman"/>
            <w:noProof/>
            <w:sz w:val="22"/>
            <w:szCs w:val="22"/>
          </w:rPr>
          <w:t>A.13</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Estimates of Other Annual Costs to Respondents</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11</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5" w:history="1">
        <w:r w:rsidR="00DD66F1" w:rsidRPr="009B1C75">
          <w:rPr>
            <w:rStyle w:val="Hyperlink"/>
            <w:rFonts w:ascii="Times New Roman" w:hAnsi="Times New Roman"/>
            <w:noProof/>
            <w:sz w:val="22"/>
            <w:szCs w:val="22"/>
          </w:rPr>
          <w:t>A.14</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Estimates of Annualized Government Costs</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11</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6" w:history="1">
        <w:r w:rsidR="00DD66F1" w:rsidRPr="009B1C75">
          <w:rPr>
            <w:rStyle w:val="Hyperlink"/>
            <w:rFonts w:ascii="Times New Roman" w:hAnsi="Times New Roman"/>
            <w:noProof/>
            <w:sz w:val="22"/>
            <w:szCs w:val="22"/>
          </w:rPr>
          <w:t>A.15</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Changes in Hour Burden</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11</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7" w:history="1">
        <w:r w:rsidR="00DD66F1" w:rsidRPr="009B1C75">
          <w:rPr>
            <w:rStyle w:val="Hyperlink"/>
            <w:rFonts w:ascii="Times New Roman" w:hAnsi="Times New Roman"/>
            <w:noProof/>
            <w:sz w:val="22"/>
            <w:szCs w:val="22"/>
          </w:rPr>
          <w:t>A.16</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Time Schedule, Publication, and Analysis Plans</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12</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8" w:history="1">
        <w:r w:rsidR="00DD66F1" w:rsidRPr="009B1C75">
          <w:rPr>
            <w:rStyle w:val="Hyperlink"/>
            <w:rFonts w:ascii="Times New Roman" w:hAnsi="Times New Roman"/>
            <w:noProof/>
            <w:sz w:val="22"/>
            <w:szCs w:val="22"/>
          </w:rPr>
          <w:t>A.17</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Display of Expiration Date for OMB Approval</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12</w:t>
      </w:r>
    </w:p>
    <w:p w:rsidR="00DD66F1" w:rsidRPr="009B1C75" w:rsidRDefault="001A7E35" w:rsidP="00DD66F1">
      <w:pPr>
        <w:pStyle w:val="TOC2"/>
        <w:tabs>
          <w:tab w:val="left" w:pos="1152"/>
          <w:tab w:val="right" w:leader="dot" w:pos="8990"/>
        </w:tabs>
        <w:rPr>
          <w:rStyle w:val="Hyperlink"/>
          <w:rFonts w:ascii="Times New Roman" w:hAnsi="Times New Roman"/>
          <w:sz w:val="22"/>
          <w:szCs w:val="22"/>
        </w:rPr>
      </w:pPr>
      <w:hyperlink w:anchor="_Toc185926679" w:history="1">
        <w:r w:rsidR="00DD66F1" w:rsidRPr="009B1C75">
          <w:rPr>
            <w:rStyle w:val="Hyperlink"/>
            <w:rFonts w:ascii="Times New Roman" w:hAnsi="Times New Roman"/>
            <w:noProof/>
            <w:sz w:val="22"/>
            <w:szCs w:val="22"/>
          </w:rPr>
          <w:t>A.18</w:t>
        </w:r>
        <w:r w:rsidR="00DD66F1" w:rsidRPr="009B1C75">
          <w:rPr>
            <w:rStyle w:val="Hyperlink"/>
            <w:rFonts w:ascii="Times New Roman" w:hAnsi="Times New Roman"/>
            <w:sz w:val="22"/>
            <w:szCs w:val="22"/>
          </w:rPr>
          <w:t xml:space="preserve">  </w:t>
        </w:r>
        <w:r w:rsidR="00DD66F1" w:rsidRPr="009B1C75">
          <w:rPr>
            <w:rStyle w:val="Hyperlink"/>
            <w:rFonts w:ascii="Times New Roman" w:hAnsi="Times New Roman"/>
            <w:noProof/>
            <w:sz w:val="22"/>
            <w:szCs w:val="22"/>
          </w:rPr>
          <w:t>Exceptions to Certification Statement</w:t>
        </w:r>
        <w:r w:rsidR="00DD66F1" w:rsidRPr="009B1C75">
          <w:rPr>
            <w:rStyle w:val="Hyperlink"/>
            <w:rFonts w:ascii="Times New Roman" w:hAnsi="Times New Roman"/>
            <w:webHidden/>
            <w:sz w:val="22"/>
            <w:szCs w:val="22"/>
          </w:rPr>
          <w:tab/>
        </w:r>
      </w:hyperlink>
      <w:r w:rsidR="005F2B15">
        <w:rPr>
          <w:rStyle w:val="Hyperlink"/>
          <w:rFonts w:ascii="Times New Roman" w:hAnsi="Times New Roman"/>
          <w:noProof/>
          <w:sz w:val="22"/>
          <w:szCs w:val="22"/>
        </w:rPr>
        <w:t>12</w:t>
      </w:r>
    </w:p>
    <w:p w:rsidR="00DD66F1" w:rsidRPr="009B1C75" w:rsidRDefault="001A7E35" w:rsidP="00DD66F1">
      <w:pPr>
        <w:pStyle w:val="BodyText"/>
        <w:tabs>
          <w:tab w:val="left" w:pos="1440"/>
          <w:tab w:val="right" w:leader="dot" w:pos="9000"/>
        </w:tabs>
        <w:rPr>
          <w:sz w:val="22"/>
          <w:szCs w:val="22"/>
        </w:rPr>
      </w:pPr>
      <w:r w:rsidRPr="009B1C75">
        <w:rPr>
          <w:sz w:val="22"/>
          <w:szCs w:val="22"/>
        </w:rPr>
        <w:fldChar w:fldCharType="end"/>
      </w:r>
    </w:p>
    <w:p w:rsidR="00DD66F1" w:rsidRPr="009B1C75" w:rsidRDefault="00DD66F1" w:rsidP="00DD66F1">
      <w:pPr>
        <w:pStyle w:val="BodyText"/>
        <w:tabs>
          <w:tab w:val="left" w:pos="1440"/>
          <w:tab w:val="right" w:leader="dot" w:pos="9000"/>
        </w:tabs>
        <w:rPr>
          <w:b w:val="0"/>
          <w:sz w:val="22"/>
          <w:szCs w:val="22"/>
        </w:rPr>
      </w:pPr>
    </w:p>
    <w:p w:rsidR="00DD66F1" w:rsidRPr="009B1C75" w:rsidRDefault="00DD66F1" w:rsidP="00DD66F1">
      <w:pPr>
        <w:outlineLvl w:val="0"/>
        <w:rPr>
          <w:b/>
          <w:sz w:val="22"/>
          <w:szCs w:val="22"/>
        </w:rPr>
      </w:pPr>
      <w:r w:rsidRPr="009B1C75">
        <w:rPr>
          <w:b/>
          <w:sz w:val="22"/>
          <w:szCs w:val="22"/>
        </w:rPr>
        <w:t xml:space="preserve">List of Attachments </w:t>
      </w:r>
    </w:p>
    <w:p w:rsidR="00DD66F1" w:rsidRPr="009B1C75" w:rsidRDefault="00DD66F1" w:rsidP="00DD66F1">
      <w:pPr>
        <w:rPr>
          <w:sz w:val="22"/>
          <w:szCs w:val="22"/>
        </w:rPr>
      </w:pPr>
    </w:p>
    <w:p w:rsidR="00DD66F1" w:rsidRDefault="00DD66F1" w:rsidP="00DD66F1">
      <w:pPr>
        <w:outlineLvl w:val="0"/>
        <w:rPr>
          <w:sz w:val="22"/>
          <w:szCs w:val="22"/>
        </w:rPr>
      </w:pPr>
      <w:r w:rsidRPr="009B1C75">
        <w:rPr>
          <w:sz w:val="22"/>
          <w:szCs w:val="22"/>
        </w:rPr>
        <w:t xml:space="preserve">Appendix A: </w:t>
      </w:r>
      <w:r w:rsidR="00235B39">
        <w:rPr>
          <w:sz w:val="22"/>
          <w:szCs w:val="22"/>
        </w:rPr>
        <w:t>Child Nutrition Act of 1966, As Amended Through Public Law 111-296, Effective December 13, 2010</w:t>
      </w:r>
    </w:p>
    <w:p w:rsidR="00DD66F1" w:rsidRPr="009B1C75" w:rsidRDefault="00DD66F1" w:rsidP="00DD66F1">
      <w:pPr>
        <w:outlineLvl w:val="0"/>
        <w:rPr>
          <w:sz w:val="22"/>
          <w:szCs w:val="22"/>
        </w:rPr>
      </w:pPr>
      <w:r>
        <w:rPr>
          <w:sz w:val="22"/>
          <w:szCs w:val="22"/>
        </w:rPr>
        <w:t>Appendix B: Title 7 CFR Part 246.12(</w:t>
      </w:r>
      <w:r w:rsidR="00235B39">
        <w:rPr>
          <w:sz w:val="22"/>
          <w:szCs w:val="22"/>
        </w:rPr>
        <w:t>j</w:t>
      </w:r>
      <w:r>
        <w:rPr>
          <w:sz w:val="22"/>
          <w:szCs w:val="22"/>
        </w:rPr>
        <w:t>)(5)</w:t>
      </w:r>
    </w:p>
    <w:p w:rsidR="00DD66F1" w:rsidRPr="009B1C75" w:rsidRDefault="00DD66F1" w:rsidP="00DD66F1">
      <w:pPr>
        <w:rPr>
          <w:sz w:val="22"/>
          <w:szCs w:val="22"/>
        </w:rPr>
      </w:pPr>
      <w:r w:rsidRPr="009B1C75">
        <w:rPr>
          <w:sz w:val="22"/>
          <w:szCs w:val="22"/>
        </w:rPr>
        <w:t xml:space="preserve">Appendix </w:t>
      </w:r>
      <w:r>
        <w:rPr>
          <w:sz w:val="22"/>
          <w:szCs w:val="22"/>
        </w:rPr>
        <w:t>C</w:t>
      </w:r>
      <w:r w:rsidRPr="009B1C75">
        <w:rPr>
          <w:sz w:val="22"/>
          <w:szCs w:val="22"/>
        </w:rPr>
        <w:t>: 60 Day Federal Register Notice</w:t>
      </w:r>
    </w:p>
    <w:p w:rsidR="00DD66F1" w:rsidRPr="009B1C75" w:rsidRDefault="00DD66F1" w:rsidP="00DD66F1">
      <w:pPr>
        <w:rPr>
          <w:sz w:val="22"/>
          <w:szCs w:val="22"/>
        </w:rPr>
      </w:pPr>
      <w:r w:rsidRPr="009B1C75">
        <w:rPr>
          <w:sz w:val="22"/>
          <w:szCs w:val="22"/>
        </w:rPr>
        <w:t xml:space="preserve">Appendix </w:t>
      </w:r>
      <w:r>
        <w:rPr>
          <w:sz w:val="22"/>
          <w:szCs w:val="22"/>
        </w:rPr>
        <w:t>D</w:t>
      </w:r>
      <w:r w:rsidRPr="009B1C75">
        <w:rPr>
          <w:sz w:val="22"/>
          <w:szCs w:val="22"/>
        </w:rPr>
        <w:t>: OMB Form 83-1</w:t>
      </w:r>
    </w:p>
    <w:p w:rsidR="00DD66F1" w:rsidRPr="009B1C75" w:rsidRDefault="00DD66F1" w:rsidP="00DD66F1">
      <w:pPr>
        <w:rPr>
          <w:sz w:val="22"/>
          <w:szCs w:val="22"/>
        </w:rPr>
      </w:pPr>
      <w:r w:rsidRPr="009B1C75">
        <w:rPr>
          <w:sz w:val="22"/>
          <w:szCs w:val="22"/>
        </w:rPr>
        <w:t xml:space="preserve">Appendix </w:t>
      </w:r>
      <w:r>
        <w:rPr>
          <w:sz w:val="22"/>
          <w:szCs w:val="22"/>
        </w:rPr>
        <w:t>E</w:t>
      </w:r>
      <w:r w:rsidRPr="009B1C75">
        <w:rPr>
          <w:sz w:val="22"/>
          <w:szCs w:val="22"/>
        </w:rPr>
        <w:t>:  FNS 698, 699 and 700</w:t>
      </w:r>
    </w:p>
    <w:p w:rsidR="00DD66F1" w:rsidRDefault="00DD66F1">
      <w:pPr>
        <w:rPr>
          <w:b/>
          <w:sz w:val="24"/>
          <w:szCs w:val="24"/>
        </w:rPr>
      </w:pPr>
      <w:r>
        <w:rPr>
          <w:b/>
          <w:sz w:val="24"/>
          <w:szCs w:val="24"/>
        </w:rPr>
        <w:br w:type="page"/>
      </w:r>
    </w:p>
    <w:p w:rsidR="00DD66F1" w:rsidRDefault="00DD66F1">
      <w:pPr>
        <w:rPr>
          <w:b/>
          <w:sz w:val="24"/>
          <w:szCs w:val="24"/>
        </w:rPr>
      </w:pPr>
    </w:p>
    <w:p w:rsidR="005E413E" w:rsidRPr="00211425" w:rsidRDefault="005E413E" w:rsidP="00A91FED">
      <w:pPr>
        <w:tabs>
          <w:tab w:val="left" w:pos="9630"/>
          <w:tab w:val="left" w:pos="9810"/>
        </w:tabs>
        <w:ind w:right="792"/>
        <w:jc w:val="center"/>
        <w:rPr>
          <w:b/>
          <w:sz w:val="24"/>
          <w:szCs w:val="24"/>
        </w:rPr>
      </w:pPr>
      <w:r w:rsidRPr="00211425">
        <w:rPr>
          <w:b/>
          <w:sz w:val="24"/>
          <w:szCs w:val="24"/>
        </w:rPr>
        <w:t>20</w:t>
      </w:r>
      <w:r w:rsidR="003D4BD1" w:rsidRPr="00211425">
        <w:rPr>
          <w:b/>
          <w:sz w:val="24"/>
          <w:szCs w:val="24"/>
        </w:rPr>
        <w:t>11</w:t>
      </w:r>
      <w:r w:rsidRPr="00211425">
        <w:rPr>
          <w:b/>
          <w:sz w:val="24"/>
          <w:szCs w:val="24"/>
        </w:rPr>
        <w:t xml:space="preserve"> SUPPORTING STATEMENT</w:t>
      </w:r>
    </w:p>
    <w:p w:rsidR="005E413E" w:rsidRPr="00211425" w:rsidRDefault="005E413E" w:rsidP="00A91FED">
      <w:pPr>
        <w:tabs>
          <w:tab w:val="left" w:pos="9630"/>
          <w:tab w:val="left" w:pos="9810"/>
        </w:tabs>
        <w:ind w:right="792"/>
        <w:jc w:val="center"/>
        <w:rPr>
          <w:b/>
          <w:sz w:val="24"/>
          <w:szCs w:val="24"/>
        </w:rPr>
      </w:pPr>
    </w:p>
    <w:p w:rsidR="005E413E" w:rsidRPr="00211425" w:rsidRDefault="003D4BD1" w:rsidP="00A91FED">
      <w:pPr>
        <w:tabs>
          <w:tab w:val="left" w:pos="9630"/>
          <w:tab w:val="left" w:pos="9810"/>
        </w:tabs>
        <w:ind w:right="792"/>
        <w:jc w:val="center"/>
        <w:rPr>
          <w:b/>
          <w:sz w:val="24"/>
          <w:szCs w:val="24"/>
        </w:rPr>
      </w:pPr>
      <w:r w:rsidRPr="00211425">
        <w:rPr>
          <w:b/>
          <w:sz w:val="24"/>
          <w:szCs w:val="24"/>
        </w:rPr>
        <w:t xml:space="preserve">WIC </w:t>
      </w:r>
      <w:r w:rsidR="00E23E8E" w:rsidRPr="00211425">
        <w:rPr>
          <w:b/>
          <w:sz w:val="24"/>
          <w:szCs w:val="24"/>
        </w:rPr>
        <w:t>Financial Management and Participation</w:t>
      </w:r>
      <w:r w:rsidRPr="00211425">
        <w:rPr>
          <w:b/>
          <w:sz w:val="24"/>
          <w:szCs w:val="24"/>
        </w:rPr>
        <w:t xml:space="preserve"> Report</w:t>
      </w:r>
      <w:r w:rsidR="00E23E8E" w:rsidRPr="00211425">
        <w:rPr>
          <w:b/>
          <w:sz w:val="24"/>
          <w:szCs w:val="24"/>
        </w:rPr>
        <w:t xml:space="preserve"> with Addendum</w:t>
      </w:r>
    </w:p>
    <w:p w:rsidR="005E413E" w:rsidRPr="00211425" w:rsidRDefault="005E413E" w:rsidP="00A91FED">
      <w:pPr>
        <w:tabs>
          <w:tab w:val="left" w:pos="9630"/>
          <w:tab w:val="left" w:pos="9810"/>
        </w:tabs>
        <w:ind w:right="792"/>
        <w:jc w:val="center"/>
        <w:rPr>
          <w:b/>
          <w:sz w:val="24"/>
          <w:szCs w:val="24"/>
        </w:rPr>
      </w:pPr>
      <w:r w:rsidRPr="00211425">
        <w:rPr>
          <w:b/>
          <w:sz w:val="24"/>
          <w:szCs w:val="24"/>
        </w:rPr>
        <w:t xml:space="preserve">OMB # </w:t>
      </w:r>
      <w:r w:rsidR="003826F8" w:rsidRPr="00211425">
        <w:rPr>
          <w:b/>
          <w:sz w:val="24"/>
          <w:szCs w:val="24"/>
        </w:rPr>
        <w:t>0584-0</w:t>
      </w:r>
      <w:r w:rsidR="00D400C6">
        <w:rPr>
          <w:b/>
          <w:sz w:val="24"/>
          <w:szCs w:val="24"/>
        </w:rPr>
        <w:t>401</w:t>
      </w:r>
    </w:p>
    <w:p w:rsidR="003D4BD1" w:rsidRPr="00211425" w:rsidRDefault="003D4BD1" w:rsidP="00A91FED">
      <w:pPr>
        <w:tabs>
          <w:tab w:val="left" w:pos="9630"/>
          <w:tab w:val="left" w:pos="9810"/>
        </w:tabs>
        <w:ind w:right="792"/>
        <w:jc w:val="center"/>
        <w:rPr>
          <w:b/>
          <w:sz w:val="24"/>
          <w:szCs w:val="24"/>
          <w:u w:val="single"/>
        </w:rPr>
      </w:pPr>
    </w:p>
    <w:p w:rsidR="005E413E" w:rsidRPr="00211425" w:rsidRDefault="005E413E" w:rsidP="00A91FED">
      <w:pPr>
        <w:tabs>
          <w:tab w:val="left" w:pos="9630"/>
          <w:tab w:val="left" w:pos="9810"/>
        </w:tabs>
        <w:ind w:right="792"/>
        <w:jc w:val="both"/>
        <w:rPr>
          <w:b/>
          <w:sz w:val="24"/>
          <w:szCs w:val="24"/>
          <w:u w:val="single"/>
        </w:rPr>
      </w:pPr>
    </w:p>
    <w:p w:rsidR="00071F56" w:rsidRPr="00211425" w:rsidRDefault="00071F56" w:rsidP="00A91FED">
      <w:pPr>
        <w:tabs>
          <w:tab w:val="left" w:pos="9630"/>
          <w:tab w:val="left" w:pos="9810"/>
        </w:tabs>
        <w:ind w:right="792"/>
        <w:rPr>
          <w:sz w:val="24"/>
          <w:szCs w:val="24"/>
        </w:rPr>
      </w:pPr>
    </w:p>
    <w:p w:rsidR="00071F56" w:rsidRPr="00211425" w:rsidRDefault="00071F56" w:rsidP="00482E9A">
      <w:pPr>
        <w:tabs>
          <w:tab w:val="left" w:pos="9630"/>
          <w:tab w:val="left" w:pos="9810"/>
        </w:tabs>
        <w:spacing w:line="480" w:lineRule="auto"/>
        <w:ind w:right="792"/>
        <w:rPr>
          <w:b/>
          <w:sz w:val="24"/>
          <w:szCs w:val="24"/>
        </w:rPr>
      </w:pPr>
      <w:r w:rsidRPr="00211425">
        <w:rPr>
          <w:b/>
          <w:sz w:val="24"/>
          <w:szCs w:val="24"/>
        </w:rPr>
        <w:t>A.  Justification</w:t>
      </w:r>
    </w:p>
    <w:p w:rsidR="00071F56" w:rsidRPr="00211425" w:rsidRDefault="00071F56" w:rsidP="00482E9A">
      <w:pPr>
        <w:tabs>
          <w:tab w:val="left" w:pos="9630"/>
          <w:tab w:val="left" w:pos="9810"/>
        </w:tabs>
        <w:spacing w:line="480" w:lineRule="auto"/>
        <w:ind w:right="792"/>
        <w:rPr>
          <w:b/>
          <w:sz w:val="24"/>
          <w:szCs w:val="24"/>
        </w:rPr>
      </w:pPr>
    </w:p>
    <w:p w:rsidR="007F1DF1" w:rsidRPr="00211425" w:rsidRDefault="00071F56" w:rsidP="00D0102B">
      <w:pPr>
        <w:tabs>
          <w:tab w:val="left" w:pos="9630"/>
          <w:tab w:val="left" w:pos="9810"/>
        </w:tabs>
        <w:spacing w:line="480" w:lineRule="auto"/>
        <w:ind w:left="720" w:right="792" w:hanging="720"/>
        <w:rPr>
          <w:sz w:val="24"/>
          <w:szCs w:val="24"/>
        </w:rPr>
      </w:pPr>
      <w:r w:rsidRPr="00211425">
        <w:rPr>
          <w:b/>
          <w:sz w:val="24"/>
          <w:szCs w:val="24"/>
        </w:rPr>
        <w:t xml:space="preserve">1. </w:t>
      </w:r>
      <w:r w:rsidRPr="0021142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D0102B">
        <w:rPr>
          <w:sz w:val="24"/>
          <w:szCs w:val="24"/>
        </w:rPr>
        <w:br/>
      </w:r>
    </w:p>
    <w:p w:rsidR="00B657CE" w:rsidRPr="00211425" w:rsidRDefault="001947EA" w:rsidP="00926525">
      <w:pPr>
        <w:tabs>
          <w:tab w:val="left" w:pos="9630"/>
          <w:tab w:val="left" w:pos="9810"/>
        </w:tabs>
        <w:spacing w:line="480" w:lineRule="auto"/>
        <w:ind w:left="720" w:right="792"/>
        <w:rPr>
          <w:sz w:val="24"/>
          <w:szCs w:val="24"/>
        </w:rPr>
      </w:pPr>
      <w:r>
        <w:rPr>
          <w:sz w:val="24"/>
          <w:szCs w:val="24"/>
        </w:rPr>
        <w:t xml:space="preserve">This is an extension of a currently approved collection.  </w:t>
      </w:r>
      <w:r w:rsidR="00B341C6">
        <w:rPr>
          <w:sz w:val="24"/>
          <w:szCs w:val="24"/>
        </w:rPr>
        <w:t xml:space="preserve">WIC Program regulations at 7 CFR 246.12(j)(5) </w:t>
      </w:r>
      <w:r w:rsidR="006E2D78">
        <w:rPr>
          <w:sz w:val="24"/>
          <w:szCs w:val="24"/>
        </w:rPr>
        <w:t>requires</w:t>
      </w:r>
      <w:r w:rsidR="00B341C6">
        <w:rPr>
          <w:sz w:val="24"/>
          <w:szCs w:val="24"/>
        </w:rPr>
        <w:t xml:space="preserve"> WIC State agencies to report annually on their vendor monitoring efforts.  This data collection system has been in place since 1989.  The data is used at the State level as a management tool and at the national level to provide Congress, the Office of the Inspector General, senior program managers, as well as the general public, assurances that program funds are being spent appropriately and that every reasonable effort is being made to prevent, detect and eliminate fraud, waste and abuse.  </w:t>
      </w:r>
    </w:p>
    <w:p w:rsidR="004D69A1" w:rsidRPr="00211425" w:rsidRDefault="004D69A1" w:rsidP="00C3230E">
      <w:pPr>
        <w:spacing w:line="480" w:lineRule="auto"/>
        <w:ind w:left="720" w:right="792"/>
        <w:rPr>
          <w:sz w:val="24"/>
          <w:szCs w:val="24"/>
        </w:rPr>
      </w:pPr>
    </w:p>
    <w:p w:rsidR="00071F56" w:rsidRPr="00211425" w:rsidRDefault="00071F56" w:rsidP="00482E9A">
      <w:pPr>
        <w:tabs>
          <w:tab w:val="left" w:pos="9630"/>
          <w:tab w:val="left" w:pos="9810"/>
        </w:tabs>
        <w:spacing w:line="480" w:lineRule="auto"/>
        <w:ind w:left="720" w:right="792" w:hanging="720"/>
        <w:rPr>
          <w:b/>
          <w:sz w:val="24"/>
          <w:szCs w:val="24"/>
        </w:rPr>
      </w:pPr>
      <w:r w:rsidRPr="00211425">
        <w:rPr>
          <w:b/>
          <w:sz w:val="24"/>
          <w:szCs w:val="24"/>
        </w:rPr>
        <w:t>2.</w:t>
      </w:r>
      <w:r w:rsidRPr="0021142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071F56" w:rsidRPr="00211425" w:rsidRDefault="00071F56" w:rsidP="00A91FED">
      <w:pPr>
        <w:tabs>
          <w:tab w:val="left" w:pos="9630"/>
          <w:tab w:val="left" w:pos="9810"/>
        </w:tabs>
        <w:ind w:left="720" w:right="792"/>
        <w:rPr>
          <w:b/>
          <w:sz w:val="24"/>
          <w:szCs w:val="24"/>
        </w:rPr>
      </w:pPr>
    </w:p>
    <w:p w:rsidR="00C71257" w:rsidRPr="00211425" w:rsidRDefault="002E0040" w:rsidP="00C3230E">
      <w:pPr>
        <w:tabs>
          <w:tab w:val="left" w:pos="9630"/>
          <w:tab w:val="left" w:pos="9810"/>
        </w:tabs>
        <w:spacing w:line="480" w:lineRule="auto"/>
        <w:ind w:left="720" w:right="792"/>
        <w:rPr>
          <w:sz w:val="24"/>
          <w:szCs w:val="24"/>
        </w:rPr>
      </w:pPr>
      <w:r>
        <w:rPr>
          <w:sz w:val="24"/>
          <w:szCs w:val="24"/>
        </w:rPr>
        <w:t>The data is analyzed by State agencies and FNS</w:t>
      </w:r>
      <w:r w:rsidR="001947EA">
        <w:rPr>
          <w:sz w:val="24"/>
          <w:szCs w:val="24"/>
        </w:rPr>
        <w:t xml:space="preserve"> using forms FNS-698, 699 and 700</w:t>
      </w:r>
      <w:r>
        <w:rPr>
          <w:sz w:val="24"/>
          <w:szCs w:val="24"/>
        </w:rPr>
        <w:t xml:space="preserve">.  A report is prepared by FNS annually that (1) assesses State agency progress in eliminating </w:t>
      </w:r>
      <w:r>
        <w:rPr>
          <w:sz w:val="24"/>
          <w:szCs w:val="24"/>
        </w:rPr>
        <w:lastRenderedPageBreak/>
        <w:t>abusive vendors, (2) assesses the level of activity that is being directed to ensure program integrity, and (3) analyzes trends over a 5-year period.  The information is used at the national level in formulating program policies and regulations.  At the FNS regional office level, the data is reviewed to identify possible vendor management deficiencies so that technical assistance can be provided to States, as needed.  At the State level, the information is used to provide assurances to the Governor’s office, and other interested parties, that WIC fraud issues are being addressed.</w:t>
      </w:r>
      <w:r w:rsidR="00C3230E" w:rsidRPr="00211425">
        <w:rPr>
          <w:sz w:val="24"/>
          <w:szCs w:val="24"/>
        </w:rPr>
        <w:br/>
      </w:r>
    </w:p>
    <w:p w:rsidR="00071F56" w:rsidRPr="00211425" w:rsidRDefault="00071F56" w:rsidP="00482E9A">
      <w:pPr>
        <w:tabs>
          <w:tab w:val="left" w:pos="9630"/>
          <w:tab w:val="left" w:pos="9810"/>
        </w:tabs>
        <w:spacing w:line="480" w:lineRule="auto"/>
        <w:ind w:left="720" w:right="792" w:hanging="720"/>
        <w:rPr>
          <w:b/>
          <w:sz w:val="24"/>
          <w:szCs w:val="24"/>
        </w:rPr>
      </w:pPr>
      <w:r w:rsidRPr="00211425">
        <w:rPr>
          <w:b/>
          <w:sz w:val="24"/>
          <w:szCs w:val="24"/>
        </w:rPr>
        <w:t xml:space="preserve">3. </w:t>
      </w:r>
      <w:r w:rsidRPr="0021142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00DD53A8" w:rsidRPr="00211425">
        <w:rPr>
          <w:b/>
          <w:sz w:val="24"/>
          <w:szCs w:val="24"/>
        </w:rPr>
        <w:t xml:space="preserve"> </w:t>
      </w:r>
      <w:r w:rsidRPr="00211425">
        <w:rPr>
          <w:b/>
          <w:sz w:val="24"/>
          <w:szCs w:val="24"/>
        </w:rPr>
        <w:t xml:space="preserve">and the basis for the decision for adopting this means of collection.  Also, describe any consideration of using information technology to reduce burden. </w:t>
      </w:r>
    </w:p>
    <w:p w:rsidR="00BA14AC" w:rsidRPr="00211425" w:rsidRDefault="00BA14AC" w:rsidP="00A91FED">
      <w:pPr>
        <w:tabs>
          <w:tab w:val="left" w:pos="9630"/>
          <w:tab w:val="left" w:pos="9810"/>
        </w:tabs>
        <w:ind w:left="720" w:right="792"/>
        <w:rPr>
          <w:sz w:val="24"/>
          <w:szCs w:val="24"/>
        </w:rPr>
      </w:pPr>
    </w:p>
    <w:p w:rsidR="00BA14AC" w:rsidRPr="00211425" w:rsidRDefault="00C3230E" w:rsidP="00C3230E">
      <w:pPr>
        <w:tabs>
          <w:tab w:val="left" w:pos="9630"/>
          <w:tab w:val="left" w:pos="9810"/>
        </w:tabs>
        <w:spacing w:line="480" w:lineRule="auto"/>
        <w:ind w:left="720" w:right="792"/>
        <w:rPr>
          <w:sz w:val="24"/>
          <w:szCs w:val="24"/>
        </w:rPr>
      </w:pPr>
      <w:r w:rsidRPr="00211425">
        <w:rPr>
          <w:sz w:val="24"/>
          <w:szCs w:val="24"/>
        </w:rPr>
        <w:t xml:space="preserve">In compliance with E-Government Act of 2002, </w:t>
      </w:r>
      <w:r w:rsidR="00F66C20">
        <w:rPr>
          <w:sz w:val="24"/>
          <w:szCs w:val="24"/>
        </w:rPr>
        <w:t xml:space="preserve">the data elements are collected 100 percent electronically from </w:t>
      </w:r>
      <w:r w:rsidRPr="00211425">
        <w:rPr>
          <w:sz w:val="24"/>
          <w:szCs w:val="24"/>
        </w:rPr>
        <w:t>all WIC State agencies</w:t>
      </w:r>
      <w:r w:rsidR="00EB703A">
        <w:rPr>
          <w:sz w:val="24"/>
          <w:szCs w:val="24"/>
        </w:rPr>
        <w:t>’ automated information</w:t>
      </w:r>
      <w:r w:rsidRPr="00211425">
        <w:rPr>
          <w:sz w:val="24"/>
          <w:szCs w:val="24"/>
        </w:rPr>
        <w:t xml:space="preserve"> systems</w:t>
      </w:r>
      <w:r w:rsidR="00F66C20">
        <w:rPr>
          <w:sz w:val="24"/>
          <w:szCs w:val="24"/>
        </w:rPr>
        <w:t xml:space="preserve">.  TIP was integrated with the Supplemental Nutrition Assistance Program (SNAP) Store Tracking and Redemption System (STARS) and its data collection </w:t>
      </w:r>
      <w:r w:rsidR="000B3720">
        <w:rPr>
          <w:sz w:val="24"/>
          <w:szCs w:val="24"/>
        </w:rPr>
        <w:t xml:space="preserve">is submitted using the STARS/TIP database.  The web site address to access TIP is </w:t>
      </w:r>
      <w:hyperlink r:id="rId12" w:history="1">
        <w:r w:rsidR="000B3720" w:rsidRPr="00CD0403">
          <w:rPr>
            <w:rStyle w:val="Hyperlink"/>
            <w:sz w:val="24"/>
            <w:szCs w:val="24"/>
          </w:rPr>
          <w:t>https://stars.fns.usda.gov/tip/</w:t>
        </w:r>
      </w:hyperlink>
      <w:r w:rsidR="000B3720">
        <w:rPr>
          <w:sz w:val="24"/>
          <w:szCs w:val="24"/>
        </w:rPr>
        <w:t>.</w:t>
      </w:r>
      <w:r w:rsidR="006564C4">
        <w:rPr>
          <w:sz w:val="24"/>
          <w:szCs w:val="24"/>
        </w:rPr>
        <w:br/>
      </w:r>
      <w:r w:rsidR="00E36346">
        <w:rPr>
          <w:sz w:val="24"/>
          <w:szCs w:val="24"/>
        </w:rPr>
        <w:br/>
        <w:t xml:space="preserve">FNS estimates approximately 95 percent of all vendors authorized by the WIC Program are also authorized by SNAP.  WIC State agencies are required to report the FNS authorization number when a vendor is authorized by both Programs.  FNS has designed features in STARS to link database information from both SNAP and WIC authorized stores.  Certain TIP data fields automatically populate with STARS data when a vendor is authorized by both </w:t>
      </w:r>
      <w:r w:rsidR="00E36346">
        <w:rPr>
          <w:sz w:val="24"/>
          <w:szCs w:val="24"/>
        </w:rPr>
        <w:lastRenderedPageBreak/>
        <w:t>Programs.  Also, FNS WIC Program staff can easily access data in STARS to obtain elements needed to characterize the WIC vendor population.  This feature has eliminated the burden on State agencies to supply this data to FNS.</w:t>
      </w:r>
      <w:r w:rsidR="000B3720">
        <w:rPr>
          <w:sz w:val="24"/>
          <w:szCs w:val="24"/>
        </w:rPr>
        <w:t xml:space="preserve">  </w:t>
      </w:r>
      <w:r w:rsidRPr="00211425">
        <w:rPr>
          <w:sz w:val="24"/>
          <w:szCs w:val="24"/>
        </w:rPr>
        <w:t xml:space="preserve"> </w:t>
      </w:r>
      <w:r w:rsidRPr="00211425">
        <w:rPr>
          <w:sz w:val="24"/>
          <w:szCs w:val="24"/>
        </w:rPr>
        <w:br/>
      </w: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4.</w:t>
      </w:r>
      <w:r w:rsidRPr="00211425">
        <w:rPr>
          <w:b/>
          <w:sz w:val="24"/>
          <w:szCs w:val="24"/>
        </w:rPr>
        <w:tab/>
        <w:t>Describe efforts to identify duplication.  Show specifically why any similar information already available cannot be used or modified for use for the purpose described in item 2 abov</w:t>
      </w:r>
      <w:r w:rsidR="00BA14AC" w:rsidRPr="00211425">
        <w:rPr>
          <w:b/>
          <w:sz w:val="24"/>
          <w:szCs w:val="24"/>
        </w:rPr>
        <w:t>e</w:t>
      </w:r>
      <w:r w:rsidR="00925299" w:rsidRPr="00211425">
        <w:rPr>
          <w:b/>
          <w:sz w:val="24"/>
          <w:szCs w:val="24"/>
        </w:rPr>
        <w:t>.</w:t>
      </w:r>
    </w:p>
    <w:p w:rsidR="00DD175A" w:rsidRPr="00C47D33" w:rsidRDefault="00DD175A" w:rsidP="00C47D33">
      <w:pPr>
        <w:tabs>
          <w:tab w:val="left" w:pos="9630"/>
          <w:tab w:val="left" w:pos="9810"/>
        </w:tabs>
        <w:spacing w:line="480" w:lineRule="auto"/>
        <w:ind w:left="720" w:right="792"/>
        <w:rPr>
          <w:sz w:val="24"/>
          <w:szCs w:val="24"/>
        </w:rPr>
      </w:pPr>
    </w:p>
    <w:p w:rsidR="00DD175A" w:rsidRPr="00211425" w:rsidRDefault="00925299" w:rsidP="00C47D33">
      <w:pPr>
        <w:tabs>
          <w:tab w:val="left" w:pos="9630"/>
          <w:tab w:val="left" w:pos="9810"/>
        </w:tabs>
        <w:spacing w:line="480" w:lineRule="auto"/>
        <w:ind w:left="720" w:right="792"/>
        <w:rPr>
          <w:b/>
          <w:sz w:val="24"/>
          <w:szCs w:val="24"/>
        </w:rPr>
      </w:pPr>
      <w:r w:rsidRPr="00C47D33">
        <w:rPr>
          <w:sz w:val="24"/>
          <w:szCs w:val="24"/>
        </w:rPr>
        <w:t>There is no duplication of this information collection request.</w:t>
      </w:r>
      <w:r w:rsidR="00C47D33" w:rsidRPr="00C47D33">
        <w:rPr>
          <w:sz w:val="24"/>
          <w:szCs w:val="24"/>
        </w:rPr>
        <w:t xml:space="preserve">  FNS </w:t>
      </w:r>
      <w:r w:rsidR="00674F32">
        <w:rPr>
          <w:sz w:val="24"/>
          <w:szCs w:val="24"/>
        </w:rPr>
        <w:t xml:space="preserve">is the </w:t>
      </w:r>
      <w:r w:rsidR="00C47D33" w:rsidRPr="00C47D33">
        <w:rPr>
          <w:sz w:val="24"/>
          <w:szCs w:val="24"/>
        </w:rPr>
        <w:t>sole</w:t>
      </w:r>
      <w:r w:rsidR="00674F32">
        <w:rPr>
          <w:sz w:val="24"/>
          <w:szCs w:val="24"/>
        </w:rPr>
        <w:t xml:space="preserve"> government agenc</w:t>
      </w:r>
      <w:r w:rsidR="00C47D33" w:rsidRPr="00C47D33">
        <w:rPr>
          <w:sz w:val="24"/>
          <w:szCs w:val="24"/>
        </w:rPr>
        <w:t>y</w:t>
      </w:r>
      <w:r w:rsidR="00674F32">
        <w:rPr>
          <w:sz w:val="24"/>
          <w:szCs w:val="24"/>
        </w:rPr>
        <w:t xml:space="preserve"> that</w:t>
      </w:r>
      <w:r w:rsidR="00C47D33" w:rsidRPr="00C47D33">
        <w:rPr>
          <w:sz w:val="24"/>
          <w:szCs w:val="24"/>
        </w:rPr>
        <w:t xml:space="preserve"> </w:t>
      </w:r>
      <w:r w:rsidR="00C47D33">
        <w:rPr>
          <w:sz w:val="24"/>
          <w:szCs w:val="24"/>
        </w:rPr>
        <w:t>monitors the WIC</w:t>
      </w:r>
      <w:r w:rsidR="00DE0D8B">
        <w:rPr>
          <w:sz w:val="24"/>
          <w:szCs w:val="24"/>
        </w:rPr>
        <w:t xml:space="preserve"> vendor monitoring efforts</w:t>
      </w:r>
      <w:r w:rsidR="00C47D33">
        <w:rPr>
          <w:sz w:val="24"/>
          <w:szCs w:val="24"/>
        </w:rPr>
        <w:t>.</w:t>
      </w:r>
    </w:p>
    <w:p w:rsidR="006E3023" w:rsidRPr="00211425" w:rsidRDefault="006E3023" w:rsidP="00A91FED">
      <w:pPr>
        <w:tabs>
          <w:tab w:val="left" w:pos="9630"/>
          <w:tab w:val="left" w:pos="9810"/>
        </w:tabs>
        <w:ind w:left="720" w:right="792"/>
        <w:rPr>
          <w:b/>
          <w:sz w:val="24"/>
          <w:szCs w:val="24"/>
        </w:rPr>
      </w:pPr>
    </w:p>
    <w:p w:rsidR="006E3023" w:rsidRPr="00211425" w:rsidRDefault="006E3023" w:rsidP="00A91FED">
      <w:pPr>
        <w:tabs>
          <w:tab w:val="left" w:pos="9630"/>
          <w:tab w:val="left" w:pos="9810"/>
        </w:tabs>
        <w:ind w:left="720" w:right="792"/>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5.</w:t>
      </w:r>
      <w:r w:rsidRPr="00211425">
        <w:rPr>
          <w:b/>
          <w:sz w:val="24"/>
          <w:szCs w:val="24"/>
        </w:rPr>
        <w:tab/>
        <w:t>If the collection of information impacts small businesses or other small entities, describe any methods used to minimize burden.</w:t>
      </w:r>
    </w:p>
    <w:p w:rsidR="00DD175A" w:rsidRPr="00211425" w:rsidRDefault="00DD175A" w:rsidP="00A91FED">
      <w:pPr>
        <w:tabs>
          <w:tab w:val="left" w:pos="9630"/>
          <w:tab w:val="left" w:pos="9810"/>
        </w:tabs>
        <w:ind w:left="720" w:right="792" w:hanging="720"/>
        <w:rPr>
          <w:b/>
          <w:sz w:val="24"/>
          <w:szCs w:val="24"/>
        </w:rPr>
      </w:pPr>
    </w:p>
    <w:p w:rsidR="001F0AD1" w:rsidRPr="00211425" w:rsidRDefault="00DD175A" w:rsidP="00925299">
      <w:pPr>
        <w:tabs>
          <w:tab w:val="left" w:pos="9630"/>
          <w:tab w:val="left" w:pos="9810"/>
        </w:tabs>
        <w:spacing w:line="480" w:lineRule="auto"/>
        <w:ind w:left="720" w:right="792" w:hanging="720"/>
        <w:rPr>
          <w:b/>
          <w:sz w:val="24"/>
          <w:szCs w:val="24"/>
        </w:rPr>
      </w:pPr>
      <w:r w:rsidRPr="00211425">
        <w:rPr>
          <w:b/>
          <w:sz w:val="24"/>
          <w:szCs w:val="24"/>
        </w:rPr>
        <w:tab/>
      </w:r>
      <w:r w:rsidR="00925299" w:rsidRPr="00211425">
        <w:rPr>
          <w:sz w:val="24"/>
          <w:szCs w:val="24"/>
        </w:rPr>
        <w:t xml:space="preserve">Many of the Indian Tribal Organization (ITO) State agencies are small organizations.  </w:t>
      </w:r>
      <w:r w:rsidR="00792199">
        <w:rPr>
          <w:sz w:val="24"/>
          <w:szCs w:val="24"/>
        </w:rPr>
        <w:t xml:space="preserve">There are </w:t>
      </w:r>
      <w:r w:rsidR="00264960">
        <w:rPr>
          <w:sz w:val="24"/>
          <w:szCs w:val="24"/>
        </w:rPr>
        <w:t xml:space="preserve">currently </w:t>
      </w:r>
      <w:r w:rsidR="00792199">
        <w:rPr>
          <w:sz w:val="24"/>
          <w:szCs w:val="24"/>
        </w:rPr>
        <w:t>t</w:t>
      </w:r>
      <w:r w:rsidR="00016776">
        <w:rPr>
          <w:sz w:val="24"/>
          <w:szCs w:val="24"/>
        </w:rPr>
        <w:t>hirty-four</w:t>
      </w:r>
      <w:r w:rsidR="00792199">
        <w:rPr>
          <w:sz w:val="24"/>
          <w:szCs w:val="24"/>
        </w:rPr>
        <w:t xml:space="preserve"> (</w:t>
      </w:r>
      <w:r w:rsidR="00016776">
        <w:rPr>
          <w:sz w:val="24"/>
          <w:szCs w:val="24"/>
        </w:rPr>
        <w:t>34</w:t>
      </w:r>
      <w:r w:rsidR="00792199">
        <w:rPr>
          <w:sz w:val="24"/>
          <w:szCs w:val="24"/>
        </w:rPr>
        <w:t xml:space="preserve">) ITO.  </w:t>
      </w:r>
      <w:r w:rsidR="00925299" w:rsidRPr="00211425">
        <w:rPr>
          <w:sz w:val="24"/>
          <w:szCs w:val="24"/>
        </w:rPr>
        <w:t xml:space="preserve">The </w:t>
      </w:r>
      <w:r w:rsidR="00A41174">
        <w:rPr>
          <w:sz w:val="24"/>
          <w:szCs w:val="24"/>
        </w:rPr>
        <w:t xml:space="preserve">TIP data collection </w:t>
      </w:r>
      <w:r w:rsidR="00925299" w:rsidRPr="00211425">
        <w:rPr>
          <w:sz w:val="24"/>
          <w:szCs w:val="24"/>
        </w:rPr>
        <w:t xml:space="preserve">minimizes their burden, as well as that of other State agencies, by limiting the information collected to that which is useful to FNS and State agencies.  </w:t>
      </w:r>
    </w:p>
    <w:p w:rsidR="00BA14AC" w:rsidRPr="00211425" w:rsidRDefault="00BA14AC" w:rsidP="00A91FED">
      <w:pPr>
        <w:tabs>
          <w:tab w:val="left" w:pos="9630"/>
          <w:tab w:val="left" w:pos="9810"/>
        </w:tabs>
        <w:ind w:left="720" w:right="792" w:hanging="720"/>
        <w:rPr>
          <w:b/>
          <w:sz w:val="24"/>
          <w:szCs w:val="24"/>
        </w:rPr>
      </w:pPr>
    </w:p>
    <w:p w:rsidR="00FC1494" w:rsidRPr="00211425" w:rsidRDefault="00711608">
      <w:pPr>
        <w:tabs>
          <w:tab w:val="left" w:pos="9630"/>
          <w:tab w:val="left" w:pos="9810"/>
        </w:tabs>
        <w:spacing w:line="480" w:lineRule="auto"/>
        <w:ind w:left="720" w:right="792" w:hanging="720"/>
        <w:rPr>
          <w:b/>
          <w:sz w:val="24"/>
          <w:szCs w:val="24"/>
        </w:rPr>
      </w:pPr>
      <w:r w:rsidRPr="00211425">
        <w:rPr>
          <w:b/>
          <w:sz w:val="24"/>
          <w:szCs w:val="24"/>
        </w:rPr>
        <w:t>6.</w:t>
      </w:r>
      <w:r w:rsidRPr="00211425">
        <w:rPr>
          <w:b/>
          <w:sz w:val="24"/>
          <w:szCs w:val="24"/>
        </w:rPr>
        <w:tab/>
      </w:r>
      <w:r w:rsidR="00071F56" w:rsidRPr="00211425">
        <w:rPr>
          <w:b/>
          <w:sz w:val="24"/>
          <w:szCs w:val="24"/>
        </w:rPr>
        <w:t>Describe the consequence to Federal program or policy activities if the collection is not conducted or is conducted less frequently, as well as any technical or legal obstacles to reducing burden.</w:t>
      </w:r>
      <w:r w:rsidR="004B1546">
        <w:rPr>
          <w:b/>
          <w:sz w:val="24"/>
          <w:szCs w:val="24"/>
        </w:rPr>
        <w:br/>
      </w:r>
    </w:p>
    <w:p w:rsidR="00FC1494" w:rsidRPr="00211425" w:rsidRDefault="007F1DF1">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t xml:space="preserve">A major consequence of less frequent collection would be the loss of timely and accurate data needed to </w:t>
      </w:r>
      <w:r w:rsidR="005129EB">
        <w:rPr>
          <w:sz w:val="24"/>
          <w:szCs w:val="24"/>
        </w:rPr>
        <w:t>identify and correct State agency vendor management and monitoring deficiencies and to implement corrective actions.</w:t>
      </w:r>
    </w:p>
    <w:p w:rsidR="007F1DF1" w:rsidRPr="00211425" w:rsidRDefault="007F1DF1">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p>
    <w:p w:rsidR="00071F56" w:rsidRPr="00211425" w:rsidRDefault="00071F56" w:rsidP="00A91FED">
      <w:pPr>
        <w:pStyle w:val="BodyTextIndent"/>
        <w:tabs>
          <w:tab w:val="left" w:pos="9630"/>
          <w:tab w:val="left" w:pos="9810"/>
        </w:tabs>
        <w:ind w:right="792"/>
        <w:rPr>
          <w:szCs w:val="24"/>
        </w:rPr>
      </w:pPr>
      <w:r w:rsidRPr="00211425">
        <w:rPr>
          <w:szCs w:val="24"/>
        </w:rPr>
        <w:t>7.</w:t>
      </w:r>
      <w:r w:rsidRPr="00211425">
        <w:rPr>
          <w:szCs w:val="24"/>
        </w:rPr>
        <w:tab/>
        <w:t>Explain any special circumstances that would cause an information collecti</w:t>
      </w:r>
      <w:r w:rsidRPr="00211425">
        <w:rPr>
          <w:szCs w:val="24"/>
        </w:rPr>
        <w:softHyphen/>
        <w:t>on to be con</w:t>
      </w:r>
      <w:r w:rsidRPr="00211425">
        <w:rPr>
          <w:szCs w:val="24"/>
        </w:rPr>
        <w:softHyphen/>
        <w:t>ducted in a manner:</w:t>
      </w:r>
    </w:p>
    <w:p w:rsidR="00071F56" w:rsidRDefault="00071F56" w:rsidP="00A91FED">
      <w:pPr>
        <w:numPr>
          <w:ilvl w:val="0"/>
          <w:numId w:val="2"/>
        </w:numPr>
        <w:tabs>
          <w:tab w:val="clear" w:pos="360"/>
          <w:tab w:val="left" w:pos="9630"/>
          <w:tab w:val="left" w:pos="9810"/>
        </w:tabs>
        <w:spacing w:after="80"/>
        <w:ind w:left="1170" w:right="792" w:hanging="450"/>
        <w:rPr>
          <w:b/>
          <w:sz w:val="24"/>
          <w:szCs w:val="24"/>
        </w:rPr>
      </w:pPr>
      <w:r w:rsidRPr="00211425">
        <w:rPr>
          <w:b/>
          <w:sz w:val="24"/>
          <w:szCs w:val="24"/>
        </w:rPr>
        <w:t>requiring respondents to report informa</w:t>
      </w:r>
      <w:r w:rsidRPr="00211425">
        <w:rPr>
          <w:b/>
          <w:sz w:val="24"/>
          <w:szCs w:val="24"/>
        </w:rPr>
        <w:softHyphen/>
        <w:t>tion to the agency more often than quarterly;</w:t>
      </w:r>
    </w:p>
    <w:p w:rsidR="00071F56" w:rsidRPr="00211425" w:rsidRDefault="00071F56" w:rsidP="00A91FED">
      <w:pPr>
        <w:numPr>
          <w:ilvl w:val="0"/>
          <w:numId w:val="3"/>
        </w:numPr>
        <w:tabs>
          <w:tab w:val="clear" w:pos="360"/>
          <w:tab w:val="left" w:pos="9630"/>
          <w:tab w:val="left" w:pos="9810"/>
        </w:tabs>
        <w:spacing w:after="80"/>
        <w:ind w:left="1170" w:right="792" w:hanging="450"/>
        <w:rPr>
          <w:b/>
          <w:sz w:val="24"/>
          <w:szCs w:val="24"/>
        </w:rPr>
      </w:pPr>
      <w:r w:rsidRPr="00211425">
        <w:rPr>
          <w:b/>
          <w:sz w:val="24"/>
          <w:szCs w:val="24"/>
        </w:rPr>
        <w:t>requiring respondents to prepare a writ</w:t>
      </w:r>
      <w:r w:rsidRPr="00211425">
        <w:rPr>
          <w:b/>
          <w:sz w:val="24"/>
          <w:szCs w:val="24"/>
        </w:rPr>
        <w:softHyphen/>
        <w:t>ten response to a collection of infor</w:t>
      </w:r>
      <w:r w:rsidRPr="00211425">
        <w:rPr>
          <w:b/>
          <w:sz w:val="24"/>
          <w:szCs w:val="24"/>
        </w:rPr>
        <w:softHyphen/>
        <w:t>ma</w:t>
      </w:r>
      <w:r w:rsidRPr="00211425">
        <w:rPr>
          <w:b/>
          <w:sz w:val="24"/>
          <w:szCs w:val="24"/>
        </w:rPr>
        <w:softHyphen/>
        <w:t>tion in fewer than 30 days after receipt of it;</w:t>
      </w:r>
    </w:p>
    <w:p w:rsidR="00071F56" w:rsidRPr="00211425" w:rsidRDefault="00071F56" w:rsidP="00A91FED">
      <w:pPr>
        <w:numPr>
          <w:ilvl w:val="0"/>
          <w:numId w:val="4"/>
        </w:numPr>
        <w:tabs>
          <w:tab w:val="clear" w:pos="360"/>
          <w:tab w:val="left" w:pos="9630"/>
          <w:tab w:val="left" w:pos="9810"/>
        </w:tabs>
        <w:spacing w:after="80"/>
        <w:ind w:left="1170" w:right="792" w:hanging="450"/>
        <w:rPr>
          <w:b/>
          <w:sz w:val="24"/>
          <w:szCs w:val="24"/>
        </w:rPr>
      </w:pPr>
      <w:r w:rsidRPr="00211425">
        <w:rPr>
          <w:b/>
          <w:sz w:val="24"/>
          <w:szCs w:val="24"/>
        </w:rPr>
        <w:t>requiring respondents to submit more than an original and two copies of any docu</w:t>
      </w:r>
      <w:r w:rsidRPr="00211425">
        <w:rPr>
          <w:b/>
          <w:sz w:val="24"/>
          <w:szCs w:val="24"/>
        </w:rPr>
        <w:softHyphen/>
        <w:t>ment;</w:t>
      </w:r>
    </w:p>
    <w:p w:rsidR="00071F56" w:rsidRPr="00211425" w:rsidRDefault="00071F56" w:rsidP="00A91FED">
      <w:pPr>
        <w:numPr>
          <w:ilvl w:val="0"/>
          <w:numId w:val="5"/>
        </w:numPr>
        <w:tabs>
          <w:tab w:val="clear" w:pos="360"/>
          <w:tab w:val="left" w:pos="9630"/>
          <w:tab w:val="left" w:pos="9810"/>
        </w:tabs>
        <w:spacing w:after="80"/>
        <w:ind w:left="1170" w:right="792" w:hanging="450"/>
        <w:rPr>
          <w:b/>
          <w:sz w:val="24"/>
          <w:szCs w:val="24"/>
        </w:rPr>
      </w:pPr>
      <w:r w:rsidRPr="00211425">
        <w:rPr>
          <w:b/>
          <w:sz w:val="24"/>
          <w:szCs w:val="24"/>
        </w:rPr>
        <w:t>requiring respondents to retain re</w:t>
      </w:r>
      <w:r w:rsidRPr="00211425">
        <w:rPr>
          <w:b/>
          <w:sz w:val="24"/>
          <w:szCs w:val="24"/>
        </w:rPr>
        <w:softHyphen/>
        <w:t>cords, other than health, medical, governm</w:t>
      </w:r>
      <w:r w:rsidRPr="00211425">
        <w:rPr>
          <w:b/>
          <w:sz w:val="24"/>
          <w:szCs w:val="24"/>
        </w:rPr>
        <w:softHyphen/>
        <w:t>ent contract, grant-in-aid, or tax records for more than three years;</w:t>
      </w:r>
    </w:p>
    <w:p w:rsidR="00071F56" w:rsidRPr="00211425" w:rsidRDefault="00071F56" w:rsidP="00A91FED">
      <w:pPr>
        <w:numPr>
          <w:ilvl w:val="0"/>
          <w:numId w:val="6"/>
        </w:numPr>
        <w:tabs>
          <w:tab w:val="clear" w:pos="360"/>
          <w:tab w:val="left" w:pos="9630"/>
          <w:tab w:val="left" w:pos="9810"/>
        </w:tabs>
        <w:spacing w:after="80"/>
        <w:ind w:left="1170" w:right="792" w:hanging="450"/>
        <w:rPr>
          <w:b/>
          <w:sz w:val="24"/>
          <w:szCs w:val="24"/>
        </w:rPr>
      </w:pPr>
      <w:r w:rsidRPr="00211425">
        <w:rPr>
          <w:b/>
          <w:sz w:val="24"/>
          <w:szCs w:val="24"/>
        </w:rPr>
        <w:t>in connection with a statisti</w:t>
      </w:r>
      <w:r w:rsidRPr="00211425">
        <w:rPr>
          <w:b/>
          <w:sz w:val="24"/>
          <w:szCs w:val="24"/>
        </w:rPr>
        <w:softHyphen/>
        <w:t>cal sur</w:t>
      </w:r>
      <w:r w:rsidRPr="00211425">
        <w:rPr>
          <w:b/>
          <w:sz w:val="24"/>
          <w:szCs w:val="24"/>
        </w:rPr>
        <w:softHyphen/>
        <w:t>vey, that is not de</w:t>
      </w:r>
      <w:r w:rsidRPr="00211425">
        <w:rPr>
          <w:b/>
          <w:sz w:val="24"/>
          <w:szCs w:val="24"/>
        </w:rPr>
        <w:softHyphen/>
        <w:t>signed to produce valid and reli</w:t>
      </w:r>
      <w:r w:rsidRPr="00211425">
        <w:rPr>
          <w:b/>
          <w:sz w:val="24"/>
          <w:szCs w:val="24"/>
        </w:rPr>
        <w:softHyphen/>
        <w:t>able results that can be general</w:t>
      </w:r>
      <w:r w:rsidRPr="00211425">
        <w:rPr>
          <w:b/>
          <w:sz w:val="24"/>
          <w:szCs w:val="24"/>
        </w:rPr>
        <w:softHyphen/>
        <w:t>ized to the uni</w:t>
      </w:r>
      <w:r w:rsidRPr="00211425">
        <w:rPr>
          <w:b/>
          <w:sz w:val="24"/>
          <w:szCs w:val="24"/>
        </w:rPr>
        <w:softHyphen/>
        <w:t>verse of study;</w:t>
      </w:r>
    </w:p>
    <w:p w:rsidR="00071F56" w:rsidRPr="00211425" w:rsidRDefault="00071F56" w:rsidP="00A91FED">
      <w:pPr>
        <w:numPr>
          <w:ilvl w:val="0"/>
          <w:numId w:val="7"/>
        </w:numPr>
        <w:tabs>
          <w:tab w:val="clear" w:pos="360"/>
          <w:tab w:val="left" w:pos="9630"/>
          <w:tab w:val="left" w:pos="9810"/>
        </w:tabs>
        <w:spacing w:after="80"/>
        <w:ind w:left="1170" w:right="792" w:hanging="450"/>
        <w:rPr>
          <w:b/>
          <w:sz w:val="24"/>
          <w:szCs w:val="24"/>
        </w:rPr>
      </w:pPr>
      <w:r w:rsidRPr="00211425">
        <w:rPr>
          <w:b/>
          <w:sz w:val="24"/>
          <w:szCs w:val="24"/>
        </w:rPr>
        <w:t>requiring the use of a statis</w:t>
      </w:r>
      <w:r w:rsidRPr="00211425">
        <w:rPr>
          <w:b/>
          <w:sz w:val="24"/>
          <w:szCs w:val="24"/>
        </w:rPr>
        <w:softHyphen/>
        <w:t>tical data classi</w:t>
      </w:r>
      <w:r w:rsidRPr="00211425">
        <w:rPr>
          <w:b/>
          <w:sz w:val="24"/>
          <w:szCs w:val="24"/>
        </w:rPr>
        <w:softHyphen/>
        <w:t>fication that has not been re</w:t>
      </w:r>
      <w:r w:rsidRPr="00211425">
        <w:rPr>
          <w:b/>
          <w:sz w:val="24"/>
          <w:szCs w:val="24"/>
        </w:rPr>
        <w:softHyphen/>
        <w:t>vie</w:t>
      </w:r>
      <w:r w:rsidRPr="00211425">
        <w:rPr>
          <w:b/>
          <w:sz w:val="24"/>
          <w:szCs w:val="24"/>
        </w:rPr>
        <w:softHyphen/>
        <w:t>wed and approved by OMB;</w:t>
      </w:r>
    </w:p>
    <w:p w:rsidR="00071F56" w:rsidRPr="00211425" w:rsidRDefault="00071F56" w:rsidP="00A91FED">
      <w:pPr>
        <w:numPr>
          <w:ilvl w:val="0"/>
          <w:numId w:val="8"/>
        </w:numPr>
        <w:tabs>
          <w:tab w:val="clear" w:pos="360"/>
          <w:tab w:val="left" w:pos="9630"/>
          <w:tab w:val="left" w:pos="9810"/>
        </w:tabs>
        <w:spacing w:after="80"/>
        <w:ind w:left="1170" w:right="792" w:hanging="450"/>
        <w:rPr>
          <w:b/>
          <w:sz w:val="24"/>
          <w:szCs w:val="24"/>
        </w:rPr>
      </w:pPr>
      <w:r w:rsidRPr="00211425">
        <w:rPr>
          <w:b/>
          <w:sz w:val="24"/>
          <w:szCs w:val="24"/>
        </w:rPr>
        <w:t>that includes a pledge of confiden</w:t>
      </w:r>
      <w:r w:rsidRPr="00211425">
        <w:rPr>
          <w:b/>
          <w:sz w:val="24"/>
          <w:szCs w:val="24"/>
        </w:rPr>
        <w:softHyphen/>
        <w:t>tiali</w:t>
      </w:r>
      <w:r w:rsidRPr="00211425">
        <w:rPr>
          <w:b/>
          <w:sz w:val="24"/>
          <w:szCs w:val="24"/>
        </w:rPr>
        <w:softHyphen/>
        <w:t>ty that is not supported by au</w:t>
      </w:r>
      <w:r w:rsidRPr="00211425">
        <w:rPr>
          <w:b/>
          <w:sz w:val="24"/>
          <w:szCs w:val="24"/>
        </w:rPr>
        <w:softHyphen/>
        <w:t>thority estab</w:t>
      </w:r>
      <w:r w:rsidRPr="00211425">
        <w:rPr>
          <w:b/>
          <w:sz w:val="24"/>
          <w:szCs w:val="24"/>
        </w:rPr>
        <w:softHyphen/>
        <w:t>lished in statute or regu</w:t>
      </w:r>
      <w:r w:rsidRPr="00211425">
        <w:rPr>
          <w:b/>
          <w:sz w:val="24"/>
          <w:szCs w:val="24"/>
        </w:rPr>
        <w:softHyphen/>
        <w:t>la</w:t>
      </w:r>
      <w:r w:rsidRPr="00211425">
        <w:rPr>
          <w:b/>
          <w:sz w:val="24"/>
          <w:szCs w:val="24"/>
        </w:rPr>
        <w:softHyphen/>
        <w:t>tion, that is not sup</w:t>
      </w:r>
      <w:r w:rsidRPr="00211425">
        <w:rPr>
          <w:b/>
          <w:sz w:val="24"/>
          <w:szCs w:val="24"/>
        </w:rPr>
        <w:softHyphen/>
        <w:t>ported by dis</w:t>
      </w:r>
      <w:r w:rsidRPr="00211425">
        <w:rPr>
          <w:b/>
          <w:sz w:val="24"/>
          <w:szCs w:val="24"/>
        </w:rPr>
        <w:softHyphen/>
        <w:t>closure and data security policies that are consistent with the pledge, or which unneces</w:t>
      </w:r>
      <w:r w:rsidRPr="00211425">
        <w:rPr>
          <w:b/>
          <w:sz w:val="24"/>
          <w:szCs w:val="24"/>
        </w:rPr>
        <w:softHyphen/>
        <w:t>sarily impedes shar</w:t>
      </w:r>
      <w:r w:rsidRPr="00211425">
        <w:rPr>
          <w:b/>
          <w:sz w:val="24"/>
          <w:szCs w:val="24"/>
        </w:rPr>
        <w:softHyphen/>
        <w:t>ing of data with other agencies for com</w:t>
      </w:r>
      <w:r w:rsidRPr="00211425">
        <w:rPr>
          <w:b/>
          <w:sz w:val="24"/>
          <w:szCs w:val="24"/>
        </w:rPr>
        <w:softHyphen/>
        <w:t>patible confiden</w:t>
      </w:r>
      <w:r w:rsidRPr="00211425">
        <w:rPr>
          <w:b/>
          <w:sz w:val="24"/>
          <w:szCs w:val="24"/>
        </w:rPr>
        <w:softHyphen/>
        <w:t>tial use; or</w:t>
      </w:r>
    </w:p>
    <w:p w:rsidR="00071F56" w:rsidRPr="00211425" w:rsidRDefault="00071F56" w:rsidP="00A91FED">
      <w:pPr>
        <w:numPr>
          <w:ilvl w:val="0"/>
          <w:numId w:val="10"/>
        </w:numPr>
        <w:tabs>
          <w:tab w:val="clear" w:pos="360"/>
          <w:tab w:val="num" w:pos="648"/>
          <w:tab w:val="left" w:pos="9630"/>
          <w:tab w:val="left" w:pos="9810"/>
        </w:tabs>
        <w:spacing w:after="80"/>
        <w:ind w:left="1170" w:right="792" w:hanging="450"/>
        <w:rPr>
          <w:sz w:val="24"/>
          <w:szCs w:val="24"/>
        </w:rPr>
      </w:pPr>
      <w:r w:rsidRPr="00211425">
        <w:rPr>
          <w:b/>
          <w:sz w:val="24"/>
          <w:szCs w:val="24"/>
        </w:rPr>
        <w:t>requiring respondents to submit propri</w:t>
      </w:r>
      <w:r w:rsidRPr="00211425">
        <w:rPr>
          <w:b/>
          <w:sz w:val="24"/>
          <w:szCs w:val="24"/>
        </w:rPr>
        <w:softHyphen/>
        <w:t>etary trade secret, or other confidential information unless the agency can demon</w:t>
      </w:r>
      <w:r w:rsidRPr="00211425">
        <w:rPr>
          <w:b/>
          <w:sz w:val="24"/>
          <w:szCs w:val="24"/>
        </w:rPr>
        <w:softHyphen/>
        <w:t>strate that it has instituted procedures to protect the information's confidentiality to the extent permit</w:t>
      </w:r>
      <w:r w:rsidRPr="00211425">
        <w:rPr>
          <w:b/>
          <w:sz w:val="24"/>
          <w:szCs w:val="24"/>
        </w:rPr>
        <w:softHyphen/>
        <w:t>ted by law.</w:t>
      </w:r>
    </w:p>
    <w:p w:rsidR="00C47D33" w:rsidRPr="00211425" w:rsidRDefault="00C47D33" w:rsidP="00F66DA6">
      <w:pPr>
        <w:tabs>
          <w:tab w:val="left" w:pos="9630"/>
          <w:tab w:val="left" w:pos="9810"/>
        </w:tabs>
        <w:spacing w:after="80" w:line="480" w:lineRule="auto"/>
        <w:ind w:left="720" w:right="792"/>
        <w:rPr>
          <w:sz w:val="24"/>
          <w:szCs w:val="24"/>
        </w:rPr>
      </w:pPr>
    </w:p>
    <w:p w:rsidR="00ED116E" w:rsidRPr="00ED116E" w:rsidRDefault="00ED116E" w:rsidP="00ED116E">
      <w:pPr>
        <w:tabs>
          <w:tab w:val="left" w:pos="9630"/>
          <w:tab w:val="left" w:pos="9810"/>
        </w:tabs>
        <w:spacing w:after="80" w:line="480" w:lineRule="auto"/>
        <w:ind w:left="720" w:right="792"/>
        <w:rPr>
          <w:sz w:val="24"/>
          <w:szCs w:val="24"/>
        </w:rPr>
      </w:pPr>
      <w:r w:rsidRPr="00ED116E">
        <w:rPr>
          <w:sz w:val="24"/>
          <w:szCs w:val="24"/>
        </w:rPr>
        <w:t>There are no special circumstances.  The collection of information is conducted in a manner consistent with the guidelines in 5 CFR 1320.5</w:t>
      </w:r>
    </w:p>
    <w:p w:rsidR="00071F56" w:rsidRPr="00211425" w:rsidRDefault="00071F56" w:rsidP="00A91FED">
      <w:pPr>
        <w:tabs>
          <w:tab w:val="left" w:pos="9630"/>
          <w:tab w:val="left" w:pos="9810"/>
        </w:tabs>
        <w:ind w:left="720" w:right="792" w:hanging="720"/>
        <w:rPr>
          <w:sz w:val="24"/>
          <w:szCs w:val="24"/>
        </w:rPr>
      </w:pPr>
    </w:p>
    <w:p w:rsidR="00FC1494" w:rsidRPr="00211425" w:rsidRDefault="00071F56">
      <w:pPr>
        <w:numPr>
          <w:ilvl w:val="0"/>
          <w:numId w:val="11"/>
        </w:numPr>
        <w:tabs>
          <w:tab w:val="left" w:pos="9630"/>
          <w:tab w:val="left" w:pos="9810"/>
        </w:tabs>
        <w:spacing w:line="480" w:lineRule="auto"/>
        <w:ind w:right="792"/>
        <w:rPr>
          <w:b/>
          <w:sz w:val="24"/>
          <w:szCs w:val="24"/>
        </w:rPr>
      </w:pPr>
      <w:r w:rsidRPr="0021142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71F56" w:rsidRPr="00211425" w:rsidRDefault="00071F56" w:rsidP="00A91FED">
      <w:pPr>
        <w:tabs>
          <w:tab w:val="left" w:pos="9630"/>
          <w:tab w:val="left" w:pos="9810"/>
        </w:tabs>
        <w:ind w:right="792"/>
        <w:rPr>
          <w:b/>
          <w:sz w:val="24"/>
          <w:szCs w:val="24"/>
        </w:rPr>
      </w:pPr>
    </w:p>
    <w:p w:rsidR="00FC1494" w:rsidRPr="00211425" w:rsidRDefault="00071F56">
      <w:pPr>
        <w:pStyle w:val="BodyTextIndent2"/>
        <w:tabs>
          <w:tab w:val="left" w:pos="9630"/>
          <w:tab w:val="left" w:pos="9810"/>
        </w:tabs>
        <w:spacing w:line="480" w:lineRule="auto"/>
        <w:ind w:right="792"/>
        <w:jc w:val="left"/>
        <w:rPr>
          <w:szCs w:val="24"/>
        </w:rPr>
      </w:pPr>
      <w:r w:rsidRPr="00211425">
        <w:rPr>
          <w:szCs w:val="24"/>
        </w:rPr>
        <w:t xml:space="preserve">Describe efforts to consult with persons outside the agency to obtain their views on the availability of data, frequency of collection, the clarity of instructions and </w:t>
      </w:r>
      <w:r w:rsidRPr="00211425">
        <w:rPr>
          <w:szCs w:val="24"/>
        </w:rPr>
        <w:lastRenderedPageBreak/>
        <w:t>recordkeeping, disclosure, or reporting form, and on the data elements to be recorded, disclosed, or reported.</w:t>
      </w:r>
    </w:p>
    <w:p w:rsidR="00CE4B2F" w:rsidRPr="00211425" w:rsidRDefault="00CE4B2F" w:rsidP="00A91FED">
      <w:pPr>
        <w:pStyle w:val="BodyTextIndent2"/>
        <w:tabs>
          <w:tab w:val="left" w:pos="9630"/>
          <w:tab w:val="left" w:pos="9810"/>
        </w:tabs>
        <w:ind w:right="792"/>
        <w:jc w:val="left"/>
        <w:rPr>
          <w:szCs w:val="24"/>
        </w:rPr>
      </w:pPr>
    </w:p>
    <w:p w:rsidR="00B2494F" w:rsidRDefault="00CE4B2F">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t>A 60-day Federal Register Notice announcing FNS’ intention to extend the use of form FNS-</w:t>
      </w:r>
      <w:r w:rsidR="00456573">
        <w:rPr>
          <w:sz w:val="24"/>
          <w:szCs w:val="24"/>
        </w:rPr>
        <w:t>698, FNS-699 and FNS-700 (TIP)</w:t>
      </w:r>
      <w:r w:rsidRPr="00211425">
        <w:rPr>
          <w:sz w:val="24"/>
          <w:szCs w:val="24"/>
        </w:rPr>
        <w:t xml:space="preserve"> was published in the Federal Register on </w:t>
      </w:r>
      <w:r w:rsidR="00456573">
        <w:rPr>
          <w:sz w:val="24"/>
          <w:szCs w:val="24"/>
        </w:rPr>
        <w:t>December 28</w:t>
      </w:r>
      <w:r w:rsidR="00CE7639" w:rsidRPr="00211425">
        <w:rPr>
          <w:sz w:val="24"/>
          <w:szCs w:val="24"/>
        </w:rPr>
        <w:t>, 2011,</w:t>
      </w:r>
      <w:r w:rsidRPr="00211425">
        <w:rPr>
          <w:sz w:val="24"/>
          <w:szCs w:val="24"/>
        </w:rPr>
        <w:t xml:space="preserve"> Volume 7</w:t>
      </w:r>
      <w:r w:rsidR="00CE7639" w:rsidRPr="00211425">
        <w:rPr>
          <w:sz w:val="24"/>
          <w:szCs w:val="24"/>
        </w:rPr>
        <w:t>6</w:t>
      </w:r>
      <w:r w:rsidRPr="00211425">
        <w:rPr>
          <w:sz w:val="24"/>
          <w:szCs w:val="24"/>
        </w:rPr>
        <w:t>,</w:t>
      </w:r>
      <w:r w:rsidR="00A2536F" w:rsidRPr="00211425">
        <w:rPr>
          <w:sz w:val="24"/>
          <w:szCs w:val="24"/>
        </w:rPr>
        <w:t xml:space="preserve"> No.</w:t>
      </w:r>
      <w:r w:rsidR="00456573">
        <w:rPr>
          <w:sz w:val="24"/>
          <w:szCs w:val="24"/>
        </w:rPr>
        <w:t>249</w:t>
      </w:r>
      <w:r w:rsidR="00A2536F" w:rsidRPr="00211425">
        <w:rPr>
          <w:sz w:val="24"/>
          <w:szCs w:val="24"/>
        </w:rPr>
        <w:t>,</w:t>
      </w:r>
      <w:r w:rsidRPr="00211425">
        <w:rPr>
          <w:sz w:val="24"/>
          <w:szCs w:val="24"/>
        </w:rPr>
        <w:t xml:space="preserve"> Page</w:t>
      </w:r>
      <w:r w:rsidR="00456573">
        <w:rPr>
          <w:sz w:val="24"/>
          <w:szCs w:val="24"/>
        </w:rPr>
        <w:t>s 81471-81472</w:t>
      </w:r>
      <w:r w:rsidR="00014F4E" w:rsidRPr="00211425">
        <w:rPr>
          <w:sz w:val="24"/>
          <w:szCs w:val="24"/>
        </w:rPr>
        <w:t xml:space="preserve">.  </w:t>
      </w:r>
      <w:r w:rsidR="00C218CA">
        <w:rPr>
          <w:sz w:val="24"/>
          <w:szCs w:val="24"/>
        </w:rPr>
        <w:t xml:space="preserve">No </w:t>
      </w:r>
      <w:r w:rsidR="00CE7639" w:rsidRPr="00211425">
        <w:rPr>
          <w:sz w:val="24"/>
          <w:szCs w:val="24"/>
        </w:rPr>
        <w:t>comment</w:t>
      </w:r>
      <w:r w:rsidR="00C218CA">
        <w:rPr>
          <w:sz w:val="24"/>
          <w:szCs w:val="24"/>
        </w:rPr>
        <w:t xml:space="preserve">s </w:t>
      </w:r>
      <w:r w:rsidR="00B2494F">
        <w:rPr>
          <w:sz w:val="24"/>
          <w:szCs w:val="24"/>
        </w:rPr>
        <w:t>were</w:t>
      </w:r>
      <w:r w:rsidR="00C218CA">
        <w:rPr>
          <w:sz w:val="24"/>
          <w:szCs w:val="24"/>
        </w:rPr>
        <w:t xml:space="preserve"> </w:t>
      </w:r>
      <w:r w:rsidRPr="00211425">
        <w:rPr>
          <w:sz w:val="24"/>
          <w:szCs w:val="24"/>
        </w:rPr>
        <w:t>received in response to this notice.</w:t>
      </w:r>
      <w:r w:rsidR="00C218CA">
        <w:rPr>
          <w:sz w:val="24"/>
          <w:szCs w:val="24"/>
        </w:rPr>
        <w:t xml:space="preserve">  </w:t>
      </w:r>
    </w:p>
    <w:p w:rsidR="00F66DA6" w:rsidRPr="00211425" w:rsidRDefault="00F66DA6">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p>
    <w:p w:rsidR="00FC1494" w:rsidRPr="00211425" w:rsidRDefault="00F66DA6">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t>State and regional officials provide ongoing advice or feedback on</w:t>
      </w:r>
      <w:r w:rsidR="00C218CA">
        <w:rPr>
          <w:sz w:val="24"/>
          <w:szCs w:val="24"/>
        </w:rPr>
        <w:t xml:space="preserve"> TIP</w:t>
      </w:r>
      <w:r w:rsidRPr="00211425">
        <w:rPr>
          <w:sz w:val="24"/>
          <w:szCs w:val="24"/>
        </w:rPr>
        <w:t xml:space="preserve">.  </w:t>
      </w:r>
      <w:r w:rsidR="00C218CA">
        <w:rPr>
          <w:sz w:val="24"/>
          <w:szCs w:val="24"/>
        </w:rPr>
        <w:t xml:space="preserve">Annual training </w:t>
      </w:r>
      <w:r w:rsidRPr="00211425">
        <w:rPr>
          <w:sz w:val="24"/>
          <w:szCs w:val="24"/>
        </w:rPr>
        <w:t xml:space="preserve">for State officials </w:t>
      </w:r>
      <w:r w:rsidR="00C218CA">
        <w:rPr>
          <w:sz w:val="24"/>
          <w:szCs w:val="24"/>
        </w:rPr>
        <w:t xml:space="preserve">provides an excellent opportunity </w:t>
      </w:r>
      <w:r w:rsidRPr="00211425">
        <w:rPr>
          <w:sz w:val="24"/>
          <w:szCs w:val="24"/>
        </w:rPr>
        <w:t xml:space="preserve">to discuss </w:t>
      </w:r>
      <w:r w:rsidR="00C218CA">
        <w:rPr>
          <w:sz w:val="24"/>
          <w:szCs w:val="24"/>
        </w:rPr>
        <w:t xml:space="preserve">TIP and receive feedback from </w:t>
      </w:r>
      <w:r w:rsidRPr="00211425">
        <w:rPr>
          <w:sz w:val="24"/>
          <w:szCs w:val="24"/>
        </w:rPr>
        <w:t>State staff responsible for reporting the data.</w:t>
      </w:r>
      <w:r w:rsidRPr="00211425">
        <w:rPr>
          <w:sz w:val="24"/>
          <w:szCs w:val="24"/>
        </w:rPr>
        <w:br/>
      </w:r>
    </w:p>
    <w:p w:rsidR="00FC1494" w:rsidRPr="00211425" w:rsidRDefault="00071F56">
      <w:pPr>
        <w:pStyle w:val="ListParagraph"/>
        <w:numPr>
          <w:ilvl w:val="0"/>
          <w:numId w:val="11"/>
        </w:numPr>
        <w:tabs>
          <w:tab w:val="left" w:pos="9630"/>
          <w:tab w:val="left" w:pos="9810"/>
        </w:tabs>
        <w:spacing w:line="480" w:lineRule="auto"/>
        <w:ind w:right="792"/>
        <w:rPr>
          <w:b/>
          <w:sz w:val="24"/>
          <w:szCs w:val="24"/>
        </w:rPr>
      </w:pPr>
      <w:r w:rsidRPr="00211425">
        <w:rPr>
          <w:b/>
          <w:sz w:val="24"/>
          <w:szCs w:val="24"/>
        </w:rPr>
        <w:t xml:space="preserve">Explain any decision to provide any payment or gift to respondents, other than </w:t>
      </w:r>
      <w:r w:rsidR="005C28DD" w:rsidRPr="00211425">
        <w:rPr>
          <w:b/>
          <w:sz w:val="24"/>
          <w:szCs w:val="24"/>
        </w:rPr>
        <w:t>r</w:t>
      </w:r>
      <w:r w:rsidR="00E76DDD" w:rsidRPr="00211425">
        <w:rPr>
          <w:b/>
          <w:sz w:val="24"/>
          <w:szCs w:val="24"/>
        </w:rPr>
        <w:t>emuneration</w:t>
      </w:r>
      <w:r w:rsidRPr="00211425">
        <w:rPr>
          <w:b/>
          <w:sz w:val="24"/>
          <w:szCs w:val="24"/>
        </w:rPr>
        <w:t xml:space="preserve"> of contractors or grantees.</w:t>
      </w:r>
    </w:p>
    <w:p w:rsidR="00CE4B2F" w:rsidRPr="00211425" w:rsidRDefault="00CE4B2F" w:rsidP="00A91FED">
      <w:pPr>
        <w:tabs>
          <w:tab w:val="left" w:pos="9630"/>
          <w:tab w:val="left" w:pos="9810"/>
        </w:tabs>
        <w:ind w:left="720" w:right="792"/>
        <w:rPr>
          <w:sz w:val="24"/>
          <w:szCs w:val="24"/>
        </w:rPr>
      </w:pPr>
    </w:p>
    <w:p w:rsidR="00CE4B2F" w:rsidRPr="00211425" w:rsidRDefault="00CE4B2F" w:rsidP="00A91FED">
      <w:pPr>
        <w:tabs>
          <w:tab w:val="left" w:pos="9630"/>
          <w:tab w:val="left" w:pos="9810"/>
        </w:tabs>
        <w:ind w:left="720" w:right="792"/>
        <w:rPr>
          <w:sz w:val="24"/>
          <w:szCs w:val="24"/>
        </w:rPr>
      </w:pPr>
      <w:r w:rsidRPr="00211425">
        <w:rPr>
          <w:rFonts w:ascii="CG Times" w:hAnsi="CG Times"/>
          <w:sz w:val="24"/>
          <w:szCs w:val="24"/>
        </w:rPr>
        <w:t>No payments or gifts are provided to respondents.</w:t>
      </w:r>
    </w:p>
    <w:p w:rsidR="00071F56" w:rsidRPr="00211425" w:rsidRDefault="00071F56" w:rsidP="00A91FED">
      <w:pPr>
        <w:tabs>
          <w:tab w:val="left" w:pos="9630"/>
          <w:tab w:val="left" w:pos="9810"/>
        </w:tabs>
        <w:ind w:right="792"/>
        <w:rPr>
          <w:sz w:val="24"/>
          <w:szCs w:val="24"/>
        </w:rPr>
      </w:pPr>
    </w:p>
    <w:p w:rsidR="00FC1494" w:rsidRPr="00211425" w:rsidRDefault="00071F56">
      <w:pPr>
        <w:numPr>
          <w:ilvl w:val="0"/>
          <w:numId w:val="1"/>
        </w:numPr>
        <w:tabs>
          <w:tab w:val="left" w:pos="9630"/>
          <w:tab w:val="left" w:pos="9810"/>
        </w:tabs>
        <w:spacing w:line="480" w:lineRule="auto"/>
        <w:ind w:right="792"/>
        <w:rPr>
          <w:b/>
          <w:sz w:val="24"/>
          <w:szCs w:val="24"/>
        </w:rPr>
      </w:pPr>
      <w:r w:rsidRPr="00211425">
        <w:rPr>
          <w:b/>
          <w:sz w:val="24"/>
          <w:szCs w:val="24"/>
        </w:rPr>
        <w:t>Describe any assurance of confidentiality provided to respondents and the basis for the assurance in statute, regulation, or agency policy.</w:t>
      </w:r>
    </w:p>
    <w:p w:rsidR="00071F56" w:rsidRPr="00211425" w:rsidRDefault="00071F56" w:rsidP="00A91FED">
      <w:pPr>
        <w:tabs>
          <w:tab w:val="left" w:pos="9630"/>
          <w:tab w:val="left" w:pos="9810"/>
        </w:tabs>
        <w:ind w:left="720" w:right="792"/>
        <w:rPr>
          <w:rFonts w:ascii="CG Times" w:hAnsi="CG Times"/>
          <w:sz w:val="24"/>
          <w:szCs w:val="24"/>
        </w:rPr>
      </w:pPr>
    </w:p>
    <w:p w:rsidR="00CE4B2F" w:rsidRPr="00211425" w:rsidRDefault="00CE4B2F" w:rsidP="00A91FED">
      <w:pPr>
        <w:tabs>
          <w:tab w:val="left" w:pos="9630"/>
          <w:tab w:val="left" w:pos="9810"/>
        </w:tabs>
        <w:ind w:right="792" w:firstLine="720"/>
        <w:rPr>
          <w:rFonts w:ascii="CG Times" w:hAnsi="CG Times"/>
          <w:sz w:val="24"/>
          <w:szCs w:val="24"/>
        </w:rPr>
      </w:pPr>
      <w:r w:rsidRPr="00211425">
        <w:rPr>
          <w:rFonts w:ascii="CG Times" w:hAnsi="CG Times"/>
          <w:sz w:val="24"/>
          <w:szCs w:val="24"/>
        </w:rPr>
        <w:t>The Department will comply with the Privacy Act of 1974.</w:t>
      </w:r>
    </w:p>
    <w:p w:rsidR="00722985" w:rsidRPr="00211425" w:rsidRDefault="00722985" w:rsidP="00A91FED">
      <w:pPr>
        <w:tabs>
          <w:tab w:val="left" w:pos="9630"/>
          <w:tab w:val="left" w:pos="9810"/>
        </w:tabs>
        <w:ind w:right="792" w:firstLine="720"/>
        <w:rPr>
          <w:rFonts w:ascii="CG Times" w:hAnsi="CG Times"/>
          <w:sz w:val="24"/>
          <w:szCs w:val="24"/>
        </w:rPr>
      </w:pPr>
    </w:p>
    <w:p w:rsidR="00CE4B2F" w:rsidRPr="00211425" w:rsidRDefault="00CE4B2F" w:rsidP="00A91FED">
      <w:pPr>
        <w:tabs>
          <w:tab w:val="left" w:pos="9630"/>
          <w:tab w:val="left" w:pos="9810"/>
        </w:tabs>
        <w:ind w:right="792" w:firstLine="720"/>
        <w:rPr>
          <w:sz w:val="24"/>
          <w:szCs w:val="24"/>
        </w:rPr>
      </w:pPr>
    </w:p>
    <w:p w:rsidR="00FC1494" w:rsidRPr="00211425" w:rsidRDefault="00071F56">
      <w:pPr>
        <w:pStyle w:val="ListParagraph"/>
        <w:numPr>
          <w:ilvl w:val="0"/>
          <w:numId w:val="1"/>
        </w:numPr>
        <w:tabs>
          <w:tab w:val="left" w:pos="9630"/>
          <w:tab w:val="left" w:pos="9810"/>
        </w:tabs>
        <w:spacing w:line="480" w:lineRule="auto"/>
        <w:ind w:right="792"/>
        <w:rPr>
          <w:b/>
          <w:sz w:val="24"/>
          <w:szCs w:val="24"/>
        </w:rPr>
      </w:pPr>
      <w:r w:rsidRPr="0021142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2F" w:rsidRPr="00211425" w:rsidRDefault="00CE4B2F" w:rsidP="00A91FED">
      <w:pPr>
        <w:tabs>
          <w:tab w:val="left" w:pos="9630"/>
          <w:tab w:val="left" w:pos="9810"/>
        </w:tabs>
        <w:ind w:right="792"/>
        <w:rPr>
          <w:b/>
          <w:sz w:val="24"/>
          <w:szCs w:val="24"/>
        </w:rPr>
      </w:pPr>
    </w:p>
    <w:p w:rsidR="00CE4B2F" w:rsidRPr="00211425" w:rsidRDefault="00CE4B2F" w:rsidP="00A91FED">
      <w:pPr>
        <w:tabs>
          <w:tab w:val="left" w:pos="9630"/>
          <w:tab w:val="left" w:pos="9810"/>
        </w:tabs>
        <w:ind w:left="720" w:right="792"/>
        <w:rPr>
          <w:rFonts w:ascii="CG Times" w:hAnsi="CG Times"/>
          <w:sz w:val="24"/>
          <w:szCs w:val="24"/>
        </w:rPr>
      </w:pPr>
      <w:r w:rsidRPr="00211425">
        <w:rPr>
          <w:rFonts w:ascii="CG Times" w:hAnsi="CG Times"/>
          <w:sz w:val="24"/>
          <w:szCs w:val="24"/>
        </w:rPr>
        <w:t>There are no questions of a sensitive nature included in this clearance.</w:t>
      </w:r>
    </w:p>
    <w:p w:rsidR="00722985" w:rsidRPr="00211425" w:rsidRDefault="00722985" w:rsidP="00A91FED">
      <w:pPr>
        <w:tabs>
          <w:tab w:val="left" w:pos="9630"/>
          <w:tab w:val="left" w:pos="9810"/>
        </w:tabs>
        <w:ind w:left="720" w:right="792"/>
        <w:rPr>
          <w:b/>
          <w:sz w:val="24"/>
          <w:szCs w:val="24"/>
        </w:rPr>
      </w:pPr>
    </w:p>
    <w:p w:rsidR="006E71C3" w:rsidRPr="00211425" w:rsidRDefault="006E71C3">
      <w:pPr>
        <w:rPr>
          <w:b/>
          <w:sz w:val="24"/>
          <w:szCs w:val="24"/>
        </w:rPr>
      </w:pPr>
    </w:p>
    <w:p w:rsidR="00071F56" w:rsidRPr="00211425" w:rsidRDefault="00071F56" w:rsidP="00A91FED">
      <w:pPr>
        <w:tabs>
          <w:tab w:val="left" w:pos="9630"/>
          <w:tab w:val="left" w:pos="9810"/>
        </w:tabs>
        <w:ind w:left="720" w:right="792" w:hanging="720"/>
        <w:rPr>
          <w:b/>
          <w:sz w:val="24"/>
          <w:szCs w:val="24"/>
        </w:rPr>
      </w:pPr>
      <w:r w:rsidRPr="00211425">
        <w:rPr>
          <w:b/>
          <w:sz w:val="24"/>
          <w:szCs w:val="24"/>
        </w:rPr>
        <w:t>12.</w:t>
      </w:r>
      <w:r w:rsidRPr="00211425">
        <w:rPr>
          <w:b/>
          <w:sz w:val="24"/>
          <w:szCs w:val="24"/>
        </w:rPr>
        <w:tab/>
        <w:t>Provide estimates of the hour burden of the collection of information.  The statement should:</w:t>
      </w:r>
    </w:p>
    <w:p w:rsidR="00071F56" w:rsidRPr="00211425" w:rsidRDefault="00071F56" w:rsidP="00A91FED">
      <w:pPr>
        <w:tabs>
          <w:tab w:val="left" w:pos="9630"/>
          <w:tab w:val="left" w:pos="9810"/>
        </w:tabs>
        <w:ind w:right="792"/>
        <w:rPr>
          <w:b/>
          <w:sz w:val="24"/>
          <w:szCs w:val="24"/>
        </w:rPr>
      </w:pPr>
    </w:p>
    <w:p w:rsidR="008F468F" w:rsidRPr="00211425" w:rsidRDefault="00071F56" w:rsidP="008F468F">
      <w:pPr>
        <w:numPr>
          <w:ilvl w:val="0"/>
          <w:numId w:val="12"/>
        </w:numPr>
        <w:tabs>
          <w:tab w:val="clear" w:pos="360"/>
          <w:tab w:val="left" w:pos="9630"/>
          <w:tab w:val="left" w:pos="9810"/>
        </w:tabs>
        <w:spacing w:line="480" w:lineRule="auto"/>
        <w:ind w:left="1440" w:right="792"/>
        <w:rPr>
          <w:b/>
          <w:sz w:val="24"/>
          <w:szCs w:val="24"/>
        </w:rPr>
      </w:pPr>
      <w:r w:rsidRPr="00211425">
        <w:rPr>
          <w:b/>
          <w:sz w:val="24"/>
          <w:szCs w:val="24"/>
        </w:rPr>
        <w:t>Indicate the number of respo</w:t>
      </w:r>
      <w:r w:rsidR="003B33B6" w:rsidRPr="00211425">
        <w:rPr>
          <w:b/>
          <w:sz w:val="24"/>
          <w:szCs w:val="24"/>
        </w:rPr>
        <w:t xml:space="preserve">ndents, frequency of response, </w:t>
      </w:r>
      <w:r w:rsidRPr="00211425">
        <w:rPr>
          <w:b/>
          <w:sz w:val="24"/>
          <w:szCs w:val="24"/>
        </w:rPr>
        <w:t>annual hour burden, and an exp</w:t>
      </w:r>
      <w:r w:rsidR="00B62FE5" w:rsidRPr="00211425">
        <w:rPr>
          <w:b/>
          <w:sz w:val="24"/>
          <w:szCs w:val="24"/>
        </w:rPr>
        <w:t xml:space="preserve">lanation of how the burden was </w:t>
      </w:r>
      <w:r w:rsidRPr="00211425">
        <w:rPr>
          <w:b/>
          <w:sz w:val="24"/>
          <w:szCs w:val="24"/>
        </w:rPr>
        <w:t>estimated. If this request for approval covers more than one form, provide separate hour burden estimates for each form and aggregate the hour burdens in Item 13 of OMB Form 83-</w:t>
      </w:r>
      <w:r w:rsidR="00711B37">
        <w:rPr>
          <w:b/>
          <w:sz w:val="24"/>
          <w:szCs w:val="24"/>
        </w:rPr>
        <w:t>1</w:t>
      </w:r>
      <w:r w:rsidR="008F468F" w:rsidRPr="00211425">
        <w:rPr>
          <w:b/>
          <w:sz w:val="24"/>
          <w:szCs w:val="24"/>
        </w:rPr>
        <w:t>.</w:t>
      </w:r>
    </w:p>
    <w:p w:rsidR="008F468F" w:rsidRPr="00211425" w:rsidRDefault="008F468F" w:rsidP="008F468F">
      <w:pPr>
        <w:tabs>
          <w:tab w:val="left" w:pos="9630"/>
          <w:tab w:val="left" w:pos="9810"/>
        </w:tabs>
        <w:spacing w:line="480" w:lineRule="auto"/>
        <w:ind w:left="1440" w:right="792"/>
        <w:rPr>
          <w:b/>
          <w:sz w:val="24"/>
          <w:szCs w:val="24"/>
        </w:rPr>
      </w:pPr>
    </w:p>
    <w:p w:rsidR="00E96261" w:rsidRPr="00211425" w:rsidRDefault="008F468F" w:rsidP="00E96261">
      <w:pPr>
        <w:tabs>
          <w:tab w:val="left" w:pos="9630"/>
          <w:tab w:val="left" w:pos="9810"/>
        </w:tabs>
        <w:spacing w:line="480" w:lineRule="auto"/>
        <w:ind w:left="1440" w:right="792"/>
        <w:rPr>
          <w:sz w:val="24"/>
          <w:szCs w:val="24"/>
        </w:rPr>
      </w:pPr>
      <w:r w:rsidRPr="00211425">
        <w:rPr>
          <w:sz w:val="24"/>
          <w:szCs w:val="24"/>
        </w:rPr>
        <w:t xml:space="preserve">Table 12.1 estimates of the annual hour burden for </w:t>
      </w:r>
      <w:r w:rsidR="00711B37">
        <w:rPr>
          <w:sz w:val="24"/>
          <w:szCs w:val="24"/>
        </w:rPr>
        <w:t xml:space="preserve">the Profile of Integrity Practices and Procedures (PIPP) </w:t>
      </w:r>
      <w:r w:rsidR="00CD1CDF">
        <w:rPr>
          <w:sz w:val="24"/>
          <w:szCs w:val="24"/>
        </w:rPr>
        <w:t xml:space="preserve">Report </w:t>
      </w:r>
      <w:r w:rsidRPr="00211425">
        <w:rPr>
          <w:sz w:val="24"/>
          <w:szCs w:val="24"/>
        </w:rPr>
        <w:t>(Form FNS-</w:t>
      </w:r>
      <w:r w:rsidR="00711B37">
        <w:rPr>
          <w:sz w:val="24"/>
          <w:szCs w:val="24"/>
        </w:rPr>
        <w:t>6</w:t>
      </w:r>
      <w:r w:rsidRPr="00211425">
        <w:rPr>
          <w:sz w:val="24"/>
          <w:szCs w:val="24"/>
        </w:rPr>
        <w:t xml:space="preserve">98).  </w:t>
      </w:r>
      <w:r w:rsidR="005E25E6">
        <w:rPr>
          <w:sz w:val="24"/>
          <w:szCs w:val="24"/>
        </w:rPr>
        <w:t xml:space="preserve">This document is a checklist that identifies the State agency’s vendor management practices.  After the initial report form is submitted, it is updated, as needed, in subsequent years.  </w:t>
      </w:r>
      <w:r w:rsidRPr="00211425">
        <w:rPr>
          <w:sz w:val="24"/>
          <w:szCs w:val="24"/>
        </w:rPr>
        <w:t xml:space="preserve">The number of respondents is 90 State agencies which is the affected public.  FNS estimates that approximately </w:t>
      </w:r>
      <w:r w:rsidR="00711B37">
        <w:rPr>
          <w:sz w:val="24"/>
          <w:szCs w:val="24"/>
        </w:rPr>
        <w:t>0.167</w:t>
      </w:r>
      <w:r w:rsidRPr="00211425">
        <w:rPr>
          <w:sz w:val="24"/>
          <w:szCs w:val="24"/>
        </w:rPr>
        <w:t xml:space="preserve"> hours </w:t>
      </w:r>
      <w:r w:rsidR="005E25E6">
        <w:rPr>
          <w:sz w:val="24"/>
          <w:szCs w:val="24"/>
        </w:rPr>
        <w:t xml:space="preserve">are </w:t>
      </w:r>
      <w:r w:rsidRPr="00211425">
        <w:rPr>
          <w:sz w:val="24"/>
          <w:szCs w:val="24"/>
        </w:rPr>
        <w:t xml:space="preserve">spent per report and </w:t>
      </w:r>
      <w:r w:rsidR="005E25E6">
        <w:rPr>
          <w:sz w:val="24"/>
          <w:szCs w:val="24"/>
        </w:rPr>
        <w:t xml:space="preserve">no more than 1 </w:t>
      </w:r>
      <w:r w:rsidRPr="00211425">
        <w:rPr>
          <w:sz w:val="24"/>
          <w:szCs w:val="24"/>
        </w:rPr>
        <w:t>report</w:t>
      </w:r>
      <w:r w:rsidR="005E25E6">
        <w:rPr>
          <w:sz w:val="24"/>
          <w:szCs w:val="24"/>
        </w:rPr>
        <w:t xml:space="preserve"> per State agency is</w:t>
      </w:r>
      <w:r w:rsidR="00711B37">
        <w:rPr>
          <w:sz w:val="24"/>
          <w:szCs w:val="24"/>
        </w:rPr>
        <w:t xml:space="preserve"> </w:t>
      </w:r>
      <w:r w:rsidRPr="00211425">
        <w:rPr>
          <w:sz w:val="24"/>
          <w:szCs w:val="24"/>
        </w:rPr>
        <w:t xml:space="preserve">submitted per year totaling the burden hours requested at </w:t>
      </w:r>
      <w:r w:rsidR="005E25E6" w:rsidRPr="004276B4">
        <w:rPr>
          <w:b/>
          <w:sz w:val="24"/>
          <w:szCs w:val="24"/>
        </w:rPr>
        <w:t>15</w:t>
      </w:r>
      <w:r w:rsidR="002B620B" w:rsidRPr="004276B4">
        <w:rPr>
          <w:b/>
          <w:sz w:val="24"/>
          <w:szCs w:val="24"/>
        </w:rPr>
        <w:t xml:space="preserve"> hours</w:t>
      </w:r>
      <w:r w:rsidRPr="00211425">
        <w:rPr>
          <w:sz w:val="24"/>
          <w:szCs w:val="24"/>
        </w:rPr>
        <w:t xml:space="preserve">. </w:t>
      </w:r>
    </w:p>
    <w:p w:rsidR="00E96261" w:rsidRPr="00211425" w:rsidRDefault="00E96261" w:rsidP="00E96261">
      <w:pPr>
        <w:tabs>
          <w:tab w:val="left" w:pos="9630"/>
          <w:tab w:val="left" w:pos="9810"/>
        </w:tabs>
        <w:spacing w:line="480" w:lineRule="auto"/>
        <w:ind w:left="1440" w:right="792"/>
        <w:rPr>
          <w:sz w:val="24"/>
          <w:szCs w:val="24"/>
        </w:rPr>
      </w:pPr>
    </w:p>
    <w:p w:rsidR="00E96261" w:rsidRPr="00264960" w:rsidRDefault="00CD1CDF" w:rsidP="00E96261">
      <w:pPr>
        <w:tabs>
          <w:tab w:val="left" w:pos="9630"/>
          <w:tab w:val="left" w:pos="9810"/>
        </w:tabs>
        <w:spacing w:line="480" w:lineRule="auto"/>
        <w:ind w:left="1440" w:right="792"/>
        <w:rPr>
          <w:b/>
          <w:sz w:val="24"/>
          <w:szCs w:val="24"/>
        </w:rPr>
      </w:pPr>
      <w:r>
        <w:rPr>
          <w:sz w:val="24"/>
          <w:szCs w:val="24"/>
        </w:rPr>
        <w:t xml:space="preserve">Next, </w:t>
      </w:r>
      <w:r w:rsidR="008F468F" w:rsidRPr="00211425">
        <w:rPr>
          <w:sz w:val="24"/>
          <w:szCs w:val="24"/>
        </w:rPr>
        <w:t xml:space="preserve">Table 12.1 depicts </w:t>
      </w:r>
      <w:r>
        <w:rPr>
          <w:sz w:val="24"/>
          <w:szCs w:val="24"/>
        </w:rPr>
        <w:t>The Integrity Profile (TIP) Report</w:t>
      </w:r>
      <w:r w:rsidR="008F468F" w:rsidRPr="00211425">
        <w:rPr>
          <w:sz w:val="24"/>
          <w:szCs w:val="24"/>
        </w:rPr>
        <w:t xml:space="preserve"> (Form FNS-</w:t>
      </w:r>
      <w:r>
        <w:rPr>
          <w:sz w:val="24"/>
          <w:szCs w:val="24"/>
        </w:rPr>
        <w:t>699</w:t>
      </w:r>
      <w:r w:rsidR="008F468F" w:rsidRPr="00211425">
        <w:rPr>
          <w:sz w:val="24"/>
          <w:szCs w:val="24"/>
        </w:rPr>
        <w:t xml:space="preserve">).  </w:t>
      </w:r>
      <w:r>
        <w:rPr>
          <w:sz w:val="24"/>
          <w:szCs w:val="24"/>
        </w:rPr>
        <w:t xml:space="preserve">This document provides summary information on authorized vendors.  </w:t>
      </w:r>
      <w:r w:rsidR="008F468F" w:rsidRPr="00211425">
        <w:rPr>
          <w:sz w:val="24"/>
          <w:szCs w:val="24"/>
        </w:rPr>
        <w:t xml:space="preserve">There are 90 State agencies annually reporting 1 time.  The estimated number of hours spent per report - </w:t>
      </w:r>
      <w:r>
        <w:rPr>
          <w:sz w:val="24"/>
          <w:szCs w:val="24"/>
        </w:rPr>
        <w:t>0.0833</w:t>
      </w:r>
      <w:r w:rsidR="008F468F" w:rsidRPr="00211425">
        <w:rPr>
          <w:sz w:val="24"/>
          <w:szCs w:val="24"/>
        </w:rPr>
        <w:t xml:space="preserve"> hours; FNS estimates the burden hours needed to comply with this requirement is </w:t>
      </w:r>
      <w:r w:rsidRPr="004276B4">
        <w:rPr>
          <w:b/>
          <w:sz w:val="24"/>
          <w:szCs w:val="24"/>
        </w:rPr>
        <w:t>7.5</w:t>
      </w:r>
      <w:r w:rsidR="002B620B" w:rsidRPr="004276B4">
        <w:rPr>
          <w:b/>
          <w:sz w:val="24"/>
          <w:szCs w:val="24"/>
        </w:rPr>
        <w:t xml:space="preserve"> hours.</w:t>
      </w:r>
      <w:r>
        <w:rPr>
          <w:b/>
          <w:sz w:val="24"/>
          <w:szCs w:val="24"/>
        </w:rPr>
        <w:br/>
      </w:r>
      <w:r>
        <w:rPr>
          <w:b/>
          <w:sz w:val="24"/>
          <w:szCs w:val="24"/>
        </w:rPr>
        <w:br/>
      </w:r>
      <w:r w:rsidRPr="003D78E0">
        <w:rPr>
          <w:sz w:val="24"/>
          <w:szCs w:val="24"/>
        </w:rPr>
        <w:t xml:space="preserve">Finally, Table 12.1 depicts the Vendor Record (Form FNS-700).  This document provides information concerning each vendor </w:t>
      </w:r>
      <w:r w:rsidR="003D78E0" w:rsidRPr="003D78E0">
        <w:rPr>
          <w:sz w:val="24"/>
          <w:szCs w:val="24"/>
        </w:rPr>
        <w:t xml:space="preserve">operating as an </w:t>
      </w:r>
      <w:r w:rsidRPr="003D78E0">
        <w:rPr>
          <w:sz w:val="24"/>
          <w:szCs w:val="24"/>
        </w:rPr>
        <w:t xml:space="preserve">authorized </w:t>
      </w:r>
      <w:r w:rsidR="003D78E0" w:rsidRPr="003D78E0">
        <w:rPr>
          <w:sz w:val="24"/>
          <w:szCs w:val="24"/>
        </w:rPr>
        <w:t xml:space="preserve">WIC vendor </w:t>
      </w:r>
      <w:r w:rsidR="003D78E0" w:rsidRPr="003D78E0">
        <w:rPr>
          <w:sz w:val="24"/>
          <w:szCs w:val="24"/>
        </w:rPr>
        <w:lastRenderedPageBreak/>
        <w:t>at some point during the year.  The STARS/TIP system stores and pre-populates information for vendors from the previous year’s submission.  Therefore, State agencies only need to provide i</w:t>
      </w:r>
      <w:r w:rsidRPr="003D78E0">
        <w:rPr>
          <w:sz w:val="24"/>
          <w:szCs w:val="24"/>
        </w:rPr>
        <w:t xml:space="preserve">nformation </w:t>
      </w:r>
      <w:r w:rsidR="003D78E0" w:rsidRPr="003D78E0">
        <w:rPr>
          <w:sz w:val="24"/>
          <w:szCs w:val="24"/>
        </w:rPr>
        <w:t>for</w:t>
      </w:r>
      <w:r w:rsidRPr="003D78E0">
        <w:rPr>
          <w:sz w:val="24"/>
          <w:szCs w:val="24"/>
        </w:rPr>
        <w:t xml:space="preserve"> each new vendor </w:t>
      </w:r>
      <w:r w:rsidR="003D78E0" w:rsidRPr="003D78E0">
        <w:rPr>
          <w:sz w:val="24"/>
          <w:szCs w:val="24"/>
        </w:rPr>
        <w:t xml:space="preserve">they </w:t>
      </w:r>
      <w:r w:rsidRPr="003D78E0">
        <w:rPr>
          <w:sz w:val="24"/>
          <w:szCs w:val="24"/>
        </w:rPr>
        <w:t>authorized during the fiscal year.</w:t>
      </w:r>
      <w:r>
        <w:rPr>
          <w:b/>
          <w:sz w:val="24"/>
          <w:szCs w:val="24"/>
        </w:rPr>
        <w:t xml:space="preserve">  </w:t>
      </w:r>
      <w:r w:rsidR="003D78E0" w:rsidRPr="00211425">
        <w:rPr>
          <w:sz w:val="24"/>
          <w:szCs w:val="24"/>
        </w:rPr>
        <w:t xml:space="preserve">There are 90 State agencies annually reporting 1 time.  The estimated number of hours spent per report </w:t>
      </w:r>
      <w:r w:rsidR="003D78E0">
        <w:rPr>
          <w:sz w:val="24"/>
          <w:szCs w:val="24"/>
        </w:rPr>
        <w:t>0.167</w:t>
      </w:r>
      <w:r w:rsidR="003D78E0" w:rsidRPr="00211425">
        <w:rPr>
          <w:sz w:val="24"/>
          <w:szCs w:val="24"/>
        </w:rPr>
        <w:t xml:space="preserve"> hours; FNS estimates the burden hours needed to comply with this requirement is </w:t>
      </w:r>
      <w:r w:rsidR="003D78E0" w:rsidRPr="00120086">
        <w:rPr>
          <w:b/>
          <w:sz w:val="24"/>
          <w:szCs w:val="24"/>
        </w:rPr>
        <w:t>15 hours.</w:t>
      </w:r>
    </w:p>
    <w:p w:rsidR="00E96261" w:rsidRDefault="00E96261" w:rsidP="00E96261">
      <w:pPr>
        <w:tabs>
          <w:tab w:val="left" w:pos="9630"/>
          <w:tab w:val="left" w:pos="9810"/>
        </w:tabs>
        <w:spacing w:line="480" w:lineRule="auto"/>
        <w:ind w:left="1440" w:right="792"/>
        <w:rPr>
          <w:sz w:val="24"/>
          <w:szCs w:val="24"/>
        </w:rPr>
      </w:pPr>
    </w:p>
    <w:p w:rsidR="00264960" w:rsidRPr="00211425" w:rsidRDefault="00264960" w:rsidP="00E96261">
      <w:pPr>
        <w:tabs>
          <w:tab w:val="left" w:pos="9630"/>
          <w:tab w:val="left" w:pos="9810"/>
        </w:tabs>
        <w:spacing w:line="480" w:lineRule="auto"/>
        <w:ind w:left="1440" w:right="792"/>
        <w:rPr>
          <w:sz w:val="24"/>
          <w:szCs w:val="24"/>
        </w:rPr>
      </w:pPr>
      <w:r>
        <w:rPr>
          <w:sz w:val="24"/>
          <w:szCs w:val="24"/>
        </w:rPr>
        <w:t>There is no recordkeeping burden in retaining these forms.</w:t>
      </w:r>
    </w:p>
    <w:p w:rsidR="00071F56" w:rsidRPr="00211425" w:rsidRDefault="005C28DD" w:rsidP="00FD4AF7">
      <w:pPr>
        <w:tabs>
          <w:tab w:val="left" w:pos="9630"/>
          <w:tab w:val="left" w:pos="9810"/>
        </w:tabs>
        <w:spacing w:line="480" w:lineRule="auto"/>
        <w:ind w:left="1440" w:right="792"/>
        <w:rPr>
          <w:sz w:val="24"/>
          <w:szCs w:val="24"/>
        </w:rPr>
      </w:pPr>
      <w:r w:rsidRPr="00211425">
        <w:rPr>
          <w:b/>
          <w:sz w:val="24"/>
          <w:szCs w:val="24"/>
        </w:rPr>
        <w:t xml:space="preserve">Table </w:t>
      </w:r>
      <w:r w:rsidR="008F468F" w:rsidRPr="00211425">
        <w:rPr>
          <w:b/>
          <w:sz w:val="24"/>
          <w:szCs w:val="24"/>
        </w:rPr>
        <w:t>12.1 Estimates of Burden Hours</w:t>
      </w:r>
    </w:p>
    <w:tbl>
      <w:tblPr>
        <w:tblW w:w="10074" w:type="dxa"/>
        <w:tblInd w:w="649" w:type="dxa"/>
        <w:tblLook w:val="0000"/>
      </w:tblPr>
      <w:tblGrid>
        <w:gridCol w:w="1329"/>
        <w:gridCol w:w="1190"/>
        <w:gridCol w:w="1434"/>
        <w:gridCol w:w="1530"/>
        <w:gridCol w:w="1282"/>
        <w:gridCol w:w="1720"/>
        <w:gridCol w:w="1589"/>
      </w:tblGrid>
      <w:tr w:rsidR="008F468F" w:rsidRPr="00211425" w:rsidTr="000C02C6">
        <w:trPr>
          <w:trHeight w:val="720"/>
        </w:trPr>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Type of Respondent</w:t>
            </w:r>
          </w:p>
        </w:tc>
        <w:tc>
          <w:tcPr>
            <w:tcW w:w="1190"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Form Number</w:t>
            </w:r>
          </w:p>
        </w:tc>
        <w:tc>
          <w:tcPr>
            <w:tcW w:w="1434"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Number of Respondents</w:t>
            </w:r>
          </w:p>
        </w:tc>
        <w:tc>
          <w:tcPr>
            <w:tcW w:w="1530"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Number of responses annually per Respondent</w:t>
            </w:r>
          </w:p>
        </w:tc>
        <w:tc>
          <w:tcPr>
            <w:tcW w:w="1282"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Total annual responses (c x d)</w:t>
            </w:r>
          </w:p>
        </w:tc>
        <w:tc>
          <w:tcPr>
            <w:tcW w:w="1720"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Estimate of Burden Hours per response</w:t>
            </w:r>
          </w:p>
        </w:tc>
        <w:tc>
          <w:tcPr>
            <w:tcW w:w="1589"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Total Annual Burden Hours (e x f)</w:t>
            </w:r>
          </w:p>
        </w:tc>
      </w:tr>
      <w:tr w:rsidR="003D78E0" w:rsidRPr="00211425" w:rsidTr="000C02C6">
        <w:trPr>
          <w:trHeight w:val="255"/>
        </w:trPr>
        <w:tc>
          <w:tcPr>
            <w:tcW w:w="1329" w:type="dxa"/>
            <w:vMerge w:val="restart"/>
            <w:tcBorders>
              <w:top w:val="nil"/>
              <w:left w:val="single" w:sz="4" w:space="0" w:color="auto"/>
              <w:right w:val="single" w:sz="4" w:space="0" w:color="auto"/>
            </w:tcBorders>
            <w:shd w:val="clear" w:color="auto" w:fill="auto"/>
          </w:tcPr>
          <w:p w:rsidR="003D78E0" w:rsidRPr="00211425" w:rsidRDefault="003D78E0" w:rsidP="000C02C6">
            <w:pPr>
              <w:rPr>
                <w:sz w:val="22"/>
                <w:szCs w:val="22"/>
              </w:rPr>
            </w:pPr>
            <w:r w:rsidRPr="00211425">
              <w:rPr>
                <w:sz w:val="22"/>
                <w:szCs w:val="22"/>
              </w:rPr>
              <w:t>WIC State Agencies</w:t>
            </w:r>
          </w:p>
        </w:tc>
        <w:tc>
          <w:tcPr>
            <w:tcW w:w="1190" w:type="dxa"/>
            <w:tcBorders>
              <w:top w:val="nil"/>
              <w:left w:val="nil"/>
              <w:bottom w:val="single" w:sz="4" w:space="0" w:color="auto"/>
              <w:right w:val="single" w:sz="4" w:space="0" w:color="auto"/>
            </w:tcBorders>
            <w:shd w:val="clear" w:color="auto" w:fill="auto"/>
            <w:vAlign w:val="bottom"/>
          </w:tcPr>
          <w:p w:rsidR="003D78E0" w:rsidRPr="00211425" w:rsidRDefault="000C02C6" w:rsidP="000C02C6">
            <w:pPr>
              <w:jc w:val="center"/>
              <w:rPr>
                <w:sz w:val="22"/>
                <w:szCs w:val="22"/>
              </w:rPr>
            </w:pPr>
            <w:r>
              <w:rPr>
                <w:sz w:val="22"/>
                <w:szCs w:val="22"/>
              </w:rPr>
              <w:t>FNS-698</w:t>
            </w:r>
          </w:p>
        </w:tc>
        <w:tc>
          <w:tcPr>
            <w:tcW w:w="1434" w:type="dxa"/>
            <w:tcBorders>
              <w:top w:val="nil"/>
              <w:left w:val="nil"/>
              <w:bottom w:val="single" w:sz="4" w:space="0" w:color="auto"/>
              <w:right w:val="single" w:sz="4" w:space="0" w:color="auto"/>
            </w:tcBorders>
            <w:shd w:val="clear" w:color="auto" w:fill="auto"/>
            <w:noWrap/>
            <w:vAlign w:val="bottom"/>
          </w:tcPr>
          <w:p w:rsidR="003D78E0" w:rsidRPr="00211425" w:rsidRDefault="003D78E0" w:rsidP="001E0D7C">
            <w:pPr>
              <w:jc w:val="center"/>
              <w:rPr>
                <w:sz w:val="22"/>
                <w:szCs w:val="22"/>
              </w:rPr>
            </w:pPr>
            <w:r w:rsidRPr="00211425">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3D78E0" w:rsidRPr="00211425" w:rsidRDefault="001324EC" w:rsidP="001E0D7C">
            <w:pPr>
              <w:jc w:val="center"/>
              <w:rPr>
                <w:sz w:val="22"/>
                <w:szCs w:val="22"/>
              </w:rPr>
            </w:pPr>
            <w:r>
              <w:rPr>
                <w:sz w:val="22"/>
                <w:szCs w:val="22"/>
              </w:rPr>
              <w:t>1</w:t>
            </w:r>
          </w:p>
        </w:tc>
        <w:tc>
          <w:tcPr>
            <w:tcW w:w="1282" w:type="dxa"/>
            <w:tcBorders>
              <w:top w:val="nil"/>
              <w:left w:val="nil"/>
              <w:bottom w:val="single" w:sz="4" w:space="0" w:color="auto"/>
              <w:right w:val="single" w:sz="4" w:space="0" w:color="auto"/>
            </w:tcBorders>
            <w:shd w:val="clear" w:color="auto" w:fill="auto"/>
            <w:vAlign w:val="bottom"/>
          </w:tcPr>
          <w:p w:rsidR="003D78E0" w:rsidRPr="00211425" w:rsidRDefault="001324EC" w:rsidP="001E0D7C">
            <w:pPr>
              <w:jc w:val="right"/>
              <w:rPr>
                <w:sz w:val="22"/>
                <w:szCs w:val="22"/>
              </w:rPr>
            </w:pPr>
            <w:r>
              <w:rPr>
                <w:sz w:val="22"/>
                <w:szCs w:val="22"/>
              </w:rPr>
              <w:t>90</w:t>
            </w:r>
          </w:p>
        </w:tc>
        <w:tc>
          <w:tcPr>
            <w:tcW w:w="1720" w:type="dxa"/>
            <w:tcBorders>
              <w:top w:val="nil"/>
              <w:left w:val="nil"/>
              <w:bottom w:val="single" w:sz="4" w:space="0" w:color="auto"/>
              <w:right w:val="single" w:sz="4" w:space="0" w:color="auto"/>
            </w:tcBorders>
            <w:shd w:val="clear" w:color="auto" w:fill="auto"/>
            <w:noWrap/>
            <w:vAlign w:val="bottom"/>
          </w:tcPr>
          <w:p w:rsidR="003D78E0" w:rsidRPr="00211425" w:rsidRDefault="001324EC" w:rsidP="001E0D7C">
            <w:pPr>
              <w:jc w:val="right"/>
              <w:rPr>
                <w:sz w:val="22"/>
                <w:szCs w:val="22"/>
              </w:rPr>
            </w:pPr>
            <w:r>
              <w:rPr>
                <w:sz w:val="22"/>
                <w:szCs w:val="22"/>
              </w:rPr>
              <w:t>0.167</w:t>
            </w:r>
          </w:p>
        </w:tc>
        <w:tc>
          <w:tcPr>
            <w:tcW w:w="1589" w:type="dxa"/>
            <w:tcBorders>
              <w:top w:val="nil"/>
              <w:left w:val="nil"/>
              <w:bottom w:val="single" w:sz="4" w:space="0" w:color="auto"/>
              <w:right w:val="single" w:sz="4" w:space="0" w:color="auto"/>
            </w:tcBorders>
            <w:shd w:val="clear" w:color="auto" w:fill="auto"/>
            <w:noWrap/>
            <w:vAlign w:val="bottom"/>
          </w:tcPr>
          <w:p w:rsidR="003D78E0" w:rsidRPr="00211425" w:rsidRDefault="001324EC" w:rsidP="001E0D7C">
            <w:pPr>
              <w:jc w:val="right"/>
              <w:rPr>
                <w:sz w:val="22"/>
                <w:szCs w:val="22"/>
              </w:rPr>
            </w:pPr>
            <w:r>
              <w:rPr>
                <w:sz w:val="22"/>
                <w:szCs w:val="22"/>
              </w:rPr>
              <w:t>15.03</w:t>
            </w:r>
          </w:p>
        </w:tc>
      </w:tr>
      <w:tr w:rsidR="003D78E0" w:rsidRPr="00211425" w:rsidTr="000C02C6">
        <w:trPr>
          <w:trHeight w:val="255"/>
        </w:trPr>
        <w:tc>
          <w:tcPr>
            <w:tcW w:w="1329" w:type="dxa"/>
            <w:vMerge/>
            <w:tcBorders>
              <w:left w:val="single" w:sz="4" w:space="0" w:color="auto"/>
              <w:right w:val="single" w:sz="4" w:space="0" w:color="auto"/>
            </w:tcBorders>
            <w:shd w:val="clear" w:color="auto" w:fill="auto"/>
            <w:vAlign w:val="center"/>
          </w:tcPr>
          <w:p w:rsidR="003D78E0" w:rsidRPr="00211425" w:rsidRDefault="003D78E0" w:rsidP="008F468F">
            <w:pPr>
              <w:rPr>
                <w:sz w:val="22"/>
                <w:szCs w:val="22"/>
              </w:rPr>
            </w:pPr>
          </w:p>
        </w:tc>
        <w:tc>
          <w:tcPr>
            <w:tcW w:w="1190" w:type="dxa"/>
            <w:tcBorders>
              <w:top w:val="nil"/>
              <w:left w:val="nil"/>
              <w:bottom w:val="single" w:sz="4" w:space="0" w:color="auto"/>
              <w:right w:val="single" w:sz="4" w:space="0" w:color="auto"/>
            </w:tcBorders>
            <w:shd w:val="clear" w:color="auto" w:fill="auto"/>
            <w:vAlign w:val="bottom"/>
          </w:tcPr>
          <w:p w:rsidR="003D78E0" w:rsidRPr="00211425" w:rsidRDefault="000C02C6" w:rsidP="000C02C6">
            <w:pPr>
              <w:jc w:val="center"/>
              <w:rPr>
                <w:sz w:val="22"/>
                <w:szCs w:val="22"/>
              </w:rPr>
            </w:pPr>
            <w:r>
              <w:rPr>
                <w:sz w:val="22"/>
                <w:szCs w:val="22"/>
              </w:rPr>
              <w:t>FNS-699</w:t>
            </w:r>
          </w:p>
        </w:tc>
        <w:tc>
          <w:tcPr>
            <w:tcW w:w="1434" w:type="dxa"/>
            <w:tcBorders>
              <w:top w:val="nil"/>
              <w:left w:val="nil"/>
              <w:bottom w:val="single" w:sz="4" w:space="0" w:color="auto"/>
              <w:right w:val="single" w:sz="4" w:space="0" w:color="auto"/>
            </w:tcBorders>
            <w:shd w:val="clear" w:color="auto" w:fill="auto"/>
            <w:noWrap/>
            <w:vAlign w:val="bottom"/>
          </w:tcPr>
          <w:p w:rsidR="003D78E0" w:rsidRPr="00211425" w:rsidRDefault="003D78E0" w:rsidP="001E0D7C">
            <w:pPr>
              <w:jc w:val="center"/>
              <w:rPr>
                <w:sz w:val="22"/>
                <w:szCs w:val="22"/>
              </w:rPr>
            </w:pPr>
            <w:r w:rsidRPr="00211425">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3D78E0" w:rsidRPr="00211425" w:rsidRDefault="003D78E0" w:rsidP="001E0D7C">
            <w:pPr>
              <w:jc w:val="center"/>
              <w:rPr>
                <w:sz w:val="22"/>
                <w:szCs w:val="22"/>
              </w:rPr>
            </w:pPr>
            <w:r w:rsidRPr="00211425">
              <w:rPr>
                <w:sz w:val="22"/>
                <w:szCs w:val="22"/>
              </w:rPr>
              <w:t>1</w:t>
            </w:r>
          </w:p>
        </w:tc>
        <w:tc>
          <w:tcPr>
            <w:tcW w:w="1282" w:type="dxa"/>
            <w:tcBorders>
              <w:top w:val="nil"/>
              <w:left w:val="nil"/>
              <w:bottom w:val="single" w:sz="4" w:space="0" w:color="auto"/>
              <w:right w:val="single" w:sz="4" w:space="0" w:color="auto"/>
            </w:tcBorders>
            <w:shd w:val="clear" w:color="auto" w:fill="auto"/>
            <w:vAlign w:val="bottom"/>
          </w:tcPr>
          <w:p w:rsidR="003D78E0" w:rsidRPr="00211425" w:rsidRDefault="003D78E0" w:rsidP="000C02C6">
            <w:pPr>
              <w:jc w:val="right"/>
              <w:rPr>
                <w:sz w:val="22"/>
                <w:szCs w:val="22"/>
              </w:rPr>
            </w:pPr>
            <w:r w:rsidRPr="00211425">
              <w:rPr>
                <w:sz w:val="22"/>
                <w:szCs w:val="22"/>
              </w:rPr>
              <w:t>90</w:t>
            </w:r>
          </w:p>
        </w:tc>
        <w:tc>
          <w:tcPr>
            <w:tcW w:w="1720" w:type="dxa"/>
            <w:tcBorders>
              <w:top w:val="nil"/>
              <w:left w:val="nil"/>
              <w:bottom w:val="single" w:sz="4" w:space="0" w:color="auto"/>
              <w:right w:val="single" w:sz="4" w:space="0" w:color="auto"/>
            </w:tcBorders>
            <w:shd w:val="clear" w:color="auto" w:fill="auto"/>
            <w:noWrap/>
            <w:vAlign w:val="bottom"/>
          </w:tcPr>
          <w:p w:rsidR="003D78E0" w:rsidRPr="00211425" w:rsidRDefault="001324EC" w:rsidP="000C02C6">
            <w:pPr>
              <w:jc w:val="right"/>
              <w:rPr>
                <w:sz w:val="22"/>
                <w:szCs w:val="22"/>
              </w:rPr>
            </w:pPr>
            <w:r>
              <w:rPr>
                <w:sz w:val="22"/>
                <w:szCs w:val="22"/>
              </w:rPr>
              <w:t>0.083</w:t>
            </w:r>
          </w:p>
        </w:tc>
        <w:tc>
          <w:tcPr>
            <w:tcW w:w="1589" w:type="dxa"/>
            <w:tcBorders>
              <w:top w:val="nil"/>
              <w:left w:val="nil"/>
              <w:bottom w:val="single" w:sz="4" w:space="0" w:color="auto"/>
              <w:right w:val="single" w:sz="4" w:space="0" w:color="auto"/>
            </w:tcBorders>
            <w:shd w:val="clear" w:color="auto" w:fill="auto"/>
            <w:noWrap/>
            <w:vAlign w:val="bottom"/>
          </w:tcPr>
          <w:p w:rsidR="003D78E0" w:rsidRPr="00211425" w:rsidRDefault="001324EC" w:rsidP="004E6FE6">
            <w:pPr>
              <w:jc w:val="right"/>
              <w:rPr>
                <w:sz w:val="22"/>
                <w:szCs w:val="22"/>
              </w:rPr>
            </w:pPr>
            <w:r>
              <w:rPr>
                <w:sz w:val="22"/>
                <w:szCs w:val="22"/>
              </w:rPr>
              <w:t>7.47</w:t>
            </w:r>
          </w:p>
        </w:tc>
      </w:tr>
      <w:tr w:rsidR="003D78E0" w:rsidRPr="00211425" w:rsidTr="000C02C6">
        <w:trPr>
          <w:trHeight w:val="255"/>
        </w:trPr>
        <w:tc>
          <w:tcPr>
            <w:tcW w:w="1329" w:type="dxa"/>
            <w:vMerge/>
            <w:tcBorders>
              <w:left w:val="single" w:sz="4" w:space="0" w:color="auto"/>
              <w:bottom w:val="single" w:sz="4" w:space="0" w:color="auto"/>
              <w:right w:val="single" w:sz="4" w:space="0" w:color="auto"/>
            </w:tcBorders>
            <w:shd w:val="clear" w:color="auto" w:fill="auto"/>
            <w:noWrap/>
            <w:vAlign w:val="bottom"/>
          </w:tcPr>
          <w:p w:rsidR="003D78E0" w:rsidRPr="003242F7" w:rsidRDefault="003D78E0" w:rsidP="008F468F">
            <w:pPr>
              <w:rPr>
                <w:b/>
                <w:bCs/>
                <w:sz w:val="22"/>
                <w:szCs w:val="22"/>
              </w:rPr>
            </w:pPr>
          </w:p>
        </w:tc>
        <w:tc>
          <w:tcPr>
            <w:tcW w:w="1190" w:type="dxa"/>
            <w:tcBorders>
              <w:top w:val="nil"/>
              <w:left w:val="nil"/>
              <w:bottom w:val="single" w:sz="4" w:space="0" w:color="auto"/>
              <w:right w:val="single" w:sz="4" w:space="0" w:color="auto"/>
            </w:tcBorders>
            <w:shd w:val="clear" w:color="auto" w:fill="auto"/>
            <w:noWrap/>
            <w:vAlign w:val="bottom"/>
          </w:tcPr>
          <w:p w:rsidR="003D78E0" w:rsidRPr="003242F7" w:rsidRDefault="000C02C6" w:rsidP="000C02C6">
            <w:pPr>
              <w:jc w:val="center"/>
              <w:rPr>
                <w:sz w:val="22"/>
                <w:szCs w:val="22"/>
              </w:rPr>
            </w:pPr>
            <w:r>
              <w:rPr>
                <w:sz w:val="22"/>
                <w:szCs w:val="22"/>
              </w:rPr>
              <w:t>FNS-700</w:t>
            </w:r>
          </w:p>
        </w:tc>
        <w:tc>
          <w:tcPr>
            <w:tcW w:w="1434" w:type="dxa"/>
            <w:tcBorders>
              <w:top w:val="nil"/>
              <w:left w:val="nil"/>
              <w:bottom w:val="single" w:sz="4" w:space="0" w:color="auto"/>
              <w:right w:val="single" w:sz="4" w:space="0" w:color="auto"/>
            </w:tcBorders>
            <w:shd w:val="clear" w:color="auto" w:fill="auto"/>
            <w:noWrap/>
            <w:vAlign w:val="bottom"/>
          </w:tcPr>
          <w:p w:rsidR="003D78E0" w:rsidRPr="000C02C6" w:rsidRDefault="001324EC" w:rsidP="003242F7">
            <w:pPr>
              <w:jc w:val="center"/>
              <w:rPr>
                <w:sz w:val="22"/>
                <w:szCs w:val="22"/>
              </w:rPr>
            </w:pPr>
            <w:r w:rsidRPr="000C02C6">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3D78E0" w:rsidRPr="000C02C6" w:rsidRDefault="001324EC" w:rsidP="001324EC">
            <w:pPr>
              <w:jc w:val="center"/>
              <w:rPr>
                <w:sz w:val="22"/>
                <w:szCs w:val="22"/>
              </w:rPr>
            </w:pPr>
            <w:r w:rsidRPr="000C02C6">
              <w:rPr>
                <w:sz w:val="22"/>
                <w:szCs w:val="22"/>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D78E0" w:rsidRPr="003242F7" w:rsidRDefault="001324EC" w:rsidP="001E0D7C">
            <w:pPr>
              <w:jc w:val="right"/>
              <w:rPr>
                <w:sz w:val="22"/>
                <w:szCs w:val="22"/>
              </w:rPr>
            </w:pPr>
            <w:r>
              <w:rPr>
                <w:sz w:val="22"/>
                <w:szCs w:val="22"/>
              </w:rPr>
              <w:t>90</w:t>
            </w:r>
          </w:p>
        </w:tc>
        <w:tc>
          <w:tcPr>
            <w:tcW w:w="1720" w:type="dxa"/>
            <w:tcBorders>
              <w:top w:val="single" w:sz="4" w:space="0" w:color="auto"/>
              <w:left w:val="nil"/>
              <w:bottom w:val="single" w:sz="4" w:space="0" w:color="auto"/>
              <w:right w:val="single" w:sz="4" w:space="0" w:color="auto"/>
            </w:tcBorders>
            <w:shd w:val="clear" w:color="auto" w:fill="auto"/>
            <w:noWrap/>
            <w:vAlign w:val="bottom"/>
          </w:tcPr>
          <w:p w:rsidR="003D78E0" w:rsidRPr="003242F7" w:rsidRDefault="001324EC" w:rsidP="001E0D7C">
            <w:pPr>
              <w:jc w:val="right"/>
              <w:rPr>
                <w:sz w:val="22"/>
                <w:szCs w:val="22"/>
              </w:rPr>
            </w:pPr>
            <w:r>
              <w:rPr>
                <w:sz w:val="22"/>
                <w:szCs w:val="22"/>
              </w:rPr>
              <w:t>0.167</w:t>
            </w:r>
          </w:p>
        </w:tc>
        <w:tc>
          <w:tcPr>
            <w:tcW w:w="1589" w:type="dxa"/>
            <w:tcBorders>
              <w:top w:val="nil"/>
              <w:left w:val="nil"/>
              <w:bottom w:val="single" w:sz="4" w:space="0" w:color="auto"/>
              <w:right w:val="single" w:sz="4" w:space="0" w:color="auto"/>
            </w:tcBorders>
            <w:shd w:val="clear" w:color="auto" w:fill="auto"/>
            <w:noWrap/>
            <w:vAlign w:val="bottom"/>
          </w:tcPr>
          <w:p w:rsidR="003D78E0" w:rsidRPr="000C02C6" w:rsidRDefault="001324EC" w:rsidP="001E0D7C">
            <w:pPr>
              <w:jc w:val="right"/>
              <w:rPr>
                <w:bCs/>
                <w:sz w:val="22"/>
                <w:szCs w:val="22"/>
              </w:rPr>
            </w:pPr>
            <w:r w:rsidRPr="000C02C6">
              <w:rPr>
                <w:bCs/>
                <w:sz w:val="22"/>
                <w:szCs w:val="22"/>
              </w:rPr>
              <w:t>15.03</w:t>
            </w:r>
          </w:p>
        </w:tc>
      </w:tr>
      <w:tr w:rsidR="008F468F" w:rsidRPr="00211425" w:rsidTr="000C02C6">
        <w:trPr>
          <w:trHeight w:val="255"/>
        </w:trPr>
        <w:tc>
          <w:tcPr>
            <w:tcW w:w="1329" w:type="dxa"/>
            <w:tcBorders>
              <w:top w:val="nil"/>
              <w:left w:val="single" w:sz="4" w:space="0" w:color="auto"/>
              <w:bottom w:val="single" w:sz="4" w:space="0" w:color="auto"/>
              <w:right w:val="single" w:sz="4" w:space="0" w:color="auto"/>
            </w:tcBorders>
            <w:shd w:val="clear" w:color="auto" w:fill="auto"/>
            <w:noWrap/>
            <w:vAlign w:val="bottom"/>
          </w:tcPr>
          <w:p w:rsidR="008F468F" w:rsidRPr="0006680E" w:rsidRDefault="008F468F" w:rsidP="008F468F">
            <w:pPr>
              <w:rPr>
                <w:bCs/>
                <w:sz w:val="22"/>
                <w:szCs w:val="22"/>
              </w:rPr>
            </w:pPr>
            <w:r w:rsidRPr="0006680E">
              <w:rPr>
                <w:bCs/>
                <w:sz w:val="22"/>
                <w:szCs w:val="22"/>
              </w:rPr>
              <w:t xml:space="preserve">Total </w:t>
            </w:r>
          </w:p>
        </w:tc>
        <w:tc>
          <w:tcPr>
            <w:tcW w:w="1190" w:type="dxa"/>
            <w:tcBorders>
              <w:top w:val="nil"/>
              <w:left w:val="nil"/>
              <w:bottom w:val="single" w:sz="4" w:space="0" w:color="auto"/>
              <w:right w:val="single" w:sz="4" w:space="0" w:color="auto"/>
            </w:tcBorders>
            <w:shd w:val="clear" w:color="auto" w:fill="auto"/>
            <w:noWrap/>
            <w:vAlign w:val="bottom"/>
          </w:tcPr>
          <w:p w:rsidR="008F468F" w:rsidRPr="003242F7" w:rsidRDefault="008F468F" w:rsidP="001E0D7C">
            <w:pPr>
              <w:rPr>
                <w:sz w:val="22"/>
                <w:szCs w:val="22"/>
              </w:rPr>
            </w:pPr>
            <w:r w:rsidRPr="003242F7">
              <w:rPr>
                <w:sz w:val="22"/>
                <w:szCs w:val="22"/>
              </w:rPr>
              <w:t> </w:t>
            </w:r>
          </w:p>
        </w:tc>
        <w:tc>
          <w:tcPr>
            <w:tcW w:w="1434" w:type="dxa"/>
            <w:tcBorders>
              <w:top w:val="nil"/>
              <w:left w:val="nil"/>
              <w:bottom w:val="single" w:sz="4" w:space="0" w:color="auto"/>
              <w:right w:val="single" w:sz="4" w:space="0" w:color="auto"/>
            </w:tcBorders>
            <w:shd w:val="clear" w:color="auto" w:fill="auto"/>
            <w:noWrap/>
            <w:vAlign w:val="bottom"/>
          </w:tcPr>
          <w:p w:rsidR="008F468F" w:rsidRPr="000C02C6" w:rsidRDefault="003242F7" w:rsidP="003242F7">
            <w:pPr>
              <w:jc w:val="center"/>
              <w:rPr>
                <w:sz w:val="22"/>
                <w:szCs w:val="22"/>
              </w:rPr>
            </w:pPr>
            <w:r w:rsidRPr="000C02C6">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8F468F" w:rsidRPr="003242F7" w:rsidRDefault="008F468F" w:rsidP="001E0D7C">
            <w:pPr>
              <w:jc w:val="right"/>
              <w:rPr>
                <w:b/>
                <w:sz w:val="22"/>
                <w:szCs w:val="22"/>
              </w:rPr>
            </w:pPr>
            <w:r w:rsidRPr="003242F7">
              <w:rPr>
                <w:b/>
                <w:sz w:val="22"/>
                <w:szCs w:val="22"/>
              </w:rPr>
              <w:t> </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F468F" w:rsidRPr="003242F7" w:rsidRDefault="003F484B" w:rsidP="00D56159">
            <w:pPr>
              <w:jc w:val="right"/>
              <w:rPr>
                <w:sz w:val="22"/>
                <w:szCs w:val="22"/>
              </w:rPr>
            </w:pPr>
            <w:r>
              <w:rPr>
                <w:sz w:val="22"/>
                <w:szCs w:val="22"/>
              </w:rPr>
              <w:t>90</w:t>
            </w:r>
          </w:p>
        </w:tc>
        <w:tc>
          <w:tcPr>
            <w:tcW w:w="1720" w:type="dxa"/>
            <w:tcBorders>
              <w:top w:val="single" w:sz="4" w:space="0" w:color="auto"/>
              <w:left w:val="nil"/>
              <w:bottom w:val="single" w:sz="4" w:space="0" w:color="auto"/>
              <w:right w:val="single" w:sz="4" w:space="0" w:color="auto"/>
            </w:tcBorders>
            <w:shd w:val="clear" w:color="auto" w:fill="auto"/>
            <w:noWrap/>
            <w:vAlign w:val="bottom"/>
          </w:tcPr>
          <w:p w:rsidR="008F468F" w:rsidRPr="003242F7" w:rsidRDefault="008F468F" w:rsidP="001E0D7C">
            <w:pPr>
              <w:jc w:val="right"/>
              <w:rPr>
                <w:sz w:val="22"/>
                <w:szCs w:val="22"/>
              </w:rPr>
            </w:pPr>
            <w:r w:rsidRPr="003242F7">
              <w:rPr>
                <w:sz w:val="22"/>
                <w:szCs w:val="22"/>
              </w:rPr>
              <w:t> </w:t>
            </w:r>
          </w:p>
        </w:tc>
        <w:tc>
          <w:tcPr>
            <w:tcW w:w="1589" w:type="dxa"/>
            <w:tcBorders>
              <w:top w:val="nil"/>
              <w:left w:val="nil"/>
              <w:bottom w:val="single" w:sz="4" w:space="0" w:color="auto"/>
              <w:right w:val="single" w:sz="4" w:space="0" w:color="auto"/>
            </w:tcBorders>
            <w:shd w:val="clear" w:color="auto" w:fill="auto"/>
            <w:noWrap/>
            <w:vAlign w:val="bottom"/>
          </w:tcPr>
          <w:p w:rsidR="008F468F" w:rsidRPr="009E2FC5" w:rsidRDefault="00307D06" w:rsidP="001324EC">
            <w:pPr>
              <w:jc w:val="right"/>
              <w:rPr>
                <w:bCs/>
                <w:sz w:val="22"/>
                <w:szCs w:val="22"/>
              </w:rPr>
            </w:pPr>
            <w:r w:rsidRPr="009E2FC5">
              <w:rPr>
                <w:bCs/>
                <w:sz w:val="22"/>
                <w:szCs w:val="22"/>
              </w:rPr>
              <w:t>37.53</w:t>
            </w:r>
          </w:p>
        </w:tc>
      </w:tr>
    </w:tbl>
    <w:p w:rsidR="008F468F" w:rsidRPr="00211425" w:rsidRDefault="008F468F" w:rsidP="008F468F">
      <w:pPr>
        <w:tabs>
          <w:tab w:val="left" w:pos="9630"/>
          <w:tab w:val="left" w:pos="9810"/>
        </w:tabs>
        <w:spacing w:line="480" w:lineRule="auto"/>
        <w:ind w:left="1440" w:right="792"/>
        <w:rPr>
          <w:sz w:val="24"/>
          <w:szCs w:val="24"/>
        </w:rPr>
      </w:pPr>
    </w:p>
    <w:p w:rsidR="008F468F" w:rsidRPr="00211425" w:rsidRDefault="008F468F" w:rsidP="008F468F">
      <w:pPr>
        <w:numPr>
          <w:ilvl w:val="0"/>
          <w:numId w:val="13"/>
        </w:numPr>
        <w:tabs>
          <w:tab w:val="left" w:pos="9630"/>
          <w:tab w:val="left" w:pos="9810"/>
        </w:tabs>
        <w:spacing w:line="480" w:lineRule="auto"/>
        <w:ind w:right="792"/>
        <w:rPr>
          <w:sz w:val="24"/>
          <w:szCs w:val="24"/>
        </w:rPr>
      </w:pPr>
      <w:r w:rsidRPr="00211425">
        <w:rPr>
          <w:b/>
          <w:sz w:val="24"/>
          <w:szCs w:val="24"/>
        </w:rPr>
        <w:t>Provide estimates of annualized cost to respondents for the hour burdens for collections of information, identifying and using appropriate wage rate categories.</w:t>
      </w:r>
    </w:p>
    <w:p w:rsidR="005C28DD" w:rsidRPr="00211425" w:rsidRDefault="005C28DD" w:rsidP="005C28DD">
      <w:pPr>
        <w:pStyle w:val="ListParagraph"/>
        <w:tabs>
          <w:tab w:val="left" w:pos="-720"/>
        </w:tabs>
        <w:suppressAutoHyphens/>
        <w:spacing w:line="480" w:lineRule="auto"/>
        <w:ind w:left="1440"/>
        <w:rPr>
          <w:sz w:val="24"/>
          <w:szCs w:val="24"/>
        </w:rPr>
      </w:pPr>
    </w:p>
    <w:p w:rsidR="0052676A" w:rsidRDefault="00E96261" w:rsidP="005C28DD">
      <w:pPr>
        <w:pStyle w:val="ListParagraph"/>
        <w:tabs>
          <w:tab w:val="left" w:pos="-720"/>
        </w:tabs>
        <w:suppressAutoHyphens/>
        <w:spacing w:line="480" w:lineRule="auto"/>
        <w:ind w:left="1440"/>
        <w:rPr>
          <w:sz w:val="24"/>
          <w:szCs w:val="24"/>
        </w:rPr>
      </w:pPr>
      <w:r w:rsidRPr="00211425">
        <w:rPr>
          <w:sz w:val="24"/>
          <w:szCs w:val="24"/>
        </w:rPr>
        <w:t xml:space="preserve">Table A.12.2 reports the respondent costs associated with </w:t>
      </w:r>
      <w:r w:rsidR="009E2621">
        <w:rPr>
          <w:sz w:val="24"/>
          <w:szCs w:val="24"/>
        </w:rPr>
        <w:t>the Profile of Integrity Practices and Procedures (PIPP) Report</w:t>
      </w:r>
      <w:r w:rsidR="00A55E42">
        <w:rPr>
          <w:sz w:val="24"/>
          <w:szCs w:val="24"/>
        </w:rPr>
        <w:t xml:space="preserve"> </w:t>
      </w:r>
      <w:r w:rsidRPr="00211425">
        <w:rPr>
          <w:sz w:val="24"/>
          <w:szCs w:val="24"/>
        </w:rPr>
        <w:t>(Form FNS-</w:t>
      </w:r>
      <w:r w:rsidR="00A55E42">
        <w:rPr>
          <w:sz w:val="24"/>
          <w:szCs w:val="24"/>
        </w:rPr>
        <w:t>698</w:t>
      </w:r>
      <w:r w:rsidR="009E2621">
        <w:rPr>
          <w:sz w:val="24"/>
          <w:szCs w:val="24"/>
        </w:rPr>
        <w:t>)</w:t>
      </w:r>
      <w:r w:rsidRPr="00211425">
        <w:rPr>
          <w:sz w:val="24"/>
          <w:szCs w:val="24"/>
        </w:rPr>
        <w:t xml:space="preserve">.  </w:t>
      </w:r>
      <w:r w:rsidR="00FE3E3B">
        <w:rPr>
          <w:sz w:val="24"/>
          <w:szCs w:val="24"/>
        </w:rPr>
        <w:t xml:space="preserve">The decrease in the hourly wage from the last submission reflects an update that considers improvements in State agency information technology systems </w:t>
      </w:r>
      <w:r w:rsidR="00C6052C">
        <w:rPr>
          <w:sz w:val="24"/>
          <w:szCs w:val="24"/>
        </w:rPr>
        <w:t xml:space="preserve">and a change in the job classifications of the State staff responsible for the report.  Data entry clerks are no longer used and the job </w:t>
      </w:r>
      <w:r w:rsidR="006E2D78">
        <w:rPr>
          <w:sz w:val="24"/>
          <w:szCs w:val="24"/>
        </w:rPr>
        <w:t xml:space="preserve">classification of the </w:t>
      </w:r>
      <w:r w:rsidR="006A1D82">
        <w:rPr>
          <w:sz w:val="24"/>
          <w:szCs w:val="24"/>
        </w:rPr>
        <w:t xml:space="preserve">staff person </w:t>
      </w:r>
      <w:r w:rsidR="006E2D78">
        <w:rPr>
          <w:sz w:val="24"/>
          <w:szCs w:val="24"/>
        </w:rPr>
        <w:t>performing the data upload may vary by State.  Therefore, we believe using the national average salary for all State employees provides the most accurate estimate.</w:t>
      </w:r>
      <w:r w:rsidR="006E2D78" w:rsidRPr="00211425">
        <w:rPr>
          <w:sz w:val="24"/>
          <w:szCs w:val="24"/>
        </w:rPr>
        <w:t xml:space="preserve"> </w:t>
      </w:r>
      <w:r w:rsidR="006E2D78">
        <w:rPr>
          <w:sz w:val="24"/>
          <w:szCs w:val="24"/>
        </w:rPr>
        <w:t xml:space="preserve"> </w:t>
      </w:r>
      <w:r w:rsidR="006E2D78" w:rsidRPr="00211425">
        <w:rPr>
          <w:sz w:val="24"/>
          <w:szCs w:val="24"/>
        </w:rPr>
        <w:t>The</w:t>
      </w:r>
      <w:r w:rsidRPr="00211425">
        <w:rPr>
          <w:sz w:val="24"/>
          <w:szCs w:val="24"/>
        </w:rPr>
        <w:t xml:space="preserve"> median </w:t>
      </w:r>
      <w:r w:rsidRPr="00211425">
        <w:rPr>
          <w:sz w:val="24"/>
          <w:szCs w:val="24"/>
        </w:rPr>
        <w:lastRenderedPageBreak/>
        <w:t>hourly wage rate for State Agencies is estimated at $2</w:t>
      </w:r>
      <w:r w:rsidR="00B27BD9" w:rsidRPr="00211425">
        <w:rPr>
          <w:sz w:val="24"/>
          <w:szCs w:val="24"/>
        </w:rPr>
        <w:t>3</w:t>
      </w:r>
      <w:r w:rsidRPr="00211425">
        <w:rPr>
          <w:sz w:val="24"/>
          <w:szCs w:val="24"/>
        </w:rPr>
        <w:t>.</w:t>
      </w:r>
      <w:r w:rsidR="00D736B9">
        <w:rPr>
          <w:sz w:val="24"/>
          <w:szCs w:val="24"/>
        </w:rPr>
        <w:t>43</w:t>
      </w:r>
      <w:r w:rsidRPr="00211425">
        <w:rPr>
          <w:sz w:val="24"/>
          <w:szCs w:val="24"/>
        </w:rPr>
        <w:t> per hour.  The estimated annual salary of respondent is $</w:t>
      </w:r>
      <w:r w:rsidR="00D736B9">
        <w:rPr>
          <w:sz w:val="24"/>
          <w:szCs w:val="24"/>
        </w:rPr>
        <w:t>48,742</w:t>
      </w:r>
      <w:r w:rsidRPr="00211425">
        <w:rPr>
          <w:sz w:val="24"/>
          <w:szCs w:val="24"/>
        </w:rPr>
        <w:t>* and the estimated salary per hour ($</w:t>
      </w:r>
      <w:r w:rsidR="00464E58">
        <w:rPr>
          <w:sz w:val="24"/>
          <w:szCs w:val="24"/>
        </w:rPr>
        <w:t>4</w:t>
      </w:r>
      <w:r w:rsidR="002524D6">
        <w:rPr>
          <w:sz w:val="24"/>
          <w:szCs w:val="24"/>
        </w:rPr>
        <w:t>8,742</w:t>
      </w:r>
      <w:r w:rsidRPr="00211425">
        <w:rPr>
          <w:sz w:val="24"/>
          <w:szCs w:val="24"/>
        </w:rPr>
        <w:t>/2,080) is $</w:t>
      </w:r>
      <w:r w:rsidR="00464E58" w:rsidRPr="00211425">
        <w:rPr>
          <w:sz w:val="24"/>
          <w:szCs w:val="24"/>
        </w:rPr>
        <w:t>23.</w:t>
      </w:r>
      <w:r w:rsidR="00D736B9">
        <w:rPr>
          <w:sz w:val="24"/>
          <w:szCs w:val="24"/>
        </w:rPr>
        <w:t>43</w:t>
      </w:r>
      <w:r w:rsidRPr="00211425">
        <w:rPr>
          <w:sz w:val="24"/>
          <w:szCs w:val="24"/>
        </w:rPr>
        <w:t>*.  Total burden hours (</w:t>
      </w:r>
      <w:r w:rsidR="009E2621">
        <w:rPr>
          <w:sz w:val="24"/>
          <w:szCs w:val="24"/>
        </w:rPr>
        <w:t>0.167</w:t>
      </w:r>
      <w:r w:rsidRPr="00211425">
        <w:rPr>
          <w:sz w:val="24"/>
          <w:szCs w:val="24"/>
        </w:rPr>
        <w:t>) multiplied by the total reports per year (</w:t>
      </w:r>
      <w:r w:rsidR="00E8639D">
        <w:rPr>
          <w:sz w:val="24"/>
          <w:szCs w:val="24"/>
        </w:rPr>
        <w:t>90</w:t>
      </w:r>
      <w:r w:rsidRPr="00211425">
        <w:rPr>
          <w:sz w:val="24"/>
          <w:szCs w:val="24"/>
        </w:rPr>
        <w:t>) and the salary per hour ($</w:t>
      </w:r>
      <w:r w:rsidR="00464E58" w:rsidRPr="00211425">
        <w:rPr>
          <w:sz w:val="24"/>
          <w:szCs w:val="24"/>
        </w:rPr>
        <w:t>23.</w:t>
      </w:r>
      <w:r w:rsidR="00E8639D">
        <w:rPr>
          <w:sz w:val="24"/>
          <w:szCs w:val="24"/>
        </w:rPr>
        <w:t>43</w:t>
      </w:r>
      <w:r w:rsidRPr="00211425">
        <w:rPr>
          <w:sz w:val="24"/>
          <w:szCs w:val="24"/>
        </w:rPr>
        <w:t>) is estimated</w:t>
      </w:r>
      <w:r w:rsidR="00B27BD9" w:rsidRPr="00211425">
        <w:rPr>
          <w:sz w:val="24"/>
          <w:szCs w:val="24"/>
        </w:rPr>
        <w:t xml:space="preserve"> at an annual cost of $</w:t>
      </w:r>
      <w:r w:rsidR="009E2621">
        <w:rPr>
          <w:sz w:val="24"/>
          <w:szCs w:val="24"/>
        </w:rPr>
        <w:t>352.15</w:t>
      </w:r>
      <w:r w:rsidRPr="00211425">
        <w:rPr>
          <w:sz w:val="24"/>
          <w:szCs w:val="24"/>
        </w:rPr>
        <w:t>.</w:t>
      </w:r>
      <w:r w:rsidRPr="00211425">
        <w:rPr>
          <w:sz w:val="24"/>
          <w:szCs w:val="24"/>
        </w:rPr>
        <w:br/>
      </w:r>
      <w:r w:rsidRPr="00211425">
        <w:rPr>
          <w:sz w:val="24"/>
          <w:szCs w:val="24"/>
        </w:rPr>
        <w:br/>
      </w:r>
      <w:r w:rsidR="00D46C4A">
        <w:rPr>
          <w:sz w:val="24"/>
          <w:szCs w:val="24"/>
        </w:rPr>
        <w:t xml:space="preserve">Next, </w:t>
      </w:r>
      <w:r w:rsidRPr="00211425">
        <w:rPr>
          <w:sz w:val="24"/>
          <w:szCs w:val="24"/>
        </w:rPr>
        <w:t xml:space="preserve">Table A.12.2 </w:t>
      </w:r>
      <w:r w:rsidR="00D46C4A">
        <w:rPr>
          <w:sz w:val="24"/>
          <w:szCs w:val="24"/>
        </w:rPr>
        <w:t xml:space="preserve"> estimates the costs for The Integrity Profile Report </w:t>
      </w:r>
      <w:r w:rsidRPr="00211425">
        <w:rPr>
          <w:sz w:val="24"/>
          <w:szCs w:val="24"/>
        </w:rPr>
        <w:t>(Form FNS-</w:t>
      </w:r>
      <w:r w:rsidR="00D46C4A">
        <w:rPr>
          <w:sz w:val="24"/>
          <w:szCs w:val="24"/>
        </w:rPr>
        <w:t>699</w:t>
      </w:r>
      <w:r w:rsidRPr="00211425">
        <w:rPr>
          <w:sz w:val="24"/>
          <w:szCs w:val="24"/>
        </w:rPr>
        <w:t>).  There are 90 State agencies reporting 1 time.  The total burden hours (</w:t>
      </w:r>
      <w:r w:rsidR="00D46C4A">
        <w:rPr>
          <w:sz w:val="24"/>
          <w:szCs w:val="24"/>
        </w:rPr>
        <w:t>0.083</w:t>
      </w:r>
      <w:r w:rsidRPr="00211425">
        <w:rPr>
          <w:sz w:val="24"/>
          <w:szCs w:val="24"/>
        </w:rPr>
        <w:t>) multiplied by the total reports per year (90) multiplied by the salary per hour ($</w:t>
      </w:r>
      <w:r w:rsidR="00CD17C0" w:rsidRPr="00211425">
        <w:rPr>
          <w:sz w:val="24"/>
          <w:szCs w:val="24"/>
        </w:rPr>
        <w:t>23.</w:t>
      </w:r>
      <w:r w:rsidR="00D46C4A">
        <w:rPr>
          <w:sz w:val="24"/>
          <w:szCs w:val="24"/>
        </w:rPr>
        <w:t>43</w:t>
      </w:r>
      <w:r w:rsidRPr="00211425">
        <w:rPr>
          <w:sz w:val="24"/>
          <w:szCs w:val="24"/>
        </w:rPr>
        <w:t>) is estimated at an annual cost of $</w:t>
      </w:r>
      <w:r w:rsidR="00D46C4A">
        <w:rPr>
          <w:sz w:val="24"/>
          <w:szCs w:val="24"/>
        </w:rPr>
        <w:t>175.02</w:t>
      </w:r>
      <w:r w:rsidR="0052676A" w:rsidRPr="00211425">
        <w:rPr>
          <w:sz w:val="24"/>
          <w:szCs w:val="24"/>
        </w:rPr>
        <w:t xml:space="preserve">. </w:t>
      </w:r>
      <w:r w:rsidRPr="00211425">
        <w:rPr>
          <w:sz w:val="24"/>
          <w:szCs w:val="24"/>
        </w:rPr>
        <w:t xml:space="preserve"> </w:t>
      </w:r>
      <w:r w:rsidR="00D46C4A">
        <w:rPr>
          <w:sz w:val="24"/>
          <w:szCs w:val="24"/>
        </w:rPr>
        <w:br/>
      </w:r>
      <w:r w:rsidR="00D46C4A">
        <w:rPr>
          <w:sz w:val="24"/>
          <w:szCs w:val="24"/>
        </w:rPr>
        <w:br/>
        <w:t xml:space="preserve">Finally, Table 12.2 estimates the costs for the Vendor Record (Form FNS-700).  </w:t>
      </w:r>
      <w:r w:rsidR="00D46C4A" w:rsidRPr="00211425">
        <w:rPr>
          <w:sz w:val="24"/>
          <w:szCs w:val="24"/>
        </w:rPr>
        <w:t>There are 90 State agencies reporting 1 time.  The total burden hours (</w:t>
      </w:r>
      <w:r w:rsidR="00D46C4A">
        <w:rPr>
          <w:sz w:val="24"/>
          <w:szCs w:val="24"/>
        </w:rPr>
        <w:t>0.167</w:t>
      </w:r>
      <w:r w:rsidR="00D46C4A" w:rsidRPr="00211425">
        <w:rPr>
          <w:sz w:val="24"/>
          <w:szCs w:val="24"/>
        </w:rPr>
        <w:t>) multiplied by the total reports per year (90) multiplied by the salary per hour ($23.</w:t>
      </w:r>
      <w:r w:rsidR="00D46C4A">
        <w:rPr>
          <w:sz w:val="24"/>
          <w:szCs w:val="24"/>
        </w:rPr>
        <w:t>43</w:t>
      </w:r>
      <w:r w:rsidR="00D46C4A" w:rsidRPr="00211425">
        <w:rPr>
          <w:sz w:val="24"/>
          <w:szCs w:val="24"/>
        </w:rPr>
        <w:t>) is estimated at an annual cost of $</w:t>
      </w:r>
      <w:r w:rsidR="00D46C4A">
        <w:rPr>
          <w:sz w:val="24"/>
          <w:szCs w:val="24"/>
        </w:rPr>
        <w:t>352.15</w:t>
      </w:r>
      <w:r w:rsidR="00D46C4A" w:rsidRPr="00211425">
        <w:rPr>
          <w:sz w:val="24"/>
          <w:szCs w:val="24"/>
        </w:rPr>
        <w:t xml:space="preserve">.  </w:t>
      </w:r>
    </w:p>
    <w:p w:rsidR="006F1BD2" w:rsidRPr="00211425" w:rsidRDefault="006F1BD2" w:rsidP="005C28DD">
      <w:pPr>
        <w:pStyle w:val="ListParagraph"/>
        <w:tabs>
          <w:tab w:val="left" w:pos="-720"/>
        </w:tabs>
        <w:suppressAutoHyphens/>
        <w:spacing w:line="480" w:lineRule="auto"/>
        <w:ind w:left="1440"/>
        <w:rPr>
          <w:sz w:val="24"/>
          <w:szCs w:val="24"/>
        </w:rPr>
      </w:pPr>
      <w:r>
        <w:rPr>
          <w:sz w:val="24"/>
          <w:szCs w:val="24"/>
        </w:rPr>
        <w:t>Total annual cost is estimated at $</w:t>
      </w:r>
      <w:r w:rsidR="00D46C4A">
        <w:rPr>
          <w:sz w:val="24"/>
          <w:szCs w:val="24"/>
        </w:rPr>
        <w:t>879.32</w:t>
      </w:r>
      <w:r>
        <w:rPr>
          <w:sz w:val="24"/>
          <w:szCs w:val="24"/>
        </w:rPr>
        <w:t>.</w:t>
      </w:r>
    </w:p>
    <w:p w:rsidR="0052676A" w:rsidRPr="00211425" w:rsidRDefault="0052676A" w:rsidP="005C28DD">
      <w:pPr>
        <w:pStyle w:val="ListParagraph"/>
        <w:tabs>
          <w:tab w:val="left" w:pos="-720"/>
        </w:tabs>
        <w:suppressAutoHyphens/>
        <w:spacing w:line="480" w:lineRule="auto"/>
        <w:ind w:left="1440"/>
        <w:rPr>
          <w:sz w:val="24"/>
          <w:szCs w:val="24"/>
        </w:rPr>
      </w:pPr>
    </w:p>
    <w:p w:rsidR="008F468F" w:rsidRPr="00211425" w:rsidRDefault="00E96261" w:rsidP="00FD4AF7">
      <w:pPr>
        <w:pStyle w:val="ListParagraph"/>
        <w:tabs>
          <w:tab w:val="left" w:pos="-720"/>
        </w:tabs>
        <w:suppressAutoHyphens/>
        <w:spacing w:line="480" w:lineRule="auto"/>
        <w:ind w:left="1440"/>
        <w:rPr>
          <w:sz w:val="24"/>
          <w:szCs w:val="24"/>
        </w:rPr>
      </w:pPr>
      <w:r w:rsidRPr="00211425">
        <w:rPr>
          <w:b/>
          <w:sz w:val="24"/>
          <w:szCs w:val="24"/>
        </w:rPr>
        <w:t>12.2 Estimates of Annualized Cost to Respondents</w:t>
      </w:r>
    </w:p>
    <w:tbl>
      <w:tblPr>
        <w:tblW w:w="9450" w:type="dxa"/>
        <w:tblInd w:w="1098" w:type="dxa"/>
        <w:tblLayout w:type="fixed"/>
        <w:tblLook w:val="0000"/>
      </w:tblPr>
      <w:tblGrid>
        <w:gridCol w:w="2473"/>
        <w:gridCol w:w="1161"/>
        <w:gridCol w:w="1117"/>
        <w:gridCol w:w="1395"/>
        <w:gridCol w:w="1161"/>
        <w:gridCol w:w="848"/>
        <w:gridCol w:w="1295"/>
      </w:tblGrid>
      <w:tr w:rsidR="008F468F" w:rsidRPr="00211425" w:rsidTr="00EF0E5F">
        <w:trPr>
          <w:trHeight w:val="525"/>
        </w:trPr>
        <w:tc>
          <w:tcPr>
            <w:tcW w:w="2473" w:type="dxa"/>
            <w:tcBorders>
              <w:top w:val="single" w:sz="8" w:space="0" w:color="auto"/>
              <w:left w:val="single" w:sz="8" w:space="0" w:color="auto"/>
              <w:bottom w:val="single" w:sz="8" w:space="0" w:color="auto"/>
              <w:right w:val="single" w:sz="4" w:space="0" w:color="auto"/>
            </w:tcBorders>
            <w:shd w:val="clear" w:color="auto" w:fill="auto"/>
            <w:vAlign w:val="bottom"/>
          </w:tcPr>
          <w:p w:rsidR="008F468F" w:rsidRPr="00CD17C0" w:rsidRDefault="008F468F" w:rsidP="001C626D">
            <w:pPr>
              <w:jc w:val="center"/>
            </w:pPr>
            <w:r w:rsidRPr="00CD17C0">
              <w:t>Type of Respondent</w:t>
            </w:r>
          </w:p>
        </w:tc>
        <w:tc>
          <w:tcPr>
            <w:tcW w:w="1161" w:type="dxa"/>
            <w:tcBorders>
              <w:top w:val="single" w:sz="8" w:space="0" w:color="auto"/>
              <w:left w:val="nil"/>
              <w:bottom w:val="single" w:sz="8" w:space="0" w:color="auto"/>
              <w:right w:val="single" w:sz="4" w:space="0" w:color="auto"/>
            </w:tcBorders>
            <w:shd w:val="clear" w:color="auto" w:fill="auto"/>
            <w:vAlign w:val="bottom"/>
          </w:tcPr>
          <w:p w:rsidR="008F468F" w:rsidRPr="00CD17C0" w:rsidRDefault="008F468F" w:rsidP="008F468F">
            <w:pPr>
              <w:jc w:val="center"/>
            </w:pPr>
            <w:r w:rsidRPr="00CD17C0">
              <w:t>Type of Instrument</w:t>
            </w:r>
          </w:p>
        </w:tc>
        <w:tc>
          <w:tcPr>
            <w:tcW w:w="1117" w:type="dxa"/>
            <w:tcBorders>
              <w:top w:val="single" w:sz="8" w:space="0" w:color="auto"/>
              <w:left w:val="nil"/>
              <w:bottom w:val="single" w:sz="8" w:space="0" w:color="auto"/>
              <w:right w:val="single" w:sz="4" w:space="0" w:color="auto"/>
            </w:tcBorders>
            <w:shd w:val="clear" w:color="auto" w:fill="auto"/>
            <w:vAlign w:val="bottom"/>
          </w:tcPr>
          <w:p w:rsidR="008F468F" w:rsidRPr="00CD17C0" w:rsidRDefault="008F468F" w:rsidP="008F468F">
            <w:pPr>
              <w:jc w:val="center"/>
            </w:pPr>
            <w:r w:rsidRPr="00CD17C0">
              <w:t>Average time per Response</w:t>
            </w:r>
          </w:p>
        </w:tc>
        <w:tc>
          <w:tcPr>
            <w:tcW w:w="1395" w:type="dxa"/>
            <w:tcBorders>
              <w:top w:val="single" w:sz="8" w:space="0" w:color="auto"/>
              <w:left w:val="nil"/>
              <w:bottom w:val="single" w:sz="8" w:space="0" w:color="auto"/>
              <w:right w:val="single" w:sz="4" w:space="0" w:color="auto"/>
            </w:tcBorders>
            <w:shd w:val="clear" w:color="auto" w:fill="auto"/>
            <w:vAlign w:val="bottom"/>
          </w:tcPr>
          <w:p w:rsidR="008F468F" w:rsidRPr="00CD17C0" w:rsidRDefault="008F468F" w:rsidP="008F468F">
            <w:pPr>
              <w:jc w:val="center"/>
            </w:pPr>
            <w:r w:rsidRPr="00CD17C0">
              <w:t>Number of Respondents</w:t>
            </w:r>
          </w:p>
        </w:tc>
        <w:tc>
          <w:tcPr>
            <w:tcW w:w="1161" w:type="dxa"/>
            <w:tcBorders>
              <w:top w:val="single" w:sz="8" w:space="0" w:color="auto"/>
              <w:left w:val="nil"/>
              <w:bottom w:val="single" w:sz="8" w:space="0" w:color="auto"/>
              <w:right w:val="single" w:sz="4" w:space="0" w:color="auto"/>
            </w:tcBorders>
            <w:shd w:val="clear" w:color="auto" w:fill="auto"/>
            <w:vAlign w:val="bottom"/>
          </w:tcPr>
          <w:p w:rsidR="008F468F" w:rsidRPr="00CD17C0" w:rsidRDefault="008F468F" w:rsidP="008F468F">
            <w:pPr>
              <w:jc w:val="center"/>
            </w:pPr>
            <w:r w:rsidRPr="00CD17C0">
              <w:t>Frequency of Response</w:t>
            </w:r>
          </w:p>
        </w:tc>
        <w:tc>
          <w:tcPr>
            <w:tcW w:w="848" w:type="dxa"/>
            <w:tcBorders>
              <w:top w:val="single" w:sz="8" w:space="0" w:color="auto"/>
              <w:left w:val="nil"/>
              <w:bottom w:val="single" w:sz="8" w:space="0" w:color="auto"/>
              <w:right w:val="single" w:sz="4" w:space="0" w:color="auto"/>
            </w:tcBorders>
            <w:shd w:val="clear" w:color="auto" w:fill="auto"/>
            <w:vAlign w:val="bottom"/>
          </w:tcPr>
          <w:p w:rsidR="008F468F" w:rsidRPr="00CD17C0" w:rsidRDefault="008F468F" w:rsidP="008F468F">
            <w:pPr>
              <w:jc w:val="center"/>
            </w:pPr>
            <w:r w:rsidRPr="00CD17C0">
              <w:t>Hourly Wage rate</w:t>
            </w:r>
          </w:p>
        </w:tc>
        <w:tc>
          <w:tcPr>
            <w:tcW w:w="1295" w:type="dxa"/>
            <w:tcBorders>
              <w:top w:val="single" w:sz="8" w:space="0" w:color="auto"/>
              <w:left w:val="nil"/>
              <w:bottom w:val="single" w:sz="8" w:space="0" w:color="auto"/>
              <w:right w:val="single" w:sz="8" w:space="0" w:color="auto"/>
            </w:tcBorders>
            <w:shd w:val="clear" w:color="auto" w:fill="auto"/>
            <w:vAlign w:val="bottom"/>
          </w:tcPr>
          <w:p w:rsidR="008F468F" w:rsidRPr="00CD17C0" w:rsidRDefault="008F468F" w:rsidP="008F468F">
            <w:pPr>
              <w:jc w:val="center"/>
            </w:pPr>
            <w:r w:rsidRPr="00CD17C0">
              <w:t>Respondent Cost</w:t>
            </w:r>
          </w:p>
        </w:tc>
      </w:tr>
      <w:tr w:rsidR="00CE0CC1" w:rsidRPr="00211425" w:rsidTr="00CE0CC1">
        <w:trPr>
          <w:trHeight w:val="255"/>
        </w:trPr>
        <w:tc>
          <w:tcPr>
            <w:tcW w:w="2473" w:type="dxa"/>
            <w:vMerge w:val="restart"/>
            <w:tcBorders>
              <w:top w:val="nil"/>
              <w:left w:val="single" w:sz="4" w:space="0" w:color="auto"/>
              <w:right w:val="single" w:sz="4" w:space="0" w:color="auto"/>
            </w:tcBorders>
            <w:shd w:val="clear" w:color="auto" w:fill="auto"/>
            <w:noWrap/>
          </w:tcPr>
          <w:p w:rsidR="00CE0CC1" w:rsidRPr="00CD17C0" w:rsidRDefault="00CE0CC1" w:rsidP="00CE0CC1">
            <w:r w:rsidRPr="00CD17C0">
              <w:t>WIC State agency</w:t>
            </w: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E8639D">
            <w:pPr>
              <w:jc w:val="center"/>
            </w:pPr>
            <w:r>
              <w:t>FNS-698</w:t>
            </w:r>
          </w:p>
        </w:tc>
        <w:tc>
          <w:tcPr>
            <w:tcW w:w="1117" w:type="dxa"/>
            <w:tcBorders>
              <w:top w:val="nil"/>
              <w:left w:val="nil"/>
              <w:bottom w:val="single" w:sz="4" w:space="0" w:color="auto"/>
              <w:right w:val="single" w:sz="4" w:space="0" w:color="auto"/>
            </w:tcBorders>
            <w:shd w:val="clear" w:color="auto" w:fill="auto"/>
            <w:noWrap/>
            <w:vAlign w:val="bottom"/>
          </w:tcPr>
          <w:p w:rsidR="00CE0CC1" w:rsidRPr="00CD17C0" w:rsidRDefault="00CE0CC1" w:rsidP="00EF0E5F">
            <w:pPr>
              <w:jc w:val="center"/>
            </w:pPr>
            <w:r>
              <w:t>0.167</w:t>
            </w:r>
          </w:p>
        </w:tc>
        <w:tc>
          <w:tcPr>
            <w:tcW w:w="1395"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E8639D">
            <w:pPr>
              <w:jc w:val="center"/>
            </w:pPr>
            <w:r w:rsidRPr="00CD17C0">
              <w:t>1</w:t>
            </w:r>
          </w:p>
        </w:tc>
        <w:tc>
          <w:tcPr>
            <w:tcW w:w="848" w:type="dxa"/>
            <w:tcBorders>
              <w:top w:val="nil"/>
              <w:left w:val="nil"/>
              <w:bottom w:val="single" w:sz="4" w:space="0" w:color="auto"/>
              <w:right w:val="single" w:sz="4" w:space="0" w:color="auto"/>
            </w:tcBorders>
            <w:shd w:val="clear" w:color="auto" w:fill="auto"/>
            <w:noWrap/>
            <w:vAlign w:val="bottom"/>
          </w:tcPr>
          <w:p w:rsidR="00CE0CC1" w:rsidRPr="00CD17C0" w:rsidRDefault="00CE0CC1" w:rsidP="00EF0E5F">
            <w:pPr>
              <w:jc w:val="right"/>
            </w:pPr>
            <w:r w:rsidRPr="00CD17C0">
              <w:t xml:space="preserve">23. </w:t>
            </w:r>
            <w:r>
              <w:t>43</w:t>
            </w:r>
          </w:p>
        </w:tc>
        <w:tc>
          <w:tcPr>
            <w:tcW w:w="1295" w:type="dxa"/>
            <w:tcBorders>
              <w:top w:val="nil"/>
              <w:left w:val="nil"/>
              <w:bottom w:val="single" w:sz="4" w:space="0" w:color="auto"/>
              <w:right w:val="single" w:sz="4" w:space="0" w:color="auto"/>
            </w:tcBorders>
            <w:shd w:val="clear" w:color="auto" w:fill="auto"/>
            <w:noWrap/>
            <w:vAlign w:val="bottom"/>
          </w:tcPr>
          <w:p w:rsidR="00CE0CC1" w:rsidRPr="00CD17C0" w:rsidRDefault="00CE0CC1" w:rsidP="002F118D">
            <w:pPr>
              <w:jc w:val="right"/>
            </w:pPr>
            <w:r w:rsidRPr="00CD17C0">
              <w:t>$</w:t>
            </w:r>
            <w:r>
              <w:t>352.15</w:t>
            </w:r>
          </w:p>
        </w:tc>
      </w:tr>
      <w:tr w:rsidR="00CE0CC1" w:rsidRPr="00211425" w:rsidTr="00984030">
        <w:trPr>
          <w:trHeight w:val="255"/>
        </w:trPr>
        <w:tc>
          <w:tcPr>
            <w:tcW w:w="2473" w:type="dxa"/>
            <w:vMerge/>
            <w:tcBorders>
              <w:left w:val="single" w:sz="4" w:space="0" w:color="auto"/>
              <w:right w:val="single" w:sz="4" w:space="0" w:color="auto"/>
            </w:tcBorders>
            <w:shd w:val="clear" w:color="auto" w:fill="auto"/>
            <w:vAlign w:val="center"/>
          </w:tcPr>
          <w:p w:rsidR="00CE0CC1" w:rsidRPr="00CD17C0" w:rsidRDefault="00CE0CC1" w:rsidP="001C626D">
            <w:pPr>
              <w:jc w:val="center"/>
            </w:pP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E8639D">
            <w:pPr>
              <w:jc w:val="center"/>
            </w:pPr>
            <w:r>
              <w:t>FNS-699</w:t>
            </w:r>
          </w:p>
        </w:tc>
        <w:tc>
          <w:tcPr>
            <w:tcW w:w="1117" w:type="dxa"/>
            <w:tcBorders>
              <w:top w:val="nil"/>
              <w:left w:val="nil"/>
              <w:bottom w:val="single" w:sz="4" w:space="0" w:color="auto"/>
              <w:right w:val="single" w:sz="4" w:space="0" w:color="auto"/>
            </w:tcBorders>
            <w:shd w:val="clear" w:color="auto" w:fill="auto"/>
            <w:noWrap/>
            <w:vAlign w:val="bottom"/>
          </w:tcPr>
          <w:p w:rsidR="00CE0CC1" w:rsidRPr="00CD17C0" w:rsidRDefault="00CE0CC1" w:rsidP="00EF0E5F">
            <w:pPr>
              <w:jc w:val="center"/>
            </w:pPr>
            <w:r>
              <w:t>0.083</w:t>
            </w:r>
          </w:p>
        </w:tc>
        <w:tc>
          <w:tcPr>
            <w:tcW w:w="1395"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rsidRPr="00CD17C0">
              <w:t>1</w:t>
            </w:r>
          </w:p>
        </w:tc>
        <w:tc>
          <w:tcPr>
            <w:tcW w:w="848" w:type="dxa"/>
            <w:tcBorders>
              <w:top w:val="nil"/>
              <w:left w:val="nil"/>
              <w:bottom w:val="single" w:sz="4" w:space="0" w:color="auto"/>
              <w:right w:val="single" w:sz="4" w:space="0" w:color="auto"/>
            </w:tcBorders>
            <w:shd w:val="clear" w:color="auto" w:fill="auto"/>
            <w:noWrap/>
            <w:vAlign w:val="bottom"/>
          </w:tcPr>
          <w:p w:rsidR="00CE0CC1" w:rsidRPr="00CD17C0" w:rsidRDefault="00CE0CC1" w:rsidP="00EF0E5F">
            <w:pPr>
              <w:jc w:val="right"/>
            </w:pPr>
            <w:r w:rsidRPr="00CD17C0">
              <w:t>23.</w:t>
            </w:r>
            <w:r>
              <w:t>43</w:t>
            </w:r>
          </w:p>
        </w:tc>
        <w:tc>
          <w:tcPr>
            <w:tcW w:w="1295" w:type="dxa"/>
            <w:tcBorders>
              <w:top w:val="nil"/>
              <w:left w:val="nil"/>
              <w:bottom w:val="single" w:sz="4" w:space="0" w:color="auto"/>
              <w:right w:val="single" w:sz="4" w:space="0" w:color="auto"/>
            </w:tcBorders>
            <w:shd w:val="clear" w:color="auto" w:fill="auto"/>
            <w:noWrap/>
            <w:vAlign w:val="bottom"/>
          </w:tcPr>
          <w:p w:rsidR="00CE0CC1" w:rsidRPr="00CD17C0" w:rsidRDefault="00CE0CC1" w:rsidP="002F118D">
            <w:pPr>
              <w:jc w:val="right"/>
            </w:pPr>
            <w:r w:rsidRPr="00CD17C0">
              <w:t>$</w:t>
            </w:r>
            <w:r>
              <w:t>175.02</w:t>
            </w:r>
          </w:p>
        </w:tc>
      </w:tr>
      <w:tr w:rsidR="00CE0CC1" w:rsidRPr="00CD17C0" w:rsidTr="00984030">
        <w:trPr>
          <w:trHeight w:val="255"/>
        </w:trPr>
        <w:tc>
          <w:tcPr>
            <w:tcW w:w="2473" w:type="dxa"/>
            <w:vMerge/>
            <w:tcBorders>
              <w:left w:val="single" w:sz="4" w:space="0" w:color="auto"/>
              <w:bottom w:val="single" w:sz="4" w:space="0" w:color="auto"/>
              <w:right w:val="single" w:sz="4" w:space="0" w:color="auto"/>
            </w:tcBorders>
            <w:shd w:val="clear" w:color="auto" w:fill="auto"/>
            <w:noWrap/>
            <w:vAlign w:val="bottom"/>
          </w:tcPr>
          <w:p w:rsidR="00CE0CC1" w:rsidRPr="00CD17C0" w:rsidRDefault="00CE0CC1" w:rsidP="001C626D">
            <w:pPr>
              <w:jc w:val="center"/>
            </w:pP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t>FNS-700</w:t>
            </w:r>
          </w:p>
        </w:tc>
        <w:tc>
          <w:tcPr>
            <w:tcW w:w="1117" w:type="dxa"/>
            <w:tcBorders>
              <w:top w:val="nil"/>
              <w:left w:val="nil"/>
              <w:bottom w:val="single" w:sz="4" w:space="0" w:color="auto"/>
              <w:right w:val="single" w:sz="4" w:space="0" w:color="auto"/>
            </w:tcBorders>
            <w:shd w:val="clear" w:color="auto" w:fill="auto"/>
            <w:noWrap/>
            <w:vAlign w:val="bottom"/>
          </w:tcPr>
          <w:p w:rsidR="00CE0CC1" w:rsidRPr="00CD17C0" w:rsidRDefault="00CE0CC1" w:rsidP="006D6DF1">
            <w:pPr>
              <w:jc w:val="center"/>
            </w:pPr>
            <w:r>
              <w:t>0.167</w:t>
            </w:r>
          </w:p>
        </w:tc>
        <w:tc>
          <w:tcPr>
            <w:tcW w:w="1395"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t>90</w:t>
            </w:r>
          </w:p>
        </w:tc>
        <w:tc>
          <w:tcPr>
            <w:tcW w:w="1161" w:type="dxa"/>
            <w:tcBorders>
              <w:top w:val="nil"/>
              <w:left w:val="nil"/>
              <w:bottom w:val="single" w:sz="4" w:space="0" w:color="auto"/>
              <w:right w:val="single" w:sz="4" w:space="0" w:color="auto"/>
            </w:tcBorders>
            <w:shd w:val="clear" w:color="auto" w:fill="auto"/>
            <w:noWrap/>
            <w:vAlign w:val="bottom"/>
          </w:tcPr>
          <w:p w:rsidR="00CE0CC1" w:rsidRPr="00CD17C0" w:rsidRDefault="00CE0CC1" w:rsidP="008F468F">
            <w:pPr>
              <w:jc w:val="center"/>
            </w:pPr>
            <w:r>
              <w:t>1</w:t>
            </w:r>
          </w:p>
        </w:tc>
        <w:tc>
          <w:tcPr>
            <w:tcW w:w="848" w:type="dxa"/>
            <w:tcBorders>
              <w:top w:val="nil"/>
              <w:left w:val="nil"/>
              <w:bottom w:val="single" w:sz="4" w:space="0" w:color="auto"/>
              <w:right w:val="single" w:sz="4" w:space="0" w:color="auto"/>
            </w:tcBorders>
            <w:shd w:val="clear" w:color="auto" w:fill="auto"/>
            <w:noWrap/>
            <w:vAlign w:val="bottom"/>
          </w:tcPr>
          <w:p w:rsidR="00CE0CC1" w:rsidRPr="00CD17C0" w:rsidRDefault="00CE0CC1" w:rsidP="001C626D">
            <w:pPr>
              <w:jc w:val="right"/>
            </w:pPr>
            <w:r>
              <w:t>23.43</w:t>
            </w:r>
          </w:p>
        </w:tc>
        <w:tc>
          <w:tcPr>
            <w:tcW w:w="1295" w:type="dxa"/>
            <w:tcBorders>
              <w:top w:val="nil"/>
              <w:left w:val="nil"/>
              <w:bottom w:val="single" w:sz="4" w:space="0" w:color="auto"/>
              <w:right w:val="single" w:sz="4" w:space="0" w:color="auto"/>
            </w:tcBorders>
            <w:shd w:val="clear" w:color="auto" w:fill="auto"/>
            <w:noWrap/>
            <w:vAlign w:val="bottom"/>
          </w:tcPr>
          <w:p w:rsidR="00CE0CC1" w:rsidRDefault="00CE0CC1" w:rsidP="00337BF5">
            <w:pPr>
              <w:jc w:val="right"/>
            </w:pPr>
            <w:r>
              <w:t>$352.15</w:t>
            </w:r>
          </w:p>
        </w:tc>
      </w:tr>
      <w:tr w:rsidR="008F468F" w:rsidRPr="00CD17C0" w:rsidTr="00EF0E5F">
        <w:trPr>
          <w:trHeight w:val="255"/>
        </w:trPr>
        <w:tc>
          <w:tcPr>
            <w:tcW w:w="2473" w:type="dxa"/>
            <w:tcBorders>
              <w:top w:val="nil"/>
              <w:left w:val="single" w:sz="4" w:space="0" w:color="auto"/>
              <w:bottom w:val="single" w:sz="4" w:space="0" w:color="auto"/>
              <w:right w:val="single" w:sz="4" w:space="0" w:color="auto"/>
            </w:tcBorders>
            <w:shd w:val="clear" w:color="auto" w:fill="auto"/>
            <w:noWrap/>
            <w:vAlign w:val="bottom"/>
          </w:tcPr>
          <w:p w:rsidR="008F468F" w:rsidRPr="00CD17C0" w:rsidRDefault="008F468F" w:rsidP="001C626D">
            <w:pPr>
              <w:jc w:val="center"/>
            </w:pPr>
            <w:r w:rsidRPr="00CD17C0">
              <w:t>Total Annual Cost to Respondents</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 </w:t>
            </w:r>
          </w:p>
        </w:tc>
        <w:tc>
          <w:tcPr>
            <w:tcW w:w="1117"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r w:rsidRPr="00CD17C0">
              <w:t> </w:t>
            </w:r>
          </w:p>
        </w:tc>
        <w:tc>
          <w:tcPr>
            <w:tcW w:w="1395"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73470C">
            <w:pPr>
              <w:jc w:val="center"/>
            </w:pPr>
          </w:p>
        </w:tc>
        <w:tc>
          <w:tcPr>
            <w:tcW w:w="848" w:type="dxa"/>
            <w:tcBorders>
              <w:top w:val="nil"/>
              <w:left w:val="nil"/>
              <w:bottom w:val="single" w:sz="4" w:space="0" w:color="auto"/>
              <w:right w:val="single" w:sz="4" w:space="0" w:color="auto"/>
            </w:tcBorders>
            <w:shd w:val="clear" w:color="auto" w:fill="auto"/>
            <w:noWrap/>
            <w:vAlign w:val="bottom"/>
          </w:tcPr>
          <w:p w:rsidR="008F468F" w:rsidRPr="00CD17C0" w:rsidRDefault="008F468F" w:rsidP="001C626D">
            <w:pPr>
              <w:jc w:val="right"/>
            </w:pPr>
          </w:p>
        </w:tc>
        <w:tc>
          <w:tcPr>
            <w:tcW w:w="1295" w:type="dxa"/>
            <w:tcBorders>
              <w:top w:val="nil"/>
              <w:left w:val="nil"/>
              <w:bottom w:val="single" w:sz="4" w:space="0" w:color="auto"/>
              <w:right w:val="single" w:sz="4" w:space="0" w:color="auto"/>
            </w:tcBorders>
            <w:shd w:val="clear" w:color="auto" w:fill="auto"/>
            <w:noWrap/>
            <w:vAlign w:val="bottom"/>
          </w:tcPr>
          <w:p w:rsidR="00337BF5" w:rsidRDefault="00337BF5" w:rsidP="00337BF5">
            <w:pPr>
              <w:jc w:val="right"/>
            </w:pPr>
          </w:p>
          <w:p w:rsidR="00337BF5" w:rsidRPr="00CD17C0" w:rsidRDefault="00337BF5" w:rsidP="006D6DF1">
            <w:pPr>
              <w:jc w:val="right"/>
            </w:pPr>
            <w:r>
              <w:t>$</w:t>
            </w:r>
            <w:r w:rsidR="006D6DF1">
              <w:t>879.32</w:t>
            </w:r>
          </w:p>
        </w:tc>
      </w:tr>
    </w:tbl>
    <w:p w:rsidR="00BF2D69" w:rsidRPr="00211425" w:rsidRDefault="00BF2D69" w:rsidP="00482E9A">
      <w:pPr>
        <w:tabs>
          <w:tab w:val="left" w:pos="9630"/>
          <w:tab w:val="left" w:pos="9810"/>
        </w:tabs>
        <w:spacing w:line="480" w:lineRule="auto"/>
        <w:ind w:left="1440" w:right="792"/>
        <w:rPr>
          <w:sz w:val="24"/>
          <w:szCs w:val="24"/>
        </w:rPr>
      </w:pPr>
    </w:p>
    <w:p w:rsidR="00066655" w:rsidRPr="00211425" w:rsidRDefault="00066655" w:rsidP="00482E9A">
      <w:pPr>
        <w:tabs>
          <w:tab w:val="left" w:pos="9630"/>
          <w:tab w:val="left" w:pos="9810"/>
        </w:tabs>
        <w:spacing w:line="480" w:lineRule="auto"/>
        <w:ind w:left="1440" w:right="792"/>
        <w:rPr>
          <w:b/>
          <w:sz w:val="24"/>
          <w:szCs w:val="24"/>
        </w:rPr>
      </w:pPr>
      <w:r w:rsidRPr="00211425">
        <w:rPr>
          <w:sz w:val="24"/>
          <w:szCs w:val="24"/>
        </w:rPr>
        <w:t xml:space="preserve">*These salary estimates are the Mean Annual and the Mean Hourly wage estimates for State Government employees </w:t>
      </w:r>
      <w:r w:rsidR="005567DC" w:rsidRPr="00211425">
        <w:rPr>
          <w:sz w:val="24"/>
          <w:szCs w:val="24"/>
        </w:rPr>
        <w:t>for calendar year 20</w:t>
      </w:r>
      <w:r w:rsidR="00317CAE">
        <w:rPr>
          <w:sz w:val="24"/>
          <w:szCs w:val="24"/>
        </w:rPr>
        <w:t>0</w:t>
      </w:r>
      <w:r w:rsidR="002524D6">
        <w:rPr>
          <w:sz w:val="24"/>
          <w:szCs w:val="24"/>
        </w:rPr>
        <w:t>9</w:t>
      </w:r>
      <w:r w:rsidR="005567DC" w:rsidRPr="00211425">
        <w:rPr>
          <w:sz w:val="24"/>
          <w:szCs w:val="24"/>
        </w:rPr>
        <w:t xml:space="preserve"> obtained from the U.S. Department of Labor</w:t>
      </w:r>
      <w:r w:rsidR="00086D9C" w:rsidRPr="00211425">
        <w:rPr>
          <w:sz w:val="24"/>
          <w:szCs w:val="24"/>
        </w:rPr>
        <w:t>, Bureau of Labor Statistics (BLS)</w:t>
      </w:r>
      <w:r w:rsidR="00095007" w:rsidRPr="00211425">
        <w:rPr>
          <w:sz w:val="24"/>
          <w:szCs w:val="24"/>
        </w:rPr>
        <w:t xml:space="preserve">.  </w:t>
      </w:r>
      <w:r w:rsidR="00086D9C" w:rsidRPr="00211425">
        <w:rPr>
          <w:sz w:val="24"/>
          <w:szCs w:val="24"/>
        </w:rPr>
        <w:t xml:space="preserve">As of the date of this </w:t>
      </w:r>
      <w:r w:rsidR="00086D9C" w:rsidRPr="00211425">
        <w:rPr>
          <w:sz w:val="24"/>
          <w:szCs w:val="24"/>
        </w:rPr>
        <w:lastRenderedPageBreak/>
        <w:t>submission, the 20</w:t>
      </w:r>
      <w:r w:rsidR="00317CAE">
        <w:rPr>
          <w:sz w:val="24"/>
          <w:szCs w:val="24"/>
        </w:rPr>
        <w:t>0</w:t>
      </w:r>
      <w:r w:rsidR="002524D6">
        <w:rPr>
          <w:sz w:val="24"/>
          <w:szCs w:val="24"/>
        </w:rPr>
        <w:t>9</w:t>
      </w:r>
      <w:r w:rsidR="00086D9C" w:rsidRPr="00211425">
        <w:rPr>
          <w:sz w:val="24"/>
          <w:szCs w:val="24"/>
        </w:rPr>
        <w:t xml:space="preserve"> data is the latest data available from BLS for State Government employee salaries.</w:t>
      </w:r>
      <w:r w:rsidRPr="00211425">
        <w:rPr>
          <w:sz w:val="24"/>
          <w:szCs w:val="24"/>
        </w:rPr>
        <w:br/>
      </w:r>
    </w:p>
    <w:p w:rsidR="00071F56" w:rsidRPr="00211425" w:rsidRDefault="00071F56" w:rsidP="00482E9A">
      <w:pPr>
        <w:tabs>
          <w:tab w:val="left" w:pos="9630"/>
          <w:tab w:val="left" w:pos="9810"/>
        </w:tabs>
        <w:spacing w:line="480" w:lineRule="auto"/>
        <w:ind w:left="720" w:right="792" w:hanging="720"/>
        <w:rPr>
          <w:sz w:val="24"/>
          <w:szCs w:val="24"/>
        </w:rPr>
      </w:pPr>
      <w:r w:rsidRPr="00211425">
        <w:rPr>
          <w:b/>
          <w:sz w:val="24"/>
          <w:szCs w:val="24"/>
        </w:rPr>
        <w:t>13.</w:t>
      </w:r>
      <w:r w:rsidRPr="00211425">
        <w:rPr>
          <w:b/>
          <w:sz w:val="24"/>
          <w:szCs w:val="24"/>
        </w:rPr>
        <w:tab/>
        <w:t xml:space="preserve">Provide estimates of the </w:t>
      </w:r>
      <w:r w:rsidR="00664E43" w:rsidRPr="00211425">
        <w:rPr>
          <w:b/>
          <w:sz w:val="24"/>
          <w:szCs w:val="24"/>
        </w:rPr>
        <w:t xml:space="preserve">total annual cost burden to </w:t>
      </w:r>
      <w:r w:rsidRPr="00211425">
        <w:rPr>
          <w:b/>
          <w:sz w:val="24"/>
          <w:szCs w:val="24"/>
        </w:rPr>
        <w:t>respondents or record keepers resulting fro</w:t>
      </w:r>
      <w:r w:rsidR="00664E43" w:rsidRPr="00211425">
        <w:rPr>
          <w:b/>
          <w:sz w:val="24"/>
          <w:szCs w:val="24"/>
        </w:rPr>
        <w:t>m the collection of information</w:t>
      </w:r>
      <w:r w:rsidRPr="00211425">
        <w:rPr>
          <w:b/>
          <w:sz w:val="24"/>
          <w:szCs w:val="24"/>
        </w:rPr>
        <w:t xml:space="preserve"> (do not include the cost of any hour burden shown in items 12 and 14).  The cost estimates should be split into two components: (a) a total capital and</w:t>
      </w:r>
      <w:r w:rsidR="00664E43" w:rsidRPr="00211425">
        <w:rPr>
          <w:b/>
          <w:sz w:val="24"/>
          <w:szCs w:val="24"/>
        </w:rPr>
        <w:t xml:space="preserve"> start-up cost </w:t>
      </w:r>
      <w:r w:rsidRPr="00211425">
        <w:rPr>
          <w:b/>
          <w:sz w:val="24"/>
          <w:szCs w:val="24"/>
        </w:rPr>
        <w:t>component annualized over its expected useful life; and (b) a total operation and maintenance and purchase of services component.</w:t>
      </w:r>
    </w:p>
    <w:p w:rsidR="00071F56" w:rsidRPr="00211425" w:rsidRDefault="00071F56" w:rsidP="00A91FED">
      <w:pPr>
        <w:tabs>
          <w:tab w:val="left" w:pos="9630"/>
          <w:tab w:val="left" w:pos="9810"/>
        </w:tabs>
        <w:ind w:right="792"/>
        <w:rPr>
          <w:b/>
          <w:sz w:val="24"/>
          <w:szCs w:val="24"/>
        </w:rPr>
      </w:pPr>
    </w:p>
    <w:p w:rsidR="00066655" w:rsidRPr="0035271B" w:rsidRDefault="002B620B" w:rsidP="00AC4AD8">
      <w:pPr>
        <w:tabs>
          <w:tab w:val="left" w:pos="9630"/>
          <w:tab w:val="left" w:pos="9810"/>
        </w:tabs>
        <w:spacing w:line="480" w:lineRule="auto"/>
        <w:ind w:left="720" w:right="792"/>
        <w:rPr>
          <w:sz w:val="24"/>
          <w:szCs w:val="24"/>
        </w:rPr>
      </w:pPr>
      <w:r w:rsidRPr="0035271B">
        <w:rPr>
          <w:sz w:val="24"/>
          <w:szCs w:val="24"/>
        </w:rPr>
        <w:t>There are no capital/start-up or ongoing operation/maintenance costs associated with this information collection</w:t>
      </w:r>
      <w:r w:rsidR="00066655" w:rsidRPr="0035271B">
        <w:rPr>
          <w:sz w:val="24"/>
          <w:szCs w:val="24"/>
        </w:rPr>
        <w:t>.</w:t>
      </w:r>
    </w:p>
    <w:p w:rsidR="00BF2D69" w:rsidRPr="00211425" w:rsidRDefault="00BF2D69" w:rsidP="00367332">
      <w:pPr>
        <w:tabs>
          <w:tab w:val="left" w:pos="9630"/>
          <w:tab w:val="left" w:pos="9810"/>
        </w:tabs>
        <w:ind w:left="720" w:right="792"/>
        <w:rPr>
          <w:b/>
          <w:sz w:val="24"/>
          <w:szCs w:val="24"/>
        </w:rPr>
      </w:pPr>
    </w:p>
    <w:p w:rsidR="00CE4B2F" w:rsidRPr="00211425" w:rsidRDefault="00CE4B2F" w:rsidP="00A91FED">
      <w:pPr>
        <w:tabs>
          <w:tab w:val="left" w:pos="9630"/>
          <w:tab w:val="left" w:pos="9810"/>
        </w:tabs>
        <w:ind w:right="792"/>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14.</w:t>
      </w:r>
      <w:r w:rsidRPr="00211425">
        <w:rPr>
          <w:b/>
          <w:sz w:val="24"/>
          <w:szCs w:val="24"/>
        </w:rPr>
        <w:tab/>
        <w:t>Provide estimates of annualized cost to the Federal government</w:t>
      </w:r>
      <w:r w:rsidRPr="00211425">
        <w:rPr>
          <w:sz w:val="24"/>
          <w:szCs w:val="24"/>
        </w:rPr>
        <w:t xml:space="preserve">.  </w:t>
      </w:r>
      <w:r w:rsidRPr="00211425">
        <w:rPr>
          <w:b/>
          <w:sz w:val="24"/>
          <w:szCs w:val="24"/>
        </w:rPr>
        <w:t>Also, provide a description of the method used to estimate cost and any other expense that would not have been incurred without this collection of information.</w:t>
      </w:r>
    </w:p>
    <w:p w:rsidR="00066655" w:rsidRPr="00211425" w:rsidRDefault="00066655" w:rsidP="00A91FED">
      <w:pPr>
        <w:tabs>
          <w:tab w:val="left" w:pos="9630"/>
          <w:tab w:val="left" w:pos="9810"/>
        </w:tabs>
        <w:ind w:left="720" w:right="792" w:hanging="720"/>
        <w:rPr>
          <w:b/>
          <w:sz w:val="24"/>
          <w:szCs w:val="24"/>
        </w:rPr>
      </w:pPr>
    </w:p>
    <w:p w:rsidR="00FC1494" w:rsidRPr="00211425" w:rsidRDefault="00066655">
      <w:pPr>
        <w:tabs>
          <w:tab w:val="left" w:pos="9630"/>
          <w:tab w:val="left" w:pos="9810"/>
        </w:tabs>
        <w:spacing w:line="480" w:lineRule="auto"/>
        <w:ind w:left="720" w:right="792" w:hanging="720"/>
        <w:rPr>
          <w:sz w:val="24"/>
          <w:szCs w:val="24"/>
        </w:rPr>
      </w:pPr>
      <w:r w:rsidRPr="00211425">
        <w:rPr>
          <w:b/>
          <w:sz w:val="24"/>
          <w:szCs w:val="24"/>
        </w:rPr>
        <w:tab/>
      </w:r>
      <w:r w:rsidRPr="00211425">
        <w:rPr>
          <w:sz w:val="24"/>
          <w:szCs w:val="24"/>
          <w:u w:val="single"/>
        </w:rPr>
        <w:t>Annualized cost to the Federal government is estimated to be</w:t>
      </w:r>
      <w:r w:rsidR="00984030">
        <w:rPr>
          <w:sz w:val="24"/>
          <w:szCs w:val="24"/>
          <w:u w:val="single"/>
        </w:rPr>
        <w:t xml:space="preserve"> $</w:t>
      </w:r>
      <w:r w:rsidR="006506B2">
        <w:rPr>
          <w:sz w:val="24"/>
          <w:szCs w:val="24"/>
          <w:u w:val="single"/>
        </w:rPr>
        <w:t>14,527.14</w:t>
      </w:r>
      <w:r w:rsidRPr="00211425">
        <w:rPr>
          <w:sz w:val="24"/>
          <w:szCs w:val="24"/>
        </w:rPr>
        <w:t>.</w:t>
      </w:r>
      <w:r w:rsidRPr="00211425">
        <w:rPr>
          <w:sz w:val="24"/>
          <w:szCs w:val="24"/>
        </w:rPr>
        <w:br/>
      </w:r>
      <w:r w:rsidR="00DA189A" w:rsidRPr="009F6A27">
        <w:rPr>
          <w:sz w:val="24"/>
        </w:rPr>
        <w:t xml:space="preserve">The cost to the Federal government is the cost of FNS Regional Office staff to review the data submitted by each of the </w:t>
      </w:r>
      <w:r w:rsidR="00DA189A">
        <w:rPr>
          <w:sz w:val="24"/>
        </w:rPr>
        <w:t>90</w:t>
      </w:r>
      <w:r w:rsidR="00DA189A" w:rsidRPr="009F6A27">
        <w:rPr>
          <w:sz w:val="24"/>
        </w:rPr>
        <w:t xml:space="preserve"> State agencies prior to its use by FNS Headquarters.</w:t>
      </w:r>
      <w:r w:rsidR="00984030">
        <w:rPr>
          <w:sz w:val="24"/>
        </w:rPr>
        <w:t xml:space="preserve">  It also includes the cost of an FNS Headquarters staff member to oversee the program operation and management of the TIP program.  The cost also accounts for the hours needed to analyze the data and to prepare a report for senior FNS management.</w:t>
      </w:r>
      <w:r w:rsidR="00DA189A" w:rsidRPr="009F6A27">
        <w:rPr>
          <w:sz w:val="24"/>
        </w:rPr>
        <w:br/>
      </w:r>
      <w:r w:rsidR="00DA189A" w:rsidRPr="00211425">
        <w:rPr>
          <w:sz w:val="24"/>
          <w:szCs w:val="24"/>
        </w:rPr>
        <w:t>GS</w:t>
      </w:r>
      <w:r w:rsidR="006E632B">
        <w:rPr>
          <w:sz w:val="24"/>
          <w:szCs w:val="24"/>
        </w:rPr>
        <w:t>11</w:t>
      </w:r>
      <w:r w:rsidR="00DA189A" w:rsidRPr="00211425">
        <w:rPr>
          <w:sz w:val="24"/>
          <w:szCs w:val="24"/>
        </w:rPr>
        <w:t>, step 1 Regional Program Analyst = $</w:t>
      </w:r>
      <w:r w:rsidR="006E632B">
        <w:rPr>
          <w:sz w:val="24"/>
          <w:szCs w:val="24"/>
        </w:rPr>
        <w:t>50,287</w:t>
      </w:r>
      <w:r w:rsidR="00DA189A" w:rsidRPr="00211425">
        <w:rPr>
          <w:sz w:val="24"/>
          <w:szCs w:val="24"/>
        </w:rPr>
        <w:t>*</w:t>
      </w:r>
      <w:r w:rsidR="00DA189A" w:rsidRPr="00211425">
        <w:rPr>
          <w:sz w:val="24"/>
          <w:szCs w:val="24"/>
        </w:rPr>
        <w:br/>
        <w:t>Salary per hour ($</w:t>
      </w:r>
      <w:r w:rsidR="006E632B">
        <w:rPr>
          <w:sz w:val="24"/>
          <w:szCs w:val="24"/>
        </w:rPr>
        <w:t>50,287</w:t>
      </w:r>
      <w:r w:rsidR="00DA189A" w:rsidRPr="00211425">
        <w:rPr>
          <w:sz w:val="24"/>
          <w:szCs w:val="24"/>
        </w:rPr>
        <w:t>/2080) = $</w:t>
      </w:r>
      <w:r w:rsidR="006E632B">
        <w:rPr>
          <w:sz w:val="24"/>
          <w:szCs w:val="24"/>
        </w:rPr>
        <w:t>24.18</w:t>
      </w:r>
      <w:r w:rsidR="00DA189A" w:rsidRPr="00211425">
        <w:rPr>
          <w:sz w:val="24"/>
          <w:szCs w:val="24"/>
        </w:rPr>
        <w:t>*</w:t>
      </w:r>
      <w:r w:rsidR="009656B5">
        <w:rPr>
          <w:sz w:val="24"/>
          <w:szCs w:val="24"/>
        </w:rPr>
        <w:br/>
        <w:t>Hours spent at region = 41.6 hours (2 percent of time) multiplied by 7 regions = 291.2 total hours/year</w:t>
      </w:r>
      <w:r w:rsidR="00DA189A" w:rsidRPr="00211425">
        <w:rPr>
          <w:sz w:val="24"/>
          <w:szCs w:val="24"/>
        </w:rPr>
        <w:br/>
      </w:r>
      <w:r w:rsidR="00DA189A" w:rsidRPr="009F6A27">
        <w:rPr>
          <w:sz w:val="24"/>
        </w:rPr>
        <w:lastRenderedPageBreak/>
        <w:t>Total hours (</w:t>
      </w:r>
      <w:r w:rsidR="009656B5">
        <w:rPr>
          <w:sz w:val="24"/>
        </w:rPr>
        <w:t>291.2</w:t>
      </w:r>
      <w:r w:rsidR="00DA189A" w:rsidRPr="009F6A27">
        <w:rPr>
          <w:sz w:val="24"/>
        </w:rPr>
        <w:t xml:space="preserve">) </w:t>
      </w:r>
      <w:r w:rsidR="009656B5">
        <w:rPr>
          <w:sz w:val="24"/>
        </w:rPr>
        <w:t>multiplied by the</w:t>
      </w:r>
      <w:r w:rsidR="00DA189A" w:rsidRPr="009F6A27">
        <w:rPr>
          <w:sz w:val="24"/>
        </w:rPr>
        <w:t xml:space="preserve"> salary per hour ($</w:t>
      </w:r>
      <w:r w:rsidR="00806D97">
        <w:rPr>
          <w:sz w:val="24"/>
        </w:rPr>
        <w:t>24.18</w:t>
      </w:r>
      <w:r w:rsidR="00DA189A" w:rsidRPr="009F6A27">
        <w:rPr>
          <w:sz w:val="24"/>
        </w:rPr>
        <w:t>) = $</w:t>
      </w:r>
      <w:r w:rsidR="006A2E0F">
        <w:rPr>
          <w:sz w:val="24"/>
        </w:rPr>
        <w:t>7,</w:t>
      </w:r>
      <w:r w:rsidR="009656B5">
        <w:rPr>
          <w:sz w:val="24"/>
        </w:rPr>
        <w:t>041.22</w:t>
      </w:r>
      <w:r w:rsidR="00806D97">
        <w:rPr>
          <w:sz w:val="24"/>
        </w:rPr>
        <w:t xml:space="preserve"> </w:t>
      </w:r>
      <w:r w:rsidR="00DA189A" w:rsidRPr="009F6A27">
        <w:rPr>
          <w:sz w:val="24"/>
        </w:rPr>
        <w:t>total regional cost</w:t>
      </w:r>
      <w:r w:rsidR="006A2E0F">
        <w:rPr>
          <w:sz w:val="24"/>
        </w:rPr>
        <w:br/>
      </w:r>
      <w:r w:rsidR="006A2E0F" w:rsidRPr="00211425">
        <w:rPr>
          <w:sz w:val="24"/>
          <w:szCs w:val="24"/>
        </w:rPr>
        <w:t>GS</w:t>
      </w:r>
      <w:r w:rsidR="006A2E0F">
        <w:rPr>
          <w:sz w:val="24"/>
          <w:szCs w:val="24"/>
        </w:rPr>
        <w:t>12</w:t>
      </w:r>
      <w:r w:rsidR="006A2E0F" w:rsidRPr="00211425">
        <w:rPr>
          <w:sz w:val="24"/>
          <w:szCs w:val="24"/>
        </w:rPr>
        <w:t xml:space="preserve">, step 1 </w:t>
      </w:r>
      <w:r w:rsidR="006A2E0F">
        <w:rPr>
          <w:sz w:val="24"/>
          <w:szCs w:val="24"/>
        </w:rPr>
        <w:t>Headquarters</w:t>
      </w:r>
      <w:r w:rsidR="006A2E0F" w:rsidRPr="00211425">
        <w:rPr>
          <w:sz w:val="24"/>
          <w:szCs w:val="24"/>
        </w:rPr>
        <w:t xml:space="preserve"> Program Analyst = $</w:t>
      </w:r>
      <w:r w:rsidR="006A2E0F">
        <w:rPr>
          <w:sz w:val="24"/>
          <w:szCs w:val="24"/>
        </w:rPr>
        <w:t>74,872</w:t>
      </w:r>
      <w:r w:rsidR="006A2E0F" w:rsidRPr="00211425">
        <w:rPr>
          <w:sz w:val="24"/>
          <w:szCs w:val="24"/>
        </w:rPr>
        <w:t>*</w:t>
      </w:r>
      <w:r w:rsidR="006A2E0F" w:rsidRPr="00211425">
        <w:rPr>
          <w:sz w:val="24"/>
          <w:szCs w:val="24"/>
        </w:rPr>
        <w:br/>
        <w:t>Salary per hour ($</w:t>
      </w:r>
      <w:r w:rsidR="006A2E0F">
        <w:rPr>
          <w:sz w:val="24"/>
          <w:szCs w:val="24"/>
        </w:rPr>
        <w:t>74,872</w:t>
      </w:r>
      <w:r w:rsidR="006A2E0F" w:rsidRPr="00211425">
        <w:rPr>
          <w:sz w:val="24"/>
          <w:szCs w:val="24"/>
        </w:rPr>
        <w:t>/2080) = $</w:t>
      </w:r>
      <w:r w:rsidR="006A2E0F">
        <w:rPr>
          <w:sz w:val="24"/>
          <w:szCs w:val="24"/>
        </w:rPr>
        <w:t>35.99</w:t>
      </w:r>
      <w:r w:rsidR="006A2E0F" w:rsidRPr="00211425">
        <w:rPr>
          <w:sz w:val="24"/>
          <w:szCs w:val="24"/>
        </w:rPr>
        <w:t>*</w:t>
      </w:r>
      <w:r w:rsidR="006A2E0F" w:rsidRPr="00211425">
        <w:rPr>
          <w:sz w:val="24"/>
          <w:szCs w:val="24"/>
        </w:rPr>
        <w:br/>
      </w:r>
      <w:r w:rsidR="006A2E0F" w:rsidRPr="009F6A27">
        <w:rPr>
          <w:sz w:val="24"/>
        </w:rPr>
        <w:t xml:space="preserve">Hours spent at </w:t>
      </w:r>
      <w:r w:rsidR="006A2E0F">
        <w:rPr>
          <w:sz w:val="24"/>
        </w:rPr>
        <w:t xml:space="preserve">headquarters = </w:t>
      </w:r>
      <w:r w:rsidR="00DE1AF3">
        <w:rPr>
          <w:sz w:val="24"/>
        </w:rPr>
        <w:t>208</w:t>
      </w:r>
      <w:r w:rsidR="006A2E0F">
        <w:rPr>
          <w:sz w:val="24"/>
        </w:rPr>
        <w:t xml:space="preserve"> hours (10 percent of time)</w:t>
      </w:r>
      <w:r w:rsidR="006A2E0F" w:rsidRPr="009F6A27">
        <w:rPr>
          <w:sz w:val="24"/>
        </w:rPr>
        <w:br/>
        <w:t>Total hours (</w:t>
      </w:r>
      <w:r w:rsidR="00DE1AF3">
        <w:rPr>
          <w:sz w:val="24"/>
        </w:rPr>
        <w:t>208</w:t>
      </w:r>
      <w:r w:rsidR="006A2E0F" w:rsidRPr="009F6A27">
        <w:rPr>
          <w:sz w:val="24"/>
        </w:rPr>
        <w:t xml:space="preserve">) </w:t>
      </w:r>
      <w:r w:rsidR="007F300A">
        <w:rPr>
          <w:sz w:val="24"/>
        </w:rPr>
        <w:t>multiplied by the</w:t>
      </w:r>
      <w:r w:rsidR="006A2E0F" w:rsidRPr="009F6A27">
        <w:rPr>
          <w:sz w:val="24"/>
        </w:rPr>
        <w:t xml:space="preserve"> salary per hour ($</w:t>
      </w:r>
      <w:r w:rsidR="00DE1AF3">
        <w:rPr>
          <w:sz w:val="24"/>
        </w:rPr>
        <w:t>35.99</w:t>
      </w:r>
      <w:r w:rsidR="006A2E0F" w:rsidRPr="009F6A27">
        <w:rPr>
          <w:sz w:val="24"/>
        </w:rPr>
        <w:t>) = $</w:t>
      </w:r>
      <w:r w:rsidR="006A2E0F">
        <w:rPr>
          <w:sz w:val="24"/>
        </w:rPr>
        <w:t>7,</w:t>
      </w:r>
      <w:r w:rsidR="00DE1AF3">
        <w:rPr>
          <w:sz w:val="24"/>
        </w:rPr>
        <w:t>485.92</w:t>
      </w:r>
      <w:r w:rsidR="006A2E0F">
        <w:rPr>
          <w:sz w:val="24"/>
        </w:rPr>
        <w:t xml:space="preserve"> </w:t>
      </w:r>
      <w:r w:rsidR="006A2E0F" w:rsidRPr="009F6A27">
        <w:rPr>
          <w:sz w:val="24"/>
        </w:rPr>
        <w:t xml:space="preserve">total </w:t>
      </w:r>
      <w:r w:rsidR="00DE1AF3">
        <w:rPr>
          <w:sz w:val="24"/>
        </w:rPr>
        <w:t>headquarters</w:t>
      </w:r>
      <w:r w:rsidR="006A2E0F" w:rsidRPr="009F6A27">
        <w:rPr>
          <w:sz w:val="24"/>
        </w:rPr>
        <w:t xml:space="preserve"> cost</w:t>
      </w:r>
      <w:r w:rsidR="006A2E0F">
        <w:rPr>
          <w:sz w:val="24"/>
        </w:rPr>
        <w:br/>
      </w:r>
      <w:r w:rsidRPr="00211425">
        <w:rPr>
          <w:sz w:val="24"/>
          <w:szCs w:val="24"/>
        </w:rPr>
        <w:br/>
        <w:t>*These salaries are the Annual and Hourly Rates obtained from the Office of Personnel Management Salary Table 20</w:t>
      </w:r>
      <w:r w:rsidR="00367332" w:rsidRPr="00211425">
        <w:rPr>
          <w:sz w:val="24"/>
          <w:szCs w:val="24"/>
        </w:rPr>
        <w:t>1</w:t>
      </w:r>
      <w:r w:rsidR="00DD07F6">
        <w:rPr>
          <w:sz w:val="24"/>
          <w:szCs w:val="24"/>
        </w:rPr>
        <w:t>2</w:t>
      </w:r>
      <w:r w:rsidRPr="00211425">
        <w:rPr>
          <w:sz w:val="24"/>
          <w:szCs w:val="24"/>
        </w:rPr>
        <w:t>-General Schedule, Effective January 20</w:t>
      </w:r>
      <w:r w:rsidR="00367332" w:rsidRPr="00211425">
        <w:rPr>
          <w:sz w:val="24"/>
          <w:szCs w:val="24"/>
        </w:rPr>
        <w:t>1</w:t>
      </w:r>
      <w:r w:rsidR="00DD07F6">
        <w:rPr>
          <w:sz w:val="24"/>
          <w:szCs w:val="24"/>
        </w:rPr>
        <w:t>2</w:t>
      </w:r>
      <w:r w:rsidRPr="00211425">
        <w:rPr>
          <w:sz w:val="24"/>
          <w:szCs w:val="24"/>
        </w:rPr>
        <w:t>.</w:t>
      </w:r>
    </w:p>
    <w:p w:rsidR="00071F56" w:rsidRPr="00211425" w:rsidRDefault="00071F56" w:rsidP="00A91FED">
      <w:pPr>
        <w:tabs>
          <w:tab w:val="left" w:pos="9630"/>
          <w:tab w:val="left" w:pos="9810"/>
        </w:tabs>
        <w:ind w:right="792"/>
        <w:rPr>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15.</w:t>
      </w:r>
      <w:r w:rsidRPr="00211425">
        <w:rPr>
          <w:b/>
          <w:sz w:val="24"/>
          <w:szCs w:val="24"/>
        </w:rPr>
        <w:tab/>
        <w:t>Explain the reasons for any program changes or adjustments reported in Items 13 or 14 of the OMB Form 83-1.</w:t>
      </w:r>
    </w:p>
    <w:p w:rsidR="00066655" w:rsidRPr="00211425" w:rsidRDefault="00066655" w:rsidP="00A91FED">
      <w:pPr>
        <w:tabs>
          <w:tab w:val="left" w:pos="9630"/>
          <w:tab w:val="left" w:pos="9810"/>
        </w:tabs>
        <w:ind w:left="720" w:right="792" w:hanging="720"/>
        <w:rPr>
          <w:b/>
          <w:sz w:val="24"/>
          <w:szCs w:val="24"/>
        </w:rPr>
      </w:pPr>
    </w:p>
    <w:p w:rsidR="00143FFD" w:rsidRPr="00211425" w:rsidRDefault="001947EA" w:rsidP="00143FFD">
      <w:pPr>
        <w:spacing w:line="480" w:lineRule="auto"/>
        <w:ind w:left="720" w:right="792"/>
        <w:rPr>
          <w:sz w:val="24"/>
          <w:szCs w:val="24"/>
        </w:rPr>
      </w:pPr>
      <w:r>
        <w:rPr>
          <w:rFonts w:ascii="CG Times" w:hAnsi="CG Times"/>
          <w:sz w:val="24"/>
          <w:szCs w:val="24"/>
        </w:rPr>
        <w:t>This is an extension of a currently approved collection.  The information collection burden remains unchanged</w:t>
      </w:r>
      <w:r w:rsidR="00C218CA">
        <w:rPr>
          <w:sz w:val="24"/>
          <w:szCs w:val="24"/>
        </w:rPr>
        <w:t xml:space="preserve">.  </w:t>
      </w:r>
      <w:r>
        <w:rPr>
          <w:sz w:val="24"/>
          <w:szCs w:val="24"/>
        </w:rPr>
        <w:t>Also, t</w:t>
      </w:r>
      <w:r w:rsidR="00C218CA">
        <w:rPr>
          <w:sz w:val="24"/>
          <w:szCs w:val="24"/>
        </w:rPr>
        <w:t>he number of WIC State agencies has also remained the same since the last approval.</w:t>
      </w:r>
    </w:p>
    <w:p w:rsidR="00071F56" w:rsidRPr="00211425" w:rsidRDefault="00071F56" w:rsidP="00A91FED">
      <w:pPr>
        <w:tabs>
          <w:tab w:val="left" w:pos="9630"/>
          <w:tab w:val="left" w:pos="9810"/>
        </w:tabs>
        <w:ind w:right="792"/>
        <w:rPr>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16.</w:t>
      </w:r>
      <w:r w:rsidRPr="00211425">
        <w:rPr>
          <w:b/>
          <w:sz w:val="24"/>
          <w:szCs w:val="24"/>
        </w:rPr>
        <w:tab/>
        <w:t>For collections of information whose results are planned to be published, outline plans for tabulation and publication.</w:t>
      </w:r>
    </w:p>
    <w:p w:rsidR="00B22122" w:rsidRPr="00211425" w:rsidRDefault="00B22122">
      <w:pPr>
        <w:tabs>
          <w:tab w:val="left" w:pos="9630"/>
          <w:tab w:val="left" w:pos="9810"/>
        </w:tabs>
        <w:spacing w:line="480" w:lineRule="auto"/>
        <w:ind w:left="720" w:right="792" w:hanging="720"/>
        <w:rPr>
          <w:b/>
          <w:sz w:val="24"/>
          <w:szCs w:val="24"/>
        </w:rPr>
      </w:pPr>
    </w:p>
    <w:p w:rsidR="00071F56" w:rsidRPr="00211425" w:rsidRDefault="00DA239D" w:rsidP="00B22122">
      <w:pPr>
        <w:tabs>
          <w:tab w:val="left" w:pos="9630"/>
          <w:tab w:val="left" w:pos="9810"/>
        </w:tabs>
        <w:spacing w:line="480" w:lineRule="auto"/>
        <w:ind w:left="720" w:right="792" w:hanging="720"/>
        <w:rPr>
          <w:b/>
          <w:sz w:val="24"/>
          <w:szCs w:val="24"/>
        </w:rPr>
      </w:pPr>
      <w:r w:rsidRPr="00211425">
        <w:rPr>
          <w:b/>
          <w:sz w:val="24"/>
          <w:szCs w:val="24"/>
        </w:rPr>
        <w:tab/>
      </w:r>
      <w:r w:rsidR="00C218CA">
        <w:rPr>
          <w:sz w:val="24"/>
          <w:szCs w:val="24"/>
        </w:rPr>
        <w:t>There are no plans to tabulate or publish any reports.</w:t>
      </w:r>
      <w:r w:rsidR="00B22122" w:rsidRPr="00211425">
        <w:rPr>
          <w:sz w:val="24"/>
          <w:szCs w:val="24"/>
        </w:rPr>
        <w:br/>
      </w: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17.</w:t>
      </w:r>
      <w:r w:rsidRPr="00211425">
        <w:rPr>
          <w:b/>
          <w:sz w:val="24"/>
          <w:szCs w:val="24"/>
        </w:rPr>
        <w:tab/>
        <w:t>If seeking approval</w:t>
      </w:r>
      <w:r w:rsidR="00086D9C" w:rsidRPr="00211425">
        <w:rPr>
          <w:b/>
          <w:sz w:val="24"/>
          <w:szCs w:val="24"/>
        </w:rPr>
        <w:t xml:space="preserve"> t</w:t>
      </w:r>
      <w:r w:rsidRPr="00211425">
        <w:rPr>
          <w:b/>
          <w:sz w:val="24"/>
          <w:szCs w:val="24"/>
        </w:rPr>
        <w:t>o not display the expiration date for OMB approval</w:t>
      </w:r>
      <w:r w:rsidR="00664E43" w:rsidRPr="00211425">
        <w:rPr>
          <w:b/>
          <w:sz w:val="24"/>
          <w:szCs w:val="24"/>
        </w:rPr>
        <w:t xml:space="preserve"> of the information collection, explain </w:t>
      </w:r>
      <w:r w:rsidRPr="00211425">
        <w:rPr>
          <w:b/>
          <w:sz w:val="24"/>
          <w:szCs w:val="24"/>
        </w:rPr>
        <w:t>the reasons that display would be inappropriate.</w:t>
      </w:r>
    </w:p>
    <w:p w:rsidR="00066655" w:rsidRPr="00211425" w:rsidRDefault="00066655" w:rsidP="00A91FED">
      <w:pPr>
        <w:tabs>
          <w:tab w:val="left" w:pos="9630"/>
          <w:tab w:val="left" w:pos="9810"/>
        </w:tabs>
        <w:ind w:left="720" w:right="792" w:hanging="720"/>
        <w:rPr>
          <w:b/>
          <w:sz w:val="24"/>
          <w:szCs w:val="24"/>
        </w:rPr>
      </w:pPr>
    </w:p>
    <w:p w:rsidR="00DF1FC4" w:rsidRPr="009A3085" w:rsidRDefault="00066655" w:rsidP="00DF1FC4">
      <w:pPr>
        <w:tabs>
          <w:tab w:val="left" w:pos="9630"/>
          <w:tab w:val="left" w:pos="9810"/>
        </w:tabs>
        <w:ind w:left="720" w:right="792" w:hanging="720"/>
        <w:rPr>
          <w:sz w:val="24"/>
          <w:szCs w:val="24"/>
        </w:rPr>
      </w:pPr>
      <w:r w:rsidRPr="00211425">
        <w:rPr>
          <w:b/>
          <w:sz w:val="24"/>
          <w:szCs w:val="24"/>
        </w:rPr>
        <w:tab/>
      </w:r>
      <w:r w:rsidR="00DF1FC4">
        <w:rPr>
          <w:rFonts w:ascii="CG Times" w:hAnsi="CG Times"/>
          <w:sz w:val="24"/>
        </w:rPr>
        <w:t>The expiration date will be displayed.</w:t>
      </w:r>
    </w:p>
    <w:p w:rsidR="00DF1FC4" w:rsidRPr="00211425" w:rsidRDefault="00DF1FC4" w:rsidP="000A2745">
      <w:pPr>
        <w:tabs>
          <w:tab w:val="left" w:pos="9630"/>
          <w:tab w:val="left" w:pos="9810"/>
        </w:tabs>
        <w:spacing w:line="480" w:lineRule="auto"/>
        <w:ind w:left="720" w:right="792" w:hanging="720"/>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lastRenderedPageBreak/>
        <w:t>18.</w:t>
      </w:r>
      <w:r w:rsidRPr="00211425">
        <w:rPr>
          <w:b/>
          <w:sz w:val="24"/>
          <w:szCs w:val="24"/>
        </w:rPr>
        <w:tab/>
        <w:t>Explain each exception to the certification statement identified in Item 19 "Certification for Paperwork Reduction Act."</w:t>
      </w:r>
    </w:p>
    <w:p w:rsidR="00661FA9" w:rsidRPr="00211425" w:rsidRDefault="00661FA9" w:rsidP="00A91FED">
      <w:pPr>
        <w:tabs>
          <w:tab w:val="left" w:pos="9630"/>
          <w:tab w:val="left" w:pos="9810"/>
        </w:tabs>
        <w:ind w:left="720" w:right="792" w:hanging="720"/>
        <w:rPr>
          <w:b/>
          <w:sz w:val="24"/>
          <w:szCs w:val="24"/>
        </w:rPr>
      </w:pPr>
    </w:p>
    <w:p w:rsidR="00661FA9" w:rsidRPr="00211425" w:rsidRDefault="00661FA9"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r w:rsidRPr="00211425">
        <w:rPr>
          <w:rFonts w:ascii="CG Times" w:hAnsi="CG Times"/>
          <w:sz w:val="24"/>
          <w:szCs w:val="24"/>
        </w:rPr>
        <w:t>There are no exceptions to the certification statement on OMB Form 83-1.</w:t>
      </w:r>
    </w:p>
    <w:sectPr w:rsidR="00661FA9" w:rsidRPr="00211425"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29" w:rsidRDefault="00250229">
      <w:r>
        <w:separator/>
      </w:r>
    </w:p>
  </w:endnote>
  <w:endnote w:type="continuationSeparator" w:id="0">
    <w:p w:rsidR="00250229" w:rsidRDefault="002502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29" w:rsidRDefault="00250229">
      <w:r>
        <w:separator/>
      </w:r>
    </w:p>
  </w:footnote>
  <w:footnote w:type="continuationSeparator" w:id="0">
    <w:p w:rsidR="00250229" w:rsidRDefault="00250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847CA0"/>
    <w:multiLevelType w:val="multilevel"/>
    <w:tmpl w:val="B9E40FC8"/>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90"/>
        </w:tabs>
        <w:ind w:left="135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4C3493C"/>
    <w:multiLevelType w:val="multilevel"/>
    <w:tmpl w:val="0868C872"/>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3C8099C"/>
    <w:multiLevelType w:val="multilevel"/>
    <w:tmpl w:val="122C77A2"/>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0"/>
        </w:tabs>
        <w:ind w:left="144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4"/>
  </w:num>
  <w:num w:numId="4">
    <w:abstractNumId w:val="23"/>
  </w:num>
  <w:num w:numId="5">
    <w:abstractNumId w:val="21"/>
  </w:num>
  <w:num w:numId="6">
    <w:abstractNumId w:val="10"/>
  </w:num>
  <w:num w:numId="7">
    <w:abstractNumId w:val="3"/>
  </w:num>
  <w:num w:numId="8">
    <w:abstractNumId w:val="9"/>
  </w:num>
  <w:num w:numId="9">
    <w:abstractNumId w:val="0"/>
  </w:num>
  <w:num w:numId="10">
    <w:abstractNumId w:val="13"/>
  </w:num>
  <w:num w:numId="11">
    <w:abstractNumId w:val="1"/>
  </w:num>
  <w:num w:numId="12">
    <w:abstractNumId w:val="17"/>
  </w:num>
  <w:num w:numId="13">
    <w:abstractNumId w:val="20"/>
  </w:num>
  <w:num w:numId="14">
    <w:abstractNumId w:val="18"/>
  </w:num>
  <w:num w:numId="15">
    <w:abstractNumId w:val="5"/>
  </w:num>
  <w:num w:numId="16">
    <w:abstractNumId w:val="2"/>
  </w:num>
  <w:num w:numId="17">
    <w:abstractNumId w:val="19"/>
  </w:num>
  <w:num w:numId="18">
    <w:abstractNumId w:val="12"/>
  </w:num>
  <w:num w:numId="19">
    <w:abstractNumId w:val="14"/>
  </w:num>
  <w:num w:numId="20">
    <w:abstractNumId w:val="6"/>
  </w:num>
  <w:num w:numId="21">
    <w:abstractNumId w:val="11"/>
  </w:num>
  <w:num w:numId="22">
    <w:abstractNumId w:val="22"/>
  </w:num>
  <w:num w:numId="23">
    <w:abstractNumId w:val="7"/>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431A09"/>
    <w:rsid w:val="00003E0B"/>
    <w:rsid w:val="00013712"/>
    <w:rsid w:val="00014F4E"/>
    <w:rsid w:val="00016776"/>
    <w:rsid w:val="0003124B"/>
    <w:rsid w:val="00043253"/>
    <w:rsid w:val="0005375D"/>
    <w:rsid w:val="00066655"/>
    <w:rsid w:val="0006680E"/>
    <w:rsid w:val="00071F56"/>
    <w:rsid w:val="00075000"/>
    <w:rsid w:val="00084E6C"/>
    <w:rsid w:val="00086D9C"/>
    <w:rsid w:val="00095007"/>
    <w:rsid w:val="000A2745"/>
    <w:rsid w:val="000B3720"/>
    <w:rsid w:val="000C02C6"/>
    <w:rsid w:val="000D29CC"/>
    <w:rsid w:val="000F3B93"/>
    <w:rsid w:val="000F5840"/>
    <w:rsid w:val="000F5C0B"/>
    <w:rsid w:val="000F63A5"/>
    <w:rsid w:val="00116E59"/>
    <w:rsid w:val="00120086"/>
    <w:rsid w:val="00127391"/>
    <w:rsid w:val="00127F55"/>
    <w:rsid w:val="001324EC"/>
    <w:rsid w:val="00141BF5"/>
    <w:rsid w:val="00143FFD"/>
    <w:rsid w:val="001524CF"/>
    <w:rsid w:val="0017044C"/>
    <w:rsid w:val="001762BB"/>
    <w:rsid w:val="00182AC0"/>
    <w:rsid w:val="001834E5"/>
    <w:rsid w:val="001947EA"/>
    <w:rsid w:val="00197333"/>
    <w:rsid w:val="001A7E35"/>
    <w:rsid w:val="001C626D"/>
    <w:rsid w:val="001E0D7C"/>
    <w:rsid w:val="001E6B91"/>
    <w:rsid w:val="001F0AD1"/>
    <w:rsid w:val="00211425"/>
    <w:rsid w:val="00235B39"/>
    <w:rsid w:val="00250229"/>
    <w:rsid w:val="002524D6"/>
    <w:rsid w:val="00253889"/>
    <w:rsid w:val="00254A6B"/>
    <w:rsid w:val="00257AA8"/>
    <w:rsid w:val="00264960"/>
    <w:rsid w:val="002741FE"/>
    <w:rsid w:val="002B0AA1"/>
    <w:rsid w:val="002B620B"/>
    <w:rsid w:val="002E0040"/>
    <w:rsid w:val="002F118D"/>
    <w:rsid w:val="00301A7E"/>
    <w:rsid w:val="00307D06"/>
    <w:rsid w:val="00317CAE"/>
    <w:rsid w:val="00323F2D"/>
    <w:rsid w:val="003242F7"/>
    <w:rsid w:val="003261D3"/>
    <w:rsid w:val="0032626B"/>
    <w:rsid w:val="00337BF5"/>
    <w:rsid w:val="00345651"/>
    <w:rsid w:val="0035271B"/>
    <w:rsid w:val="00367332"/>
    <w:rsid w:val="00382486"/>
    <w:rsid w:val="003826F8"/>
    <w:rsid w:val="00386D4F"/>
    <w:rsid w:val="003A619D"/>
    <w:rsid w:val="003B33B6"/>
    <w:rsid w:val="003B49AF"/>
    <w:rsid w:val="003C5F19"/>
    <w:rsid w:val="003D4BD1"/>
    <w:rsid w:val="003D78E0"/>
    <w:rsid w:val="003F484B"/>
    <w:rsid w:val="003F758B"/>
    <w:rsid w:val="00412C90"/>
    <w:rsid w:val="00415AB0"/>
    <w:rsid w:val="00424F75"/>
    <w:rsid w:val="004276B4"/>
    <w:rsid w:val="00431A09"/>
    <w:rsid w:val="004326C8"/>
    <w:rsid w:val="00433C85"/>
    <w:rsid w:val="004471F3"/>
    <w:rsid w:val="00447A41"/>
    <w:rsid w:val="00455A10"/>
    <w:rsid w:val="00456573"/>
    <w:rsid w:val="00464E58"/>
    <w:rsid w:val="00465B63"/>
    <w:rsid w:val="0047741A"/>
    <w:rsid w:val="00480D7B"/>
    <w:rsid w:val="00482E9A"/>
    <w:rsid w:val="004B1546"/>
    <w:rsid w:val="004D69A1"/>
    <w:rsid w:val="004E6FE6"/>
    <w:rsid w:val="00504CDB"/>
    <w:rsid w:val="005123B9"/>
    <w:rsid w:val="005129EB"/>
    <w:rsid w:val="00524B60"/>
    <w:rsid w:val="0052676A"/>
    <w:rsid w:val="005567DC"/>
    <w:rsid w:val="00575B3E"/>
    <w:rsid w:val="005816D8"/>
    <w:rsid w:val="005C0642"/>
    <w:rsid w:val="005C28DD"/>
    <w:rsid w:val="005C2B23"/>
    <w:rsid w:val="005E25E6"/>
    <w:rsid w:val="005E413E"/>
    <w:rsid w:val="005E4ACA"/>
    <w:rsid w:val="005F2B15"/>
    <w:rsid w:val="00600297"/>
    <w:rsid w:val="00622AE3"/>
    <w:rsid w:val="00641F28"/>
    <w:rsid w:val="006438C6"/>
    <w:rsid w:val="006506B2"/>
    <w:rsid w:val="00653A43"/>
    <w:rsid w:val="006564C4"/>
    <w:rsid w:val="00661FA9"/>
    <w:rsid w:val="00664E43"/>
    <w:rsid w:val="00674F32"/>
    <w:rsid w:val="006A1D82"/>
    <w:rsid w:val="006A2E0F"/>
    <w:rsid w:val="006A4FCC"/>
    <w:rsid w:val="006D6DF1"/>
    <w:rsid w:val="006E2D78"/>
    <w:rsid w:val="006E3023"/>
    <w:rsid w:val="006E632B"/>
    <w:rsid w:val="006E71C3"/>
    <w:rsid w:val="006E78B9"/>
    <w:rsid w:val="006F1BD2"/>
    <w:rsid w:val="00706B9F"/>
    <w:rsid w:val="00711608"/>
    <w:rsid w:val="00711B37"/>
    <w:rsid w:val="00722985"/>
    <w:rsid w:val="007254EA"/>
    <w:rsid w:val="0073470C"/>
    <w:rsid w:val="0074283D"/>
    <w:rsid w:val="00746DE0"/>
    <w:rsid w:val="00750E27"/>
    <w:rsid w:val="00792199"/>
    <w:rsid w:val="007D3C80"/>
    <w:rsid w:val="007D3F04"/>
    <w:rsid w:val="007F1D45"/>
    <w:rsid w:val="007F1DF1"/>
    <w:rsid w:val="007F300A"/>
    <w:rsid w:val="00803CE3"/>
    <w:rsid w:val="00805C19"/>
    <w:rsid w:val="00806D97"/>
    <w:rsid w:val="00843356"/>
    <w:rsid w:val="00857861"/>
    <w:rsid w:val="00874E8C"/>
    <w:rsid w:val="008E11A7"/>
    <w:rsid w:val="008F35BA"/>
    <w:rsid w:val="008F468F"/>
    <w:rsid w:val="009118AF"/>
    <w:rsid w:val="00925299"/>
    <w:rsid w:val="00926525"/>
    <w:rsid w:val="0092746F"/>
    <w:rsid w:val="00931FF8"/>
    <w:rsid w:val="009450EF"/>
    <w:rsid w:val="00953C7A"/>
    <w:rsid w:val="00963856"/>
    <w:rsid w:val="009656B5"/>
    <w:rsid w:val="009672C2"/>
    <w:rsid w:val="00974C35"/>
    <w:rsid w:val="009778BF"/>
    <w:rsid w:val="00984030"/>
    <w:rsid w:val="00985C20"/>
    <w:rsid w:val="009974F5"/>
    <w:rsid w:val="00997530"/>
    <w:rsid w:val="009A3085"/>
    <w:rsid w:val="009A423C"/>
    <w:rsid w:val="009A45CB"/>
    <w:rsid w:val="009A7F17"/>
    <w:rsid w:val="009D7DD2"/>
    <w:rsid w:val="009E2621"/>
    <w:rsid w:val="009E2FC5"/>
    <w:rsid w:val="009F0442"/>
    <w:rsid w:val="009F11E4"/>
    <w:rsid w:val="00A2536F"/>
    <w:rsid w:val="00A41174"/>
    <w:rsid w:val="00A55E42"/>
    <w:rsid w:val="00A616F9"/>
    <w:rsid w:val="00A91FED"/>
    <w:rsid w:val="00AC005D"/>
    <w:rsid w:val="00AC4AD8"/>
    <w:rsid w:val="00AD1D62"/>
    <w:rsid w:val="00AD7952"/>
    <w:rsid w:val="00AE7449"/>
    <w:rsid w:val="00B04589"/>
    <w:rsid w:val="00B0605F"/>
    <w:rsid w:val="00B06C19"/>
    <w:rsid w:val="00B22122"/>
    <w:rsid w:val="00B2494F"/>
    <w:rsid w:val="00B253B3"/>
    <w:rsid w:val="00B27BD9"/>
    <w:rsid w:val="00B3191B"/>
    <w:rsid w:val="00B341C6"/>
    <w:rsid w:val="00B4203B"/>
    <w:rsid w:val="00B449D1"/>
    <w:rsid w:val="00B56C8C"/>
    <w:rsid w:val="00B619C7"/>
    <w:rsid w:val="00B62FE5"/>
    <w:rsid w:val="00B657CE"/>
    <w:rsid w:val="00B71358"/>
    <w:rsid w:val="00B7647F"/>
    <w:rsid w:val="00BA0502"/>
    <w:rsid w:val="00BA14AC"/>
    <w:rsid w:val="00BA6DD2"/>
    <w:rsid w:val="00BE39EF"/>
    <w:rsid w:val="00BE429B"/>
    <w:rsid w:val="00BF2D69"/>
    <w:rsid w:val="00C13AF7"/>
    <w:rsid w:val="00C20BAC"/>
    <w:rsid w:val="00C218CA"/>
    <w:rsid w:val="00C3230E"/>
    <w:rsid w:val="00C36A7C"/>
    <w:rsid w:val="00C47D33"/>
    <w:rsid w:val="00C6052C"/>
    <w:rsid w:val="00C630F0"/>
    <w:rsid w:val="00C71257"/>
    <w:rsid w:val="00C73BD1"/>
    <w:rsid w:val="00C8239C"/>
    <w:rsid w:val="00C854EA"/>
    <w:rsid w:val="00C9527F"/>
    <w:rsid w:val="00CA17E0"/>
    <w:rsid w:val="00CC02D0"/>
    <w:rsid w:val="00CD17C0"/>
    <w:rsid w:val="00CD1CDF"/>
    <w:rsid w:val="00CD1ECC"/>
    <w:rsid w:val="00CE0CC1"/>
    <w:rsid w:val="00CE4B2F"/>
    <w:rsid w:val="00CE7639"/>
    <w:rsid w:val="00CF0CFF"/>
    <w:rsid w:val="00D0102B"/>
    <w:rsid w:val="00D04581"/>
    <w:rsid w:val="00D061C3"/>
    <w:rsid w:val="00D06346"/>
    <w:rsid w:val="00D24C2A"/>
    <w:rsid w:val="00D400C6"/>
    <w:rsid w:val="00D46C4A"/>
    <w:rsid w:val="00D56159"/>
    <w:rsid w:val="00D736B9"/>
    <w:rsid w:val="00DA189A"/>
    <w:rsid w:val="00DA239D"/>
    <w:rsid w:val="00DC6092"/>
    <w:rsid w:val="00DD07F6"/>
    <w:rsid w:val="00DD175A"/>
    <w:rsid w:val="00DD53A8"/>
    <w:rsid w:val="00DD66F1"/>
    <w:rsid w:val="00DE0D8B"/>
    <w:rsid w:val="00DE1AF3"/>
    <w:rsid w:val="00DF1FC4"/>
    <w:rsid w:val="00E038B4"/>
    <w:rsid w:val="00E23E8E"/>
    <w:rsid w:val="00E30CA7"/>
    <w:rsid w:val="00E31853"/>
    <w:rsid w:val="00E36346"/>
    <w:rsid w:val="00E465D2"/>
    <w:rsid w:val="00E76DDD"/>
    <w:rsid w:val="00E8337D"/>
    <w:rsid w:val="00E8639D"/>
    <w:rsid w:val="00E9362B"/>
    <w:rsid w:val="00E96261"/>
    <w:rsid w:val="00EA4C9C"/>
    <w:rsid w:val="00EB703A"/>
    <w:rsid w:val="00EC3E9C"/>
    <w:rsid w:val="00ED116E"/>
    <w:rsid w:val="00ED3EA2"/>
    <w:rsid w:val="00ED5CAE"/>
    <w:rsid w:val="00EE3DB9"/>
    <w:rsid w:val="00EE46FB"/>
    <w:rsid w:val="00EF0E5F"/>
    <w:rsid w:val="00F25AE9"/>
    <w:rsid w:val="00F27E39"/>
    <w:rsid w:val="00F32413"/>
    <w:rsid w:val="00F36A8C"/>
    <w:rsid w:val="00F46923"/>
    <w:rsid w:val="00F563B9"/>
    <w:rsid w:val="00F572D8"/>
    <w:rsid w:val="00F66C20"/>
    <w:rsid w:val="00F66DA6"/>
    <w:rsid w:val="00F81EF4"/>
    <w:rsid w:val="00F8552F"/>
    <w:rsid w:val="00FA7547"/>
    <w:rsid w:val="00FB4CE4"/>
    <w:rsid w:val="00FC1494"/>
    <w:rsid w:val="00FD4AF7"/>
    <w:rsid w:val="00FD577D"/>
    <w:rsid w:val="00FE3E3B"/>
    <w:rsid w:val="00FE7F75"/>
    <w:rsid w:val="00FF6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71F3"/>
    <w:pPr>
      <w:tabs>
        <w:tab w:val="left" w:pos="720"/>
      </w:tabs>
      <w:spacing w:after="80"/>
      <w:ind w:left="720" w:hanging="720"/>
    </w:pPr>
    <w:rPr>
      <w:b/>
      <w:sz w:val="24"/>
    </w:rPr>
  </w:style>
  <w:style w:type="paragraph" w:styleId="BodyTextIndent2">
    <w:name w:val="Body Text Indent 2"/>
    <w:basedOn w:val="Normal"/>
    <w:rsid w:val="004471F3"/>
    <w:pPr>
      <w:ind w:left="720"/>
      <w:jc w:val="both"/>
    </w:pPr>
    <w:rPr>
      <w:b/>
      <w:sz w:val="24"/>
    </w:rPr>
  </w:style>
  <w:style w:type="paragraph" w:styleId="BodyTextIndent3">
    <w:name w:val="Body Text Indent 3"/>
    <w:basedOn w:val="Normal"/>
    <w:rsid w:val="004471F3"/>
    <w:pPr>
      <w:tabs>
        <w:tab w:val="left" w:pos="0"/>
        <w:tab w:val="left" w:pos="288"/>
        <w:tab w:val="left" w:pos="475"/>
        <w:tab w:val="left" w:pos="662"/>
      </w:tabs>
      <w:spacing w:after="80"/>
      <w:ind w:left="288" w:hanging="288"/>
    </w:pPr>
    <w:rPr>
      <w:b/>
      <w:sz w:val="24"/>
    </w:rPr>
  </w:style>
  <w:style w:type="paragraph" w:styleId="BodyText">
    <w:name w:val="Body Text"/>
    <w:basedOn w:val="Normal"/>
    <w:rsid w:val="004471F3"/>
    <w:pPr>
      <w:spacing w:after="80"/>
    </w:pPr>
    <w:rPr>
      <w:b/>
      <w:sz w:val="24"/>
    </w:rPr>
  </w:style>
  <w:style w:type="character" w:styleId="PageNumber">
    <w:name w:val="page number"/>
    <w:basedOn w:val="DefaultParagraphFont"/>
    <w:rsid w:val="00CE4B2F"/>
  </w:style>
  <w:style w:type="paragraph" w:styleId="ListParagraph">
    <w:name w:val="List Paragraph"/>
    <w:basedOn w:val="Normal"/>
    <w:uiPriority w:val="34"/>
    <w:qFormat/>
    <w:rsid w:val="00CE4B2F"/>
    <w:pPr>
      <w:ind w:left="720"/>
      <w:contextualSpacing/>
    </w:pPr>
  </w:style>
  <w:style w:type="character" w:styleId="CommentReference">
    <w:name w:val="annotation reference"/>
    <w:basedOn w:val="DefaultParagraphFont"/>
    <w:rsid w:val="00257AA8"/>
    <w:rPr>
      <w:sz w:val="16"/>
      <w:szCs w:val="16"/>
    </w:rPr>
  </w:style>
  <w:style w:type="paragraph" w:styleId="CommentText">
    <w:name w:val="annotation text"/>
    <w:basedOn w:val="Normal"/>
    <w:link w:val="CommentTextChar"/>
    <w:rsid w:val="00257AA8"/>
  </w:style>
  <w:style w:type="character" w:customStyle="1" w:styleId="CommentTextChar">
    <w:name w:val="Comment Text Char"/>
    <w:basedOn w:val="DefaultParagraphFont"/>
    <w:link w:val="CommentText"/>
    <w:rsid w:val="00257AA8"/>
  </w:style>
  <w:style w:type="paragraph" w:styleId="CommentSubject">
    <w:name w:val="annotation subject"/>
    <w:basedOn w:val="CommentText"/>
    <w:next w:val="CommentText"/>
    <w:link w:val="CommentSubjectChar"/>
    <w:rsid w:val="00257AA8"/>
    <w:rPr>
      <w:b/>
      <w:bCs/>
    </w:rPr>
  </w:style>
  <w:style w:type="character" w:customStyle="1" w:styleId="CommentSubjectChar">
    <w:name w:val="Comment Subject Char"/>
    <w:basedOn w:val="CommentTextChar"/>
    <w:link w:val="CommentSubject"/>
    <w:rsid w:val="00257AA8"/>
    <w:rPr>
      <w:b/>
      <w:bCs/>
    </w:rPr>
  </w:style>
  <w:style w:type="paragraph" w:styleId="BalloonText">
    <w:name w:val="Balloon Text"/>
    <w:basedOn w:val="Normal"/>
    <w:link w:val="BalloonTextChar"/>
    <w:rsid w:val="00257AA8"/>
    <w:rPr>
      <w:rFonts w:ascii="Tahoma" w:hAnsi="Tahoma" w:cs="Tahoma"/>
      <w:sz w:val="16"/>
      <w:szCs w:val="16"/>
    </w:rPr>
  </w:style>
  <w:style w:type="character" w:customStyle="1" w:styleId="BalloonTextChar">
    <w:name w:val="Balloon Text Char"/>
    <w:basedOn w:val="DefaultParagraphFont"/>
    <w:link w:val="BalloonText"/>
    <w:rsid w:val="00257AA8"/>
    <w:rPr>
      <w:rFonts w:ascii="Tahoma" w:hAnsi="Tahoma" w:cs="Tahoma"/>
      <w:sz w:val="16"/>
      <w:szCs w:val="16"/>
    </w:rPr>
  </w:style>
  <w:style w:type="character" w:styleId="Hyperlink">
    <w:name w:val="Hyperlink"/>
    <w:basedOn w:val="DefaultParagraphFont"/>
    <w:rsid w:val="00014F4E"/>
    <w:rPr>
      <w:color w:val="0000FF" w:themeColor="hyperlink"/>
      <w:u w:val="single"/>
    </w:rPr>
  </w:style>
  <w:style w:type="character" w:styleId="FollowedHyperlink">
    <w:name w:val="FollowedHyperlink"/>
    <w:basedOn w:val="DefaultParagraphFont"/>
    <w:rsid w:val="00014F4E"/>
    <w:rPr>
      <w:color w:val="800080" w:themeColor="followedHyperlink"/>
      <w:u w:val="single"/>
    </w:rPr>
  </w:style>
  <w:style w:type="paragraph" w:styleId="TOC1">
    <w:name w:val="toc 1"/>
    <w:basedOn w:val="Normal"/>
    <w:next w:val="Normal"/>
    <w:rsid w:val="00DD66F1"/>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 w:val="24"/>
    </w:rPr>
  </w:style>
  <w:style w:type="paragraph" w:styleId="TOC2">
    <w:name w:val="toc 2"/>
    <w:basedOn w:val="Normal"/>
    <w:next w:val="Normal"/>
    <w:rsid w:val="00DD66F1"/>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rs.fns.usda.gov/t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A31485DDE214898E933A538E4C5A3" ma:contentTypeVersion="3" ma:contentTypeDescription="Create a new document." ma:contentTypeScope="" ma:versionID="4bdf253b781e6d75500fe946867915a1">
  <xsd:schema xmlns:xsd="http://www.w3.org/2001/XMLSchema" xmlns:p="http://schemas.microsoft.com/office/2006/metadata/properties" xmlns:ns1="http://schemas.microsoft.com/sharepoint/v3" targetNamespace="http://schemas.microsoft.com/office/2006/metadata/properties" ma:root="true" ma:fieldsID="1632d6b3f1ee7940332c8174cbbf079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2.xml><?xml version="1.0" encoding="utf-8"?>
<ds:datastoreItem xmlns:ds="http://schemas.openxmlformats.org/officeDocument/2006/customXml" ds:itemID="{B26C8100-2250-456A-80E3-F0419F8F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4.xml><?xml version="1.0" encoding="utf-8"?>
<ds:datastoreItem xmlns:ds="http://schemas.openxmlformats.org/officeDocument/2006/customXml" ds:itemID="{7D7D6557-F2A3-4B5F-B202-04D2908E130C}">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2321BCA7-258D-4111-8206-B059185D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rgreene</cp:lastModifiedBy>
  <cp:revision>6</cp:revision>
  <cp:lastPrinted>2012-02-03T23:40:00Z</cp:lastPrinted>
  <dcterms:created xsi:type="dcterms:W3CDTF">2012-02-28T21:57:00Z</dcterms:created>
  <dcterms:modified xsi:type="dcterms:W3CDTF">2012-02-29T13:54:00Z</dcterms:modified>
</cp:coreProperties>
</file>