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C22" w:rsidRDefault="00910C22">
      <w:pPr>
        <w:keepLines/>
        <w:spacing w:line="360" w:lineRule="auto"/>
        <w:jc w:val="center"/>
        <w:rPr>
          <w:rFonts w:ascii="Arial" w:hAnsi="Arial" w:cs="Arial"/>
          <w:b/>
          <w:bCs/>
          <w:sz w:val="22"/>
          <w:szCs w:val="22"/>
        </w:rPr>
      </w:pPr>
      <w:r>
        <w:rPr>
          <w:rFonts w:ascii="Arial" w:hAnsi="Arial" w:cs="Arial"/>
          <w:b/>
          <w:bCs/>
          <w:sz w:val="22"/>
          <w:szCs w:val="22"/>
        </w:rPr>
        <w:t xml:space="preserve">SUPPORTING STATEMENT FOR </w:t>
      </w:r>
    </w:p>
    <w:p w:rsidR="00910C22" w:rsidRDefault="00910C22">
      <w:pPr>
        <w:spacing w:line="360" w:lineRule="auto"/>
        <w:jc w:val="center"/>
        <w:rPr>
          <w:rFonts w:ascii="Arial" w:hAnsi="Arial" w:cs="Arial"/>
          <w:b/>
          <w:bCs/>
          <w:sz w:val="22"/>
          <w:szCs w:val="22"/>
        </w:rPr>
      </w:pPr>
    </w:p>
    <w:p w:rsidR="00AA6564" w:rsidRPr="0004709A" w:rsidRDefault="00910C22" w:rsidP="00AA6564">
      <w:pPr>
        <w:tabs>
          <w:tab w:val="right" w:pos="1080"/>
          <w:tab w:val="left" w:pos="1260"/>
          <w:tab w:val="left" w:pos="1755"/>
        </w:tabs>
        <w:ind w:firstLine="180"/>
        <w:jc w:val="center"/>
        <w:rPr>
          <w:rFonts w:ascii="Arial" w:hAnsi="Arial" w:cs="Arial"/>
          <w:sz w:val="22"/>
          <w:szCs w:val="22"/>
        </w:rPr>
      </w:pPr>
      <w:r w:rsidRPr="0004709A">
        <w:rPr>
          <w:rFonts w:ascii="Arial" w:hAnsi="Arial" w:cs="Arial"/>
          <w:sz w:val="22"/>
          <w:szCs w:val="22"/>
        </w:rPr>
        <w:t>“</w:t>
      </w:r>
      <w:r w:rsidR="00AA6564" w:rsidRPr="0004709A">
        <w:rPr>
          <w:rFonts w:ascii="Arial" w:hAnsi="Arial" w:cs="Arial"/>
          <w:sz w:val="22"/>
          <w:szCs w:val="22"/>
        </w:rPr>
        <w:t xml:space="preserve">Administrative Review Requirements – Food Retailers </w:t>
      </w:r>
    </w:p>
    <w:p w:rsidR="00910C22" w:rsidRPr="0004709A" w:rsidRDefault="00AA6564" w:rsidP="000F15B7">
      <w:pPr>
        <w:pStyle w:val="Title"/>
        <w:spacing w:line="480" w:lineRule="auto"/>
        <w:rPr>
          <w:rFonts w:ascii="Arial" w:hAnsi="Arial" w:cs="Arial"/>
          <w:b w:val="0"/>
          <w:sz w:val="22"/>
          <w:szCs w:val="22"/>
        </w:rPr>
      </w:pPr>
      <w:proofErr w:type="gramStart"/>
      <w:r w:rsidRPr="0004709A">
        <w:rPr>
          <w:rFonts w:ascii="Arial" w:hAnsi="Arial" w:cs="Arial"/>
          <w:b w:val="0"/>
          <w:sz w:val="22"/>
          <w:szCs w:val="22"/>
        </w:rPr>
        <w:t>and</w:t>
      </w:r>
      <w:proofErr w:type="gramEnd"/>
      <w:r w:rsidRPr="0004709A">
        <w:rPr>
          <w:rFonts w:ascii="Arial" w:hAnsi="Arial" w:cs="Arial"/>
          <w:b w:val="0"/>
          <w:sz w:val="22"/>
          <w:szCs w:val="22"/>
        </w:rPr>
        <w:t xml:space="preserve"> Wholesalers </w:t>
      </w:r>
      <w:r w:rsidR="00910C22" w:rsidRPr="0004709A">
        <w:rPr>
          <w:rFonts w:ascii="Arial" w:hAnsi="Arial" w:cs="Arial"/>
          <w:b w:val="0"/>
          <w:sz w:val="22"/>
          <w:szCs w:val="22"/>
        </w:rPr>
        <w:t>Data</w:t>
      </w:r>
      <w:r w:rsidRPr="0004709A">
        <w:rPr>
          <w:rFonts w:ascii="Arial" w:hAnsi="Arial" w:cs="Arial"/>
          <w:b w:val="0"/>
          <w:sz w:val="22"/>
          <w:szCs w:val="22"/>
        </w:rPr>
        <w:t xml:space="preserve"> Collection</w:t>
      </w:r>
      <w:r w:rsidR="000F15B7" w:rsidRPr="0004709A">
        <w:rPr>
          <w:rFonts w:ascii="Arial" w:hAnsi="Arial" w:cs="Arial"/>
          <w:b w:val="0"/>
          <w:sz w:val="22"/>
          <w:szCs w:val="22"/>
        </w:rPr>
        <w:t>, OMB No. 0584-0520</w:t>
      </w:r>
      <w:r w:rsidRPr="0004709A">
        <w:rPr>
          <w:rFonts w:ascii="Arial" w:hAnsi="Arial" w:cs="Arial"/>
          <w:b w:val="0"/>
          <w:sz w:val="22"/>
          <w:szCs w:val="22"/>
        </w:rPr>
        <w:t>”</w:t>
      </w:r>
    </w:p>
    <w:p w:rsidR="00910C22" w:rsidRDefault="00910C22">
      <w:pPr>
        <w:spacing w:line="360" w:lineRule="auto"/>
        <w:rPr>
          <w:rFonts w:ascii="Arial" w:hAnsi="Arial" w:cs="Arial"/>
          <w:sz w:val="22"/>
          <w:szCs w:val="22"/>
        </w:rPr>
      </w:pPr>
    </w:p>
    <w:p w:rsidR="00910C22" w:rsidRDefault="00910C22">
      <w:pPr>
        <w:spacing w:line="360" w:lineRule="auto"/>
        <w:rPr>
          <w:rFonts w:ascii="Arial" w:hAnsi="Arial" w:cs="Arial"/>
          <w:sz w:val="22"/>
          <w:szCs w:val="22"/>
        </w:rPr>
      </w:pPr>
    </w:p>
    <w:p w:rsidR="00910C22" w:rsidRDefault="00910C22">
      <w:pPr>
        <w:spacing w:line="360" w:lineRule="auto"/>
        <w:rPr>
          <w:rFonts w:ascii="Arial" w:hAnsi="Arial" w:cs="Arial"/>
          <w:sz w:val="22"/>
          <w:szCs w:val="22"/>
        </w:rPr>
      </w:pPr>
    </w:p>
    <w:p w:rsidR="00910C22" w:rsidRDefault="00AA6564">
      <w:pPr>
        <w:spacing w:line="360" w:lineRule="auto"/>
        <w:jc w:val="center"/>
        <w:rPr>
          <w:rFonts w:ascii="Arial" w:hAnsi="Arial" w:cs="Arial"/>
          <w:sz w:val="22"/>
          <w:szCs w:val="22"/>
        </w:rPr>
      </w:pPr>
      <w:r>
        <w:rPr>
          <w:rFonts w:ascii="Arial" w:hAnsi="Arial" w:cs="Arial"/>
          <w:sz w:val="22"/>
          <w:szCs w:val="22"/>
        </w:rPr>
        <w:t>Bea Fitzgerald</w:t>
      </w:r>
      <w:r w:rsidR="00910C22">
        <w:rPr>
          <w:rFonts w:ascii="Arial" w:hAnsi="Arial" w:cs="Arial"/>
          <w:sz w:val="22"/>
          <w:szCs w:val="22"/>
        </w:rPr>
        <w:t xml:space="preserve">, </w:t>
      </w:r>
      <w:r>
        <w:rPr>
          <w:rFonts w:ascii="Arial" w:hAnsi="Arial" w:cs="Arial"/>
          <w:sz w:val="22"/>
          <w:szCs w:val="22"/>
        </w:rPr>
        <w:t>Program Analyst</w:t>
      </w:r>
    </w:p>
    <w:p w:rsidR="00910C22" w:rsidRDefault="00910C22">
      <w:pPr>
        <w:spacing w:line="360" w:lineRule="auto"/>
        <w:jc w:val="center"/>
        <w:rPr>
          <w:rFonts w:ascii="Arial" w:hAnsi="Arial" w:cs="Arial"/>
          <w:sz w:val="22"/>
          <w:szCs w:val="22"/>
        </w:rPr>
      </w:pPr>
      <w:r>
        <w:rPr>
          <w:rFonts w:ascii="Arial" w:hAnsi="Arial" w:cs="Arial"/>
          <w:sz w:val="22"/>
          <w:szCs w:val="22"/>
        </w:rPr>
        <w:t>R</w:t>
      </w:r>
      <w:r w:rsidR="00AA6564">
        <w:rPr>
          <w:rFonts w:ascii="Arial" w:hAnsi="Arial" w:cs="Arial"/>
          <w:sz w:val="22"/>
          <w:szCs w:val="22"/>
        </w:rPr>
        <w:t>etailer Operations Branch/Benefit Redemption Division</w:t>
      </w:r>
    </w:p>
    <w:p w:rsidR="00910C22" w:rsidRDefault="00910C22">
      <w:pPr>
        <w:spacing w:line="360" w:lineRule="auto"/>
        <w:jc w:val="center"/>
        <w:rPr>
          <w:rFonts w:ascii="Arial" w:hAnsi="Arial" w:cs="Arial"/>
          <w:sz w:val="22"/>
          <w:szCs w:val="22"/>
        </w:rPr>
      </w:pPr>
      <w:r>
        <w:rPr>
          <w:rFonts w:ascii="Arial" w:hAnsi="Arial" w:cs="Arial"/>
          <w:sz w:val="22"/>
          <w:szCs w:val="22"/>
        </w:rPr>
        <w:t>S</w:t>
      </w:r>
      <w:r w:rsidR="00AA6564">
        <w:rPr>
          <w:rFonts w:ascii="Arial" w:hAnsi="Arial" w:cs="Arial"/>
          <w:sz w:val="22"/>
          <w:szCs w:val="22"/>
        </w:rPr>
        <w:t>upplemental Nutrition Assistance Program</w:t>
      </w:r>
    </w:p>
    <w:p w:rsidR="00910C22" w:rsidRDefault="00910C22">
      <w:pPr>
        <w:spacing w:line="360" w:lineRule="auto"/>
        <w:jc w:val="center"/>
        <w:rPr>
          <w:rFonts w:ascii="Arial" w:hAnsi="Arial" w:cs="Arial"/>
          <w:sz w:val="22"/>
          <w:szCs w:val="22"/>
        </w:rPr>
      </w:pPr>
      <w:r>
        <w:rPr>
          <w:rFonts w:ascii="Arial" w:hAnsi="Arial" w:cs="Arial"/>
          <w:sz w:val="22"/>
          <w:szCs w:val="22"/>
        </w:rPr>
        <w:t>Food and Nutrition Service/USDA</w:t>
      </w:r>
    </w:p>
    <w:p w:rsidR="00910C22" w:rsidRDefault="00910C22">
      <w:pPr>
        <w:spacing w:line="360" w:lineRule="auto"/>
        <w:jc w:val="center"/>
        <w:rPr>
          <w:rFonts w:ascii="Arial" w:hAnsi="Arial" w:cs="Arial"/>
          <w:sz w:val="22"/>
          <w:szCs w:val="22"/>
        </w:rPr>
      </w:pPr>
      <w:r>
        <w:rPr>
          <w:rFonts w:ascii="Arial" w:hAnsi="Arial" w:cs="Arial"/>
          <w:sz w:val="22"/>
          <w:szCs w:val="22"/>
        </w:rPr>
        <w:t>Park Center Building, Room 4</w:t>
      </w:r>
      <w:r w:rsidR="00AA6564">
        <w:rPr>
          <w:rFonts w:ascii="Arial" w:hAnsi="Arial" w:cs="Arial"/>
          <w:sz w:val="22"/>
          <w:szCs w:val="22"/>
        </w:rPr>
        <w:t>26</w:t>
      </w:r>
    </w:p>
    <w:p w:rsidR="00910C22" w:rsidRDefault="00910C22">
      <w:pPr>
        <w:spacing w:line="360" w:lineRule="auto"/>
        <w:jc w:val="center"/>
        <w:rPr>
          <w:rFonts w:ascii="Arial" w:hAnsi="Arial" w:cs="Arial"/>
          <w:sz w:val="22"/>
          <w:szCs w:val="22"/>
        </w:rPr>
      </w:pPr>
      <w:r>
        <w:rPr>
          <w:rFonts w:ascii="Arial" w:hAnsi="Arial" w:cs="Arial"/>
          <w:sz w:val="22"/>
          <w:szCs w:val="22"/>
        </w:rPr>
        <w:t xml:space="preserve">3130 Park Center Drive </w:t>
      </w:r>
    </w:p>
    <w:p w:rsidR="00910C22" w:rsidRDefault="00910C22">
      <w:pPr>
        <w:spacing w:line="360" w:lineRule="auto"/>
        <w:jc w:val="center"/>
        <w:rPr>
          <w:rFonts w:ascii="Arial" w:hAnsi="Arial" w:cs="Arial"/>
          <w:sz w:val="22"/>
          <w:szCs w:val="22"/>
        </w:rPr>
      </w:pPr>
      <w:smartTag w:uri="urn:schemas-microsoft-com:office:smarttags" w:element="place">
        <w:smartTag w:uri="urn:schemas-microsoft-com:office:smarttags" w:element="City">
          <w:smartTag w:uri="urn:schemas-microsoft-com:office:smarttags" w:element="City">
            <w:r>
              <w:rPr>
                <w:rFonts w:ascii="Arial" w:hAnsi="Arial" w:cs="Arial"/>
                <w:sz w:val="22"/>
                <w:szCs w:val="22"/>
              </w:rPr>
              <w:t>Alexandria</w:t>
            </w:r>
          </w:smartTag>
          <w:r>
            <w:rPr>
              <w:rFonts w:ascii="Arial" w:hAnsi="Arial" w:cs="Arial"/>
              <w:sz w:val="22"/>
              <w:szCs w:val="22"/>
            </w:rPr>
            <w:t xml:space="preserve">, </w:t>
          </w:r>
          <w:smartTag w:uri="urn:schemas-microsoft-com:office:smarttags" w:element="State">
            <w:r>
              <w:rPr>
                <w:rFonts w:ascii="Arial" w:hAnsi="Arial" w:cs="Arial"/>
                <w:sz w:val="22"/>
                <w:szCs w:val="22"/>
              </w:rPr>
              <w:t>VA</w:t>
            </w:r>
          </w:smartTag>
          <w:r>
            <w:rPr>
              <w:rFonts w:ascii="Arial" w:hAnsi="Arial" w:cs="Arial"/>
              <w:sz w:val="22"/>
              <w:szCs w:val="22"/>
            </w:rPr>
            <w:t xml:space="preserve">  </w:t>
          </w:r>
          <w:smartTag w:uri="urn:schemas-microsoft-com:office:smarttags" w:element="PostalCode">
            <w:r>
              <w:rPr>
                <w:rFonts w:ascii="Arial" w:hAnsi="Arial" w:cs="Arial"/>
                <w:sz w:val="22"/>
                <w:szCs w:val="22"/>
              </w:rPr>
              <w:t>22306</w:t>
            </w:r>
          </w:smartTag>
        </w:smartTag>
      </w:smartTag>
    </w:p>
    <w:p w:rsidR="00910C22" w:rsidRDefault="00910C22">
      <w:pPr>
        <w:spacing w:line="360" w:lineRule="auto"/>
        <w:jc w:val="center"/>
        <w:rPr>
          <w:rFonts w:ascii="Arial" w:hAnsi="Arial" w:cs="Arial"/>
          <w:sz w:val="22"/>
          <w:szCs w:val="22"/>
        </w:rPr>
      </w:pPr>
      <w:r>
        <w:rPr>
          <w:rFonts w:ascii="Arial" w:hAnsi="Arial" w:cs="Arial"/>
          <w:sz w:val="22"/>
          <w:szCs w:val="22"/>
        </w:rPr>
        <w:t>(703) 305-</w:t>
      </w:r>
      <w:r w:rsidR="00AA6564">
        <w:rPr>
          <w:rFonts w:ascii="Arial" w:hAnsi="Arial" w:cs="Arial"/>
          <w:sz w:val="22"/>
          <w:szCs w:val="22"/>
        </w:rPr>
        <w:t>2525</w:t>
      </w:r>
    </w:p>
    <w:p w:rsidR="00910C22" w:rsidRDefault="00910C22">
      <w:pPr>
        <w:spacing w:line="360" w:lineRule="auto"/>
        <w:jc w:val="center"/>
        <w:rPr>
          <w:rFonts w:ascii="Arial" w:hAnsi="Arial" w:cs="Arial"/>
          <w:sz w:val="22"/>
          <w:szCs w:val="22"/>
        </w:rPr>
      </w:pPr>
      <w:r>
        <w:rPr>
          <w:rFonts w:ascii="Arial" w:hAnsi="Arial" w:cs="Arial"/>
          <w:sz w:val="22"/>
          <w:szCs w:val="22"/>
        </w:rPr>
        <w:t>FAX (703) 305-</w:t>
      </w:r>
      <w:r w:rsidR="00AA6564">
        <w:rPr>
          <w:rFonts w:ascii="Arial" w:hAnsi="Arial" w:cs="Arial"/>
          <w:sz w:val="22"/>
          <w:szCs w:val="22"/>
        </w:rPr>
        <w:t>1863</w:t>
      </w:r>
    </w:p>
    <w:p w:rsidR="00910C22" w:rsidRDefault="00910C22">
      <w:pPr>
        <w:spacing w:line="360" w:lineRule="auto"/>
        <w:jc w:val="center"/>
        <w:rPr>
          <w:rFonts w:ascii="Arial" w:hAnsi="Arial" w:cs="Arial"/>
          <w:sz w:val="22"/>
          <w:szCs w:val="22"/>
        </w:rPr>
      </w:pPr>
      <w:r>
        <w:rPr>
          <w:rFonts w:ascii="Arial" w:hAnsi="Arial" w:cs="Arial"/>
          <w:sz w:val="22"/>
          <w:szCs w:val="22"/>
        </w:rPr>
        <w:t xml:space="preserve">E-Mail: </w:t>
      </w:r>
      <w:r w:rsidR="00AA6564">
        <w:rPr>
          <w:rFonts w:ascii="Arial" w:hAnsi="Arial" w:cs="Arial"/>
          <w:sz w:val="22"/>
          <w:szCs w:val="22"/>
        </w:rPr>
        <w:t>Bea.Fitzgerald</w:t>
      </w:r>
      <w:r>
        <w:rPr>
          <w:rFonts w:ascii="Arial" w:hAnsi="Arial" w:cs="Arial"/>
          <w:sz w:val="22"/>
          <w:szCs w:val="22"/>
        </w:rPr>
        <w:t>@fns.usda.gov</w:t>
      </w:r>
    </w:p>
    <w:p w:rsidR="00910C22" w:rsidRDefault="00910C22">
      <w:pPr>
        <w:spacing w:line="360" w:lineRule="auto"/>
        <w:jc w:val="center"/>
        <w:rPr>
          <w:sz w:val="22"/>
          <w:szCs w:val="22"/>
        </w:rPr>
      </w:pPr>
    </w:p>
    <w:p w:rsidR="00910C22" w:rsidRDefault="00910C22">
      <w:pPr>
        <w:spacing w:line="360" w:lineRule="auto"/>
        <w:jc w:val="center"/>
        <w:rPr>
          <w:b/>
          <w:bCs/>
          <w:sz w:val="22"/>
          <w:szCs w:val="22"/>
        </w:rPr>
      </w:pPr>
    </w:p>
    <w:p w:rsidR="00910C22" w:rsidRDefault="00910C22">
      <w:pPr>
        <w:spacing w:line="360" w:lineRule="auto"/>
        <w:jc w:val="center"/>
        <w:rPr>
          <w:b/>
          <w:bCs/>
          <w:sz w:val="22"/>
          <w:szCs w:val="22"/>
        </w:rPr>
      </w:pPr>
    </w:p>
    <w:p w:rsidR="00910C22" w:rsidRDefault="00910C22"/>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p w:rsidR="00B370DA" w:rsidRDefault="00B370DA" w:rsidP="00B370DA">
      <w:pPr>
        <w:pStyle w:val="BodyText"/>
        <w:rPr>
          <w:rFonts w:ascii="Arial" w:hAnsi="Arial" w:cs="Arial"/>
          <w:b/>
          <w:sz w:val="28"/>
          <w:szCs w:val="28"/>
        </w:rPr>
      </w:pPr>
      <w:r>
        <w:rPr>
          <w:rFonts w:ascii="Arial" w:hAnsi="Arial" w:cs="Arial"/>
          <w:b/>
          <w:sz w:val="28"/>
          <w:szCs w:val="28"/>
        </w:rPr>
        <w:t xml:space="preserve">Table of Contents </w:t>
      </w:r>
    </w:p>
    <w:p w:rsidR="00B370DA" w:rsidRDefault="00B370DA" w:rsidP="00B370DA">
      <w:pPr>
        <w:pStyle w:val="BodyText"/>
        <w:rPr>
          <w:rFonts w:ascii="Arial" w:hAnsi="Arial" w:cs="Arial"/>
          <w:b/>
          <w:sz w:val="28"/>
          <w:szCs w:val="28"/>
        </w:rPr>
      </w:pPr>
    </w:p>
    <w:p w:rsidR="00B370DA" w:rsidRDefault="00B85B8A" w:rsidP="00B370DA">
      <w:pPr>
        <w:pStyle w:val="TOC1"/>
        <w:tabs>
          <w:tab w:val="right" w:leader="dot" w:pos="8990"/>
        </w:tabs>
        <w:rPr>
          <w:noProof/>
          <w:sz w:val="24"/>
          <w:szCs w:val="24"/>
        </w:rPr>
      </w:pPr>
      <w:r w:rsidRPr="00B85B8A">
        <w:fldChar w:fldCharType="begin"/>
      </w:r>
      <w:r w:rsidR="00B370DA">
        <w:instrText xml:space="preserve"> TOC \o "1-2" \h \z \u </w:instrText>
      </w:r>
      <w:r w:rsidRPr="00B85B8A">
        <w:fldChar w:fldCharType="separate"/>
      </w:r>
      <w:hyperlink w:anchor="_Toc185926661" w:history="1">
        <w:r w:rsidR="00B370DA">
          <w:rPr>
            <w:rStyle w:val="Hyperlink"/>
            <w:noProof/>
          </w:rPr>
          <w:t>Part A  Justification</w:t>
        </w:r>
        <w:r w:rsidR="00B370DA">
          <w:rPr>
            <w:noProof/>
            <w:webHidden/>
          </w:rPr>
          <w:tab/>
          <w:t>.</w:t>
        </w:r>
        <w:r w:rsidR="00FF6647">
          <w:rPr>
            <w:noProof/>
            <w:webHidden/>
          </w:rPr>
          <w:t>3</w:t>
        </w:r>
      </w:hyperlink>
    </w:p>
    <w:p w:rsidR="00B370DA" w:rsidRDefault="00B85B8A" w:rsidP="00B370DA">
      <w:pPr>
        <w:pStyle w:val="TOC2"/>
        <w:tabs>
          <w:tab w:val="left" w:pos="1152"/>
          <w:tab w:val="right" w:leader="dot" w:pos="8990"/>
        </w:tabs>
        <w:rPr>
          <w:noProof/>
          <w:sz w:val="24"/>
          <w:szCs w:val="24"/>
        </w:rPr>
      </w:pPr>
      <w:hyperlink w:anchor="_Toc185926662" w:history="1">
        <w:r w:rsidR="00B370DA">
          <w:rPr>
            <w:rStyle w:val="Hyperlink"/>
            <w:noProof/>
          </w:rPr>
          <w:t>A.1</w:t>
        </w:r>
        <w:r w:rsidR="00B370DA">
          <w:rPr>
            <w:noProof/>
            <w:sz w:val="24"/>
            <w:szCs w:val="24"/>
          </w:rPr>
          <w:tab/>
        </w:r>
        <w:r w:rsidR="00B370DA">
          <w:rPr>
            <w:rStyle w:val="Hyperlink"/>
            <w:noProof/>
          </w:rPr>
          <w:t>Explanation of Circumstances That Make Collection of Data Necessary</w:t>
        </w:r>
        <w:r w:rsidR="00B370DA">
          <w:rPr>
            <w:noProof/>
            <w:webHidden/>
          </w:rPr>
          <w:tab/>
        </w:r>
        <w:r w:rsidR="00FF6647">
          <w:rPr>
            <w:noProof/>
            <w:webHidden/>
          </w:rPr>
          <w:t>3</w:t>
        </w:r>
      </w:hyperlink>
    </w:p>
    <w:p w:rsidR="00B370DA" w:rsidRDefault="00B85B8A" w:rsidP="00B370DA">
      <w:pPr>
        <w:pStyle w:val="TOC2"/>
        <w:tabs>
          <w:tab w:val="left" w:pos="1152"/>
          <w:tab w:val="right" w:leader="dot" w:pos="8990"/>
        </w:tabs>
        <w:rPr>
          <w:noProof/>
          <w:sz w:val="24"/>
          <w:szCs w:val="24"/>
        </w:rPr>
      </w:pPr>
      <w:hyperlink w:anchor="_Toc185926663" w:history="1">
        <w:r w:rsidR="00B370DA">
          <w:rPr>
            <w:rStyle w:val="Hyperlink"/>
            <w:noProof/>
          </w:rPr>
          <w:t>A.2</w:t>
        </w:r>
        <w:r w:rsidR="00B370DA">
          <w:rPr>
            <w:noProof/>
            <w:sz w:val="24"/>
            <w:szCs w:val="24"/>
          </w:rPr>
          <w:tab/>
        </w:r>
        <w:r w:rsidR="00B370DA">
          <w:rPr>
            <w:rStyle w:val="Hyperlink"/>
            <w:noProof/>
          </w:rPr>
          <w:t>How the Information Will Be Used, By Whom, and For What Purpose</w:t>
        </w:r>
        <w:r w:rsidR="00B370DA">
          <w:rPr>
            <w:noProof/>
            <w:webHidden/>
          </w:rPr>
          <w:tab/>
          <w:t>.</w:t>
        </w:r>
        <w:r w:rsidR="00FF6647">
          <w:rPr>
            <w:noProof/>
            <w:webHidden/>
          </w:rPr>
          <w:t>3</w:t>
        </w:r>
      </w:hyperlink>
    </w:p>
    <w:p w:rsidR="00B370DA" w:rsidRDefault="00B85B8A" w:rsidP="00B370DA">
      <w:pPr>
        <w:pStyle w:val="TOC2"/>
        <w:tabs>
          <w:tab w:val="left" w:pos="1152"/>
          <w:tab w:val="right" w:leader="dot" w:pos="8990"/>
        </w:tabs>
        <w:rPr>
          <w:noProof/>
          <w:sz w:val="24"/>
          <w:szCs w:val="24"/>
        </w:rPr>
      </w:pPr>
      <w:hyperlink w:anchor="_Toc185926664" w:history="1">
        <w:r w:rsidR="00B370DA">
          <w:rPr>
            <w:rStyle w:val="Hyperlink"/>
            <w:noProof/>
          </w:rPr>
          <w:t>A.3</w:t>
        </w:r>
        <w:r w:rsidR="00B370DA">
          <w:rPr>
            <w:noProof/>
            <w:sz w:val="24"/>
            <w:szCs w:val="24"/>
          </w:rPr>
          <w:tab/>
        </w:r>
        <w:r w:rsidR="00B370DA">
          <w:rPr>
            <w:rStyle w:val="Hyperlink"/>
            <w:noProof/>
          </w:rPr>
          <w:t>Use of Improved Information Technology to Reduce Burden</w:t>
        </w:r>
        <w:r w:rsidR="00B370DA">
          <w:rPr>
            <w:noProof/>
            <w:webHidden/>
          </w:rPr>
          <w:tab/>
        </w:r>
        <w:r w:rsidR="00FF6647">
          <w:rPr>
            <w:noProof/>
            <w:webHidden/>
          </w:rPr>
          <w:t>4</w:t>
        </w:r>
      </w:hyperlink>
    </w:p>
    <w:p w:rsidR="00B370DA" w:rsidRDefault="00B85B8A" w:rsidP="00B370DA">
      <w:pPr>
        <w:pStyle w:val="TOC2"/>
        <w:tabs>
          <w:tab w:val="left" w:pos="1152"/>
          <w:tab w:val="right" w:leader="dot" w:pos="8990"/>
        </w:tabs>
        <w:rPr>
          <w:noProof/>
          <w:sz w:val="24"/>
          <w:szCs w:val="24"/>
        </w:rPr>
      </w:pPr>
      <w:hyperlink w:anchor="_Toc185926665" w:history="1">
        <w:r w:rsidR="00B370DA">
          <w:rPr>
            <w:rStyle w:val="Hyperlink"/>
            <w:noProof/>
          </w:rPr>
          <w:t>A.4</w:t>
        </w:r>
        <w:r w:rsidR="00B370DA">
          <w:rPr>
            <w:noProof/>
            <w:sz w:val="24"/>
            <w:szCs w:val="24"/>
          </w:rPr>
          <w:tab/>
        </w:r>
        <w:r w:rsidR="00B370DA">
          <w:rPr>
            <w:rStyle w:val="Hyperlink"/>
            <w:noProof/>
          </w:rPr>
          <w:t>Efforts to Identify and Avoid Duplication</w:t>
        </w:r>
        <w:r w:rsidR="00B370DA">
          <w:rPr>
            <w:noProof/>
            <w:webHidden/>
          </w:rPr>
          <w:tab/>
          <w:t>.</w:t>
        </w:r>
      </w:hyperlink>
      <w:r w:rsidR="00FF6647">
        <w:t>4</w:t>
      </w:r>
    </w:p>
    <w:p w:rsidR="00B370DA" w:rsidRDefault="00B85B8A" w:rsidP="00B370DA">
      <w:pPr>
        <w:pStyle w:val="TOC2"/>
        <w:tabs>
          <w:tab w:val="left" w:pos="1152"/>
          <w:tab w:val="right" w:leader="dot" w:pos="8990"/>
        </w:tabs>
        <w:rPr>
          <w:noProof/>
          <w:sz w:val="24"/>
          <w:szCs w:val="24"/>
        </w:rPr>
      </w:pPr>
      <w:hyperlink w:anchor="_Toc185926666" w:history="1">
        <w:r w:rsidR="00B370DA">
          <w:rPr>
            <w:rStyle w:val="Hyperlink"/>
            <w:noProof/>
          </w:rPr>
          <w:t>A.5</w:t>
        </w:r>
        <w:r w:rsidR="00B370DA">
          <w:rPr>
            <w:noProof/>
            <w:sz w:val="24"/>
            <w:szCs w:val="24"/>
          </w:rPr>
          <w:tab/>
        </w:r>
        <w:r w:rsidR="00B370DA">
          <w:rPr>
            <w:rStyle w:val="Hyperlink"/>
            <w:noProof/>
          </w:rPr>
          <w:t>Efforts to Minimize Burden on Small Businesses or Other Entities</w:t>
        </w:r>
        <w:r w:rsidR="00B370DA">
          <w:rPr>
            <w:noProof/>
            <w:webHidden/>
          </w:rPr>
          <w:tab/>
          <w:t>.</w:t>
        </w:r>
        <w:r w:rsidR="00FF6647">
          <w:rPr>
            <w:noProof/>
            <w:webHidden/>
          </w:rPr>
          <w:t>4</w:t>
        </w:r>
      </w:hyperlink>
    </w:p>
    <w:p w:rsidR="00B370DA" w:rsidRDefault="00B85B8A" w:rsidP="00B370DA">
      <w:pPr>
        <w:pStyle w:val="TOC2"/>
        <w:tabs>
          <w:tab w:val="left" w:pos="1152"/>
          <w:tab w:val="right" w:leader="dot" w:pos="8990"/>
        </w:tabs>
        <w:rPr>
          <w:noProof/>
          <w:sz w:val="24"/>
          <w:szCs w:val="24"/>
        </w:rPr>
      </w:pPr>
      <w:hyperlink w:anchor="_Toc185926667" w:history="1">
        <w:r w:rsidR="00B370DA">
          <w:rPr>
            <w:rStyle w:val="Hyperlink"/>
            <w:noProof/>
          </w:rPr>
          <w:t>A.6</w:t>
        </w:r>
        <w:r w:rsidR="00B370DA">
          <w:rPr>
            <w:noProof/>
            <w:sz w:val="24"/>
            <w:szCs w:val="24"/>
          </w:rPr>
          <w:tab/>
        </w:r>
        <w:r w:rsidR="00B370DA">
          <w:rPr>
            <w:rStyle w:val="Hyperlink"/>
            <w:noProof/>
          </w:rPr>
          <w:t>Consequences of Less Frequent Data Collection</w:t>
        </w:r>
        <w:r w:rsidR="00B370DA">
          <w:rPr>
            <w:noProof/>
            <w:webHidden/>
          </w:rPr>
          <w:tab/>
          <w:t>.</w:t>
        </w:r>
        <w:r w:rsidR="00FF6647">
          <w:rPr>
            <w:noProof/>
            <w:webHidden/>
          </w:rPr>
          <w:t>5</w:t>
        </w:r>
      </w:hyperlink>
    </w:p>
    <w:p w:rsidR="00B370DA" w:rsidRDefault="00B85B8A" w:rsidP="00B370DA">
      <w:pPr>
        <w:pStyle w:val="TOC2"/>
        <w:tabs>
          <w:tab w:val="left" w:pos="1152"/>
          <w:tab w:val="right" w:leader="dot" w:pos="8990"/>
        </w:tabs>
        <w:ind w:left="1152" w:hanging="576"/>
        <w:rPr>
          <w:noProof/>
          <w:sz w:val="24"/>
          <w:szCs w:val="24"/>
        </w:rPr>
      </w:pPr>
      <w:hyperlink w:anchor="_Toc185926668" w:history="1">
        <w:r w:rsidR="00B370DA">
          <w:rPr>
            <w:rStyle w:val="Hyperlink"/>
            <w:noProof/>
          </w:rPr>
          <w:t>A.7</w:t>
        </w:r>
        <w:r w:rsidR="00B370DA">
          <w:rPr>
            <w:noProof/>
            <w:sz w:val="24"/>
            <w:szCs w:val="24"/>
          </w:rPr>
          <w:tab/>
        </w:r>
        <w:r w:rsidR="00B370DA">
          <w:rPr>
            <w:rStyle w:val="Hyperlink"/>
            <w:noProof/>
          </w:rPr>
          <w:t>Special Circumstances Requiring Collection of Information in a Manner Inconsistent with Section 1320.5(d)(2) of the Code of Federal Regulations</w:t>
        </w:r>
        <w:r w:rsidR="00B370DA">
          <w:rPr>
            <w:noProof/>
            <w:webHidden/>
          </w:rPr>
          <w:tab/>
        </w:r>
      </w:hyperlink>
      <w:r w:rsidR="002D6630">
        <w:t>…</w:t>
      </w:r>
      <w:r w:rsidR="00F1459B">
        <w:t>5-6</w:t>
      </w:r>
    </w:p>
    <w:p w:rsidR="00B370DA" w:rsidRDefault="00B85B8A" w:rsidP="00B370DA">
      <w:pPr>
        <w:pStyle w:val="TOC2"/>
        <w:tabs>
          <w:tab w:val="left" w:pos="1152"/>
          <w:tab w:val="right" w:leader="dot" w:pos="8990"/>
        </w:tabs>
        <w:rPr>
          <w:noProof/>
          <w:sz w:val="24"/>
          <w:szCs w:val="24"/>
        </w:rPr>
      </w:pPr>
      <w:hyperlink w:anchor="_Toc185926669" w:history="1">
        <w:r w:rsidR="00B370DA">
          <w:rPr>
            <w:rStyle w:val="Hyperlink"/>
            <w:noProof/>
          </w:rPr>
          <w:t>A.8</w:t>
        </w:r>
        <w:r w:rsidR="00B370DA">
          <w:rPr>
            <w:noProof/>
            <w:sz w:val="24"/>
            <w:szCs w:val="24"/>
          </w:rPr>
          <w:tab/>
        </w:r>
        <w:r w:rsidR="00B370DA">
          <w:rPr>
            <w:rStyle w:val="Hyperlink"/>
            <w:noProof/>
          </w:rPr>
          <w:t>Federal Register Comments and Efforts to Consult with Persons Outside the Agency</w:t>
        </w:r>
        <w:r w:rsidR="00B370DA">
          <w:rPr>
            <w:noProof/>
            <w:webHidden/>
          </w:rPr>
          <w:tab/>
        </w:r>
      </w:hyperlink>
      <w:r w:rsidR="00F1459B">
        <w:t>6-7</w:t>
      </w:r>
    </w:p>
    <w:p w:rsidR="00B370DA" w:rsidRDefault="00B85B8A" w:rsidP="00B370DA">
      <w:pPr>
        <w:pStyle w:val="TOC2"/>
        <w:tabs>
          <w:tab w:val="left" w:pos="1152"/>
          <w:tab w:val="right" w:leader="dot" w:pos="8990"/>
        </w:tabs>
        <w:rPr>
          <w:noProof/>
          <w:sz w:val="24"/>
          <w:szCs w:val="24"/>
        </w:rPr>
      </w:pPr>
      <w:hyperlink w:anchor="_Toc185926670" w:history="1">
        <w:r w:rsidR="00B370DA">
          <w:rPr>
            <w:rStyle w:val="Hyperlink"/>
            <w:noProof/>
          </w:rPr>
          <w:t>A.9</w:t>
        </w:r>
        <w:r w:rsidR="00B370DA">
          <w:rPr>
            <w:noProof/>
            <w:sz w:val="24"/>
            <w:szCs w:val="24"/>
          </w:rPr>
          <w:tab/>
        </w:r>
        <w:r w:rsidR="00B370DA">
          <w:rPr>
            <w:rStyle w:val="Hyperlink"/>
            <w:noProof/>
          </w:rPr>
          <w:t>Payments to Respondents</w:t>
        </w:r>
        <w:r w:rsidR="00B370DA">
          <w:rPr>
            <w:noProof/>
            <w:webHidden/>
          </w:rPr>
          <w:tab/>
          <w:t>.</w:t>
        </w:r>
        <w:r w:rsidR="002D6630">
          <w:rPr>
            <w:noProof/>
            <w:webHidden/>
          </w:rPr>
          <w:t>7</w:t>
        </w:r>
      </w:hyperlink>
    </w:p>
    <w:p w:rsidR="00B370DA" w:rsidRDefault="00B85B8A" w:rsidP="00B370DA">
      <w:pPr>
        <w:pStyle w:val="TOC2"/>
        <w:tabs>
          <w:tab w:val="left" w:pos="1152"/>
          <w:tab w:val="right" w:leader="dot" w:pos="8990"/>
        </w:tabs>
        <w:rPr>
          <w:rStyle w:val="Hyperlink"/>
        </w:rPr>
      </w:pPr>
      <w:hyperlink w:anchor="_Toc185926671" w:history="1">
        <w:r w:rsidR="00B370DA">
          <w:rPr>
            <w:rStyle w:val="Hyperlink"/>
            <w:noProof/>
          </w:rPr>
          <w:t>A.10</w:t>
        </w:r>
        <w:r w:rsidR="00B370DA">
          <w:rPr>
            <w:rStyle w:val="Hyperlink"/>
          </w:rPr>
          <w:tab/>
        </w:r>
        <w:r w:rsidR="00B370DA">
          <w:rPr>
            <w:rStyle w:val="Hyperlink"/>
            <w:noProof/>
          </w:rPr>
          <w:t>Assurance of Confidentiality</w:t>
        </w:r>
        <w:r w:rsidR="00B370DA">
          <w:rPr>
            <w:rStyle w:val="Hyperlink"/>
            <w:webHidden/>
          </w:rPr>
          <w:tab/>
        </w:r>
        <w:r w:rsidR="00FF6647">
          <w:rPr>
            <w:rStyle w:val="Hyperlink"/>
            <w:webHidden/>
          </w:rPr>
          <w:t>7</w:t>
        </w:r>
      </w:hyperlink>
    </w:p>
    <w:p w:rsidR="00B370DA" w:rsidRDefault="00B85B8A" w:rsidP="00B370DA">
      <w:pPr>
        <w:pStyle w:val="TOC2"/>
        <w:tabs>
          <w:tab w:val="left" w:pos="1152"/>
          <w:tab w:val="right" w:leader="dot" w:pos="8990"/>
        </w:tabs>
        <w:rPr>
          <w:rStyle w:val="Hyperlink"/>
        </w:rPr>
      </w:pPr>
      <w:hyperlink w:anchor="_Toc185926672" w:history="1">
        <w:r w:rsidR="00B370DA">
          <w:rPr>
            <w:rStyle w:val="Hyperlink"/>
            <w:noProof/>
          </w:rPr>
          <w:t>A.11</w:t>
        </w:r>
        <w:r w:rsidR="00B370DA">
          <w:rPr>
            <w:rStyle w:val="Hyperlink"/>
          </w:rPr>
          <w:tab/>
        </w:r>
        <w:r w:rsidR="00B370DA">
          <w:rPr>
            <w:rStyle w:val="Hyperlink"/>
            <w:noProof/>
          </w:rPr>
          <w:t>Questions of a Sensitive Nature</w:t>
        </w:r>
        <w:r w:rsidR="00B370DA">
          <w:rPr>
            <w:rStyle w:val="Hyperlink"/>
            <w:webHidden/>
          </w:rPr>
          <w:tab/>
        </w:r>
        <w:r w:rsidR="00FF6647">
          <w:rPr>
            <w:rStyle w:val="Hyperlink"/>
            <w:webHidden/>
          </w:rPr>
          <w:t>7</w:t>
        </w:r>
      </w:hyperlink>
    </w:p>
    <w:p w:rsidR="00B370DA" w:rsidRDefault="00B85B8A" w:rsidP="00B370DA">
      <w:pPr>
        <w:pStyle w:val="TOC2"/>
        <w:tabs>
          <w:tab w:val="left" w:pos="1152"/>
          <w:tab w:val="right" w:leader="dot" w:pos="8990"/>
        </w:tabs>
        <w:rPr>
          <w:rStyle w:val="Hyperlink"/>
        </w:rPr>
      </w:pPr>
      <w:hyperlink w:anchor="_Toc185926673" w:history="1">
        <w:r w:rsidR="00B370DA">
          <w:rPr>
            <w:rStyle w:val="Hyperlink"/>
            <w:noProof/>
          </w:rPr>
          <w:t>A.12</w:t>
        </w:r>
        <w:r w:rsidR="00B370DA">
          <w:rPr>
            <w:rStyle w:val="Hyperlink"/>
          </w:rPr>
          <w:tab/>
        </w:r>
        <w:r w:rsidR="00B370DA">
          <w:rPr>
            <w:rStyle w:val="Hyperlink"/>
            <w:noProof/>
          </w:rPr>
          <w:t>Estimates of Respondent Burden</w:t>
        </w:r>
        <w:r w:rsidR="00B370DA">
          <w:rPr>
            <w:rStyle w:val="Hyperlink"/>
            <w:webHidden/>
          </w:rPr>
          <w:tab/>
        </w:r>
        <w:r w:rsidR="00FF6647">
          <w:rPr>
            <w:rStyle w:val="Hyperlink"/>
            <w:webHidden/>
          </w:rPr>
          <w:t>7-9</w:t>
        </w:r>
      </w:hyperlink>
    </w:p>
    <w:p w:rsidR="00B370DA" w:rsidRDefault="00B85B8A" w:rsidP="00B370DA">
      <w:pPr>
        <w:pStyle w:val="TOC2"/>
        <w:tabs>
          <w:tab w:val="left" w:pos="1152"/>
          <w:tab w:val="right" w:leader="dot" w:pos="8990"/>
        </w:tabs>
        <w:rPr>
          <w:rStyle w:val="Hyperlink"/>
        </w:rPr>
      </w:pPr>
      <w:hyperlink w:anchor="_Toc185926674" w:history="1">
        <w:r w:rsidR="00B370DA">
          <w:rPr>
            <w:rStyle w:val="Hyperlink"/>
            <w:noProof/>
          </w:rPr>
          <w:t>A.13</w:t>
        </w:r>
        <w:r w:rsidR="00B370DA">
          <w:rPr>
            <w:rStyle w:val="Hyperlink"/>
          </w:rPr>
          <w:tab/>
        </w:r>
        <w:r w:rsidR="00B370DA">
          <w:rPr>
            <w:rStyle w:val="Hyperlink"/>
            <w:noProof/>
          </w:rPr>
          <w:t>Estimates of Other Annual Costs to Respondents</w:t>
        </w:r>
        <w:r w:rsidR="00B370DA">
          <w:rPr>
            <w:rStyle w:val="Hyperlink"/>
            <w:webHidden/>
          </w:rPr>
          <w:tab/>
        </w:r>
        <w:r w:rsidR="00FF6647">
          <w:rPr>
            <w:rStyle w:val="Hyperlink"/>
            <w:webHidden/>
          </w:rPr>
          <w:t>9</w:t>
        </w:r>
      </w:hyperlink>
    </w:p>
    <w:p w:rsidR="00B370DA" w:rsidRDefault="00B85B8A" w:rsidP="00B370DA">
      <w:pPr>
        <w:pStyle w:val="TOC2"/>
        <w:tabs>
          <w:tab w:val="left" w:pos="1152"/>
          <w:tab w:val="right" w:leader="dot" w:pos="8990"/>
        </w:tabs>
        <w:rPr>
          <w:rStyle w:val="Hyperlink"/>
        </w:rPr>
      </w:pPr>
      <w:hyperlink w:anchor="_Toc185926675" w:history="1">
        <w:r w:rsidR="00B370DA">
          <w:rPr>
            <w:rStyle w:val="Hyperlink"/>
            <w:noProof/>
          </w:rPr>
          <w:t>A.14</w:t>
        </w:r>
        <w:r w:rsidR="00B370DA">
          <w:rPr>
            <w:rStyle w:val="Hyperlink"/>
          </w:rPr>
          <w:tab/>
        </w:r>
        <w:r w:rsidR="00B370DA">
          <w:rPr>
            <w:rStyle w:val="Hyperlink"/>
            <w:noProof/>
          </w:rPr>
          <w:t>Estimates of Annualized Government Costs</w:t>
        </w:r>
        <w:r w:rsidR="00B370DA">
          <w:rPr>
            <w:rStyle w:val="Hyperlink"/>
            <w:webHidden/>
          </w:rPr>
          <w:tab/>
          <w:t>…….</w:t>
        </w:r>
        <w:r w:rsidR="00FF6647">
          <w:rPr>
            <w:rStyle w:val="Hyperlink"/>
            <w:webHidden/>
          </w:rPr>
          <w:t>9-10</w:t>
        </w:r>
      </w:hyperlink>
    </w:p>
    <w:p w:rsidR="00B370DA" w:rsidRDefault="00B85B8A" w:rsidP="00B370DA">
      <w:pPr>
        <w:pStyle w:val="TOC2"/>
        <w:tabs>
          <w:tab w:val="left" w:pos="1152"/>
          <w:tab w:val="right" w:leader="dot" w:pos="8990"/>
        </w:tabs>
        <w:rPr>
          <w:rStyle w:val="Hyperlink"/>
        </w:rPr>
      </w:pPr>
      <w:hyperlink w:anchor="_Toc185926676" w:history="1">
        <w:r w:rsidR="00B370DA">
          <w:rPr>
            <w:rStyle w:val="Hyperlink"/>
            <w:noProof/>
          </w:rPr>
          <w:t>A.15</w:t>
        </w:r>
        <w:r w:rsidR="00B370DA">
          <w:rPr>
            <w:rStyle w:val="Hyperlink"/>
          </w:rPr>
          <w:tab/>
        </w:r>
        <w:r w:rsidR="00B370DA">
          <w:rPr>
            <w:rStyle w:val="Hyperlink"/>
            <w:noProof/>
          </w:rPr>
          <w:t>Changes in Hour Burden</w:t>
        </w:r>
        <w:r w:rsidR="00B370DA">
          <w:rPr>
            <w:rStyle w:val="Hyperlink"/>
            <w:webHidden/>
          </w:rPr>
          <w:tab/>
        </w:r>
        <w:r w:rsidR="00FF6647">
          <w:rPr>
            <w:rStyle w:val="Hyperlink"/>
            <w:webHidden/>
          </w:rPr>
          <w:t>10</w:t>
        </w:r>
      </w:hyperlink>
    </w:p>
    <w:p w:rsidR="00B370DA" w:rsidRDefault="00B85B8A" w:rsidP="00B370DA">
      <w:pPr>
        <w:pStyle w:val="TOC2"/>
        <w:tabs>
          <w:tab w:val="left" w:pos="1152"/>
          <w:tab w:val="right" w:leader="dot" w:pos="8990"/>
        </w:tabs>
        <w:rPr>
          <w:rStyle w:val="Hyperlink"/>
        </w:rPr>
      </w:pPr>
      <w:hyperlink w:anchor="_Toc185926677" w:history="1">
        <w:r w:rsidR="00B370DA">
          <w:rPr>
            <w:rStyle w:val="Hyperlink"/>
            <w:noProof/>
          </w:rPr>
          <w:t>A.16</w:t>
        </w:r>
        <w:r w:rsidR="00B370DA">
          <w:rPr>
            <w:rStyle w:val="Hyperlink"/>
          </w:rPr>
          <w:tab/>
        </w:r>
        <w:r w:rsidR="00B370DA">
          <w:rPr>
            <w:rStyle w:val="Hyperlink"/>
            <w:noProof/>
          </w:rPr>
          <w:t>Time Schedule, Publication, and Analysis Plans</w:t>
        </w:r>
        <w:r w:rsidR="00B370DA">
          <w:rPr>
            <w:rStyle w:val="Hyperlink"/>
            <w:webHidden/>
          </w:rPr>
          <w:tab/>
        </w:r>
        <w:r w:rsidR="00FF6647">
          <w:rPr>
            <w:rStyle w:val="Hyperlink"/>
            <w:webHidden/>
          </w:rPr>
          <w:t>11</w:t>
        </w:r>
      </w:hyperlink>
    </w:p>
    <w:p w:rsidR="00B370DA" w:rsidRDefault="00B85B8A" w:rsidP="00B370DA">
      <w:pPr>
        <w:pStyle w:val="TOC2"/>
        <w:tabs>
          <w:tab w:val="left" w:pos="1152"/>
          <w:tab w:val="right" w:leader="dot" w:pos="8990"/>
        </w:tabs>
        <w:rPr>
          <w:rStyle w:val="Hyperlink"/>
        </w:rPr>
      </w:pPr>
      <w:hyperlink w:anchor="_Toc185926678" w:history="1">
        <w:r w:rsidR="00B370DA">
          <w:rPr>
            <w:rStyle w:val="Hyperlink"/>
            <w:noProof/>
          </w:rPr>
          <w:t>A.17</w:t>
        </w:r>
        <w:r w:rsidR="00B370DA">
          <w:rPr>
            <w:rStyle w:val="Hyperlink"/>
          </w:rPr>
          <w:tab/>
        </w:r>
        <w:r w:rsidR="00B370DA">
          <w:rPr>
            <w:rStyle w:val="Hyperlink"/>
            <w:noProof/>
          </w:rPr>
          <w:t>Display of Expiration Date for OMB Approval</w:t>
        </w:r>
        <w:r w:rsidR="00B370DA">
          <w:rPr>
            <w:rStyle w:val="Hyperlink"/>
            <w:webHidden/>
          </w:rPr>
          <w:tab/>
          <w:t>……………</w:t>
        </w:r>
        <w:r w:rsidR="00FF6647">
          <w:rPr>
            <w:rStyle w:val="Hyperlink"/>
            <w:webHidden/>
          </w:rPr>
          <w:t>11</w:t>
        </w:r>
      </w:hyperlink>
    </w:p>
    <w:p w:rsidR="00B370DA" w:rsidRDefault="00B85B8A" w:rsidP="00B370DA">
      <w:pPr>
        <w:pStyle w:val="TOC2"/>
        <w:tabs>
          <w:tab w:val="left" w:pos="1152"/>
          <w:tab w:val="right" w:leader="dot" w:pos="8990"/>
        </w:tabs>
        <w:rPr>
          <w:rStyle w:val="Hyperlink"/>
        </w:rPr>
      </w:pPr>
      <w:hyperlink w:anchor="_Toc185926679" w:history="1">
        <w:r w:rsidR="00B370DA">
          <w:rPr>
            <w:rStyle w:val="Hyperlink"/>
            <w:noProof/>
          </w:rPr>
          <w:t>A.18</w:t>
        </w:r>
        <w:r w:rsidR="00B370DA">
          <w:rPr>
            <w:rStyle w:val="Hyperlink"/>
          </w:rPr>
          <w:tab/>
        </w:r>
        <w:r w:rsidR="00B370DA">
          <w:rPr>
            <w:rStyle w:val="Hyperlink"/>
            <w:noProof/>
          </w:rPr>
          <w:t>Exceptions to Certification Statement</w:t>
        </w:r>
        <w:r w:rsidR="00B370DA">
          <w:rPr>
            <w:rStyle w:val="Hyperlink"/>
            <w:webHidden/>
          </w:rPr>
          <w:tab/>
        </w:r>
        <w:r w:rsidR="00FF6647">
          <w:rPr>
            <w:rStyle w:val="Hyperlink"/>
            <w:webHidden/>
          </w:rPr>
          <w:t>11</w:t>
        </w:r>
      </w:hyperlink>
    </w:p>
    <w:p w:rsidR="00B370DA" w:rsidRDefault="00B85B8A" w:rsidP="00B370DA">
      <w:pPr>
        <w:pStyle w:val="BodyText"/>
        <w:tabs>
          <w:tab w:val="left" w:pos="1440"/>
          <w:tab w:val="right" w:leader="dot" w:pos="9000"/>
        </w:tabs>
      </w:pPr>
      <w:r>
        <w:fldChar w:fldCharType="end"/>
      </w:r>
    </w:p>
    <w:p w:rsidR="00B370DA" w:rsidRDefault="00B370DA" w:rsidP="00B370DA">
      <w:pPr>
        <w:pStyle w:val="BodyText"/>
        <w:tabs>
          <w:tab w:val="left" w:pos="1440"/>
          <w:tab w:val="right" w:leader="dot" w:pos="9000"/>
        </w:tabs>
        <w:rPr>
          <w:b/>
        </w:rPr>
      </w:pPr>
    </w:p>
    <w:p w:rsidR="00B370DA" w:rsidRDefault="00B370DA"/>
    <w:p w:rsidR="00B370DA" w:rsidRDefault="00B370DA"/>
    <w:p w:rsidR="000F15B7" w:rsidRDefault="000F15B7"/>
    <w:p w:rsidR="000F15B7" w:rsidRDefault="000F15B7"/>
    <w:p w:rsidR="00B370DA" w:rsidRDefault="00B370DA"/>
    <w:p w:rsidR="00B370DA" w:rsidRDefault="00B370DA"/>
    <w:p w:rsidR="009A1068" w:rsidRDefault="009A1068"/>
    <w:p w:rsidR="009A1068" w:rsidRDefault="009A1068"/>
    <w:p w:rsidR="009A1068" w:rsidRDefault="009A1068"/>
    <w:p w:rsidR="009A1068" w:rsidRDefault="009A1068"/>
    <w:p w:rsidR="009A1068" w:rsidRDefault="009A1068"/>
    <w:p w:rsidR="009A1068" w:rsidRDefault="009A1068"/>
    <w:p w:rsidR="009A1068" w:rsidRDefault="009A1068"/>
    <w:p w:rsidR="009A1068" w:rsidRDefault="009A1068"/>
    <w:p w:rsidR="00B370DA" w:rsidRDefault="00B370DA" w:rsidP="00B370DA">
      <w:pPr>
        <w:pStyle w:val="Title"/>
        <w:spacing w:line="480" w:lineRule="auto"/>
      </w:pPr>
    </w:p>
    <w:p w:rsidR="00B370DA" w:rsidRDefault="00B370DA" w:rsidP="00B370DA">
      <w:pPr>
        <w:pStyle w:val="Heading1"/>
        <w:spacing w:line="480" w:lineRule="auto"/>
      </w:pPr>
      <w:r>
        <w:lastRenderedPageBreak/>
        <w:t>Justification</w:t>
      </w:r>
      <w:r w:rsidR="00B04D67">
        <w:t>- Part A</w:t>
      </w:r>
    </w:p>
    <w:p w:rsidR="00B370DA" w:rsidRDefault="00B370DA" w:rsidP="00B370DA">
      <w:pPr>
        <w:spacing w:line="480" w:lineRule="auto"/>
        <w:rPr>
          <w:b/>
          <w:bCs/>
          <w:u w:val="single"/>
        </w:rPr>
      </w:pPr>
    </w:p>
    <w:p w:rsidR="005A161D" w:rsidRPr="009A3085" w:rsidRDefault="005A161D" w:rsidP="00B44505">
      <w:pPr>
        <w:numPr>
          <w:ilvl w:val="0"/>
          <w:numId w:val="1"/>
        </w:numPr>
        <w:rPr>
          <w:b/>
        </w:rPr>
      </w:pPr>
      <w:r w:rsidRPr="009A308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0000" w:rsidRDefault="0004709A">
      <w:pPr>
        <w:pStyle w:val="BodyTextIndent2"/>
        <w:spacing w:line="240" w:lineRule="auto"/>
      </w:pPr>
    </w:p>
    <w:p w:rsidR="00000000" w:rsidRDefault="005A161D">
      <w:pPr>
        <w:pStyle w:val="BodyTextIndent2"/>
        <w:ind w:left="720"/>
      </w:pPr>
      <w:r>
        <w:t xml:space="preserve">This is a revision of a currently approved data collection.  </w:t>
      </w:r>
      <w:r w:rsidR="00B370DA">
        <w:t xml:space="preserve">The Food and Nutrition Service (FNS) of the U.S. Department of Agriculture is the Federal agency responsible for the Supplemental Nutrition Assistance Program (SNAP).  The Food and Nutrition Act of 2008 (7 U.S.C. 2011-2036), as codified under 7 CFR Parts 278 and 279, requires that the FNS determine the eligibility of retail food stores and certain food service organizations to participate </w:t>
      </w:r>
      <w:r w:rsidR="00FA47EB">
        <w:tab/>
      </w:r>
      <w:r w:rsidR="00B370DA">
        <w:t>in the SNAP.  If a retail or wholesale firm is found to be ineligible by FNS, or is</w:t>
      </w:r>
      <w:r>
        <w:t xml:space="preserve"> </w:t>
      </w:r>
      <w:r w:rsidR="00B370DA">
        <w:t xml:space="preserve">otherwise aggrieved by certain FNS action(s), that firm has the right to file a written request for review of the administrative action with FNS.  </w:t>
      </w:r>
    </w:p>
    <w:p w:rsidR="00000000" w:rsidRDefault="00442D08">
      <w:pPr>
        <w:pStyle w:val="BodyTextIndent"/>
        <w:numPr>
          <w:ilvl w:val="0"/>
          <w:numId w:val="1"/>
        </w:numPr>
        <w:rPr>
          <w:b/>
          <w:bCs/>
        </w:rPr>
      </w:pP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p>
    <w:p w:rsidR="00000000" w:rsidRDefault="0004709A">
      <w:pPr>
        <w:pStyle w:val="BodyTextIndent"/>
        <w:ind w:left="720"/>
      </w:pPr>
    </w:p>
    <w:p w:rsidR="00B370DA" w:rsidRDefault="00B370DA" w:rsidP="006B2301">
      <w:pPr>
        <w:pStyle w:val="BodyTextIndent"/>
        <w:spacing w:line="480" w:lineRule="auto"/>
        <w:ind w:left="720"/>
      </w:pPr>
      <w:r>
        <w:t xml:space="preserve">The Branch Chief of Administrative Review in FNS receives the letter requesting an administrative review and maintains it as part of the official review record.  Once the request is received, the designated </w:t>
      </w:r>
      <w:r w:rsidR="00434980">
        <w:t xml:space="preserve">Review Officer </w:t>
      </w:r>
      <w:r>
        <w:t xml:space="preserve">will adjudicate the appeals process and make a final determination regarding the aggrieved action.  If the request for administrative review includes additional information, the </w:t>
      </w:r>
      <w:r w:rsidR="00434980">
        <w:t xml:space="preserve">Review Officer </w:t>
      </w:r>
      <w:r>
        <w:t xml:space="preserve">will also consider that information along with the official FNS file.  </w:t>
      </w:r>
    </w:p>
    <w:p w:rsidR="006B2301" w:rsidRDefault="006B2301" w:rsidP="006B2301">
      <w:pPr>
        <w:pStyle w:val="BodyTextIndent"/>
        <w:spacing w:line="480" w:lineRule="auto"/>
        <w:ind w:left="720"/>
      </w:pPr>
    </w:p>
    <w:p w:rsidR="00000000" w:rsidRDefault="00442D08">
      <w:pPr>
        <w:pStyle w:val="p5"/>
        <w:numPr>
          <w:ilvl w:val="0"/>
          <w:numId w:val="1"/>
        </w:numPr>
        <w:tabs>
          <w:tab w:val="clear" w:pos="663"/>
          <w:tab w:val="left" w:pos="540"/>
        </w:tabs>
        <w:rPr>
          <w:b/>
          <w:color w:val="000000"/>
        </w:rPr>
      </w:pPr>
      <w:r>
        <w:rPr>
          <w:b/>
          <w:bCs/>
        </w:rPr>
        <w:lastRenderedPageBreak/>
        <w:t xml:space="preserve">  </w:t>
      </w:r>
      <w:r>
        <w:rPr>
          <w:b/>
          <w:bCs/>
        </w:rPr>
        <w:tab/>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0000" w:rsidRDefault="0004709A">
      <w:pPr>
        <w:pStyle w:val="p5"/>
        <w:tabs>
          <w:tab w:val="clear" w:pos="663"/>
          <w:tab w:val="left" w:pos="540"/>
        </w:tabs>
        <w:ind w:left="720" w:firstLine="0"/>
        <w:rPr>
          <w:b/>
          <w:color w:val="000000"/>
        </w:rPr>
      </w:pPr>
    </w:p>
    <w:p w:rsidR="00B370DA" w:rsidRDefault="00B370DA" w:rsidP="00B370DA">
      <w:pPr>
        <w:pStyle w:val="BodyTextIndent"/>
        <w:spacing w:line="480" w:lineRule="auto"/>
        <w:ind w:left="720"/>
      </w:pPr>
      <w:r>
        <w:t xml:space="preserve">FNS makes every effort to comply with </w:t>
      </w:r>
      <w:r w:rsidR="00810639">
        <w:t>E-Government Act, 2002</w:t>
      </w:r>
      <w:r>
        <w:t xml:space="preserve"> by providing electronic submission in lieu of paper where feasible.  </w:t>
      </w:r>
      <w:r w:rsidR="00810639">
        <w:t>Currently, t</w:t>
      </w:r>
      <w:r>
        <w:t>his collection of information does not involve the use of automated electronics</w:t>
      </w:r>
      <w:r w:rsidR="00810639">
        <w:t xml:space="preserve"> to respondent to submit request to FNS and there are no current plans to develop a system for this type of request</w:t>
      </w:r>
      <w:r>
        <w:t>.  The request for administrative review is a</w:t>
      </w:r>
      <w:r w:rsidR="00810639">
        <w:t>n</w:t>
      </w:r>
      <w:r>
        <w:t xml:space="preserve"> </w:t>
      </w:r>
      <w:r w:rsidR="00810639">
        <w:t xml:space="preserve">official </w:t>
      </w:r>
      <w:r>
        <w:t xml:space="preserve">memorandum, provided by the requestor, with an original signature.  </w:t>
      </w:r>
    </w:p>
    <w:p w:rsidR="006B2301" w:rsidRDefault="006B2301" w:rsidP="00B370DA">
      <w:pPr>
        <w:pStyle w:val="BodyTextIndent"/>
        <w:spacing w:line="480" w:lineRule="auto"/>
        <w:ind w:left="720"/>
      </w:pPr>
    </w:p>
    <w:p w:rsidR="00B44505" w:rsidRPr="00B44505" w:rsidRDefault="00B370DA" w:rsidP="00B44505">
      <w:pPr>
        <w:pStyle w:val="BodyTextIndent"/>
        <w:widowControl/>
        <w:numPr>
          <w:ilvl w:val="0"/>
          <w:numId w:val="1"/>
        </w:numPr>
        <w:autoSpaceDE/>
        <w:autoSpaceDN/>
        <w:adjustRightInd/>
        <w:spacing w:after="0"/>
        <w:ind w:hanging="1080"/>
        <w:rPr>
          <w:b/>
          <w:bCs/>
        </w:rPr>
      </w:pPr>
      <w:r>
        <w:rPr>
          <w:b/>
          <w:bCs/>
        </w:rPr>
        <w:t>Describe efforts to identify duplication.</w:t>
      </w:r>
      <w:r w:rsidR="0041324C">
        <w:rPr>
          <w:b/>
          <w:bCs/>
        </w:rPr>
        <w:t xml:space="preserve">  </w:t>
      </w:r>
      <w:r w:rsidR="0041324C" w:rsidRPr="009A3085">
        <w:rPr>
          <w:b/>
        </w:rPr>
        <w:t>Sh</w:t>
      </w:r>
      <w:r w:rsidR="00B44505">
        <w:rPr>
          <w:b/>
        </w:rPr>
        <w:t>ow specifically why any similar</w:t>
      </w:r>
    </w:p>
    <w:p w:rsidR="00B370DA" w:rsidRDefault="0041324C" w:rsidP="00B44505">
      <w:pPr>
        <w:pStyle w:val="BodyTextIndent"/>
        <w:widowControl/>
        <w:autoSpaceDE/>
        <w:autoSpaceDN/>
        <w:adjustRightInd/>
        <w:spacing w:after="0"/>
        <w:ind w:left="720"/>
        <w:rPr>
          <w:b/>
        </w:rPr>
      </w:pPr>
      <w:proofErr w:type="gramStart"/>
      <w:r w:rsidRPr="009A3085">
        <w:rPr>
          <w:b/>
        </w:rPr>
        <w:t>information</w:t>
      </w:r>
      <w:proofErr w:type="gramEnd"/>
      <w:r w:rsidRPr="009A3085">
        <w:rPr>
          <w:b/>
        </w:rPr>
        <w:t xml:space="preserve"> already available cannot be used or modified for use for the purpose described in item 2 above.</w:t>
      </w:r>
    </w:p>
    <w:p w:rsidR="006B2301" w:rsidRDefault="006B2301" w:rsidP="00B44505">
      <w:pPr>
        <w:pStyle w:val="BodyTextIndent"/>
        <w:widowControl/>
        <w:autoSpaceDE/>
        <w:autoSpaceDN/>
        <w:adjustRightInd/>
        <w:spacing w:after="0"/>
        <w:ind w:left="720"/>
        <w:rPr>
          <w:b/>
          <w:bCs/>
        </w:rPr>
      </w:pPr>
    </w:p>
    <w:p w:rsidR="00000000" w:rsidRDefault="00B370DA">
      <w:pPr>
        <w:spacing w:line="480" w:lineRule="auto"/>
        <w:ind w:left="720"/>
      </w:pPr>
      <w:r>
        <w:rPr>
          <w:shd w:val="clear" w:color="auto" w:fill="FFFFFF"/>
        </w:rPr>
        <w:t xml:space="preserve">There is no duplication involved with a request for an administrative review.  </w:t>
      </w:r>
      <w:r w:rsidR="0041324C" w:rsidRPr="0041324C">
        <w:t>FNS solely monitors issuance and administrative reviews of SNAP benefits. The information required for official review is not currently reported to any other entity outside of</w:t>
      </w:r>
      <w:r w:rsidR="0041324C" w:rsidRPr="007A3285">
        <w:rPr>
          <w:rFonts w:ascii="Arial" w:hAnsi="Arial" w:cs="Arial"/>
        </w:rPr>
        <w:t xml:space="preserve"> </w:t>
      </w:r>
      <w:r w:rsidR="0041324C" w:rsidRPr="00D37571">
        <w:t xml:space="preserve">FNS. Every effort has been made to avoid duplication. FNS has reviewed USDA reporting requirements, state administrative agency reporting requirements and special studies by other government and private agencies. </w:t>
      </w:r>
    </w:p>
    <w:p w:rsidR="00000000" w:rsidRDefault="0004709A">
      <w:pPr>
        <w:spacing w:line="480" w:lineRule="auto"/>
        <w:ind w:left="720"/>
      </w:pPr>
    </w:p>
    <w:p w:rsidR="00B370DA" w:rsidRDefault="00B370DA" w:rsidP="006B2301">
      <w:pPr>
        <w:pStyle w:val="BodyTextIndent"/>
        <w:widowControl/>
        <w:numPr>
          <w:ilvl w:val="0"/>
          <w:numId w:val="1"/>
        </w:numPr>
        <w:autoSpaceDE/>
        <w:autoSpaceDN/>
        <w:adjustRightInd/>
        <w:spacing w:after="0"/>
        <w:rPr>
          <w:b/>
          <w:bCs/>
        </w:rPr>
      </w:pPr>
      <w:r>
        <w:rPr>
          <w:b/>
          <w:bCs/>
        </w:rPr>
        <w:t>If the collection of information impacts small businesses or other entities, describe any methods used to minimize burden.</w:t>
      </w:r>
    </w:p>
    <w:p w:rsidR="00000000" w:rsidRDefault="0004709A">
      <w:pPr>
        <w:pStyle w:val="BodyTextIndent"/>
        <w:widowControl/>
        <w:autoSpaceDE/>
        <w:autoSpaceDN/>
        <w:adjustRightInd/>
        <w:spacing w:after="0"/>
        <w:ind w:left="720"/>
        <w:rPr>
          <w:b/>
          <w:bCs/>
        </w:rPr>
      </w:pPr>
    </w:p>
    <w:p w:rsidR="00B370DA" w:rsidRDefault="00434980" w:rsidP="006B2301">
      <w:pPr>
        <w:pStyle w:val="BodyTextIndent"/>
        <w:spacing w:line="480" w:lineRule="auto"/>
        <w:ind w:left="720"/>
      </w:pPr>
      <w:r>
        <w:t xml:space="preserve">This information collection does not adversely impact small business or other small </w:t>
      </w:r>
      <w:r w:rsidR="00B370DA">
        <w:t xml:space="preserve">entities.  A small business is treated like other firms in that only a written </w:t>
      </w:r>
      <w:r w:rsidR="00B370DA">
        <w:lastRenderedPageBreak/>
        <w:t xml:space="preserve">request for an administrative review is needed to obtain an administrative review. </w:t>
      </w:r>
      <w:r w:rsidR="00026427">
        <w:t xml:space="preserve">  Out of the </w:t>
      </w:r>
      <w:r w:rsidR="00C334B8">
        <w:t>897</w:t>
      </w:r>
      <w:r w:rsidR="00026427">
        <w:t xml:space="preserve"> respondents FNS estimates that </w:t>
      </w:r>
      <w:r w:rsidR="00C334B8">
        <w:t xml:space="preserve">approximately 180 </w:t>
      </w:r>
      <w:r w:rsidR="00026427">
        <w:t>are considered small entities.</w:t>
      </w:r>
    </w:p>
    <w:p w:rsidR="00000000" w:rsidRDefault="0004709A">
      <w:pPr>
        <w:pStyle w:val="BodyTextIndent"/>
        <w:spacing w:line="480" w:lineRule="auto"/>
        <w:ind w:left="720"/>
      </w:pPr>
    </w:p>
    <w:p w:rsidR="00000000" w:rsidRDefault="00442D08">
      <w:pPr>
        <w:pStyle w:val="p7"/>
        <w:numPr>
          <w:ilvl w:val="0"/>
          <w:numId w:val="1"/>
        </w:numPr>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000000" w:rsidRDefault="0004709A">
      <w:pPr>
        <w:pStyle w:val="p7"/>
        <w:ind w:left="720" w:firstLine="0"/>
        <w:jc w:val="left"/>
        <w:rPr>
          <w:b/>
          <w:color w:val="000000"/>
        </w:rPr>
      </w:pPr>
    </w:p>
    <w:p w:rsidR="00B370DA" w:rsidRDefault="00B370DA" w:rsidP="00B370DA">
      <w:pPr>
        <w:pStyle w:val="BodyTextIndent"/>
        <w:spacing w:line="480" w:lineRule="auto"/>
        <w:ind w:left="720"/>
      </w:pPr>
      <w:r>
        <w:t xml:space="preserve">Should a firm disagree with </w:t>
      </w:r>
      <w:r w:rsidR="001D120D">
        <w:t xml:space="preserve">an eligibility </w:t>
      </w:r>
      <w:r>
        <w:t xml:space="preserve">decision by FNS, they would initiate a formal request only once.  This request is a means for the respondents to initiate a formal review of the agency’s decision on its determination of ineligibility to participate in the </w:t>
      </w:r>
      <w:r w:rsidR="00434980">
        <w:t xml:space="preserve">SNAP, or </w:t>
      </w:r>
      <w:r>
        <w:t>other certain aggrieved actions taken against the subject firm.</w:t>
      </w:r>
    </w:p>
    <w:p w:rsidR="00B370DA" w:rsidRDefault="00B370DA" w:rsidP="00B370DA">
      <w:pPr>
        <w:pStyle w:val="BodyTextIndent"/>
        <w:spacing w:line="480" w:lineRule="auto"/>
        <w:ind w:left="720"/>
      </w:pPr>
    </w:p>
    <w:p w:rsidR="00B370DA" w:rsidRDefault="00B370DA" w:rsidP="00B370DA">
      <w:pPr>
        <w:pStyle w:val="BodyTextIndent"/>
        <w:spacing w:line="480" w:lineRule="auto"/>
        <w:ind w:left="720"/>
      </w:pPr>
      <w:r>
        <w:t>When a firm agrees with the decision by FNS, there would not be a request for an administrative review.  The decision by FNS would stand in accordance with program policy.</w:t>
      </w:r>
    </w:p>
    <w:p w:rsidR="00D32008" w:rsidRDefault="00D32008" w:rsidP="00B370DA">
      <w:pPr>
        <w:pStyle w:val="BodyTextIndent"/>
        <w:spacing w:line="480" w:lineRule="auto"/>
        <w:ind w:left="720"/>
      </w:pPr>
    </w:p>
    <w:p w:rsidR="00D32008" w:rsidRDefault="00D32008" w:rsidP="00B370DA">
      <w:pPr>
        <w:pStyle w:val="BodyTextIndent"/>
        <w:spacing w:line="480" w:lineRule="auto"/>
        <w:ind w:left="720"/>
      </w:pPr>
      <w:r>
        <w:t>If this colle</w:t>
      </w:r>
      <w:r w:rsidR="00AE1F30">
        <w:t>ction is not conducted, businesses would not get an opportunity to become eligible to participate in SNAP or appeal decisions made by FNS.</w:t>
      </w:r>
    </w:p>
    <w:p w:rsidR="00B370DA" w:rsidRDefault="00B370DA" w:rsidP="00B370DA">
      <w:pPr>
        <w:pStyle w:val="BodyTextIndent"/>
        <w:spacing w:line="480" w:lineRule="auto"/>
      </w:pPr>
    </w:p>
    <w:p w:rsidR="00000000" w:rsidRDefault="00B85B8A">
      <w:pPr>
        <w:pStyle w:val="BodyTextIndent"/>
        <w:widowControl/>
        <w:numPr>
          <w:ilvl w:val="0"/>
          <w:numId w:val="1"/>
        </w:numPr>
        <w:autoSpaceDE/>
        <w:autoSpaceDN/>
        <w:adjustRightInd/>
        <w:spacing w:after="0"/>
        <w:rPr>
          <w:b/>
        </w:rPr>
      </w:pPr>
      <w:r w:rsidRPr="00B85B8A">
        <w:rPr>
          <w:b/>
        </w:rPr>
        <w:t>Explain any special circumstances that would cause an information collecti</w:t>
      </w:r>
      <w:r w:rsidRPr="00B85B8A">
        <w:rPr>
          <w:b/>
        </w:rPr>
        <w:softHyphen/>
        <w:t>on to be con</w:t>
      </w:r>
      <w:r w:rsidRPr="00B85B8A">
        <w:rPr>
          <w:b/>
        </w:rPr>
        <w:softHyphen/>
        <w:t>ducted in a manner:</w:t>
      </w:r>
    </w:p>
    <w:p w:rsidR="00000000" w:rsidRDefault="0004709A">
      <w:pPr>
        <w:widowControl/>
        <w:autoSpaceDE/>
        <w:autoSpaceDN/>
        <w:adjustRightInd/>
        <w:spacing w:after="80"/>
        <w:ind w:left="1170"/>
        <w:rPr>
          <w:b/>
        </w:rPr>
      </w:pPr>
    </w:p>
    <w:p w:rsidR="001D120D" w:rsidRPr="009A3085" w:rsidRDefault="001D120D" w:rsidP="001D120D">
      <w:pPr>
        <w:widowControl/>
        <w:numPr>
          <w:ilvl w:val="0"/>
          <w:numId w:val="4"/>
        </w:numPr>
        <w:tabs>
          <w:tab w:val="clear" w:pos="360"/>
        </w:tabs>
        <w:autoSpaceDE/>
        <w:autoSpaceDN/>
        <w:adjustRightInd/>
        <w:spacing w:after="80"/>
        <w:ind w:left="1170" w:hanging="450"/>
        <w:rPr>
          <w:b/>
        </w:rPr>
      </w:pPr>
      <w:r w:rsidRPr="009A3085">
        <w:rPr>
          <w:b/>
        </w:rPr>
        <w:t>requiring respondents to report informa</w:t>
      </w:r>
      <w:r w:rsidRPr="009A3085">
        <w:rPr>
          <w:b/>
        </w:rPr>
        <w:softHyphen/>
        <w:t>tion to the agency more often than quarterly;</w:t>
      </w:r>
    </w:p>
    <w:p w:rsidR="001D120D" w:rsidRPr="009A3085" w:rsidRDefault="001D120D" w:rsidP="001D120D">
      <w:pPr>
        <w:widowControl/>
        <w:numPr>
          <w:ilvl w:val="0"/>
          <w:numId w:val="5"/>
        </w:numPr>
        <w:tabs>
          <w:tab w:val="clear" w:pos="360"/>
        </w:tabs>
        <w:autoSpaceDE/>
        <w:autoSpaceDN/>
        <w:adjustRightInd/>
        <w:spacing w:after="80"/>
        <w:ind w:left="1170" w:hanging="450"/>
        <w:rPr>
          <w:b/>
        </w:rPr>
      </w:pPr>
      <w:r w:rsidRPr="009A3085">
        <w:rPr>
          <w:b/>
        </w:rPr>
        <w:lastRenderedPageBreak/>
        <w:t>requiring respondents to prepare a writ</w:t>
      </w:r>
      <w:r w:rsidRPr="009A3085">
        <w:rPr>
          <w:b/>
        </w:rPr>
        <w:softHyphen/>
        <w:t>ten response to a collection of infor</w:t>
      </w:r>
      <w:r w:rsidRPr="009A3085">
        <w:rPr>
          <w:b/>
        </w:rPr>
        <w:softHyphen/>
        <w:t>ma</w:t>
      </w:r>
      <w:r w:rsidRPr="009A3085">
        <w:rPr>
          <w:b/>
        </w:rPr>
        <w:softHyphen/>
        <w:t>tion in fewer than 30 days after receipt of it;</w:t>
      </w:r>
    </w:p>
    <w:p w:rsidR="001D120D" w:rsidRPr="009A3085" w:rsidRDefault="001D120D" w:rsidP="001D120D">
      <w:pPr>
        <w:widowControl/>
        <w:numPr>
          <w:ilvl w:val="0"/>
          <w:numId w:val="6"/>
        </w:numPr>
        <w:tabs>
          <w:tab w:val="clear" w:pos="360"/>
        </w:tabs>
        <w:autoSpaceDE/>
        <w:autoSpaceDN/>
        <w:adjustRightInd/>
        <w:spacing w:after="80"/>
        <w:ind w:left="1170" w:hanging="450"/>
        <w:rPr>
          <w:b/>
        </w:rPr>
      </w:pPr>
      <w:r w:rsidRPr="009A3085">
        <w:rPr>
          <w:b/>
        </w:rPr>
        <w:t>requiring respondents to submit more than an original and two copies of any docu</w:t>
      </w:r>
      <w:r w:rsidRPr="009A3085">
        <w:rPr>
          <w:b/>
        </w:rPr>
        <w:softHyphen/>
        <w:t>ment;</w:t>
      </w:r>
    </w:p>
    <w:p w:rsidR="001D120D" w:rsidRPr="009A3085" w:rsidRDefault="001D120D" w:rsidP="001D120D">
      <w:pPr>
        <w:widowControl/>
        <w:numPr>
          <w:ilvl w:val="0"/>
          <w:numId w:val="7"/>
        </w:numPr>
        <w:tabs>
          <w:tab w:val="clear" w:pos="360"/>
        </w:tabs>
        <w:autoSpaceDE/>
        <w:autoSpaceDN/>
        <w:adjustRightInd/>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1D120D" w:rsidRPr="009A3085" w:rsidRDefault="001D120D" w:rsidP="001D120D">
      <w:pPr>
        <w:widowControl/>
        <w:numPr>
          <w:ilvl w:val="0"/>
          <w:numId w:val="8"/>
        </w:numPr>
        <w:tabs>
          <w:tab w:val="clear" w:pos="360"/>
        </w:tabs>
        <w:autoSpaceDE/>
        <w:autoSpaceDN/>
        <w:adjustRightInd/>
        <w:spacing w:after="80"/>
        <w:ind w:left="1170" w:hanging="450"/>
        <w:rPr>
          <w:b/>
        </w:rPr>
      </w:pPr>
      <w:r w:rsidRPr="009A3085">
        <w:rPr>
          <w:b/>
        </w:rPr>
        <w:t>in connection with a statisti</w:t>
      </w:r>
      <w:r w:rsidRPr="009A3085">
        <w:rPr>
          <w:b/>
        </w:rPr>
        <w:softHyphen/>
        <w:t>cal sur</w:t>
      </w:r>
      <w:r w:rsidRPr="009A3085">
        <w:rPr>
          <w:b/>
        </w:rPr>
        <w:softHyphen/>
        <w:t>vey, that is not de</w:t>
      </w:r>
      <w:r w:rsidRPr="009A3085">
        <w:rPr>
          <w:b/>
        </w:rPr>
        <w:softHyphen/>
        <w:t>signed to produce valid and reli</w:t>
      </w:r>
      <w:r w:rsidRPr="009A3085">
        <w:rPr>
          <w:b/>
        </w:rPr>
        <w:softHyphen/>
        <w:t>able results that can be general</w:t>
      </w:r>
      <w:r w:rsidRPr="009A3085">
        <w:rPr>
          <w:b/>
        </w:rPr>
        <w:softHyphen/>
        <w:t>ized to the uni</w:t>
      </w:r>
      <w:r w:rsidRPr="009A3085">
        <w:rPr>
          <w:b/>
        </w:rPr>
        <w:softHyphen/>
        <w:t>verse of study;</w:t>
      </w:r>
    </w:p>
    <w:p w:rsidR="001D120D" w:rsidRPr="009A3085" w:rsidRDefault="001D120D" w:rsidP="001D120D">
      <w:pPr>
        <w:widowControl/>
        <w:numPr>
          <w:ilvl w:val="0"/>
          <w:numId w:val="9"/>
        </w:numPr>
        <w:tabs>
          <w:tab w:val="clear" w:pos="360"/>
        </w:tabs>
        <w:autoSpaceDE/>
        <w:autoSpaceDN/>
        <w:adjustRightInd/>
        <w:spacing w:after="80"/>
        <w:ind w:left="1170" w:hanging="450"/>
        <w:rPr>
          <w:b/>
        </w:rPr>
      </w:pPr>
      <w:r w:rsidRPr="009A3085">
        <w:rPr>
          <w:b/>
        </w:rPr>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1D120D" w:rsidRPr="009A3085" w:rsidRDefault="001D120D" w:rsidP="001D120D">
      <w:pPr>
        <w:widowControl/>
        <w:numPr>
          <w:ilvl w:val="0"/>
          <w:numId w:val="10"/>
        </w:numPr>
        <w:tabs>
          <w:tab w:val="clear" w:pos="360"/>
        </w:tabs>
        <w:autoSpaceDE/>
        <w:autoSpaceDN/>
        <w:adjustRightInd/>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 or</w:t>
      </w:r>
    </w:p>
    <w:p w:rsidR="001D120D" w:rsidRPr="006B2301" w:rsidRDefault="001D120D" w:rsidP="001D120D">
      <w:pPr>
        <w:widowControl/>
        <w:numPr>
          <w:ilvl w:val="0"/>
          <w:numId w:val="11"/>
        </w:numPr>
        <w:tabs>
          <w:tab w:val="clear" w:pos="360"/>
          <w:tab w:val="num" w:pos="648"/>
        </w:tabs>
        <w:autoSpaceDE/>
        <w:autoSpaceDN/>
        <w:adjustRightInd/>
        <w:spacing w:after="80"/>
        <w:ind w:left="1170" w:hanging="450"/>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p>
    <w:p w:rsidR="00000000" w:rsidRDefault="0004709A">
      <w:pPr>
        <w:widowControl/>
        <w:autoSpaceDE/>
        <w:autoSpaceDN/>
        <w:adjustRightInd/>
        <w:spacing w:after="80"/>
        <w:ind w:left="1170"/>
      </w:pPr>
    </w:p>
    <w:p w:rsidR="001D120D" w:rsidRPr="001D120D" w:rsidRDefault="001D120D" w:rsidP="001D120D">
      <w:pPr>
        <w:pStyle w:val="BodyTextIndent"/>
        <w:widowControl/>
        <w:autoSpaceDE/>
        <w:autoSpaceDN/>
        <w:adjustRightInd/>
        <w:spacing w:after="0" w:line="480" w:lineRule="auto"/>
        <w:ind w:left="720"/>
        <w:rPr>
          <w:b/>
          <w:bCs/>
        </w:rPr>
      </w:pPr>
      <w:r w:rsidRPr="001D120D">
        <w:t>There are no special circumstances.  The collection of information is conducted in a manner consistent with the guidelines in 5 CFR 1320.5.</w:t>
      </w:r>
    </w:p>
    <w:p w:rsidR="00B370DA" w:rsidRDefault="00B370DA" w:rsidP="00B370DA">
      <w:pPr>
        <w:pStyle w:val="BodyTextIndent"/>
        <w:spacing w:line="480" w:lineRule="auto"/>
        <w:ind w:left="1080"/>
      </w:pPr>
    </w:p>
    <w:p w:rsidR="00EF5C87" w:rsidRDefault="00B370DA" w:rsidP="00AC6AD2">
      <w:pPr>
        <w:pStyle w:val="BodyTextIndent"/>
        <w:widowControl/>
        <w:numPr>
          <w:ilvl w:val="0"/>
          <w:numId w:val="1"/>
        </w:numPr>
        <w:autoSpaceDE/>
        <w:autoSpaceDN/>
        <w:adjustRightInd/>
        <w:spacing w:after="0"/>
        <w:ind w:left="806"/>
        <w:rPr>
          <w:b/>
        </w:rPr>
      </w:pPr>
      <w:r>
        <w:rPr>
          <w:b/>
          <w:bCs/>
        </w:rPr>
        <w:t xml:space="preserve">  </w:t>
      </w:r>
      <w:r w:rsidR="00EF5C87" w:rsidRPr="00EF5C87">
        <w:rPr>
          <w:b/>
          <w:bCs/>
        </w:rPr>
        <w:t xml:space="preserve">If applicable, provide a copy and identify the date and page number of publication in the </w:t>
      </w:r>
      <w:r w:rsidR="00EF5C87" w:rsidRPr="00EF5C87">
        <w:rPr>
          <w:b/>
          <w:bCs/>
          <w:u w:val="single"/>
        </w:rPr>
        <w:t>Federal Register</w:t>
      </w:r>
      <w:r w:rsidR="00EF5C87" w:rsidRPr="00EF5C87">
        <w:rPr>
          <w:b/>
          <w:bCs/>
        </w:rPr>
        <w:t xml:space="preserve"> of t</w:t>
      </w:r>
      <w:r w:rsidR="00EF5C87" w:rsidRPr="00EF5C87">
        <w:rPr>
          <w:b/>
        </w:rPr>
        <w:t>he agency's notice, soliciting comments on the information collection prior to submission to OMB.   Summarize public comments received in response to that notice and describe actions taken by the agency in response to these comments.</w:t>
      </w:r>
    </w:p>
    <w:p w:rsidR="00000000" w:rsidRDefault="0004709A">
      <w:pPr>
        <w:pStyle w:val="BodyTextIndent"/>
        <w:widowControl/>
        <w:autoSpaceDE/>
        <w:autoSpaceDN/>
        <w:adjustRightInd/>
        <w:spacing w:after="0"/>
        <w:ind w:left="806"/>
        <w:rPr>
          <w:b/>
        </w:rPr>
      </w:pPr>
    </w:p>
    <w:p w:rsidR="00EF5C87" w:rsidRDefault="00EF5C87" w:rsidP="00A61750">
      <w:pPr>
        <w:pStyle w:val="BodyTextIndent"/>
        <w:numPr>
          <w:ilvl w:val="0"/>
          <w:numId w:val="14"/>
        </w:numPr>
        <w:spacing w:line="480" w:lineRule="auto"/>
      </w:pPr>
      <w:r>
        <w:t xml:space="preserve">A 60-day public comment notice was published in the </w:t>
      </w:r>
      <w:r w:rsidRPr="00F72BB3">
        <w:rPr>
          <w:u w:val="single"/>
        </w:rPr>
        <w:t>Federal Register</w:t>
      </w:r>
      <w:r>
        <w:t xml:space="preserve"> on March 23, 2012, at 77 FR 17004, and no public comments were received in response to this notice.</w:t>
      </w:r>
    </w:p>
    <w:p w:rsidR="00EF5C87" w:rsidRPr="00EF5C87" w:rsidRDefault="00EF5C87" w:rsidP="00EF5C87">
      <w:pPr>
        <w:rPr>
          <w:b/>
        </w:rPr>
      </w:pPr>
    </w:p>
    <w:p w:rsidR="00EF5C87" w:rsidRDefault="00EF5C87" w:rsidP="00AC6AD2">
      <w:pPr>
        <w:pStyle w:val="BodyTextIndent2"/>
        <w:spacing w:line="240" w:lineRule="auto"/>
        <w:rPr>
          <w:b/>
        </w:rPr>
      </w:pPr>
      <w:r w:rsidRPr="00EF5C87">
        <w:rPr>
          <w:b/>
        </w:rPr>
        <w:t>Describe efforts to consult with persons outside the agency to obtain their views on the availability of data,</w:t>
      </w:r>
      <w:r w:rsidRPr="009A3085">
        <w:t xml:space="preserve"> </w:t>
      </w:r>
      <w:r w:rsidRPr="00C53111">
        <w:rPr>
          <w:b/>
        </w:rPr>
        <w:t xml:space="preserve">frequency of collection, the clarity of instructions and </w:t>
      </w:r>
      <w:r w:rsidRPr="00C53111">
        <w:rPr>
          <w:b/>
        </w:rPr>
        <w:lastRenderedPageBreak/>
        <w:t xml:space="preserve">recordkeeping, disclosure, or reporting form, and on the data elements to be recorded, disclosed, or reported. </w:t>
      </w:r>
    </w:p>
    <w:p w:rsidR="006B2301" w:rsidRPr="00C53111" w:rsidRDefault="006B2301" w:rsidP="00AC6AD2">
      <w:pPr>
        <w:pStyle w:val="BodyTextIndent2"/>
        <w:spacing w:line="240" w:lineRule="auto"/>
        <w:rPr>
          <w:b/>
        </w:rPr>
      </w:pPr>
    </w:p>
    <w:p w:rsidR="00C53111" w:rsidRPr="005A2224" w:rsidRDefault="00243E94" w:rsidP="00243E94">
      <w:pPr>
        <w:numPr>
          <w:ilvl w:val="0"/>
          <w:numId w:val="14"/>
        </w:numPr>
        <w:spacing w:line="480" w:lineRule="auto"/>
        <w:rPr>
          <w:bCs/>
        </w:rPr>
      </w:pPr>
      <w:r>
        <w:rPr>
          <w:bCs/>
        </w:rPr>
        <w:t>The Food and Nutrition Service (FNS) used a collaborative approach when conducting Meetings with the Administrative Review Officers (AROs) to determine if a formal report or form was needed.  The AROs concluded that, because each response was unique to the individual retailer’s circumstances, no specific form or format was required from respondents requesting Administrative Review action.  The AROs determined that a form would bring greater complexity to the process than necessary.</w:t>
      </w:r>
    </w:p>
    <w:p w:rsidR="00EF5C87" w:rsidRDefault="00EF5C87" w:rsidP="00B370DA">
      <w:pPr>
        <w:pStyle w:val="BodyTextIndent"/>
        <w:spacing w:line="480" w:lineRule="auto"/>
        <w:ind w:left="720"/>
      </w:pPr>
    </w:p>
    <w:p w:rsidR="00000000" w:rsidRDefault="00B370DA">
      <w:pPr>
        <w:pStyle w:val="BodyTextIndent"/>
        <w:widowControl/>
        <w:numPr>
          <w:ilvl w:val="0"/>
          <w:numId w:val="1"/>
        </w:numPr>
        <w:autoSpaceDE/>
        <w:autoSpaceDN/>
        <w:adjustRightInd/>
        <w:spacing w:after="0"/>
        <w:rPr>
          <w:b/>
          <w:bCs/>
        </w:rPr>
      </w:pPr>
      <w:r>
        <w:rPr>
          <w:b/>
          <w:bCs/>
        </w:rPr>
        <w:t>Explain any decision to provide any payment or gift to respondents</w:t>
      </w:r>
      <w:r w:rsidR="00442D08" w:rsidRPr="00942B5F">
        <w:rPr>
          <w:b/>
        </w:rPr>
        <w:t>, other than remuneration of contractors or grantees.</w:t>
      </w:r>
    </w:p>
    <w:p w:rsidR="00000000" w:rsidRDefault="0004709A">
      <w:pPr>
        <w:pStyle w:val="BodyTextIndent"/>
        <w:widowControl/>
        <w:autoSpaceDE/>
        <w:autoSpaceDN/>
        <w:adjustRightInd/>
        <w:spacing w:after="0"/>
        <w:ind w:left="720"/>
        <w:rPr>
          <w:b/>
          <w:bCs/>
        </w:rPr>
      </w:pPr>
    </w:p>
    <w:p w:rsidR="00B370DA" w:rsidRDefault="00B370DA" w:rsidP="00B370DA">
      <w:pPr>
        <w:pStyle w:val="BodyTextIndent"/>
        <w:spacing w:line="480" w:lineRule="auto"/>
        <w:ind w:left="720"/>
      </w:pPr>
      <w:r>
        <w:t>We do not provide any payment or gifts to the respondents for their submission of data or information collection.</w:t>
      </w:r>
    </w:p>
    <w:p w:rsidR="00B370DA" w:rsidRDefault="00B370DA" w:rsidP="00B370DA">
      <w:pPr>
        <w:pStyle w:val="BodyTextIndent"/>
        <w:spacing w:line="480" w:lineRule="auto"/>
        <w:ind w:left="720"/>
      </w:pPr>
    </w:p>
    <w:p w:rsidR="00000000" w:rsidRDefault="00442D08">
      <w:pPr>
        <w:pStyle w:val="ListParagraph"/>
        <w:widowControl/>
        <w:numPr>
          <w:ilvl w:val="0"/>
          <w:numId w:val="1"/>
        </w:numPr>
        <w:autoSpaceDE/>
        <w:autoSpaceDN/>
        <w:adjustRightInd/>
        <w:rPr>
          <w:b/>
        </w:rPr>
      </w:pPr>
      <w:r w:rsidRPr="00942B5F">
        <w:rPr>
          <w:b/>
        </w:rPr>
        <w:t>Describe any assurance of confidentiality provided to respondents and the basis for</w:t>
      </w:r>
      <w:r>
        <w:rPr>
          <w:b/>
        </w:rPr>
        <w:t xml:space="preserve"> </w:t>
      </w:r>
      <w:r w:rsidRPr="00942B5F">
        <w:rPr>
          <w:b/>
        </w:rPr>
        <w:t>the assurance in statute, regulation, or agency policy.</w:t>
      </w:r>
    </w:p>
    <w:p w:rsidR="00000000" w:rsidRDefault="0004709A">
      <w:pPr>
        <w:pStyle w:val="ListParagraph"/>
        <w:widowControl/>
        <w:autoSpaceDE/>
        <w:autoSpaceDN/>
        <w:adjustRightInd/>
        <w:rPr>
          <w:b/>
        </w:rPr>
      </w:pPr>
    </w:p>
    <w:p w:rsidR="00B370DA" w:rsidRDefault="001B2F8E" w:rsidP="00442D08">
      <w:pPr>
        <w:pStyle w:val="BodyTextIndent"/>
        <w:spacing w:line="480" w:lineRule="auto"/>
        <w:ind w:left="720"/>
      </w:pPr>
      <w:r w:rsidRPr="0085782F">
        <w:t>The Privacy Act requires that before personal identifying information (such as SSN or EIN) may be shared with other entities, a Privacy Notice must first be published.  FNS published such a Privacy Act notice (System of Records</w:t>
      </w:r>
      <w:r w:rsidR="0085782F">
        <w:t xml:space="preserve"> (SORNs</w:t>
      </w:r>
      <w:r w:rsidRPr="0085782F">
        <w:t>) to specify the uses to be made of the informa</w:t>
      </w:r>
      <w:r w:rsidR="0085782F">
        <w:t>tion in this collection.  This n</w:t>
      </w:r>
      <w:r w:rsidRPr="0085782F">
        <w:t xml:space="preserve">otice was </w:t>
      </w:r>
      <w:r w:rsidR="0085782F">
        <w:t xml:space="preserve">titled </w:t>
      </w:r>
      <w:r w:rsidR="0085782F" w:rsidRPr="00DA3D5A">
        <w:t>USDA/</w:t>
      </w:r>
      <w:r w:rsidR="0085782F" w:rsidRPr="00DA3D5A">
        <w:rPr>
          <w:rStyle w:val="Strong"/>
          <w:b w:val="0"/>
        </w:rPr>
        <w:t>FNS</w:t>
      </w:r>
      <w:r w:rsidR="0085782F" w:rsidRPr="00DA3D5A">
        <w:t xml:space="preserve">-9 </w:t>
      </w:r>
      <w:r w:rsidR="00C62D94">
        <w:t xml:space="preserve">Supplemental Nutrition Assistance </w:t>
      </w:r>
      <w:r w:rsidR="0085782F">
        <w:t>Program Retailer Information</w:t>
      </w:r>
      <w:r w:rsidR="00DA3D5A">
        <w:t xml:space="preserve"> </w:t>
      </w:r>
      <w:r w:rsidRPr="0085782F">
        <w:t xml:space="preserve">published in the Federal Register </w:t>
      </w:r>
      <w:r w:rsidR="00D93C98">
        <w:t>on December 27, 2010, Volume 75, Number 247, and is located on pages 81205-81209.</w:t>
      </w:r>
      <w:r w:rsidR="0085782F">
        <w:rPr>
          <w:rFonts w:ascii="Arial" w:hAnsi="Arial" w:cs="Arial"/>
          <w:sz w:val="22"/>
          <w:szCs w:val="22"/>
        </w:rPr>
        <w:t xml:space="preserve"> </w:t>
      </w:r>
      <w:r w:rsidR="00B370DA">
        <w:t xml:space="preserve">The request for </w:t>
      </w:r>
      <w:r w:rsidR="00B370DA">
        <w:lastRenderedPageBreak/>
        <w:t xml:space="preserve">an administrative review is considered to be a </w:t>
      </w:r>
      <w:r w:rsidR="0085782F">
        <w:t xml:space="preserve">private </w:t>
      </w:r>
      <w:r w:rsidR="00B370DA">
        <w:t xml:space="preserve">part of the firm’s FNS record, protected by the Supplemental Nutrition Assistance Program regulations and the Privacy Act. </w:t>
      </w:r>
    </w:p>
    <w:p w:rsidR="00266E65" w:rsidRDefault="00266E65" w:rsidP="00B370DA">
      <w:pPr>
        <w:pStyle w:val="BodyTextIndent"/>
        <w:spacing w:line="480" w:lineRule="auto"/>
        <w:ind w:left="720"/>
      </w:pPr>
    </w:p>
    <w:p w:rsidR="00266E65" w:rsidRDefault="00266E65" w:rsidP="00B370DA">
      <w:pPr>
        <w:pStyle w:val="BodyTextIndent"/>
        <w:spacing w:line="480" w:lineRule="auto"/>
        <w:ind w:left="720"/>
      </w:pPr>
      <w:r>
        <w:t>The following personal information regarding owners and officers is contained in the system:  Name, home address, Social Security Number (SSN)</w:t>
      </w:r>
      <w:r w:rsidR="00B74754">
        <w:t xml:space="preserve"> or Employer</w:t>
      </w:r>
      <w:r>
        <w:t xml:space="preserve"> Identification Number (EIN), and date of birth (DOB).  </w:t>
      </w:r>
      <w:r w:rsidR="0025775C">
        <w:t>The SSNs/EINs are collected only from owners of sole proprietorships, partnerships, principal shareholders of private corporations, and officers of cooperatives.  Financial date (i.e., food sales, gross sales, and SNAP data) relative to each business entity currently authorized or previously authorized is also included in the STARS database.</w:t>
      </w:r>
    </w:p>
    <w:p w:rsidR="0025775C" w:rsidRDefault="0025775C" w:rsidP="00B370DA">
      <w:pPr>
        <w:pStyle w:val="BodyTextIndent"/>
        <w:spacing w:line="480" w:lineRule="auto"/>
        <w:ind w:left="720"/>
      </w:pPr>
    </w:p>
    <w:p w:rsidR="0025775C" w:rsidRDefault="0025775C" w:rsidP="00B370DA">
      <w:pPr>
        <w:pStyle w:val="BodyTextIndent"/>
        <w:spacing w:line="480" w:lineRule="auto"/>
        <w:ind w:left="720"/>
      </w:pPr>
      <w:r>
        <w:t>Section 9 of the Act, U.S.C. 2018, authorizes collection of the information on the application.  Section 278.1(b) of the SNAP regulations provides for the collection of the owners’ SSN/EIN and tax information.</w:t>
      </w:r>
    </w:p>
    <w:p w:rsidR="00B370DA" w:rsidRDefault="00B370DA" w:rsidP="00B370DA">
      <w:pPr>
        <w:pStyle w:val="BodyTextIndent"/>
        <w:spacing w:line="480" w:lineRule="auto"/>
        <w:ind w:left="720"/>
      </w:pPr>
    </w:p>
    <w:p w:rsidR="00000000" w:rsidRDefault="006B2301">
      <w:pPr>
        <w:pStyle w:val="BodyTextIndent"/>
        <w:numPr>
          <w:ilvl w:val="0"/>
          <w:numId w:val="1"/>
        </w:numPr>
        <w:rPr>
          <w:b/>
          <w:bCs/>
        </w:rPr>
      </w:pPr>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0000" w:rsidRDefault="0004709A">
      <w:pPr>
        <w:pStyle w:val="BodyTextIndent"/>
        <w:ind w:left="720"/>
        <w:rPr>
          <w:b/>
          <w:bCs/>
        </w:rPr>
      </w:pPr>
    </w:p>
    <w:p w:rsidR="00B370DA" w:rsidRDefault="00B370DA" w:rsidP="006B2301">
      <w:pPr>
        <w:pStyle w:val="BodyTextIndent"/>
        <w:spacing w:line="480" w:lineRule="auto"/>
        <w:ind w:left="720"/>
        <w:rPr>
          <w:bCs/>
        </w:rPr>
      </w:pPr>
      <w:r>
        <w:rPr>
          <w:bCs/>
        </w:rPr>
        <w:t xml:space="preserve">There are no questions of a sensitive nature required to be included in a request </w:t>
      </w:r>
      <w:r>
        <w:rPr>
          <w:bCs/>
        </w:rPr>
        <w:lastRenderedPageBreak/>
        <w:t>for an administrative review.</w:t>
      </w:r>
    </w:p>
    <w:p w:rsidR="00B370DA" w:rsidRPr="00722F6D" w:rsidRDefault="00B370DA" w:rsidP="00B370DA">
      <w:pPr>
        <w:pStyle w:val="BodyTextIndent"/>
        <w:spacing w:line="480" w:lineRule="auto"/>
        <w:ind w:left="720"/>
        <w:rPr>
          <w:bCs/>
        </w:rPr>
      </w:pPr>
    </w:p>
    <w:p w:rsidR="00000000" w:rsidRDefault="006B2301">
      <w:pPr>
        <w:pStyle w:val="ListParagraph"/>
        <w:widowControl/>
        <w:numPr>
          <w:ilvl w:val="0"/>
          <w:numId w:val="1"/>
        </w:numPr>
        <w:rPr>
          <w:b/>
        </w:rPr>
      </w:pPr>
      <w:r w:rsidRPr="00942B5F">
        <w:rPr>
          <w:b/>
        </w:rPr>
        <w:t>Provide estimates of the hour burden of the collection of information.  The statement should include:</w:t>
      </w:r>
    </w:p>
    <w:p w:rsidR="00000000" w:rsidRDefault="0004709A">
      <w:pPr>
        <w:pStyle w:val="ListParagraph"/>
        <w:widowControl/>
        <w:ind w:left="540"/>
        <w:rPr>
          <w:b/>
        </w:rPr>
      </w:pPr>
    </w:p>
    <w:p w:rsidR="00000000" w:rsidRDefault="006B2301">
      <w:pPr>
        <w:pStyle w:val="ListParagraph"/>
        <w:widowControl/>
        <w:numPr>
          <w:ilvl w:val="0"/>
          <w:numId w:val="19"/>
        </w:numPr>
        <w:rPr>
          <w:b/>
        </w:rPr>
      </w:pPr>
      <w:r w:rsidRPr="00942B5F">
        <w:rPr>
          <w:b/>
        </w:rPr>
        <w:t>Indicate the number of respondents, frequency o</w:t>
      </w:r>
      <w:r>
        <w:rPr>
          <w:b/>
        </w:rPr>
        <w:t>f response, annual hour burden</w:t>
      </w:r>
      <w:proofErr w:type="gramStart"/>
      <w:r>
        <w:rPr>
          <w:b/>
        </w:rPr>
        <w:t xml:space="preserve">,  </w:t>
      </w:r>
      <w:r w:rsidRPr="00942B5F">
        <w:rPr>
          <w:b/>
        </w:rPr>
        <w:t>and</w:t>
      </w:r>
      <w:proofErr w:type="gramEnd"/>
      <w:r w:rsidRPr="00942B5F">
        <w:rPr>
          <w:b/>
        </w:rPr>
        <w:t xml:space="preserve"> an explanation of how the burden was estimated.  If this request for approval covers more than one form, provide separate hour burned estimates for each form and aggregate the hour burdens in Item 13 of OMB Form 83-I.</w:t>
      </w:r>
    </w:p>
    <w:p w:rsidR="00000000" w:rsidRDefault="0004709A">
      <w:pPr>
        <w:pStyle w:val="ListParagraph"/>
        <w:widowControl/>
        <w:ind w:left="1080"/>
        <w:rPr>
          <w:b/>
        </w:rPr>
      </w:pPr>
    </w:p>
    <w:p w:rsidR="00B370DA" w:rsidRDefault="00B370DA" w:rsidP="00B370DA">
      <w:pPr>
        <w:pStyle w:val="BodyTextIndent"/>
        <w:spacing w:line="480" w:lineRule="auto"/>
        <w:ind w:left="720"/>
      </w:pPr>
      <w:r>
        <w:t xml:space="preserve">The estimated number of respondents is </w:t>
      </w:r>
      <w:r w:rsidR="00434980">
        <w:t>897</w:t>
      </w:r>
      <w:r>
        <w:t>.  There are 1.2 responses per respondent, and it is estimated that a response will take an average of 0.17 hours.  The total annual reporting burden is estimated at 183 hours.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872"/>
        <w:gridCol w:w="1505"/>
        <w:gridCol w:w="1435"/>
        <w:gridCol w:w="1515"/>
      </w:tblGrid>
      <w:tr w:rsidR="00B370DA" w:rsidRPr="00F0122D" w:rsidTr="00B04D67">
        <w:trPr>
          <w:trHeight w:val="722"/>
        </w:trPr>
        <w:tc>
          <w:tcPr>
            <w:tcW w:w="1415" w:type="dxa"/>
          </w:tcPr>
          <w:p w:rsidR="00B370DA" w:rsidRPr="00F0122D" w:rsidRDefault="00B370DA" w:rsidP="00AE1F30">
            <w:pPr>
              <w:pStyle w:val="BodyTextIndent"/>
              <w:jc w:val="center"/>
              <w:rPr>
                <w:bCs/>
                <w:sz w:val="22"/>
                <w:szCs w:val="22"/>
              </w:rPr>
            </w:pPr>
            <w:r w:rsidRPr="00F0122D">
              <w:rPr>
                <w:bCs/>
                <w:sz w:val="22"/>
                <w:szCs w:val="22"/>
              </w:rPr>
              <w:t>No. of Respondents</w:t>
            </w:r>
          </w:p>
        </w:tc>
        <w:tc>
          <w:tcPr>
            <w:tcW w:w="1966" w:type="dxa"/>
          </w:tcPr>
          <w:p w:rsidR="00B370DA" w:rsidRPr="00F0122D" w:rsidRDefault="00B370DA" w:rsidP="00AE1F30">
            <w:pPr>
              <w:pStyle w:val="BodyTextIndent"/>
              <w:jc w:val="center"/>
              <w:rPr>
                <w:bCs/>
                <w:sz w:val="22"/>
                <w:szCs w:val="22"/>
              </w:rPr>
            </w:pPr>
            <w:r w:rsidRPr="00F0122D">
              <w:rPr>
                <w:bCs/>
                <w:sz w:val="22"/>
                <w:szCs w:val="22"/>
              </w:rPr>
              <w:t>No. of Responses per Respondent</w:t>
            </w:r>
          </w:p>
        </w:tc>
        <w:tc>
          <w:tcPr>
            <w:tcW w:w="1479" w:type="dxa"/>
          </w:tcPr>
          <w:p w:rsidR="00B370DA" w:rsidRPr="00F0122D" w:rsidRDefault="00B370DA" w:rsidP="00AE1F30">
            <w:pPr>
              <w:pStyle w:val="BodyTextIndent"/>
              <w:jc w:val="center"/>
              <w:rPr>
                <w:bCs/>
                <w:sz w:val="22"/>
                <w:szCs w:val="22"/>
              </w:rPr>
            </w:pPr>
            <w:r w:rsidRPr="00F0122D">
              <w:rPr>
                <w:bCs/>
                <w:sz w:val="22"/>
                <w:szCs w:val="22"/>
              </w:rPr>
              <w:t>Total Annual Responses</w:t>
            </w:r>
          </w:p>
        </w:tc>
        <w:tc>
          <w:tcPr>
            <w:tcW w:w="1440" w:type="dxa"/>
          </w:tcPr>
          <w:p w:rsidR="00B370DA" w:rsidRPr="00F0122D" w:rsidRDefault="00B370DA" w:rsidP="00AE1F30">
            <w:pPr>
              <w:pStyle w:val="BodyTextIndent"/>
              <w:jc w:val="center"/>
              <w:rPr>
                <w:bCs/>
                <w:sz w:val="22"/>
                <w:szCs w:val="22"/>
              </w:rPr>
            </w:pPr>
            <w:r w:rsidRPr="00F0122D">
              <w:rPr>
                <w:bCs/>
                <w:sz w:val="22"/>
                <w:szCs w:val="22"/>
              </w:rPr>
              <w:t>Hours per Response</w:t>
            </w:r>
          </w:p>
        </w:tc>
        <w:tc>
          <w:tcPr>
            <w:tcW w:w="1620" w:type="dxa"/>
          </w:tcPr>
          <w:p w:rsidR="00B370DA" w:rsidRPr="00F0122D" w:rsidRDefault="00B370DA" w:rsidP="00AE1F30">
            <w:pPr>
              <w:pStyle w:val="BodyTextIndent"/>
              <w:jc w:val="center"/>
              <w:rPr>
                <w:bCs/>
                <w:sz w:val="22"/>
                <w:szCs w:val="22"/>
              </w:rPr>
            </w:pPr>
            <w:r w:rsidRPr="00F0122D">
              <w:rPr>
                <w:bCs/>
                <w:sz w:val="22"/>
                <w:szCs w:val="22"/>
              </w:rPr>
              <w:t>Total Annual Burden</w:t>
            </w:r>
          </w:p>
        </w:tc>
      </w:tr>
      <w:tr w:rsidR="00B370DA" w:rsidRPr="00F0122D" w:rsidTr="00B04D67">
        <w:tc>
          <w:tcPr>
            <w:tcW w:w="1415" w:type="dxa"/>
          </w:tcPr>
          <w:p w:rsidR="00B370DA" w:rsidRPr="00F0122D" w:rsidRDefault="00B370DA" w:rsidP="00B04D67">
            <w:pPr>
              <w:pStyle w:val="BodyTextIndent"/>
              <w:spacing w:line="480" w:lineRule="auto"/>
              <w:jc w:val="center"/>
              <w:rPr>
                <w:bCs/>
                <w:sz w:val="22"/>
                <w:szCs w:val="22"/>
              </w:rPr>
            </w:pPr>
            <w:r w:rsidRPr="00F0122D">
              <w:rPr>
                <w:bCs/>
                <w:sz w:val="22"/>
                <w:szCs w:val="22"/>
              </w:rPr>
              <w:t>897</w:t>
            </w:r>
          </w:p>
        </w:tc>
        <w:tc>
          <w:tcPr>
            <w:tcW w:w="1966" w:type="dxa"/>
          </w:tcPr>
          <w:p w:rsidR="00B370DA" w:rsidRPr="00F0122D" w:rsidRDefault="00B370DA" w:rsidP="00B04D67">
            <w:pPr>
              <w:pStyle w:val="BodyTextIndent"/>
              <w:spacing w:line="480" w:lineRule="auto"/>
              <w:jc w:val="center"/>
              <w:rPr>
                <w:bCs/>
                <w:sz w:val="22"/>
                <w:szCs w:val="22"/>
              </w:rPr>
            </w:pPr>
            <w:r w:rsidRPr="00F0122D">
              <w:rPr>
                <w:bCs/>
                <w:sz w:val="22"/>
                <w:szCs w:val="22"/>
              </w:rPr>
              <w:t>1.2</w:t>
            </w:r>
          </w:p>
        </w:tc>
        <w:tc>
          <w:tcPr>
            <w:tcW w:w="1479" w:type="dxa"/>
          </w:tcPr>
          <w:p w:rsidR="00B370DA" w:rsidRPr="00F0122D" w:rsidRDefault="00B370DA" w:rsidP="00B04D67">
            <w:pPr>
              <w:pStyle w:val="BodyTextIndent"/>
              <w:spacing w:line="480" w:lineRule="auto"/>
              <w:jc w:val="center"/>
              <w:rPr>
                <w:bCs/>
                <w:sz w:val="22"/>
                <w:szCs w:val="22"/>
              </w:rPr>
            </w:pPr>
            <w:r w:rsidRPr="00F0122D">
              <w:rPr>
                <w:bCs/>
                <w:sz w:val="22"/>
                <w:szCs w:val="22"/>
              </w:rPr>
              <w:t>1,076.4</w:t>
            </w:r>
          </w:p>
        </w:tc>
        <w:tc>
          <w:tcPr>
            <w:tcW w:w="1440" w:type="dxa"/>
          </w:tcPr>
          <w:p w:rsidR="00B370DA" w:rsidRPr="00F0122D" w:rsidRDefault="00B370DA" w:rsidP="00B04D67">
            <w:pPr>
              <w:pStyle w:val="BodyTextIndent"/>
              <w:spacing w:line="480" w:lineRule="auto"/>
              <w:jc w:val="center"/>
              <w:rPr>
                <w:bCs/>
                <w:sz w:val="22"/>
                <w:szCs w:val="22"/>
              </w:rPr>
            </w:pPr>
            <w:r w:rsidRPr="00F0122D">
              <w:rPr>
                <w:bCs/>
                <w:sz w:val="22"/>
                <w:szCs w:val="22"/>
              </w:rPr>
              <w:t>0.17</w:t>
            </w:r>
          </w:p>
        </w:tc>
        <w:tc>
          <w:tcPr>
            <w:tcW w:w="1620" w:type="dxa"/>
          </w:tcPr>
          <w:p w:rsidR="00B370DA" w:rsidRPr="00F0122D" w:rsidRDefault="00B370DA" w:rsidP="00B04D67">
            <w:pPr>
              <w:pStyle w:val="BodyTextIndent"/>
              <w:spacing w:line="480" w:lineRule="auto"/>
              <w:jc w:val="center"/>
              <w:rPr>
                <w:bCs/>
                <w:sz w:val="22"/>
                <w:szCs w:val="22"/>
              </w:rPr>
            </w:pPr>
            <w:r w:rsidRPr="00F0122D">
              <w:rPr>
                <w:bCs/>
                <w:sz w:val="22"/>
                <w:szCs w:val="22"/>
              </w:rPr>
              <w:t>183</w:t>
            </w:r>
          </w:p>
        </w:tc>
      </w:tr>
    </w:tbl>
    <w:p w:rsidR="00B370DA" w:rsidRPr="008B6E8B" w:rsidRDefault="00B370DA" w:rsidP="00B370DA">
      <w:pPr>
        <w:pStyle w:val="BodyTextIndent"/>
        <w:spacing w:line="480" w:lineRule="auto"/>
        <w:ind w:left="720"/>
        <w:rPr>
          <w:b/>
        </w:rPr>
      </w:pPr>
    </w:p>
    <w:p w:rsidR="00000000" w:rsidRDefault="00B370DA">
      <w:pPr>
        <w:pStyle w:val="BodyTextIndent"/>
        <w:numPr>
          <w:ilvl w:val="0"/>
          <w:numId w:val="19"/>
        </w:numPr>
        <w:rPr>
          <w:b/>
          <w:bCs/>
        </w:rPr>
      </w:pPr>
      <w:r>
        <w:rPr>
          <w:b/>
          <w:bCs/>
        </w:rPr>
        <w:t>Provide estimates of annualized cost to respondents for the hour burdens for collections of information, identifying and using appropriate wage rate categories.</w:t>
      </w:r>
    </w:p>
    <w:p w:rsidR="00000000" w:rsidRDefault="0004709A">
      <w:pPr>
        <w:pStyle w:val="BodyTextIndent"/>
        <w:ind w:left="1080"/>
        <w:rPr>
          <w:b/>
          <w:bCs/>
        </w:rPr>
      </w:pPr>
    </w:p>
    <w:p w:rsidR="00B370DA" w:rsidRDefault="00B370DA" w:rsidP="00B370DA">
      <w:pPr>
        <w:pStyle w:val="BodyTextIndent"/>
        <w:spacing w:line="480" w:lineRule="auto"/>
        <w:ind w:left="720"/>
      </w:pPr>
      <w:r>
        <w:t>There are no forms involved.  The respondent simply writes a letter requesting an administrative review.  Their cost should be approximately $</w:t>
      </w:r>
      <w:r w:rsidR="00434980">
        <w:t xml:space="preserve">55.04 </w:t>
      </w:r>
      <w:r>
        <w:t>per hour with a total annual cost to retailers estimated to be $</w:t>
      </w:r>
      <w:r w:rsidR="00434980">
        <w:t xml:space="preserve">10,061 </w:t>
      </w:r>
      <w:r>
        <w:t>(General and Operations Managers @ $</w:t>
      </w:r>
      <w:r w:rsidR="00434980">
        <w:t xml:space="preserve">55.04 </w:t>
      </w:r>
      <w:r>
        <w:t>per hour x 0.17 = $</w:t>
      </w:r>
      <w:r w:rsidR="00434980">
        <w:t xml:space="preserve">9.35 </w:t>
      </w:r>
      <w:r>
        <w:t>x 1,076 Annual Responses = $</w:t>
      </w:r>
      <w:r w:rsidR="00434980">
        <w:t>10,060.60</w:t>
      </w:r>
      <w:r>
        <w:t>).</w:t>
      </w:r>
    </w:p>
    <w:p w:rsidR="00B370DA" w:rsidRDefault="00B370DA" w:rsidP="00B370DA">
      <w:pPr>
        <w:pStyle w:val="BodyTextIndent"/>
        <w:spacing w:line="480" w:lineRule="auto"/>
        <w:ind w:left="720"/>
      </w:pPr>
    </w:p>
    <w:p w:rsidR="00434980" w:rsidRDefault="00B370DA" w:rsidP="00B370DA">
      <w:pPr>
        <w:pStyle w:val="BodyTextIndent"/>
        <w:spacing w:line="480" w:lineRule="auto"/>
        <w:ind w:left="720"/>
      </w:pPr>
      <w:r>
        <w:lastRenderedPageBreak/>
        <w:t>For hourly cost estimation, we went to the Bureau of Labor Statistics (BLS) website a</w:t>
      </w:r>
      <w:r w:rsidR="00434980">
        <w:t xml:space="preserve">t </w:t>
      </w:r>
      <w:hyperlink r:id="rId8" w:history="1">
        <w:r w:rsidR="00434980" w:rsidRPr="007C394C">
          <w:rPr>
            <w:rStyle w:val="Hyperlink"/>
          </w:rPr>
          <w:t>www.bls.gov/oes/</w:t>
        </w:r>
      </w:hyperlink>
      <w:r w:rsidR="00434980">
        <w:t xml:space="preserve"> and </w:t>
      </w:r>
      <w:hyperlink r:id="rId9" w:history="1">
        <w:r w:rsidR="00434980" w:rsidRPr="007C394C">
          <w:rPr>
            <w:rStyle w:val="Hyperlink"/>
          </w:rPr>
          <w:t>http://www.bls.gov/oes/current/oes111021.html</w:t>
        </w:r>
      </w:hyperlink>
      <w:r w:rsidR="00434980">
        <w:t xml:space="preserve"> and </w:t>
      </w:r>
      <w:r>
        <w:t>used the May, 201</w:t>
      </w:r>
      <w:r w:rsidR="00434980">
        <w:t>1</w:t>
      </w:r>
      <w:r>
        <w:t xml:space="preserve"> data which is the most recent data available from the National Compensation Survey: Occupational Wages in the United States, May 201</w:t>
      </w:r>
      <w:r w:rsidR="00434980">
        <w:t>1</w:t>
      </w:r>
      <w:r>
        <w:t>, Industry-Specific Occupational Employment and Wage Estimates for Retail Trade.  Within this group, we further used the Standard Occupational</w:t>
      </w:r>
    </w:p>
    <w:p w:rsidR="00B370DA" w:rsidRDefault="00B370DA" w:rsidP="00B370DA">
      <w:pPr>
        <w:pStyle w:val="BodyTextIndent"/>
        <w:spacing w:line="480" w:lineRule="auto"/>
        <w:ind w:left="720"/>
      </w:pPr>
      <w:proofErr w:type="gramStart"/>
      <w:r>
        <w:t>Classification code number 11-1021 – General and Operations Manager (</w:t>
      </w:r>
      <w:hyperlink r:id="rId10" w:anchor="nat" w:history="1">
        <w:r w:rsidR="00434980" w:rsidRPr="007C394C">
          <w:rPr>
            <w:rStyle w:val="Hyperlink"/>
          </w:rPr>
          <w:t>http://www.bls.gov/oes/current/oes111021.htm#nat</w:t>
        </w:r>
      </w:hyperlink>
      <w:r>
        <w:t>)</w:t>
      </w:r>
      <w:r w:rsidR="00434980">
        <w:t>.</w:t>
      </w:r>
      <w:proofErr w:type="gramEnd"/>
      <w:r w:rsidR="00434980">
        <w:t xml:space="preserve">  B</w:t>
      </w:r>
      <w:r>
        <w:t>ased on this data, the mean hourly wage estimate was $5</w:t>
      </w:r>
      <w:r w:rsidR="00434980">
        <w:t>5</w:t>
      </w:r>
      <w:r>
        <w:t>.</w:t>
      </w:r>
      <w:r w:rsidR="00434980">
        <w:t>04</w:t>
      </w:r>
      <w:r>
        <w:t>.  This wage amount was used as our basis for computing total annual cost burden to the respondents, as it is the most current data provided by the BLS.</w:t>
      </w:r>
    </w:p>
    <w:p w:rsidR="00B370DA" w:rsidRDefault="00B370DA" w:rsidP="00B370DA">
      <w:pPr>
        <w:pStyle w:val="BodyTextIndent"/>
        <w:spacing w:line="480" w:lineRule="auto"/>
        <w:ind w:left="720"/>
      </w:pPr>
    </w:p>
    <w:p w:rsidR="00000000" w:rsidRDefault="00B370DA">
      <w:pPr>
        <w:numPr>
          <w:ilvl w:val="0"/>
          <w:numId w:val="1"/>
        </w:numPr>
      </w:pPr>
      <w:r>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00000" w:rsidRDefault="0004709A">
      <w:pPr>
        <w:ind w:left="720"/>
      </w:pPr>
    </w:p>
    <w:p w:rsidR="00B370DA" w:rsidRDefault="00B370DA" w:rsidP="00B370DA">
      <w:pPr>
        <w:spacing w:line="480" w:lineRule="auto"/>
        <w:ind w:left="720" w:right="720" w:hanging="720"/>
      </w:pPr>
      <w:r w:rsidRPr="00273877">
        <w:tab/>
        <w:t>There are no capital/start-up or ongoing operation/maintenance costs associated with this information collection.</w:t>
      </w:r>
    </w:p>
    <w:p w:rsidR="006B2301" w:rsidRPr="00273877" w:rsidRDefault="006B2301" w:rsidP="00B370DA">
      <w:pPr>
        <w:spacing w:line="480" w:lineRule="auto"/>
        <w:ind w:left="720" w:right="720" w:hanging="720"/>
      </w:pPr>
    </w:p>
    <w:p w:rsidR="00000000" w:rsidRDefault="006B2301">
      <w:pPr>
        <w:pStyle w:val="BodyTextIndent"/>
        <w:numPr>
          <w:ilvl w:val="0"/>
          <w:numId w:val="1"/>
        </w:numPr>
        <w:rPr>
          <w:b/>
        </w:rPr>
      </w:pPr>
      <w:r w:rsidRPr="00942B5F">
        <w:rPr>
          <w:b/>
          <w:color w:val="000000"/>
        </w:rPr>
        <w:t xml:space="preserve">Provide estimates of annualized cost to the Federal government.  </w:t>
      </w:r>
      <w:r w:rsidRPr="00942B5F">
        <w:rPr>
          <w:b/>
        </w:rPr>
        <w:t>Also, provide a description of the method used to estimate cost and any other expense that would not have been incurred without this collection of information.</w:t>
      </w:r>
    </w:p>
    <w:p w:rsidR="00000000" w:rsidRDefault="0004709A">
      <w:pPr>
        <w:pStyle w:val="BodyTextIndent"/>
        <w:ind w:left="720"/>
        <w:rPr>
          <w:b/>
        </w:rPr>
      </w:pPr>
    </w:p>
    <w:p w:rsidR="00915B02" w:rsidRDefault="00B370DA" w:rsidP="00B370DA">
      <w:pPr>
        <w:pStyle w:val="BodyTextIndent"/>
        <w:spacing w:line="480" w:lineRule="auto"/>
        <w:ind w:left="720"/>
      </w:pPr>
      <w:r>
        <w:t xml:space="preserve">The cost to the Federal Government to read and respond to requests for </w:t>
      </w:r>
      <w:r>
        <w:lastRenderedPageBreak/>
        <w:t xml:space="preserve">administrative reviews is approximately 0.30 hours per response.  </w:t>
      </w:r>
      <w:r w:rsidR="00915B02">
        <w:t xml:space="preserve">For hourly cost estimation, we went to the Office of Personnel and Management website at </w:t>
      </w:r>
      <w:hyperlink r:id="rId11" w:history="1">
        <w:r w:rsidR="00915B02" w:rsidRPr="007C394C">
          <w:rPr>
            <w:rStyle w:val="Hyperlink"/>
          </w:rPr>
          <w:t>http://www.opm.gov</w:t>
        </w:r>
      </w:hyperlink>
      <w:r w:rsidR="00915B02">
        <w:t xml:space="preserve"> and </w:t>
      </w:r>
      <w:hyperlink r:id="rId12" w:history="1">
        <w:r w:rsidR="00915B02" w:rsidRPr="007C394C">
          <w:rPr>
            <w:rStyle w:val="Hyperlink"/>
          </w:rPr>
          <w:t>http://www.opm.gov/oca/12tables/pdf/dcb_h.pdf</w:t>
        </w:r>
      </w:hyperlink>
    </w:p>
    <w:p w:rsidR="00B370DA" w:rsidRDefault="00915B02" w:rsidP="00B370DA">
      <w:pPr>
        <w:pStyle w:val="BodyTextIndent"/>
        <w:spacing w:line="480" w:lineRule="auto"/>
        <w:ind w:left="720"/>
      </w:pPr>
      <w:proofErr w:type="gramStart"/>
      <w:r>
        <w:t>used</w:t>
      </w:r>
      <w:proofErr w:type="gramEnd"/>
      <w:r>
        <w:t xml:space="preserve"> the 2012 General Schedule Locality Pay Tables for the Washington, DC, metropolitan area.  Based on this data, the hourly wage was $60.49 (GS 14/7).  This wage amount was used as our basis for computing total annual cost burden to the Federal Government.  </w:t>
      </w:r>
      <w:r w:rsidR="00B370DA">
        <w:t>Approximately 897 responses are made annually requiring approximately 269 hours at an estimated cost of $16,278 to the Federal Government (897 respondent x 0.30 = 269.1 x $60.49 [GS 14/7] = $16,277.85].  No other Federal costs are anticipated.</w:t>
      </w:r>
    </w:p>
    <w:p w:rsidR="00B370DA" w:rsidRDefault="00B370DA" w:rsidP="00B370DA">
      <w:pPr>
        <w:pStyle w:val="BodyTextIndent"/>
        <w:shd w:val="clear" w:color="auto" w:fill="FFFFFF"/>
        <w:spacing w:line="480" w:lineRule="auto"/>
        <w:ind w:left="720"/>
      </w:pPr>
    </w:p>
    <w:p w:rsidR="00000000" w:rsidRDefault="00B370DA">
      <w:pPr>
        <w:pStyle w:val="BodyTextIndent"/>
        <w:numPr>
          <w:ilvl w:val="0"/>
          <w:numId w:val="1"/>
        </w:numPr>
        <w:rPr>
          <w:b/>
          <w:bCs/>
        </w:rPr>
      </w:pPr>
      <w:r>
        <w:rPr>
          <w:b/>
          <w:bCs/>
        </w:rPr>
        <w:t>Explain the reasons for any program changes or adjustments</w:t>
      </w:r>
      <w:r w:rsidR="003D178B">
        <w:rPr>
          <w:b/>
          <w:bCs/>
        </w:rPr>
        <w:t xml:space="preserve"> reported in Items 13 or 14 of the OMB Form 83-I</w:t>
      </w:r>
      <w:r>
        <w:rPr>
          <w:b/>
          <w:bCs/>
        </w:rPr>
        <w:t>.</w:t>
      </w:r>
    </w:p>
    <w:p w:rsidR="00000000" w:rsidRDefault="0004709A">
      <w:pPr>
        <w:pStyle w:val="BodyTextIndent"/>
        <w:ind w:left="720"/>
        <w:rPr>
          <w:b/>
          <w:bCs/>
        </w:rPr>
      </w:pPr>
    </w:p>
    <w:p w:rsidR="00915B02" w:rsidRDefault="00491F1A" w:rsidP="00B370DA">
      <w:pPr>
        <w:pStyle w:val="BodyTextIndent"/>
        <w:spacing w:line="480" w:lineRule="auto"/>
        <w:ind w:left="720"/>
        <w:rPr>
          <w:bCs/>
        </w:rPr>
      </w:pPr>
      <w:r>
        <w:rPr>
          <w:bCs/>
        </w:rPr>
        <w:t>This is a revision of a currently approved collection.</w:t>
      </w:r>
    </w:p>
    <w:p w:rsidR="00915B02" w:rsidRDefault="00915B02" w:rsidP="00B370DA">
      <w:pPr>
        <w:pStyle w:val="BodyTextIndent"/>
        <w:spacing w:line="480" w:lineRule="auto"/>
        <w:ind w:left="720"/>
        <w:rPr>
          <w:bCs/>
          <w:u w:val="single"/>
        </w:rPr>
      </w:pPr>
      <w:r w:rsidRPr="00915B02">
        <w:rPr>
          <w:bCs/>
          <w:u w:val="single"/>
        </w:rPr>
        <w:t>Adjustments</w:t>
      </w:r>
    </w:p>
    <w:p w:rsidR="00915B02" w:rsidRPr="00915B02" w:rsidRDefault="00915B02" w:rsidP="00915B02">
      <w:pPr>
        <w:pStyle w:val="BodyTextIndent"/>
        <w:spacing w:line="480" w:lineRule="auto"/>
        <w:ind w:left="720"/>
        <w:rPr>
          <w:bCs/>
        </w:rPr>
      </w:pPr>
      <w:r>
        <w:rPr>
          <w:bCs/>
        </w:rPr>
        <w:t xml:space="preserve">Our estimates for the number of respondents requesting an administrative review are subject to change in each FY as the number of aggrieved retailers fluctuates.  </w:t>
      </w:r>
    </w:p>
    <w:p w:rsidR="00B370DA" w:rsidRDefault="00B370DA" w:rsidP="00B370DA">
      <w:pPr>
        <w:pStyle w:val="BodyTextIndent"/>
        <w:spacing w:line="480" w:lineRule="auto"/>
        <w:ind w:left="720"/>
        <w:rPr>
          <w:bCs/>
        </w:rPr>
      </w:pPr>
      <w:r>
        <w:rPr>
          <w:bCs/>
        </w:rPr>
        <w:t>The previous burden reported was based on data from FY 2009.  This submission utilized FY 2011 data to establish a more accurate account for this collection.  As a result</w:t>
      </w:r>
      <w:r w:rsidR="00491F1A">
        <w:rPr>
          <w:bCs/>
        </w:rPr>
        <w:t xml:space="preserve"> of respondents requesting for administrative reviews increased</w:t>
      </w:r>
      <w:r>
        <w:rPr>
          <w:bCs/>
        </w:rPr>
        <w:t xml:space="preserve">, </w:t>
      </w:r>
      <w:r w:rsidR="00491F1A">
        <w:rPr>
          <w:bCs/>
        </w:rPr>
        <w:t xml:space="preserve">the burden hours also </w:t>
      </w:r>
      <w:r>
        <w:rPr>
          <w:bCs/>
        </w:rPr>
        <w:t>increase</w:t>
      </w:r>
      <w:r w:rsidR="00491F1A">
        <w:rPr>
          <w:bCs/>
        </w:rPr>
        <w:t xml:space="preserve">d from 120 to 183 burden hours an increase of 63 burden hours.  </w:t>
      </w:r>
      <w:r w:rsidR="00C65F86">
        <w:rPr>
          <w:bCs/>
        </w:rPr>
        <w:t xml:space="preserve">An increase of 308 aggrieved retailers who requested administrative </w:t>
      </w:r>
      <w:r w:rsidR="00C65F86">
        <w:rPr>
          <w:bCs/>
        </w:rPr>
        <w:lastRenderedPageBreak/>
        <w:t xml:space="preserve">review is attributed to the </w:t>
      </w:r>
      <w:r w:rsidR="008F460C">
        <w:rPr>
          <w:bCs/>
        </w:rPr>
        <w:t xml:space="preserve">increase </w:t>
      </w:r>
      <w:proofErr w:type="spellStart"/>
      <w:r w:rsidR="00C65F86">
        <w:rPr>
          <w:bCs/>
        </w:rPr>
        <w:t>adjustment.in</w:t>
      </w:r>
      <w:proofErr w:type="spellEnd"/>
      <w:r w:rsidR="00C65F86">
        <w:rPr>
          <w:bCs/>
        </w:rPr>
        <w:t xml:space="preserve"> </w:t>
      </w:r>
      <w:r w:rsidR="00491F1A">
        <w:rPr>
          <w:bCs/>
        </w:rPr>
        <w:t xml:space="preserve">the number of respondents from 589 </w:t>
      </w:r>
      <w:r w:rsidR="00ED2FD6">
        <w:rPr>
          <w:bCs/>
        </w:rPr>
        <w:t>to 897</w:t>
      </w:r>
      <w:r w:rsidR="00491F1A">
        <w:rPr>
          <w:bCs/>
        </w:rPr>
        <w:t xml:space="preserve"> </w:t>
      </w:r>
      <w:r w:rsidR="00C65F86">
        <w:rPr>
          <w:bCs/>
        </w:rPr>
        <w:t>and respective increase in responses from 707 to 1,076.</w:t>
      </w:r>
    </w:p>
    <w:p w:rsidR="00915B02" w:rsidRDefault="00915B02" w:rsidP="00B370DA">
      <w:pPr>
        <w:pStyle w:val="BodyTextIndent"/>
        <w:spacing w:line="480" w:lineRule="auto"/>
        <w:ind w:left="720"/>
        <w:rPr>
          <w:bCs/>
        </w:rPr>
      </w:pPr>
    </w:p>
    <w:p w:rsidR="00000000" w:rsidRDefault="00B370DA">
      <w:pPr>
        <w:pStyle w:val="BodyTextIndent"/>
        <w:widowControl/>
        <w:numPr>
          <w:ilvl w:val="0"/>
          <w:numId w:val="1"/>
        </w:numPr>
        <w:autoSpaceDE/>
        <w:autoSpaceDN/>
        <w:adjustRightInd/>
        <w:spacing w:after="0"/>
        <w:rPr>
          <w:b/>
          <w:bCs/>
        </w:rPr>
      </w:pPr>
      <w:r w:rsidRPr="00FA47EB">
        <w:rPr>
          <w:b/>
          <w:bCs/>
        </w:rPr>
        <w:t>For collection of information whose results will be published, outline plans</w:t>
      </w:r>
      <w:r w:rsidR="00FA47EB">
        <w:rPr>
          <w:b/>
          <w:bCs/>
        </w:rPr>
        <w:t xml:space="preserve"> for </w:t>
      </w:r>
      <w:r w:rsidRPr="00FA47EB">
        <w:rPr>
          <w:b/>
          <w:bCs/>
        </w:rPr>
        <w:t>tabulation</w:t>
      </w:r>
      <w:r w:rsidR="00FA47EB">
        <w:rPr>
          <w:b/>
          <w:bCs/>
        </w:rPr>
        <w:t xml:space="preserve"> </w:t>
      </w:r>
      <w:r w:rsidRPr="00FA47EB">
        <w:rPr>
          <w:b/>
          <w:bCs/>
        </w:rPr>
        <w:t>and publication.</w:t>
      </w:r>
    </w:p>
    <w:p w:rsidR="00000000" w:rsidRDefault="0004709A">
      <w:pPr>
        <w:pStyle w:val="BodyTextIndent"/>
        <w:widowControl/>
        <w:autoSpaceDE/>
        <w:autoSpaceDN/>
        <w:adjustRightInd/>
        <w:spacing w:after="0"/>
        <w:ind w:left="720"/>
        <w:rPr>
          <w:b/>
          <w:bCs/>
        </w:rPr>
      </w:pPr>
    </w:p>
    <w:p w:rsidR="00B370DA" w:rsidRDefault="00FA47EB" w:rsidP="00B370DA">
      <w:pPr>
        <w:pStyle w:val="BodyTextIndent"/>
        <w:spacing w:line="480" w:lineRule="auto"/>
      </w:pPr>
      <w:r>
        <w:tab/>
      </w:r>
      <w:r w:rsidR="00B370DA">
        <w:t>There are no plans for publication of this collection of information.</w:t>
      </w:r>
    </w:p>
    <w:p w:rsidR="00000000" w:rsidRDefault="006B2301">
      <w:pPr>
        <w:pStyle w:val="BodyTextIndent"/>
        <w:numPr>
          <w:ilvl w:val="0"/>
          <w:numId w:val="1"/>
        </w:numPr>
      </w:pPr>
      <w:r w:rsidRPr="00942B5F">
        <w:rPr>
          <w:b/>
        </w:rPr>
        <w:t>If seeking approval to not display the expiration date for OMB approval of the information collection, explain the reasons that display would be inappropriate.</w:t>
      </w:r>
    </w:p>
    <w:p w:rsidR="00B370DA" w:rsidRDefault="00B370DA" w:rsidP="00B370DA">
      <w:pPr>
        <w:pStyle w:val="BodyTextIndent"/>
        <w:spacing w:line="480" w:lineRule="auto"/>
        <w:ind w:left="720"/>
      </w:pPr>
      <w:r>
        <w:t xml:space="preserve">The request for an administrative review does not involve any forms or other collection instruments. </w:t>
      </w:r>
    </w:p>
    <w:p w:rsidR="00000000" w:rsidRDefault="00FA47EB">
      <w:pPr>
        <w:pStyle w:val="BodyTextIndent"/>
        <w:widowControl/>
        <w:numPr>
          <w:ilvl w:val="0"/>
          <w:numId w:val="1"/>
        </w:numPr>
        <w:autoSpaceDE/>
        <w:autoSpaceDN/>
        <w:adjustRightInd/>
        <w:spacing w:after="0"/>
        <w:rPr>
          <w:b/>
          <w:bCs/>
        </w:rPr>
      </w:pPr>
      <w:r>
        <w:rPr>
          <w:b/>
          <w:bCs/>
        </w:rPr>
        <w:t>Explain each exception to the certification statement identified in item 19</w:t>
      </w:r>
      <w:r w:rsidR="00ED2FD6">
        <w:rPr>
          <w:b/>
          <w:bCs/>
        </w:rPr>
        <w:t>, “Certification for Paperwork Reduction Act Submissions,” of OMB Form 83-I.</w:t>
      </w:r>
      <w:r>
        <w:rPr>
          <w:b/>
          <w:bCs/>
        </w:rPr>
        <w:t xml:space="preserve"> </w:t>
      </w:r>
    </w:p>
    <w:p w:rsidR="00000000" w:rsidRDefault="0004709A">
      <w:pPr>
        <w:pStyle w:val="BodyTextIndent"/>
        <w:widowControl/>
        <w:autoSpaceDE/>
        <w:autoSpaceDN/>
        <w:adjustRightInd/>
        <w:spacing w:after="0"/>
        <w:ind w:left="720"/>
        <w:rPr>
          <w:b/>
          <w:bCs/>
        </w:rPr>
      </w:pPr>
    </w:p>
    <w:p w:rsidR="00FA47EB" w:rsidRDefault="00B370DA" w:rsidP="006D5AEC">
      <w:pPr>
        <w:pStyle w:val="BodyTextIndent"/>
        <w:spacing w:line="480" w:lineRule="auto"/>
        <w:ind w:left="720"/>
      </w:pPr>
      <w:r>
        <w:t>There are no exceptions to this certification statement.  The agency is able to</w:t>
      </w:r>
    </w:p>
    <w:p w:rsidR="00B370DA" w:rsidRDefault="00FA47EB" w:rsidP="00095E61">
      <w:pPr>
        <w:pStyle w:val="BodyTextIndent"/>
        <w:spacing w:line="480" w:lineRule="auto"/>
      </w:pPr>
      <w:r>
        <w:tab/>
      </w:r>
      <w:proofErr w:type="gramStart"/>
      <w:r w:rsidR="006D5AEC">
        <w:t>certify</w:t>
      </w:r>
      <w:proofErr w:type="gramEnd"/>
      <w:r w:rsidR="006D5AEC">
        <w:t xml:space="preserve"> </w:t>
      </w:r>
      <w:r w:rsidR="00B370DA">
        <w:t>compliance</w:t>
      </w:r>
      <w:r>
        <w:t xml:space="preserve"> </w:t>
      </w:r>
      <w:r w:rsidR="00B370DA">
        <w:t>with all provision</w:t>
      </w:r>
      <w:r w:rsidR="006D5AEC">
        <w:t xml:space="preserve">s under </w:t>
      </w:r>
      <w:r w:rsidR="00B370DA">
        <w:t>Item 19 of OMB Form 83-I.</w:t>
      </w:r>
    </w:p>
    <w:sectPr w:rsidR="00B370DA" w:rsidSect="00B85B8A">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ACD" w:rsidRDefault="00C64ACD" w:rsidP="004639BC">
      <w:r>
        <w:separator/>
      </w:r>
    </w:p>
  </w:endnote>
  <w:endnote w:type="continuationSeparator" w:id="0">
    <w:p w:rsidR="00C64ACD" w:rsidRDefault="00C64ACD" w:rsidP="00463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D94" w:rsidRDefault="00B85B8A">
    <w:pPr>
      <w:pStyle w:val="Footer"/>
      <w:jc w:val="center"/>
    </w:pPr>
    <w:fldSimple w:instr=" PAGE   \* MERGEFORMAT ">
      <w:r w:rsidR="0004709A">
        <w:rPr>
          <w:noProof/>
        </w:rPr>
        <w:t>1</w:t>
      </w:r>
    </w:fldSimple>
  </w:p>
  <w:p w:rsidR="00C62D94" w:rsidRDefault="00C62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ACD" w:rsidRDefault="00C64ACD" w:rsidP="004639BC">
      <w:r>
        <w:separator/>
      </w:r>
    </w:p>
  </w:footnote>
  <w:footnote w:type="continuationSeparator" w:id="0">
    <w:p w:rsidR="00C64ACD" w:rsidRDefault="00C64ACD" w:rsidP="00463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C2B61A1"/>
    <w:multiLevelType w:val="multilevel"/>
    <w:tmpl w:val="763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74619"/>
    <w:multiLevelType w:val="hybridMultilevel"/>
    <w:tmpl w:val="535C411E"/>
    <w:lvl w:ilvl="0" w:tplc="589CB8C0">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47DE3"/>
    <w:multiLevelType w:val="hybridMultilevel"/>
    <w:tmpl w:val="BBF09078"/>
    <w:lvl w:ilvl="0" w:tplc="CEA05704">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038FA"/>
    <w:multiLevelType w:val="hybridMultilevel"/>
    <w:tmpl w:val="FF7E19A2"/>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D262AD3"/>
    <w:multiLevelType w:val="hybridMultilevel"/>
    <w:tmpl w:val="9886E3A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3EA32344"/>
    <w:multiLevelType w:val="hybridMultilevel"/>
    <w:tmpl w:val="BFDA9B68"/>
    <w:lvl w:ilvl="0" w:tplc="3580BBE8">
      <w:start w:val="1"/>
      <w:numFmt w:val="decimal"/>
      <w:lvlText w:val="%1."/>
      <w:lvlJc w:val="left"/>
      <w:pPr>
        <w:tabs>
          <w:tab w:val="num" w:pos="720"/>
        </w:tabs>
        <w:ind w:left="720" w:hanging="720"/>
      </w:pPr>
      <w:rPr>
        <w:rFonts w:hint="default"/>
        <w:b/>
      </w:rPr>
    </w:lvl>
    <w:lvl w:ilvl="1" w:tplc="4154A90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3DC608C"/>
    <w:multiLevelType w:val="hybridMultilevel"/>
    <w:tmpl w:val="625E1B54"/>
    <w:lvl w:ilvl="0" w:tplc="BF04A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
  </w:num>
  <w:num w:numId="3">
    <w:abstractNumId w:val="1"/>
  </w:num>
  <w:num w:numId="4">
    <w:abstractNumId w:val="11"/>
  </w:num>
  <w:num w:numId="5">
    <w:abstractNumId w:val="10"/>
  </w:num>
  <w:num w:numId="6">
    <w:abstractNumId w:val="18"/>
  </w:num>
  <w:num w:numId="7">
    <w:abstractNumId w:val="17"/>
  </w:num>
  <w:num w:numId="8">
    <w:abstractNumId w:val="13"/>
  </w:num>
  <w:num w:numId="9">
    <w:abstractNumId w:val="4"/>
  </w:num>
  <w:num w:numId="10">
    <w:abstractNumId w:val="12"/>
  </w:num>
  <w:num w:numId="11">
    <w:abstractNumId w:val="15"/>
  </w:num>
  <w:num w:numId="12">
    <w:abstractNumId w:val="0"/>
  </w:num>
  <w:num w:numId="13">
    <w:abstractNumId w:val="6"/>
  </w:num>
  <w:num w:numId="14">
    <w:abstractNumId w:val="3"/>
  </w:num>
  <w:num w:numId="15">
    <w:abstractNumId w:val="16"/>
  </w:num>
  <w:num w:numId="16">
    <w:abstractNumId w:val="8"/>
  </w:num>
  <w:num w:numId="17">
    <w:abstractNumId w:val="5"/>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8A67FC"/>
    <w:rsid w:val="00026427"/>
    <w:rsid w:val="0004709A"/>
    <w:rsid w:val="00095E61"/>
    <w:rsid w:val="000D710C"/>
    <w:rsid w:val="000F15B7"/>
    <w:rsid w:val="0010573D"/>
    <w:rsid w:val="001B2F8E"/>
    <w:rsid w:val="001C252D"/>
    <w:rsid w:val="001D120D"/>
    <w:rsid w:val="00201073"/>
    <w:rsid w:val="00243E94"/>
    <w:rsid w:val="0025775C"/>
    <w:rsid w:val="00266E65"/>
    <w:rsid w:val="002D6630"/>
    <w:rsid w:val="00320CCA"/>
    <w:rsid w:val="00345BA0"/>
    <w:rsid w:val="003B17B4"/>
    <w:rsid w:val="003B7C0D"/>
    <w:rsid w:val="003D178B"/>
    <w:rsid w:val="003D7207"/>
    <w:rsid w:val="0041324C"/>
    <w:rsid w:val="00434980"/>
    <w:rsid w:val="00442D08"/>
    <w:rsid w:val="00462640"/>
    <w:rsid w:val="004639BC"/>
    <w:rsid w:val="00491F1A"/>
    <w:rsid w:val="005310B7"/>
    <w:rsid w:val="005517FB"/>
    <w:rsid w:val="00556236"/>
    <w:rsid w:val="005579F3"/>
    <w:rsid w:val="00560717"/>
    <w:rsid w:val="005A161D"/>
    <w:rsid w:val="005D0895"/>
    <w:rsid w:val="00606BD0"/>
    <w:rsid w:val="006B2301"/>
    <w:rsid w:val="006D5AEC"/>
    <w:rsid w:val="007C3C27"/>
    <w:rsid w:val="00810639"/>
    <w:rsid w:val="008570D3"/>
    <w:rsid w:val="0085782F"/>
    <w:rsid w:val="008A67FC"/>
    <w:rsid w:val="008F1AE6"/>
    <w:rsid w:val="008F460C"/>
    <w:rsid w:val="00910C22"/>
    <w:rsid w:val="00915B02"/>
    <w:rsid w:val="00996B97"/>
    <w:rsid w:val="009A1068"/>
    <w:rsid w:val="009E59F9"/>
    <w:rsid w:val="009E7E91"/>
    <w:rsid w:val="00A4412D"/>
    <w:rsid w:val="00A61750"/>
    <w:rsid w:val="00AA6564"/>
    <w:rsid w:val="00AC6AD2"/>
    <w:rsid w:val="00AE1F30"/>
    <w:rsid w:val="00B04D67"/>
    <w:rsid w:val="00B15034"/>
    <w:rsid w:val="00B20A54"/>
    <w:rsid w:val="00B24BFD"/>
    <w:rsid w:val="00B370DA"/>
    <w:rsid w:val="00B44505"/>
    <w:rsid w:val="00B659E2"/>
    <w:rsid w:val="00B74754"/>
    <w:rsid w:val="00B85B8A"/>
    <w:rsid w:val="00C334B8"/>
    <w:rsid w:val="00C53111"/>
    <w:rsid w:val="00C53191"/>
    <w:rsid w:val="00C62D94"/>
    <w:rsid w:val="00C64ACD"/>
    <w:rsid w:val="00C65F86"/>
    <w:rsid w:val="00C83CEF"/>
    <w:rsid w:val="00C90855"/>
    <w:rsid w:val="00C94630"/>
    <w:rsid w:val="00CE2493"/>
    <w:rsid w:val="00D32008"/>
    <w:rsid w:val="00D33E8F"/>
    <w:rsid w:val="00D366BE"/>
    <w:rsid w:val="00D37571"/>
    <w:rsid w:val="00D51056"/>
    <w:rsid w:val="00D81128"/>
    <w:rsid w:val="00D93C98"/>
    <w:rsid w:val="00DA3D5A"/>
    <w:rsid w:val="00DD7951"/>
    <w:rsid w:val="00E01E7A"/>
    <w:rsid w:val="00E409CF"/>
    <w:rsid w:val="00E658B8"/>
    <w:rsid w:val="00ED2FD6"/>
    <w:rsid w:val="00EF5C87"/>
    <w:rsid w:val="00F1459B"/>
    <w:rsid w:val="00F21F09"/>
    <w:rsid w:val="00F57B7C"/>
    <w:rsid w:val="00F7106B"/>
    <w:rsid w:val="00FA47EB"/>
    <w:rsid w:val="00FF6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B8A"/>
    <w:pPr>
      <w:widowControl w:val="0"/>
      <w:autoSpaceDE w:val="0"/>
      <w:autoSpaceDN w:val="0"/>
      <w:adjustRightInd w:val="0"/>
    </w:pPr>
    <w:rPr>
      <w:sz w:val="24"/>
      <w:szCs w:val="24"/>
    </w:rPr>
  </w:style>
  <w:style w:type="paragraph" w:styleId="Heading1">
    <w:name w:val="heading 1"/>
    <w:basedOn w:val="Normal"/>
    <w:next w:val="Normal"/>
    <w:link w:val="Heading1Char"/>
    <w:qFormat/>
    <w:rsid w:val="00B370DA"/>
    <w:pPr>
      <w:keepNext/>
      <w:widowControl/>
      <w:autoSpaceDE/>
      <w:autoSpaceDN/>
      <w:adjustRightInd/>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70DA"/>
    <w:rPr>
      <w:rFonts w:cs="Times New Roman"/>
      <w:color w:val="0000FF"/>
      <w:u w:val="single"/>
    </w:rPr>
  </w:style>
  <w:style w:type="paragraph" w:styleId="BodyText">
    <w:name w:val="Body Text"/>
    <w:basedOn w:val="Normal"/>
    <w:link w:val="BodyTextChar"/>
    <w:rsid w:val="00B370DA"/>
    <w:pPr>
      <w:spacing w:after="120"/>
    </w:pPr>
  </w:style>
  <w:style w:type="character" w:customStyle="1" w:styleId="BodyTextChar">
    <w:name w:val="Body Text Char"/>
    <w:basedOn w:val="DefaultParagraphFont"/>
    <w:link w:val="BodyText"/>
    <w:rsid w:val="00B370DA"/>
    <w:rPr>
      <w:sz w:val="24"/>
      <w:szCs w:val="24"/>
    </w:rPr>
  </w:style>
  <w:style w:type="paragraph" w:styleId="TOC1">
    <w:name w:val="toc 1"/>
    <w:basedOn w:val="BodyText"/>
    <w:next w:val="BodyText"/>
    <w:rsid w:val="00B370DA"/>
    <w:pPr>
      <w:widowControl/>
      <w:autoSpaceDE/>
      <w:autoSpaceDN/>
      <w:adjustRightInd/>
      <w:spacing w:before="240" w:after="0" w:line="264" w:lineRule="auto"/>
    </w:pPr>
    <w:rPr>
      <w:b/>
      <w:sz w:val="22"/>
      <w:szCs w:val="20"/>
    </w:rPr>
  </w:style>
  <w:style w:type="paragraph" w:styleId="TOC2">
    <w:name w:val="toc 2"/>
    <w:basedOn w:val="BodyText"/>
    <w:next w:val="BodyText"/>
    <w:rsid w:val="00B370DA"/>
    <w:pPr>
      <w:widowControl/>
      <w:autoSpaceDE/>
      <w:autoSpaceDN/>
      <w:adjustRightInd/>
      <w:spacing w:after="0" w:line="264" w:lineRule="auto"/>
      <w:ind w:left="576"/>
    </w:pPr>
    <w:rPr>
      <w:sz w:val="22"/>
      <w:szCs w:val="20"/>
    </w:rPr>
  </w:style>
  <w:style w:type="paragraph" w:styleId="BodyTextIndent">
    <w:name w:val="Body Text Indent"/>
    <w:basedOn w:val="Normal"/>
    <w:link w:val="BodyTextIndentChar"/>
    <w:rsid w:val="00B370DA"/>
    <w:pPr>
      <w:spacing w:after="120"/>
      <w:ind w:left="360"/>
    </w:pPr>
  </w:style>
  <w:style w:type="character" w:customStyle="1" w:styleId="BodyTextIndentChar">
    <w:name w:val="Body Text Indent Char"/>
    <w:basedOn w:val="DefaultParagraphFont"/>
    <w:link w:val="BodyTextIndent"/>
    <w:rsid w:val="00B370DA"/>
    <w:rPr>
      <w:sz w:val="24"/>
      <w:szCs w:val="24"/>
    </w:rPr>
  </w:style>
  <w:style w:type="paragraph" w:styleId="BodyTextIndent2">
    <w:name w:val="Body Text Indent 2"/>
    <w:basedOn w:val="Normal"/>
    <w:link w:val="BodyTextIndent2Char"/>
    <w:rsid w:val="00B370DA"/>
    <w:pPr>
      <w:spacing w:after="120" w:line="480" w:lineRule="auto"/>
      <w:ind w:left="360"/>
    </w:pPr>
  </w:style>
  <w:style w:type="character" w:customStyle="1" w:styleId="BodyTextIndent2Char">
    <w:name w:val="Body Text Indent 2 Char"/>
    <w:basedOn w:val="DefaultParagraphFont"/>
    <w:link w:val="BodyTextIndent2"/>
    <w:rsid w:val="00B370DA"/>
    <w:rPr>
      <w:sz w:val="24"/>
      <w:szCs w:val="24"/>
    </w:rPr>
  </w:style>
  <w:style w:type="character" w:customStyle="1" w:styleId="Heading1Char">
    <w:name w:val="Heading 1 Char"/>
    <w:basedOn w:val="DefaultParagraphFont"/>
    <w:link w:val="Heading1"/>
    <w:rsid w:val="00B370DA"/>
    <w:rPr>
      <w:b/>
      <w:bCs/>
      <w:sz w:val="24"/>
      <w:szCs w:val="24"/>
      <w:u w:val="single"/>
    </w:rPr>
  </w:style>
  <w:style w:type="paragraph" w:styleId="Title">
    <w:name w:val="Title"/>
    <w:basedOn w:val="Normal"/>
    <w:link w:val="TitleChar"/>
    <w:qFormat/>
    <w:rsid w:val="00B370DA"/>
    <w:pPr>
      <w:widowControl/>
      <w:autoSpaceDE/>
      <w:autoSpaceDN/>
      <w:adjustRightInd/>
      <w:jc w:val="center"/>
    </w:pPr>
    <w:rPr>
      <w:b/>
      <w:bCs/>
    </w:rPr>
  </w:style>
  <w:style w:type="character" w:customStyle="1" w:styleId="TitleChar">
    <w:name w:val="Title Char"/>
    <w:basedOn w:val="DefaultParagraphFont"/>
    <w:link w:val="Title"/>
    <w:rsid w:val="00B370DA"/>
    <w:rPr>
      <w:b/>
      <w:bCs/>
      <w:sz w:val="24"/>
      <w:szCs w:val="24"/>
    </w:rPr>
  </w:style>
  <w:style w:type="paragraph" w:styleId="Header">
    <w:name w:val="header"/>
    <w:basedOn w:val="Normal"/>
    <w:link w:val="HeaderChar"/>
    <w:rsid w:val="004639BC"/>
    <w:pPr>
      <w:tabs>
        <w:tab w:val="center" w:pos="4680"/>
        <w:tab w:val="right" w:pos="9360"/>
      </w:tabs>
    </w:pPr>
  </w:style>
  <w:style w:type="character" w:customStyle="1" w:styleId="HeaderChar">
    <w:name w:val="Header Char"/>
    <w:basedOn w:val="DefaultParagraphFont"/>
    <w:link w:val="Header"/>
    <w:rsid w:val="004639BC"/>
    <w:rPr>
      <w:sz w:val="24"/>
      <w:szCs w:val="24"/>
    </w:rPr>
  </w:style>
  <w:style w:type="paragraph" w:styleId="Footer">
    <w:name w:val="footer"/>
    <w:basedOn w:val="Normal"/>
    <w:link w:val="FooterChar"/>
    <w:uiPriority w:val="99"/>
    <w:rsid w:val="004639BC"/>
    <w:pPr>
      <w:tabs>
        <w:tab w:val="center" w:pos="4680"/>
        <w:tab w:val="right" w:pos="9360"/>
      </w:tabs>
    </w:pPr>
  </w:style>
  <w:style w:type="character" w:customStyle="1" w:styleId="FooterChar">
    <w:name w:val="Footer Char"/>
    <w:basedOn w:val="DefaultParagraphFont"/>
    <w:link w:val="Footer"/>
    <w:uiPriority w:val="99"/>
    <w:rsid w:val="004639BC"/>
    <w:rPr>
      <w:sz w:val="24"/>
      <w:szCs w:val="24"/>
    </w:rPr>
  </w:style>
  <w:style w:type="character" w:styleId="FollowedHyperlink">
    <w:name w:val="FollowedHyperlink"/>
    <w:basedOn w:val="DefaultParagraphFont"/>
    <w:rsid w:val="002D6630"/>
    <w:rPr>
      <w:color w:val="800080"/>
      <w:u w:val="single"/>
    </w:rPr>
  </w:style>
  <w:style w:type="character" w:styleId="CommentReference">
    <w:name w:val="annotation reference"/>
    <w:basedOn w:val="DefaultParagraphFont"/>
    <w:uiPriority w:val="99"/>
    <w:rsid w:val="005A161D"/>
    <w:rPr>
      <w:sz w:val="16"/>
      <w:szCs w:val="16"/>
    </w:rPr>
  </w:style>
  <w:style w:type="paragraph" w:styleId="CommentText">
    <w:name w:val="annotation text"/>
    <w:basedOn w:val="Normal"/>
    <w:link w:val="CommentTextChar"/>
    <w:rsid w:val="005A161D"/>
    <w:rPr>
      <w:sz w:val="20"/>
      <w:szCs w:val="20"/>
    </w:rPr>
  </w:style>
  <w:style w:type="character" w:customStyle="1" w:styleId="CommentTextChar">
    <w:name w:val="Comment Text Char"/>
    <w:basedOn w:val="DefaultParagraphFont"/>
    <w:link w:val="CommentText"/>
    <w:uiPriority w:val="99"/>
    <w:rsid w:val="005A161D"/>
  </w:style>
  <w:style w:type="paragraph" w:styleId="CommentSubject">
    <w:name w:val="annotation subject"/>
    <w:basedOn w:val="CommentText"/>
    <w:next w:val="CommentText"/>
    <w:link w:val="CommentSubjectChar"/>
    <w:rsid w:val="005A161D"/>
    <w:rPr>
      <w:b/>
      <w:bCs/>
    </w:rPr>
  </w:style>
  <w:style w:type="character" w:customStyle="1" w:styleId="CommentSubjectChar">
    <w:name w:val="Comment Subject Char"/>
    <w:basedOn w:val="CommentTextChar"/>
    <w:link w:val="CommentSubject"/>
    <w:rsid w:val="005A161D"/>
    <w:rPr>
      <w:b/>
      <w:bCs/>
    </w:rPr>
  </w:style>
  <w:style w:type="paragraph" w:styleId="BalloonText">
    <w:name w:val="Balloon Text"/>
    <w:basedOn w:val="Normal"/>
    <w:link w:val="BalloonTextChar"/>
    <w:rsid w:val="005A161D"/>
    <w:rPr>
      <w:rFonts w:ascii="Tahoma" w:hAnsi="Tahoma" w:cs="Tahoma"/>
      <w:sz w:val="16"/>
      <w:szCs w:val="16"/>
    </w:rPr>
  </w:style>
  <w:style w:type="character" w:customStyle="1" w:styleId="BalloonTextChar">
    <w:name w:val="Balloon Text Char"/>
    <w:basedOn w:val="DefaultParagraphFont"/>
    <w:link w:val="BalloonText"/>
    <w:rsid w:val="005A161D"/>
    <w:rPr>
      <w:rFonts w:ascii="Tahoma" w:hAnsi="Tahoma" w:cs="Tahoma"/>
      <w:sz w:val="16"/>
      <w:szCs w:val="16"/>
    </w:rPr>
  </w:style>
  <w:style w:type="character" w:styleId="Strong">
    <w:name w:val="Strong"/>
    <w:basedOn w:val="DefaultParagraphFont"/>
    <w:qFormat/>
    <w:rsid w:val="0085782F"/>
    <w:rPr>
      <w:b/>
      <w:bCs/>
    </w:rPr>
  </w:style>
  <w:style w:type="paragraph" w:customStyle="1" w:styleId="p5">
    <w:name w:val="p5"/>
    <w:basedOn w:val="Normal"/>
    <w:rsid w:val="00442D08"/>
    <w:pPr>
      <w:tabs>
        <w:tab w:val="left" w:pos="663"/>
      </w:tabs>
      <w:ind w:left="777" w:hanging="663"/>
    </w:pPr>
  </w:style>
  <w:style w:type="paragraph" w:customStyle="1" w:styleId="p7">
    <w:name w:val="p7"/>
    <w:basedOn w:val="Normal"/>
    <w:rsid w:val="00442D08"/>
    <w:pPr>
      <w:ind w:left="777" w:hanging="663"/>
      <w:jc w:val="both"/>
    </w:pPr>
  </w:style>
  <w:style w:type="paragraph" w:styleId="ListParagraph">
    <w:name w:val="List Paragraph"/>
    <w:basedOn w:val="Normal"/>
    <w:uiPriority w:val="34"/>
    <w:qFormat/>
    <w:rsid w:val="00442D08"/>
    <w:pPr>
      <w:ind w:left="720"/>
      <w:contextualSpacing/>
    </w:pPr>
  </w:style>
</w:styles>
</file>

<file path=word/webSettings.xml><?xml version="1.0" encoding="utf-8"?>
<w:webSettings xmlns:r="http://schemas.openxmlformats.org/officeDocument/2006/relationships" xmlns:w="http://schemas.openxmlformats.org/wordprocessingml/2006/main">
  <w:divs>
    <w:div w:id="1609119258">
      <w:bodyDiv w:val="1"/>
      <w:marLeft w:val="0"/>
      <w:marRight w:val="0"/>
      <w:marTop w:val="0"/>
      <w:marBottom w:val="0"/>
      <w:divBdr>
        <w:top w:val="none" w:sz="0" w:space="0" w:color="auto"/>
        <w:left w:val="none" w:sz="0" w:space="0" w:color="auto"/>
        <w:bottom w:val="none" w:sz="0" w:space="0" w:color="auto"/>
        <w:right w:val="none" w:sz="0" w:space="0" w:color="auto"/>
      </w:divBdr>
      <w:divsChild>
        <w:div w:id="126985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oca/12tables/pdf/dcb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111021.htm" TargetMode="External"/><Relationship Id="rId4" Type="http://schemas.openxmlformats.org/officeDocument/2006/relationships/settings" Target="settings.xml"/><Relationship Id="rId9" Type="http://schemas.openxmlformats.org/officeDocument/2006/relationships/hyperlink" Target="http://www.bls.gov/oes/current/oes11102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0691-A0C1-47FD-8A94-50CAD674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2538</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17502</CharactersWithSpaces>
  <SharedDoc>false</SharedDoc>
  <HLinks>
    <vt:vector size="150" baseType="variant">
      <vt:variant>
        <vt:i4>6684742</vt:i4>
      </vt:variant>
      <vt:variant>
        <vt:i4>72</vt:i4>
      </vt:variant>
      <vt:variant>
        <vt:i4>0</vt:i4>
      </vt:variant>
      <vt:variant>
        <vt:i4>5</vt:i4>
      </vt:variant>
      <vt:variant>
        <vt:lpwstr>http://www.opm.gov/oca/12tables/pdf/dcb_h.pdf</vt:lpwstr>
      </vt:variant>
      <vt:variant>
        <vt:lpwstr/>
      </vt:variant>
      <vt:variant>
        <vt:i4>3670113</vt:i4>
      </vt:variant>
      <vt:variant>
        <vt:i4>69</vt:i4>
      </vt:variant>
      <vt:variant>
        <vt:i4>0</vt:i4>
      </vt:variant>
      <vt:variant>
        <vt:i4>5</vt:i4>
      </vt:variant>
      <vt:variant>
        <vt:lpwstr>http://www.opm.gov/</vt:lpwstr>
      </vt:variant>
      <vt:variant>
        <vt:lpwstr/>
      </vt:variant>
      <vt:variant>
        <vt:i4>8323133</vt:i4>
      </vt:variant>
      <vt:variant>
        <vt:i4>66</vt:i4>
      </vt:variant>
      <vt:variant>
        <vt:i4>0</vt:i4>
      </vt:variant>
      <vt:variant>
        <vt:i4>5</vt:i4>
      </vt:variant>
      <vt:variant>
        <vt:lpwstr>http://www.bls.gov/oes/current/oes111021.htm</vt:lpwstr>
      </vt:variant>
      <vt:variant>
        <vt:lpwstr>nat</vt:lpwstr>
      </vt:variant>
      <vt:variant>
        <vt:i4>1966163</vt:i4>
      </vt:variant>
      <vt:variant>
        <vt:i4>63</vt:i4>
      </vt:variant>
      <vt:variant>
        <vt:i4>0</vt:i4>
      </vt:variant>
      <vt:variant>
        <vt:i4>5</vt:i4>
      </vt:variant>
      <vt:variant>
        <vt:lpwstr>http://www.bls.gov/oes/current/oes111021.html</vt:lpwstr>
      </vt:variant>
      <vt:variant>
        <vt:lpwstr/>
      </vt:variant>
      <vt:variant>
        <vt:i4>3604535</vt:i4>
      </vt:variant>
      <vt:variant>
        <vt:i4>60</vt:i4>
      </vt:variant>
      <vt:variant>
        <vt:i4>0</vt:i4>
      </vt:variant>
      <vt:variant>
        <vt:i4>5</vt:i4>
      </vt:variant>
      <vt:variant>
        <vt:lpwstr>http://www.bls.gov/oes/</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ariant>
        <vt:i4>2424876</vt:i4>
      </vt:variant>
      <vt:variant>
        <vt:i4>0</vt:i4>
      </vt:variant>
      <vt:variant>
        <vt:i4>0</vt:i4>
      </vt:variant>
      <vt:variant>
        <vt:i4>5</vt:i4>
      </vt:variant>
      <vt:variant>
        <vt:lpwstr>http://fncs/fns/ops/ora/praweb/documents/SuptStmtQuestionsTemplate.doc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anne</dc:creator>
  <cp:lastModifiedBy>lywilliams</cp:lastModifiedBy>
  <cp:revision>3</cp:revision>
  <cp:lastPrinted>2012-06-06T11:39:00Z</cp:lastPrinted>
  <dcterms:created xsi:type="dcterms:W3CDTF">2012-08-08T22:16:00Z</dcterms:created>
  <dcterms:modified xsi:type="dcterms:W3CDTF">2012-08-08T22:17:00Z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Krutzler, Christine</vt:lpwstr>
  </property>
  <property fmtid="{D5CDD505-2E9C-101B-9397-08002B2CF9AE}" pid="3" name="xd_Signature">
    <vt:lpwstr/>
  </property>
  <property fmtid="{D5CDD505-2E9C-101B-9397-08002B2CF9AE}" pid="4" name="display_urn:schemas-microsoft-com:office:office#Author">
    <vt:lpwstr>Krutzler, Christine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0x010100950A31485DDE214898E933A538E4C5A3</vt:lpwstr>
  </property>
  <property fmtid="{D5CDD505-2E9C-101B-9397-08002B2CF9AE}" pid="10" name="_SourceUrl">
    <vt:lpwstr/>
  </property>
</Properties>
</file>