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DD6" w:rsidRDefault="00335DD6" w:rsidP="005D3062">
      <w:pPr>
        <w:spacing w:line="240" w:lineRule="auto"/>
        <w:outlineLvl w:val="0"/>
        <w:rPr>
          <w:rFonts w:ascii="Calibri" w:hAnsi="Calibri" w:cs="Arial"/>
          <w:b/>
          <w:bCs/>
        </w:rPr>
      </w:pPr>
    </w:p>
    <w:p w:rsidR="00A65522" w:rsidRPr="000C5C39" w:rsidRDefault="00A65522" w:rsidP="005D3062">
      <w:pPr>
        <w:spacing w:line="240" w:lineRule="auto"/>
        <w:outlineLvl w:val="0"/>
        <w:rPr>
          <w:rFonts w:ascii="Calibri" w:hAnsi="Calibri" w:cs="Arial"/>
          <w:b/>
          <w:bCs/>
        </w:rPr>
      </w:pPr>
      <w:r w:rsidRPr="000C5C39">
        <w:rPr>
          <w:rFonts w:ascii="Calibri" w:hAnsi="Calibri" w:cs="Arial"/>
          <w:b/>
          <w:bCs/>
        </w:rPr>
        <w:t>Memorandum</w:t>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p>
    <w:p w:rsidR="00A65522" w:rsidRPr="000C5C39" w:rsidRDefault="00A65522" w:rsidP="005D3062">
      <w:pPr>
        <w:spacing w:line="240" w:lineRule="auto"/>
        <w:rPr>
          <w:rFonts w:ascii="Calibri" w:hAnsi="Calibri" w:cs="Arial"/>
          <w:b/>
          <w:bCs/>
        </w:rPr>
      </w:pPr>
    </w:p>
    <w:p w:rsidR="00A65522" w:rsidRPr="006C2A9F" w:rsidRDefault="00A65522" w:rsidP="005D3062">
      <w:pPr>
        <w:spacing w:line="240" w:lineRule="auto"/>
        <w:rPr>
          <w:rFonts w:ascii="Calibri" w:hAnsi="Calibri" w:cs="Arial"/>
          <w:b/>
          <w:bCs/>
        </w:rPr>
      </w:pPr>
      <w:r w:rsidRPr="000C5C39">
        <w:rPr>
          <w:rFonts w:ascii="Calibri" w:hAnsi="Calibri" w:cs="Arial"/>
          <w:b/>
          <w:bCs/>
        </w:rPr>
        <w:t>Date:</w:t>
      </w:r>
      <w:r w:rsidRPr="000C5C39">
        <w:rPr>
          <w:rFonts w:ascii="Calibri" w:hAnsi="Calibri" w:cs="Arial"/>
          <w:b/>
          <w:bCs/>
        </w:rPr>
        <w:tab/>
      </w:r>
      <w:r w:rsidRPr="000C5C39">
        <w:rPr>
          <w:rFonts w:ascii="Calibri" w:hAnsi="Calibri" w:cs="Arial"/>
          <w:b/>
          <w:bCs/>
        </w:rPr>
        <w:tab/>
      </w:r>
      <w:r w:rsidR="00D326F7">
        <w:rPr>
          <w:rFonts w:ascii="Calibri" w:hAnsi="Calibri" w:cs="Arial"/>
          <w:b/>
          <w:bCs/>
        </w:rPr>
        <w:t xml:space="preserve">August </w:t>
      </w:r>
      <w:r w:rsidR="006C2A9F">
        <w:rPr>
          <w:rFonts w:ascii="Calibri" w:hAnsi="Calibri" w:cs="Arial"/>
          <w:b/>
          <w:bCs/>
        </w:rPr>
        <w:t>28</w:t>
      </w:r>
      <w:r w:rsidRPr="006C2A9F">
        <w:rPr>
          <w:rFonts w:ascii="Calibri" w:hAnsi="Calibri" w:cs="Arial"/>
          <w:b/>
          <w:bCs/>
        </w:rPr>
        <w:t>, 2015</w:t>
      </w:r>
    </w:p>
    <w:p w:rsidR="00A65522" w:rsidRPr="006C2A9F" w:rsidRDefault="00A65522" w:rsidP="005D3062">
      <w:pPr>
        <w:spacing w:line="240" w:lineRule="auto"/>
        <w:rPr>
          <w:rFonts w:ascii="Calibri" w:hAnsi="Calibri" w:cs="Arial"/>
          <w:b/>
          <w:bCs/>
        </w:rPr>
      </w:pPr>
      <w:r w:rsidRPr="006C2A9F">
        <w:rPr>
          <w:rFonts w:ascii="Calibri" w:hAnsi="Calibri" w:cs="Arial"/>
          <w:b/>
          <w:bCs/>
        </w:rPr>
        <w:t>To:</w:t>
      </w:r>
      <w:r w:rsidRPr="006C2A9F">
        <w:rPr>
          <w:rFonts w:ascii="Calibri" w:hAnsi="Calibri" w:cs="Arial"/>
          <w:b/>
          <w:bCs/>
        </w:rPr>
        <w:tab/>
      </w:r>
      <w:r w:rsidRPr="006C2A9F">
        <w:rPr>
          <w:rFonts w:ascii="Calibri" w:hAnsi="Calibri" w:cs="Arial"/>
          <w:b/>
          <w:bCs/>
        </w:rPr>
        <w:tab/>
      </w:r>
      <w:r w:rsidR="00F300E1" w:rsidRPr="006C2A9F">
        <w:rPr>
          <w:rFonts w:ascii="Calibri" w:hAnsi="Calibri" w:cs="Arial"/>
          <w:b/>
          <w:bCs/>
        </w:rPr>
        <w:t xml:space="preserve">Steph </w:t>
      </w:r>
      <w:proofErr w:type="spellStart"/>
      <w:r w:rsidR="00F300E1" w:rsidRPr="006C2A9F">
        <w:rPr>
          <w:rFonts w:ascii="Calibri" w:hAnsi="Calibri" w:cs="Arial"/>
          <w:b/>
          <w:bCs/>
        </w:rPr>
        <w:t>Tatham</w:t>
      </w:r>
      <w:proofErr w:type="spellEnd"/>
      <w:r w:rsidRPr="006C2A9F">
        <w:rPr>
          <w:rFonts w:ascii="Calibri" w:hAnsi="Calibri" w:cs="Arial"/>
          <w:b/>
          <w:bCs/>
        </w:rPr>
        <w:t>, OMB Desk Officer</w:t>
      </w:r>
    </w:p>
    <w:p w:rsidR="00A65522" w:rsidRPr="000C5C39" w:rsidRDefault="00A65522" w:rsidP="005D3062">
      <w:pPr>
        <w:spacing w:line="240" w:lineRule="auto"/>
        <w:ind w:left="1440" w:hanging="1440"/>
        <w:rPr>
          <w:rFonts w:ascii="Calibri" w:hAnsi="Calibri" w:cs="Arial"/>
          <w:b/>
          <w:bCs/>
        </w:rPr>
      </w:pPr>
      <w:r w:rsidRPr="006C2A9F">
        <w:rPr>
          <w:rFonts w:ascii="Calibri" w:hAnsi="Calibri" w:cs="Arial"/>
          <w:b/>
          <w:bCs/>
        </w:rPr>
        <w:t>Through:</w:t>
      </w:r>
      <w:r w:rsidRPr="006C2A9F">
        <w:rPr>
          <w:rFonts w:ascii="Calibri" w:hAnsi="Calibri" w:cs="Arial"/>
          <w:b/>
          <w:bCs/>
        </w:rPr>
        <w:tab/>
        <w:t>Rachelle Ragland Green</w:t>
      </w:r>
      <w:r w:rsidR="00363A3C" w:rsidRPr="006C2A9F">
        <w:rPr>
          <w:rFonts w:ascii="Calibri" w:hAnsi="Calibri" w:cs="Arial"/>
          <w:b/>
          <w:bCs/>
        </w:rPr>
        <w:t>e</w:t>
      </w:r>
      <w:r w:rsidRPr="006C2A9F">
        <w:rPr>
          <w:rFonts w:ascii="Calibri" w:hAnsi="Calibri" w:cs="Arial"/>
          <w:b/>
          <w:bCs/>
        </w:rPr>
        <w:t>, Food and Nutrition Service, Information Clearance Officer; Ruth Brown OCIO Desk Officer</w:t>
      </w:r>
    </w:p>
    <w:p w:rsidR="00A65522" w:rsidRPr="000C5C39" w:rsidRDefault="00A65522" w:rsidP="005D3062">
      <w:pPr>
        <w:spacing w:line="240" w:lineRule="auto"/>
        <w:outlineLvl w:val="0"/>
        <w:rPr>
          <w:rFonts w:ascii="Calibri" w:hAnsi="Calibri" w:cs="Arial"/>
          <w:b/>
          <w:bCs/>
        </w:rPr>
      </w:pPr>
      <w:r w:rsidRPr="000C5C39">
        <w:rPr>
          <w:rFonts w:ascii="Calibri" w:hAnsi="Calibri" w:cs="Arial"/>
          <w:b/>
          <w:bCs/>
        </w:rPr>
        <w:t>From:</w:t>
      </w:r>
      <w:r w:rsidR="006A5DEF">
        <w:rPr>
          <w:rFonts w:ascii="Calibri" w:hAnsi="Calibri" w:cs="Arial"/>
          <w:b/>
          <w:bCs/>
        </w:rPr>
        <w:t xml:space="preserve"> </w:t>
      </w:r>
      <w:r w:rsidRPr="000C5C39">
        <w:rPr>
          <w:rFonts w:ascii="Calibri" w:hAnsi="Calibri" w:cs="Arial"/>
          <w:b/>
          <w:bCs/>
        </w:rPr>
        <w:tab/>
      </w:r>
      <w:r>
        <w:rPr>
          <w:rFonts w:ascii="Calibri" w:hAnsi="Calibri" w:cs="Arial"/>
          <w:b/>
          <w:bCs/>
        </w:rPr>
        <w:tab/>
      </w:r>
      <w:r w:rsidR="00CC5738">
        <w:rPr>
          <w:rFonts w:ascii="Calibri" w:hAnsi="Calibri" w:cs="Arial"/>
          <w:b/>
          <w:bCs/>
        </w:rPr>
        <w:t>Jessica Larson</w:t>
      </w:r>
      <w:r w:rsidRPr="00E01DAA">
        <w:rPr>
          <w:rFonts w:ascii="Calibri" w:hAnsi="Calibri" w:cs="Arial"/>
          <w:b/>
          <w:bCs/>
        </w:rPr>
        <w:t>,</w:t>
      </w:r>
      <w:r w:rsidRPr="000C5C39">
        <w:rPr>
          <w:rFonts w:ascii="Calibri" w:hAnsi="Calibri" w:cs="Arial"/>
          <w:b/>
          <w:bCs/>
        </w:rPr>
        <w:t xml:space="preserve"> Senior Nutritionist, </w:t>
      </w:r>
      <w:r>
        <w:rPr>
          <w:rFonts w:ascii="Calibri" w:hAnsi="Calibri" w:cs="Arial"/>
          <w:b/>
          <w:bCs/>
        </w:rPr>
        <w:t>Center for Nutrition Policy and Promotion (</w:t>
      </w:r>
      <w:r w:rsidR="00E32364">
        <w:rPr>
          <w:rFonts w:ascii="Calibri" w:hAnsi="Calibri" w:cs="Arial"/>
          <w:b/>
          <w:bCs/>
        </w:rPr>
        <w:t>C</w:t>
      </w:r>
      <w:r>
        <w:rPr>
          <w:rFonts w:ascii="Calibri" w:hAnsi="Calibri" w:cs="Arial"/>
          <w:b/>
          <w:bCs/>
        </w:rPr>
        <w:t>NPP)</w:t>
      </w:r>
    </w:p>
    <w:p w:rsidR="00A65522" w:rsidRPr="000C5C39" w:rsidRDefault="00A65522" w:rsidP="005D3062">
      <w:pPr>
        <w:spacing w:line="240" w:lineRule="auto"/>
        <w:outlineLvl w:val="0"/>
        <w:rPr>
          <w:rFonts w:ascii="Calibri" w:hAnsi="Calibri" w:cs="Arial"/>
          <w:b/>
          <w:bCs/>
        </w:rPr>
      </w:pPr>
      <w:r w:rsidRPr="000C5C39">
        <w:rPr>
          <w:rFonts w:ascii="Calibri" w:hAnsi="Calibri" w:cs="Arial"/>
          <w:b/>
          <w:bCs/>
        </w:rPr>
        <w:tab/>
      </w:r>
      <w:r w:rsidRPr="000C5C39">
        <w:rPr>
          <w:rFonts w:ascii="Calibri" w:hAnsi="Calibri" w:cs="Arial"/>
          <w:b/>
          <w:bCs/>
        </w:rPr>
        <w:tab/>
        <w:t xml:space="preserve">USDA – </w:t>
      </w:r>
      <w:r>
        <w:rPr>
          <w:rFonts w:ascii="Calibri" w:hAnsi="Calibri" w:cs="Arial"/>
          <w:b/>
          <w:bCs/>
        </w:rPr>
        <w:t>Food, Nutrition and Consumer Services</w:t>
      </w:r>
      <w:bookmarkStart w:id="0" w:name="_GoBack"/>
      <w:bookmarkEnd w:id="0"/>
    </w:p>
    <w:p w:rsidR="00897175" w:rsidRDefault="00A65522" w:rsidP="005D3062">
      <w:pPr>
        <w:spacing w:line="240" w:lineRule="auto"/>
        <w:ind w:left="1440" w:hanging="1440"/>
        <w:rPr>
          <w:sz w:val="24"/>
          <w:szCs w:val="24"/>
        </w:rPr>
      </w:pPr>
      <w:r w:rsidRPr="000C5C39">
        <w:rPr>
          <w:rFonts w:ascii="Calibri" w:hAnsi="Calibri" w:cs="Arial"/>
          <w:b/>
          <w:bCs/>
        </w:rPr>
        <w:t>Re:</w:t>
      </w:r>
      <w:r w:rsidRPr="000C5C39">
        <w:rPr>
          <w:rFonts w:ascii="Calibri" w:hAnsi="Calibri" w:cs="Arial"/>
          <w:b/>
          <w:bCs/>
        </w:rPr>
        <w:tab/>
      </w:r>
      <w:r w:rsidR="001F6857" w:rsidRPr="001F6857">
        <w:rPr>
          <w:rFonts w:cs="Arial"/>
          <w:b/>
          <w:bCs/>
        </w:rPr>
        <w:t>Under Approved Generic OMB Clearance No. 0584-0523 Request for Approval to Perform Formative Research to</w:t>
      </w:r>
      <w:r w:rsidR="001F6857" w:rsidRPr="001F6857">
        <w:rPr>
          <w:b/>
        </w:rPr>
        <w:t xml:space="preserve"> </w:t>
      </w:r>
      <w:r w:rsidR="00825E14">
        <w:rPr>
          <w:b/>
        </w:rPr>
        <w:t>Test Messages Developed to Help Communicate 2015 Dietary Guidelines Recommendations</w:t>
      </w:r>
    </w:p>
    <w:p w:rsidR="00F158CF" w:rsidRPr="000C5C39" w:rsidRDefault="00F158CF" w:rsidP="005D3062">
      <w:pPr>
        <w:spacing w:line="240" w:lineRule="auto"/>
        <w:rPr>
          <w:rFonts w:ascii="Calibri" w:hAnsi="Calibri" w:cs="Arial"/>
        </w:rPr>
      </w:pPr>
      <w:r>
        <w:rPr>
          <w:rFonts w:ascii="Calibri" w:hAnsi="Calibri" w:cs="Arial"/>
        </w:rPr>
        <w:t xml:space="preserve">Center for Nutrition Policy and Promotion (CNPP) </w:t>
      </w:r>
      <w:r w:rsidRPr="000C5C39">
        <w:rPr>
          <w:rFonts w:ascii="Calibri" w:hAnsi="Calibri" w:cs="Arial"/>
        </w:rPr>
        <w:t>of the USDA Food, Nutrition</w:t>
      </w:r>
      <w:r>
        <w:rPr>
          <w:rFonts w:ascii="Calibri" w:hAnsi="Calibri" w:cs="Arial"/>
        </w:rPr>
        <w:t>,</w:t>
      </w:r>
      <w:r w:rsidRPr="000C5C39">
        <w:rPr>
          <w:rFonts w:ascii="Calibri" w:hAnsi="Calibri" w:cs="Arial"/>
        </w:rPr>
        <w:t xml:space="preserve"> and Consumer Services </w:t>
      </w:r>
      <w:r w:rsidR="00294FD2">
        <w:rPr>
          <w:rFonts w:ascii="Calibri" w:hAnsi="Calibri" w:cs="Arial"/>
        </w:rPr>
        <w:t>is</w:t>
      </w:r>
      <w:r w:rsidR="00907FD5" w:rsidRPr="000C5C39">
        <w:rPr>
          <w:rFonts w:ascii="Calibri" w:hAnsi="Calibri" w:cs="Arial"/>
        </w:rPr>
        <w:t xml:space="preserve"> </w:t>
      </w:r>
      <w:r w:rsidRPr="000C5C39">
        <w:rPr>
          <w:rFonts w:ascii="Calibri" w:hAnsi="Calibri" w:cs="Arial"/>
        </w:rPr>
        <w:t xml:space="preserve">requesting approval for formative research under </w:t>
      </w:r>
      <w:r w:rsidRPr="00910369">
        <w:rPr>
          <w:rFonts w:ascii="Calibri" w:hAnsi="Calibri" w:cs="Arial"/>
        </w:rPr>
        <w:t>Approved Generic OMB Clearance No. 0584-052</w:t>
      </w:r>
      <w:r>
        <w:rPr>
          <w:rFonts w:ascii="Calibri" w:hAnsi="Calibri" w:cs="Arial"/>
        </w:rPr>
        <w:t>3</w:t>
      </w:r>
      <w:r w:rsidRPr="00910369">
        <w:rPr>
          <w:rFonts w:ascii="Calibri" w:hAnsi="Calibri" w:cs="Arial"/>
        </w:rPr>
        <w:t>.</w:t>
      </w:r>
    </w:p>
    <w:p w:rsidR="00F158CF" w:rsidRPr="00513BD2" w:rsidRDefault="00F158CF" w:rsidP="005D3062">
      <w:pPr>
        <w:spacing w:line="240" w:lineRule="auto"/>
        <w:rPr>
          <w:rFonts w:ascii="Calibri" w:hAnsi="Calibri" w:cs="Arial"/>
        </w:rPr>
      </w:pPr>
      <w:r w:rsidRPr="00513BD2">
        <w:rPr>
          <w:rFonts w:ascii="Calibri" w:hAnsi="Calibri" w:cs="Arial"/>
        </w:rPr>
        <w:t xml:space="preserve">This request is to acquire clearance to conduct formative research in order to </w:t>
      </w:r>
      <w:r w:rsidRPr="00513BD2">
        <w:t xml:space="preserve">develop </w:t>
      </w:r>
      <w:r w:rsidR="00825E14">
        <w:t>message</w:t>
      </w:r>
      <w:r w:rsidR="00B41066">
        <w:t xml:space="preserve"> concept</w:t>
      </w:r>
      <w:r w:rsidR="00825E14">
        <w:t xml:space="preserve">s to communicate recommendations stemming from </w:t>
      </w:r>
      <w:r w:rsidRPr="00513BD2">
        <w:t>the Dietary Guidelines for America</w:t>
      </w:r>
      <w:r w:rsidR="00016987">
        <w:t>n</w:t>
      </w:r>
      <w:r w:rsidRPr="00513BD2">
        <w:t>s 2015</w:t>
      </w:r>
      <w:r w:rsidR="002B6463" w:rsidRPr="00513BD2">
        <w:t>.</w:t>
      </w:r>
    </w:p>
    <w:p w:rsidR="00F158CF" w:rsidRPr="000C5C39" w:rsidRDefault="00F158CF" w:rsidP="005D3062">
      <w:pPr>
        <w:spacing w:line="240" w:lineRule="auto"/>
        <w:rPr>
          <w:rFonts w:ascii="Calibri" w:hAnsi="Calibri" w:cs="Arial"/>
        </w:rPr>
      </w:pPr>
      <w:r w:rsidRPr="000C5C39">
        <w:rPr>
          <w:rFonts w:ascii="Calibri" w:hAnsi="Calibri" w:cs="Arial"/>
        </w:rPr>
        <w:t>The following information is provided for your review:</w:t>
      </w:r>
    </w:p>
    <w:p w:rsidR="00F158CF" w:rsidRPr="00513BD2" w:rsidRDefault="00F158CF" w:rsidP="005D3062">
      <w:pPr>
        <w:numPr>
          <w:ilvl w:val="0"/>
          <w:numId w:val="32"/>
        </w:numPr>
        <w:spacing w:after="0" w:line="240" w:lineRule="auto"/>
        <w:outlineLvl w:val="0"/>
        <w:rPr>
          <w:rFonts w:ascii="Calibri" w:hAnsi="Calibri" w:cs="Arial"/>
          <w:bCs/>
        </w:rPr>
      </w:pPr>
      <w:r w:rsidRPr="000C5C39">
        <w:rPr>
          <w:rFonts w:ascii="Calibri" w:hAnsi="Calibri" w:cs="Arial"/>
          <w:b/>
        </w:rPr>
        <w:t xml:space="preserve">Title of the Project: </w:t>
      </w:r>
      <w:r w:rsidR="00FA771F">
        <w:rPr>
          <w:rFonts w:ascii="Calibri" w:hAnsi="Calibri" w:cs="Arial"/>
        </w:rPr>
        <w:t xml:space="preserve">CNPP </w:t>
      </w:r>
      <w:r w:rsidR="00B41066">
        <w:rPr>
          <w:rFonts w:ascii="Calibri" w:hAnsi="Calibri" w:cs="Arial"/>
        </w:rPr>
        <w:t xml:space="preserve">Message Concept </w:t>
      </w:r>
      <w:r w:rsidR="0055337C">
        <w:rPr>
          <w:rFonts w:ascii="Calibri" w:hAnsi="Calibri" w:cs="Arial"/>
        </w:rPr>
        <w:t>Web Experiment</w:t>
      </w:r>
    </w:p>
    <w:p w:rsidR="00513BD2" w:rsidRPr="000C5C39" w:rsidRDefault="00513BD2" w:rsidP="005D3062">
      <w:pPr>
        <w:spacing w:after="0" w:line="240" w:lineRule="auto"/>
        <w:ind w:left="360"/>
        <w:outlineLvl w:val="0"/>
        <w:rPr>
          <w:rFonts w:ascii="Calibri" w:hAnsi="Calibri" w:cs="Arial"/>
          <w:bCs/>
        </w:rPr>
      </w:pPr>
    </w:p>
    <w:p w:rsidR="00F158CF" w:rsidRPr="00E01DAA" w:rsidRDefault="00513BD2" w:rsidP="005D3062">
      <w:pPr>
        <w:numPr>
          <w:ilvl w:val="0"/>
          <w:numId w:val="32"/>
        </w:numPr>
        <w:spacing w:after="0" w:line="240" w:lineRule="auto"/>
        <w:rPr>
          <w:rFonts w:ascii="Calibri" w:hAnsi="Calibri" w:cs="Arial"/>
        </w:rPr>
      </w:pPr>
      <w:r w:rsidRPr="00E01DAA">
        <w:rPr>
          <w:rFonts w:ascii="Calibri" w:hAnsi="Calibri" w:cs="Arial"/>
          <w:b/>
        </w:rPr>
        <w:t xml:space="preserve">OMB </w:t>
      </w:r>
      <w:r w:rsidR="00F158CF" w:rsidRPr="00E01DAA">
        <w:rPr>
          <w:rFonts w:ascii="Calibri" w:hAnsi="Calibri" w:cs="Arial"/>
          <w:b/>
        </w:rPr>
        <w:t>Control Number</w:t>
      </w:r>
      <w:r w:rsidRPr="00E01DAA">
        <w:rPr>
          <w:rFonts w:ascii="Calibri" w:hAnsi="Calibri" w:cs="Arial"/>
          <w:b/>
        </w:rPr>
        <w:t xml:space="preserve"> and Expiration Date</w:t>
      </w:r>
      <w:r w:rsidR="00F158CF" w:rsidRPr="00E01DAA">
        <w:rPr>
          <w:rFonts w:ascii="Calibri" w:hAnsi="Calibri" w:cs="Arial"/>
          <w:b/>
        </w:rPr>
        <w:t xml:space="preserve">: </w:t>
      </w:r>
      <w:r w:rsidR="00F158CF" w:rsidRPr="00E01DAA">
        <w:rPr>
          <w:rFonts w:ascii="Calibri" w:hAnsi="Calibri" w:cs="Arial"/>
          <w:bCs/>
        </w:rPr>
        <w:t>0584-0523</w:t>
      </w:r>
      <w:r w:rsidRPr="00E01DAA">
        <w:rPr>
          <w:rFonts w:ascii="Calibri" w:hAnsi="Calibri" w:cs="Arial"/>
          <w:bCs/>
        </w:rPr>
        <w:t xml:space="preserve">, </w:t>
      </w:r>
      <w:r w:rsidR="00574ABC">
        <w:rPr>
          <w:rFonts w:ascii="Calibri" w:hAnsi="Calibri" w:cs="Arial"/>
          <w:bCs/>
        </w:rPr>
        <w:t>January 31,2016</w:t>
      </w:r>
    </w:p>
    <w:p w:rsidR="00513BD2" w:rsidRPr="000C5C39" w:rsidRDefault="00513BD2" w:rsidP="005D3062">
      <w:pPr>
        <w:spacing w:after="0" w:line="240" w:lineRule="auto"/>
        <w:ind w:left="360"/>
        <w:rPr>
          <w:rFonts w:ascii="Calibri" w:hAnsi="Calibri" w:cs="Arial"/>
        </w:rPr>
      </w:pPr>
    </w:p>
    <w:p w:rsidR="00D073A8" w:rsidRDefault="00F158CF" w:rsidP="005D3062">
      <w:pPr>
        <w:pStyle w:val="ListParagraph"/>
        <w:numPr>
          <w:ilvl w:val="0"/>
          <w:numId w:val="32"/>
        </w:numPr>
        <w:spacing w:after="0" w:line="240" w:lineRule="auto"/>
        <w:contextualSpacing w:val="0"/>
        <w:rPr>
          <w:rFonts w:ascii="Calibri" w:hAnsi="Calibri" w:cs="Arial"/>
        </w:rPr>
      </w:pPr>
      <w:r w:rsidRPr="005D3062">
        <w:rPr>
          <w:rFonts w:ascii="Calibri" w:hAnsi="Calibri" w:cs="Arial"/>
          <w:b/>
        </w:rPr>
        <w:t>Public Affected by this Project:</w:t>
      </w:r>
      <w:r w:rsidR="00574ABC">
        <w:rPr>
          <w:rFonts w:ascii="Calibri" w:hAnsi="Calibri" w:cs="Arial"/>
          <w:b/>
        </w:rPr>
        <w:t xml:space="preserve"> Individuals and Households.  </w:t>
      </w:r>
      <w:r w:rsidRPr="005D3062">
        <w:rPr>
          <w:rFonts w:ascii="Calibri" w:hAnsi="Calibri" w:cs="Arial"/>
          <w:b/>
        </w:rPr>
        <w:t xml:space="preserve"> </w:t>
      </w:r>
      <w:r w:rsidR="00974F47">
        <w:rPr>
          <w:rFonts w:ascii="Calibri" w:hAnsi="Calibri" w:cs="Arial"/>
        </w:rPr>
        <w:t xml:space="preserve">The research will be conducted with </w:t>
      </w:r>
      <w:r w:rsidR="00D937FF" w:rsidRPr="005D3062">
        <w:rPr>
          <w:rFonts w:ascii="Calibri" w:hAnsi="Calibri" w:cs="Arial"/>
        </w:rPr>
        <w:t xml:space="preserve">Americans </w:t>
      </w:r>
      <w:r w:rsidR="00974F47">
        <w:rPr>
          <w:rFonts w:ascii="Calibri" w:hAnsi="Calibri" w:cs="Arial"/>
        </w:rPr>
        <w:t xml:space="preserve">over </w:t>
      </w:r>
      <w:r w:rsidR="00D937FF" w:rsidRPr="005D3062">
        <w:rPr>
          <w:rFonts w:ascii="Calibri" w:hAnsi="Calibri" w:cs="Arial"/>
        </w:rPr>
        <w:t xml:space="preserve">the ages </w:t>
      </w:r>
      <w:r w:rsidR="001C5083">
        <w:rPr>
          <w:rFonts w:ascii="Calibri" w:hAnsi="Calibri" w:cs="Arial"/>
        </w:rPr>
        <w:t xml:space="preserve">of </w:t>
      </w:r>
      <w:r w:rsidR="00D937FF" w:rsidRPr="005D3062">
        <w:rPr>
          <w:rFonts w:ascii="Calibri" w:hAnsi="Calibri" w:cs="Arial"/>
        </w:rPr>
        <w:t xml:space="preserve">18 </w:t>
      </w:r>
      <w:r w:rsidR="00974F47">
        <w:rPr>
          <w:rFonts w:ascii="Calibri" w:hAnsi="Calibri" w:cs="Arial"/>
        </w:rPr>
        <w:t xml:space="preserve">and </w:t>
      </w:r>
      <w:r w:rsidR="00D937FF" w:rsidRPr="005D3062">
        <w:rPr>
          <w:rFonts w:ascii="Calibri" w:hAnsi="Calibri" w:cs="Arial"/>
        </w:rPr>
        <w:t>will i</w:t>
      </w:r>
      <w:r w:rsidR="00016987">
        <w:rPr>
          <w:rFonts w:ascii="Calibri" w:hAnsi="Calibri" w:cs="Arial"/>
        </w:rPr>
        <w:t xml:space="preserve">nclude both English- and Spanish-speaking </w:t>
      </w:r>
      <w:r w:rsidR="0055337C">
        <w:rPr>
          <w:rFonts w:ascii="Calibri" w:hAnsi="Calibri" w:cs="Arial"/>
        </w:rPr>
        <w:t>individuals</w:t>
      </w:r>
      <w:r w:rsidR="00D937FF" w:rsidRPr="005D3062">
        <w:rPr>
          <w:rFonts w:ascii="Calibri" w:hAnsi="Calibri" w:cs="Arial"/>
        </w:rPr>
        <w:t>.</w:t>
      </w:r>
      <w:r w:rsidR="006429F1">
        <w:rPr>
          <w:rFonts w:ascii="Calibri" w:hAnsi="Calibri" w:cs="Arial"/>
        </w:rPr>
        <w:t xml:space="preserve"> </w:t>
      </w:r>
      <w:r w:rsidR="0055337C">
        <w:rPr>
          <w:rFonts w:ascii="Calibri" w:hAnsi="Calibri" w:cs="Arial"/>
        </w:rPr>
        <w:t xml:space="preserve"> </w:t>
      </w:r>
      <w:r w:rsidR="00D073A8" w:rsidRPr="005D3062">
        <w:rPr>
          <w:rFonts w:ascii="Calibri" w:hAnsi="Calibri" w:cs="Arial"/>
        </w:rPr>
        <w:t xml:space="preserve">See section 7, </w:t>
      </w:r>
      <w:r w:rsidR="00D073A8" w:rsidRPr="005D3062">
        <w:rPr>
          <w:rFonts w:ascii="Calibri" w:hAnsi="Calibri" w:cs="Arial"/>
          <w:i/>
        </w:rPr>
        <w:t>Project Purpose, Methodology &amp; Formative Research Design</w:t>
      </w:r>
      <w:r w:rsidR="00D073A8" w:rsidRPr="005D3062">
        <w:rPr>
          <w:rFonts w:ascii="Calibri" w:hAnsi="Calibri" w:cs="Arial"/>
        </w:rPr>
        <w:t xml:space="preserve"> for a description of the number of participants</w:t>
      </w:r>
      <w:r w:rsidR="005D3062">
        <w:rPr>
          <w:rFonts w:ascii="Calibri" w:hAnsi="Calibri" w:cs="Arial"/>
        </w:rPr>
        <w:t xml:space="preserve"> necessary</w:t>
      </w:r>
      <w:r w:rsidR="00D073A8" w:rsidRPr="005D3062">
        <w:rPr>
          <w:rFonts w:ascii="Calibri" w:hAnsi="Calibri" w:cs="Arial"/>
        </w:rPr>
        <w:t xml:space="preserve"> for</w:t>
      </w:r>
      <w:r w:rsidR="005D3062">
        <w:rPr>
          <w:rFonts w:ascii="Calibri" w:hAnsi="Calibri" w:cs="Arial"/>
        </w:rPr>
        <w:t xml:space="preserve"> the</w:t>
      </w:r>
      <w:r w:rsidR="00164EF7">
        <w:rPr>
          <w:rFonts w:ascii="Calibri" w:hAnsi="Calibri" w:cs="Arial"/>
        </w:rPr>
        <w:t xml:space="preserve"> research methodology</w:t>
      </w:r>
      <w:r w:rsidR="00D073A8" w:rsidRPr="005D3062">
        <w:rPr>
          <w:rFonts w:ascii="Calibri" w:hAnsi="Calibri" w:cs="Arial"/>
        </w:rPr>
        <w:t>.</w:t>
      </w:r>
      <w:r w:rsidR="006429F1">
        <w:rPr>
          <w:rFonts w:ascii="Calibri" w:hAnsi="Calibri" w:cs="Arial"/>
        </w:rPr>
        <w:t xml:space="preserve"> </w:t>
      </w:r>
      <w:r w:rsidR="00164EF7">
        <w:rPr>
          <w:rFonts w:ascii="Calibri" w:hAnsi="Calibri" w:cs="Arial"/>
        </w:rPr>
        <w:t>The definitions of the pub</w:t>
      </w:r>
      <w:r w:rsidR="00016987">
        <w:rPr>
          <w:rFonts w:ascii="Calibri" w:hAnsi="Calibri" w:cs="Arial"/>
        </w:rPr>
        <w:t>lic affected by this project are identified in</w:t>
      </w:r>
      <w:r w:rsidR="00164EF7">
        <w:rPr>
          <w:rFonts w:ascii="Calibri" w:hAnsi="Calibri" w:cs="Arial"/>
        </w:rPr>
        <w:t xml:space="preserve"> the screening</w:t>
      </w:r>
      <w:r w:rsidR="00C57FE7">
        <w:rPr>
          <w:rFonts w:ascii="Calibri" w:hAnsi="Calibri" w:cs="Arial"/>
        </w:rPr>
        <w:t xml:space="preserve"> instruments (see Attachments B-1 and B</w:t>
      </w:r>
      <w:r w:rsidR="00825E14">
        <w:rPr>
          <w:rFonts w:ascii="Calibri" w:hAnsi="Calibri" w:cs="Arial"/>
        </w:rPr>
        <w:t>-</w:t>
      </w:r>
      <w:r w:rsidR="00164EF7">
        <w:rPr>
          <w:rFonts w:ascii="Calibri" w:hAnsi="Calibri" w:cs="Arial"/>
        </w:rPr>
        <w:t>2).</w:t>
      </w:r>
      <w:r w:rsidR="006429F1">
        <w:rPr>
          <w:rFonts w:ascii="Calibri" w:hAnsi="Calibri" w:cs="Arial"/>
        </w:rPr>
        <w:t xml:space="preserve"> </w:t>
      </w:r>
    </w:p>
    <w:p w:rsidR="001C5083" w:rsidRPr="001C5083" w:rsidRDefault="001C5083" w:rsidP="001C5083">
      <w:pPr>
        <w:spacing w:after="0" w:line="240" w:lineRule="auto"/>
        <w:rPr>
          <w:rFonts w:ascii="Calibri" w:hAnsi="Calibri" w:cs="Arial"/>
        </w:rPr>
      </w:pPr>
    </w:p>
    <w:p w:rsidR="00D073A8" w:rsidRPr="00F66488" w:rsidRDefault="005E3AB4" w:rsidP="005D3062">
      <w:pPr>
        <w:numPr>
          <w:ilvl w:val="0"/>
          <w:numId w:val="32"/>
        </w:numPr>
        <w:spacing w:after="0" w:line="240" w:lineRule="auto"/>
        <w:rPr>
          <w:rFonts w:ascii="Calibri" w:hAnsi="Calibri" w:cs="Arial"/>
          <w:sz w:val="24"/>
          <w:szCs w:val="24"/>
        </w:rPr>
      </w:pPr>
      <w:r w:rsidRPr="005E3AB4">
        <w:rPr>
          <w:rFonts w:ascii="Calibri" w:hAnsi="Calibri" w:cs="Arial"/>
          <w:b/>
          <w:sz w:val="24"/>
          <w:szCs w:val="24"/>
        </w:rPr>
        <w:t>Number of Respondents:</w:t>
      </w:r>
    </w:p>
    <w:p w:rsidR="00F66488" w:rsidRPr="007339FB" w:rsidRDefault="00F66488" w:rsidP="00F66488">
      <w:pPr>
        <w:spacing w:after="0" w:line="240" w:lineRule="auto"/>
        <w:contextualSpacing/>
        <w:rPr>
          <w:rFonts w:cs="Arial"/>
        </w:rPr>
      </w:pPr>
      <w:r w:rsidRPr="007339FB">
        <w:t xml:space="preserve">CNPP, along with our contractors, will contact approximately </w:t>
      </w:r>
      <w:r w:rsidR="0030180B">
        <w:t>1</w:t>
      </w:r>
      <w:r w:rsidR="00357679">
        <w:t>,</w:t>
      </w:r>
      <w:r w:rsidR="0030180B">
        <w:t>577</w:t>
      </w:r>
      <w:r>
        <w:t xml:space="preserve"> </w:t>
      </w:r>
      <w:r w:rsidRPr="007339FB">
        <w:t xml:space="preserve">individuals and households to recruit: </w:t>
      </w:r>
    </w:p>
    <w:p w:rsidR="00F66488" w:rsidRPr="007339FB" w:rsidRDefault="00F66488" w:rsidP="00F66488">
      <w:pPr>
        <w:spacing w:after="0" w:line="240" w:lineRule="auto"/>
        <w:contextualSpacing/>
      </w:pPr>
    </w:p>
    <w:p w:rsidR="00F66488" w:rsidRDefault="00F66488" w:rsidP="00F66488">
      <w:pPr>
        <w:pStyle w:val="ListParagraph"/>
        <w:numPr>
          <w:ilvl w:val="0"/>
          <w:numId w:val="29"/>
        </w:numPr>
        <w:spacing w:after="0" w:line="240" w:lineRule="auto"/>
      </w:pPr>
      <w:r>
        <w:t>1</w:t>
      </w:r>
      <w:r w:rsidR="00357679">
        <w:t>,</w:t>
      </w:r>
      <w:r w:rsidR="00974F47">
        <w:t>200</w:t>
      </w:r>
      <w:r>
        <w:t xml:space="preserve"> </w:t>
      </w:r>
      <w:r w:rsidRPr="007339FB">
        <w:t xml:space="preserve">participants </w:t>
      </w:r>
      <w:r>
        <w:t>completing the survey in English</w:t>
      </w:r>
      <w:r w:rsidR="00974F47">
        <w:t xml:space="preserve"> or Spanish</w:t>
      </w:r>
      <w:r>
        <w:t>.</w:t>
      </w:r>
    </w:p>
    <w:p w:rsidR="00974F47" w:rsidRDefault="00974F47" w:rsidP="00F168D9">
      <w:pPr>
        <w:pStyle w:val="ListParagraph"/>
        <w:numPr>
          <w:ilvl w:val="1"/>
          <w:numId w:val="29"/>
        </w:numPr>
        <w:spacing w:after="0" w:line="240" w:lineRule="auto"/>
      </w:pPr>
      <w:r>
        <w:t xml:space="preserve">300 will take a survey in Spanish </w:t>
      </w:r>
    </w:p>
    <w:p w:rsidR="00974F47" w:rsidRPr="007339FB" w:rsidRDefault="00974F47" w:rsidP="00F168D9">
      <w:pPr>
        <w:pStyle w:val="ListParagraph"/>
        <w:numPr>
          <w:ilvl w:val="1"/>
          <w:numId w:val="29"/>
        </w:numPr>
        <w:spacing w:after="0" w:line="240" w:lineRule="auto"/>
      </w:pPr>
      <w:r>
        <w:t>900 will take a survey in English</w:t>
      </w:r>
    </w:p>
    <w:p w:rsidR="00F66488" w:rsidRPr="002D1EBB" w:rsidRDefault="00F66488" w:rsidP="00F66488">
      <w:pPr>
        <w:spacing w:after="0" w:line="240" w:lineRule="auto"/>
        <w:ind w:left="360"/>
        <w:rPr>
          <w:rFonts w:ascii="Calibri" w:hAnsi="Calibri" w:cs="Arial"/>
          <w:sz w:val="24"/>
          <w:szCs w:val="24"/>
        </w:rPr>
      </w:pPr>
    </w:p>
    <w:p w:rsidR="002D1EBB" w:rsidRDefault="00F66488" w:rsidP="005D3062">
      <w:pPr>
        <w:pStyle w:val="ListParagraph"/>
        <w:spacing w:line="240" w:lineRule="auto"/>
        <w:ind w:left="360"/>
        <w:rPr>
          <w:rFonts w:ascii="Calibri" w:hAnsi="Calibri" w:cs="Arial"/>
        </w:rPr>
      </w:pPr>
      <w:r>
        <w:rPr>
          <w:rFonts w:ascii="Calibri" w:hAnsi="Calibri" w:cs="Arial"/>
        </w:rPr>
        <w:t xml:space="preserve">Among the </w:t>
      </w:r>
      <w:r w:rsidR="0030180B">
        <w:rPr>
          <w:rFonts w:ascii="Calibri" w:hAnsi="Calibri" w:cs="Arial"/>
        </w:rPr>
        <w:t>1</w:t>
      </w:r>
      <w:r w:rsidR="00357679">
        <w:rPr>
          <w:rFonts w:ascii="Calibri" w:hAnsi="Calibri" w:cs="Arial"/>
        </w:rPr>
        <w:t>,</w:t>
      </w:r>
      <w:r w:rsidR="0030180B">
        <w:rPr>
          <w:rFonts w:ascii="Calibri" w:hAnsi="Calibri" w:cs="Arial"/>
        </w:rPr>
        <w:t xml:space="preserve">577 </w:t>
      </w:r>
      <w:r>
        <w:rPr>
          <w:rFonts w:ascii="Calibri" w:hAnsi="Calibri" w:cs="Arial"/>
        </w:rPr>
        <w:t>individuals initially contacted, w</w:t>
      </w:r>
      <w:r w:rsidR="00574ABC">
        <w:rPr>
          <w:rFonts w:ascii="Calibri" w:hAnsi="Calibri" w:cs="Arial"/>
        </w:rPr>
        <w:t xml:space="preserve">e estimated that </w:t>
      </w:r>
      <w:r w:rsidR="0030180B">
        <w:rPr>
          <w:rFonts w:ascii="Calibri" w:hAnsi="Calibri" w:cs="Arial"/>
        </w:rPr>
        <w:t>315</w:t>
      </w:r>
      <w:r>
        <w:rPr>
          <w:rFonts w:ascii="Calibri" w:hAnsi="Calibri" w:cs="Arial"/>
        </w:rPr>
        <w:t xml:space="preserve"> (20%</w:t>
      </w:r>
      <w:r w:rsidR="00574ABC">
        <w:rPr>
          <w:rFonts w:ascii="Calibri" w:hAnsi="Calibri" w:cs="Arial"/>
        </w:rPr>
        <w:t>) will not partici</w:t>
      </w:r>
      <w:r>
        <w:rPr>
          <w:rFonts w:ascii="Calibri" w:hAnsi="Calibri" w:cs="Arial"/>
        </w:rPr>
        <w:t xml:space="preserve">pate in any phase of research, whereas </w:t>
      </w:r>
      <w:r w:rsidR="0030180B">
        <w:rPr>
          <w:rFonts w:ascii="Calibri" w:hAnsi="Calibri" w:cs="Arial"/>
        </w:rPr>
        <w:t>1</w:t>
      </w:r>
      <w:r w:rsidR="00357679">
        <w:rPr>
          <w:rFonts w:ascii="Calibri" w:hAnsi="Calibri" w:cs="Arial"/>
        </w:rPr>
        <w:t>,</w:t>
      </w:r>
      <w:r w:rsidR="0030180B">
        <w:rPr>
          <w:rFonts w:ascii="Calibri" w:hAnsi="Calibri" w:cs="Arial"/>
        </w:rPr>
        <w:t>262</w:t>
      </w:r>
      <w:r w:rsidR="00574ABC">
        <w:rPr>
          <w:rFonts w:ascii="Calibri" w:hAnsi="Calibri" w:cs="Arial"/>
        </w:rPr>
        <w:t xml:space="preserve"> </w:t>
      </w:r>
      <w:r>
        <w:rPr>
          <w:rFonts w:ascii="Calibri" w:hAnsi="Calibri" w:cs="Arial"/>
        </w:rPr>
        <w:t xml:space="preserve">(80%) </w:t>
      </w:r>
      <w:r w:rsidR="00574ABC">
        <w:rPr>
          <w:rFonts w:ascii="Calibri" w:hAnsi="Calibri" w:cs="Arial"/>
        </w:rPr>
        <w:t xml:space="preserve">will go </w:t>
      </w:r>
      <w:r>
        <w:rPr>
          <w:rFonts w:ascii="Calibri" w:hAnsi="Calibri" w:cs="Arial"/>
        </w:rPr>
        <w:t xml:space="preserve">on to participate in the screener. We further </w:t>
      </w:r>
      <w:r>
        <w:rPr>
          <w:rFonts w:ascii="Calibri" w:hAnsi="Calibri" w:cs="Arial"/>
        </w:rPr>
        <w:lastRenderedPageBreak/>
        <w:t xml:space="preserve">estimate that among </w:t>
      </w:r>
      <w:r w:rsidR="0030180B">
        <w:rPr>
          <w:rFonts w:ascii="Calibri" w:hAnsi="Calibri" w:cs="Arial"/>
        </w:rPr>
        <w:t>1</w:t>
      </w:r>
      <w:r w:rsidR="00357679">
        <w:rPr>
          <w:rFonts w:ascii="Calibri" w:hAnsi="Calibri" w:cs="Arial"/>
        </w:rPr>
        <w:t>,</w:t>
      </w:r>
      <w:r w:rsidR="0030180B">
        <w:rPr>
          <w:rFonts w:ascii="Calibri" w:hAnsi="Calibri" w:cs="Arial"/>
        </w:rPr>
        <w:t>262</w:t>
      </w:r>
      <w:r>
        <w:rPr>
          <w:rFonts w:ascii="Calibri" w:hAnsi="Calibri" w:cs="Arial"/>
        </w:rPr>
        <w:t xml:space="preserve"> participants who would a </w:t>
      </w:r>
      <w:r w:rsidR="00EC6B82">
        <w:rPr>
          <w:rFonts w:ascii="Calibri" w:hAnsi="Calibri" w:cs="Arial"/>
        </w:rPr>
        <w:t xml:space="preserve">respond to a </w:t>
      </w:r>
      <w:r>
        <w:rPr>
          <w:rFonts w:ascii="Calibri" w:hAnsi="Calibri" w:cs="Arial"/>
        </w:rPr>
        <w:t xml:space="preserve">screener, </w:t>
      </w:r>
      <w:r w:rsidR="0030180B">
        <w:rPr>
          <w:rFonts w:ascii="Calibri" w:hAnsi="Calibri" w:cs="Arial"/>
        </w:rPr>
        <w:t>62</w:t>
      </w:r>
      <w:r>
        <w:rPr>
          <w:rFonts w:ascii="Calibri" w:hAnsi="Calibri" w:cs="Arial"/>
        </w:rPr>
        <w:t xml:space="preserve"> (5%) will not be </w:t>
      </w:r>
      <w:r w:rsidR="00704B8A">
        <w:rPr>
          <w:rFonts w:ascii="Calibri" w:hAnsi="Calibri" w:cs="Arial"/>
        </w:rPr>
        <w:t xml:space="preserve">eligible to complete the survey and </w:t>
      </w:r>
      <w:r w:rsidR="0030180B">
        <w:rPr>
          <w:rFonts w:ascii="Calibri" w:hAnsi="Calibri" w:cs="Arial"/>
        </w:rPr>
        <w:t>1</w:t>
      </w:r>
      <w:r w:rsidR="00357679">
        <w:rPr>
          <w:rFonts w:ascii="Calibri" w:hAnsi="Calibri" w:cs="Arial"/>
        </w:rPr>
        <w:t>,</w:t>
      </w:r>
      <w:r w:rsidR="0030180B">
        <w:rPr>
          <w:rFonts w:ascii="Calibri" w:hAnsi="Calibri" w:cs="Arial"/>
        </w:rPr>
        <w:t>200</w:t>
      </w:r>
      <w:r w:rsidR="00704B8A">
        <w:rPr>
          <w:rFonts w:ascii="Calibri" w:hAnsi="Calibri" w:cs="Arial"/>
        </w:rPr>
        <w:t xml:space="preserve"> (95%) will be eligible to complete the survey.  </w:t>
      </w:r>
    </w:p>
    <w:p w:rsidR="005D3062" w:rsidRDefault="005D3062" w:rsidP="005D3062">
      <w:pPr>
        <w:pStyle w:val="ListParagraph"/>
        <w:spacing w:line="240" w:lineRule="auto"/>
        <w:ind w:left="360"/>
        <w:rPr>
          <w:rFonts w:ascii="Calibri" w:hAnsi="Calibri" w:cs="Arial"/>
        </w:rPr>
      </w:pPr>
    </w:p>
    <w:p w:rsidR="00623C9E" w:rsidRDefault="00824024" w:rsidP="005D3062">
      <w:pPr>
        <w:spacing w:after="0" w:line="240" w:lineRule="auto"/>
        <w:contextualSpacing/>
        <w:rPr>
          <w:sz w:val="24"/>
          <w:szCs w:val="24"/>
        </w:rPr>
      </w:pPr>
      <w:r w:rsidRPr="006E0EB9">
        <w:rPr>
          <w:rFonts w:ascii="Calibri" w:hAnsi="Calibri" w:cs="Arial"/>
          <w:i/>
        </w:rPr>
        <w:t xml:space="preserve">Table 1: </w:t>
      </w:r>
      <w:r w:rsidR="00623C9E" w:rsidRPr="006E0EB9">
        <w:rPr>
          <w:rFonts w:ascii="Calibri" w:hAnsi="Calibri" w:cs="Arial"/>
          <w:i/>
        </w:rPr>
        <w:t>Number of respondents</w:t>
      </w:r>
    </w:p>
    <w:tbl>
      <w:tblPr>
        <w:tblW w:w="9920" w:type="dxa"/>
        <w:tblLook w:val="04A0" w:firstRow="1" w:lastRow="0" w:firstColumn="1" w:lastColumn="0" w:noHBand="0" w:noVBand="1"/>
      </w:tblPr>
      <w:tblGrid>
        <w:gridCol w:w="3700"/>
        <w:gridCol w:w="1340"/>
        <w:gridCol w:w="1180"/>
        <w:gridCol w:w="1260"/>
        <w:gridCol w:w="1220"/>
        <w:gridCol w:w="1220"/>
      </w:tblGrid>
      <w:tr w:rsidR="00E51AD2" w:rsidRPr="00E51AD2" w:rsidTr="00E51AD2">
        <w:trPr>
          <w:trHeight w:val="300"/>
        </w:trPr>
        <w:tc>
          <w:tcPr>
            <w:tcW w:w="3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1AD2" w:rsidRPr="00E51AD2" w:rsidRDefault="00E51AD2" w:rsidP="00E51AD2">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Instrument</w:t>
            </w:r>
          </w:p>
        </w:tc>
        <w:tc>
          <w:tcPr>
            <w:tcW w:w="1340" w:type="dxa"/>
            <w:vMerge w:val="restart"/>
            <w:tcBorders>
              <w:top w:val="single" w:sz="8" w:space="0" w:color="auto"/>
              <w:left w:val="single" w:sz="4" w:space="0" w:color="auto"/>
              <w:bottom w:val="nil"/>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b/>
                <w:bCs/>
                <w:sz w:val="16"/>
                <w:szCs w:val="16"/>
              </w:rPr>
            </w:pPr>
            <w:r w:rsidRPr="00E51AD2">
              <w:rPr>
                <w:rFonts w:ascii="Arial" w:eastAsia="Times New Roman" w:hAnsi="Arial" w:cs="Arial"/>
                <w:b/>
                <w:bCs/>
                <w:sz w:val="16"/>
                <w:szCs w:val="16"/>
              </w:rPr>
              <w:t>Total Number of Participants</w:t>
            </w:r>
          </w:p>
        </w:tc>
        <w:tc>
          <w:tcPr>
            <w:tcW w:w="1180" w:type="dxa"/>
            <w:vMerge w:val="restart"/>
            <w:tcBorders>
              <w:top w:val="single" w:sz="8" w:space="0" w:color="auto"/>
              <w:left w:val="single" w:sz="4" w:space="0" w:color="auto"/>
              <w:bottom w:val="nil"/>
              <w:right w:val="single" w:sz="4" w:space="0" w:color="auto"/>
            </w:tcBorders>
            <w:shd w:val="clear" w:color="000000" w:fill="00B0F0"/>
            <w:vAlign w:val="bottom"/>
            <w:hideMark/>
          </w:tcPr>
          <w:p w:rsidR="00E51AD2" w:rsidRPr="00E51AD2" w:rsidRDefault="00E51AD2" w:rsidP="00E51AD2">
            <w:pPr>
              <w:spacing w:after="0" w:line="240" w:lineRule="auto"/>
              <w:jc w:val="center"/>
              <w:rPr>
                <w:rFonts w:ascii="Arial" w:eastAsia="Times New Roman" w:hAnsi="Arial" w:cs="Arial"/>
                <w:b/>
                <w:bCs/>
                <w:sz w:val="16"/>
                <w:szCs w:val="16"/>
              </w:rPr>
            </w:pPr>
            <w:r w:rsidRPr="00E51AD2">
              <w:rPr>
                <w:rFonts w:ascii="Arial" w:eastAsia="Times New Roman" w:hAnsi="Arial" w:cs="Arial"/>
                <w:b/>
                <w:bCs/>
                <w:sz w:val="16"/>
                <w:szCs w:val="16"/>
              </w:rPr>
              <w:t>Number of respondents</w:t>
            </w:r>
          </w:p>
        </w:tc>
        <w:tc>
          <w:tcPr>
            <w:tcW w:w="1260" w:type="dxa"/>
            <w:vMerge w:val="restart"/>
            <w:tcBorders>
              <w:top w:val="single" w:sz="8" w:space="0" w:color="auto"/>
              <w:left w:val="single" w:sz="4" w:space="0" w:color="auto"/>
              <w:bottom w:val="nil"/>
              <w:right w:val="single" w:sz="4" w:space="0" w:color="auto"/>
            </w:tcBorders>
            <w:shd w:val="clear" w:color="000000" w:fill="00B0F0"/>
            <w:vAlign w:val="bottom"/>
            <w:hideMark/>
          </w:tcPr>
          <w:p w:rsidR="00E51AD2" w:rsidRPr="00E51AD2" w:rsidRDefault="00E51AD2" w:rsidP="00E51AD2">
            <w:pPr>
              <w:spacing w:after="0" w:line="240" w:lineRule="auto"/>
              <w:jc w:val="center"/>
              <w:rPr>
                <w:rFonts w:ascii="Arial" w:eastAsia="Times New Roman" w:hAnsi="Arial" w:cs="Arial"/>
                <w:b/>
                <w:bCs/>
                <w:sz w:val="16"/>
                <w:szCs w:val="16"/>
              </w:rPr>
            </w:pPr>
            <w:r w:rsidRPr="00E51AD2">
              <w:rPr>
                <w:rFonts w:ascii="Arial" w:eastAsia="Times New Roman" w:hAnsi="Arial" w:cs="Arial"/>
                <w:b/>
                <w:bCs/>
                <w:sz w:val="16"/>
                <w:szCs w:val="16"/>
              </w:rPr>
              <w:t>Proportion of Responders</w:t>
            </w:r>
          </w:p>
        </w:tc>
        <w:tc>
          <w:tcPr>
            <w:tcW w:w="1220" w:type="dxa"/>
            <w:vMerge w:val="restart"/>
            <w:tcBorders>
              <w:top w:val="single" w:sz="8" w:space="0" w:color="auto"/>
              <w:left w:val="single" w:sz="8" w:space="0" w:color="auto"/>
              <w:bottom w:val="single" w:sz="4" w:space="0" w:color="auto"/>
              <w:right w:val="single" w:sz="4" w:space="0" w:color="auto"/>
            </w:tcBorders>
            <w:shd w:val="clear" w:color="000000" w:fill="FFC000"/>
            <w:vAlign w:val="bottom"/>
            <w:hideMark/>
          </w:tcPr>
          <w:p w:rsidR="00E51AD2" w:rsidRPr="00E51AD2" w:rsidRDefault="00E51AD2" w:rsidP="00E51AD2">
            <w:pPr>
              <w:spacing w:after="0" w:line="240" w:lineRule="auto"/>
              <w:jc w:val="center"/>
              <w:rPr>
                <w:rFonts w:ascii="Arial" w:eastAsia="Times New Roman" w:hAnsi="Arial" w:cs="Arial"/>
                <w:b/>
                <w:bCs/>
                <w:sz w:val="16"/>
                <w:szCs w:val="16"/>
              </w:rPr>
            </w:pPr>
            <w:r w:rsidRPr="00E51AD2">
              <w:rPr>
                <w:rFonts w:ascii="Arial" w:eastAsia="Times New Roman" w:hAnsi="Arial" w:cs="Arial"/>
                <w:b/>
                <w:bCs/>
                <w:sz w:val="16"/>
                <w:szCs w:val="16"/>
              </w:rPr>
              <w:t>Number of non-respondents</w:t>
            </w:r>
          </w:p>
        </w:tc>
        <w:tc>
          <w:tcPr>
            <w:tcW w:w="1220" w:type="dxa"/>
            <w:vMerge w:val="restart"/>
            <w:tcBorders>
              <w:top w:val="single" w:sz="8" w:space="0" w:color="auto"/>
              <w:left w:val="single" w:sz="8" w:space="0" w:color="auto"/>
              <w:bottom w:val="single" w:sz="4" w:space="0" w:color="auto"/>
              <w:right w:val="single" w:sz="4" w:space="0" w:color="auto"/>
            </w:tcBorders>
            <w:shd w:val="clear" w:color="000000" w:fill="FFC000"/>
            <w:vAlign w:val="bottom"/>
            <w:hideMark/>
          </w:tcPr>
          <w:p w:rsidR="00E51AD2" w:rsidRPr="00E51AD2" w:rsidRDefault="00E51AD2" w:rsidP="00E51AD2">
            <w:pPr>
              <w:spacing w:after="0" w:line="240" w:lineRule="auto"/>
              <w:jc w:val="center"/>
              <w:rPr>
                <w:rFonts w:ascii="Arial" w:eastAsia="Times New Roman" w:hAnsi="Arial" w:cs="Arial"/>
                <w:b/>
                <w:bCs/>
                <w:sz w:val="16"/>
                <w:szCs w:val="16"/>
              </w:rPr>
            </w:pPr>
            <w:r w:rsidRPr="00E51AD2">
              <w:rPr>
                <w:rFonts w:ascii="Arial" w:eastAsia="Times New Roman" w:hAnsi="Arial" w:cs="Arial"/>
                <w:b/>
                <w:bCs/>
                <w:sz w:val="16"/>
                <w:szCs w:val="16"/>
              </w:rPr>
              <w:t>Proportion of non-respondents</w:t>
            </w:r>
          </w:p>
        </w:tc>
      </w:tr>
      <w:tr w:rsidR="00E51AD2" w:rsidRPr="00E51AD2" w:rsidTr="00E51AD2">
        <w:trPr>
          <w:trHeight w:val="390"/>
        </w:trPr>
        <w:tc>
          <w:tcPr>
            <w:tcW w:w="3700" w:type="dxa"/>
            <w:vMerge/>
            <w:tcBorders>
              <w:top w:val="single" w:sz="4" w:space="0" w:color="auto"/>
              <w:left w:val="single" w:sz="4" w:space="0" w:color="auto"/>
              <w:bottom w:val="single" w:sz="4" w:space="0" w:color="000000"/>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color w:val="000000"/>
                <w:sz w:val="16"/>
                <w:szCs w:val="16"/>
              </w:rPr>
            </w:pPr>
          </w:p>
        </w:tc>
        <w:tc>
          <w:tcPr>
            <w:tcW w:w="1340" w:type="dxa"/>
            <w:vMerge/>
            <w:tcBorders>
              <w:top w:val="single" w:sz="8" w:space="0" w:color="auto"/>
              <w:left w:val="single" w:sz="4" w:space="0" w:color="auto"/>
              <w:bottom w:val="nil"/>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sz w:val="16"/>
                <w:szCs w:val="16"/>
              </w:rPr>
            </w:pPr>
          </w:p>
        </w:tc>
        <w:tc>
          <w:tcPr>
            <w:tcW w:w="1180" w:type="dxa"/>
            <w:vMerge/>
            <w:tcBorders>
              <w:top w:val="single" w:sz="8" w:space="0" w:color="auto"/>
              <w:left w:val="single" w:sz="4" w:space="0" w:color="auto"/>
              <w:bottom w:val="nil"/>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sz w:val="16"/>
                <w:szCs w:val="16"/>
              </w:rPr>
            </w:pPr>
          </w:p>
        </w:tc>
        <w:tc>
          <w:tcPr>
            <w:tcW w:w="1260" w:type="dxa"/>
            <w:vMerge/>
            <w:tcBorders>
              <w:top w:val="single" w:sz="8" w:space="0" w:color="auto"/>
              <w:left w:val="single" w:sz="4" w:space="0" w:color="auto"/>
              <w:bottom w:val="nil"/>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sz w:val="16"/>
                <w:szCs w:val="16"/>
              </w:rPr>
            </w:pPr>
          </w:p>
        </w:tc>
        <w:tc>
          <w:tcPr>
            <w:tcW w:w="1220" w:type="dxa"/>
            <w:vMerge/>
            <w:tcBorders>
              <w:top w:val="single" w:sz="8" w:space="0" w:color="auto"/>
              <w:left w:val="single" w:sz="8" w:space="0" w:color="auto"/>
              <w:bottom w:val="single" w:sz="4" w:space="0" w:color="auto"/>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sz w:val="16"/>
                <w:szCs w:val="16"/>
              </w:rPr>
            </w:pPr>
          </w:p>
        </w:tc>
        <w:tc>
          <w:tcPr>
            <w:tcW w:w="1220" w:type="dxa"/>
            <w:vMerge/>
            <w:tcBorders>
              <w:top w:val="single" w:sz="8" w:space="0" w:color="auto"/>
              <w:left w:val="single" w:sz="8" w:space="0" w:color="auto"/>
              <w:bottom w:val="single" w:sz="4" w:space="0" w:color="auto"/>
              <w:right w:val="single" w:sz="4" w:space="0" w:color="auto"/>
            </w:tcBorders>
            <w:vAlign w:val="center"/>
            <w:hideMark/>
          </w:tcPr>
          <w:p w:rsidR="00E51AD2" w:rsidRPr="00E51AD2" w:rsidRDefault="00E51AD2" w:rsidP="00E51AD2">
            <w:pPr>
              <w:spacing w:after="0" w:line="240" w:lineRule="auto"/>
              <w:rPr>
                <w:rFonts w:ascii="Arial" w:eastAsia="Times New Roman" w:hAnsi="Arial" w:cs="Arial"/>
                <w:b/>
                <w:bCs/>
                <w:sz w:val="16"/>
                <w:szCs w:val="16"/>
              </w:rPr>
            </w:pP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auto" w:fill="auto"/>
            <w:noWrap/>
            <w:hideMark/>
          </w:tcPr>
          <w:p w:rsidR="00E51AD2" w:rsidRPr="00E51AD2" w:rsidRDefault="00C57FE7" w:rsidP="00E51AD2">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Invitation</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auto" w:fill="auto"/>
            <w:noWrap/>
            <w:hideMark/>
          </w:tcPr>
          <w:p w:rsidR="00E51AD2" w:rsidRPr="00E51AD2" w:rsidRDefault="00C57FE7" w:rsidP="00E51AD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Invitation for English Language Survey</w:t>
            </w:r>
          </w:p>
        </w:tc>
        <w:tc>
          <w:tcPr>
            <w:tcW w:w="1340" w:type="dxa"/>
            <w:tcBorders>
              <w:top w:val="nil"/>
              <w:left w:val="nil"/>
              <w:bottom w:val="single" w:sz="4" w:space="0" w:color="auto"/>
              <w:right w:val="single" w:sz="4" w:space="0" w:color="auto"/>
            </w:tcBorders>
            <w:shd w:val="clear" w:color="auto" w:fill="auto"/>
            <w:vAlign w:val="bottom"/>
            <w:hideMark/>
          </w:tcPr>
          <w:p w:rsidR="00E51AD2" w:rsidRPr="00E51AD2" w:rsidRDefault="0030180B" w:rsidP="00E51AD2">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1183</w:t>
            </w:r>
          </w:p>
        </w:tc>
        <w:tc>
          <w:tcPr>
            <w:tcW w:w="1180" w:type="dxa"/>
            <w:tcBorders>
              <w:top w:val="nil"/>
              <w:left w:val="nil"/>
              <w:bottom w:val="single" w:sz="4" w:space="0" w:color="auto"/>
              <w:right w:val="single" w:sz="4" w:space="0" w:color="auto"/>
            </w:tcBorders>
            <w:shd w:val="clear" w:color="auto" w:fill="auto"/>
            <w:vAlign w:val="bottom"/>
            <w:hideMark/>
          </w:tcPr>
          <w:p w:rsidR="00E51AD2" w:rsidRPr="00E51AD2" w:rsidRDefault="0030180B" w:rsidP="00E51AD2">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947</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E51AD2" w:rsidRPr="00E51AD2" w:rsidRDefault="00C57FE7" w:rsidP="00E51AD2">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80</w:t>
            </w:r>
            <w:r w:rsidR="00E51AD2" w:rsidRPr="00E51AD2">
              <w:rPr>
                <w:rFonts w:ascii="Arial" w:eastAsia="Times New Roman" w:hAnsi="Arial" w:cs="Arial"/>
                <w:b/>
                <w:bCs/>
                <w:color w:val="000000"/>
                <w:sz w:val="16"/>
                <w:szCs w:val="16"/>
              </w:rPr>
              <w:t>%</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30180B" w:rsidP="00E51AD2">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236</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6A1A52" w:rsidP="00E51AD2">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20%</w:t>
            </w: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auto" w:fill="auto"/>
            <w:noWrap/>
            <w:hideMark/>
          </w:tcPr>
          <w:p w:rsidR="00E51AD2" w:rsidRPr="00E51AD2" w:rsidRDefault="00C57FE7" w:rsidP="00E51AD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Invitation for Spanish Language Survey</w:t>
            </w:r>
          </w:p>
        </w:tc>
        <w:tc>
          <w:tcPr>
            <w:tcW w:w="1340" w:type="dxa"/>
            <w:tcBorders>
              <w:top w:val="nil"/>
              <w:left w:val="nil"/>
              <w:bottom w:val="single" w:sz="4" w:space="0" w:color="auto"/>
              <w:right w:val="single" w:sz="4" w:space="0" w:color="auto"/>
            </w:tcBorders>
            <w:shd w:val="clear" w:color="auto" w:fill="auto"/>
            <w:vAlign w:val="bottom"/>
            <w:hideMark/>
          </w:tcPr>
          <w:p w:rsidR="00E51AD2" w:rsidRPr="00E51AD2" w:rsidRDefault="0030180B" w:rsidP="00E51AD2">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394</w:t>
            </w:r>
          </w:p>
        </w:tc>
        <w:tc>
          <w:tcPr>
            <w:tcW w:w="1180" w:type="dxa"/>
            <w:tcBorders>
              <w:top w:val="nil"/>
              <w:left w:val="nil"/>
              <w:bottom w:val="single" w:sz="4" w:space="0" w:color="auto"/>
              <w:right w:val="single" w:sz="4" w:space="0" w:color="auto"/>
            </w:tcBorders>
            <w:shd w:val="clear" w:color="auto" w:fill="auto"/>
            <w:vAlign w:val="bottom"/>
            <w:hideMark/>
          </w:tcPr>
          <w:p w:rsidR="00E51AD2" w:rsidRPr="00E51AD2" w:rsidRDefault="0030180B" w:rsidP="00E51AD2">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315</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E51AD2" w:rsidRPr="00E51AD2" w:rsidRDefault="00C57FE7" w:rsidP="00E51AD2">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80</w:t>
            </w:r>
            <w:r w:rsidR="00E51AD2" w:rsidRPr="00E51AD2">
              <w:rPr>
                <w:rFonts w:ascii="Arial" w:eastAsia="Times New Roman" w:hAnsi="Arial" w:cs="Arial"/>
                <w:b/>
                <w:bCs/>
                <w:color w:val="000000"/>
                <w:sz w:val="16"/>
                <w:szCs w:val="16"/>
              </w:rPr>
              <w:t>%</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30180B" w:rsidP="00E51AD2">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79</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6A1A52" w:rsidP="00E51AD2">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20%</w:t>
            </w:r>
            <w:r w:rsidR="00E51AD2" w:rsidRPr="00E51AD2">
              <w:rPr>
                <w:rFonts w:ascii="Arial" w:eastAsia="Times New Roman" w:hAnsi="Arial" w:cs="Arial"/>
                <w:b/>
                <w:bCs/>
                <w:color w:val="000000"/>
                <w:sz w:val="16"/>
                <w:szCs w:val="16"/>
              </w:rPr>
              <w:t> </w:t>
            </w:r>
          </w:p>
        </w:tc>
      </w:tr>
      <w:tr w:rsidR="00E51AD2" w:rsidRPr="00E51AD2" w:rsidTr="00E51AD2">
        <w:trPr>
          <w:trHeight w:val="315"/>
        </w:trPr>
        <w:tc>
          <w:tcPr>
            <w:tcW w:w="3700" w:type="dxa"/>
            <w:tcBorders>
              <w:top w:val="nil"/>
              <w:left w:val="single" w:sz="4" w:space="0" w:color="auto"/>
              <w:bottom w:val="single" w:sz="8" w:space="0" w:color="auto"/>
              <w:right w:val="single" w:sz="4" w:space="0" w:color="auto"/>
            </w:tcBorders>
            <w:shd w:val="clear" w:color="auto" w:fill="auto"/>
            <w:noWrap/>
            <w:hideMark/>
          </w:tcPr>
          <w:p w:rsidR="00E51AD2" w:rsidRPr="00E51AD2" w:rsidRDefault="00C57FE7" w:rsidP="00E51AD2">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Screener</w:t>
            </w:r>
          </w:p>
        </w:tc>
        <w:tc>
          <w:tcPr>
            <w:tcW w:w="134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18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51AD2" w:rsidRPr="00E51AD2" w:rsidRDefault="00E51AD2" w:rsidP="00E51AD2">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r>
      <w:tr w:rsidR="00C57FE7" w:rsidRPr="00E51AD2" w:rsidTr="00C57FE7">
        <w:trPr>
          <w:trHeight w:val="315"/>
        </w:trPr>
        <w:tc>
          <w:tcPr>
            <w:tcW w:w="3700" w:type="dxa"/>
            <w:tcBorders>
              <w:top w:val="nil"/>
              <w:left w:val="single" w:sz="4" w:space="0" w:color="auto"/>
              <w:bottom w:val="single" w:sz="8" w:space="0" w:color="auto"/>
              <w:right w:val="single" w:sz="4" w:space="0" w:color="auto"/>
            </w:tcBorders>
            <w:shd w:val="clear" w:color="auto" w:fill="auto"/>
            <w:noWrap/>
          </w:tcPr>
          <w:p w:rsidR="00C57FE7" w:rsidRPr="00E51AD2" w:rsidRDefault="00C57FE7" w:rsidP="00C57F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Invitation for English Language Survey</w:t>
            </w:r>
          </w:p>
        </w:tc>
        <w:tc>
          <w:tcPr>
            <w:tcW w:w="1340" w:type="dxa"/>
            <w:tcBorders>
              <w:top w:val="nil"/>
              <w:left w:val="nil"/>
              <w:bottom w:val="single" w:sz="4" w:space="0" w:color="auto"/>
              <w:right w:val="single" w:sz="4" w:space="0" w:color="auto"/>
            </w:tcBorders>
            <w:shd w:val="clear" w:color="auto" w:fill="auto"/>
            <w:vAlign w:val="bottom"/>
          </w:tcPr>
          <w:p w:rsidR="00C57FE7" w:rsidRPr="00E51AD2" w:rsidRDefault="00974F47"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947</w:t>
            </w:r>
          </w:p>
        </w:tc>
        <w:tc>
          <w:tcPr>
            <w:tcW w:w="1180" w:type="dxa"/>
            <w:tcBorders>
              <w:top w:val="nil"/>
              <w:left w:val="nil"/>
              <w:bottom w:val="single" w:sz="4" w:space="0" w:color="auto"/>
              <w:right w:val="single" w:sz="4" w:space="0" w:color="auto"/>
            </w:tcBorders>
            <w:shd w:val="clear" w:color="auto" w:fill="auto"/>
            <w:vAlign w:val="bottom"/>
          </w:tcPr>
          <w:p w:rsidR="00C57FE7" w:rsidRPr="00E51AD2" w:rsidRDefault="0030180B"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947</w:t>
            </w:r>
          </w:p>
        </w:tc>
        <w:tc>
          <w:tcPr>
            <w:tcW w:w="1260" w:type="dxa"/>
            <w:tcBorders>
              <w:top w:val="nil"/>
              <w:left w:val="single" w:sz="4" w:space="0" w:color="auto"/>
              <w:bottom w:val="single" w:sz="4" w:space="0" w:color="auto"/>
              <w:right w:val="single" w:sz="4" w:space="0" w:color="auto"/>
            </w:tcBorders>
            <w:shd w:val="clear" w:color="auto" w:fill="auto"/>
            <w:vAlign w:val="bottom"/>
          </w:tcPr>
          <w:p w:rsidR="00C57FE7" w:rsidRPr="00E51AD2" w:rsidRDefault="006A1A52"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100%</w:t>
            </w:r>
          </w:p>
        </w:tc>
        <w:tc>
          <w:tcPr>
            <w:tcW w:w="1220" w:type="dxa"/>
            <w:tcBorders>
              <w:top w:val="nil"/>
              <w:left w:val="nil"/>
              <w:bottom w:val="single" w:sz="4" w:space="0" w:color="auto"/>
              <w:right w:val="single" w:sz="4" w:space="0" w:color="auto"/>
            </w:tcBorders>
            <w:shd w:val="clear" w:color="auto" w:fill="auto"/>
            <w:vAlign w:val="bottom"/>
          </w:tcPr>
          <w:p w:rsidR="00C57FE7" w:rsidRPr="00E51AD2" w:rsidRDefault="006A1A52"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tcPr>
          <w:p w:rsidR="00C57FE7" w:rsidRPr="00E51AD2" w:rsidRDefault="006A1A52"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0%</w:t>
            </w:r>
          </w:p>
        </w:tc>
      </w:tr>
      <w:tr w:rsidR="00C57FE7" w:rsidRPr="00E51AD2" w:rsidTr="00C57FE7">
        <w:trPr>
          <w:trHeight w:val="315"/>
        </w:trPr>
        <w:tc>
          <w:tcPr>
            <w:tcW w:w="3700" w:type="dxa"/>
            <w:tcBorders>
              <w:top w:val="nil"/>
              <w:left w:val="single" w:sz="4" w:space="0" w:color="auto"/>
              <w:bottom w:val="single" w:sz="8" w:space="0" w:color="auto"/>
              <w:right w:val="single" w:sz="4" w:space="0" w:color="auto"/>
            </w:tcBorders>
            <w:shd w:val="clear" w:color="auto" w:fill="auto"/>
            <w:noWrap/>
          </w:tcPr>
          <w:p w:rsidR="00C57FE7" w:rsidRPr="00E51AD2" w:rsidRDefault="00C57FE7" w:rsidP="00C57F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Invitation for Spanish Language Survey</w:t>
            </w:r>
          </w:p>
        </w:tc>
        <w:tc>
          <w:tcPr>
            <w:tcW w:w="1340" w:type="dxa"/>
            <w:tcBorders>
              <w:top w:val="nil"/>
              <w:left w:val="nil"/>
              <w:bottom w:val="single" w:sz="4" w:space="0" w:color="auto"/>
              <w:right w:val="single" w:sz="4" w:space="0" w:color="auto"/>
            </w:tcBorders>
            <w:shd w:val="clear" w:color="auto" w:fill="auto"/>
            <w:vAlign w:val="bottom"/>
          </w:tcPr>
          <w:p w:rsidR="00C57FE7" w:rsidRPr="00E51AD2" w:rsidRDefault="00974F47"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315</w:t>
            </w:r>
          </w:p>
        </w:tc>
        <w:tc>
          <w:tcPr>
            <w:tcW w:w="1180" w:type="dxa"/>
            <w:tcBorders>
              <w:top w:val="nil"/>
              <w:left w:val="nil"/>
              <w:bottom w:val="single" w:sz="4" w:space="0" w:color="auto"/>
              <w:right w:val="single" w:sz="4" w:space="0" w:color="auto"/>
            </w:tcBorders>
            <w:shd w:val="clear" w:color="auto" w:fill="auto"/>
            <w:vAlign w:val="bottom"/>
          </w:tcPr>
          <w:p w:rsidR="00C57FE7" w:rsidRPr="00E51AD2" w:rsidRDefault="0030180B"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315</w:t>
            </w:r>
          </w:p>
        </w:tc>
        <w:tc>
          <w:tcPr>
            <w:tcW w:w="1260" w:type="dxa"/>
            <w:tcBorders>
              <w:top w:val="nil"/>
              <w:left w:val="single" w:sz="4" w:space="0" w:color="auto"/>
              <w:bottom w:val="single" w:sz="4" w:space="0" w:color="auto"/>
              <w:right w:val="single" w:sz="4" w:space="0" w:color="auto"/>
            </w:tcBorders>
            <w:shd w:val="clear" w:color="auto" w:fill="auto"/>
            <w:vAlign w:val="bottom"/>
          </w:tcPr>
          <w:p w:rsidR="00C57FE7" w:rsidRPr="00E51AD2" w:rsidRDefault="006A1A52"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100%</w:t>
            </w:r>
          </w:p>
        </w:tc>
        <w:tc>
          <w:tcPr>
            <w:tcW w:w="1220" w:type="dxa"/>
            <w:tcBorders>
              <w:top w:val="nil"/>
              <w:left w:val="nil"/>
              <w:bottom w:val="single" w:sz="4" w:space="0" w:color="auto"/>
              <w:right w:val="single" w:sz="4" w:space="0" w:color="auto"/>
            </w:tcBorders>
            <w:shd w:val="clear" w:color="auto" w:fill="auto"/>
            <w:vAlign w:val="bottom"/>
          </w:tcPr>
          <w:p w:rsidR="00C57FE7" w:rsidRPr="00E51AD2" w:rsidRDefault="006A1A52"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tcPr>
          <w:p w:rsidR="00C57FE7" w:rsidRPr="00E51AD2" w:rsidRDefault="006A1A52"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0%</w:t>
            </w:r>
          </w:p>
        </w:tc>
      </w:tr>
      <w:tr w:rsidR="00C57FE7" w:rsidRPr="00E51AD2" w:rsidTr="00C57FE7">
        <w:trPr>
          <w:trHeight w:val="315"/>
        </w:trPr>
        <w:tc>
          <w:tcPr>
            <w:tcW w:w="3700" w:type="dxa"/>
            <w:tcBorders>
              <w:top w:val="nil"/>
              <w:left w:val="single" w:sz="4" w:space="0" w:color="auto"/>
              <w:bottom w:val="single" w:sz="8" w:space="0" w:color="auto"/>
              <w:right w:val="single" w:sz="4" w:space="0" w:color="auto"/>
            </w:tcBorders>
            <w:shd w:val="clear" w:color="auto" w:fill="auto"/>
            <w:noWrap/>
          </w:tcPr>
          <w:p w:rsidR="00C57FE7" w:rsidRPr="00C57FE7" w:rsidRDefault="00C57FE7" w:rsidP="00C57FE7">
            <w:pPr>
              <w:spacing w:after="0" w:line="240" w:lineRule="auto"/>
              <w:rPr>
                <w:rFonts w:ascii="Arial" w:eastAsia="Times New Roman" w:hAnsi="Arial" w:cs="Arial"/>
                <w:b/>
                <w:color w:val="000000"/>
                <w:sz w:val="16"/>
                <w:szCs w:val="16"/>
              </w:rPr>
            </w:pPr>
            <w:r w:rsidRPr="00C57FE7">
              <w:rPr>
                <w:rFonts w:ascii="Arial" w:eastAsia="Times New Roman" w:hAnsi="Arial" w:cs="Arial"/>
                <w:b/>
                <w:color w:val="000000"/>
                <w:sz w:val="16"/>
                <w:szCs w:val="16"/>
              </w:rPr>
              <w:t>Survey</w:t>
            </w:r>
          </w:p>
        </w:tc>
        <w:tc>
          <w:tcPr>
            <w:tcW w:w="1340" w:type="dxa"/>
            <w:tcBorders>
              <w:top w:val="nil"/>
              <w:left w:val="nil"/>
              <w:bottom w:val="single" w:sz="4" w:space="0" w:color="auto"/>
              <w:right w:val="single" w:sz="4" w:space="0" w:color="auto"/>
            </w:tcBorders>
            <w:shd w:val="clear" w:color="auto" w:fill="auto"/>
            <w:vAlign w:val="bottom"/>
          </w:tcPr>
          <w:p w:rsidR="00C57FE7" w:rsidRPr="00E51AD2" w:rsidRDefault="00C57FE7" w:rsidP="00C57FE7">
            <w:pPr>
              <w:spacing w:after="0" w:line="240" w:lineRule="auto"/>
              <w:jc w:val="center"/>
              <w:rPr>
                <w:rFonts w:ascii="Arial" w:eastAsia="Times New Roman" w:hAnsi="Arial" w:cs="Arial"/>
                <w:b/>
                <w:bCs/>
                <w:color w:val="000000"/>
                <w:sz w:val="16"/>
                <w:szCs w:val="16"/>
              </w:rPr>
            </w:pPr>
          </w:p>
        </w:tc>
        <w:tc>
          <w:tcPr>
            <w:tcW w:w="1180" w:type="dxa"/>
            <w:tcBorders>
              <w:top w:val="nil"/>
              <w:left w:val="nil"/>
              <w:bottom w:val="single" w:sz="4" w:space="0" w:color="auto"/>
              <w:right w:val="single" w:sz="4" w:space="0" w:color="auto"/>
            </w:tcBorders>
            <w:shd w:val="clear" w:color="auto" w:fill="auto"/>
            <w:vAlign w:val="bottom"/>
          </w:tcPr>
          <w:p w:rsidR="00C57FE7" w:rsidRPr="00E51AD2" w:rsidRDefault="00C57FE7" w:rsidP="00C57FE7">
            <w:pPr>
              <w:spacing w:after="0" w:line="240" w:lineRule="auto"/>
              <w:jc w:val="center"/>
              <w:rPr>
                <w:rFonts w:ascii="Arial" w:eastAsia="Times New Roman" w:hAnsi="Arial" w:cs="Arial"/>
                <w:b/>
                <w:bCs/>
                <w:color w:val="000000"/>
                <w:sz w:val="16"/>
                <w:szCs w:val="16"/>
              </w:rPr>
            </w:pPr>
          </w:p>
        </w:tc>
        <w:tc>
          <w:tcPr>
            <w:tcW w:w="1260" w:type="dxa"/>
            <w:tcBorders>
              <w:top w:val="nil"/>
              <w:left w:val="single" w:sz="4" w:space="0" w:color="auto"/>
              <w:bottom w:val="single" w:sz="4" w:space="0" w:color="auto"/>
              <w:right w:val="single" w:sz="4" w:space="0" w:color="auto"/>
            </w:tcBorders>
            <w:shd w:val="clear" w:color="auto" w:fill="auto"/>
            <w:vAlign w:val="bottom"/>
          </w:tcPr>
          <w:p w:rsidR="00C57FE7" w:rsidRPr="00E51AD2" w:rsidRDefault="00C57FE7" w:rsidP="00C57FE7">
            <w:pPr>
              <w:spacing w:after="0" w:line="240" w:lineRule="auto"/>
              <w:jc w:val="center"/>
              <w:rPr>
                <w:rFonts w:ascii="Arial" w:eastAsia="Times New Roman" w:hAnsi="Arial" w:cs="Arial"/>
                <w:b/>
                <w:bCs/>
                <w:color w:val="000000"/>
                <w:sz w:val="16"/>
                <w:szCs w:val="16"/>
              </w:rPr>
            </w:pPr>
          </w:p>
        </w:tc>
        <w:tc>
          <w:tcPr>
            <w:tcW w:w="1220" w:type="dxa"/>
            <w:tcBorders>
              <w:top w:val="nil"/>
              <w:left w:val="nil"/>
              <w:bottom w:val="single" w:sz="4" w:space="0" w:color="auto"/>
              <w:right w:val="single" w:sz="4" w:space="0" w:color="auto"/>
            </w:tcBorders>
            <w:shd w:val="clear" w:color="auto" w:fill="auto"/>
            <w:vAlign w:val="bottom"/>
          </w:tcPr>
          <w:p w:rsidR="00C57FE7" w:rsidRPr="00E51AD2" w:rsidRDefault="00C57FE7" w:rsidP="00C57FE7">
            <w:pPr>
              <w:spacing w:after="0" w:line="240" w:lineRule="auto"/>
              <w:jc w:val="center"/>
              <w:rPr>
                <w:rFonts w:ascii="Arial" w:eastAsia="Times New Roman" w:hAnsi="Arial" w:cs="Arial"/>
                <w:b/>
                <w:bCs/>
                <w:color w:val="000000"/>
                <w:sz w:val="16"/>
                <w:szCs w:val="16"/>
              </w:rPr>
            </w:pPr>
          </w:p>
        </w:tc>
        <w:tc>
          <w:tcPr>
            <w:tcW w:w="1220" w:type="dxa"/>
            <w:tcBorders>
              <w:top w:val="nil"/>
              <w:left w:val="nil"/>
              <w:bottom w:val="single" w:sz="4" w:space="0" w:color="auto"/>
              <w:right w:val="single" w:sz="4" w:space="0" w:color="auto"/>
            </w:tcBorders>
            <w:shd w:val="clear" w:color="auto" w:fill="auto"/>
            <w:vAlign w:val="bottom"/>
          </w:tcPr>
          <w:p w:rsidR="00C57FE7" w:rsidRPr="00E51AD2" w:rsidRDefault="00C57FE7" w:rsidP="00C57FE7">
            <w:pPr>
              <w:spacing w:after="0" w:line="240" w:lineRule="auto"/>
              <w:jc w:val="center"/>
              <w:rPr>
                <w:rFonts w:ascii="Arial" w:eastAsia="Times New Roman" w:hAnsi="Arial" w:cs="Arial"/>
                <w:b/>
                <w:bCs/>
                <w:color w:val="000000"/>
                <w:sz w:val="16"/>
                <w:szCs w:val="16"/>
              </w:rPr>
            </w:pPr>
          </w:p>
        </w:tc>
      </w:tr>
      <w:tr w:rsidR="00C57FE7" w:rsidRPr="00E51AD2" w:rsidTr="00C57FE7">
        <w:trPr>
          <w:trHeight w:val="315"/>
        </w:trPr>
        <w:tc>
          <w:tcPr>
            <w:tcW w:w="3700" w:type="dxa"/>
            <w:tcBorders>
              <w:top w:val="nil"/>
              <w:left w:val="single" w:sz="4" w:space="0" w:color="auto"/>
              <w:bottom w:val="single" w:sz="8" w:space="0" w:color="auto"/>
              <w:right w:val="single" w:sz="4" w:space="0" w:color="auto"/>
            </w:tcBorders>
            <w:shd w:val="clear" w:color="auto" w:fill="auto"/>
            <w:noWrap/>
          </w:tcPr>
          <w:p w:rsidR="00C57FE7" w:rsidRPr="00E51AD2" w:rsidRDefault="00C57FE7" w:rsidP="00C57F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English Language Survey</w:t>
            </w:r>
          </w:p>
        </w:tc>
        <w:tc>
          <w:tcPr>
            <w:tcW w:w="1340" w:type="dxa"/>
            <w:tcBorders>
              <w:top w:val="nil"/>
              <w:left w:val="nil"/>
              <w:bottom w:val="single" w:sz="4" w:space="0" w:color="auto"/>
              <w:right w:val="single" w:sz="4" w:space="0" w:color="auto"/>
            </w:tcBorders>
            <w:shd w:val="clear" w:color="auto" w:fill="auto"/>
            <w:vAlign w:val="bottom"/>
          </w:tcPr>
          <w:p w:rsidR="00C57FE7" w:rsidRPr="00E51AD2" w:rsidRDefault="0030180B"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947</w:t>
            </w:r>
          </w:p>
        </w:tc>
        <w:tc>
          <w:tcPr>
            <w:tcW w:w="1180" w:type="dxa"/>
            <w:tcBorders>
              <w:top w:val="nil"/>
              <w:left w:val="nil"/>
              <w:bottom w:val="single" w:sz="4" w:space="0" w:color="auto"/>
              <w:right w:val="single" w:sz="4" w:space="0" w:color="auto"/>
            </w:tcBorders>
            <w:shd w:val="clear" w:color="auto" w:fill="auto"/>
            <w:vAlign w:val="bottom"/>
          </w:tcPr>
          <w:p w:rsidR="00C57FE7" w:rsidRPr="00E51AD2" w:rsidRDefault="0030180B"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900</w:t>
            </w:r>
          </w:p>
        </w:tc>
        <w:tc>
          <w:tcPr>
            <w:tcW w:w="1260" w:type="dxa"/>
            <w:tcBorders>
              <w:top w:val="nil"/>
              <w:left w:val="single" w:sz="4" w:space="0" w:color="auto"/>
              <w:bottom w:val="single" w:sz="4" w:space="0" w:color="auto"/>
              <w:right w:val="single" w:sz="4" w:space="0" w:color="auto"/>
            </w:tcBorders>
            <w:shd w:val="clear" w:color="auto" w:fill="auto"/>
            <w:vAlign w:val="bottom"/>
          </w:tcPr>
          <w:p w:rsidR="00C57FE7" w:rsidRPr="00E51AD2" w:rsidRDefault="006A1A52"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95</w:t>
            </w:r>
            <w:r w:rsidR="00C57FE7">
              <w:rPr>
                <w:rFonts w:ascii="Arial" w:eastAsia="Times New Roman" w:hAnsi="Arial" w:cs="Arial"/>
                <w:b/>
                <w:bCs/>
                <w:color w:val="000000"/>
                <w:sz w:val="16"/>
                <w:szCs w:val="16"/>
              </w:rPr>
              <w:t>%</w:t>
            </w:r>
          </w:p>
        </w:tc>
        <w:tc>
          <w:tcPr>
            <w:tcW w:w="1220" w:type="dxa"/>
            <w:tcBorders>
              <w:top w:val="nil"/>
              <w:left w:val="nil"/>
              <w:bottom w:val="single" w:sz="4" w:space="0" w:color="auto"/>
              <w:right w:val="single" w:sz="4" w:space="0" w:color="auto"/>
            </w:tcBorders>
            <w:shd w:val="clear" w:color="auto" w:fill="auto"/>
            <w:vAlign w:val="bottom"/>
          </w:tcPr>
          <w:p w:rsidR="00C57FE7" w:rsidRPr="00E51AD2" w:rsidRDefault="00974F47"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47</w:t>
            </w:r>
          </w:p>
        </w:tc>
        <w:tc>
          <w:tcPr>
            <w:tcW w:w="1220" w:type="dxa"/>
            <w:tcBorders>
              <w:top w:val="nil"/>
              <w:left w:val="nil"/>
              <w:bottom w:val="single" w:sz="4" w:space="0" w:color="auto"/>
              <w:right w:val="single" w:sz="4" w:space="0" w:color="auto"/>
            </w:tcBorders>
            <w:shd w:val="clear" w:color="auto" w:fill="auto"/>
            <w:vAlign w:val="bottom"/>
          </w:tcPr>
          <w:p w:rsidR="00C57FE7" w:rsidRPr="00E51AD2" w:rsidRDefault="006A1A52"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5%</w:t>
            </w:r>
          </w:p>
        </w:tc>
      </w:tr>
      <w:tr w:rsidR="00C57FE7" w:rsidRPr="00E51AD2" w:rsidTr="00C57FE7">
        <w:trPr>
          <w:trHeight w:val="315"/>
        </w:trPr>
        <w:tc>
          <w:tcPr>
            <w:tcW w:w="3700" w:type="dxa"/>
            <w:tcBorders>
              <w:top w:val="nil"/>
              <w:left w:val="single" w:sz="4" w:space="0" w:color="auto"/>
              <w:bottom w:val="single" w:sz="8" w:space="0" w:color="auto"/>
              <w:right w:val="single" w:sz="4" w:space="0" w:color="auto"/>
            </w:tcBorders>
            <w:shd w:val="clear" w:color="auto" w:fill="auto"/>
            <w:noWrap/>
          </w:tcPr>
          <w:p w:rsidR="00C57FE7" w:rsidRPr="00E51AD2" w:rsidRDefault="00C57FE7" w:rsidP="00C57F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Spanish Language Survey</w:t>
            </w:r>
          </w:p>
        </w:tc>
        <w:tc>
          <w:tcPr>
            <w:tcW w:w="1340" w:type="dxa"/>
            <w:tcBorders>
              <w:top w:val="nil"/>
              <w:left w:val="nil"/>
              <w:bottom w:val="single" w:sz="4" w:space="0" w:color="auto"/>
              <w:right w:val="single" w:sz="4" w:space="0" w:color="auto"/>
            </w:tcBorders>
            <w:shd w:val="clear" w:color="auto" w:fill="auto"/>
            <w:vAlign w:val="bottom"/>
          </w:tcPr>
          <w:p w:rsidR="00C57FE7" w:rsidRPr="00E51AD2" w:rsidRDefault="0030180B" w:rsidP="00DF7D73">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w:t>
            </w:r>
            <w:r w:rsidR="00DF7D73">
              <w:rPr>
                <w:rFonts w:ascii="Arial" w:eastAsia="Times New Roman" w:hAnsi="Arial" w:cs="Arial"/>
                <w:b/>
                <w:bCs/>
                <w:color w:val="000000"/>
                <w:sz w:val="16"/>
                <w:szCs w:val="16"/>
              </w:rPr>
              <w:t>15</w:t>
            </w:r>
          </w:p>
        </w:tc>
        <w:tc>
          <w:tcPr>
            <w:tcW w:w="1180" w:type="dxa"/>
            <w:tcBorders>
              <w:top w:val="nil"/>
              <w:left w:val="nil"/>
              <w:bottom w:val="single" w:sz="4" w:space="0" w:color="auto"/>
              <w:right w:val="single" w:sz="4" w:space="0" w:color="auto"/>
            </w:tcBorders>
            <w:shd w:val="clear" w:color="auto" w:fill="auto"/>
            <w:vAlign w:val="bottom"/>
          </w:tcPr>
          <w:p w:rsidR="00C57FE7" w:rsidRPr="00E51AD2" w:rsidRDefault="0030180B"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300</w:t>
            </w:r>
          </w:p>
        </w:tc>
        <w:tc>
          <w:tcPr>
            <w:tcW w:w="1260" w:type="dxa"/>
            <w:tcBorders>
              <w:top w:val="nil"/>
              <w:left w:val="single" w:sz="4" w:space="0" w:color="auto"/>
              <w:bottom w:val="single" w:sz="4" w:space="0" w:color="auto"/>
              <w:right w:val="single" w:sz="4" w:space="0" w:color="auto"/>
            </w:tcBorders>
            <w:shd w:val="clear" w:color="auto" w:fill="auto"/>
            <w:vAlign w:val="bottom"/>
          </w:tcPr>
          <w:p w:rsidR="00C57FE7" w:rsidRPr="00E51AD2" w:rsidRDefault="006A1A52"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95%</w:t>
            </w:r>
          </w:p>
        </w:tc>
        <w:tc>
          <w:tcPr>
            <w:tcW w:w="1220" w:type="dxa"/>
            <w:tcBorders>
              <w:top w:val="nil"/>
              <w:left w:val="nil"/>
              <w:bottom w:val="single" w:sz="4" w:space="0" w:color="auto"/>
              <w:right w:val="single" w:sz="4" w:space="0" w:color="auto"/>
            </w:tcBorders>
            <w:shd w:val="clear" w:color="auto" w:fill="auto"/>
            <w:vAlign w:val="bottom"/>
          </w:tcPr>
          <w:p w:rsidR="00C57FE7" w:rsidRPr="00E51AD2" w:rsidRDefault="00974F47" w:rsidP="006A1A52">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15</w:t>
            </w:r>
          </w:p>
        </w:tc>
        <w:tc>
          <w:tcPr>
            <w:tcW w:w="1220" w:type="dxa"/>
            <w:tcBorders>
              <w:top w:val="nil"/>
              <w:left w:val="nil"/>
              <w:bottom w:val="single" w:sz="4" w:space="0" w:color="auto"/>
              <w:right w:val="single" w:sz="4" w:space="0" w:color="auto"/>
            </w:tcBorders>
            <w:shd w:val="clear" w:color="auto" w:fill="auto"/>
            <w:vAlign w:val="bottom"/>
          </w:tcPr>
          <w:p w:rsidR="00C57FE7" w:rsidRPr="00E51AD2" w:rsidRDefault="006A1A52"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5%</w:t>
            </w:r>
          </w:p>
        </w:tc>
      </w:tr>
      <w:tr w:rsidR="00C57FE7" w:rsidRPr="00E51AD2" w:rsidTr="00E51AD2">
        <w:trPr>
          <w:trHeight w:val="315"/>
        </w:trPr>
        <w:tc>
          <w:tcPr>
            <w:tcW w:w="3700" w:type="dxa"/>
            <w:tcBorders>
              <w:top w:val="nil"/>
              <w:left w:val="single" w:sz="4" w:space="0" w:color="auto"/>
              <w:bottom w:val="single" w:sz="8" w:space="0" w:color="auto"/>
              <w:right w:val="single" w:sz="4" w:space="0" w:color="auto"/>
            </w:tcBorders>
            <w:shd w:val="clear" w:color="000000" w:fill="D6DCE4"/>
            <w:noWrap/>
            <w:vAlign w:val="bottom"/>
            <w:hideMark/>
          </w:tcPr>
          <w:p w:rsidR="00C57FE7" w:rsidRPr="00E51AD2" w:rsidRDefault="00C57FE7" w:rsidP="00C57FE7">
            <w:pPr>
              <w:spacing w:after="0" w:line="240" w:lineRule="auto"/>
              <w:jc w:val="center"/>
              <w:rPr>
                <w:rFonts w:ascii="Arial" w:eastAsia="Times New Roman" w:hAnsi="Arial" w:cs="Arial"/>
                <w:b/>
                <w:bCs/>
                <w:color w:val="000000"/>
                <w:sz w:val="16"/>
                <w:szCs w:val="16"/>
              </w:rPr>
            </w:pPr>
            <w:r w:rsidRPr="00E51AD2">
              <w:rPr>
                <w:rFonts w:ascii="Arial" w:eastAsia="Times New Roman" w:hAnsi="Arial" w:cs="Arial"/>
                <w:b/>
                <w:bCs/>
                <w:color w:val="000000"/>
                <w:sz w:val="16"/>
                <w:szCs w:val="16"/>
              </w:rPr>
              <w:t> </w:t>
            </w:r>
          </w:p>
        </w:tc>
        <w:tc>
          <w:tcPr>
            <w:tcW w:w="1340" w:type="dxa"/>
            <w:tcBorders>
              <w:top w:val="nil"/>
              <w:left w:val="nil"/>
              <w:bottom w:val="single" w:sz="4" w:space="0" w:color="auto"/>
              <w:right w:val="single" w:sz="4" w:space="0" w:color="auto"/>
            </w:tcBorders>
            <w:shd w:val="clear" w:color="auto" w:fill="auto"/>
            <w:vAlign w:val="bottom"/>
            <w:hideMark/>
          </w:tcPr>
          <w:p w:rsidR="00C57FE7" w:rsidRPr="00E51AD2" w:rsidRDefault="0030180B"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1577</w:t>
            </w:r>
          </w:p>
        </w:tc>
        <w:tc>
          <w:tcPr>
            <w:tcW w:w="1180" w:type="dxa"/>
            <w:tcBorders>
              <w:top w:val="nil"/>
              <w:left w:val="nil"/>
              <w:bottom w:val="single" w:sz="4" w:space="0" w:color="auto"/>
              <w:right w:val="single" w:sz="4" w:space="0" w:color="auto"/>
            </w:tcBorders>
            <w:shd w:val="clear" w:color="auto" w:fill="auto"/>
            <w:vAlign w:val="bottom"/>
            <w:hideMark/>
          </w:tcPr>
          <w:p w:rsidR="00C57FE7" w:rsidRPr="00E51AD2" w:rsidRDefault="0030180B"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1200</w:t>
            </w: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C57FE7" w:rsidRPr="00E51AD2" w:rsidRDefault="00C57FE7" w:rsidP="00C57FE7">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C57FE7" w:rsidRPr="00E51AD2" w:rsidRDefault="0030180B" w:rsidP="00C57FE7">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377</w:t>
            </w:r>
          </w:p>
        </w:tc>
        <w:tc>
          <w:tcPr>
            <w:tcW w:w="1220" w:type="dxa"/>
            <w:tcBorders>
              <w:top w:val="nil"/>
              <w:left w:val="nil"/>
              <w:bottom w:val="single" w:sz="4" w:space="0" w:color="auto"/>
              <w:right w:val="single" w:sz="4" w:space="0" w:color="auto"/>
            </w:tcBorders>
            <w:shd w:val="clear" w:color="auto" w:fill="auto"/>
            <w:vAlign w:val="bottom"/>
            <w:hideMark/>
          </w:tcPr>
          <w:p w:rsidR="00C57FE7" w:rsidRPr="00E51AD2" w:rsidRDefault="00C57FE7" w:rsidP="00C57FE7">
            <w:pPr>
              <w:spacing w:after="0" w:line="240" w:lineRule="auto"/>
              <w:jc w:val="center"/>
              <w:rPr>
                <w:rFonts w:ascii="Arial" w:eastAsia="Times New Roman" w:hAnsi="Arial" w:cs="Arial"/>
                <w:color w:val="000000"/>
                <w:sz w:val="16"/>
                <w:szCs w:val="16"/>
              </w:rPr>
            </w:pPr>
            <w:r w:rsidRPr="00E51AD2">
              <w:rPr>
                <w:rFonts w:ascii="Arial" w:eastAsia="Times New Roman" w:hAnsi="Arial" w:cs="Arial"/>
                <w:color w:val="000000"/>
                <w:sz w:val="16"/>
                <w:szCs w:val="16"/>
              </w:rPr>
              <w:t> </w:t>
            </w:r>
          </w:p>
        </w:tc>
      </w:tr>
    </w:tbl>
    <w:p w:rsidR="00623C9E" w:rsidRPr="007339FB" w:rsidRDefault="00623C9E" w:rsidP="005D3062">
      <w:pPr>
        <w:spacing w:after="0" w:line="240" w:lineRule="auto"/>
        <w:contextualSpacing/>
      </w:pPr>
    </w:p>
    <w:p w:rsidR="00FD3888" w:rsidRPr="007339FB" w:rsidRDefault="00FD3888" w:rsidP="005D3062">
      <w:pPr>
        <w:spacing w:after="0" w:line="240" w:lineRule="auto"/>
        <w:contextualSpacing/>
      </w:pPr>
    </w:p>
    <w:p w:rsidR="00D073A8" w:rsidRPr="007339FB" w:rsidRDefault="00F66488" w:rsidP="005D3062">
      <w:pPr>
        <w:numPr>
          <w:ilvl w:val="0"/>
          <w:numId w:val="32"/>
        </w:numPr>
        <w:spacing w:after="0" w:line="240" w:lineRule="auto"/>
        <w:rPr>
          <w:rFonts w:cs="Arial"/>
        </w:rPr>
      </w:pPr>
      <w:r>
        <w:t xml:space="preserve"> </w:t>
      </w:r>
      <w:r w:rsidR="006A5DEF" w:rsidRPr="007339FB">
        <w:t xml:space="preserve"> </w:t>
      </w:r>
      <w:r w:rsidR="00D073A8" w:rsidRPr="007339FB">
        <w:rPr>
          <w:rFonts w:cs="Arial"/>
          <w:b/>
        </w:rPr>
        <w:t>Time Needed Per Response:</w:t>
      </w:r>
      <w:r w:rsidR="0066764F" w:rsidRPr="007339FB">
        <w:rPr>
          <w:rFonts w:cs="Arial"/>
          <w:b/>
        </w:rPr>
        <w:t xml:space="preserve"> </w:t>
      </w:r>
    </w:p>
    <w:p w:rsidR="00897175" w:rsidRPr="007339FB" w:rsidRDefault="00897175" w:rsidP="005D3062">
      <w:pPr>
        <w:pStyle w:val="ListParagraph"/>
        <w:spacing w:after="0" w:line="240" w:lineRule="auto"/>
        <w:ind w:left="360"/>
      </w:pPr>
    </w:p>
    <w:p w:rsidR="00897175" w:rsidRPr="007339FB" w:rsidRDefault="0066764F" w:rsidP="004A1E83">
      <w:pPr>
        <w:autoSpaceDE w:val="0"/>
        <w:autoSpaceDN w:val="0"/>
      </w:pPr>
      <w:r w:rsidRPr="007339FB">
        <w:t xml:space="preserve">Participants will </w:t>
      </w:r>
      <w:r w:rsidR="003C2A0E" w:rsidRPr="007339FB">
        <w:t xml:space="preserve">engage in </w:t>
      </w:r>
      <w:r w:rsidR="00C54601" w:rsidRPr="007339FB">
        <w:t xml:space="preserve">a </w:t>
      </w:r>
      <w:r w:rsidR="0055337C">
        <w:t xml:space="preserve">15 minute </w:t>
      </w:r>
      <w:r w:rsidR="007E4A3B" w:rsidRPr="006C2A9F">
        <w:t>web-based</w:t>
      </w:r>
      <w:r w:rsidR="0055337C">
        <w:t xml:space="preserve"> </w:t>
      </w:r>
      <w:r w:rsidR="00470B9B">
        <w:t>survey</w:t>
      </w:r>
      <w:r w:rsidR="00470B9B">
        <w:rPr>
          <w:rStyle w:val="CommentReference"/>
        </w:rPr>
        <w:t xml:space="preserve"> (</w:t>
      </w:r>
      <w:hyperlink r:id="rId12" w:history="1">
        <w:r w:rsidR="00470B9B">
          <w:rPr>
            <w:rStyle w:val="Hyperlink"/>
            <w:rFonts w:ascii="Segoe UI" w:hAnsi="Segoe UI" w:cs="Segoe UI"/>
            <w:sz w:val="20"/>
            <w:szCs w:val="20"/>
          </w:rPr>
          <w:t>http://dimensions.edgeresearch.com/e.asp?p=APT1501T&amp;S=C</w:t>
        </w:r>
      </w:hyperlink>
      <w:r w:rsidR="00470B9B">
        <w:rPr>
          <w:rFonts w:ascii="Segoe UI" w:hAnsi="Segoe UI" w:cs="Segoe UI"/>
          <w:sz w:val="20"/>
          <w:szCs w:val="20"/>
        </w:rPr>
        <w:t xml:space="preserve">) </w:t>
      </w:r>
      <w:r w:rsidR="0055337C">
        <w:t>a</w:t>
      </w:r>
      <w:r w:rsidR="003C2A0E" w:rsidRPr="007339FB">
        <w:t>ddressing t</w:t>
      </w:r>
      <w:r w:rsidR="0055337C">
        <w:t>opics outlined in the survey instrument</w:t>
      </w:r>
      <w:r w:rsidR="003C2A0E" w:rsidRPr="007339FB">
        <w:t xml:space="preserve"> (Attachments</w:t>
      </w:r>
      <w:r w:rsidR="001A3AF1">
        <w:t xml:space="preserve"> C</w:t>
      </w:r>
      <w:r w:rsidR="001016EA">
        <w:t>-</w:t>
      </w:r>
      <w:r w:rsidR="003C2A0E" w:rsidRPr="007339FB">
        <w:t xml:space="preserve">1 and </w:t>
      </w:r>
      <w:r w:rsidR="001A3AF1">
        <w:t>C</w:t>
      </w:r>
      <w:r w:rsidR="001016EA">
        <w:t>-2</w:t>
      </w:r>
      <w:r w:rsidR="00470B9B">
        <w:t xml:space="preserve"> and C-1A for screen shot of the survey</w:t>
      </w:r>
      <w:r w:rsidR="003C2A0E" w:rsidRPr="007339FB">
        <w:t>)</w:t>
      </w:r>
      <w:r w:rsidR="00C54601" w:rsidRPr="007339FB">
        <w:t>.</w:t>
      </w:r>
    </w:p>
    <w:p w:rsidR="003837AA" w:rsidRPr="007339FB" w:rsidRDefault="003837AA" w:rsidP="005D3062">
      <w:pPr>
        <w:spacing w:after="0" w:line="240" w:lineRule="auto"/>
        <w:rPr>
          <w:rFonts w:cs="Arial"/>
        </w:rPr>
      </w:pPr>
    </w:p>
    <w:p w:rsidR="00F726F4" w:rsidRPr="007339FB" w:rsidRDefault="00F726F4" w:rsidP="00F726F4">
      <w:pPr>
        <w:spacing w:after="0" w:line="240" w:lineRule="auto"/>
        <w:contextualSpacing/>
      </w:pPr>
      <w:r w:rsidRPr="007339FB">
        <w:t xml:space="preserve">The table summary of estimated burden hours is presented below. </w:t>
      </w:r>
      <w:r w:rsidR="001A3AF1">
        <w:t xml:space="preserve"> </w:t>
      </w:r>
    </w:p>
    <w:p w:rsidR="003837AA" w:rsidRDefault="003837AA" w:rsidP="005D3062">
      <w:pPr>
        <w:spacing w:after="0" w:line="240" w:lineRule="auto"/>
        <w:rPr>
          <w:rFonts w:ascii="Arial" w:eastAsia="Times New Roman" w:hAnsi="Arial" w:cs="Arial"/>
          <w:color w:val="000000"/>
          <w:sz w:val="12"/>
          <w:szCs w:val="12"/>
        </w:rPr>
      </w:pPr>
    </w:p>
    <w:p w:rsidR="00704B8A" w:rsidRDefault="00704B8A" w:rsidP="005D3062">
      <w:pPr>
        <w:spacing w:after="0" w:line="240" w:lineRule="auto"/>
        <w:rPr>
          <w:rFonts w:ascii="Arial" w:eastAsia="Times New Roman" w:hAnsi="Arial" w:cs="Arial"/>
          <w:color w:val="000000"/>
          <w:sz w:val="12"/>
          <w:szCs w:val="12"/>
        </w:rPr>
      </w:pPr>
    </w:p>
    <w:p w:rsidR="00704B8A" w:rsidRDefault="00704B8A" w:rsidP="005D3062">
      <w:pPr>
        <w:spacing w:after="0" w:line="240" w:lineRule="auto"/>
        <w:rPr>
          <w:rFonts w:ascii="Arial" w:eastAsia="Times New Roman" w:hAnsi="Arial" w:cs="Arial"/>
          <w:color w:val="000000"/>
          <w:sz w:val="12"/>
          <w:szCs w:val="12"/>
        </w:rPr>
        <w:sectPr w:rsidR="00704B8A" w:rsidSect="003C5140">
          <w:footerReference w:type="default" r:id="rId13"/>
          <w:pgSz w:w="12240" w:h="15840"/>
          <w:pgMar w:top="1440" w:right="1440" w:bottom="1440" w:left="1440" w:header="720" w:footer="720" w:gutter="0"/>
          <w:cols w:space="720"/>
          <w:docGrid w:linePitch="360"/>
        </w:sectPr>
      </w:pPr>
    </w:p>
    <w:p w:rsidR="003837AA" w:rsidRDefault="006E0EB9" w:rsidP="005D3062">
      <w:pPr>
        <w:spacing w:after="0" w:line="240" w:lineRule="auto"/>
      </w:pPr>
      <w:r>
        <w:lastRenderedPageBreak/>
        <w:t>Table 2: Burden Hours</w:t>
      </w:r>
    </w:p>
    <w:p w:rsidR="00CD2356" w:rsidRDefault="00CD2356" w:rsidP="005D3062">
      <w:pPr>
        <w:spacing w:after="0" w:line="240" w:lineRule="auto"/>
      </w:pPr>
    </w:p>
    <w:p w:rsidR="00CD2356" w:rsidRDefault="00CD2356" w:rsidP="005D3062">
      <w:pPr>
        <w:spacing w:after="0" w:line="240" w:lineRule="auto"/>
      </w:pPr>
    </w:p>
    <w:p w:rsidR="00CD2356" w:rsidRDefault="00B724EA" w:rsidP="005D3062">
      <w:pPr>
        <w:spacing w:after="0" w:line="240" w:lineRule="auto"/>
        <w:rPr>
          <w:rFonts w:ascii="Calibri" w:hAnsi="Calibri" w:cs="Arial"/>
        </w:rPr>
        <w:sectPr w:rsidR="00CD2356" w:rsidSect="003837AA">
          <w:pgSz w:w="15840" w:h="12240" w:orient="landscape"/>
          <w:pgMar w:top="1440" w:right="1440" w:bottom="1440" w:left="1440" w:header="720" w:footer="720" w:gutter="0"/>
          <w:cols w:space="720"/>
          <w:docGrid w:linePitch="360"/>
        </w:sectPr>
      </w:pPr>
      <w:r w:rsidRPr="00B724EA">
        <w:rPr>
          <w:noProof/>
        </w:rPr>
        <w:drawing>
          <wp:inline distT="0" distB="0" distL="0" distR="0">
            <wp:extent cx="9090087" cy="1944806"/>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01508" cy="1968644"/>
                    </a:xfrm>
                    <a:prstGeom prst="rect">
                      <a:avLst/>
                    </a:prstGeom>
                    <a:noFill/>
                    <a:ln>
                      <a:noFill/>
                    </a:ln>
                  </pic:spPr>
                </pic:pic>
              </a:graphicData>
            </a:graphic>
          </wp:inline>
        </w:drawing>
      </w:r>
    </w:p>
    <w:p w:rsidR="009671CD" w:rsidRPr="00D073A8" w:rsidRDefault="009671CD" w:rsidP="005D3062">
      <w:pPr>
        <w:spacing w:after="0" w:line="240" w:lineRule="auto"/>
        <w:rPr>
          <w:rFonts w:ascii="Calibri" w:hAnsi="Calibri" w:cs="Arial"/>
        </w:rPr>
      </w:pPr>
    </w:p>
    <w:p w:rsidR="00D073A8" w:rsidRPr="007339FB" w:rsidRDefault="00D073A8" w:rsidP="005D3062">
      <w:pPr>
        <w:pStyle w:val="ListParagraph"/>
        <w:numPr>
          <w:ilvl w:val="0"/>
          <w:numId w:val="32"/>
        </w:numPr>
        <w:spacing w:after="0" w:line="240" w:lineRule="auto"/>
        <w:contextualSpacing w:val="0"/>
        <w:rPr>
          <w:rFonts w:cs="Arial"/>
          <w:b/>
        </w:rPr>
      </w:pPr>
      <w:r w:rsidRPr="007339FB">
        <w:rPr>
          <w:rFonts w:cs="Arial"/>
          <w:b/>
        </w:rPr>
        <w:t>Total Burden Hours on Public:</w:t>
      </w:r>
      <w:r w:rsidR="00A4139D" w:rsidRPr="007339FB">
        <w:rPr>
          <w:rFonts w:cs="Arial"/>
          <w:b/>
        </w:rPr>
        <w:t xml:space="preserve"> </w:t>
      </w:r>
      <w:r w:rsidR="00A91AA4">
        <w:rPr>
          <w:rFonts w:cs="Arial"/>
          <w:b/>
        </w:rPr>
        <w:t>492.</w:t>
      </w:r>
      <w:r w:rsidR="00357679">
        <w:rPr>
          <w:rFonts w:cs="Arial"/>
          <w:b/>
        </w:rPr>
        <w:t>4</w:t>
      </w:r>
    </w:p>
    <w:p w:rsidR="00D073A8" w:rsidRDefault="00D073A8" w:rsidP="006057C6">
      <w:pPr>
        <w:spacing w:after="0" w:line="240" w:lineRule="auto"/>
        <w:rPr>
          <w:rFonts w:cs="Arial"/>
        </w:rPr>
      </w:pPr>
    </w:p>
    <w:p w:rsidR="00D073A8" w:rsidRPr="007339FB" w:rsidRDefault="00D073A8" w:rsidP="005D3062">
      <w:pPr>
        <w:pStyle w:val="ListParagraph"/>
        <w:numPr>
          <w:ilvl w:val="0"/>
          <w:numId w:val="32"/>
        </w:numPr>
        <w:spacing w:after="0" w:line="240" w:lineRule="auto"/>
        <w:contextualSpacing w:val="0"/>
        <w:rPr>
          <w:rFonts w:cs="Arial"/>
        </w:rPr>
      </w:pPr>
      <w:bookmarkStart w:id="1" w:name="_Toc408578159"/>
      <w:r w:rsidRPr="007339FB">
        <w:rPr>
          <w:rFonts w:cs="Arial"/>
          <w:b/>
        </w:rPr>
        <w:t>Project Purpose, Methodology, and Formative Research Design:</w:t>
      </w:r>
    </w:p>
    <w:p w:rsidR="00D073A8" w:rsidRDefault="00D073A8" w:rsidP="00855FD9">
      <w:pPr>
        <w:pStyle w:val="NormalWeb"/>
        <w:spacing w:after="240" w:afterAutospacing="0" w:line="240" w:lineRule="auto"/>
        <w:ind w:left="360" w:hanging="360"/>
        <w:outlineLvl w:val="0"/>
        <w:rPr>
          <w:rFonts w:asciiTheme="minorHAnsi" w:hAnsiTheme="minorHAnsi" w:cs="Arial"/>
          <w:sz w:val="22"/>
          <w:szCs w:val="22"/>
          <w:u w:val="single"/>
          <w:lang w:val="en-US"/>
        </w:rPr>
      </w:pPr>
      <w:r w:rsidRPr="007339FB">
        <w:rPr>
          <w:rFonts w:asciiTheme="minorHAnsi" w:hAnsiTheme="minorHAnsi" w:cs="Arial"/>
          <w:sz w:val="22"/>
          <w:szCs w:val="22"/>
          <w:u w:val="single"/>
          <w:lang w:val="en-US"/>
        </w:rPr>
        <w:t xml:space="preserve">Background </w:t>
      </w:r>
    </w:p>
    <w:bookmarkEnd w:id="1"/>
    <w:p w:rsidR="00202870" w:rsidRPr="007339FB" w:rsidRDefault="00F45427" w:rsidP="005D3062">
      <w:pPr>
        <w:pStyle w:val="ListParagraph"/>
        <w:tabs>
          <w:tab w:val="left" w:pos="3825"/>
        </w:tabs>
        <w:spacing w:line="240" w:lineRule="auto"/>
        <w:ind w:left="0"/>
      </w:pPr>
      <w:r w:rsidRPr="007339FB">
        <w:t>This year, t</w:t>
      </w:r>
      <w:r w:rsidR="00402078" w:rsidRPr="007339FB">
        <w:t xml:space="preserve">he </w:t>
      </w:r>
      <w:r w:rsidR="00202870" w:rsidRPr="007339FB">
        <w:t>U</w:t>
      </w:r>
      <w:r w:rsidR="00402078" w:rsidRPr="007339FB">
        <w:t>.</w:t>
      </w:r>
      <w:r w:rsidR="00202870" w:rsidRPr="007339FB">
        <w:t>S. Department</w:t>
      </w:r>
      <w:r w:rsidRPr="007339FB">
        <w:t>s</w:t>
      </w:r>
      <w:r w:rsidR="00202870" w:rsidRPr="007339FB">
        <w:t xml:space="preserve"> of Agriculture and </w:t>
      </w:r>
      <w:r w:rsidR="00C54601" w:rsidRPr="007339FB">
        <w:t xml:space="preserve">of </w:t>
      </w:r>
      <w:r w:rsidR="00202870" w:rsidRPr="007339FB">
        <w:t xml:space="preserve">Health and Human Services will release the Dietary Guidelines for Americans 2015 policy document, which is the cornerstone of Federal nutrition programs. Updated every five years, the Dietary Guidelines for Americans (DGA) serve as the nation’s authoritative </w:t>
      </w:r>
      <w:r w:rsidR="00402078" w:rsidRPr="007339FB">
        <w:t>recommendations</w:t>
      </w:r>
      <w:r w:rsidR="00202870" w:rsidRPr="007339FB">
        <w:t xml:space="preserve"> </w:t>
      </w:r>
      <w:r w:rsidR="00402078" w:rsidRPr="007339FB">
        <w:t>regarding</w:t>
      </w:r>
      <w:r w:rsidR="00202870" w:rsidRPr="007339FB">
        <w:t xml:space="preserve"> recommended calorie</w:t>
      </w:r>
      <w:r w:rsidR="00C54601" w:rsidRPr="007339FB">
        <w:t xml:space="preserve"> consumption</w:t>
      </w:r>
      <w:r w:rsidR="00202870" w:rsidRPr="007339FB">
        <w:t xml:space="preserve">, making informed food choices, and being physically active </w:t>
      </w:r>
      <w:r w:rsidR="00D52251">
        <w:t xml:space="preserve">in order </w:t>
      </w:r>
      <w:r w:rsidR="00202870" w:rsidRPr="007339FB">
        <w:t xml:space="preserve">to attain and maintain a healthy weight, reduce risk of chronic disease, and promote overall health. Recommendations from the DGA are intended for Americans ages 2 years and older, including those at increased risk of chronic disease. </w:t>
      </w:r>
    </w:p>
    <w:p w:rsidR="00202870" w:rsidRPr="007339FB" w:rsidRDefault="00202870" w:rsidP="005D3062">
      <w:pPr>
        <w:pStyle w:val="ListParagraph"/>
        <w:tabs>
          <w:tab w:val="left" w:pos="3825"/>
        </w:tabs>
        <w:spacing w:line="240" w:lineRule="auto"/>
        <w:ind w:left="0"/>
      </w:pPr>
    </w:p>
    <w:p w:rsidR="00837FE8" w:rsidRPr="007339FB" w:rsidRDefault="00402078" w:rsidP="005D3062">
      <w:pPr>
        <w:pStyle w:val="ListParagraph"/>
        <w:tabs>
          <w:tab w:val="left" w:pos="3825"/>
        </w:tabs>
        <w:spacing w:line="240" w:lineRule="auto"/>
        <w:ind w:left="0"/>
      </w:pPr>
      <w:r w:rsidRPr="007339FB">
        <w:t xml:space="preserve">The </w:t>
      </w:r>
      <w:r w:rsidR="00202870" w:rsidRPr="007339FB">
        <w:t xml:space="preserve">USDA Center for Nutritional Policy and Promotion (CNPP) is collaborating with </w:t>
      </w:r>
      <w:r w:rsidR="00F45427" w:rsidRPr="007339FB">
        <w:t xml:space="preserve">HHS’s Office of Disease Prevention and Health Promotion (ODPHP) </w:t>
      </w:r>
      <w:r w:rsidR="00202870" w:rsidRPr="007339FB">
        <w:t>to develop communication strategies to promote healthy eating among Americans based on the upcoming DGA.</w:t>
      </w:r>
      <w:r w:rsidR="006A5DEF" w:rsidRPr="007339FB">
        <w:t xml:space="preserve"> </w:t>
      </w:r>
      <w:r w:rsidR="00202870" w:rsidRPr="007339FB">
        <w:t>Specifically, CNPP is task</w:t>
      </w:r>
      <w:r w:rsidRPr="007339FB">
        <w:t>ed</w:t>
      </w:r>
      <w:r w:rsidR="00202870" w:rsidRPr="007339FB">
        <w:t xml:space="preserve"> with developing communication strategies for </w:t>
      </w:r>
      <w:r w:rsidRPr="007339FB">
        <w:t xml:space="preserve">the </w:t>
      </w:r>
      <w:r w:rsidR="00202870" w:rsidRPr="007339FB">
        <w:t xml:space="preserve">general </w:t>
      </w:r>
      <w:r w:rsidR="001F6857" w:rsidRPr="007339FB">
        <w:t>population to encourage dietary practices recommended by the DGA</w:t>
      </w:r>
      <w:r w:rsidR="00C54601" w:rsidRPr="007339FB">
        <w:t>,</w:t>
      </w:r>
      <w:r w:rsidR="001F6857" w:rsidRPr="007339FB">
        <w:t xml:space="preserve"> as well as physical activity.</w:t>
      </w:r>
      <w:r w:rsidR="006A5DEF" w:rsidRPr="007339FB">
        <w:t xml:space="preserve"> </w:t>
      </w:r>
    </w:p>
    <w:p w:rsidR="00837FE8" w:rsidRPr="007339FB" w:rsidRDefault="00837FE8" w:rsidP="005D3062">
      <w:pPr>
        <w:pStyle w:val="ListParagraph"/>
        <w:tabs>
          <w:tab w:val="left" w:pos="3825"/>
        </w:tabs>
        <w:spacing w:line="240" w:lineRule="auto"/>
        <w:ind w:left="0"/>
      </w:pPr>
    </w:p>
    <w:p w:rsidR="002217C2" w:rsidRDefault="002217C2" w:rsidP="005D3062">
      <w:pPr>
        <w:pStyle w:val="ListParagraph"/>
        <w:tabs>
          <w:tab w:val="left" w:pos="3825"/>
        </w:tabs>
        <w:spacing w:line="240" w:lineRule="auto"/>
        <w:ind w:left="0"/>
      </w:pPr>
      <w:r>
        <w:t>As is the case with the release of the DGA, CNPP must ensure that the specific consumer recommendations (i.e., message</w:t>
      </w:r>
      <w:r w:rsidR="00B41066">
        <w:t xml:space="preserve"> concepts</w:t>
      </w:r>
      <w:r>
        <w:t>) that stem from the DGA communicate information clearly, as intended.  In other words, it must minimize the possibility</w:t>
      </w:r>
      <w:r w:rsidR="0089250E">
        <w:t xml:space="preserve"> of misinterpretation.  </w:t>
      </w:r>
      <w:r>
        <w:t xml:space="preserve">Previous research to inform the development of such consumer-facing messaging focused on each message, individually.  For example, research participants were asked to evaluate several ways to communicate the idea, “Make half your plate fruits and vegetables” to inform the final wording.  This year, however, represents an important </w:t>
      </w:r>
      <w:r w:rsidR="0089250E">
        <w:t xml:space="preserve">additional goal for </w:t>
      </w:r>
      <w:r>
        <w:t>the DGA recommendations.</w:t>
      </w:r>
    </w:p>
    <w:p w:rsidR="002217C2" w:rsidRDefault="002217C2" w:rsidP="005D3062">
      <w:pPr>
        <w:pStyle w:val="ListParagraph"/>
        <w:tabs>
          <w:tab w:val="left" w:pos="3825"/>
        </w:tabs>
        <w:spacing w:line="240" w:lineRule="auto"/>
        <w:ind w:left="0"/>
      </w:pPr>
    </w:p>
    <w:p w:rsidR="002217C2" w:rsidRDefault="00124054" w:rsidP="0089250E">
      <w:pPr>
        <w:pStyle w:val="ListParagraph"/>
        <w:tabs>
          <w:tab w:val="left" w:pos="3825"/>
        </w:tabs>
        <w:spacing w:line="240" w:lineRule="auto"/>
        <w:ind w:left="0"/>
      </w:pPr>
      <w:r>
        <w:t xml:space="preserve">In 2015, CNPP </w:t>
      </w:r>
      <w:r w:rsidR="0089250E">
        <w:t xml:space="preserve">and ODPHP </w:t>
      </w:r>
      <w:r>
        <w:t>determined that</w:t>
      </w:r>
      <w:r w:rsidR="00D52251">
        <w:t>,</w:t>
      </w:r>
      <w:r>
        <w:t xml:space="preserve"> </w:t>
      </w:r>
      <w:r w:rsidR="0089250E">
        <w:t xml:space="preserve">in addition to communicating </w:t>
      </w:r>
      <w:r>
        <w:t xml:space="preserve">DGA </w:t>
      </w:r>
      <w:r w:rsidR="0089250E">
        <w:t xml:space="preserve">recommendations clearly, this </w:t>
      </w:r>
      <w:r w:rsidR="00B41066">
        <w:t xml:space="preserve">concept </w:t>
      </w:r>
      <w:r>
        <w:t xml:space="preserve">messaging </w:t>
      </w:r>
      <w:r w:rsidR="0089250E">
        <w:t>must also communicate the notion of holistic dietary patterns</w:t>
      </w:r>
      <w:r>
        <w:t xml:space="preserve">—the idea that </w:t>
      </w:r>
      <w:r w:rsidR="0089250E">
        <w:t xml:space="preserve">consumers should use the information from </w:t>
      </w:r>
      <w:r w:rsidR="0089250E" w:rsidRPr="0089250E">
        <w:rPr>
          <w:i/>
        </w:rPr>
        <w:t xml:space="preserve">all </w:t>
      </w:r>
      <w:r w:rsidR="0089250E">
        <w:t xml:space="preserve">of the </w:t>
      </w:r>
      <w:r>
        <w:t xml:space="preserve">DGA recommendations </w:t>
      </w:r>
      <w:r w:rsidR="0089250E">
        <w:t xml:space="preserve">to help them make better nutrition decisions now, and into the future.  </w:t>
      </w:r>
      <w:r w:rsidR="007F7D8F">
        <w:t xml:space="preserve">In addition, CNPP wants to gauge how best to depict this notion visually, as well as with words and phrases.  </w:t>
      </w:r>
    </w:p>
    <w:p w:rsidR="0089250E" w:rsidRDefault="0089250E" w:rsidP="0089250E">
      <w:pPr>
        <w:pStyle w:val="ListParagraph"/>
        <w:tabs>
          <w:tab w:val="left" w:pos="3825"/>
        </w:tabs>
        <w:spacing w:line="240" w:lineRule="auto"/>
        <w:ind w:left="0"/>
      </w:pPr>
    </w:p>
    <w:p w:rsidR="0089250E" w:rsidRDefault="00757A8D" w:rsidP="005D3062">
      <w:pPr>
        <w:pStyle w:val="ListParagraph"/>
        <w:tabs>
          <w:tab w:val="left" w:pos="3825"/>
        </w:tabs>
        <w:spacing w:line="240" w:lineRule="auto"/>
        <w:ind w:left="0"/>
      </w:pPr>
      <w:r w:rsidRPr="007339FB">
        <w:t xml:space="preserve">The approval of this information collection is necessary for </w:t>
      </w:r>
      <w:r w:rsidR="0089250E">
        <w:t xml:space="preserve">CNPP </w:t>
      </w:r>
      <w:r w:rsidRPr="007339FB">
        <w:t xml:space="preserve">to </w:t>
      </w:r>
      <w:r w:rsidR="0089250E">
        <w:t>meet these aforementioned objectives:</w:t>
      </w:r>
    </w:p>
    <w:p w:rsidR="006560D7" w:rsidRDefault="0089250E" w:rsidP="0089250E">
      <w:pPr>
        <w:pStyle w:val="ListParagraph"/>
        <w:numPr>
          <w:ilvl w:val="0"/>
          <w:numId w:val="39"/>
        </w:numPr>
        <w:tabs>
          <w:tab w:val="left" w:pos="3825"/>
        </w:tabs>
        <w:spacing w:line="240" w:lineRule="auto"/>
      </w:pPr>
      <w:r>
        <w:t xml:space="preserve">Identify what </w:t>
      </w:r>
      <w:r w:rsidR="00B41066">
        <w:t>message concepts</w:t>
      </w:r>
      <w:r>
        <w:t xml:space="preserve"> can best summarize the idea of a dietary pattern and encourage consumers to think about nutrition decisions, writ large.  </w:t>
      </w:r>
    </w:p>
    <w:p w:rsidR="006560D7" w:rsidRDefault="0089250E" w:rsidP="0089250E">
      <w:pPr>
        <w:pStyle w:val="ListParagraph"/>
        <w:numPr>
          <w:ilvl w:val="0"/>
          <w:numId w:val="39"/>
        </w:numPr>
        <w:tabs>
          <w:tab w:val="left" w:pos="3825"/>
        </w:tabs>
        <w:spacing w:line="240" w:lineRule="auto"/>
      </w:pPr>
      <w:r>
        <w:t>As with previous Dietary Guidelines-related research, this information collection must also identify how best to communicate new message</w:t>
      </w:r>
      <w:r w:rsidR="00B41066">
        <w:t xml:space="preserve"> concepts</w:t>
      </w:r>
      <w:r>
        <w:t xml:space="preserve"> </w:t>
      </w:r>
      <w:r w:rsidR="007F7D8F">
        <w:t>to encourage the adoption of healthy food and beverage consumption decisions.</w:t>
      </w:r>
    </w:p>
    <w:p w:rsidR="00757A8D" w:rsidRPr="007339FB" w:rsidRDefault="004D5E27" w:rsidP="004D5E27">
      <w:pPr>
        <w:tabs>
          <w:tab w:val="left" w:pos="3825"/>
        </w:tabs>
        <w:spacing w:line="240" w:lineRule="auto"/>
      </w:pPr>
      <w:r>
        <w:t>Qualitative</w:t>
      </w:r>
      <w:r w:rsidR="0025384C">
        <w:t xml:space="preserve"> research conducted by CNPP has</w:t>
      </w:r>
      <w:r w:rsidR="00E42FE5">
        <w:t xml:space="preserve"> addressed these topics and le</w:t>
      </w:r>
      <w:r>
        <w:t xml:space="preserve">d to the refinement of messaging strategies. </w:t>
      </w:r>
      <w:r w:rsidR="003053EF" w:rsidRPr="007339FB">
        <w:t xml:space="preserve">Following </w:t>
      </w:r>
      <w:r w:rsidR="006560D7">
        <w:t xml:space="preserve">the </w:t>
      </w:r>
      <w:r w:rsidR="003053EF" w:rsidRPr="007339FB">
        <w:t xml:space="preserve">best practices of consumer </w:t>
      </w:r>
      <w:r w:rsidR="006560D7">
        <w:t xml:space="preserve">messaging </w:t>
      </w:r>
      <w:r>
        <w:t>research</w:t>
      </w:r>
      <w:r w:rsidR="00B27A12">
        <w:t>,</w:t>
      </w:r>
      <w:r>
        <w:t xml:space="preserve"> the web experiment as a follow</w:t>
      </w:r>
      <w:r w:rsidR="00B27A12">
        <w:t>-up</w:t>
      </w:r>
      <w:r>
        <w:t xml:space="preserve"> to the qualitative research will help CNPP to determine </w:t>
      </w:r>
      <w:r w:rsidR="006560D7">
        <w:t>message</w:t>
      </w:r>
      <w:r w:rsidR="00B41066">
        <w:t xml:space="preserve"> concept</w:t>
      </w:r>
      <w:r w:rsidR="006560D7">
        <w:t xml:space="preserve">s </w:t>
      </w:r>
      <w:r w:rsidR="007F7D8F">
        <w:t xml:space="preserve">and image concepts </w:t>
      </w:r>
      <w:r w:rsidR="00000FA9">
        <w:t xml:space="preserve">that </w:t>
      </w:r>
      <w:r w:rsidR="006560D7">
        <w:t xml:space="preserve">most effectively communicate </w:t>
      </w:r>
      <w:r w:rsidR="00B27A12">
        <w:t xml:space="preserve">the information </w:t>
      </w:r>
      <w:r w:rsidR="006560D7">
        <w:t>as intended among key audiences</w:t>
      </w:r>
      <w:r w:rsidR="00757A8D" w:rsidRPr="007339FB">
        <w:t>.</w:t>
      </w:r>
      <w:r w:rsidR="006A5DEF" w:rsidRPr="007339FB">
        <w:t xml:space="preserve"> </w:t>
      </w:r>
    </w:p>
    <w:p w:rsidR="00FC2658" w:rsidRPr="00855FD9" w:rsidRDefault="000A21AA" w:rsidP="005D3062">
      <w:pPr>
        <w:pStyle w:val="Heading1"/>
        <w:spacing w:line="240" w:lineRule="auto"/>
        <w:rPr>
          <w:rFonts w:asciiTheme="minorHAnsi" w:hAnsiTheme="minorHAnsi"/>
          <w:color w:val="auto"/>
          <w:sz w:val="22"/>
          <w:szCs w:val="22"/>
        </w:rPr>
      </w:pPr>
      <w:bookmarkStart w:id="2" w:name="_Toc408578160"/>
      <w:r w:rsidRPr="00855FD9">
        <w:rPr>
          <w:rFonts w:asciiTheme="minorHAnsi" w:hAnsiTheme="minorHAnsi"/>
          <w:color w:val="auto"/>
          <w:sz w:val="22"/>
          <w:szCs w:val="22"/>
          <w:u w:val="single"/>
        </w:rPr>
        <w:lastRenderedPageBreak/>
        <w:t>Purpose</w:t>
      </w:r>
      <w:r w:rsidRPr="00855FD9">
        <w:rPr>
          <w:rFonts w:asciiTheme="minorHAnsi" w:hAnsiTheme="minorHAnsi"/>
          <w:color w:val="auto"/>
          <w:sz w:val="22"/>
          <w:szCs w:val="22"/>
        </w:rPr>
        <w:t xml:space="preserve"> </w:t>
      </w:r>
      <w:bookmarkEnd w:id="2"/>
    </w:p>
    <w:p w:rsidR="000A21AA" w:rsidRDefault="00D71299" w:rsidP="005D3062">
      <w:pPr>
        <w:pStyle w:val="Heading1"/>
        <w:spacing w:line="240" w:lineRule="auto"/>
        <w:rPr>
          <w:rFonts w:asciiTheme="minorHAnsi" w:eastAsiaTheme="minorHAnsi" w:hAnsiTheme="minorHAnsi" w:cstheme="minorBidi"/>
          <w:color w:val="auto"/>
          <w:sz w:val="22"/>
          <w:szCs w:val="22"/>
        </w:rPr>
      </w:pPr>
      <w:r w:rsidRPr="00D71299">
        <w:rPr>
          <w:rFonts w:asciiTheme="minorHAnsi" w:eastAsiaTheme="minorHAnsi" w:hAnsiTheme="minorHAnsi" w:cstheme="minorBidi"/>
          <w:color w:val="auto"/>
          <w:sz w:val="22"/>
          <w:szCs w:val="22"/>
        </w:rPr>
        <w:t xml:space="preserve">Strong </w:t>
      </w:r>
      <w:r w:rsidR="00B41066">
        <w:rPr>
          <w:rFonts w:asciiTheme="minorHAnsi" w:eastAsiaTheme="minorHAnsi" w:hAnsiTheme="minorHAnsi" w:cstheme="minorBidi"/>
          <w:color w:val="auto"/>
          <w:sz w:val="22"/>
          <w:szCs w:val="22"/>
        </w:rPr>
        <w:t>message concepts</w:t>
      </w:r>
      <w:r w:rsidR="00B41066" w:rsidRPr="00D71299">
        <w:rPr>
          <w:rFonts w:asciiTheme="minorHAnsi" w:eastAsiaTheme="minorHAnsi" w:hAnsiTheme="minorHAnsi" w:cstheme="minorBidi"/>
          <w:color w:val="auto"/>
          <w:sz w:val="22"/>
          <w:szCs w:val="22"/>
        </w:rPr>
        <w:t xml:space="preserve"> </w:t>
      </w:r>
      <w:r w:rsidR="00B27A12">
        <w:rPr>
          <w:rFonts w:asciiTheme="minorHAnsi" w:eastAsiaTheme="minorHAnsi" w:hAnsiTheme="minorHAnsi" w:cstheme="minorBidi"/>
          <w:color w:val="auto"/>
          <w:sz w:val="22"/>
          <w:szCs w:val="22"/>
        </w:rPr>
        <w:t>are</w:t>
      </w:r>
      <w:r w:rsidR="00B27A12" w:rsidRPr="00D71299">
        <w:rPr>
          <w:rFonts w:asciiTheme="minorHAnsi" w:eastAsiaTheme="minorHAnsi" w:hAnsiTheme="minorHAnsi" w:cstheme="minorBidi"/>
          <w:color w:val="auto"/>
          <w:sz w:val="22"/>
          <w:szCs w:val="22"/>
        </w:rPr>
        <w:t xml:space="preserve"> </w:t>
      </w:r>
      <w:r w:rsidRPr="00D71299">
        <w:rPr>
          <w:rFonts w:asciiTheme="minorHAnsi" w:eastAsiaTheme="minorHAnsi" w:hAnsiTheme="minorHAnsi" w:cstheme="minorBidi"/>
          <w:color w:val="auto"/>
          <w:sz w:val="22"/>
          <w:szCs w:val="22"/>
        </w:rPr>
        <w:t xml:space="preserve">a function of two key factors: clear expression of the necessary information and an understanding of the audience that needs to hear and internalize it. USDA </w:t>
      </w:r>
      <w:r>
        <w:rPr>
          <w:rFonts w:asciiTheme="minorHAnsi" w:eastAsiaTheme="minorHAnsi" w:hAnsiTheme="minorHAnsi" w:cstheme="minorBidi"/>
          <w:color w:val="auto"/>
          <w:sz w:val="22"/>
          <w:szCs w:val="22"/>
        </w:rPr>
        <w:t xml:space="preserve">and HHS </w:t>
      </w:r>
      <w:r w:rsidRPr="00D71299">
        <w:rPr>
          <w:rFonts w:asciiTheme="minorHAnsi" w:eastAsiaTheme="minorHAnsi" w:hAnsiTheme="minorHAnsi" w:cstheme="minorBidi"/>
          <w:color w:val="auto"/>
          <w:sz w:val="22"/>
          <w:szCs w:val="22"/>
        </w:rPr>
        <w:t xml:space="preserve">have a clear plan to develop the Dietary Guidelines </w:t>
      </w:r>
      <w:r w:rsidR="007F7D8F">
        <w:rPr>
          <w:rFonts w:asciiTheme="minorHAnsi" w:eastAsiaTheme="minorHAnsi" w:hAnsiTheme="minorHAnsi" w:cstheme="minorBidi"/>
          <w:color w:val="auto"/>
          <w:sz w:val="22"/>
          <w:szCs w:val="22"/>
        </w:rPr>
        <w:t xml:space="preserve">recommendations </w:t>
      </w:r>
      <w:r w:rsidRPr="00D71299">
        <w:rPr>
          <w:rFonts w:asciiTheme="minorHAnsi" w:eastAsiaTheme="minorHAnsi" w:hAnsiTheme="minorHAnsi" w:cstheme="minorBidi"/>
          <w:color w:val="auto"/>
          <w:sz w:val="22"/>
          <w:szCs w:val="22"/>
        </w:rPr>
        <w:t>and determine the most crucial information to share with consumers, but without a better understanding of how consumers might hear or interpret the message</w:t>
      </w:r>
      <w:r w:rsidR="00B41066">
        <w:rPr>
          <w:rFonts w:asciiTheme="minorHAnsi" w:eastAsiaTheme="minorHAnsi" w:hAnsiTheme="minorHAnsi" w:cstheme="minorBidi"/>
          <w:color w:val="auto"/>
          <w:sz w:val="22"/>
          <w:szCs w:val="22"/>
        </w:rPr>
        <w:t xml:space="preserve"> concept</w:t>
      </w:r>
      <w:r w:rsidRPr="00D71299">
        <w:rPr>
          <w:rFonts w:asciiTheme="minorHAnsi" w:eastAsiaTheme="minorHAnsi" w:hAnsiTheme="minorHAnsi" w:cstheme="minorBidi"/>
          <w:color w:val="auto"/>
          <w:sz w:val="22"/>
          <w:szCs w:val="22"/>
        </w:rPr>
        <w:t xml:space="preserve">s, it may fall on deaf ears. Consumer-facing research will provide the remaining intelligence needed to increase the likelihood of success. </w:t>
      </w:r>
    </w:p>
    <w:p w:rsidR="00EA6508" w:rsidRDefault="00EA6508" w:rsidP="00EA6508">
      <w:pPr>
        <w:spacing w:before="240" w:line="240" w:lineRule="auto"/>
      </w:pPr>
      <w:r>
        <w:t xml:space="preserve">Qualitative research </w:t>
      </w:r>
      <w:r w:rsidR="00B27A12">
        <w:t xml:space="preserve">has </w:t>
      </w:r>
      <w:r>
        <w:t xml:space="preserve">already </w:t>
      </w:r>
      <w:r w:rsidR="00B27A12">
        <w:t xml:space="preserve">provided </w:t>
      </w:r>
      <w:r>
        <w:t xml:space="preserve">invaluable insight into the development of effective strategies to inform and motivate Americans to eat healthier in the context </w:t>
      </w:r>
      <w:r w:rsidR="00B27A12">
        <w:t xml:space="preserve">of the </w:t>
      </w:r>
      <w:r>
        <w:t xml:space="preserve">DGA.  As a </w:t>
      </w:r>
      <w:r w:rsidR="00B27A12">
        <w:t>follow-</w:t>
      </w:r>
      <w:r>
        <w:t xml:space="preserve">up, </w:t>
      </w:r>
      <w:r w:rsidR="00D17E78">
        <w:t xml:space="preserve">this </w:t>
      </w:r>
      <w:r>
        <w:t xml:space="preserve">research builds on the findings of the qualitative analyses and is necessary to guide further development and refinement of </w:t>
      </w:r>
      <w:r w:rsidR="00B27A12">
        <w:t>consumer-</w:t>
      </w:r>
      <w:r>
        <w:t xml:space="preserve">facing messaging and other collaterals.  The primary advantage of </w:t>
      </w:r>
      <w:r w:rsidR="00D17E78">
        <w:t>the survey</w:t>
      </w:r>
      <w:r>
        <w:t xml:space="preserve"> is that it provides an opportunity to statistically compare </w:t>
      </w:r>
      <w:r w:rsidR="00B27A12">
        <w:t xml:space="preserve">the </w:t>
      </w:r>
      <w:r>
        <w:t>audience’s reaction to different messages and material</w:t>
      </w:r>
      <w:r w:rsidR="00B27A12">
        <w:t>.</w:t>
      </w:r>
      <w:r>
        <w:t xml:space="preserve"> </w:t>
      </w:r>
      <w:r w:rsidR="00B27A12">
        <w:t>F</w:t>
      </w:r>
      <w:r>
        <w:t>urthermore</w:t>
      </w:r>
      <w:r w:rsidR="00B27A12">
        <w:t>,</w:t>
      </w:r>
      <w:r>
        <w:t xml:space="preserve"> </w:t>
      </w:r>
      <w:r w:rsidR="00B27A12">
        <w:t xml:space="preserve">it </w:t>
      </w:r>
      <w:r>
        <w:t>relate</w:t>
      </w:r>
      <w:r w:rsidR="00B27A12">
        <w:t>s</w:t>
      </w:r>
      <w:r>
        <w:t xml:space="preserve"> the potential differences in audience receptivity </w:t>
      </w:r>
      <w:r w:rsidR="00FD232C">
        <w:t xml:space="preserve">to the messages </w:t>
      </w:r>
      <w:r>
        <w:t xml:space="preserve">to their psychographic and demographic characteristics.  </w:t>
      </w:r>
      <w:r w:rsidR="00B27A12">
        <w:t xml:space="preserve">A </w:t>
      </w:r>
      <w:r w:rsidR="00D17E78">
        <w:t xml:space="preserve">survey </w:t>
      </w:r>
      <w:r>
        <w:t xml:space="preserve">approach also allows </w:t>
      </w:r>
      <w:r w:rsidR="00B27A12">
        <w:t xml:space="preserve">for </w:t>
      </w:r>
      <w:r>
        <w:t>cost</w:t>
      </w:r>
      <w:r w:rsidR="007F7D8F">
        <w:t>-</w:t>
      </w:r>
      <w:r>
        <w:t xml:space="preserve">effective message testing research </w:t>
      </w:r>
      <w:r w:rsidR="00B27A12">
        <w:t xml:space="preserve">to be conducted </w:t>
      </w:r>
      <w:r>
        <w:t xml:space="preserve">with a broader spectrum of American public than </w:t>
      </w:r>
      <w:r w:rsidR="00B27A12">
        <w:t xml:space="preserve">would be </w:t>
      </w:r>
      <w:r>
        <w:t>possible through qualitative research alone.</w:t>
      </w:r>
    </w:p>
    <w:p w:rsidR="00FD232C" w:rsidRPr="00EA6508" w:rsidRDefault="00FD232C" w:rsidP="00EA6508">
      <w:pPr>
        <w:spacing w:before="240" w:line="240" w:lineRule="auto"/>
      </w:pPr>
      <w:r>
        <w:t xml:space="preserve">The research </w:t>
      </w:r>
      <w:r w:rsidR="00AE26AD">
        <w:t xml:space="preserve">that the </w:t>
      </w:r>
      <w:r>
        <w:t>CNPP plans to conduct</w:t>
      </w:r>
      <w:r w:rsidR="0090574E">
        <w:t xml:space="preserve"> falls under the rubric of efficacy research.  Efficacy research seeks to </w:t>
      </w:r>
      <w:r w:rsidR="00ED1D63">
        <w:t xml:space="preserve">measure </w:t>
      </w:r>
      <w:r w:rsidR="0090574E">
        <w:t xml:space="preserve">how potential audiences assess different campaign message and/or collateral material under control conditions.  It emphasized internal validity of the </w:t>
      </w:r>
      <w:r w:rsidR="00ED1D63">
        <w:t xml:space="preserve">findings over external validity in order to accurately compare different messages.  Efficacy research can be contrasted with effectiveness research that seeks to measure the impact of the messages in the population and is typically considered evaluation research. </w:t>
      </w:r>
      <w:r w:rsidR="007F7D8F">
        <w:t xml:space="preserve">Given that this effort falls outside the realm of evaluation research, </w:t>
      </w:r>
      <w:r w:rsidR="00ED1D63">
        <w:t xml:space="preserve">the research </w:t>
      </w:r>
      <w:r w:rsidR="00AE26AD">
        <w:t xml:space="preserve">that the </w:t>
      </w:r>
      <w:r w:rsidR="00ED1D63">
        <w:t xml:space="preserve">CNPP plans to conduct will be a web experiment rather than </w:t>
      </w:r>
      <w:r w:rsidR="00AE26AD">
        <w:t>population-</w:t>
      </w:r>
      <w:r w:rsidR="00ED1D63">
        <w:t xml:space="preserve">based survey.  </w:t>
      </w:r>
      <w:r w:rsidR="0090574E">
        <w:t xml:space="preserve">   </w:t>
      </w:r>
    </w:p>
    <w:p w:rsidR="00293481" w:rsidRDefault="00837FE8" w:rsidP="005D3062">
      <w:pPr>
        <w:spacing w:after="0" w:line="240" w:lineRule="auto"/>
        <w:contextualSpacing/>
      </w:pPr>
      <w:r w:rsidRPr="007339FB">
        <w:t xml:space="preserve">The </w:t>
      </w:r>
      <w:r w:rsidR="00294FD2">
        <w:t>information collected during this</w:t>
      </w:r>
      <w:r w:rsidRPr="007339FB">
        <w:t xml:space="preserve"> phase of </w:t>
      </w:r>
      <w:r w:rsidR="00402078" w:rsidRPr="007339FB">
        <w:t xml:space="preserve">the </w:t>
      </w:r>
      <w:r w:rsidRPr="007339FB">
        <w:t xml:space="preserve">research will </w:t>
      </w:r>
      <w:r w:rsidR="00293481" w:rsidRPr="007339FB">
        <w:t>provide the research and communication teams with</w:t>
      </w:r>
      <w:r w:rsidR="00402078" w:rsidRPr="007339FB">
        <w:t xml:space="preserve"> understanding of:</w:t>
      </w:r>
    </w:p>
    <w:p w:rsidR="00000FA9" w:rsidRDefault="00000FA9" w:rsidP="00000FA9">
      <w:pPr>
        <w:pStyle w:val="ListParagraph"/>
        <w:numPr>
          <w:ilvl w:val="0"/>
          <w:numId w:val="40"/>
        </w:numPr>
        <w:spacing w:after="0" w:line="240" w:lineRule="auto"/>
      </w:pPr>
      <w:r>
        <w:t xml:space="preserve">Which messages </w:t>
      </w:r>
      <w:r w:rsidR="00697F60">
        <w:t xml:space="preserve">are </w:t>
      </w:r>
      <w:r>
        <w:t>most likely to resonate with the target audiences</w:t>
      </w:r>
    </w:p>
    <w:p w:rsidR="0025384C" w:rsidRDefault="0025384C" w:rsidP="00000FA9">
      <w:pPr>
        <w:pStyle w:val="ListParagraph"/>
        <w:numPr>
          <w:ilvl w:val="0"/>
          <w:numId w:val="40"/>
        </w:numPr>
        <w:spacing w:after="0" w:line="240" w:lineRule="auto"/>
      </w:pPr>
      <w:r>
        <w:t xml:space="preserve">What specific language in key messages </w:t>
      </w:r>
      <w:r w:rsidR="00697F60">
        <w:t xml:space="preserve">that </w:t>
      </w:r>
      <w:r>
        <w:t>audience</w:t>
      </w:r>
      <w:r w:rsidR="00697F60">
        <w:t>s</w:t>
      </w:r>
      <w:r>
        <w:t xml:space="preserve"> prefer</w:t>
      </w:r>
    </w:p>
    <w:p w:rsidR="00000FA9" w:rsidRDefault="00000FA9" w:rsidP="00000FA9">
      <w:pPr>
        <w:pStyle w:val="ListParagraph"/>
        <w:numPr>
          <w:ilvl w:val="0"/>
          <w:numId w:val="40"/>
        </w:numPr>
        <w:spacing w:after="0" w:line="240" w:lineRule="auto"/>
      </w:pPr>
      <w:r>
        <w:t>Comprehension and receptivity to the construct of dietary pattern.</w:t>
      </w:r>
    </w:p>
    <w:p w:rsidR="00000FA9" w:rsidRDefault="00000FA9" w:rsidP="00000FA9">
      <w:pPr>
        <w:pStyle w:val="ListParagraph"/>
        <w:numPr>
          <w:ilvl w:val="0"/>
          <w:numId w:val="40"/>
        </w:numPr>
        <w:spacing w:after="0" w:line="240" w:lineRule="auto"/>
      </w:pPr>
      <w:r>
        <w:t xml:space="preserve">Audience reaction to </w:t>
      </w:r>
      <w:r w:rsidR="00E005A1">
        <w:t xml:space="preserve">graphics </w:t>
      </w:r>
      <w:r w:rsidR="0030180B">
        <w:t>conveying the</w:t>
      </w:r>
      <w:r w:rsidR="007F7D8F">
        <w:t xml:space="preserve"> idea of a dietary pattern</w:t>
      </w:r>
    </w:p>
    <w:p w:rsidR="00651438" w:rsidRDefault="0025384C" w:rsidP="00ED1D63">
      <w:pPr>
        <w:spacing w:before="240" w:after="0" w:line="240" w:lineRule="auto"/>
      </w:pPr>
      <w:r>
        <w:t>M</w:t>
      </w:r>
      <w:r w:rsidR="00F720B4">
        <w:t xml:space="preserve">easures of message receptivity will be related to </w:t>
      </w:r>
      <w:r w:rsidR="00697F60">
        <w:t xml:space="preserve">the </w:t>
      </w:r>
      <w:r w:rsidR="00E70159">
        <w:t>audience’s demographic and psychographic characteristics</w:t>
      </w:r>
      <w:r w:rsidR="0083676C">
        <w:t xml:space="preserve"> </w:t>
      </w:r>
      <w:r w:rsidR="00ED1D63">
        <w:t xml:space="preserve">shown by qualitative research as possible factors affecting </w:t>
      </w:r>
      <w:r w:rsidR="00697F60">
        <w:t xml:space="preserve">the </w:t>
      </w:r>
      <w:r w:rsidR="00ED1D63">
        <w:t xml:space="preserve">audience’s assessment of the messages.  </w:t>
      </w:r>
      <w:r w:rsidR="00D26DDE">
        <w:t xml:space="preserve">Furthermore, analyses will explore the possible relationship between participants’ familiarity with </w:t>
      </w:r>
      <w:proofErr w:type="spellStart"/>
      <w:r w:rsidR="00D26DDE">
        <w:t>MyPlate</w:t>
      </w:r>
      <w:proofErr w:type="spellEnd"/>
      <w:r w:rsidR="00D26DDE">
        <w:t xml:space="preserve"> and their assessment of the DGA messaging. </w:t>
      </w:r>
      <w:r w:rsidR="00ED1D63">
        <w:t>Thus</w:t>
      </w:r>
      <w:r w:rsidR="00697F60">
        <w:t>,</w:t>
      </w:r>
      <w:r w:rsidR="00ED1D63">
        <w:t xml:space="preserve"> as</w:t>
      </w:r>
      <w:r w:rsidR="0083676C">
        <w:t xml:space="preserve"> the last research stage of formative research, </w:t>
      </w:r>
      <w:r w:rsidR="00ED1D63">
        <w:t xml:space="preserve">message testing </w:t>
      </w:r>
      <w:r w:rsidR="00E005A1">
        <w:t xml:space="preserve">research will help </w:t>
      </w:r>
      <w:r w:rsidR="00697F60">
        <w:t xml:space="preserve">the </w:t>
      </w:r>
      <w:r w:rsidR="00E005A1">
        <w:t>CNPP to finalize the communication materi</w:t>
      </w:r>
      <w:r>
        <w:t xml:space="preserve">al and dissemination strategies by offering statistically robust analyses of audiences’ preferences.  </w:t>
      </w:r>
      <w:r w:rsidR="00E005A1">
        <w:t xml:space="preserve"> </w:t>
      </w:r>
    </w:p>
    <w:p w:rsidR="0052195B" w:rsidRPr="007339FB" w:rsidRDefault="0052195B" w:rsidP="00ED1D63">
      <w:pPr>
        <w:spacing w:before="240" w:after="0" w:line="240" w:lineRule="auto"/>
      </w:pPr>
      <w:r w:rsidRPr="00A50800">
        <w:t>These research activities directly meet the Secretary of Agriculture’s directive to develop innovative approaches to inform Americans about 2015 Dietary Guidelines and ultimately positively impact the health of all Americans.</w:t>
      </w:r>
      <w:r>
        <w:t xml:space="preserve"> </w:t>
      </w:r>
    </w:p>
    <w:p w:rsidR="00000FA9" w:rsidRDefault="00000FA9" w:rsidP="00000FA9">
      <w:pPr>
        <w:spacing w:after="0" w:line="240" w:lineRule="auto"/>
      </w:pPr>
    </w:p>
    <w:p w:rsidR="00000FA9" w:rsidRPr="007339FB" w:rsidRDefault="00000FA9" w:rsidP="00000FA9">
      <w:pPr>
        <w:spacing w:after="0" w:line="240" w:lineRule="auto"/>
      </w:pPr>
    </w:p>
    <w:p w:rsidR="00CC4630" w:rsidRPr="007339FB" w:rsidRDefault="00CC4630" w:rsidP="005D3062">
      <w:pPr>
        <w:spacing w:after="0" w:line="240" w:lineRule="auto"/>
        <w:rPr>
          <w:b/>
        </w:rPr>
      </w:pPr>
      <w:bookmarkStart w:id="3" w:name="_Toc408578161"/>
      <w:r w:rsidRPr="007339FB">
        <w:rPr>
          <w:b/>
        </w:rPr>
        <w:t>Methodology</w:t>
      </w:r>
      <w:r w:rsidR="005477E6" w:rsidRPr="007339FB">
        <w:rPr>
          <w:b/>
        </w:rPr>
        <w:t>/Research Design</w:t>
      </w:r>
    </w:p>
    <w:p w:rsidR="009671CD" w:rsidRPr="007339FB" w:rsidRDefault="009671CD" w:rsidP="005D3062">
      <w:pPr>
        <w:spacing w:after="0" w:line="240" w:lineRule="auto"/>
        <w:rPr>
          <w:b/>
        </w:rPr>
      </w:pPr>
    </w:p>
    <w:p w:rsidR="00BA1ABC" w:rsidRPr="00BA1ABC" w:rsidRDefault="00BA1ABC" w:rsidP="00BA1ABC">
      <w:pPr>
        <w:spacing w:line="240" w:lineRule="auto"/>
        <w:outlineLvl w:val="0"/>
        <w:rPr>
          <w:rFonts w:cs="Arial"/>
          <w:u w:val="single"/>
        </w:rPr>
      </w:pPr>
      <w:r w:rsidRPr="00BA1ABC">
        <w:rPr>
          <w:rFonts w:cs="Arial"/>
          <w:u w:val="single"/>
        </w:rPr>
        <w:lastRenderedPageBreak/>
        <w:t>Sampling</w:t>
      </w:r>
    </w:p>
    <w:p w:rsidR="00BA1ABC" w:rsidRDefault="00BA1ABC" w:rsidP="005D3062">
      <w:pPr>
        <w:spacing w:line="240" w:lineRule="auto"/>
        <w:outlineLvl w:val="0"/>
        <w:rPr>
          <w:rFonts w:cs="Arial"/>
        </w:rPr>
      </w:pPr>
      <w:r>
        <w:rPr>
          <w:rFonts w:cs="Arial"/>
        </w:rPr>
        <w:t>Participants will be recruited fro</w:t>
      </w:r>
      <w:r w:rsidR="003630EE">
        <w:rPr>
          <w:rFonts w:cs="Arial"/>
        </w:rPr>
        <w:t>m an existing online panel</w:t>
      </w:r>
      <w:r>
        <w:rPr>
          <w:rFonts w:cs="Arial"/>
        </w:rPr>
        <w:t>.  Two samples will be used:</w:t>
      </w:r>
    </w:p>
    <w:p w:rsidR="00BA1ABC" w:rsidRDefault="00697F60" w:rsidP="00BA1ABC">
      <w:pPr>
        <w:pStyle w:val="ListParagraph"/>
        <w:numPr>
          <w:ilvl w:val="0"/>
          <w:numId w:val="41"/>
        </w:numPr>
        <w:spacing w:line="240" w:lineRule="auto"/>
        <w:outlineLvl w:val="0"/>
        <w:rPr>
          <w:rFonts w:cs="Arial"/>
        </w:rPr>
      </w:pPr>
      <w:r>
        <w:rPr>
          <w:rFonts w:cs="Arial"/>
        </w:rPr>
        <w:t>English-</w:t>
      </w:r>
      <w:r w:rsidR="00BA1ABC">
        <w:rPr>
          <w:rFonts w:cs="Arial"/>
        </w:rPr>
        <w:t>speaking participants</w:t>
      </w:r>
    </w:p>
    <w:p w:rsidR="00BA1ABC" w:rsidRPr="00BA1ABC" w:rsidRDefault="0030180B" w:rsidP="00BA1ABC">
      <w:pPr>
        <w:pStyle w:val="ListParagraph"/>
        <w:numPr>
          <w:ilvl w:val="0"/>
          <w:numId w:val="41"/>
        </w:numPr>
        <w:spacing w:line="240" w:lineRule="auto"/>
        <w:outlineLvl w:val="0"/>
        <w:rPr>
          <w:rFonts w:cs="Arial"/>
        </w:rPr>
      </w:pPr>
      <w:r>
        <w:rPr>
          <w:rFonts w:cs="Arial"/>
        </w:rPr>
        <w:t xml:space="preserve">Oversample of </w:t>
      </w:r>
      <w:r w:rsidR="00697F60">
        <w:rPr>
          <w:rFonts w:cs="Arial"/>
        </w:rPr>
        <w:t>Spanish-</w:t>
      </w:r>
      <w:r w:rsidR="00BA1ABC">
        <w:rPr>
          <w:rFonts w:cs="Arial"/>
        </w:rPr>
        <w:t xml:space="preserve">speaking participants (both </w:t>
      </w:r>
      <w:r w:rsidR="00A2636A">
        <w:rPr>
          <w:rFonts w:cs="Arial"/>
        </w:rPr>
        <w:t>Spanish dominant and bi-lingual)</w:t>
      </w:r>
    </w:p>
    <w:p w:rsidR="00BA1ABC" w:rsidRDefault="00BA1ABC" w:rsidP="005D3062">
      <w:pPr>
        <w:spacing w:line="240" w:lineRule="auto"/>
        <w:outlineLvl w:val="0"/>
        <w:rPr>
          <w:rFonts w:cs="Arial"/>
        </w:rPr>
      </w:pPr>
      <w:r>
        <w:rPr>
          <w:rFonts w:cs="Arial"/>
        </w:rPr>
        <w:t>The primary sampling criteria is the age of participants (</w:t>
      </w:r>
      <w:r w:rsidR="0030180B">
        <w:rPr>
          <w:rFonts w:cs="Arial"/>
        </w:rPr>
        <w:t xml:space="preserve">over </w:t>
      </w:r>
      <w:r>
        <w:rPr>
          <w:rFonts w:cs="Arial"/>
        </w:rPr>
        <w:t xml:space="preserve">18).  </w:t>
      </w:r>
      <w:r w:rsidR="00A2636A">
        <w:rPr>
          <w:rFonts w:cs="Arial"/>
        </w:rPr>
        <w:t>The English Language sample will be balanced on age, geographic region, gender, income, and race to reflect U</w:t>
      </w:r>
      <w:r w:rsidR="00651438">
        <w:rPr>
          <w:rFonts w:cs="Arial"/>
        </w:rPr>
        <w:t>.</w:t>
      </w:r>
      <w:r w:rsidR="00A2636A">
        <w:rPr>
          <w:rFonts w:cs="Arial"/>
        </w:rPr>
        <w:t>S</w:t>
      </w:r>
      <w:r w:rsidR="00651438">
        <w:rPr>
          <w:rFonts w:cs="Arial"/>
        </w:rPr>
        <w:t>.</w:t>
      </w:r>
      <w:r w:rsidR="00A2636A">
        <w:rPr>
          <w:rFonts w:cs="Arial"/>
        </w:rPr>
        <w:t xml:space="preserve"> population.  The Spanish Language sample will be balanced on age, geographic region, gender and income.  </w:t>
      </w:r>
    </w:p>
    <w:p w:rsidR="00A2636A" w:rsidRDefault="00A2636A" w:rsidP="005D3062">
      <w:pPr>
        <w:spacing w:line="240" w:lineRule="auto"/>
        <w:outlineLvl w:val="0"/>
        <w:rPr>
          <w:rFonts w:cs="Arial"/>
        </w:rPr>
      </w:pPr>
      <w:r>
        <w:rPr>
          <w:rFonts w:cs="Arial"/>
        </w:rPr>
        <w:t xml:space="preserve">The sampling strategy </w:t>
      </w:r>
      <w:r w:rsidR="00697F60">
        <w:rPr>
          <w:rFonts w:cs="Arial"/>
        </w:rPr>
        <w:t xml:space="preserve">intends </w:t>
      </w:r>
      <w:r>
        <w:rPr>
          <w:rFonts w:cs="Arial"/>
        </w:rPr>
        <w:t>to obtain a sample of participants to achieve sufficient statistical power to</w:t>
      </w:r>
      <w:r w:rsidR="00697F60">
        <w:rPr>
          <w:rFonts w:cs="Arial"/>
        </w:rPr>
        <w:t>:</w:t>
      </w:r>
      <w:r>
        <w:rPr>
          <w:rFonts w:cs="Arial"/>
        </w:rPr>
        <w:t xml:space="preserve"> </w:t>
      </w:r>
    </w:p>
    <w:p w:rsidR="00A2636A" w:rsidRPr="00A2636A" w:rsidRDefault="00A2636A" w:rsidP="00A2636A">
      <w:pPr>
        <w:pStyle w:val="ListParagraph"/>
        <w:numPr>
          <w:ilvl w:val="0"/>
          <w:numId w:val="42"/>
        </w:numPr>
        <w:spacing w:line="240" w:lineRule="auto"/>
        <w:outlineLvl w:val="0"/>
        <w:rPr>
          <w:rFonts w:cs="Arial"/>
          <w:u w:val="single"/>
        </w:rPr>
      </w:pPr>
      <w:r>
        <w:rPr>
          <w:rFonts w:cs="Arial"/>
        </w:rPr>
        <w:t>Provide robust comparisons between DG messages and graphics</w:t>
      </w:r>
    </w:p>
    <w:p w:rsidR="00A2636A" w:rsidRPr="00A2636A" w:rsidRDefault="00A2636A" w:rsidP="00A2636A">
      <w:pPr>
        <w:pStyle w:val="ListParagraph"/>
        <w:numPr>
          <w:ilvl w:val="0"/>
          <w:numId w:val="42"/>
        </w:numPr>
        <w:spacing w:line="240" w:lineRule="auto"/>
        <w:outlineLvl w:val="0"/>
        <w:rPr>
          <w:rFonts w:cs="Arial"/>
          <w:u w:val="single"/>
        </w:rPr>
      </w:pPr>
      <w:r>
        <w:rPr>
          <w:rFonts w:cs="Arial"/>
        </w:rPr>
        <w:t xml:space="preserve">Analyze potential influence of demographic and psychographic characteristics on </w:t>
      </w:r>
      <w:r w:rsidR="00697F60">
        <w:rPr>
          <w:rFonts w:cs="Arial"/>
        </w:rPr>
        <w:t xml:space="preserve">the </w:t>
      </w:r>
      <w:r>
        <w:rPr>
          <w:rFonts w:cs="Arial"/>
        </w:rPr>
        <w:t>audience’s receptivity to DG messaging</w:t>
      </w:r>
    </w:p>
    <w:p w:rsidR="00A2636A" w:rsidRPr="00A2636A" w:rsidRDefault="00A2636A" w:rsidP="00A2636A">
      <w:pPr>
        <w:spacing w:line="240" w:lineRule="auto"/>
        <w:outlineLvl w:val="0"/>
        <w:rPr>
          <w:rFonts w:cs="Arial"/>
        </w:rPr>
      </w:pPr>
      <w:r>
        <w:rPr>
          <w:rFonts w:cs="Arial"/>
        </w:rPr>
        <w:t xml:space="preserve">It is </w:t>
      </w:r>
      <w:r w:rsidRPr="00A2636A">
        <w:rPr>
          <w:rFonts w:cs="Arial"/>
          <w:b/>
        </w:rPr>
        <w:t>not</w:t>
      </w:r>
      <w:r>
        <w:rPr>
          <w:rFonts w:cs="Arial"/>
        </w:rPr>
        <w:t xml:space="preserve"> the intent of the sampling strategy to be able to estimate any population parameters.  Therefore, the sampling approach represents the needs of a web experiment designed to measure message efficacy</w:t>
      </w:r>
      <w:r w:rsidR="00697F60">
        <w:rPr>
          <w:rFonts w:cs="Arial"/>
        </w:rPr>
        <w:t>,</w:t>
      </w:r>
      <w:r>
        <w:rPr>
          <w:rFonts w:cs="Arial"/>
        </w:rPr>
        <w:t xml:space="preserve"> as opposed to </w:t>
      </w:r>
      <w:r w:rsidR="00697F60">
        <w:rPr>
          <w:rFonts w:cs="Arial"/>
        </w:rPr>
        <w:t>population-</w:t>
      </w:r>
      <w:r>
        <w:rPr>
          <w:rFonts w:cs="Arial"/>
        </w:rPr>
        <w:t xml:space="preserve">based survey design to investigate message effectiveness and impact.  </w:t>
      </w:r>
    </w:p>
    <w:p w:rsidR="00815E0E" w:rsidRDefault="001F6857" w:rsidP="005D3062">
      <w:pPr>
        <w:spacing w:line="240" w:lineRule="auto"/>
        <w:outlineLvl w:val="0"/>
        <w:rPr>
          <w:rFonts w:cs="Arial"/>
          <w:u w:val="single"/>
        </w:rPr>
      </w:pPr>
      <w:r w:rsidRPr="00855FD9">
        <w:rPr>
          <w:rFonts w:cs="Arial"/>
          <w:u w:val="single"/>
        </w:rPr>
        <w:t>Recruitment</w:t>
      </w:r>
    </w:p>
    <w:p w:rsidR="0025384C" w:rsidRDefault="0025384C" w:rsidP="005D3062">
      <w:pPr>
        <w:spacing w:line="240" w:lineRule="auto"/>
        <w:outlineLvl w:val="0"/>
        <w:rPr>
          <w:rFonts w:cs="Arial"/>
        </w:rPr>
      </w:pPr>
      <w:r>
        <w:rPr>
          <w:rFonts w:cs="Arial"/>
        </w:rPr>
        <w:t>Invitations to participate in the survey (see Attachment A1</w:t>
      </w:r>
      <w:r w:rsidR="009C43A8">
        <w:rPr>
          <w:rFonts w:cs="Arial"/>
        </w:rPr>
        <w:t xml:space="preserve"> and Attachment A2</w:t>
      </w:r>
      <w:r>
        <w:rPr>
          <w:rFonts w:cs="Arial"/>
        </w:rPr>
        <w:t>) will be sent only to participants who fit the study criteria</w:t>
      </w:r>
      <w:r w:rsidR="00697F60">
        <w:rPr>
          <w:rFonts w:cs="Arial"/>
        </w:rPr>
        <w:t xml:space="preserve"> as</w:t>
      </w:r>
      <w:r>
        <w:rPr>
          <w:rFonts w:cs="Arial"/>
        </w:rPr>
        <w:t xml:space="preserve"> based on the panel member characteristics kept by the panel providers.  We should note that pre-screening of the participants is done using existing electronic records and therefore does not impose additional </w:t>
      </w:r>
      <w:r w:rsidR="00BA1ABC">
        <w:rPr>
          <w:rFonts w:cs="Arial"/>
        </w:rPr>
        <w:t xml:space="preserve">burden on the respondents. </w:t>
      </w:r>
      <w:r w:rsidR="00A2636A">
        <w:rPr>
          <w:rFonts w:cs="Arial"/>
        </w:rPr>
        <w:t xml:space="preserve"> </w:t>
      </w:r>
    </w:p>
    <w:p w:rsidR="00444ADB" w:rsidRDefault="0072434B" w:rsidP="005D3062">
      <w:pPr>
        <w:spacing w:line="240" w:lineRule="auto"/>
        <w:outlineLvl w:val="0"/>
        <w:rPr>
          <w:rFonts w:cs="Arial"/>
          <w:u w:val="single"/>
        </w:rPr>
      </w:pPr>
      <w:r w:rsidRPr="0072434B">
        <w:rPr>
          <w:rFonts w:cs="Arial"/>
          <w:u w:val="single"/>
        </w:rPr>
        <w:t>Screening</w:t>
      </w:r>
      <w:r>
        <w:rPr>
          <w:rFonts w:cs="Arial"/>
          <w:u w:val="single"/>
        </w:rPr>
        <w:t xml:space="preserve"> </w:t>
      </w:r>
    </w:p>
    <w:p w:rsidR="0072434B" w:rsidRDefault="0072434B" w:rsidP="005D3062">
      <w:pPr>
        <w:spacing w:line="240" w:lineRule="auto"/>
        <w:outlineLvl w:val="0"/>
        <w:rPr>
          <w:rFonts w:cs="Arial"/>
        </w:rPr>
      </w:pPr>
      <w:proofErr w:type="gramStart"/>
      <w:r>
        <w:rPr>
          <w:rFonts w:cs="Arial"/>
        </w:rPr>
        <w:t>After participants consent to the study (see section 8), a brief screener will be administered (Attachments B1 and B2).</w:t>
      </w:r>
      <w:proofErr w:type="gramEnd"/>
      <w:r>
        <w:rPr>
          <w:rFonts w:cs="Arial"/>
        </w:rPr>
        <w:t xml:space="preserve">  The screener will</w:t>
      </w:r>
      <w:r w:rsidR="00697F60">
        <w:rPr>
          <w:rFonts w:cs="Arial"/>
        </w:rPr>
        <w:t>:</w:t>
      </w:r>
    </w:p>
    <w:p w:rsidR="0072434B" w:rsidRDefault="0072434B" w:rsidP="0072434B">
      <w:pPr>
        <w:pStyle w:val="ListParagraph"/>
        <w:numPr>
          <w:ilvl w:val="0"/>
          <w:numId w:val="43"/>
        </w:numPr>
        <w:spacing w:line="240" w:lineRule="auto"/>
        <w:outlineLvl w:val="0"/>
        <w:rPr>
          <w:rFonts w:cs="Arial"/>
        </w:rPr>
      </w:pPr>
      <w:r>
        <w:rPr>
          <w:rFonts w:cs="Arial"/>
        </w:rPr>
        <w:t>Confirm age criteria for study participation</w:t>
      </w:r>
    </w:p>
    <w:p w:rsidR="0072434B" w:rsidRDefault="0072434B" w:rsidP="0072434B">
      <w:pPr>
        <w:pStyle w:val="ListParagraph"/>
        <w:numPr>
          <w:ilvl w:val="0"/>
          <w:numId w:val="43"/>
        </w:numPr>
        <w:spacing w:line="240" w:lineRule="auto"/>
        <w:outlineLvl w:val="0"/>
        <w:rPr>
          <w:rFonts w:cs="Arial"/>
        </w:rPr>
      </w:pPr>
      <w:r>
        <w:rPr>
          <w:rFonts w:cs="Arial"/>
        </w:rPr>
        <w:t xml:space="preserve">Screen out participants who work in </w:t>
      </w:r>
      <w:r w:rsidR="00697F60">
        <w:rPr>
          <w:rFonts w:cs="Arial"/>
        </w:rPr>
        <w:t>nutrition-</w:t>
      </w:r>
      <w:r>
        <w:rPr>
          <w:rFonts w:cs="Arial"/>
        </w:rPr>
        <w:t>related fields (e.g., health care providers, dieti</w:t>
      </w:r>
      <w:r w:rsidR="00D17E78">
        <w:rPr>
          <w:rFonts w:cs="Arial"/>
        </w:rPr>
        <w:t>t</w:t>
      </w:r>
      <w:r>
        <w:rPr>
          <w:rFonts w:cs="Arial"/>
        </w:rPr>
        <w:t xml:space="preserve">ians, those working in </w:t>
      </w:r>
      <w:r w:rsidR="00697F60">
        <w:rPr>
          <w:rFonts w:cs="Arial"/>
        </w:rPr>
        <w:t xml:space="preserve">the </w:t>
      </w:r>
      <w:r>
        <w:rPr>
          <w:rFonts w:cs="Arial"/>
        </w:rPr>
        <w:t xml:space="preserve">wellness industry) and participants who work in marketing, advertising or market research.  </w:t>
      </w:r>
    </w:p>
    <w:p w:rsidR="0072434B" w:rsidRPr="0072434B" w:rsidRDefault="0072434B" w:rsidP="0072434B">
      <w:pPr>
        <w:pStyle w:val="ListParagraph"/>
        <w:numPr>
          <w:ilvl w:val="0"/>
          <w:numId w:val="43"/>
        </w:numPr>
        <w:spacing w:line="240" w:lineRule="auto"/>
        <w:outlineLvl w:val="0"/>
        <w:rPr>
          <w:rFonts w:cs="Arial"/>
        </w:rPr>
      </w:pPr>
      <w:r>
        <w:rPr>
          <w:rFonts w:cs="Arial"/>
        </w:rPr>
        <w:t xml:space="preserve">For Hispanic participants, measure the level of acculturation.  Hispanic participants who were recruited as part of the English Language sample and were determined to be bi-cultural or Spanish dominant will be reassigned to the Spanish Language sample.  Hispanic participants who were recruited as a part of Spanish Language sample and were determined to be acculturated will be reassigned to English Language sample.  </w:t>
      </w:r>
    </w:p>
    <w:p w:rsidR="0072434B" w:rsidRDefault="0072434B">
      <w:pPr>
        <w:rPr>
          <w:rFonts w:cs="Arial"/>
          <w:u w:val="single"/>
        </w:rPr>
      </w:pPr>
      <w:r>
        <w:rPr>
          <w:rFonts w:cs="Arial"/>
          <w:u w:val="single"/>
        </w:rPr>
        <w:t>Web experiment</w:t>
      </w:r>
    </w:p>
    <w:p w:rsidR="0072434B" w:rsidRDefault="0072434B" w:rsidP="00D26DDE">
      <w:pPr>
        <w:spacing w:line="240" w:lineRule="auto"/>
        <w:rPr>
          <w:rFonts w:cs="Arial"/>
        </w:rPr>
      </w:pPr>
      <w:r>
        <w:rPr>
          <w:rFonts w:cs="Arial"/>
        </w:rPr>
        <w:t>After completing the screener, participants who qualify will proceed to the main survey (Attachment C-1 and C-2) in the appropriate language.  The survey will contain several modules described below</w:t>
      </w:r>
      <w:r w:rsidR="00697F60">
        <w:rPr>
          <w:rFonts w:cs="Arial"/>
        </w:rPr>
        <w:t>:</w:t>
      </w:r>
    </w:p>
    <w:p w:rsidR="00B32CE5" w:rsidRDefault="00B32CE5" w:rsidP="00D26DDE">
      <w:pPr>
        <w:spacing w:line="240" w:lineRule="auto"/>
        <w:rPr>
          <w:rFonts w:cs="Arial"/>
          <w:i/>
          <w:u w:val="single"/>
        </w:rPr>
      </w:pPr>
      <w:r w:rsidRPr="00B32CE5">
        <w:rPr>
          <w:rFonts w:cs="Arial"/>
          <w:i/>
        </w:rPr>
        <w:t xml:space="preserve">Familiarity with and understanding of </w:t>
      </w:r>
      <w:proofErr w:type="spellStart"/>
      <w:r w:rsidRPr="00B32CE5">
        <w:rPr>
          <w:rFonts w:cs="Arial"/>
          <w:i/>
        </w:rPr>
        <w:t>MyPlate</w:t>
      </w:r>
      <w:proofErr w:type="spellEnd"/>
    </w:p>
    <w:p w:rsidR="00B32CE5" w:rsidRDefault="00B32CE5" w:rsidP="00D26DDE">
      <w:pPr>
        <w:spacing w:line="240" w:lineRule="auto"/>
        <w:rPr>
          <w:rFonts w:cs="Arial"/>
        </w:rPr>
      </w:pPr>
      <w:r>
        <w:rPr>
          <w:rFonts w:cs="Arial"/>
        </w:rPr>
        <w:lastRenderedPageBreak/>
        <w:t xml:space="preserve">The survey will measure </w:t>
      </w:r>
      <w:r w:rsidR="00697F60">
        <w:rPr>
          <w:rFonts w:cs="Arial"/>
        </w:rPr>
        <w:t xml:space="preserve">the </w:t>
      </w:r>
      <w:r>
        <w:rPr>
          <w:rFonts w:cs="Arial"/>
        </w:rPr>
        <w:t xml:space="preserve">participants’ familiarity with </w:t>
      </w:r>
      <w:proofErr w:type="spellStart"/>
      <w:r>
        <w:rPr>
          <w:rFonts w:cs="Arial"/>
        </w:rPr>
        <w:t>MyPlate</w:t>
      </w:r>
      <w:proofErr w:type="spellEnd"/>
      <w:r>
        <w:rPr>
          <w:rFonts w:cs="Arial"/>
        </w:rPr>
        <w:t xml:space="preserve"> and recognition of </w:t>
      </w:r>
      <w:r w:rsidR="007F7D8F">
        <w:rPr>
          <w:rFonts w:cs="Arial"/>
        </w:rPr>
        <w:t xml:space="preserve">the </w:t>
      </w:r>
      <w:proofErr w:type="spellStart"/>
      <w:r>
        <w:rPr>
          <w:rFonts w:cs="Arial"/>
        </w:rPr>
        <w:t>MyPlate</w:t>
      </w:r>
      <w:proofErr w:type="spellEnd"/>
      <w:r>
        <w:rPr>
          <w:rFonts w:cs="Arial"/>
        </w:rPr>
        <w:t xml:space="preserve"> logo.  Those familiar with </w:t>
      </w:r>
      <w:proofErr w:type="spellStart"/>
      <w:r>
        <w:rPr>
          <w:rFonts w:cs="Arial"/>
        </w:rPr>
        <w:t>MyPlate</w:t>
      </w:r>
      <w:proofErr w:type="spellEnd"/>
      <w:r>
        <w:rPr>
          <w:rFonts w:cs="Arial"/>
        </w:rPr>
        <w:t xml:space="preserve"> will be asked their understanding of the concept</w:t>
      </w:r>
      <w:r w:rsidR="007F7D8F">
        <w:rPr>
          <w:rFonts w:cs="Arial"/>
        </w:rPr>
        <w:t>s</w:t>
      </w:r>
      <w:r>
        <w:rPr>
          <w:rFonts w:cs="Arial"/>
        </w:rPr>
        <w:t xml:space="preserve"> conveyed by </w:t>
      </w:r>
      <w:proofErr w:type="spellStart"/>
      <w:r>
        <w:rPr>
          <w:rFonts w:cs="Arial"/>
        </w:rPr>
        <w:t>MyPlate</w:t>
      </w:r>
      <w:proofErr w:type="spellEnd"/>
      <w:r>
        <w:rPr>
          <w:rFonts w:cs="Arial"/>
        </w:rPr>
        <w:t xml:space="preserve">. </w:t>
      </w:r>
    </w:p>
    <w:p w:rsidR="007F7D8F" w:rsidRDefault="007F7D8F" w:rsidP="007F7D8F">
      <w:pPr>
        <w:spacing w:line="240" w:lineRule="auto"/>
        <w:rPr>
          <w:rFonts w:cs="Arial"/>
          <w:i/>
          <w:u w:val="single"/>
        </w:rPr>
      </w:pPr>
      <w:r w:rsidRPr="00454AFF">
        <w:rPr>
          <w:rFonts w:cs="Arial"/>
          <w:i/>
        </w:rPr>
        <w:t xml:space="preserve">Dietary Pattern </w:t>
      </w:r>
      <w:r>
        <w:rPr>
          <w:rFonts w:cs="Arial"/>
          <w:i/>
        </w:rPr>
        <w:t>definition</w:t>
      </w:r>
    </w:p>
    <w:p w:rsidR="007F7D8F" w:rsidRDefault="007F7D8F" w:rsidP="007F7D8F">
      <w:pPr>
        <w:spacing w:line="240" w:lineRule="auto"/>
        <w:rPr>
          <w:rFonts w:cs="Arial"/>
        </w:rPr>
      </w:pPr>
      <w:r>
        <w:rPr>
          <w:rFonts w:cs="Arial"/>
        </w:rPr>
        <w:t>Participants will be presented with two sentences that define the concept of dietary pattern.  Follow-up questions will measure the participants’ receptivity of the concept.  Participants will also be asked to select a phrase which they think best captures the concept of dietary pattern.</w:t>
      </w:r>
    </w:p>
    <w:p w:rsidR="00B32CE5" w:rsidRDefault="00B32CE5" w:rsidP="00D26DDE">
      <w:pPr>
        <w:spacing w:line="240" w:lineRule="auto"/>
        <w:rPr>
          <w:rFonts w:cs="Arial"/>
          <w:i/>
          <w:u w:val="single"/>
        </w:rPr>
      </w:pPr>
      <w:r w:rsidRPr="00B32CE5">
        <w:rPr>
          <w:rFonts w:cs="Arial"/>
          <w:i/>
        </w:rPr>
        <w:t>Message testing</w:t>
      </w:r>
    </w:p>
    <w:p w:rsidR="00B32CE5" w:rsidRDefault="00B32CE5" w:rsidP="00D26DDE">
      <w:pPr>
        <w:spacing w:line="240" w:lineRule="auto"/>
        <w:rPr>
          <w:rFonts w:cs="Arial"/>
        </w:rPr>
      </w:pPr>
      <w:r>
        <w:rPr>
          <w:rFonts w:cs="Arial"/>
        </w:rPr>
        <w:t xml:space="preserve">The survey will test two umbrella messages encouraging healthier eating behavior consistent with </w:t>
      </w:r>
      <w:r w:rsidR="007F7D8F">
        <w:rPr>
          <w:rFonts w:cs="Arial"/>
        </w:rPr>
        <w:t xml:space="preserve">the </w:t>
      </w:r>
      <w:r>
        <w:rPr>
          <w:rFonts w:cs="Arial"/>
        </w:rPr>
        <w:t xml:space="preserve">2015 Dietary Guidelines.  The messages will be presented in random order.  </w:t>
      </w:r>
      <w:r w:rsidR="007F7D8F">
        <w:rPr>
          <w:rFonts w:cs="Arial"/>
        </w:rPr>
        <w:t xml:space="preserve">Subsequent </w:t>
      </w:r>
      <w:r>
        <w:rPr>
          <w:rFonts w:cs="Arial"/>
        </w:rPr>
        <w:t xml:space="preserve">tasks and measures will be identical for both messages.  </w:t>
      </w:r>
    </w:p>
    <w:p w:rsidR="00454AFF" w:rsidRDefault="00B32CE5" w:rsidP="00D26DDE">
      <w:pPr>
        <w:spacing w:line="240" w:lineRule="auto"/>
        <w:rPr>
          <w:rFonts w:cs="Arial"/>
        </w:rPr>
      </w:pPr>
      <w:r>
        <w:rPr>
          <w:rFonts w:cs="Arial"/>
        </w:rPr>
        <w:t xml:space="preserve">Once a message is presented, participants will be asked to engage in </w:t>
      </w:r>
      <w:r w:rsidR="00697F60">
        <w:rPr>
          <w:rFonts w:cs="Arial"/>
        </w:rPr>
        <w:t xml:space="preserve">a </w:t>
      </w:r>
      <w:r>
        <w:rPr>
          <w:rFonts w:cs="Arial"/>
        </w:rPr>
        <w:t xml:space="preserve">“highlighting task”.  Using </w:t>
      </w:r>
      <w:r w:rsidR="00697F60">
        <w:rPr>
          <w:rFonts w:cs="Arial"/>
        </w:rPr>
        <w:t xml:space="preserve">an </w:t>
      </w:r>
      <w:r>
        <w:rPr>
          <w:rFonts w:cs="Arial"/>
        </w:rPr>
        <w:t>electronic “highlighter</w:t>
      </w:r>
      <w:r w:rsidR="00697F60">
        <w:rPr>
          <w:rFonts w:cs="Arial"/>
        </w:rPr>
        <w:t>,</w:t>
      </w:r>
      <w:r>
        <w:rPr>
          <w:rFonts w:cs="Arial"/>
        </w:rPr>
        <w:t xml:space="preserve">” participants will be asked to mark words or phrases in the message that they liked.  </w:t>
      </w:r>
      <w:r w:rsidR="00454AFF">
        <w:rPr>
          <w:rFonts w:cs="Arial"/>
        </w:rPr>
        <w:t>Once the “highlighting task” is complete, participants will be asked a</w:t>
      </w:r>
      <w:r w:rsidR="007F7D8F">
        <w:rPr>
          <w:rFonts w:cs="Arial"/>
        </w:rPr>
        <w:t>n open-ended question to capture elements of the message they did not like.  They will also receive a</w:t>
      </w:r>
      <w:r w:rsidR="00454AFF">
        <w:rPr>
          <w:rFonts w:cs="Arial"/>
        </w:rPr>
        <w:t xml:space="preserve"> battery of questions about their assessment of the message and the extent to which the message encouraged them to engage in healthier eating behaviors and additional information seeking about nutrition. </w:t>
      </w:r>
    </w:p>
    <w:p w:rsidR="00454AFF" w:rsidRDefault="00454AFF" w:rsidP="00D26DDE">
      <w:pPr>
        <w:spacing w:line="240" w:lineRule="auto"/>
        <w:rPr>
          <w:rFonts w:cs="Arial"/>
          <w:i/>
        </w:rPr>
      </w:pPr>
      <w:r w:rsidRPr="00454AFF">
        <w:rPr>
          <w:rFonts w:cs="Arial"/>
          <w:i/>
        </w:rPr>
        <w:t>Graphics testing</w:t>
      </w:r>
    </w:p>
    <w:p w:rsidR="00454AFF" w:rsidRDefault="001034A4" w:rsidP="00D26DDE">
      <w:pPr>
        <w:spacing w:line="240" w:lineRule="auto"/>
        <w:rPr>
          <w:rFonts w:cs="Arial"/>
        </w:rPr>
      </w:pPr>
      <w:r>
        <w:rPr>
          <w:rFonts w:cs="Arial"/>
        </w:rPr>
        <w:t xml:space="preserve">Graphic representation of </w:t>
      </w:r>
      <w:r w:rsidR="007F7D8F">
        <w:rPr>
          <w:rFonts w:cs="Arial"/>
        </w:rPr>
        <w:t xml:space="preserve">the idea of a dietary pattern </w:t>
      </w:r>
      <w:r>
        <w:rPr>
          <w:rFonts w:cs="Arial"/>
        </w:rPr>
        <w:t xml:space="preserve">will be presented to participants in random order.  A brief assessment of </w:t>
      </w:r>
      <w:r w:rsidR="005E1245">
        <w:rPr>
          <w:rFonts w:cs="Arial"/>
        </w:rPr>
        <w:t xml:space="preserve">the </w:t>
      </w:r>
      <w:r>
        <w:rPr>
          <w:rFonts w:cs="Arial"/>
        </w:rPr>
        <w:t>participants’ reaction</w:t>
      </w:r>
      <w:r w:rsidR="005E1245">
        <w:rPr>
          <w:rFonts w:cs="Arial"/>
        </w:rPr>
        <w:t>s</w:t>
      </w:r>
      <w:r>
        <w:rPr>
          <w:rFonts w:cs="Arial"/>
        </w:rPr>
        <w:t xml:space="preserve"> to each graphic will be administered after each presentation. </w:t>
      </w:r>
    </w:p>
    <w:p w:rsidR="001034A4" w:rsidRDefault="001034A4" w:rsidP="00D26DDE">
      <w:pPr>
        <w:spacing w:line="240" w:lineRule="auto"/>
        <w:rPr>
          <w:rFonts w:cs="Arial"/>
          <w:i/>
        </w:rPr>
      </w:pPr>
      <w:r w:rsidRPr="001034A4">
        <w:rPr>
          <w:rFonts w:cs="Arial"/>
          <w:i/>
        </w:rPr>
        <w:t>Psychographic</w:t>
      </w:r>
      <w:r w:rsidR="007F7D8F">
        <w:rPr>
          <w:rFonts w:cs="Arial"/>
          <w:i/>
        </w:rPr>
        <w:t>s</w:t>
      </w:r>
    </w:p>
    <w:p w:rsidR="001034A4" w:rsidRDefault="001034A4" w:rsidP="00D26DDE">
      <w:pPr>
        <w:spacing w:line="240" w:lineRule="auto"/>
        <w:rPr>
          <w:rFonts w:cs="Arial"/>
        </w:rPr>
      </w:pPr>
      <w:r>
        <w:rPr>
          <w:rFonts w:cs="Arial"/>
        </w:rPr>
        <w:t>The module will administer the measures of attitudes and behaviors that may impact receptivity to CNPP messages</w:t>
      </w:r>
      <w:r w:rsidR="005E1245">
        <w:rPr>
          <w:rFonts w:cs="Arial"/>
        </w:rPr>
        <w:t>,</w:t>
      </w:r>
      <w:r>
        <w:rPr>
          <w:rFonts w:cs="Arial"/>
        </w:rPr>
        <w:t xml:space="preserve"> including</w:t>
      </w:r>
      <w:r w:rsidR="005E1245">
        <w:rPr>
          <w:rFonts w:cs="Arial"/>
        </w:rPr>
        <w:t>:</w:t>
      </w:r>
      <w:r>
        <w:rPr>
          <w:rFonts w:cs="Arial"/>
        </w:rPr>
        <w:t xml:space="preserve"> </w:t>
      </w:r>
    </w:p>
    <w:p w:rsidR="001034A4" w:rsidRDefault="001034A4" w:rsidP="00D26DDE">
      <w:pPr>
        <w:pStyle w:val="ListParagraph"/>
        <w:numPr>
          <w:ilvl w:val="0"/>
          <w:numId w:val="44"/>
        </w:numPr>
        <w:spacing w:line="240" w:lineRule="auto"/>
        <w:rPr>
          <w:rFonts w:cs="Arial"/>
        </w:rPr>
      </w:pPr>
      <w:r>
        <w:rPr>
          <w:rFonts w:cs="Arial"/>
        </w:rPr>
        <w:t>P</w:t>
      </w:r>
      <w:r w:rsidRPr="001034A4">
        <w:rPr>
          <w:rFonts w:cs="Arial"/>
        </w:rPr>
        <w:t>articipants</w:t>
      </w:r>
      <w:r>
        <w:rPr>
          <w:rFonts w:cs="Arial"/>
        </w:rPr>
        <w:t xml:space="preserve"> concern</w:t>
      </w:r>
      <w:r w:rsidR="005E1245">
        <w:rPr>
          <w:rFonts w:cs="Arial"/>
        </w:rPr>
        <w:t>ed</w:t>
      </w:r>
      <w:r>
        <w:rPr>
          <w:rFonts w:cs="Arial"/>
        </w:rPr>
        <w:t xml:space="preserve"> with eating healthier</w:t>
      </w:r>
    </w:p>
    <w:p w:rsidR="001034A4" w:rsidRDefault="001034A4" w:rsidP="00D26DDE">
      <w:pPr>
        <w:pStyle w:val="ListParagraph"/>
        <w:numPr>
          <w:ilvl w:val="0"/>
          <w:numId w:val="44"/>
        </w:numPr>
        <w:spacing w:line="240" w:lineRule="auto"/>
        <w:rPr>
          <w:rFonts w:cs="Arial"/>
        </w:rPr>
      </w:pPr>
      <w:r>
        <w:rPr>
          <w:rFonts w:cs="Arial"/>
        </w:rPr>
        <w:t>A</w:t>
      </w:r>
      <w:r w:rsidRPr="001034A4">
        <w:rPr>
          <w:rFonts w:cs="Arial"/>
        </w:rPr>
        <w:t>ssessme</w:t>
      </w:r>
      <w:r>
        <w:rPr>
          <w:rFonts w:cs="Arial"/>
        </w:rPr>
        <w:t>nt of their own eating pattern</w:t>
      </w:r>
    </w:p>
    <w:p w:rsidR="001034A4" w:rsidRDefault="001034A4" w:rsidP="00D26DDE">
      <w:pPr>
        <w:pStyle w:val="ListParagraph"/>
        <w:numPr>
          <w:ilvl w:val="0"/>
          <w:numId w:val="44"/>
        </w:numPr>
        <w:spacing w:line="240" w:lineRule="auto"/>
        <w:rPr>
          <w:rFonts w:cs="Arial"/>
        </w:rPr>
      </w:pPr>
      <w:r>
        <w:rPr>
          <w:rFonts w:cs="Arial"/>
        </w:rPr>
        <w:t>S</w:t>
      </w:r>
      <w:r w:rsidRPr="001034A4">
        <w:rPr>
          <w:rFonts w:cs="Arial"/>
        </w:rPr>
        <w:t>elf-efficacy to engage in healt</w:t>
      </w:r>
      <w:r>
        <w:rPr>
          <w:rFonts w:cs="Arial"/>
        </w:rPr>
        <w:t xml:space="preserve">hier eating behaviors </w:t>
      </w:r>
    </w:p>
    <w:p w:rsidR="001034A4" w:rsidRDefault="001034A4" w:rsidP="00D26DDE">
      <w:pPr>
        <w:pStyle w:val="ListParagraph"/>
        <w:numPr>
          <w:ilvl w:val="0"/>
          <w:numId w:val="44"/>
        </w:numPr>
        <w:spacing w:line="240" w:lineRule="auto"/>
        <w:rPr>
          <w:rFonts w:cs="Arial"/>
        </w:rPr>
      </w:pPr>
      <w:r>
        <w:rPr>
          <w:rFonts w:cs="Arial"/>
        </w:rPr>
        <w:t>P</w:t>
      </w:r>
      <w:r w:rsidRPr="001034A4">
        <w:rPr>
          <w:rFonts w:cs="Arial"/>
        </w:rPr>
        <w:t>erceived soc</w:t>
      </w:r>
      <w:r>
        <w:rPr>
          <w:rFonts w:cs="Arial"/>
        </w:rPr>
        <w:t xml:space="preserve">ial influence to </w:t>
      </w:r>
      <w:r w:rsidR="005E1245">
        <w:rPr>
          <w:rFonts w:cs="Arial"/>
        </w:rPr>
        <w:t xml:space="preserve">eat </w:t>
      </w:r>
      <w:r>
        <w:rPr>
          <w:rFonts w:cs="Arial"/>
        </w:rPr>
        <w:t>healthier</w:t>
      </w:r>
    </w:p>
    <w:p w:rsidR="001034A4" w:rsidRDefault="001034A4" w:rsidP="00D26DDE">
      <w:pPr>
        <w:spacing w:line="240" w:lineRule="auto"/>
        <w:rPr>
          <w:rFonts w:cs="Arial"/>
          <w:i/>
        </w:rPr>
      </w:pPr>
      <w:r w:rsidRPr="001034A4">
        <w:rPr>
          <w:rFonts w:cs="Arial"/>
          <w:i/>
        </w:rPr>
        <w:t>Demographics</w:t>
      </w:r>
    </w:p>
    <w:p w:rsidR="001034A4" w:rsidRPr="001034A4" w:rsidRDefault="00E27A90" w:rsidP="00D26DDE">
      <w:pPr>
        <w:spacing w:line="240" w:lineRule="auto"/>
        <w:rPr>
          <w:rFonts w:cs="Arial"/>
        </w:rPr>
      </w:pPr>
      <w:r>
        <w:rPr>
          <w:rFonts w:cs="Arial"/>
        </w:rPr>
        <w:t>The final module will collect</w:t>
      </w:r>
      <w:r w:rsidR="001034A4">
        <w:rPr>
          <w:rFonts w:cs="Arial"/>
        </w:rPr>
        <w:t xml:space="preserve"> demographic measures including income, educational attainment and household size.  In addition, participants will be </w:t>
      </w:r>
      <w:r w:rsidR="00EC6B82">
        <w:rPr>
          <w:rFonts w:cs="Arial"/>
        </w:rPr>
        <w:t xml:space="preserve">asked </w:t>
      </w:r>
      <w:r w:rsidR="001034A4">
        <w:rPr>
          <w:rFonts w:cs="Arial"/>
        </w:rPr>
        <w:t xml:space="preserve">about their role in the household regarding food purchasing decisions. Participants’ height and weight information will also be collected in order to calculate BMI. </w:t>
      </w:r>
    </w:p>
    <w:p w:rsidR="002F2441" w:rsidRDefault="009671CD" w:rsidP="00D26DDE">
      <w:pPr>
        <w:spacing w:line="240" w:lineRule="auto"/>
        <w:outlineLvl w:val="0"/>
        <w:rPr>
          <w:rFonts w:cs="Arial"/>
          <w:u w:val="single"/>
        </w:rPr>
      </w:pPr>
      <w:r w:rsidRPr="00855FD9">
        <w:rPr>
          <w:rFonts w:cs="Arial"/>
          <w:u w:val="single"/>
        </w:rPr>
        <w:t>Incentives</w:t>
      </w:r>
      <w:r w:rsidR="002F2441" w:rsidRPr="00855FD9">
        <w:rPr>
          <w:rFonts w:cs="Arial"/>
          <w:u w:val="single"/>
        </w:rPr>
        <w:t xml:space="preserve"> </w:t>
      </w:r>
    </w:p>
    <w:p w:rsidR="001034A4" w:rsidRPr="00855FD9" w:rsidRDefault="00E27A90" w:rsidP="00D26DDE">
      <w:pPr>
        <w:spacing w:line="240" w:lineRule="auto"/>
        <w:outlineLvl w:val="0"/>
        <w:rPr>
          <w:rFonts w:cs="Arial"/>
        </w:rPr>
      </w:pPr>
      <w:r>
        <w:rPr>
          <w:rFonts w:cs="Arial"/>
        </w:rPr>
        <w:t xml:space="preserve">It is customary for panel providers to offer points for participation in the surveys.  Accumulated points over many surveys can typically be traded for </w:t>
      </w:r>
      <w:r w:rsidR="005F2ED4">
        <w:rPr>
          <w:rFonts w:cs="Arial"/>
        </w:rPr>
        <w:t>small monetary gifts</w:t>
      </w:r>
      <w:r>
        <w:rPr>
          <w:rFonts w:cs="Arial"/>
        </w:rPr>
        <w:t xml:space="preserve">, </w:t>
      </w:r>
      <w:r w:rsidR="005E1245">
        <w:rPr>
          <w:rFonts w:cs="Arial"/>
        </w:rPr>
        <w:t>merchandise</w:t>
      </w:r>
      <w:r w:rsidR="005F2ED4">
        <w:rPr>
          <w:rFonts w:cs="Arial"/>
        </w:rPr>
        <w:t>,</w:t>
      </w:r>
      <w:r w:rsidR="005E1245">
        <w:rPr>
          <w:rFonts w:cs="Arial"/>
        </w:rPr>
        <w:t xml:space="preserve"> </w:t>
      </w:r>
      <w:r>
        <w:rPr>
          <w:rFonts w:cs="Arial"/>
        </w:rPr>
        <w:t>or entry into</w:t>
      </w:r>
      <w:r w:rsidR="005F2ED4">
        <w:rPr>
          <w:rFonts w:cs="Arial"/>
        </w:rPr>
        <w:t xml:space="preserve"> a</w:t>
      </w:r>
      <w:r>
        <w:rPr>
          <w:rFonts w:cs="Arial"/>
        </w:rPr>
        <w:t xml:space="preserve"> sweepstakes. </w:t>
      </w:r>
      <w:r w:rsidR="00451B55">
        <w:rPr>
          <w:rFonts w:cs="Arial"/>
        </w:rPr>
        <w:t xml:space="preserve"> The monetary value of points for participation in a 15 minute survey is typically less than one dollar.  </w:t>
      </w:r>
      <w:r>
        <w:rPr>
          <w:rFonts w:cs="Arial"/>
        </w:rPr>
        <w:t xml:space="preserve"> </w:t>
      </w:r>
      <w:r w:rsidR="004A27E2">
        <w:rPr>
          <w:rFonts w:cs="Arial"/>
        </w:rPr>
        <w:t xml:space="preserve">Point systems are part of the numerous other panel management activities conducted by </w:t>
      </w:r>
      <w:r w:rsidR="004A27E2">
        <w:rPr>
          <w:rFonts w:cs="Arial"/>
        </w:rPr>
        <w:lastRenderedPageBreak/>
        <w:t xml:space="preserve">the panel providers </w:t>
      </w:r>
      <w:r w:rsidR="005E1245">
        <w:rPr>
          <w:rFonts w:cs="Arial"/>
        </w:rPr>
        <w:t xml:space="preserve">in order </w:t>
      </w:r>
      <w:r w:rsidR="004A27E2">
        <w:rPr>
          <w:rFonts w:cs="Arial"/>
        </w:rPr>
        <w:t>to keep panelists engaged.  However, the price of the sample mostly depends on inciden</w:t>
      </w:r>
      <w:r w:rsidR="005F2ED4">
        <w:rPr>
          <w:rFonts w:cs="Arial"/>
        </w:rPr>
        <w:t>ce</w:t>
      </w:r>
      <w:r w:rsidR="004A27E2">
        <w:rPr>
          <w:rFonts w:cs="Arial"/>
        </w:rPr>
        <w:t xml:space="preserve"> rates and therefore does directly correlate to the panel management cost incurred by the sample provider.  Thus, when using </w:t>
      </w:r>
      <w:r w:rsidR="005E1245">
        <w:rPr>
          <w:rFonts w:cs="Arial"/>
        </w:rPr>
        <w:t xml:space="preserve">an </w:t>
      </w:r>
      <w:r w:rsidR="004A27E2">
        <w:rPr>
          <w:rFonts w:cs="Arial"/>
        </w:rPr>
        <w:t xml:space="preserve">online sample, the Federal government does not directly </w:t>
      </w:r>
      <w:r w:rsidR="00451B55">
        <w:rPr>
          <w:rFonts w:cs="Arial"/>
        </w:rPr>
        <w:t xml:space="preserve">provide </w:t>
      </w:r>
      <w:r w:rsidR="004A27E2">
        <w:rPr>
          <w:rFonts w:cs="Arial"/>
        </w:rPr>
        <w:t>incentives to the participants, rather</w:t>
      </w:r>
      <w:r w:rsidR="00451B55">
        <w:rPr>
          <w:rFonts w:cs="Arial"/>
        </w:rPr>
        <w:t xml:space="preserve"> Federal government receives </w:t>
      </w:r>
      <w:r w:rsidR="004A27E2">
        <w:rPr>
          <w:rFonts w:cs="Arial"/>
        </w:rPr>
        <w:t xml:space="preserve">access to the sample that may or may not be incentivized by the panel provider. </w:t>
      </w:r>
    </w:p>
    <w:bookmarkEnd w:id="3"/>
    <w:p w:rsidR="000A21AA" w:rsidRPr="007339FB" w:rsidRDefault="000A21AA" w:rsidP="005D3062">
      <w:pPr>
        <w:spacing w:after="0" w:line="240" w:lineRule="auto"/>
      </w:pPr>
    </w:p>
    <w:p w:rsidR="00F158CF" w:rsidRDefault="00F158CF" w:rsidP="005D3062">
      <w:pPr>
        <w:pStyle w:val="ListParagraph"/>
        <w:numPr>
          <w:ilvl w:val="0"/>
          <w:numId w:val="32"/>
        </w:numPr>
        <w:spacing w:after="0" w:line="240" w:lineRule="auto"/>
        <w:contextualSpacing w:val="0"/>
        <w:rPr>
          <w:rFonts w:cs="Arial"/>
          <w:b/>
        </w:rPr>
      </w:pPr>
      <w:r w:rsidRPr="007339FB">
        <w:rPr>
          <w:rFonts w:cs="Arial"/>
          <w:b/>
        </w:rPr>
        <w:t>Confidentiality:</w:t>
      </w:r>
    </w:p>
    <w:p w:rsidR="00855FD9" w:rsidRPr="007339FB" w:rsidRDefault="00855FD9" w:rsidP="00855FD9">
      <w:pPr>
        <w:pStyle w:val="ListParagraph"/>
        <w:spacing w:after="0" w:line="240" w:lineRule="auto"/>
        <w:ind w:left="360"/>
        <w:contextualSpacing w:val="0"/>
        <w:rPr>
          <w:rFonts w:cs="Arial"/>
          <w:b/>
        </w:rPr>
      </w:pPr>
    </w:p>
    <w:p w:rsidR="00F15B71" w:rsidRPr="007339FB" w:rsidRDefault="00A872BD" w:rsidP="005D3062">
      <w:pPr>
        <w:spacing w:after="0" w:line="240" w:lineRule="auto"/>
      </w:pPr>
      <w:r w:rsidRPr="007339FB">
        <w:t>CNPP and contractors will follow procedures for maintaining safeguards consistent with the Privacy Act during all stages of data collection.</w:t>
      </w:r>
      <w:r w:rsidR="006A5DEF" w:rsidRPr="007339FB">
        <w:t xml:space="preserve"> </w:t>
      </w:r>
      <w:r w:rsidRPr="007339FB">
        <w:t>A system of record notice (SORN) titled FNS-8 USDA/FNS Studies and Reports in the Federal Register on March 31, 2000, Volume 65, Number 63, and is located on pages 17251-17252 discusses the terms of protections that will be provided to respondents</w:t>
      </w:r>
      <w:r w:rsidR="00F15B71" w:rsidRPr="007339FB">
        <w:t>.</w:t>
      </w:r>
      <w:r w:rsidR="006A5DEF" w:rsidRPr="007339FB">
        <w:t xml:space="preserve"> </w:t>
      </w:r>
    </w:p>
    <w:p w:rsidR="00F15B71" w:rsidRPr="007339FB" w:rsidRDefault="00F15B71" w:rsidP="00FB34CD">
      <w:pPr>
        <w:spacing w:after="0" w:line="240" w:lineRule="auto"/>
      </w:pPr>
    </w:p>
    <w:p w:rsidR="00A872BD" w:rsidRPr="007339FB" w:rsidRDefault="00F15B71" w:rsidP="005D3062">
      <w:pPr>
        <w:spacing w:after="0" w:line="240" w:lineRule="auto"/>
      </w:pPr>
      <w:r w:rsidRPr="007339FB">
        <w:t xml:space="preserve">Using </w:t>
      </w:r>
      <w:r w:rsidR="00EB26A1">
        <w:t>data collection instruments in</w:t>
      </w:r>
      <w:r w:rsidR="00DC601A" w:rsidRPr="007339FB">
        <w:t xml:space="preserve"> </w:t>
      </w:r>
      <w:r w:rsidR="00804C6A" w:rsidRPr="007339FB">
        <w:t>Attachment</w:t>
      </w:r>
      <w:r w:rsidR="005469FA">
        <w:t>s</w:t>
      </w:r>
      <w:r w:rsidR="00DC601A" w:rsidRPr="007339FB">
        <w:t xml:space="preserve"> </w:t>
      </w:r>
      <w:r w:rsidR="00416CCB">
        <w:t>D</w:t>
      </w:r>
      <w:r w:rsidR="005469FA">
        <w:t>-</w:t>
      </w:r>
      <w:r w:rsidR="00DC601A" w:rsidRPr="007339FB">
        <w:t>1</w:t>
      </w:r>
      <w:r w:rsidR="00444ADB">
        <w:t xml:space="preserve"> and </w:t>
      </w:r>
      <w:r w:rsidR="00416CCB">
        <w:t>D</w:t>
      </w:r>
      <w:r w:rsidR="005469FA">
        <w:t xml:space="preserve">-2, </w:t>
      </w:r>
      <w:r w:rsidRPr="007339FB">
        <w:t>a</w:t>
      </w:r>
      <w:r w:rsidR="00A872BD" w:rsidRPr="007339FB">
        <w:t>ll participan</w:t>
      </w:r>
      <w:r w:rsidR="007E0949" w:rsidRPr="007339FB">
        <w:t>ts will receive a privacy</w:t>
      </w:r>
      <w:r w:rsidR="00A872BD" w:rsidRPr="007339FB">
        <w:t xml:space="preserve"> statement along with the consent form.</w:t>
      </w:r>
      <w:r w:rsidR="006A5DEF" w:rsidRPr="007339FB">
        <w:t xml:space="preserve"> </w:t>
      </w:r>
      <w:r w:rsidR="00A872BD" w:rsidRPr="007339FB">
        <w:t xml:space="preserve">The confidentially statement will inform the participants that all opinions they provide </w:t>
      </w:r>
      <w:r w:rsidR="00451B55">
        <w:t>will not be shared with anyone outside this study, except as otherwise required by law</w:t>
      </w:r>
      <w:r w:rsidR="00C729B6">
        <w:t>,</w:t>
      </w:r>
      <w:r w:rsidR="00A872BD" w:rsidRPr="007339FB">
        <w:t xml:space="preserve"> and none of their responses will be associated with personally identifiable information (PII).</w:t>
      </w:r>
      <w:r w:rsidR="006A5DEF" w:rsidRPr="007339FB">
        <w:t xml:space="preserve"> </w:t>
      </w:r>
      <w:r w:rsidR="00A872BD" w:rsidRPr="007339FB">
        <w:t>Participants will also be informed that findings will be presented as a summary.</w:t>
      </w:r>
      <w:r w:rsidR="006A5DEF" w:rsidRPr="007339FB">
        <w:t xml:space="preserve"> </w:t>
      </w:r>
      <w:r w:rsidR="00444ADB">
        <w:t xml:space="preserve"> The consent forms will be the first screen on the on-line survey and require participants’ electronic acknowledgement prior to proceeding to the rest of the survey. </w:t>
      </w:r>
      <w:r w:rsidR="00EB26A1">
        <w:t xml:space="preserve"> Furthermore, the privacy act statement for this data collection will be displayed as the first screen upon participants’ entry into the survey (see Attachment </w:t>
      </w:r>
      <w:r w:rsidR="00F726C3">
        <w:t>F</w:t>
      </w:r>
      <w:r w:rsidR="00EB26A1">
        <w:t xml:space="preserve"> 1)</w:t>
      </w:r>
      <w:r w:rsidR="0093005F">
        <w:t xml:space="preserve">.  Since the privacy act statement will be a part of the survey instrument, no additional burden hours are associated with it. </w:t>
      </w:r>
    </w:p>
    <w:p w:rsidR="00A872BD" w:rsidRPr="007339FB" w:rsidRDefault="00A872BD" w:rsidP="005D3062">
      <w:pPr>
        <w:spacing w:after="0" w:line="240" w:lineRule="auto"/>
      </w:pPr>
    </w:p>
    <w:p w:rsidR="00A872BD" w:rsidRPr="007339FB" w:rsidRDefault="00A872BD" w:rsidP="005D3062">
      <w:pPr>
        <w:spacing w:after="0" w:line="240" w:lineRule="auto"/>
      </w:pPr>
      <w:r w:rsidRPr="007339FB">
        <w:t>Additional steps employed to notify the respondents about their privacy are as follows:</w:t>
      </w:r>
    </w:p>
    <w:p w:rsidR="00A872BD" w:rsidRPr="007339FB" w:rsidRDefault="00A872BD" w:rsidP="005D3062">
      <w:pPr>
        <w:spacing w:after="0" w:line="240" w:lineRule="auto"/>
      </w:pPr>
    </w:p>
    <w:p w:rsidR="00F158CF" w:rsidRPr="007339FB" w:rsidRDefault="00A872BD" w:rsidP="005D3062">
      <w:pPr>
        <w:pStyle w:val="ListParagraph"/>
        <w:numPr>
          <w:ilvl w:val="0"/>
          <w:numId w:val="28"/>
        </w:numPr>
        <w:spacing w:after="0" w:line="240" w:lineRule="auto"/>
        <w:rPr>
          <w:rFonts w:cs="Arial"/>
        </w:rPr>
      </w:pPr>
      <w:r w:rsidRPr="007339FB">
        <w:t xml:space="preserve">As part of the conditions of employment, all trained staff working on the project have signed a non-disclosure agreement (NDA) </w:t>
      </w:r>
      <w:r w:rsidR="00445CE5">
        <w:t xml:space="preserve">(Attachment </w:t>
      </w:r>
      <w:r w:rsidR="00416CCB">
        <w:t>E</w:t>
      </w:r>
      <w:r w:rsidR="005469FA">
        <w:t>-</w:t>
      </w:r>
      <w:r w:rsidR="00FB4382" w:rsidRPr="007339FB">
        <w:t>1)</w:t>
      </w:r>
      <w:r w:rsidR="006429F1" w:rsidRPr="007339FB">
        <w:t xml:space="preserve"> </w:t>
      </w:r>
      <w:r w:rsidRPr="007339FB">
        <w:t>prohibiting them from discussing any information about the research studies they work on with anyone not involved with the project, especially discussing or releasing personally identifiable information (PII).</w:t>
      </w:r>
      <w:r w:rsidR="006A5DEF" w:rsidRPr="007339FB">
        <w:t xml:space="preserve"> </w:t>
      </w:r>
    </w:p>
    <w:p w:rsidR="00F15B71" w:rsidRPr="007339FB" w:rsidRDefault="00F15B71" w:rsidP="005D3062">
      <w:pPr>
        <w:pStyle w:val="ListParagraph"/>
        <w:spacing w:after="0" w:line="240" w:lineRule="auto"/>
        <w:rPr>
          <w:rFonts w:cs="Arial"/>
        </w:rPr>
      </w:pPr>
    </w:p>
    <w:p w:rsidR="00F158CF" w:rsidRPr="007339FB" w:rsidRDefault="00F158CF" w:rsidP="005D3062">
      <w:pPr>
        <w:pStyle w:val="ListParagraph"/>
        <w:numPr>
          <w:ilvl w:val="0"/>
          <w:numId w:val="32"/>
        </w:numPr>
        <w:spacing w:after="0" w:line="240" w:lineRule="auto"/>
        <w:contextualSpacing w:val="0"/>
        <w:rPr>
          <w:rFonts w:cs="Arial"/>
        </w:rPr>
      </w:pPr>
      <w:r w:rsidRPr="007339FB">
        <w:rPr>
          <w:rFonts w:cs="Arial"/>
          <w:b/>
        </w:rPr>
        <w:t>Federal Costs</w:t>
      </w:r>
      <w:r w:rsidRPr="007339FB">
        <w:rPr>
          <w:rFonts w:cs="Arial"/>
        </w:rPr>
        <w:t xml:space="preserve">: </w:t>
      </w:r>
      <w:r w:rsidR="00D3715E">
        <w:rPr>
          <w:rFonts w:cs="Arial"/>
          <w:b/>
        </w:rPr>
        <w:t>$</w:t>
      </w:r>
      <w:r w:rsidR="002C0513" w:rsidRPr="007339FB">
        <w:rPr>
          <w:rFonts w:eastAsia="Times New Roman" w:cs="Times New Roman"/>
          <w:b/>
          <w:bCs/>
          <w:color w:val="000000"/>
        </w:rPr>
        <w:t>998,319.67</w:t>
      </w:r>
    </w:p>
    <w:p w:rsidR="00FE6E40" w:rsidRPr="007339FB" w:rsidRDefault="00FE6E40" w:rsidP="005D3062">
      <w:pPr>
        <w:spacing w:after="0" w:line="240" w:lineRule="auto"/>
        <w:rPr>
          <w:rFonts w:cs="Arial"/>
        </w:rPr>
      </w:pPr>
    </w:p>
    <w:p w:rsidR="00F158CF" w:rsidRPr="007339FB" w:rsidRDefault="00F158CF" w:rsidP="005D3062">
      <w:pPr>
        <w:pStyle w:val="ListParagraph"/>
        <w:numPr>
          <w:ilvl w:val="0"/>
          <w:numId w:val="32"/>
        </w:numPr>
        <w:spacing w:after="0" w:line="240" w:lineRule="auto"/>
        <w:contextualSpacing w:val="0"/>
        <w:rPr>
          <w:rFonts w:cs="Arial"/>
          <w:b/>
        </w:rPr>
      </w:pPr>
      <w:r w:rsidRPr="007339FB">
        <w:rPr>
          <w:rFonts w:cs="Arial"/>
          <w:b/>
        </w:rPr>
        <w:t>Research Tools/Instruments:</w:t>
      </w:r>
    </w:p>
    <w:p w:rsidR="00416CCB" w:rsidRPr="00966D11" w:rsidRDefault="00416CCB" w:rsidP="00416CCB">
      <w:pPr>
        <w:pStyle w:val="ListParagraph"/>
        <w:numPr>
          <w:ilvl w:val="0"/>
          <w:numId w:val="46"/>
        </w:numPr>
        <w:spacing w:after="0" w:line="240" w:lineRule="auto"/>
        <w:contextualSpacing w:val="0"/>
        <w:rPr>
          <w:rFonts w:cs="Arial"/>
        </w:rPr>
      </w:pPr>
      <w:r w:rsidRPr="00966D11">
        <w:rPr>
          <w:rFonts w:cs="Arial"/>
          <w:b/>
        </w:rPr>
        <w:t xml:space="preserve">Attachment A-1: </w:t>
      </w:r>
      <w:r w:rsidRPr="00966D11">
        <w:rPr>
          <w:rFonts w:cs="Arial"/>
        </w:rPr>
        <w:t>Survey Invitation (English)</w:t>
      </w:r>
    </w:p>
    <w:p w:rsidR="00416CCB" w:rsidRPr="00966D11" w:rsidRDefault="00416CCB" w:rsidP="00416CCB">
      <w:pPr>
        <w:pStyle w:val="ListParagraph"/>
        <w:numPr>
          <w:ilvl w:val="0"/>
          <w:numId w:val="46"/>
        </w:numPr>
        <w:spacing w:after="0" w:line="240" w:lineRule="auto"/>
        <w:contextualSpacing w:val="0"/>
        <w:rPr>
          <w:rFonts w:cs="Arial"/>
        </w:rPr>
      </w:pPr>
      <w:r w:rsidRPr="00966D11">
        <w:rPr>
          <w:rFonts w:cs="Arial"/>
          <w:b/>
        </w:rPr>
        <w:t xml:space="preserve">Attachment A-2: </w:t>
      </w:r>
      <w:r w:rsidRPr="00966D11">
        <w:rPr>
          <w:rFonts w:cs="Arial"/>
        </w:rPr>
        <w:t>Survey Invitation (Spanish</w:t>
      </w:r>
      <w:r>
        <w:rPr>
          <w:rFonts w:cs="Arial"/>
        </w:rPr>
        <w:t>)</w:t>
      </w:r>
    </w:p>
    <w:p w:rsidR="00416CCB" w:rsidRPr="00966D11" w:rsidRDefault="00416CCB" w:rsidP="00416CCB">
      <w:pPr>
        <w:pStyle w:val="ListParagraph"/>
        <w:numPr>
          <w:ilvl w:val="0"/>
          <w:numId w:val="46"/>
        </w:numPr>
        <w:spacing w:after="0" w:line="240" w:lineRule="auto"/>
        <w:contextualSpacing w:val="0"/>
        <w:rPr>
          <w:rFonts w:cs="Arial"/>
          <w:b/>
        </w:rPr>
      </w:pPr>
      <w:r w:rsidRPr="00966D11">
        <w:rPr>
          <w:rFonts w:cs="Arial"/>
          <w:b/>
        </w:rPr>
        <w:t xml:space="preserve">Attachment B-1: </w:t>
      </w:r>
      <w:r w:rsidRPr="00966D11">
        <w:rPr>
          <w:rFonts w:cs="Arial"/>
        </w:rPr>
        <w:t xml:space="preserve">Screener </w:t>
      </w:r>
      <w:r>
        <w:rPr>
          <w:rFonts w:cs="Arial"/>
        </w:rPr>
        <w:t>(</w:t>
      </w:r>
      <w:r w:rsidRPr="00966D11">
        <w:rPr>
          <w:rFonts w:cs="Arial"/>
        </w:rPr>
        <w:t>English</w:t>
      </w:r>
      <w:r>
        <w:rPr>
          <w:rFonts w:cs="Arial"/>
        </w:rPr>
        <w:t>)</w:t>
      </w:r>
    </w:p>
    <w:p w:rsidR="00416CCB" w:rsidRPr="00966D11" w:rsidRDefault="00416CCB" w:rsidP="00416CCB">
      <w:pPr>
        <w:pStyle w:val="ListParagraph"/>
        <w:numPr>
          <w:ilvl w:val="0"/>
          <w:numId w:val="46"/>
        </w:numPr>
        <w:spacing w:after="0" w:line="240" w:lineRule="auto"/>
        <w:contextualSpacing w:val="0"/>
        <w:rPr>
          <w:rFonts w:cs="Arial"/>
          <w:b/>
        </w:rPr>
      </w:pPr>
      <w:r w:rsidRPr="00966D11">
        <w:rPr>
          <w:rFonts w:cs="Arial"/>
          <w:b/>
        </w:rPr>
        <w:t xml:space="preserve">Attachment B-2: </w:t>
      </w:r>
      <w:r w:rsidRPr="00966D11">
        <w:rPr>
          <w:rFonts w:cs="Arial"/>
        </w:rPr>
        <w:t xml:space="preserve">Screener </w:t>
      </w:r>
      <w:r>
        <w:rPr>
          <w:rFonts w:cs="Arial"/>
        </w:rPr>
        <w:t>(Spanish)</w:t>
      </w:r>
    </w:p>
    <w:p w:rsidR="00416CCB" w:rsidRPr="004A1E83" w:rsidRDefault="00416CCB" w:rsidP="00416CCB">
      <w:pPr>
        <w:pStyle w:val="ListParagraph"/>
        <w:numPr>
          <w:ilvl w:val="0"/>
          <w:numId w:val="46"/>
        </w:numPr>
        <w:spacing w:after="0" w:line="240" w:lineRule="auto"/>
        <w:contextualSpacing w:val="0"/>
        <w:rPr>
          <w:rFonts w:cs="Arial"/>
          <w:b/>
        </w:rPr>
      </w:pPr>
      <w:r w:rsidRPr="00966D11">
        <w:rPr>
          <w:rFonts w:cs="Arial"/>
          <w:b/>
        </w:rPr>
        <w:t xml:space="preserve">Attachment C-1: </w:t>
      </w:r>
      <w:r w:rsidRPr="00966D11">
        <w:rPr>
          <w:rFonts w:cs="Arial"/>
        </w:rPr>
        <w:t>Survey Instrument (English</w:t>
      </w:r>
      <w:r>
        <w:rPr>
          <w:rFonts w:cs="Arial"/>
        </w:rPr>
        <w:t>)</w:t>
      </w:r>
    </w:p>
    <w:p w:rsidR="00F726C3" w:rsidRPr="00966D11" w:rsidRDefault="00F726C3" w:rsidP="00416CCB">
      <w:pPr>
        <w:pStyle w:val="ListParagraph"/>
        <w:numPr>
          <w:ilvl w:val="0"/>
          <w:numId w:val="46"/>
        </w:numPr>
        <w:spacing w:after="0" w:line="240" w:lineRule="auto"/>
        <w:contextualSpacing w:val="0"/>
        <w:rPr>
          <w:rFonts w:cs="Arial"/>
          <w:b/>
        </w:rPr>
      </w:pPr>
      <w:r>
        <w:rPr>
          <w:rFonts w:cs="Arial"/>
          <w:b/>
        </w:rPr>
        <w:t xml:space="preserve">Attachment C-1a Screen shot of survey </w:t>
      </w:r>
      <w:r w:rsidR="004A1E83">
        <w:rPr>
          <w:rFonts w:cs="Arial"/>
          <w:b/>
        </w:rPr>
        <w:t>instrument</w:t>
      </w:r>
    </w:p>
    <w:p w:rsidR="00416CCB" w:rsidRPr="00966D11" w:rsidRDefault="00416CCB" w:rsidP="00416CCB">
      <w:pPr>
        <w:pStyle w:val="ListParagraph"/>
        <w:numPr>
          <w:ilvl w:val="0"/>
          <w:numId w:val="46"/>
        </w:numPr>
        <w:spacing w:after="0" w:line="240" w:lineRule="auto"/>
        <w:contextualSpacing w:val="0"/>
        <w:rPr>
          <w:rFonts w:cs="Arial"/>
          <w:b/>
        </w:rPr>
      </w:pPr>
      <w:r w:rsidRPr="00966D11">
        <w:rPr>
          <w:rFonts w:cs="Arial"/>
          <w:b/>
        </w:rPr>
        <w:t xml:space="preserve">Attachment C-2: </w:t>
      </w:r>
      <w:r w:rsidRPr="00966D11">
        <w:rPr>
          <w:rFonts w:cs="Arial"/>
        </w:rPr>
        <w:t>Survey Instrument (Spanish)</w:t>
      </w:r>
    </w:p>
    <w:p w:rsidR="00416CCB" w:rsidRDefault="00416CCB" w:rsidP="00416CCB">
      <w:pPr>
        <w:pStyle w:val="ListParagraph"/>
        <w:numPr>
          <w:ilvl w:val="0"/>
          <w:numId w:val="46"/>
        </w:numPr>
        <w:spacing w:after="0" w:line="240" w:lineRule="auto"/>
        <w:contextualSpacing w:val="0"/>
        <w:rPr>
          <w:rFonts w:cs="Arial"/>
        </w:rPr>
      </w:pPr>
      <w:r w:rsidRPr="00966D11">
        <w:rPr>
          <w:rFonts w:cs="Arial"/>
          <w:b/>
        </w:rPr>
        <w:t xml:space="preserve">Attachment D-1: </w:t>
      </w:r>
      <w:r w:rsidRPr="00966D11">
        <w:rPr>
          <w:rFonts w:cs="Arial"/>
        </w:rPr>
        <w:t>Consent form (English</w:t>
      </w:r>
      <w:r>
        <w:rPr>
          <w:rFonts w:cs="Arial"/>
        </w:rPr>
        <w:t>)</w:t>
      </w:r>
    </w:p>
    <w:p w:rsidR="00416CCB" w:rsidRPr="00966D11" w:rsidRDefault="00416CCB" w:rsidP="00416CCB">
      <w:pPr>
        <w:pStyle w:val="ListParagraph"/>
        <w:numPr>
          <w:ilvl w:val="0"/>
          <w:numId w:val="46"/>
        </w:numPr>
        <w:spacing w:after="0" w:line="240" w:lineRule="auto"/>
        <w:contextualSpacing w:val="0"/>
        <w:rPr>
          <w:rFonts w:cs="Arial"/>
        </w:rPr>
      </w:pPr>
      <w:r w:rsidRPr="00966D11">
        <w:rPr>
          <w:rFonts w:cs="Arial"/>
          <w:b/>
        </w:rPr>
        <w:t xml:space="preserve">Attachment D-2: </w:t>
      </w:r>
      <w:r w:rsidRPr="00966D11">
        <w:rPr>
          <w:rFonts w:cs="Arial"/>
        </w:rPr>
        <w:t>Consent form (Spanish</w:t>
      </w:r>
      <w:r>
        <w:rPr>
          <w:rFonts w:cs="Arial"/>
        </w:rPr>
        <w:t>)</w:t>
      </w:r>
    </w:p>
    <w:p w:rsidR="00416CCB" w:rsidRDefault="00416CCB" w:rsidP="00416CCB">
      <w:pPr>
        <w:pStyle w:val="ListParagraph"/>
        <w:numPr>
          <w:ilvl w:val="0"/>
          <w:numId w:val="46"/>
        </w:numPr>
        <w:spacing w:after="0" w:line="240" w:lineRule="auto"/>
        <w:contextualSpacing w:val="0"/>
        <w:rPr>
          <w:rFonts w:cs="Arial"/>
        </w:rPr>
      </w:pPr>
      <w:r w:rsidRPr="00966D11">
        <w:rPr>
          <w:rFonts w:cs="Arial"/>
          <w:b/>
        </w:rPr>
        <w:t xml:space="preserve">Attachment E-1: </w:t>
      </w:r>
      <w:r w:rsidRPr="00966D11">
        <w:rPr>
          <w:rFonts w:cs="Arial"/>
        </w:rPr>
        <w:t>Confidentiality Agreement (English)</w:t>
      </w:r>
    </w:p>
    <w:p w:rsidR="00F726C3" w:rsidRPr="00966D11" w:rsidRDefault="00F726C3" w:rsidP="00416CCB">
      <w:pPr>
        <w:pStyle w:val="ListParagraph"/>
        <w:numPr>
          <w:ilvl w:val="0"/>
          <w:numId w:val="46"/>
        </w:numPr>
        <w:spacing w:after="0" w:line="240" w:lineRule="auto"/>
        <w:contextualSpacing w:val="0"/>
        <w:rPr>
          <w:rFonts w:cs="Arial"/>
        </w:rPr>
      </w:pPr>
      <w:r>
        <w:rPr>
          <w:rFonts w:cs="Arial"/>
          <w:b/>
        </w:rPr>
        <w:t>Attachment F-</w:t>
      </w:r>
      <w:r>
        <w:rPr>
          <w:rFonts w:cs="Arial"/>
        </w:rPr>
        <w:t>1: Privacy Act Statement</w:t>
      </w:r>
    </w:p>
    <w:sectPr w:rsidR="00F726C3" w:rsidRPr="00966D11" w:rsidSect="003C51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0BD1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189" w:rsidRDefault="00552189" w:rsidP="000A21AA">
      <w:pPr>
        <w:spacing w:after="0" w:line="240" w:lineRule="auto"/>
      </w:pPr>
      <w:r>
        <w:separator/>
      </w:r>
    </w:p>
  </w:endnote>
  <w:endnote w:type="continuationSeparator" w:id="0">
    <w:p w:rsidR="00552189" w:rsidRDefault="00552189" w:rsidP="000A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376077"/>
      <w:docPartObj>
        <w:docPartGallery w:val="Page Numbers (Bottom of Page)"/>
        <w:docPartUnique/>
      </w:docPartObj>
    </w:sdtPr>
    <w:sdtEndPr>
      <w:rPr>
        <w:noProof/>
      </w:rPr>
    </w:sdtEndPr>
    <w:sdtContent>
      <w:p w:rsidR="00EB26A1" w:rsidRDefault="00FC517F">
        <w:pPr>
          <w:pStyle w:val="Footer"/>
          <w:jc w:val="right"/>
        </w:pPr>
        <w:r>
          <w:fldChar w:fldCharType="begin"/>
        </w:r>
        <w:r w:rsidR="00EB26A1">
          <w:instrText xml:space="preserve"> PAGE   \* MERGEFORMAT </w:instrText>
        </w:r>
        <w:r>
          <w:fldChar w:fldCharType="separate"/>
        </w:r>
        <w:r w:rsidR="00D326F7">
          <w:rPr>
            <w:noProof/>
          </w:rPr>
          <w:t>1</w:t>
        </w:r>
        <w:r>
          <w:rPr>
            <w:noProof/>
          </w:rPr>
          <w:fldChar w:fldCharType="end"/>
        </w:r>
      </w:p>
    </w:sdtContent>
  </w:sdt>
  <w:p w:rsidR="00EB26A1" w:rsidRDefault="00EB2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189" w:rsidRDefault="00552189" w:rsidP="000A21AA">
      <w:pPr>
        <w:spacing w:after="0" w:line="240" w:lineRule="auto"/>
      </w:pPr>
      <w:r>
        <w:separator/>
      </w:r>
    </w:p>
  </w:footnote>
  <w:footnote w:type="continuationSeparator" w:id="0">
    <w:p w:rsidR="00552189" w:rsidRDefault="00552189" w:rsidP="000A21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679"/>
    <w:multiLevelType w:val="hybridMultilevel"/>
    <w:tmpl w:val="7184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61C9E"/>
    <w:multiLevelType w:val="hybridMultilevel"/>
    <w:tmpl w:val="FB0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7156B"/>
    <w:multiLevelType w:val="hybridMultilevel"/>
    <w:tmpl w:val="CFBAA54E"/>
    <w:lvl w:ilvl="0" w:tplc="D1BCB2A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4B3991"/>
    <w:multiLevelType w:val="hybridMultilevel"/>
    <w:tmpl w:val="42B2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B32A6"/>
    <w:multiLevelType w:val="hybridMultilevel"/>
    <w:tmpl w:val="266EA036"/>
    <w:lvl w:ilvl="0" w:tplc="E6FCCDC6">
      <w:start w:val="1"/>
      <w:numFmt w:val="decimal"/>
      <w:lvlText w:val="%1."/>
      <w:lvlJc w:val="left"/>
      <w:pPr>
        <w:ind w:left="360" w:hanging="360"/>
      </w:pPr>
      <w:rPr>
        <w:rFonts w:asciiTheme="minorHAnsi" w:hAnsiTheme="minorHAnsi"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B641A7E"/>
    <w:multiLevelType w:val="hybridMultilevel"/>
    <w:tmpl w:val="31B0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B491A"/>
    <w:multiLevelType w:val="hybridMultilevel"/>
    <w:tmpl w:val="4306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F30E7"/>
    <w:multiLevelType w:val="hybridMultilevel"/>
    <w:tmpl w:val="786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84D2C"/>
    <w:multiLevelType w:val="hybridMultilevel"/>
    <w:tmpl w:val="BC96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2645BD"/>
    <w:multiLevelType w:val="hybridMultilevel"/>
    <w:tmpl w:val="6710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2749F7"/>
    <w:multiLevelType w:val="hybridMultilevel"/>
    <w:tmpl w:val="86E6D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7B6D5C"/>
    <w:multiLevelType w:val="hybridMultilevel"/>
    <w:tmpl w:val="65EA2C5A"/>
    <w:lvl w:ilvl="0" w:tplc="04090001">
      <w:start w:val="1"/>
      <w:numFmt w:val="bullet"/>
      <w:lvlText w:val=""/>
      <w:lvlJc w:val="left"/>
      <w:pPr>
        <w:ind w:left="720" w:hanging="360"/>
      </w:pPr>
      <w:rPr>
        <w:rFonts w:ascii="Symbol" w:hAnsi="Symbol" w:hint="default"/>
        <w:b w:val="0"/>
        <w:sz w:val="24"/>
        <w:szCs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E973E7C"/>
    <w:multiLevelType w:val="hybridMultilevel"/>
    <w:tmpl w:val="B6A66DC2"/>
    <w:lvl w:ilvl="0" w:tplc="185CD248">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FF42D5"/>
    <w:multiLevelType w:val="multilevel"/>
    <w:tmpl w:val="3474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1C2767"/>
    <w:multiLevelType w:val="hybridMultilevel"/>
    <w:tmpl w:val="FA181C82"/>
    <w:lvl w:ilvl="0" w:tplc="0C080692">
      <w:start w:val="7"/>
      <w:numFmt w:val="decimal"/>
      <w:lvlText w:val="%1."/>
      <w:lvlJc w:val="left"/>
      <w:pPr>
        <w:ind w:left="720" w:hanging="360"/>
      </w:pPr>
      <w:rPr>
        <w:rFonts w:hint="default"/>
        <w:b w:val="0"/>
        <w:i w:val="0"/>
        <w:color w:val="auto"/>
        <w:sz w:val="22"/>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278A15F6"/>
    <w:multiLevelType w:val="hybridMultilevel"/>
    <w:tmpl w:val="D7AC5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356275"/>
    <w:multiLevelType w:val="hybridMultilevel"/>
    <w:tmpl w:val="F09AFB4C"/>
    <w:lvl w:ilvl="0" w:tplc="04090001">
      <w:start w:val="1"/>
      <w:numFmt w:val="bullet"/>
      <w:lvlText w:val=""/>
      <w:lvlJc w:val="left"/>
      <w:pPr>
        <w:ind w:left="720" w:hanging="360"/>
      </w:pPr>
      <w:rPr>
        <w:rFonts w:ascii="Symbol" w:hAnsi="Symbol" w:hint="default"/>
        <w:b w:val="0"/>
        <w:sz w:val="24"/>
        <w:szCs w:val="24"/>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BAA4B05"/>
    <w:multiLevelType w:val="hybridMultilevel"/>
    <w:tmpl w:val="9338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3802FB"/>
    <w:multiLevelType w:val="hybridMultilevel"/>
    <w:tmpl w:val="FB64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3F0023"/>
    <w:multiLevelType w:val="hybridMultilevel"/>
    <w:tmpl w:val="E4AE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0A78F7"/>
    <w:multiLevelType w:val="hybridMultilevel"/>
    <w:tmpl w:val="EABCE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1A0426"/>
    <w:multiLevelType w:val="hybridMultilevel"/>
    <w:tmpl w:val="C1FA39A2"/>
    <w:lvl w:ilvl="0" w:tplc="74289B1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3748A4"/>
    <w:multiLevelType w:val="hybridMultilevel"/>
    <w:tmpl w:val="0788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8F6046"/>
    <w:multiLevelType w:val="hybridMultilevel"/>
    <w:tmpl w:val="3B06C01E"/>
    <w:lvl w:ilvl="0" w:tplc="D74E8E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485E72"/>
    <w:multiLevelType w:val="hybridMultilevel"/>
    <w:tmpl w:val="A1BE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A3009C"/>
    <w:multiLevelType w:val="hybridMultilevel"/>
    <w:tmpl w:val="37842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C40B9B"/>
    <w:multiLevelType w:val="hybridMultilevel"/>
    <w:tmpl w:val="EADC9632"/>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30">
    <w:nsid w:val="48262E7B"/>
    <w:multiLevelType w:val="hybridMultilevel"/>
    <w:tmpl w:val="B6B0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FD6822"/>
    <w:multiLevelType w:val="hybridMultilevel"/>
    <w:tmpl w:val="60AC314C"/>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nsid w:val="4C023646"/>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13226F"/>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AF6DE4"/>
    <w:multiLevelType w:val="hybridMultilevel"/>
    <w:tmpl w:val="4306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07564C"/>
    <w:multiLevelType w:val="hybridMultilevel"/>
    <w:tmpl w:val="E0A0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361CD1"/>
    <w:multiLevelType w:val="hybridMultilevel"/>
    <w:tmpl w:val="75F2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F26026"/>
    <w:multiLevelType w:val="hybridMultilevel"/>
    <w:tmpl w:val="975AD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3D085F"/>
    <w:multiLevelType w:val="hybridMultilevel"/>
    <w:tmpl w:val="8A9AC5A8"/>
    <w:lvl w:ilvl="0" w:tplc="D7963566">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77A29"/>
    <w:multiLevelType w:val="hybridMultilevel"/>
    <w:tmpl w:val="AA46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F03CAA"/>
    <w:multiLevelType w:val="hybridMultilevel"/>
    <w:tmpl w:val="E82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27"/>
  </w:num>
  <w:num w:numId="4">
    <w:abstractNumId w:val="13"/>
  </w:num>
  <w:num w:numId="5">
    <w:abstractNumId w:val="32"/>
  </w:num>
  <w:num w:numId="6">
    <w:abstractNumId w:val="3"/>
  </w:num>
  <w:num w:numId="7">
    <w:abstractNumId w:val="1"/>
  </w:num>
  <w:num w:numId="8">
    <w:abstractNumId w:val="2"/>
  </w:num>
  <w:num w:numId="9">
    <w:abstractNumId w:val="41"/>
  </w:num>
  <w:num w:numId="10">
    <w:abstractNumId w:val="33"/>
  </w:num>
  <w:num w:numId="11">
    <w:abstractNumId w:val="20"/>
  </w:num>
  <w:num w:numId="12">
    <w:abstractNumId w:val="16"/>
  </w:num>
  <w:num w:numId="13">
    <w:abstractNumId w:val="12"/>
  </w:num>
  <w:num w:numId="14">
    <w:abstractNumId w:val="25"/>
  </w:num>
  <w:num w:numId="15">
    <w:abstractNumId w:val="14"/>
  </w:num>
  <w:num w:numId="16">
    <w:abstractNumId w:val="44"/>
  </w:num>
  <w:num w:numId="17">
    <w:abstractNumId w:val="38"/>
  </w:num>
  <w:num w:numId="18">
    <w:abstractNumId w:val="28"/>
  </w:num>
  <w:num w:numId="19">
    <w:abstractNumId w:val="37"/>
  </w:num>
  <w:num w:numId="20">
    <w:abstractNumId w:val="40"/>
  </w:num>
  <w:num w:numId="21">
    <w:abstractNumId w:val="42"/>
  </w:num>
  <w:num w:numId="22">
    <w:abstractNumId w:val="19"/>
  </w:num>
  <w:num w:numId="23">
    <w:abstractNumId w:val="29"/>
  </w:num>
  <w:num w:numId="24">
    <w:abstractNumId w:val="10"/>
  </w:num>
  <w:num w:numId="25">
    <w:abstractNumId w:val="21"/>
  </w:num>
  <w:num w:numId="26">
    <w:abstractNumId w:val="0"/>
  </w:num>
  <w:num w:numId="27">
    <w:abstractNumId w:val="26"/>
  </w:num>
  <w:num w:numId="28">
    <w:abstractNumId w:val="22"/>
  </w:num>
  <w:num w:numId="29">
    <w:abstractNumId w:val="31"/>
  </w:num>
  <w:num w:numId="30">
    <w:abstractNumId w:val="39"/>
  </w:num>
  <w:num w:numId="31">
    <w:abstractNumId w:val="6"/>
  </w:num>
  <w:num w:numId="32">
    <w:abstractNumId w:val="4"/>
  </w:num>
  <w:num w:numId="33">
    <w:abstractNumId w:val="15"/>
  </w:num>
  <w:num w:numId="34">
    <w:abstractNumId w:val="34"/>
  </w:num>
  <w:num w:numId="35">
    <w:abstractNumId w:val="8"/>
  </w:num>
  <w:num w:numId="36">
    <w:abstractNumId w:val="18"/>
  </w:num>
  <w:num w:numId="37">
    <w:abstractNumId w:val="26"/>
  </w:num>
  <w:num w:numId="38">
    <w:abstractNumId w:val="24"/>
  </w:num>
  <w:num w:numId="39">
    <w:abstractNumId w:val="35"/>
  </w:num>
  <w:num w:numId="40">
    <w:abstractNumId w:val="5"/>
  </w:num>
  <w:num w:numId="41">
    <w:abstractNumId w:val="36"/>
  </w:num>
  <w:num w:numId="42">
    <w:abstractNumId w:val="9"/>
  </w:num>
  <w:num w:numId="43">
    <w:abstractNumId w:val="7"/>
  </w:num>
  <w:num w:numId="44">
    <w:abstractNumId w:val="43"/>
  </w:num>
  <w:num w:numId="45">
    <w:abstractNumId w:val="17"/>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444D"/>
    <w:rsid w:val="00000FA9"/>
    <w:rsid w:val="00016987"/>
    <w:rsid w:val="00032B38"/>
    <w:rsid w:val="00033AAD"/>
    <w:rsid w:val="0005628B"/>
    <w:rsid w:val="000604DE"/>
    <w:rsid w:val="00062B94"/>
    <w:rsid w:val="00072D73"/>
    <w:rsid w:val="00076064"/>
    <w:rsid w:val="00080949"/>
    <w:rsid w:val="0008295D"/>
    <w:rsid w:val="000919DE"/>
    <w:rsid w:val="00091D0D"/>
    <w:rsid w:val="00093F8A"/>
    <w:rsid w:val="00093FA9"/>
    <w:rsid w:val="000952E7"/>
    <w:rsid w:val="000A21AA"/>
    <w:rsid w:val="000B244E"/>
    <w:rsid w:val="000B6BA2"/>
    <w:rsid w:val="000C0ADB"/>
    <w:rsid w:val="000C0E23"/>
    <w:rsid w:val="000D21C1"/>
    <w:rsid w:val="000D7665"/>
    <w:rsid w:val="000E1851"/>
    <w:rsid w:val="000E42B3"/>
    <w:rsid w:val="000F3A6D"/>
    <w:rsid w:val="001016EA"/>
    <w:rsid w:val="001034A4"/>
    <w:rsid w:val="0012323E"/>
    <w:rsid w:val="00123AFF"/>
    <w:rsid w:val="00124054"/>
    <w:rsid w:val="001248E7"/>
    <w:rsid w:val="00130A3D"/>
    <w:rsid w:val="001414A6"/>
    <w:rsid w:val="00144C5F"/>
    <w:rsid w:val="0014760B"/>
    <w:rsid w:val="00150189"/>
    <w:rsid w:val="00161029"/>
    <w:rsid w:val="00164EF7"/>
    <w:rsid w:val="00170F1A"/>
    <w:rsid w:val="00173C3C"/>
    <w:rsid w:val="001772AA"/>
    <w:rsid w:val="00183F64"/>
    <w:rsid w:val="00191D5D"/>
    <w:rsid w:val="001962FA"/>
    <w:rsid w:val="00196E22"/>
    <w:rsid w:val="00197A35"/>
    <w:rsid w:val="001A3AF1"/>
    <w:rsid w:val="001B10CB"/>
    <w:rsid w:val="001C5083"/>
    <w:rsid w:val="001E4C28"/>
    <w:rsid w:val="001F6857"/>
    <w:rsid w:val="00202870"/>
    <w:rsid w:val="00203786"/>
    <w:rsid w:val="00204F37"/>
    <w:rsid w:val="00205092"/>
    <w:rsid w:val="0021413A"/>
    <w:rsid w:val="002217C2"/>
    <w:rsid w:val="0022430D"/>
    <w:rsid w:val="00225A69"/>
    <w:rsid w:val="00226D21"/>
    <w:rsid w:val="00232B2F"/>
    <w:rsid w:val="00252B80"/>
    <w:rsid w:val="0025384C"/>
    <w:rsid w:val="00264550"/>
    <w:rsid w:val="00266284"/>
    <w:rsid w:val="0027106D"/>
    <w:rsid w:val="00276FD0"/>
    <w:rsid w:val="00277506"/>
    <w:rsid w:val="00291938"/>
    <w:rsid w:val="00293481"/>
    <w:rsid w:val="00294FD2"/>
    <w:rsid w:val="002A0024"/>
    <w:rsid w:val="002A0810"/>
    <w:rsid w:val="002B2308"/>
    <w:rsid w:val="002B50E7"/>
    <w:rsid w:val="002B6463"/>
    <w:rsid w:val="002C0513"/>
    <w:rsid w:val="002C6D51"/>
    <w:rsid w:val="002C766B"/>
    <w:rsid w:val="002D1EBB"/>
    <w:rsid w:val="002D5B67"/>
    <w:rsid w:val="002E28EE"/>
    <w:rsid w:val="002F2441"/>
    <w:rsid w:val="0030180B"/>
    <w:rsid w:val="003053EF"/>
    <w:rsid w:val="003073B3"/>
    <w:rsid w:val="003109A4"/>
    <w:rsid w:val="003222B0"/>
    <w:rsid w:val="00327483"/>
    <w:rsid w:val="0033224B"/>
    <w:rsid w:val="00335DD6"/>
    <w:rsid w:val="003374D4"/>
    <w:rsid w:val="003431C2"/>
    <w:rsid w:val="0034444D"/>
    <w:rsid w:val="00357679"/>
    <w:rsid w:val="003630EE"/>
    <w:rsid w:val="00363A3C"/>
    <w:rsid w:val="00374F08"/>
    <w:rsid w:val="00375AD1"/>
    <w:rsid w:val="00375DA0"/>
    <w:rsid w:val="0038052B"/>
    <w:rsid w:val="00382FC1"/>
    <w:rsid w:val="003837AA"/>
    <w:rsid w:val="00384CFD"/>
    <w:rsid w:val="0038644B"/>
    <w:rsid w:val="00386786"/>
    <w:rsid w:val="003875C6"/>
    <w:rsid w:val="00387F5E"/>
    <w:rsid w:val="003911D0"/>
    <w:rsid w:val="003A3BA5"/>
    <w:rsid w:val="003C0F0B"/>
    <w:rsid w:val="003C2A0E"/>
    <w:rsid w:val="003C5140"/>
    <w:rsid w:val="003E0730"/>
    <w:rsid w:val="003E4555"/>
    <w:rsid w:val="003F3DF9"/>
    <w:rsid w:val="00402078"/>
    <w:rsid w:val="004025CF"/>
    <w:rsid w:val="00405371"/>
    <w:rsid w:val="00412A9B"/>
    <w:rsid w:val="00416CCB"/>
    <w:rsid w:val="00420822"/>
    <w:rsid w:val="004315B4"/>
    <w:rsid w:val="004426B3"/>
    <w:rsid w:val="00444ADB"/>
    <w:rsid w:val="00445CE5"/>
    <w:rsid w:val="004476B0"/>
    <w:rsid w:val="00451B55"/>
    <w:rsid w:val="00454AFF"/>
    <w:rsid w:val="004606D8"/>
    <w:rsid w:val="00470B9B"/>
    <w:rsid w:val="00476428"/>
    <w:rsid w:val="00481505"/>
    <w:rsid w:val="00486588"/>
    <w:rsid w:val="004A1E83"/>
    <w:rsid w:val="004A27E2"/>
    <w:rsid w:val="004A3038"/>
    <w:rsid w:val="004C22A8"/>
    <w:rsid w:val="004D5E27"/>
    <w:rsid w:val="004E063F"/>
    <w:rsid w:val="004E3582"/>
    <w:rsid w:val="004F4AB0"/>
    <w:rsid w:val="00513BD2"/>
    <w:rsid w:val="0052195B"/>
    <w:rsid w:val="00524DB9"/>
    <w:rsid w:val="00541675"/>
    <w:rsid w:val="005469FA"/>
    <w:rsid w:val="005477E6"/>
    <w:rsid w:val="00552189"/>
    <w:rsid w:val="0055337C"/>
    <w:rsid w:val="00555653"/>
    <w:rsid w:val="00574ABC"/>
    <w:rsid w:val="00585DAF"/>
    <w:rsid w:val="005B4630"/>
    <w:rsid w:val="005C3A30"/>
    <w:rsid w:val="005D07A4"/>
    <w:rsid w:val="005D3062"/>
    <w:rsid w:val="005D62FC"/>
    <w:rsid w:val="005E1245"/>
    <w:rsid w:val="005E3AB4"/>
    <w:rsid w:val="005E5E80"/>
    <w:rsid w:val="005F2ED4"/>
    <w:rsid w:val="005F4D87"/>
    <w:rsid w:val="006057C6"/>
    <w:rsid w:val="00617F89"/>
    <w:rsid w:val="00623C9E"/>
    <w:rsid w:val="006269C4"/>
    <w:rsid w:val="00631039"/>
    <w:rsid w:val="006379A5"/>
    <w:rsid w:val="006416E6"/>
    <w:rsid w:val="00642524"/>
    <w:rsid w:val="006429F1"/>
    <w:rsid w:val="00651438"/>
    <w:rsid w:val="006560D7"/>
    <w:rsid w:val="0066764F"/>
    <w:rsid w:val="006772B1"/>
    <w:rsid w:val="006815A2"/>
    <w:rsid w:val="00685EC1"/>
    <w:rsid w:val="00697F60"/>
    <w:rsid w:val="006A1229"/>
    <w:rsid w:val="006A1A52"/>
    <w:rsid w:val="006A336B"/>
    <w:rsid w:val="006A493E"/>
    <w:rsid w:val="006A53A3"/>
    <w:rsid w:val="006A5DEF"/>
    <w:rsid w:val="006A6EF4"/>
    <w:rsid w:val="006B052B"/>
    <w:rsid w:val="006B4855"/>
    <w:rsid w:val="006C1FE6"/>
    <w:rsid w:val="006C2A9F"/>
    <w:rsid w:val="006E0EB9"/>
    <w:rsid w:val="006E18EC"/>
    <w:rsid w:val="006E3D4B"/>
    <w:rsid w:val="006F21C4"/>
    <w:rsid w:val="00704B8A"/>
    <w:rsid w:val="00710D8F"/>
    <w:rsid w:val="0071247E"/>
    <w:rsid w:val="00714681"/>
    <w:rsid w:val="007166BE"/>
    <w:rsid w:val="007172BD"/>
    <w:rsid w:val="0072434B"/>
    <w:rsid w:val="007339FB"/>
    <w:rsid w:val="00742E6E"/>
    <w:rsid w:val="00744727"/>
    <w:rsid w:val="007555D1"/>
    <w:rsid w:val="0075609F"/>
    <w:rsid w:val="007570C3"/>
    <w:rsid w:val="00757A8D"/>
    <w:rsid w:val="007631DC"/>
    <w:rsid w:val="007635B2"/>
    <w:rsid w:val="00765DE3"/>
    <w:rsid w:val="0076683F"/>
    <w:rsid w:val="00777744"/>
    <w:rsid w:val="00791C30"/>
    <w:rsid w:val="007B210B"/>
    <w:rsid w:val="007B45C3"/>
    <w:rsid w:val="007C5D28"/>
    <w:rsid w:val="007D24C5"/>
    <w:rsid w:val="007D524B"/>
    <w:rsid w:val="007E0949"/>
    <w:rsid w:val="007E4A3B"/>
    <w:rsid w:val="007E7289"/>
    <w:rsid w:val="007F7D8F"/>
    <w:rsid w:val="00804C6A"/>
    <w:rsid w:val="00815527"/>
    <w:rsid w:val="00815E0E"/>
    <w:rsid w:val="00820116"/>
    <w:rsid w:val="00821D11"/>
    <w:rsid w:val="00823FCB"/>
    <w:rsid w:val="00824024"/>
    <w:rsid w:val="00825E14"/>
    <w:rsid w:val="008330F5"/>
    <w:rsid w:val="0083676C"/>
    <w:rsid w:val="00837FE8"/>
    <w:rsid w:val="0085062D"/>
    <w:rsid w:val="00851471"/>
    <w:rsid w:val="00855FD9"/>
    <w:rsid w:val="00860B01"/>
    <w:rsid w:val="00861424"/>
    <w:rsid w:val="008703BB"/>
    <w:rsid w:val="008919FA"/>
    <w:rsid w:val="0089250E"/>
    <w:rsid w:val="00897175"/>
    <w:rsid w:val="008B61AD"/>
    <w:rsid w:val="008C42B4"/>
    <w:rsid w:val="008C5D76"/>
    <w:rsid w:val="008C718D"/>
    <w:rsid w:val="008D3902"/>
    <w:rsid w:val="008E1F82"/>
    <w:rsid w:val="008E57AE"/>
    <w:rsid w:val="00900681"/>
    <w:rsid w:val="0090574E"/>
    <w:rsid w:val="00907FD5"/>
    <w:rsid w:val="00911B2D"/>
    <w:rsid w:val="009126ED"/>
    <w:rsid w:val="0093005F"/>
    <w:rsid w:val="00937FCD"/>
    <w:rsid w:val="00941B81"/>
    <w:rsid w:val="00941ED9"/>
    <w:rsid w:val="00947808"/>
    <w:rsid w:val="00956B58"/>
    <w:rsid w:val="009671CD"/>
    <w:rsid w:val="00974F47"/>
    <w:rsid w:val="009A190D"/>
    <w:rsid w:val="009A3873"/>
    <w:rsid w:val="009A7492"/>
    <w:rsid w:val="009B0982"/>
    <w:rsid w:val="009C4295"/>
    <w:rsid w:val="009C43A8"/>
    <w:rsid w:val="009E46AA"/>
    <w:rsid w:val="009E7159"/>
    <w:rsid w:val="009E7E6A"/>
    <w:rsid w:val="009F0736"/>
    <w:rsid w:val="009F1C74"/>
    <w:rsid w:val="009F2F7C"/>
    <w:rsid w:val="00A03924"/>
    <w:rsid w:val="00A07009"/>
    <w:rsid w:val="00A078A2"/>
    <w:rsid w:val="00A12654"/>
    <w:rsid w:val="00A126BA"/>
    <w:rsid w:val="00A13280"/>
    <w:rsid w:val="00A22369"/>
    <w:rsid w:val="00A2636A"/>
    <w:rsid w:val="00A35E5A"/>
    <w:rsid w:val="00A36778"/>
    <w:rsid w:val="00A37642"/>
    <w:rsid w:val="00A404DE"/>
    <w:rsid w:val="00A4139D"/>
    <w:rsid w:val="00A514A7"/>
    <w:rsid w:val="00A64431"/>
    <w:rsid w:val="00A65522"/>
    <w:rsid w:val="00A706FB"/>
    <w:rsid w:val="00A82241"/>
    <w:rsid w:val="00A84A0D"/>
    <w:rsid w:val="00A872BD"/>
    <w:rsid w:val="00A91AA4"/>
    <w:rsid w:val="00A92EBA"/>
    <w:rsid w:val="00A97CA0"/>
    <w:rsid w:val="00AA409F"/>
    <w:rsid w:val="00AA5235"/>
    <w:rsid w:val="00AA6A48"/>
    <w:rsid w:val="00AC2FA1"/>
    <w:rsid w:val="00AC3DF9"/>
    <w:rsid w:val="00AC55A6"/>
    <w:rsid w:val="00AD34B4"/>
    <w:rsid w:val="00AE26AD"/>
    <w:rsid w:val="00AE34DA"/>
    <w:rsid w:val="00AE7A4C"/>
    <w:rsid w:val="00AF5AF5"/>
    <w:rsid w:val="00B05300"/>
    <w:rsid w:val="00B05E0C"/>
    <w:rsid w:val="00B11BD6"/>
    <w:rsid w:val="00B21809"/>
    <w:rsid w:val="00B22DDA"/>
    <w:rsid w:val="00B267BD"/>
    <w:rsid w:val="00B27A12"/>
    <w:rsid w:val="00B32CE5"/>
    <w:rsid w:val="00B41066"/>
    <w:rsid w:val="00B412C1"/>
    <w:rsid w:val="00B42BD5"/>
    <w:rsid w:val="00B56CE2"/>
    <w:rsid w:val="00B576D3"/>
    <w:rsid w:val="00B62585"/>
    <w:rsid w:val="00B7214F"/>
    <w:rsid w:val="00B724EA"/>
    <w:rsid w:val="00B73F8E"/>
    <w:rsid w:val="00B80BFB"/>
    <w:rsid w:val="00B87179"/>
    <w:rsid w:val="00BA1ABC"/>
    <w:rsid w:val="00BA6F0B"/>
    <w:rsid w:val="00BB7D5F"/>
    <w:rsid w:val="00C11644"/>
    <w:rsid w:val="00C20FAD"/>
    <w:rsid w:val="00C2524E"/>
    <w:rsid w:val="00C44E47"/>
    <w:rsid w:val="00C54601"/>
    <w:rsid w:val="00C54DD0"/>
    <w:rsid w:val="00C57FE7"/>
    <w:rsid w:val="00C60C20"/>
    <w:rsid w:val="00C72300"/>
    <w:rsid w:val="00C729B6"/>
    <w:rsid w:val="00C779DE"/>
    <w:rsid w:val="00C85583"/>
    <w:rsid w:val="00C909AB"/>
    <w:rsid w:val="00C9548D"/>
    <w:rsid w:val="00CA7381"/>
    <w:rsid w:val="00CA7F08"/>
    <w:rsid w:val="00CB71E6"/>
    <w:rsid w:val="00CB783D"/>
    <w:rsid w:val="00CC3571"/>
    <w:rsid w:val="00CC4630"/>
    <w:rsid w:val="00CC5738"/>
    <w:rsid w:val="00CD2356"/>
    <w:rsid w:val="00CF525D"/>
    <w:rsid w:val="00CF5FB3"/>
    <w:rsid w:val="00D073A8"/>
    <w:rsid w:val="00D17E78"/>
    <w:rsid w:val="00D26DDE"/>
    <w:rsid w:val="00D27E5E"/>
    <w:rsid w:val="00D30D64"/>
    <w:rsid w:val="00D31A6B"/>
    <w:rsid w:val="00D32404"/>
    <w:rsid w:val="00D326F7"/>
    <w:rsid w:val="00D3715E"/>
    <w:rsid w:val="00D40450"/>
    <w:rsid w:val="00D50964"/>
    <w:rsid w:val="00D52251"/>
    <w:rsid w:val="00D566B3"/>
    <w:rsid w:val="00D6482F"/>
    <w:rsid w:val="00D701D5"/>
    <w:rsid w:val="00D71299"/>
    <w:rsid w:val="00D802BE"/>
    <w:rsid w:val="00D816F2"/>
    <w:rsid w:val="00D92285"/>
    <w:rsid w:val="00D937FF"/>
    <w:rsid w:val="00DA00AE"/>
    <w:rsid w:val="00DA0D6B"/>
    <w:rsid w:val="00DC601A"/>
    <w:rsid w:val="00DD11AA"/>
    <w:rsid w:val="00DD5588"/>
    <w:rsid w:val="00DE6A9F"/>
    <w:rsid w:val="00DF7D73"/>
    <w:rsid w:val="00E005A1"/>
    <w:rsid w:val="00E01DAA"/>
    <w:rsid w:val="00E12B2F"/>
    <w:rsid w:val="00E27A90"/>
    <w:rsid w:val="00E32364"/>
    <w:rsid w:val="00E37F6D"/>
    <w:rsid w:val="00E41A08"/>
    <w:rsid w:val="00E42FE5"/>
    <w:rsid w:val="00E51AD2"/>
    <w:rsid w:val="00E55048"/>
    <w:rsid w:val="00E56F11"/>
    <w:rsid w:val="00E57350"/>
    <w:rsid w:val="00E70159"/>
    <w:rsid w:val="00E72BEC"/>
    <w:rsid w:val="00E86D0A"/>
    <w:rsid w:val="00E96855"/>
    <w:rsid w:val="00EA10CE"/>
    <w:rsid w:val="00EA1906"/>
    <w:rsid w:val="00EA6508"/>
    <w:rsid w:val="00EB26A1"/>
    <w:rsid w:val="00EB2F99"/>
    <w:rsid w:val="00EC08F1"/>
    <w:rsid w:val="00EC3CA0"/>
    <w:rsid w:val="00EC6B82"/>
    <w:rsid w:val="00ED1D63"/>
    <w:rsid w:val="00ED55EF"/>
    <w:rsid w:val="00ED564E"/>
    <w:rsid w:val="00EF34ED"/>
    <w:rsid w:val="00EF7990"/>
    <w:rsid w:val="00F06822"/>
    <w:rsid w:val="00F0720C"/>
    <w:rsid w:val="00F118E1"/>
    <w:rsid w:val="00F13EB4"/>
    <w:rsid w:val="00F158CF"/>
    <w:rsid w:val="00F15B71"/>
    <w:rsid w:val="00F168D9"/>
    <w:rsid w:val="00F25EB4"/>
    <w:rsid w:val="00F27B1B"/>
    <w:rsid w:val="00F300E1"/>
    <w:rsid w:val="00F30D88"/>
    <w:rsid w:val="00F31A60"/>
    <w:rsid w:val="00F31DC1"/>
    <w:rsid w:val="00F3487F"/>
    <w:rsid w:val="00F366FB"/>
    <w:rsid w:val="00F45427"/>
    <w:rsid w:val="00F51224"/>
    <w:rsid w:val="00F51F66"/>
    <w:rsid w:val="00F66488"/>
    <w:rsid w:val="00F720B4"/>
    <w:rsid w:val="00F7226A"/>
    <w:rsid w:val="00F726C3"/>
    <w:rsid w:val="00F726F4"/>
    <w:rsid w:val="00F74B3E"/>
    <w:rsid w:val="00F74DFF"/>
    <w:rsid w:val="00F767C3"/>
    <w:rsid w:val="00F82265"/>
    <w:rsid w:val="00FA771F"/>
    <w:rsid w:val="00FB18AF"/>
    <w:rsid w:val="00FB3224"/>
    <w:rsid w:val="00FB34CD"/>
    <w:rsid w:val="00FB4382"/>
    <w:rsid w:val="00FC2658"/>
    <w:rsid w:val="00FC517F"/>
    <w:rsid w:val="00FD05C3"/>
    <w:rsid w:val="00FD1D35"/>
    <w:rsid w:val="00FD232C"/>
    <w:rsid w:val="00FD3888"/>
    <w:rsid w:val="00FD5A41"/>
    <w:rsid w:val="00FE1603"/>
    <w:rsid w:val="00FE6E40"/>
    <w:rsid w:val="00FE7C9E"/>
    <w:rsid w:val="00FF0EE7"/>
    <w:rsid w:val="00FF21EC"/>
    <w:rsid w:val="00FF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40"/>
  </w:style>
  <w:style w:type="paragraph" w:styleId="Heading1">
    <w:name w:val="heading 1"/>
    <w:basedOn w:val="Normal"/>
    <w:next w:val="Normal"/>
    <w:link w:val="Heading1Char"/>
    <w:uiPriority w:val="9"/>
    <w:qFormat/>
    <w:rsid w:val="009C42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2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1AA"/>
    <w:rPr>
      <w:sz w:val="20"/>
      <w:szCs w:val="20"/>
    </w:rPr>
  </w:style>
  <w:style w:type="character" w:styleId="FootnoteReference">
    <w:name w:val="footnote reference"/>
    <w:basedOn w:val="DefaultParagraphFont"/>
    <w:unhideWhenUsed/>
    <w:rsid w:val="000A21AA"/>
    <w:rPr>
      <w:vertAlign w:val="superscript"/>
    </w:rPr>
  </w:style>
  <w:style w:type="table" w:styleId="TableGrid">
    <w:name w:val="Table Grid"/>
    <w:basedOn w:val="TableNormal"/>
    <w:uiPriority w:val="59"/>
    <w:rsid w:val="000A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E28EE"/>
    <w:pPr>
      <w:tabs>
        <w:tab w:val="center" w:pos="4680"/>
        <w:tab w:val="right" w:pos="9360"/>
      </w:tabs>
      <w:spacing w:after="0" w:line="240" w:lineRule="auto"/>
    </w:pPr>
  </w:style>
  <w:style w:type="character" w:customStyle="1" w:styleId="HeaderChar">
    <w:name w:val="Header Char"/>
    <w:basedOn w:val="DefaultParagraphFont"/>
    <w:link w:val="Header"/>
    <w:rsid w:val="002E28EE"/>
  </w:style>
  <w:style w:type="paragraph" w:styleId="Footer">
    <w:name w:val="footer"/>
    <w:basedOn w:val="Normal"/>
    <w:link w:val="FooterChar"/>
    <w:uiPriority w:val="99"/>
    <w:unhideWhenUsed/>
    <w:rsid w:val="002E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EE"/>
  </w:style>
  <w:style w:type="character" w:styleId="Hyperlink">
    <w:name w:val="Hyperlink"/>
    <w:basedOn w:val="DefaultParagraphFont"/>
    <w:uiPriority w:val="99"/>
    <w:unhideWhenUsed/>
    <w:rsid w:val="002E28EE"/>
    <w:rPr>
      <w:color w:val="0000FF" w:themeColor="hyperlink"/>
      <w:u w:val="single"/>
    </w:rPr>
  </w:style>
  <w:style w:type="paragraph" w:styleId="ListParagraph">
    <w:name w:val="List Paragraph"/>
    <w:basedOn w:val="Normal"/>
    <w:uiPriority w:val="34"/>
    <w:qFormat/>
    <w:rsid w:val="00197A35"/>
    <w:pPr>
      <w:ind w:left="720"/>
      <w:contextualSpacing/>
    </w:pPr>
  </w:style>
  <w:style w:type="character" w:styleId="CommentReference">
    <w:name w:val="annotation reference"/>
    <w:basedOn w:val="DefaultParagraphFont"/>
    <w:uiPriority w:val="99"/>
    <w:semiHidden/>
    <w:unhideWhenUsed/>
    <w:rsid w:val="00D50964"/>
    <w:rPr>
      <w:sz w:val="16"/>
      <w:szCs w:val="16"/>
    </w:rPr>
  </w:style>
  <w:style w:type="paragraph" w:styleId="CommentText">
    <w:name w:val="annotation text"/>
    <w:basedOn w:val="Normal"/>
    <w:link w:val="CommentTextChar"/>
    <w:uiPriority w:val="99"/>
    <w:semiHidden/>
    <w:unhideWhenUsed/>
    <w:rsid w:val="00D50964"/>
    <w:pPr>
      <w:spacing w:line="240" w:lineRule="auto"/>
    </w:pPr>
    <w:rPr>
      <w:sz w:val="20"/>
      <w:szCs w:val="20"/>
    </w:rPr>
  </w:style>
  <w:style w:type="character" w:customStyle="1" w:styleId="CommentTextChar">
    <w:name w:val="Comment Text Char"/>
    <w:basedOn w:val="DefaultParagraphFont"/>
    <w:link w:val="CommentText"/>
    <w:uiPriority w:val="99"/>
    <w:semiHidden/>
    <w:rsid w:val="00D50964"/>
    <w:rPr>
      <w:sz w:val="20"/>
      <w:szCs w:val="20"/>
    </w:rPr>
  </w:style>
  <w:style w:type="paragraph" w:styleId="CommentSubject">
    <w:name w:val="annotation subject"/>
    <w:basedOn w:val="CommentText"/>
    <w:next w:val="CommentText"/>
    <w:link w:val="CommentSubjectChar"/>
    <w:uiPriority w:val="99"/>
    <w:semiHidden/>
    <w:unhideWhenUsed/>
    <w:rsid w:val="00D50964"/>
    <w:rPr>
      <w:b/>
      <w:bCs/>
    </w:rPr>
  </w:style>
  <w:style w:type="character" w:customStyle="1" w:styleId="CommentSubjectChar">
    <w:name w:val="Comment Subject Char"/>
    <w:basedOn w:val="CommentTextChar"/>
    <w:link w:val="CommentSubject"/>
    <w:uiPriority w:val="99"/>
    <w:semiHidden/>
    <w:rsid w:val="00D50964"/>
    <w:rPr>
      <w:b/>
      <w:bCs/>
      <w:sz w:val="20"/>
      <w:szCs w:val="20"/>
    </w:rPr>
  </w:style>
  <w:style w:type="paragraph" w:styleId="Revision">
    <w:name w:val="Revision"/>
    <w:hidden/>
    <w:uiPriority w:val="99"/>
    <w:semiHidden/>
    <w:rsid w:val="00D50964"/>
    <w:pPr>
      <w:spacing w:after="0" w:line="240" w:lineRule="auto"/>
    </w:pPr>
  </w:style>
  <w:style w:type="paragraph" w:styleId="BalloonText">
    <w:name w:val="Balloon Text"/>
    <w:basedOn w:val="Normal"/>
    <w:link w:val="BalloonTextChar"/>
    <w:uiPriority w:val="99"/>
    <w:semiHidden/>
    <w:unhideWhenUsed/>
    <w:rsid w:val="00D50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64"/>
    <w:rPr>
      <w:rFonts w:ascii="Segoe UI" w:hAnsi="Segoe UI" w:cs="Segoe UI"/>
      <w:sz w:val="18"/>
      <w:szCs w:val="18"/>
    </w:rPr>
  </w:style>
  <w:style w:type="paragraph" w:styleId="BodyTextIndent">
    <w:name w:val="Body Text Indent"/>
    <w:basedOn w:val="Normal"/>
    <w:link w:val="BodyTextIndentChar"/>
    <w:rsid w:val="005D07A4"/>
    <w:pPr>
      <w:widowControl w:val="0"/>
      <w:autoSpaceDE w:val="0"/>
      <w:autoSpaceDN w:val="0"/>
      <w:adjustRightInd w:val="0"/>
      <w:spacing w:after="0" w:line="480" w:lineRule="auto"/>
      <w:ind w:right="-180"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07A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429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C4295"/>
    <w:pPr>
      <w:spacing w:line="259" w:lineRule="auto"/>
      <w:outlineLvl w:val="9"/>
    </w:pPr>
  </w:style>
  <w:style w:type="paragraph" w:styleId="TOC1">
    <w:name w:val="toc 1"/>
    <w:basedOn w:val="Normal"/>
    <w:next w:val="Normal"/>
    <w:autoRedefine/>
    <w:uiPriority w:val="39"/>
    <w:unhideWhenUsed/>
    <w:rsid w:val="009C4295"/>
    <w:pPr>
      <w:spacing w:after="100"/>
    </w:pPr>
  </w:style>
  <w:style w:type="paragraph" w:styleId="BodyTextIndent3">
    <w:name w:val="Body Text Indent 3"/>
    <w:basedOn w:val="Normal"/>
    <w:link w:val="BodyTextIndent3Char"/>
    <w:uiPriority w:val="99"/>
    <w:rsid w:val="00F158CF"/>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F158CF"/>
    <w:rPr>
      <w:rFonts w:ascii="Times New Roman" w:eastAsia="Times New Roman" w:hAnsi="Times New Roman" w:cs="Times New Roman"/>
      <w:sz w:val="16"/>
      <w:szCs w:val="16"/>
      <w:lang w:val="en-GB"/>
    </w:rPr>
  </w:style>
  <w:style w:type="paragraph" w:styleId="BodyText">
    <w:name w:val="Body Text"/>
    <w:basedOn w:val="Normal"/>
    <w:link w:val="BodyTextChar"/>
    <w:uiPriority w:val="99"/>
    <w:semiHidden/>
    <w:unhideWhenUsed/>
    <w:rsid w:val="005B4630"/>
    <w:pPr>
      <w:spacing w:after="120"/>
    </w:pPr>
  </w:style>
  <w:style w:type="character" w:customStyle="1" w:styleId="BodyTextChar">
    <w:name w:val="Body Text Char"/>
    <w:basedOn w:val="DefaultParagraphFont"/>
    <w:link w:val="BodyText"/>
    <w:uiPriority w:val="99"/>
    <w:semiHidden/>
    <w:rsid w:val="005B4630"/>
  </w:style>
  <w:style w:type="paragraph" w:styleId="NormalWeb">
    <w:name w:val="Normal (Web)"/>
    <w:basedOn w:val="Normal"/>
    <w:uiPriority w:val="99"/>
    <w:rsid w:val="00D073A8"/>
    <w:pPr>
      <w:spacing w:before="100" w:beforeAutospacing="1" w:after="100" w:afterAutospacing="1" w:line="336" w:lineRule="atLeast"/>
    </w:pPr>
    <w:rPr>
      <w:rFonts w:ascii="Times New Roman" w:eastAsia="Times New Roman" w:hAnsi="Times New Roman" w:cs="Times New Roman"/>
      <w:sz w:val="24"/>
      <w:szCs w:val="24"/>
      <w:lang w:val="en-GB"/>
    </w:rPr>
  </w:style>
  <w:style w:type="paragraph" w:customStyle="1" w:styleId="heading2fol">
    <w:name w:val="heading2fol"/>
    <w:basedOn w:val="Normal"/>
    <w:next w:val="Normal"/>
    <w:uiPriority w:val="99"/>
    <w:rsid w:val="00B87179"/>
    <w:pPr>
      <w:keepNext/>
      <w:tabs>
        <w:tab w:val="left" w:pos="-720"/>
      </w:tabs>
      <w:suppressAutoHyphens/>
      <w:autoSpaceDE w:val="0"/>
      <w:autoSpaceDN w:val="0"/>
      <w:spacing w:after="0" w:line="240" w:lineRule="auto"/>
    </w:pPr>
    <w:rPr>
      <w:rFonts w:ascii="Times New Roman" w:eastAsia="Times New Roman" w:hAnsi="Times New Roman" w:cs="Times New Roman"/>
      <w:sz w:val="24"/>
      <w:szCs w:val="24"/>
      <w:lang w:val="en-GB"/>
    </w:rPr>
  </w:style>
  <w:style w:type="table" w:customStyle="1" w:styleId="GridTable5Dark-Accent11">
    <w:name w:val="Grid Table 5 Dark - Accent 11"/>
    <w:basedOn w:val="TableNormal"/>
    <w:uiPriority w:val="50"/>
    <w:rsid w:val="00A706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193">
      <w:bodyDiv w:val="1"/>
      <w:marLeft w:val="0"/>
      <w:marRight w:val="0"/>
      <w:marTop w:val="0"/>
      <w:marBottom w:val="0"/>
      <w:divBdr>
        <w:top w:val="none" w:sz="0" w:space="0" w:color="auto"/>
        <w:left w:val="none" w:sz="0" w:space="0" w:color="auto"/>
        <w:bottom w:val="none" w:sz="0" w:space="0" w:color="auto"/>
        <w:right w:val="none" w:sz="0" w:space="0" w:color="auto"/>
      </w:divBdr>
    </w:div>
    <w:div w:id="73015568">
      <w:bodyDiv w:val="1"/>
      <w:marLeft w:val="0"/>
      <w:marRight w:val="0"/>
      <w:marTop w:val="0"/>
      <w:marBottom w:val="0"/>
      <w:divBdr>
        <w:top w:val="none" w:sz="0" w:space="0" w:color="auto"/>
        <w:left w:val="none" w:sz="0" w:space="0" w:color="auto"/>
        <w:bottom w:val="none" w:sz="0" w:space="0" w:color="auto"/>
        <w:right w:val="none" w:sz="0" w:space="0" w:color="auto"/>
      </w:divBdr>
    </w:div>
    <w:div w:id="73939265">
      <w:bodyDiv w:val="1"/>
      <w:marLeft w:val="0"/>
      <w:marRight w:val="0"/>
      <w:marTop w:val="0"/>
      <w:marBottom w:val="0"/>
      <w:divBdr>
        <w:top w:val="none" w:sz="0" w:space="0" w:color="auto"/>
        <w:left w:val="none" w:sz="0" w:space="0" w:color="auto"/>
        <w:bottom w:val="none" w:sz="0" w:space="0" w:color="auto"/>
        <w:right w:val="none" w:sz="0" w:space="0" w:color="auto"/>
      </w:divBdr>
    </w:div>
    <w:div w:id="432634668">
      <w:bodyDiv w:val="1"/>
      <w:marLeft w:val="0"/>
      <w:marRight w:val="0"/>
      <w:marTop w:val="0"/>
      <w:marBottom w:val="0"/>
      <w:divBdr>
        <w:top w:val="none" w:sz="0" w:space="0" w:color="auto"/>
        <w:left w:val="none" w:sz="0" w:space="0" w:color="auto"/>
        <w:bottom w:val="none" w:sz="0" w:space="0" w:color="auto"/>
        <w:right w:val="none" w:sz="0" w:space="0" w:color="auto"/>
      </w:divBdr>
    </w:div>
    <w:div w:id="498422371">
      <w:bodyDiv w:val="1"/>
      <w:marLeft w:val="0"/>
      <w:marRight w:val="0"/>
      <w:marTop w:val="0"/>
      <w:marBottom w:val="0"/>
      <w:divBdr>
        <w:top w:val="none" w:sz="0" w:space="0" w:color="auto"/>
        <w:left w:val="none" w:sz="0" w:space="0" w:color="auto"/>
        <w:bottom w:val="none" w:sz="0" w:space="0" w:color="auto"/>
        <w:right w:val="none" w:sz="0" w:space="0" w:color="auto"/>
      </w:divBdr>
    </w:div>
    <w:div w:id="502015820">
      <w:bodyDiv w:val="1"/>
      <w:marLeft w:val="0"/>
      <w:marRight w:val="0"/>
      <w:marTop w:val="0"/>
      <w:marBottom w:val="0"/>
      <w:divBdr>
        <w:top w:val="none" w:sz="0" w:space="0" w:color="auto"/>
        <w:left w:val="none" w:sz="0" w:space="0" w:color="auto"/>
        <w:bottom w:val="none" w:sz="0" w:space="0" w:color="auto"/>
        <w:right w:val="none" w:sz="0" w:space="0" w:color="auto"/>
      </w:divBdr>
    </w:div>
    <w:div w:id="610666590">
      <w:bodyDiv w:val="1"/>
      <w:marLeft w:val="0"/>
      <w:marRight w:val="0"/>
      <w:marTop w:val="0"/>
      <w:marBottom w:val="0"/>
      <w:divBdr>
        <w:top w:val="none" w:sz="0" w:space="0" w:color="auto"/>
        <w:left w:val="none" w:sz="0" w:space="0" w:color="auto"/>
        <w:bottom w:val="none" w:sz="0" w:space="0" w:color="auto"/>
        <w:right w:val="none" w:sz="0" w:space="0" w:color="auto"/>
      </w:divBdr>
    </w:div>
    <w:div w:id="716509738">
      <w:bodyDiv w:val="1"/>
      <w:marLeft w:val="0"/>
      <w:marRight w:val="0"/>
      <w:marTop w:val="0"/>
      <w:marBottom w:val="0"/>
      <w:divBdr>
        <w:top w:val="none" w:sz="0" w:space="0" w:color="auto"/>
        <w:left w:val="none" w:sz="0" w:space="0" w:color="auto"/>
        <w:bottom w:val="none" w:sz="0" w:space="0" w:color="auto"/>
        <w:right w:val="none" w:sz="0" w:space="0" w:color="auto"/>
      </w:divBdr>
    </w:div>
    <w:div w:id="769930600">
      <w:bodyDiv w:val="1"/>
      <w:marLeft w:val="0"/>
      <w:marRight w:val="0"/>
      <w:marTop w:val="0"/>
      <w:marBottom w:val="0"/>
      <w:divBdr>
        <w:top w:val="none" w:sz="0" w:space="0" w:color="auto"/>
        <w:left w:val="none" w:sz="0" w:space="0" w:color="auto"/>
        <w:bottom w:val="none" w:sz="0" w:space="0" w:color="auto"/>
        <w:right w:val="none" w:sz="0" w:space="0" w:color="auto"/>
      </w:divBdr>
    </w:div>
    <w:div w:id="946696757">
      <w:bodyDiv w:val="1"/>
      <w:marLeft w:val="0"/>
      <w:marRight w:val="0"/>
      <w:marTop w:val="0"/>
      <w:marBottom w:val="0"/>
      <w:divBdr>
        <w:top w:val="none" w:sz="0" w:space="0" w:color="auto"/>
        <w:left w:val="none" w:sz="0" w:space="0" w:color="auto"/>
        <w:bottom w:val="none" w:sz="0" w:space="0" w:color="auto"/>
        <w:right w:val="none" w:sz="0" w:space="0" w:color="auto"/>
      </w:divBdr>
    </w:div>
    <w:div w:id="1324431803">
      <w:bodyDiv w:val="1"/>
      <w:marLeft w:val="0"/>
      <w:marRight w:val="0"/>
      <w:marTop w:val="0"/>
      <w:marBottom w:val="0"/>
      <w:divBdr>
        <w:top w:val="none" w:sz="0" w:space="0" w:color="auto"/>
        <w:left w:val="none" w:sz="0" w:space="0" w:color="auto"/>
        <w:bottom w:val="none" w:sz="0" w:space="0" w:color="auto"/>
        <w:right w:val="none" w:sz="0" w:space="0" w:color="auto"/>
      </w:divBdr>
      <w:divsChild>
        <w:div w:id="1770732173">
          <w:marLeft w:val="0"/>
          <w:marRight w:val="0"/>
          <w:marTop w:val="0"/>
          <w:marBottom w:val="0"/>
          <w:divBdr>
            <w:top w:val="none" w:sz="0" w:space="0" w:color="auto"/>
            <w:left w:val="none" w:sz="0" w:space="0" w:color="auto"/>
            <w:bottom w:val="none" w:sz="0" w:space="0" w:color="auto"/>
            <w:right w:val="none" w:sz="0" w:space="0" w:color="auto"/>
          </w:divBdr>
          <w:divsChild>
            <w:div w:id="1476414395">
              <w:marLeft w:val="0"/>
              <w:marRight w:val="0"/>
              <w:marTop w:val="0"/>
              <w:marBottom w:val="0"/>
              <w:divBdr>
                <w:top w:val="none" w:sz="0" w:space="0" w:color="auto"/>
                <w:left w:val="none" w:sz="0" w:space="0" w:color="auto"/>
                <w:bottom w:val="none" w:sz="0" w:space="0" w:color="auto"/>
                <w:right w:val="none" w:sz="0" w:space="0" w:color="auto"/>
              </w:divBdr>
              <w:divsChild>
                <w:div w:id="147283380">
                  <w:marLeft w:val="0"/>
                  <w:marRight w:val="0"/>
                  <w:marTop w:val="0"/>
                  <w:marBottom w:val="0"/>
                  <w:divBdr>
                    <w:top w:val="none" w:sz="0" w:space="0" w:color="auto"/>
                    <w:left w:val="none" w:sz="0" w:space="0" w:color="auto"/>
                    <w:bottom w:val="none" w:sz="0" w:space="0" w:color="auto"/>
                    <w:right w:val="none" w:sz="0" w:space="0" w:color="auto"/>
                  </w:divBdr>
                  <w:divsChild>
                    <w:div w:id="15430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15516">
      <w:bodyDiv w:val="1"/>
      <w:marLeft w:val="0"/>
      <w:marRight w:val="0"/>
      <w:marTop w:val="0"/>
      <w:marBottom w:val="0"/>
      <w:divBdr>
        <w:top w:val="none" w:sz="0" w:space="0" w:color="auto"/>
        <w:left w:val="none" w:sz="0" w:space="0" w:color="auto"/>
        <w:bottom w:val="none" w:sz="0" w:space="0" w:color="auto"/>
        <w:right w:val="none" w:sz="0" w:space="0" w:color="auto"/>
      </w:divBdr>
    </w:div>
    <w:div w:id="1789156154">
      <w:bodyDiv w:val="1"/>
      <w:marLeft w:val="0"/>
      <w:marRight w:val="0"/>
      <w:marTop w:val="0"/>
      <w:marBottom w:val="0"/>
      <w:divBdr>
        <w:top w:val="none" w:sz="0" w:space="0" w:color="auto"/>
        <w:left w:val="none" w:sz="0" w:space="0" w:color="auto"/>
        <w:bottom w:val="none" w:sz="0" w:space="0" w:color="auto"/>
        <w:right w:val="none" w:sz="0" w:space="0" w:color="auto"/>
      </w:divBdr>
    </w:div>
    <w:div w:id="2086760719">
      <w:bodyDiv w:val="1"/>
      <w:marLeft w:val="0"/>
      <w:marRight w:val="0"/>
      <w:marTop w:val="0"/>
      <w:marBottom w:val="0"/>
      <w:divBdr>
        <w:top w:val="none" w:sz="0" w:space="0" w:color="auto"/>
        <w:left w:val="none" w:sz="0" w:space="0" w:color="auto"/>
        <w:bottom w:val="none" w:sz="0" w:space="0" w:color="auto"/>
        <w:right w:val="none" w:sz="0" w:space="0" w:color="auto"/>
      </w:divBdr>
    </w:div>
    <w:div w:id="210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imensions.edgeresearch.com/e.asp?p=APT1501T&amp;S=C"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130D-5514-4B1F-AF80-58AFE7EB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5D985F-68AA-46D8-8010-636AE696F682}">
  <ds:schemaRefs>
    <ds:schemaRef ds:uri="http://schemas.microsoft.com/sharepoint/v3/contenttype/forms"/>
  </ds:schemaRefs>
</ds:datastoreItem>
</file>

<file path=customXml/itemProps3.xml><?xml version="1.0" encoding="utf-8"?>
<ds:datastoreItem xmlns:ds="http://schemas.openxmlformats.org/officeDocument/2006/customXml" ds:itemID="{0DD20420-4E53-4342-A3B2-3CE5D99BB870}">
  <ds:schemaRefs>
    <ds:schemaRef ds:uri="http://schemas.microsoft.com/office/2006/metadata/properties"/>
    <ds:schemaRef ds:uri="f45687d0-0c5e-4dca-b76b-37fab2d22996"/>
  </ds:schemaRefs>
</ds:datastoreItem>
</file>

<file path=customXml/itemProps4.xml><?xml version="1.0" encoding="utf-8"?>
<ds:datastoreItem xmlns:ds="http://schemas.openxmlformats.org/officeDocument/2006/customXml" ds:itemID="{F9D67329-26B5-4CD7-9DC0-642D1957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Crider</dc:creator>
  <cp:lastModifiedBy>CS</cp:lastModifiedBy>
  <cp:revision>3</cp:revision>
  <cp:lastPrinted>2015-05-05T20:48:00Z</cp:lastPrinted>
  <dcterms:created xsi:type="dcterms:W3CDTF">2015-08-31T18:09:00Z</dcterms:created>
  <dcterms:modified xsi:type="dcterms:W3CDTF">2015-08-31T18:10:00Z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