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693" w:rsidRPr="00617693" w:rsidRDefault="00617693" w:rsidP="00617693">
      <w:pPr>
        <w:jc w:val="center"/>
        <w:rPr>
          <w:b/>
        </w:rPr>
      </w:pPr>
      <w:r w:rsidRPr="00617693">
        <w:rPr>
          <w:b/>
        </w:rPr>
        <w:t>SUPPORTING STATEMENT</w:t>
      </w:r>
    </w:p>
    <w:p w:rsidR="00617693" w:rsidRPr="00617693" w:rsidRDefault="00617693" w:rsidP="00617693">
      <w:pPr>
        <w:jc w:val="center"/>
        <w:rPr>
          <w:b/>
        </w:rPr>
      </w:pPr>
      <w:r w:rsidRPr="00617693">
        <w:rPr>
          <w:b/>
        </w:rPr>
        <w:t xml:space="preserve">NORTHWEST REGION </w:t>
      </w:r>
      <w:r w:rsidR="00BE52C1">
        <w:rPr>
          <w:b/>
        </w:rPr>
        <w:t>GEAR</w:t>
      </w:r>
      <w:r w:rsidRPr="00617693">
        <w:rPr>
          <w:b/>
        </w:rPr>
        <w:t xml:space="preserve"> IDENTIFICATION REQUIREMENTS</w:t>
      </w:r>
    </w:p>
    <w:p w:rsidR="00617693" w:rsidRDefault="00617693" w:rsidP="00617693">
      <w:pPr>
        <w:jc w:val="center"/>
        <w:rPr>
          <w:b/>
        </w:rPr>
      </w:pPr>
      <w:r w:rsidRPr="00617693">
        <w:rPr>
          <w:b/>
        </w:rPr>
        <w:t>OMB CONTROL NO: 0648-035</w:t>
      </w:r>
      <w:r w:rsidR="00BE52C1">
        <w:rPr>
          <w:b/>
        </w:rPr>
        <w:t>2</w:t>
      </w:r>
    </w:p>
    <w:p w:rsidR="00617693" w:rsidRDefault="00617693" w:rsidP="00617693">
      <w:pPr>
        <w:jc w:val="center"/>
        <w:rPr>
          <w:b/>
        </w:rPr>
      </w:pPr>
    </w:p>
    <w:p w:rsidR="00617693" w:rsidRPr="00617693" w:rsidRDefault="00617693" w:rsidP="00617693">
      <w:pPr>
        <w:jc w:val="center"/>
        <w:rPr>
          <w:b/>
        </w:rPr>
      </w:pPr>
    </w:p>
    <w:p w:rsidR="00617693" w:rsidRDefault="00617693" w:rsidP="00617693">
      <w:pPr>
        <w:rPr>
          <w:b/>
        </w:rPr>
      </w:pPr>
      <w:r w:rsidRPr="00617693">
        <w:rPr>
          <w:b/>
        </w:rPr>
        <w:t xml:space="preserve">A. </w:t>
      </w:r>
      <w:r>
        <w:rPr>
          <w:b/>
        </w:rPr>
        <w:t xml:space="preserve"> </w:t>
      </w:r>
      <w:r w:rsidRPr="00617693">
        <w:rPr>
          <w:b/>
        </w:rPr>
        <w:t>JUSTIFICATION</w:t>
      </w:r>
    </w:p>
    <w:p w:rsidR="00617693" w:rsidRPr="00617693" w:rsidRDefault="00617693" w:rsidP="00617693">
      <w:pPr>
        <w:rPr>
          <w:b/>
        </w:rPr>
      </w:pPr>
    </w:p>
    <w:p w:rsidR="00617693" w:rsidRPr="00617693" w:rsidRDefault="00617693" w:rsidP="00617693">
      <w:pPr>
        <w:rPr>
          <w:b/>
          <w:u w:val="single"/>
        </w:rPr>
      </w:pPr>
      <w:r w:rsidRPr="00617693">
        <w:rPr>
          <w:b/>
        </w:rPr>
        <w:t xml:space="preserve">1.  </w:t>
      </w:r>
      <w:r w:rsidRPr="00617693">
        <w:rPr>
          <w:b/>
          <w:u w:val="single"/>
        </w:rPr>
        <w:t>Explain the circumstances that make the collection of information necessary.</w:t>
      </w:r>
    </w:p>
    <w:p w:rsidR="00617693" w:rsidRPr="00617693" w:rsidRDefault="00617693" w:rsidP="00617693">
      <w:pPr>
        <w:rPr>
          <w:u w:val="single"/>
        </w:rPr>
      </w:pPr>
    </w:p>
    <w:p w:rsidR="009E327D" w:rsidRPr="00AF0F13" w:rsidRDefault="009E327D" w:rsidP="009E327D">
      <w:r w:rsidRPr="00AF0F13">
        <w:t xml:space="preserve">This submission requests </w:t>
      </w:r>
      <w:r w:rsidR="00E4467F">
        <w:t xml:space="preserve">revision and extension </w:t>
      </w:r>
      <w:r w:rsidRPr="00AF0F13">
        <w:t xml:space="preserve">of Office of Management and Budget (OMB) approval for gear-marking requirements in the Pacific Coast </w:t>
      </w:r>
      <w:proofErr w:type="spellStart"/>
      <w:r w:rsidRPr="00AF0F13">
        <w:t>Groundfish</w:t>
      </w:r>
      <w:proofErr w:type="spellEnd"/>
      <w:r w:rsidRPr="00AF0F13">
        <w:t xml:space="preserve"> Fishery.</w:t>
      </w:r>
    </w:p>
    <w:p w:rsidR="009E327D" w:rsidRPr="00AF0F13" w:rsidRDefault="009E327D" w:rsidP="009E327D"/>
    <w:p w:rsidR="00617693" w:rsidRDefault="009E327D" w:rsidP="009E327D">
      <w:r w:rsidRPr="00AF0F13">
        <w:t xml:space="preserve">Gear identification requirements are necessary to help ensure the success of fisheries management programs by facilitating fisheries law enforcement efforts. Gear marking is also valuable in actions concerning gear damage, loss, and civil proceedings. The ability to link fishing gear to the vessel owner or operator is crucial to enforcement of regulations issued under the authority of the </w:t>
      </w:r>
      <w:hyperlink r:id="rId7" w:history="1">
        <w:r w:rsidRPr="00754859">
          <w:rPr>
            <w:rStyle w:val="Hyperlink"/>
          </w:rPr>
          <w:t>Magnuson Fishery Conservation and Management Act</w:t>
        </w:r>
      </w:hyperlink>
      <w:r w:rsidRPr="00016D74">
        <w:t xml:space="preserve">. Fixed-gear marking requirements are set forth in the regulations implementing the Pacific Coast </w:t>
      </w:r>
      <w:proofErr w:type="spellStart"/>
      <w:r w:rsidRPr="00016D74">
        <w:t>Groundfish</w:t>
      </w:r>
      <w:proofErr w:type="spellEnd"/>
      <w:r w:rsidRPr="00016D74">
        <w:t xml:space="preserve"> Fisheries Managem</w:t>
      </w:r>
      <w:r w:rsidR="00C976CF" w:rsidRPr="00016D74">
        <w:t xml:space="preserve">ent Plan at 50 CFR </w:t>
      </w:r>
      <w:hyperlink r:id="rId8" w:history="1">
        <w:r w:rsidR="00C976CF" w:rsidRPr="0042624F">
          <w:rPr>
            <w:rStyle w:val="Hyperlink"/>
          </w:rPr>
          <w:t>660.</w:t>
        </w:r>
        <w:r w:rsidR="0042624F" w:rsidRPr="0042624F">
          <w:rPr>
            <w:rStyle w:val="Hyperlink"/>
          </w:rPr>
          <w:t>219</w:t>
        </w:r>
      </w:hyperlink>
      <w:r w:rsidR="003459EF" w:rsidRPr="00016D74">
        <w:t xml:space="preserve"> and </w:t>
      </w:r>
      <w:hyperlink r:id="rId9" w:history="1">
        <w:r w:rsidR="003459EF" w:rsidRPr="0042624F">
          <w:rPr>
            <w:rStyle w:val="Hyperlink"/>
          </w:rPr>
          <w:t>660.</w:t>
        </w:r>
        <w:r w:rsidR="0042624F" w:rsidRPr="0042624F">
          <w:rPr>
            <w:rStyle w:val="Hyperlink"/>
          </w:rPr>
          <w:t>319</w:t>
        </w:r>
      </w:hyperlink>
      <w:r w:rsidR="00754859">
        <w:t>.</w:t>
      </w:r>
      <w:r w:rsidRPr="00016D74">
        <w:t xml:space="preserve"> Gear-marking requirements specify that each type of fixed-gear must be marked with the owner's identifying number.</w:t>
      </w:r>
    </w:p>
    <w:p w:rsidR="0045713E" w:rsidRDefault="0045713E" w:rsidP="009E327D"/>
    <w:p w:rsidR="0045713E" w:rsidRPr="0045713E" w:rsidRDefault="0045713E" w:rsidP="009E327D">
      <w:r>
        <w:t>This request is a revision because revised individual fishing quota (IFQ) trawl fishery regulations at 50 CFR 660.140, per Final Rule 0648-AY68 (</w:t>
      </w:r>
      <w:hyperlink r:id="rId10" w:history="1">
        <w:r w:rsidRPr="00754859">
          <w:rPr>
            <w:rStyle w:val="Hyperlink"/>
          </w:rPr>
          <w:t>75 FR 78344</w:t>
        </w:r>
      </w:hyperlink>
      <w:r>
        <w:t xml:space="preserve">) </w:t>
      </w:r>
      <w:proofErr w:type="gramStart"/>
      <w:r>
        <w:t>allow</w:t>
      </w:r>
      <w:proofErr w:type="gramEnd"/>
      <w:r>
        <w:t xml:space="preserve"> trawl allocation to be harvested with fixed gears. </w:t>
      </w:r>
      <w:r w:rsidRPr="0045713E">
        <w:t>This change adds burden, as explained in Question 15.</w:t>
      </w:r>
    </w:p>
    <w:p w:rsidR="00617693" w:rsidRPr="00E2480E" w:rsidRDefault="00617693" w:rsidP="00617693">
      <w:pPr>
        <w:rPr>
          <w:highlight w:val="blue"/>
        </w:rPr>
      </w:pPr>
    </w:p>
    <w:p w:rsidR="00617693" w:rsidRPr="00AF0F13" w:rsidRDefault="00617693" w:rsidP="00617693">
      <w:pPr>
        <w:rPr>
          <w:b/>
          <w:u w:val="single"/>
        </w:rPr>
      </w:pPr>
      <w:r w:rsidRPr="00AF0F13">
        <w:rPr>
          <w:b/>
        </w:rPr>
        <w:t xml:space="preserve">2.  </w:t>
      </w:r>
      <w:r w:rsidRPr="00AF0F13">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617693" w:rsidRPr="00E2480E" w:rsidRDefault="00617693" w:rsidP="00617693">
      <w:pPr>
        <w:rPr>
          <w:highlight w:val="blue"/>
          <w:u w:val="single"/>
        </w:rPr>
      </w:pPr>
    </w:p>
    <w:p w:rsidR="00754859" w:rsidRDefault="009E327D" w:rsidP="00617693">
      <w:r w:rsidRPr="00D57D39">
        <w:t>The regulations specify that fishing gear must be marked with the vessel's official number, federal permit or tag number, or some other specified form of identification. Law enforcement personnel rely on this information to assure compliance with fisheries management regulations. Gear that is not properly identified is conside</w:t>
      </w:r>
      <w:r w:rsidR="003B693A" w:rsidRPr="00D57D39">
        <w:t>red a violation of Federal regu</w:t>
      </w:r>
      <w:r w:rsidRPr="00D57D39">
        <w:t>lations and is confiscated. The identifying marks on fishing gear is used by the National Marine Fisheries Service (NMFS), United States Coast Guard (USCG), and other marine agencies in issuing violations, prosecutions, and other enforcement actions. Gear marking also helps ensure that a vessel harvests fish only from its own traps/pots/other gear and that traps/pots/other gears are not illegally placed. Properly marked fishing gear facilit</w:t>
      </w:r>
      <w:r w:rsidR="003B693A" w:rsidRPr="00D57D39">
        <w:t>ates</w:t>
      </w:r>
      <w:r w:rsidRPr="00D57D39">
        <w:t xml:space="preserve"> prosecution of gear violations, and enhances cost-effective enforcement. Cooperating fishers also use the gear markings to report placement or occurrence of gear in unauthorized areas. Regulation-compliant fishermen ultimately benefit, as unauthorized and illegal fishing is deterred and more burdensome regulations are avoided. </w:t>
      </w:r>
    </w:p>
    <w:p w:rsidR="00754859" w:rsidRDefault="00754859" w:rsidP="00617693"/>
    <w:p w:rsidR="00617693" w:rsidRPr="00D57D39" w:rsidRDefault="009E327D" w:rsidP="00617693">
      <w:r w:rsidRPr="00D57D39">
        <w:t>The information collected will not be disseminated to the public; as it consists solely of identification on gear, it is not submitted to NMFS.</w:t>
      </w:r>
    </w:p>
    <w:p w:rsidR="00617693" w:rsidRPr="00E2480E" w:rsidRDefault="00617693" w:rsidP="00617693">
      <w:pPr>
        <w:rPr>
          <w:highlight w:val="blue"/>
        </w:rPr>
      </w:pPr>
    </w:p>
    <w:p w:rsidR="00617693" w:rsidRPr="00AF0F13" w:rsidRDefault="00617693" w:rsidP="006902D4">
      <w:pPr>
        <w:keepNext/>
        <w:rPr>
          <w:b/>
          <w:u w:val="single"/>
        </w:rPr>
      </w:pPr>
      <w:proofErr w:type="gramStart"/>
      <w:r w:rsidRPr="00AF0F13">
        <w:rPr>
          <w:b/>
        </w:rPr>
        <w:lastRenderedPageBreak/>
        <w:t xml:space="preserve">3.  </w:t>
      </w:r>
      <w:r w:rsidRPr="00AF0F13">
        <w:rPr>
          <w:b/>
          <w:u w:val="single"/>
        </w:rPr>
        <w:t>Describe whether, and to what extent, the collection of information involves the use of automated, electronic, mechanical, or other technological techniques or other forms of information technology.</w:t>
      </w:r>
      <w:proofErr w:type="gramEnd"/>
    </w:p>
    <w:p w:rsidR="00617693" w:rsidRPr="00AF0F13" w:rsidRDefault="00617693" w:rsidP="006902D4">
      <w:pPr>
        <w:keepNext/>
      </w:pPr>
    </w:p>
    <w:p w:rsidR="00617693" w:rsidRPr="00AF0F13" w:rsidRDefault="009E327D" w:rsidP="006902D4">
      <w:pPr>
        <w:keepNext/>
      </w:pPr>
      <w:r w:rsidRPr="00AF0F13">
        <w:t>The requirement that fixed gear be marked with an identifying number does not lend itself to technology.</w:t>
      </w:r>
    </w:p>
    <w:p w:rsidR="009E327D" w:rsidRPr="00E2480E" w:rsidRDefault="009E327D" w:rsidP="009E327D">
      <w:pPr>
        <w:rPr>
          <w:highlight w:val="blue"/>
        </w:rPr>
      </w:pPr>
    </w:p>
    <w:p w:rsidR="00617693" w:rsidRPr="0038207A" w:rsidRDefault="00617693" w:rsidP="00617693">
      <w:pPr>
        <w:rPr>
          <w:b/>
          <w:u w:val="single"/>
        </w:rPr>
      </w:pPr>
      <w:r w:rsidRPr="0038207A">
        <w:rPr>
          <w:b/>
        </w:rPr>
        <w:t xml:space="preserve">4.  </w:t>
      </w:r>
      <w:r w:rsidRPr="0038207A">
        <w:rPr>
          <w:b/>
          <w:u w:val="single"/>
        </w:rPr>
        <w:t>Describe efforts to identify duplication.</w:t>
      </w:r>
    </w:p>
    <w:p w:rsidR="00617693" w:rsidRPr="0038207A" w:rsidRDefault="00617693" w:rsidP="00617693"/>
    <w:p w:rsidR="00617693" w:rsidRPr="0038207A" w:rsidRDefault="009E327D" w:rsidP="009E327D">
      <w:r w:rsidRPr="0038207A">
        <w:t>Existing Federal and State requirements have been reviewed to ensure that there is no duplication of requirements.</w:t>
      </w:r>
    </w:p>
    <w:p w:rsidR="00617693" w:rsidRPr="0038207A" w:rsidRDefault="00617693" w:rsidP="00617693"/>
    <w:p w:rsidR="00617693" w:rsidRPr="0038207A" w:rsidRDefault="00617693" w:rsidP="00617693">
      <w:pPr>
        <w:rPr>
          <w:b/>
          <w:u w:val="single"/>
        </w:rPr>
      </w:pPr>
      <w:r w:rsidRPr="0038207A">
        <w:rPr>
          <w:b/>
        </w:rPr>
        <w:t xml:space="preserve">5.  </w:t>
      </w:r>
      <w:r w:rsidRPr="0038207A">
        <w:rPr>
          <w:b/>
          <w:u w:val="single"/>
        </w:rPr>
        <w:t>If the collection of information involves small businesses or other small entities, describe the methods used to minimize burden.</w:t>
      </w:r>
    </w:p>
    <w:p w:rsidR="00617693" w:rsidRPr="00E2480E" w:rsidRDefault="00617693" w:rsidP="00617693">
      <w:pPr>
        <w:rPr>
          <w:highlight w:val="blue"/>
        </w:rPr>
      </w:pPr>
    </w:p>
    <w:p w:rsidR="00617693" w:rsidRPr="0038207A" w:rsidRDefault="009E327D" w:rsidP="009E327D">
      <w:r w:rsidRPr="0038207A">
        <w:t>Although nearly all vessels in the respective fisheries are categorized as small businesses, the collection of information will not have a significant economic impact or burden on small businesses in terms of time and resources. Therefore, no special modifications of the requirements were considered necessary.</w:t>
      </w:r>
    </w:p>
    <w:p w:rsidR="009E327D" w:rsidRPr="00E2480E" w:rsidRDefault="009E327D" w:rsidP="009E327D">
      <w:pPr>
        <w:rPr>
          <w:highlight w:val="blue"/>
        </w:rPr>
      </w:pPr>
    </w:p>
    <w:p w:rsidR="00617693" w:rsidRPr="0038207A" w:rsidRDefault="00617693" w:rsidP="00617693">
      <w:pPr>
        <w:rPr>
          <w:b/>
          <w:u w:val="single"/>
        </w:rPr>
      </w:pPr>
      <w:r w:rsidRPr="0038207A">
        <w:rPr>
          <w:b/>
        </w:rPr>
        <w:t xml:space="preserve">6.  </w:t>
      </w:r>
      <w:r w:rsidRPr="0038207A">
        <w:rPr>
          <w:b/>
          <w:u w:val="single"/>
        </w:rPr>
        <w:t>Describe the consequences to the Federal program or policy activities if the collection is not conducted or is conducted less frequently.</w:t>
      </w:r>
    </w:p>
    <w:p w:rsidR="00617693" w:rsidRPr="0038207A" w:rsidRDefault="00617693" w:rsidP="00617693"/>
    <w:p w:rsidR="00617693" w:rsidRPr="0038207A" w:rsidRDefault="009E327D" w:rsidP="009E327D">
      <w:r w:rsidRPr="0038207A">
        <w:t>The NMFS and USCG would not be able to enforce the fishery management measures if the collection is not conducted or is conducted less frequently. The numbers must periodically be maintained to remain legible.</w:t>
      </w:r>
    </w:p>
    <w:p w:rsidR="009E327D" w:rsidRPr="0038207A" w:rsidRDefault="009E327D" w:rsidP="009E327D"/>
    <w:p w:rsidR="00617693" w:rsidRPr="0038207A" w:rsidRDefault="00617693" w:rsidP="00617693">
      <w:pPr>
        <w:rPr>
          <w:b/>
          <w:u w:val="single"/>
        </w:rPr>
      </w:pPr>
      <w:r w:rsidRPr="0038207A">
        <w:rPr>
          <w:b/>
        </w:rPr>
        <w:t xml:space="preserve">7.  </w:t>
      </w:r>
      <w:r w:rsidRPr="0038207A">
        <w:rPr>
          <w:b/>
          <w:u w:val="single"/>
        </w:rPr>
        <w:t>Explain any special circumstances that require the collection to be conducted in a manner inconsistent with OMB guidelines.</w:t>
      </w:r>
    </w:p>
    <w:p w:rsidR="00617693" w:rsidRPr="0038207A" w:rsidRDefault="00617693" w:rsidP="00617693"/>
    <w:p w:rsidR="00617693" w:rsidRPr="0038207A" w:rsidRDefault="00617693" w:rsidP="00617693">
      <w:r w:rsidRPr="0038207A">
        <w:t xml:space="preserve">This collection is consistent with the </w:t>
      </w:r>
      <w:r w:rsidR="009E327D" w:rsidRPr="0038207A">
        <w:t xml:space="preserve">OMB </w:t>
      </w:r>
      <w:r w:rsidRPr="0038207A">
        <w:t>guidelines.</w:t>
      </w:r>
    </w:p>
    <w:p w:rsidR="00617693" w:rsidRPr="00E2480E" w:rsidRDefault="00617693" w:rsidP="00617693">
      <w:pPr>
        <w:rPr>
          <w:highlight w:val="blue"/>
        </w:rPr>
      </w:pPr>
    </w:p>
    <w:p w:rsidR="00617693" w:rsidRPr="0038207A" w:rsidRDefault="00617693" w:rsidP="00617693">
      <w:pPr>
        <w:rPr>
          <w:b/>
          <w:u w:val="single"/>
        </w:rPr>
      </w:pPr>
      <w:r w:rsidRPr="0038207A">
        <w:rPr>
          <w:b/>
        </w:rPr>
        <w:t xml:space="preserve">8.  </w:t>
      </w:r>
      <w:r w:rsidRPr="0038207A">
        <w:rPr>
          <w:b/>
          <w:u w:val="single"/>
        </w:rPr>
        <w:t xml:space="preserve">Provide a copy of the </w:t>
      </w:r>
      <w:r w:rsidR="004F6E8C">
        <w:rPr>
          <w:b/>
          <w:u w:val="single"/>
        </w:rPr>
        <w:t>PRA Federal Register N</w:t>
      </w:r>
      <w:r w:rsidRPr="0038207A">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17693" w:rsidRPr="00E2480E" w:rsidRDefault="00617693" w:rsidP="00617693">
      <w:pPr>
        <w:rPr>
          <w:highlight w:val="blue"/>
        </w:rPr>
      </w:pPr>
    </w:p>
    <w:p w:rsidR="00E4467F" w:rsidRDefault="00E4467F" w:rsidP="00617693">
      <w:r>
        <w:t xml:space="preserve">A </w:t>
      </w:r>
      <w:r w:rsidRPr="004F6E8C">
        <w:rPr>
          <w:u w:val="single"/>
        </w:rPr>
        <w:t>Federal Register</w:t>
      </w:r>
      <w:r>
        <w:t xml:space="preserve"> Notice published </w:t>
      </w:r>
      <w:r w:rsidR="00617693" w:rsidRPr="00D57D39">
        <w:t>on</w:t>
      </w:r>
      <w:r>
        <w:t xml:space="preserve"> August 12, 2011 (76 FR 50180) solicited public comment. No comments were received.</w:t>
      </w:r>
    </w:p>
    <w:p w:rsidR="00E4467F" w:rsidRDefault="00E4467F" w:rsidP="00617693"/>
    <w:p w:rsidR="00617693" w:rsidRPr="00D57D39" w:rsidRDefault="00617693" w:rsidP="00617693">
      <w:r w:rsidRPr="00D57D39">
        <w:t xml:space="preserve"> Consultation outside the agency is assured by the Pacific Coast </w:t>
      </w:r>
      <w:proofErr w:type="spellStart"/>
      <w:r w:rsidRPr="00D57D39">
        <w:t>Groundfish</w:t>
      </w:r>
      <w:proofErr w:type="spellEnd"/>
      <w:r w:rsidRPr="00D57D39">
        <w:t xml:space="preserve"> regulatory </w:t>
      </w:r>
      <w:r w:rsidR="00E4467F">
        <w:t>p</w:t>
      </w:r>
      <w:r w:rsidRPr="00D57D39">
        <w:t xml:space="preserve">rocess, set forth in the Magnuson-Stevens Fishery Conservation and Management Act and implementing regulations (Pacific Coast </w:t>
      </w:r>
      <w:proofErr w:type="spellStart"/>
      <w:r w:rsidRPr="00D57D39">
        <w:t>Groundfish</w:t>
      </w:r>
      <w:proofErr w:type="spellEnd"/>
      <w:r w:rsidRPr="00D57D39">
        <w:t xml:space="preserve"> Fishery Management Plan and 50 CFR 660, Subpart G). </w:t>
      </w:r>
    </w:p>
    <w:p w:rsidR="009E327D" w:rsidRPr="00E2480E" w:rsidRDefault="009E327D" w:rsidP="00617693">
      <w:pPr>
        <w:rPr>
          <w:highlight w:val="blue"/>
        </w:rPr>
      </w:pPr>
    </w:p>
    <w:p w:rsidR="00617693" w:rsidRPr="0038207A" w:rsidRDefault="00617693" w:rsidP="00617693">
      <w:pPr>
        <w:rPr>
          <w:b/>
          <w:u w:val="single"/>
        </w:rPr>
      </w:pPr>
      <w:r w:rsidRPr="0038207A">
        <w:rPr>
          <w:b/>
        </w:rPr>
        <w:lastRenderedPageBreak/>
        <w:t xml:space="preserve">9.  </w:t>
      </w:r>
      <w:r w:rsidRPr="0038207A">
        <w:rPr>
          <w:b/>
          <w:u w:val="single"/>
        </w:rPr>
        <w:t>Explain any decisions to provide payments or gifts to respondents, other than remuneration of contractors or grantees.</w:t>
      </w:r>
    </w:p>
    <w:p w:rsidR="00617693" w:rsidRPr="0038207A" w:rsidRDefault="00617693" w:rsidP="00617693"/>
    <w:p w:rsidR="00617693" w:rsidRPr="0038207A" w:rsidRDefault="00617693" w:rsidP="00617693">
      <w:r w:rsidRPr="0038207A">
        <w:t>No payments or gifts are provided</w:t>
      </w:r>
      <w:r w:rsidR="00F062A5" w:rsidRPr="0038207A">
        <w:t xml:space="preserve"> to respondents</w:t>
      </w:r>
      <w:r w:rsidRPr="0038207A">
        <w:t>.</w:t>
      </w:r>
    </w:p>
    <w:p w:rsidR="00617693" w:rsidRPr="00E2480E" w:rsidRDefault="00617693" w:rsidP="00617693">
      <w:pPr>
        <w:rPr>
          <w:highlight w:val="blue"/>
        </w:rPr>
      </w:pPr>
    </w:p>
    <w:p w:rsidR="00617693" w:rsidRPr="0038207A" w:rsidRDefault="00617693" w:rsidP="00617693">
      <w:pPr>
        <w:rPr>
          <w:b/>
          <w:u w:val="single"/>
        </w:rPr>
      </w:pPr>
      <w:proofErr w:type="gramStart"/>
      <w:r w:rsidRPr="0038207A">
        <w:rPr>
          <w:b/>
        </w:rPr>
        <w:t xml:space="preserve">10.  </w:t>
      </w:r>
      <w:r w:rsidRPr="0038207A">
        <w:rPr>
          <w:b/>
          <w:u w:val="single"/>
        </w:rPr>
        <w:t>Describe any assurance of confidentiality provided to respondents and the basis for assurance in statute, regulation, or agency policy.</w:t>
      </w:r>
      <w:proofErr w:type="gramEnd"/>
    </w:p>
    <w:p w:rsidR="00617693" w:rsidRPr="0038207A" w:rsidRDefault="00617693" w:rsidP="00617693"/>
    <w:p w:rsidR="00617693" w:rsidRPr="0038207A" w:rsidRDefault="00F062A5" w:rsidP="00617693">
      <w:r w:rsidRPr="0038207A">
        <w:t>There is no assurance of confidentiality</w:t>
      </w:r>
      <w:r w:rsidR="00E4467F">
        <w:t>,</w:t>
      </w:r>
      <w:r w:rsidRPr="0038207A">
        <w:t xml:space="preserve"> as this is public information.</w:t>
      </w:r>
    </w:p>
    <w:p w:rsidR="00F062A5" w:rsidRPr="0038207A" w:rsidRDefault="00F062A5" w:rsidP="00617693"/>
    <w:p w:rsidR="00617693" w:rsidRPr="0038207A" w:rsidRDefault="00617693" w:rsidP="00617693">
      <w:pPr>
        <w:rPr>
          <w:b/>
          <w:u w:val="single"/>
        </w:rPr>
      </w:pPr>
      <w:proofErr w:type="gramStart"/>
      <w:r w:rsidRPr="0038207A">
        <w:rPr>
          <w:b/>
        </w:rPr>
        <w:t xml:space="preserve">11.  </w:t>
      </w:r>
      <w:r w:rsidRPr="0038207A">
        <w:rPr>
          <w:b/>
          <w:u w:val="single"/>
        </w:rPr>
        <w:t>Provide additional justification for any questions of a sensitive nature, such as sexual behavior and attitudes, religious beliefs, and other matters that are commonly considered private.</w:t>
      </w:r>
      <w:proofErr w:type="gramEnd"/>
    </w:p>
    <w:p w:rsidR="00617693" w:rsidRPr="0038207A" w:rsidRDefault="00617693" w:rsidP="00617693"/>
    <w:p w:rsidR="00617693" w:rsidRPr="0038207A" w:rsidRDefault="00F062A5" w:rsidP="00617693">
      <w:r w:rsidRPr="0038207A">
        <w:t>There is no information of a sensitive nature in this collection.</w:t>
      </w:r>
    </w:p>
    <w:p w:rsidR="00F062A5" w:rsidRPr="00E2480E" w:rsidRDefault="00F062A5" w:rsidP="00617693">
      <w:pPr>
        <w:rPr>
          <w:highlight w:val="blue"/>
        </w:rPr>
      </w:pPr>
    </w:p>
    <w:p w:rsidR="00617693" w:rsidRPr="0038207A" w:rsidRDefault="00617693" w:rsidP="00617693">
      <w:pPr>
        <w:rPr>
          <w:b/>
        </w:rPr>
      </w:pPr>
      <w:r w:rsidRPr="0038207A">
        <w:rPr>
          <w:b/>
        </w:rPr>
        <w:t xml:space="preserve">12.  </w:t>
      </w:r>
      <w:r w:rsidRPr="0038207A">
        <w:rPr>
          <w:b/>
          <w:u w:val="single"/>
        </w:rPr>
        <w:t>Provide an estimate in hours of the burden of the collection of information.</w:t>
      </w:r>
    </w:p>
    <w:p w:rsidR="00617693" w:rsidRPr="0038207A" w:rsidRDefault="00617693" w:rsidP="00617693"/>
    <w:p w:rsidR="00F062A5" w:rsidRPr="00E2480E" w:rsidRDefault="00F062A5" w:rsidP="00F062A5">
      <w:pPr>
        <w:rPr>
          <w:highlight w:val="blue"/>
        </w:rPr>
      </w:pPr>
      <w:r w:rsidRPr="00363F5D">
        <w:t xml:space="preserve">The estimated total number of vessels affected is </w:t>
      </w:r>
      <w:r w:rsidR="00186125">
        <w:t>946</w:t>
      </w:r>
      <w:r w:rsidR="00E4467F">
        <w:t>.</w:t>
      </w:r>
      <w:r w:rsidR="00186125">
        <w:t xml:space="preserve"> </w:t>
      </w:r>
      <w:r w:rsidRPr="00363F5D">
        <w:t xml:space="preserve">There are three types of </w:t>
      </w:r>
      <w:proofErr w:type="spellStart"/>
      <w:r w:rsidRPr="00363F5D">
        <w:t>groundfish</w:t>
      </w:r>
      <w:proofErr w:type="spellEnd"/>
      <w:r w:rsidRPr="00363F5D">
        <w:t xml:space="preserve"> vessels, which use the types of gear (</w:t>
      </w:r>
      <w:proofErr w:type="spellStart"/>
      <w:r w:rsidR="00363F5D" w:rsidRPr="00363F5D">
        <w:rPr>
          <w:rFonts w:ascii="TimesNewRomanPSMT" w:hAnsi="TimesNewRomanPSMT" w:cs="TimesNewRomanPSMT"/>
        </w:rPr>
        <w:t>longline</w:t>
      </w:r>
      <w:proofErr w:type="spellEnd"/>
      <w:r w:rsidR="00363F5D">
        <w:rPr>
          <w:rFonts w:ascii="TimesNewRomanPSMT" w:hAnsi="TimesNewRomanPSMT" w:cs="TimesNewRomanPSMT"/>
        </w:rPr>
        <w:t>, trap or pot, set net and stationary hook-and-line gear, including commercial vertical hook-and-line gear</w:t>
      </w:r>
      <w:r w:rsidRPr="00363F5D">
        <w:t>) that must be marked. Each vessel had a unique number of markings required because of variation in the gear. Estimating the total number of marks in the fleet as</w:t>
      </w:r>
      <w:r w:rsidR="00186125">
        <w:t xml:space="preserve"> 15,190 </w:t>
      </w:r>
      <w:r w:rsidRPr="00186125">
        <w:t>a</w:t>
      </w:r>
      <w:r w:rsidRPr="00817C10">
        <w:t xml:space="preserve">nd 15 minutes per marking, the burden is estimated to be </w:t>
      </w:r>
      <w:r w:rsidR="00186125">
        <w:t>3,</w:t>
      </w:r>
      <w:r w:rsidR="00186125" w:rsidRPr="00186125">
        <w:t>798</w:t>
      </w:r>
      <w:r w:rsidRPr="00186125">
        <w:t xml:space="preserve"> hours</w:t>
      </w:r>
      <w:r w:rsidR="00E4467F">
        <w:t xml:space="preserve"> </w:t>
      </w:r>
      <w:r w:rsidR="00E4467F" w:rsidRPr="00186125">
        <w:t>(please refer to Table 1 for details)</w:t>
      </w:r>
      <w:r w:rsidRPr="00186125">
        <w:t>.</w:t>
      </w:r>
    </w:p>
    <w:p w:rsidR="00F062A5" w:rsidRPr="00E2480E" w:rsidRDefault="00F062A5" w:rsidP="00F062A5">
      <w:pPr>
        <w:rPr>
          <w:highlight w:val="blue"/>
        </w:rPr>
      </w:pPr>
    </w:p>
    <w:p w:rsidR="00617693" w:rsidRPr="00E2480E" w:rsidRDefault="00817C10" w:rsidP="00F062A5">
      <w:pPr>
        <w:rPr>
          <w:highlight w:val="blue"/>
        </w:rPr>
      </w:pPr>
      <w:r w:rsidRPr="009D67DD">
        <w:t xml:space="preserve">Labor costs </w:t>
      </w:r>
      <w:r>
        <w:t xml:space="preserve">in the fishing industry </w:t>
      </w:r>
      <w:r w:rsidRPr="009D67DD">
        <w:t>are estimated at $15 per hour</w:t>
      </w:r>
      <w:r>
        <w:t xml:space="preserve"> (</w:t>
      </w:r>
      <w:hyperlink r:id="rId11" w:history="1">
        <w:r w:rsidRPr="007C1DC5">
          <w:rPr>
            <w:rStyle w:val="Hyperlink"/>
          </w:rPr>
          <w:t>www.workforceexplorer.com</w:t>
        </w:r>
      </w:hyperlink>
      <w:r>
        <w:t xml:space="preserve">). </w:t>
      </w:r>
      <w:r w:rsidRPr="00817C10">
        <w:t>Fifteen</w:t>
      </w:r>
      <w:r w:rsidR="00F062A5" w:rsidRPr="00817C10">
        <w:t xml:space="preserve"> dollars per hour multiplied by </w:t>
      </w:r>
      <w:r w:rsidR="00186125">
        <w:t xml:space="preserve">3,798 </w:t>
      </w:r>
      <w:r w:rsidR="00F062A5" w:rsidRPr="00817C10">
        <w:t xml:space="preserve">burden hours equals approximately </w:t>
      </w:r>
      <w:r w:rsidR="00186125">
        <w:t>$56,970.</w:t>
      </w:r>
    </w:p>
    <w:p w:rsidR="00F062A5" w:rsidRPr="00E2480E" w:rsidRDefault="00F062A5" w:rsidP="00F062A5">
      <w:pPr>
        <w:rPr>
          <w:highlight w:val="blue"/>
        </w:rPr>
      </w:pPr>
    </w:p>
    <w:p w:rsidR="00617693" w:rsidRPr="0038207A" w:rsidRDefault="00617693" w:rsidP="00617693">
      <w:pPr>
        <w:rPr>
          <w:b/>
        </w:rPr>
      </w:pPr>
      <w:r w:rsidRPr="0038207A">
        <w:rPr>
          <w:b/>
        </w:rPr>
        <w:t xml:space="preserve">13.  </w:t>
      </w:r>
      <w:r w:rsidRPr="0038207A">
        <w:rPr>
          <w:b/>
          <w:u w:val="single"/>
        </w:rPr>
        <w:t xml:space="preserve">Provide an estimate of the total annual cost burden to the respondents or </w:t>
      </w:r>
      <w:proofErr w:type="spellStart"/>
      <w:r w:rsidRPr="0038207A">
        <w:rPr>
          <w:b/>
          <w:u w:val="single"/>
        </w:rPr>
        <w:t>recordkeepers</w:t>
      </w:r>
      <w:proofErr w:type="spellEnd"/>
      <w:r w:rsidRPr="0038207A">
        <w:rPr>
          <w:b/>
          <w:u w:val="single"/>
        </w:rPr>
        <w:t xml:space="preserve"> resulting from the collection (excluding the value of the burden hours in </w:t>
      </w:r>
      <w:r w:rsidR="00E4467F">
        <w:rPr>
          <w:b/>
          <w:u w:val="single"/>
        </w:rPr>
        <w:t xml:space="preserve">Question </w:t>
      </w:r>
      <w:r w:rsidRPr="0038207A">
        <w:rPr>
          <w:b/>
          <w:u w:val="single"/>
        </w:rPr>
        <w:t>12 above).</w:t>
      </w:r>
    </w:p>
    <w:p w:rsidR="00617693" w:rsidRPr="00E2480E" w:rsidRDefault="00617693" w:rsidP="00617693">
      <w:pPr>
        <w:rPr>
          <w:highlight w:val="blue"/>
        </w:rPr>
      </w:pPr>
    </w:p>
    <w:p w:rsidR="00617693" w:rsidRPr="00E2480E" w:rsidRDefault="00F062A5" w:rsidP="00617693">
      <w:pPr>
        <w:rPr>
          <w:highlight w:val="blue"/>
        </w:rPr>
      </w:pPr>
      <w:r w:rsidRPr="00363F5D">
        <w:t>The materials needed are paint and a paintbrush, or permanent ink applicator, and possibly a stencil. With most traps or pots, marking is done by means of a commercially available plastic tag that is fastened to the trap/pot by thin strands of wire and this tag number identifies t</w:t>
      </w:r>
      <w:r w:rsidR="003B693A" w:rsidRPr="00363F5D">
        <w:t>he owner of the trap/po</w:t>
      </w:r>
      <w:r w:rsidRPr="00363F5D">
        <w:t xml:space="preserve">t. </w:t>
      </w:r>
      <w:r w:rsidRPr="00B76BD5">
        <w:t xml:space="preserve">The total number of marks in the fleet is estimated at </w:t>
      </w:r>
      <w:r w:rsidR="000A3A5A">
        <w:t>15,190</w:t>
      </w:r>
      <w:r w:rsidR="003B693A" w:rsidRPr="000A3A5A">
        <w:t xml:space="preserve"> (</w:t>
      </w:r>
      <w:r w:rsidR="003B693A" w:rsidRPr="00B76BD5">
        <w:t>please refer to T</w:t>
      </w:r>
      <w:r w:rsidRPr="00B76BD5">
        <w:t>able</w:t>
      </w:r>
      <w:r w:rsidR="003B693A" w:rsidRPr="00B76BD5">
        <w:t xml:space="preserve"> 1</w:t>
      </w:r>
      <w:r w:rsidRPr="00B76BD5">
        <w:t xml:space="preserve"> for details), </w:t>
      </w:r>
      <w:r w:rsidR="00E4467F">
        <w:t xml:space="preserve">and </w:t>
      </w:r>
      <w:r w:rsidRPr="00B76BD5">
        <w:t>the average cost per marking is approximately $</w:t>
      </w:r>
      <w:r w:rsidR="00E4467F">
        <w:t>0</w:t>
      </w:r>
      <w:r w:rsidRPr="00B76BD5">
        <w:t xml:space="preserve">.25. Therefore, the total annual cost burden </w:t>
      </w:r>
      <w:r w:rsidRPr="000A3A5A">
        <w:t>is $</w:t>
      </w:r>
      <w:r w:rsidR="000A3A5A" w:rsidRPr="000A3A5A">
        <w:t>3</w:t>
      </w:r>
      <w:r w:rsidR="000A3A5A">
        <w:t>,79</w:t>
      </w:r>
      <w:r w:rsidR="000A3A5A" w:rsidRPr="000A3A5A">
        <w:t>8</w:t>
      </w:r>
      <w:r w:rsidRPr="000A3A5A">
        <w:t>.</w:t>
      </w:r>
    </w:p>
    <w:p w:rsidR="00F062A5" w:rsidRPr="0038207A" w:rsidRDefault="00F062A5" w:rsidP="00617693"/>
    <w:p w:rsidR="00617693" w:rsidRPr="0038207A" w:rsidRDefault="00617693" w:rsidP="00617693">
      <w:pPr>
        <w:rPr>
          <w:b/>
          <w:u w:val="single"/>
        </w:rPr>
      </w:pPr>
      <w:r w:rsidRPr="0038207A">
        <w:rPr>
          <w:b/>
        </w:rPr>
        <w:t xml:space="preserve">14.  </w:t>
      </w:r>
      <w:r w:rsidRPr="0038207A">
        <w:rPr>
          <w:b/>
          <w:u w:val="single"/>
        </w:rPr>
        <w:t>Provide estimates of annualized cost to the Federal government.</w:t>
      </w:r>
    </w:p>
    <w:p w:rsidR="00617693" w:rsidRPr="0038207A" w:rsidRDefault="00617693" w:rsidP="00617693">
      <w:pPr>
        <w:rPr>
          <w:u w:val="single"/>
        </w:rPr>
      </w:pPr>
    </w:p>
    <w:p w:rsidR="00617693" w:rsidRPr="0038207A" w:rsidRDefault="003F7BBD" w:rsidP="00617693">
      <w:r w:rsidRPr="0038207A">
        <w:t>There would be no Federal cost associated with this collection because marking verification would be included as part of other enforcement actions and no information is received to process.</w:t>
      </w:r>
    </w:p>
    <w:p w:rsidR="003F7BBD" w:rsidRPr="00E2480E" w:rsidRDefault="003F7BBD" w:rsidP="00617693">
      <w:pPr>
        <w:rPr>
          <w:highlight w:val="blue"/>
        </w:rPr>
      </w:pPr>
    </w:p>
    <w:p w:rsidR="00617693" w:rsidRPr="00405772" w:rsidRDefault="00617693" w:rsidP="00617693">
      <w:pPr>
        <w:rPr>
          <w:b/>
          <w:u w:val="single"/>
        </w:rPr>
      </w:pPr>
      <w:r w:rsidRPr="00405772">
        <w:rPr>
          <w:b/>
        </w:rPr>
        <w:t xml:space="preserve">15. </w:t>
      </w:r>
      <w:r w:rsidR="00BE66C7" w:rsidRPr="00405772">
        <w:rPr>
          <w:b/>
        </w:rPr>
        <w:t xml:space="preserve"> </w:t>
      </w:r>
      <w:r w:rsidRPr="00405772">
        <w:rPr>
          <w:b/>
          <w:u w:val="single"/>
        </w:rPr>
        <w:t>Explain the reasons for any program changes or adj</w:t>
      </w:r>
      <w:r w:rsidR="00E4467F">
        <w:rPr>
          <w:b/>
          <w:u w:val="single"/>
        </w:rPr>
        <w:t>ustments</w:t>
      </w:r>
      <w:r w:rsidRPr="00405772">
        <w:rPr>
          <w:b/>
          <w:u w:val="single"/>
        </w:rPr>
        <w:t>.</w:t>
      </w:r>
    </w:p>
    <w:p w:rsidR="00617693" w:rsidRPr="00405772" w:rsidRDefault="00617693" w:rsidP="00617693"/>
    <w:p w:rsidR="00C33A9D" w:rsidRPr="00754859" w:rsidRDefault="00910FC8" w:rsidP="00617693">
      <w:pPr>
        <w:rPr>
          <w:b/>
        </w:rPr>
      </w:pPr>
      <w:r w:rsidRPr="00910FC8">
        <w:rPr>
          <w:b/>
        </w:rPr>
        <w:t>Program change:</w:t>
      </w:r>
      <w:r w:rsidR="00A570DD">
        <w:t xml:space="preserve"> </w:t>
      </w:r>
      <w:r w:rsidR="00754859">
        <w:t>Revised</w:t>
      </w:r>
      <w:r w:rsidR="00F9425C">
        <w:t xml:space="preserve"> </w:t>
      </w:r>
      <w:r w:rsidR="00476CFA">
        <w:t>individual fishing quota (</w:t>
      </w:r>
      <w:r w:rsidR="00F9425C">
        <w:t>IFQ</w:t>
      </w:r>
      <w:r w:rsidR="00476CFA">
        <w:t>)</w:t>
      </w:r>
      <w:r w:rsidR="00F9425C">
        <w:t xml:space="preserve"> trawl fishery</w:t>
      </w:r>
      <w:r w:rsidR="00C33A9D">
        <w:t xml:space="preserve"> regulations</w:t>
      </w:r>
      <w:r w:rsidR="00754859">
        <w:t xml:space="preserve"> at 50 CFR 6</w:t>
      </w:r>
      <w:r w:rsidR="00944D52">
        <w:t>60.140, per Final Rule 0648-AY68</w:t>
      </w:r>
      <w:r w:rsidR="00754859">
        <w:t xml:space="preserve"> (</w:t>
      </w:r>
      <w:hyperlink r:id="rId12" w:history="1">
        <w:r w:rsidR="00754859" w:rsidRPr="00754859">
          <w:rPr>
            <w:rStyle w:val="Hyperlink"/>
          </w:rPr>
          <w:t>75 FR 78344</w:t>
        </w:r>
      </w:hyperlink>
      <w:r w:rsidR="00754859">
        <w:t>)</w:t>
      </w:r>
      <w:r w:rsidR="00F9425C">
        <w:t xml:space="preserve"> </w:t>
      </w:r>
      <w:proofErr w:type="gramStart"/>
      <w:r w:rsidR="00F9425C">
        <w:t>allow</w:t>
      </w:r>
      <w:proofErr w:type="gramEnd"/>
      <w:r w:rsidR="00F9425C">
        <w:t xml:space="preserve"> trawl allocation to be harvested with </w:t>
      </w:r>
      <w:r w:rsidR="00F9425C">
        <w:lastRenderedPageBreak/>
        <w:t xml:space="preserve">fixed gears. </w:t>
      </w:r>
      <w:r w:rsidR="00C33A9D" w:rsidRPr="00754859">
        <w:rPr>
          <w:b/>
        </w:rPr>
        <w:t xml:space="preserve">Thus, 20 of the limited entry vessels would have up to a total of 400 additional pieces of gear to mark, adding 100 hours and $100.  </w:t>
      </w:r>
    </w:p>
    <w:p w:rsidR="00C33A9D" w:rsidRDefault="00C33A9D" w:rsidP="00617693"/>
    <w:p w:rsidR="00295C8D" w:rsidRDefault="00910FC8" w:rsidP="00617693">
      <w:r w:rsidRPr="00910FC8">
        <w:rPr>
          <w:b/>
        </w:rPr>
        <w:t>Adjustments:</w:t>
      </w:r>
      <w:r w:rsidR="00A570DD">
        <w:t xml:space="preserve"> </w:t>
      </w:r>
    </w:p>
    <w:p w:rsidR="00295C8D" w:rsidRDefault="00295C8D" w:rsidP="00617693"/>
    <w:p w:rsidR="00295C8D" w:rsidRDefault="00F9425C" w:rsidP="00617693">
      <w:r>
        <w:t>Open access fishery values were updated to reflect most recent participation level</w:t>
      </w:r>
      <w:r w:rsidR="00D05957">
        <w:t xml:space="preserve">s: </w:t>
      </w:r>
      <w:r w:rsidR="00295C8D">
        <w:t>an increase of 286 vessels, from 409 to 695, increasing markings from 4,61</w:t>
      </w:r>
      <w:r w:rsidR="00FE5516">
        <w:t>7 to 10,</w:t>
      </w:r>
      <w:r w:rsidR="00295C8D">
        <w:t>490</w:t>
      </w:r>
      <w:r w:rsidR="00FE5516">
        <w:t xml:space="preserve"> (difference of 5,87</w:t>
      </w:r>
      <w:r w:rsidR="0004088D">
        <w:t xml:space="preserve">3), </w:t>
      </w:r>
      <w:r w:rsidR="00FE5516">
        <w:t>hours from 1,154 to 2,623 (difference of 1,469)</w:t>
      </w:r>
      <w:r w:rsidR="0004088D">
        <w:t xml:space="preserve"> and costs from $1,154 to $2,263 (same difference)</w:t>
      </w:r>
      <w:r>
        <w:t xml:space="preserve">.  </w:t>
      </w:r>
    </w:p>
    <w:p w:rsidR="00295C8D" w:rsidRDefault="00295C8D" w:rsidP="00617693"/>
    <w:p w:rsidR="00295C8D" w:rsidRDefault="00F9425C" w:rsidP="00617693">
      <w:r>
        <w:t xml:space="preserve">Limited entry </w:t>
      </w:r>
      <w:proofErr w:type="spellStart"/>
      <w:r>
        <w:t>longline</w:t>
      </w:r>
      <w:proofErr w:type="spellEnd"/>
      <w:r>
        <w:t xml:space="preserve"> permits can be stacked and </w:t>
      </w:r>
      <w:proofErr w:type="spellStart"/>
      <w:r>
        <w:t>unstacked</w:t>
      </w:r>
      <w:proofErr w:type="spellEnd"/>
      <w:r w:rsidR="00E4467F">
        <w:t xml:space="preserve"> at the permit owner’s discret</w:t>
      </w:r>
      <w:r w:rsidR="00285B43">
        <w:t>ion</w:t>
      </w:r>
      <w:r>
        <w:t xml:space="preserve">.  </w:t>
      </w:r>
    </w:p>
    <w:p w:rsidR="00295C8D" w:rsidRDefault="00F9425C" w:rsidP="00617693">
      <w:r>
        <w:t>The numbers were revised to reflect the largest number</w:t>
      </w:r>
      <w:r w:rsidR="00E4467F">
        <w:t xml:space="preserve"> of markings,</w:t>
      </w:r>
      <w:r>
        <w:t xml:space="preserve"> should all permits be </w:t>
      </w:r>
      <w:proofErr w:type="spellStart"/>
      <w:r>
        <w:t>unstacked</w:t>
      </w:r>
      <w:proofErr w:type="spellEnd"/>
      <w:r w:rsidR="00C33A9D">
        <w:t xml:space="preserve"> (that is, all </w:t>
      </w:r>
      <w:proofErr w:type="spellStart"/>
      <w:r w:rsidR="00C33A9D">
        <w:t>longline</w:t>
      </w:r>
      <w:proofErr w:type="spellEnd"/>
      <w:r w:rsidR="00C33A9D">
        <w:t xml:space="preserve"> permits in use)</w:t>
      </w:r>
      <w:r>
        <w:t>.</w:t>
      </w:r>
      <w:r w:rsidR="00295C8D">
        <w:t xml:space="preserve"> </w:t>
      </w:r>
      <w:r w:rsidR="00FE5516">
        <w:t xml:space="preserve">This adjustment added </w:t>
      </w:r>
      <w:r w:rsidR="004041C7">
        <w:t>1,7</w:t>
      </w:r>
      <w:r w:rsidR="00D05957">
        <w:t>4</w:t>
      </w:r>
      <w:r w:rsidR="004041C7">
        <w:t>0 markings, 4</w:t>
      </w:r>
      <w:r w:rsidR="00D05957">
        <w:t>35</w:t>
      </w:r>
      <w:r w:rsidR="004041C7">
        <w:t xml:space="preserve"> </w:t>
      </w:r>
      <w:r w:rsidR="00FE5516">
        <w:t>hours</w:t>
      </w:r>
      <w:r w:rsidR="004041C7">
        <w:t xml:space="preserve"> and $4</w:t>
      </w:r>
      <w:r w:rsidR="00D05957">
        <w:t xml:space="preserve">35 </w:t>
      </w:r>
      <w:r w:rsidR="004041C7">
        <w:t>for the existing 199 permits</w:t>
      </w:r>
      <w:r w:rsidR="00D05957">
        <w:t xml:space="preserve"> (from 2,240 to 3,980 markings, from 560 to 995 hours and from $560 to $995).</w:t>
      </w:r>
      <w:r w:rsidR="00FE5516">
        <w:t xml:space="preserve"> </w:t>
      </w:r>
    </w:p>
    <w:p w:rsidR="009A0091" w:rsidRDefault="009A0091" w:rsidP="00617693"/>
    <w:p w:rsidR="009A0091" w:rsidRDefault="002D0738" w:rsidP="00617693">
      <w:r>
        <w:t>Additional minor adjustments added 50 markings, 12 hours and $12.</w:t>
      </w:r>
    </w:p>
    <w:p w:rsidR="00295C8D" w:rsidRDefault="00295C8D" w:rsidP="00617693"/>
    <w:p w:rsidR="00617693" w:rsidRPr="00754859" w:rsidRDefault="00754859" w:rsidP="00617693">
      <w:pPr>
        <w:rPr>
          <w:b/>
        </w:rPr>
      </w:pPr>
      <w:r w:rsidRPr="00754859">
        <w:rPr>
          <w:b/>
        </w:rPr>
        <w:t>Total c</w:t>
      </w:r>
      <w:r w:rsidR="00295C8D" w:rsidRPr="00754859">
        <w:rPr>
          <w:b/>
        </w:rPr>
        <w:t xml:space="preserve">hanges due to adjustments: </w:t>
      </w:r>
      <w:r w:rsidR="004041C7" w:rsidRPr="00754859">
        <w:rPr>
          <w:b/>
        </w:rPr>
        <w:t xml:space="preserve">a </w:t>
      </w:r>
      <w:r w:rsidR="00295C8D" w:rsidRPr="00754859">
        <w:rPr>
          <w:b/>
        </w:rPr>
        <w:t>total of 7,</w:t>
      </w:r>
      <w:r w:rsidR="009A0091" w:rsidRPr="00754859">
        <w:rPr>
          <w:b/>
        </w:rPr>
        <w:t>6</w:t>
      </w:r>
      <w:r w:rsidR="00295C8D" w:rsidRPr="00754859">
        <w:rPr>
          <w:b/>
        </w:rPr>
        <w:t xml:space="preserve">63 markings </w:t>
      </w:r>
      <w:proofErr w:type="gramStart"/>
      <w:r w:rsidR="00295C8D" w:rsidRPr="00754859">
        <w:rPr>
          <w:b/>
        </w:rPr>
        <w:t>was</w:t>
      </w:r>
      <w:proofErr w:type="gramEnd"/>
      <w:r w:rsidR="00295C8D" w:rsidRPr="00754859">
        <w:rPr>
          <w:b/>
        </w:rPr>
        <w:t xml:space="preserve"> added, with a burden of 1,916 hours, at a cost of $1,916.</w:t>
      </w:r>
    </w:p>
    <w:p w:rsidR="00617693" w:rsidRPr="00E2480E" w:rsidRDefault="00617693" w:rsidP="00617693">
      <w:pPr>
        <w:rPr>
          <w:highlight w:val="blue"/>
        </w:rPr>
      </w:pPr>
    </w:p>
    <w:p w:rsidR="00617693" w:rsidRPr="00405772" w:rsidRDefault="00617693" w:rsidP="00617693">
      <w:pPr>
        <w:rPr>
          <w:b/>
          <w:u w:val="single"/>
        </w:rPr>
      </w:pPr>
      <w:r w:rsidRPr="00405772">
        <w:rPr>
          <w:b/>
        </w:rPr>
        <w:t xml:space="preserve">16. </w:t>
      </w:r>
      <w:r w:rsidR="00BE66C7" w:rsidRPr="00405772">
        <w:rPr>
          <w:b/>
        </w:rPr>
        <w:t xml:space="preserve"> </w:t>
      </w:r>
      <w:r w:rsidRPr="00405772">
        <w:rPr>
          <w:b/>
          <w:u w:val="single"/>
        </w:rPr>
        <w:t>For collections whose results will be published, outline the plans for tabulation and</w:t>
      </w:r>
      <w:r w:rsidR="00BE66C7" w:rsidRPr="00405772">
        <w:rPr>
          <w:b/>
          <w:u w:val="single"/>
        </w:rPr>
        <w:t xml:space="preserve"> </w:t>
      </w:r>
      <w:r w:rsidRPr="00405772">
        <w:rPr>
          <w:b/>
          <w:u w:val="single"/>
        </w:rPr>
        <w:t>publication.</w:t>
      </w:r>
    </w:p>
    <w:p w:rsidR="00BE66C7" w:rsidRPr="00405772" w:rsidRDefault="00BE66C7" w:rsidP="00617693"/>
    <w:p w:rsidR="00617693" w:rsidRPr="00405772" w:rsidRDefault="00617693" w:rsidP="00617693">
      <w:r w:rsidRPr="00405772">
        <w:t>No results are published.</w:t>
      </w:r>
    </w:p>
    <w:p w:rsidR="00BE66C7" w:rsidRPr="00E2480E" w:rsidRDefault="00BE66C7" w:rsidP="00617693">
      <w:pPr>
        <w:rPr>
          <w:highlight w:val="blue"/>
        </w:rPr>
      </w:pPr>
    </w:p>
    <w:p w:rsidR="00617693" w:rsidRPr="00405772" w:rsidRDefault="00617693" w:rsidP="00617693">
      <w:pPr>
        <w:rPr>
          <w:b/>
          <w:u w:val="single"/>
        </w:rPr>
      </w:pPr>
      <w:r w:rsidRPr="00405772">
        <w:rPr>
          <w:b/>
        </w:rPr>
        <w:t>17.</w:t>
      </w:r>
      <w:r w:rsidR="00BE66C7" w:rsidRPr="00405772">
        <w:rPr>
          <w:b/>
        </w:rPr>
        <w:t xml:space="preserve"> </w:t>
      </w:r>
      <w:r w:rsidRPr="00405772">
        <w:rPr>
          <w:b/>
        </w:rPr>
        <w:t xml:space="preserve"> </w:t>
      </w:r>
      <w:proofErr w:type="gramStart"/>
      <w:r w:rsidRPr="00405772">
        <w:rPr>
          <w:b/>
          <w:u w:val="single"/>
        </w:rPr>
        <w:t>If</w:t>
      </w:r>
      <w:proofErr w:type="gramEnd"/>
      <w:r w:rsidRPr="00405772">
        <w:rPr>
          <w:b/>
          <w:u w:val="single"/>
        </w:rPr>
        <w:t xml:space="preserve"> seeking approval to not display the expiration date for OMB approval of the</w:t>
      </w:r>
      <w:r w:rsidR="00BE66C7" w:rsidRPr="00405772">
        <w:rPr>
          <w:b/>
          <w:u w:val="single"/>
        </w:rPr>
        <w:t xml:space="preserve"> </w:t>
      </w:r>
      <w:r w:rsidRPr="00405772">
        <w:rPr>
          <w:b/>
          <w:u w:val="single"/>
        </w:rPr>
        <w:t>information collection, explain the reasons why display would be inappropriate.</w:t>
      </w:r>
    </w:p>
    <w:p w:rsidR="00BE66C7" w:rsidRPr="00405772" w:rsidRDefault="00BE66C7" w:rsidP="00617693"/>
    <w:p w:rsidR="00617693" w:rsidRPr="00405772" w:rsidRDefault="00617693" w:rsidP="00617693">
      <w:r w:rsidRPr="00405772">
        <w:t>Not applicable.</w:t>
      </w:r>
    </w:p>
    <w:p w:rsidR="00BE66C7" w:rsidRPr="00E2480E" w:rsidRDefault="00BE66C7" w:rsidP="00617693">
      <w:pPr>
        <w:rPr>
          <w:highlight w:val="blue"/>
        </w:rPr>
      </w:pPr>
    </w:p>
    <w:p w:rsidR="00617693" w:rsidRPr="00405772" w:rsidRDefault="00617693" w:rsidP="00617693">
      <w:pPr>
        <w:rPr>
          <w:b/>
          <w:u w:val="single"/>
        </w:rPr>
      </w:pPr>
      <w:r w:rsidRPr="00405772">
        <w:rPr>
          <w:b/>
        </w:rPr>
        <w:t xml:space="preserve">18. </w:t>
      </w:r>
      <w:r w:rsidR="00BE66C7" w:rsidRPr="00405772">
        <w:rPr>
          <w:b/>
        </w:rPr>
        <w:t xml:space="preserve"> </w:t>
      </w:r>
      <w:r w:rsidRPr="00405772">
        <w:rPr>
          <w:b/>
          <w:u w:val="single"/>
        </w:rPr>
        <w:t>Explain each exception to the certification statement.</w:t>
      </w:r>
    </w:p>
    <w:p w:rsidR="00BE66C7" w:rsidRPr="00405772" w:rsidRDefault="00BE66C7" w:rsidP="00617693"/>
    <w:p w:rsidR="00617693" w:rsidRPr="00405772" w:rsidRDefault="00617693" w:rsidP="00617693">
      <w:r w:rsidRPr="00405772">
        <w:t>There are no exceptions</w:t>
      </w:r>
      <w:r w:rsidR="003F7BBD" w:rsidRPr="00405772">
        <w:t xml:space="preserve"> to the certification statement</w:t>
      </w:r>
      <w:r w:rsidRPr="00405772">
        <w:t>.</w:t>
      </w:r>
    </w:p>
    <w:p w:rsidR="00BE66C7" w:rsidRDefault="00BE66C7" w:rsidP="00617693"/>
    <w:p w:rsidR="006902D4" w:rsidRPr="00405772" w:rsidRDefault="006902D4" w:rsidP="00617693"/>
    <w:p w:rsidR="00BE66C7" w:rsidRPr="00E2480E" w:rsidRDefault="00BE66C7" w:rsidP="00617693">
      <w:pPr>
        <w:rPr>
          <w:highlight w:val="blue"/>
        </w:rPr>
      </w:pPr>
    </w:p>
    <w:p w:rsidR="00617693" w:rsidRPr="00405772" w:rsidRDefault="00617693" w:rsidP="00617693">
      <w:pPr>
        <w:rPr>
          <w:b/>
        </w:rPr>
      </w:pPr>
      <w:r w:rsidRPr="00405772">
        <w:rPr>
          <w:b/>
        </w:rPr>
        <w:t>B. COLLECTIONS OF INFORMATION EMPLOYING STATISTICAL METHODS</w:t>
      </w:r>
    </w:p>
    <w:p w:rsidR="00BE66C7" w:rsidRPr="00405772" w:rsidRDefault="00BE66C7" w:rsidP="00617693">
      <w:pPr>
        <w:rPr>
          <w:b/>
        </w:rPr>
      </w:pPr>
    </w:p>
    <w:p w:rsidR="00617693" w:rsidRDefault="00617693" w:rsidP="00617693">
      <w:r w:rsidRPr="00405772">
        <w:t>This collection does not employ statistical methods.</w:t>
      </w:r>
    </w:p>
    <w:p w:rsidR="00FB4306" w:rsidRDefault="00FB4306" w:rsidP="00617693"/>
    <w:p w:rsidR="00FB4306" w:rsidRDefault="00FB4306" w:rsidP="00617693">
      <w:r>
        <w:br w:type="page"/>
      </w:r>
    </w:p>
    <w:p w:rsidR="00FB4306" w:rsidRDefault="00FB4306" w:rsidP="00617693"/>
    <w:p w:rsidR="002F2BA4" w:rsidRDefault="002F2BA4" w:rsidP="00617693">
      <w:pPr>
        <w:rPr>
          <w:b/>
        </w:rPr>
      </w:pPr>
    </w:p>
    <w:p w:rsidR="00FB4306" w:rsidRDefault="00FB4306" w:rsidP="00617693">
      <w:pPr>
        <w:rPr>
          <w:b/>
        </w:rPr>
      </w:pPr>
      <w:proofErr w:type="gramStart"/>
      <w:r w:rsidRPr="00FB4306">
        <w:rPr>
          <w:b/>
        </w:rPr>
        <w:t>Table 1.</w:t>
      </w:r>
      <w:proofErr w:type="gramEnd"/>
      <w:r w:rsidRPr="00FB4306">
        <w:rPr>
          <w:b/>
        </w:rPr>
        <w:t xml:space="preserve"> </w:t>
      </w:r>
      <w:r w:rsidR="002F2BA4">
        <w:rPr>
          <w:b/>
        </w:rPr>
        <w:t xml:space="preserve"> </w:t>
      </w:r>
      <w:r w:rsidRPr="00FB4306">
        <w:rPr>
          <w:b/>
        </w:rPr>
        <w:t xml:space="preserve">Estimates for Fixed-Gear Marking Burden in the </w:t>
      </w:r>
      <w:smartTag w:uri="urn:schemas-microsoft-com:office:smarttags" w:element="place">
        <w:smartTag w:uri="urn:schemas-microsoft-com:office:smarttags" w:element="PlaceName">
          <w:r w:rsidRPr="00FB4306">
            <w:rPr>
              <w:b/>
            </w:rPr>
            <w:t>Pacific</w:t>
          </w:r>
        </w:smartTag>
        <w:r w:rsidRPr="00FB4306">
          <w:rPr>
            <w:b/>
          </w:rPr>
          <w:t xml:space="preserve"> </w:t>
        </w:r>
        <w:smartTag w:uri="urn:schemas-microsoft-com:office:smarttags" w:element="PlaceType">
          <w:r w:rsidRPr="00FB4306">
            <w:rPr>
              <w:b/>
            </w:rPr>
            <w:t>Coast</w:t>
          </w:r>
        </w:smartTag>
      </w:smartTag>
      <w:r w:rsidRPr="00FB4306">
        <w:rPr>
          <w:b/>
        </w:rPr>
        <w:t xml:space="preserve"> </w:t>
      </w:r>
      <w:proofErr w:type="spellStart"/>
      <w:r w:rsidRPr="00FB4306">
        <w:rPr>
          <w:b/>
        </w:rPr>
        <w:t>Groundfish</w:t>
      </w:r>
      <w:proofErr w:type="spellEnd"/>
      <w:r w:rsidRPr="00FB4306">
        <w:rPr>
          <w:b/>
        </w:rPr>
        <w:t xml:space="preserve"> Fishery</w:t>
      </w:r>
    </w:p>
    <w:p w:rsidR="00FB4306" w:rsidRDefault="00FB4306" w:rsidP="00617693">
      <w:pPr>
        <w:rPr>
          <w:b/>
        </w:rPr>
      </w:pPr>
    </w:p>
    <w:tbl>
      <w:tblPr>
        <w:tblStyle w:val="TableGrid"/>
        <w:tblW w:w="9738" w:type="dxa"/>
        <w:jc w:val="center"/>
        <w:tblLook w:val="01E0"/>
      </w:tblPr>
      <w:tblGrid>
        <w:gridCol w:w="1412"/>
        <w:gridCol w:w="996"/>
        <w:gridCol w:w="876"/>
        <w:gridCol w:w="943"/>
        <w:gridCol w:w="944"/>
        <w:gridCol w:w="1121"/>
        <w:gridCol w:w="1026"/>
        <w:gridCol w:w="1061"/>
        <w:gridCol w:w="1359"/>
      </w:tblGrid>
      <w:tr w:rsidR="000A3A5A" w:rsidTr="00AB5482">
        <w:trPr>
          <w:trHeight w:val="422"/>
          <w:jc w:val="center"/>
        </w:trPr>
        <w:tc>
          <w:tcPr>
            <w:tcW w:w="1435" w:type="dxa"/>
            <w:vMerge w:val="restart"/>
            <w:vAlign w:val="center"/>
          </w:tcPr>
          <w:p w:rsidR="00FB4306" w:rsidRDefault="00E2480E" w:rsidP="00FB4306">
            <w:pPr>
              <w:jc w:val="center"/>
              <w:rPr>
                <w:b/>
              </w:rPr>
            </w:pPr>
            <w:r>
              <w:rPr>
                <w:b/>
              </w:rPr>
              <w:t>20</w:t>
            </w:r>
            <w:r w:rsidR="0004088D">
              <w:rPr>
                <w:b/>
              </w:rPr>
              <w:t>11</w:t>
            </w:r>
          </w:p>
        </w:tc>
        <w:tc>
          <w:tcPr>
            <w:tcW w:w="3703" w:type="dxa"/>
            <w:gridSpan w:val="4"/>
            <w:tcBorders>
              <w:bottom w:val="single" w:sz="8" w:space="0" w:color="auto"/>
            </w:tcBorders>
            <w:vAlign w:val="center"/>
          </w:tcPr>
          <w:p w:rsidR="00FB4306" w:rsidRDefault="00FB4306" w:rsidP="00FB4306">
            <w:pPr>
              <w:jc w:val="center"/>
              <w:rPr>
                <w:b/>
              </w:rPr>
            </w:pPr>
            <w:r>
              <w:rPr>
                <w:b/>
              </w:rPr>
              <w:t>OPEN ACCESS</w:t>
            </w:r>
          </w:p>
        </w:tc>
        <w:tc>
          <w:tcPr>
            <w:tcW w:w="3225" w:type="dxa"/>
            <w:gridSpan w:val="3"/>
            <w:tcBorders>
              <w:bottom w:val="single" w:sz="8" w:space="0" w:color="auto"/>
            </w:tcBorders>
            <w:vAlign w:val="center"/>
          </w:tcPr>
          <w:p w:rsidR="00FB4306" w:rsidRDefault="00FB4306" w:rsidP="00FB4306">
            <w:pPr>
              <w:jc w:val="center"/>
              <w:rPr>
                <w:b/>
              </w:rPr>
            </w:pPr>
            <w:r>
              <w:rPr>
                <w:b/>
              </w:rPr>
              <w:t>LIMITED ENTRY</w:t>
            </w:r>
          </w:p>
        </w:tc>
        <w:tc>
          <w:tcPr>
            <w:tcW w:w="1375" w:type="dxa"/>
            <w:tcBorders>
              <w:bottom w:val="single" w:sz="8" w:space="0" w:color="auto"/>
            </w:tcBorders>
            <w:vAlign w:val="center"/>
          </w:tcPr>
          <w:p w:rsidR="0014084B" w:rsidRDefault="00FB4306" w:rsidP="0014084B">
            <w:pPr>
              <w:jc w:val="center"/>
              <w:rPr>
                <w:b/>
              </w:rPr>
            </w:pPr>
            <w:r>
              <w:rPr>
                <w:b/>
              </w:rPr>
              <w:t>TOTAL FLEET</w:t>
            </w:r>
            <w:r w:rsidR="00425722">
              <w:rPr>
                <w:b/>
              </w:rPr>
              <w:t xml:space="preserve"> </w:t>
            </w:r>
          </w:p>
          <w:p w:rsidR="00FB4306" w:rsidRDefault="0014084B" w:rsidP="0014084B">
            <w:pPr>
              <w:jc w:val="center"/>
              <w:rPr>
                <w:b/>
              </w:rPr>
            </w:pPr>
            <w:r>
              <w:rPr>
                <w:b/>
              </w:rPr>
              <w:t>***</w:t>
            </w:r>
          </w:p>
        </w:tc>
      </w:tr>
      <w:tr w:rsidR="000A3A5A" w:rsidTr="00AB5482">
        <w:trPr>
          <w:trHeight w:val="340"/>
          <w:jc w:val="center"/>
        </w:trPr>
        <w:tc>
          <w:tcPr>
            <w:tcW w:w="1435" w:type="dxa"/>
            <w:vMerge/>
            <w:tcBorders>
              <w:right w:val="single" w:sz="8" w:space="0" w:color="auto"/>
            </w:tcBorders>
          </w:tcPr>
          <w:p w:rsidR="00F43686" w:rsidRDefault="00F43686" w:rsidP="00617693">
            <w:pPr>
              <w:rPr>
                <w:b/>
              </w:rPr>
            </w:pPr>
          </w:p>
        </w:tc>
        <w:tc>
          <w:tcPr>
            <w:tcW w:w="939" w:type="dxa"/>
            <w:tcBorders>
              <w:top w:val="single" w:sz="8" w:space="0" w:color="auto"/>
              <w:left w:val="single" w:sz="8" w:space="0" w:color="auto"/>
              <w:bottom w:val="single" w:sz="8" w:space="0" w:color="auto"/>
              <w:right w:val="single" w:sz="8" w:space="0" w:color="auto"/>
            </w:tcBorders>
            <w:vAlign w:val="center"/>
          </w:tcPr>
          <w:p w:rsidR="00F43686" w:rsidRPr="002F2BA4" w:rsidRDefault="00F43686" w:rsidP="00FB4306">
            <w:pPr>
              <w:jc w:val="center"/>
              <w:rPr>
                <w:sz w:val="20"/>
                <w:szCs w:val="20"/>
              </w:rPr>
            </w:pPr>
            <w:proofErr w:type="spellStart"/>
            <w:r>
              <w:rPr>
                <w:sz w:val="20"/>
                <w:szCs w:val="20"/>
              </w:rPr>
              <w:t>Longline</w:t>
            </w:r>
            <w:proofErr w:type="spellEnd"/>
          </w:p>
        </w:tc>
        <w:tc>
          <w:tcPr>
            <w:tcW w:w="861" w:type="dxa"/>
            <w:tcBorders>
              <w:top w:val="single" w:sz="8" w:space="0" w:color="auto"/>
              <w:left w:val="single" w:sz="8" w:space="0" w:color="auto"/>
              <w:bottom w:val="single" w:sz="8" w:space="0" w:color="auto"/>
              <w:right w:val="single" w:sz="8" w:space="0" w:color="auto"/>
            </w:tcBorders>
            <w:vAlign w:val="center"/>
          </w:tcPr>
          <w:p w:rsidR="00F43686" w:rsidRPr="002F2BA4" w:rsidRDefault="00F43686" w:rsidP="00FB4306">
            <w:pPr>
              <w:jc w:val="center"/>
              <w:rPr>
                <w:sz w:val="20"/>
                <w:szCs w:val="20"/>
              </w:rPr>
            </w:pPr>
            <w:r>
              <w:rPr>
                <w:sz w:val="20"/>
                <w:szCs w:val="20"/>
              </w:rPr>
              <w:t>Vertical Hook &amp; Line</w:t>
            </w:r>
          </w:p>
        </w:tc>
        <w:tc>
          <w:tcPr>
            <w:tcW w:w="946" w:type="dxa"/>
            <w:tcBorders>
              <w:top w:val="single" w:sz="8" w:space="0" w:color="auto"/>
              <w:left w:val="single" w:sz="8" w:space="0" w:color="auto"/>
              <w:bottom w:val="single" w:sz="8" w:space="0" w:color="auto"/>
              <w:right w:val="single" w:sz="8" w:space="0" w:color="auto"/>
            </w:tcBorders>
            <w:vAlign w:val="center"/>
          </w:tcPr>
          <w:p w:rsidR="00F43686" w:rsidRPr="002F2BA4" w:rsidRDefault="00F43686" w:rsidP="00FB4306">
            <w:pPr>
              <w:jc w:val="center"/>
              <w:rPr>
                <w:sz w:val="20"/>
                <w:szCs w:val="20"/>
              </w:rPr>
            </w:pPr>
            <w:r w:rsidRPr="002F2BA4">
              <w:rPr>
                <w:sz w:val="20"/>
                <w:szCs w:val="20"/>
              </w:rPr>
              <w:t>Pot</w:t>
            </w:r>
            <w:r>
              <w:rPr>
                <w:sz w:val="20"/>
                <w:szCs w:val="20"/>
              </w:rPr>
              <w:t xml:space="preserve"> **</w:t>
            </w:r>
          </w:p>
        </w:tc>
        <w:tc>
          <w:tcPr>
            <w:tcW w:w="957" w:type="dxa"/>
            <w:tcBorders>
              <w:top w:val="single" w:sz="8" w:space="0" w:color="auto"/>
              <w:left w:val="single" w:sz="8" w:space="0" w:color="auto"/>
              <w:bottom w:val="single" w:sz="8" w:space="0" w:color="auto"/>
              <w:right w:val="single" w:sz="8" w:space="0" w:color="auto"/>
            </w:tcBorders>
            <w:vAlign w:val="center"/>
          </w:tcPr>
          <w:p w:rsidR="00F43686" w:rsidRPr="002F2BA4" w:rsidRDefault="00F43686" w:rsidP="00FB4306">
            <w:pPr>
              <w:jc w:val="center"/>
              <w:rPr>
                <w:sz w:val="20"/>
                <w:szCs w:val="20"/>
              </w:rPr>
            </w:pPr>
            <w:r w:rsidRPr="002F2BA4">
              <w:rPr>
                <w:sz w:val="20"/>
                <w:szCs w:val="20"/>
              </w:rPr>
              <w:t>Set Net</w:t>
            </w:r>
          </w:p>
        </w:tc>
        <w:tc>
          <w:tcPr>
            <w:tcW w:w="1127" w:type="dxa"/>
            <w:tcBorders>
              <w:top w:val="single" w:sz="8" w:space="0" w:color="auto"/>
              <w:left w:val="single" w:sz="8" w:space="0" w:color="auto"/>
              <w:bottom w:val="single" w:sz="8" w:space="0" w:color="auto"/>
              <w:right w:val="single" w:sz="8" w:space="0" w:color="auto"/>
            </w:tcBorders>
            <w:vAlign w:val="center"/>
          </w:tcPr>
          <w:p w:rsidR="00F43686" w:rsidRPr="002F2BA4" w:rsidRDefault="00F43686" w:rsidP="00FB4306">
            <w:pPr>
              <w:jc w:val="center"/>
              <w:rPr>
                <w:sz w:val="20"/>
                <w:szCs w:val="20"/>
              </w:rPr>
            </w:pPr>
            <w:proofErr w:type="spellStart"/>
            <w:r w:rsidRPr="002F2BA4">
              <w:rPr>
                <w:sz w:val="20"/>
                <w:szCs w:val="20"/>
              </w:rPr>
              <w:t>Longline</w:t>
            </w:r>
            <w:proofErr w:type="spellEnd"/>
          </w:p>
        </w:tc>
        <w:tc>
          <w:tcPr>
            <w:tcW w:w="1034" w:type="dxa"/>
            <w:tcBorders>
              <w:top w:val="single" w:sz="8" w:space="0" w:color="auto"/>
              <w:left w:val="single" w:sz="8" w:space="0" w:color="auto"/>
              <w:bottom w:val="single" w:sz="8" w:space="0" w:color="auto"/>
              <w:right w:val="single" w:sz="8" w:space="0" w:color="auto"/>
            </w:tcBorders>
            <w:vAlign w:val="center"/>
          </w:tcPr>
          <w:p w:rsidR="00F43686" w:rsidRPr="002F2BA4" w:rsidRDefault="00F43686" w:rsidP="00FB4306">
            <w:pPr>
              <w:jc w:val="center"/>
              <w:rPr>
                <w:sz w:val="20"/>
                <w:szCs w:val="20"/>
              </w:rPr>
            </w:pPr>
            <w:r w:rsidRPr="002F2BA4">
              <w:rPr>
                <w:sz w:val="20"/>
                <w:szCs w:val="20"/>
              </w:rPr>
              <w:t>Pot</w:t>
            </w:r>
          </w:p>
        </w:tc>
        <w:tc>
          <w:tcPr>
            <w:tcW w:w="1064" w:type="dxa"/>
            <w:tcBorders>
              <w:top w:val="single" w:sz="8" w:space="0" w:color="auto"/>
              <w:left w:val="single" w:sz="8" w:space="0" w:color="auto"/>
              <w:bottom w:val="single" w:sz="8" w:space="0" w:color="auto"/>
              <w:right w:val="single" w:sz="8" w:space="0" w:color="auto"/>
            </w:tcBorders>
            <w:vAlign w:val="center"/>
          </w:tcPr>
          <w:p w:rsidR="00F43686" w:rsidRPr="002513A2" w:rsidRDefault="00F43686" w:rsidP="00FB4306">
            <w:pPr>
              <w:jc w:val="center"/>
              <w:rPr>
                <w:sz w:val="20"/>
                <w:szCs w:val="20"/>
              </w:rPr>
            </w:pPr>
            <w:r w:rsidRPr="002513A2">
              <w:rPr>
                <w:sz w:val="20"/>
                <w:szCs w:val="20"/>
              </w:rPr>
              <w:t>IFQ gear switching</w:t>
            </w:r>
          </w:p>
        </w:tc>
        <w:tc>
          <w:tcPr>
            <w:tcW w:w="1375" w:type="dxa"/>
            <w:tcBorders>
              <w:top w:val="single" w:sz="8" w:space="0" w:color="auto"/>
              <w:left w:val="single" w:sz="8" w:space="0" w:color="auto"/>
              <w:bottom w:val="single" w:sz="8" w:space="0" w:color="auto"/>
              <w:right w:val="single" w:sz="8" w:space="0" w:color="auto"/>
            </w:tcBorders>
            <w:vAlign w:val="center"/>
          </w:tcPr>
          <w:p w:rsidR="00F43686" w:rsidRPr="002513A2" w:rsidRDefault="00F43686" w:rsidP="00FB4306">
            <w:pPr>
              <w:jc w:val="center"/>
              <w:rPr>
                <w:sz w:val="20"/>
                <w:szCs w:val="20"/>
              </w:rPr>
            </w:pPr>
            <w:r w:rsidRPr="002513A2">
              <w:rPr>
                <w:sz w:val="20"/>
                <w:szCs w:val="20"/>
              </w:rPr>
              <w:t>***</w:t>
            </w:r>
            <w:r w:rsidR="0014084B">
              <w:rPr>
                <w:sz w:val="20"/>
                <w:szCs w:val="20"/>
              </w:rPr>
              <w:t>*</w:t>
            </w:r>
          </w:p>
        </w:tc>
      </w:tr>
      <w:tr w:rsidR="000A3A5A" w:rsidTr="00AB5482">
        <w:trPr>
          <w:trHeight w:hRule="exact" w:val="803"/>
          <w:jc w:val="center"/>
        </w:trPr>
        <w:tc>
          <w:tcPr>
            <w:tcW w:w="1435" w:type="dxa"/>
            <w:tcBorders>
              <w:right w:val="single" w:sz="8" w:space="0" w:color="auto"/>
            </w:tcBorders>
            <w:vAlign w:val="center"/>
          </w:tcPr>
          <w:p w:rsidR="00F43686" w:rsidRPr="002F2BA4" w:rsidRDefault="00F43686" w:rsidP="00C43BA7">
            <w:pPr>
              <w:rPr>
                <w:sz w:val="20"/>
                <w:szCs w:val="20"/>
              </w:rPr>
            </w:pPr>
            <w:r>
              <w:rPr>
                <w:sz w:val="20"/>
                <w:szCs w:val="20"/>
              </w:rPr>
              <w:t>Numbe</w:t>
            </w:r>
            <w:r w:rsidR="0004088D">
              <w:rPr>
                <w:sz w:val="20"/>
                <w:szCs w:val="20"/>
              </w:rPr>
              <w:t>r</w:t>
            </w:r>
            <w:r>
              <w:rPr>
                <w:sz w:val="20"/>
                <w:szCs w:val="20"/>
              </w:rPr>
              <w:t xml:space="preserve"> of</w:t>
            </w:r>
            <w:r w:rsidRPr="002F2BA4">
              <w:rPr>
                <w:sz w:val="20"/>
                <w:szCs w:val="20"/>
              </w:rPr>
              <w:t xml:space="preserve"> Vessels</w:t>
            </w:r>
          </w:p>
        </w:tc>
        <w:tc>
          <w:tcPr>
            <w:tcW w:w="939" w:type="dxa"/>
            <w:tcBorders>
              <w:top w:val="single" w:sz="8" w:space="0" w:color="auto"/>
              <w:left w:val="single" w:sz="8" w:space="0" w:color="auto"/>
            </w:tcBorders>
            <w:vAlign w:val="center"/>
          </w:tcPr>
          <w:p w:rsidR="00F43686" w:rsidRPr="00405772" w:rsidRDefault="002513A2" w:rsidP="002513A2">
            <w:pPr>
              <w:jc w:val="center"/>
              <w:rPr>
                <w:b/>
                <w:highlight w:val="yellow"/>
              </w:rPr>
            </w:pPr>
            <w:r>
              <w:rPr>
                <w:b/>
              </w:rPr>
              <w:t>4</w:t>
            </w:r>
            <w:r w:rsidR="00F43686" w:rsidRPr="00F43686">
              <w:rPr>
                <w:b/>
              </w:rPr>
              <w:t>00</w:t>
            </w:r>
          </w:p>
        </w:tc>
        <w:tc>
          <w:tcPr>
            <w:tcW w:w="861" w:type="dxa"/>
            <w:tcBorders>
              <w:top w:val="single" w:sz="8" w:space="0" w:color="auto"/>
              <w:left w:val="single" w:sz="8" w:space="0" w:color="auto"/>
            </w:tcBorders>
            <w:vAlign w:val="center"/>
          </w:tcPr>
          <w:p w:rsidR="00F43686" w:rsidRPr="00405772" w:rsidRDefault="00684994" w:rsidP="00FB4306">
            <w:pPr>
              <w:jc w:val="center"/>
              <w:rPr>
                <w:b/>
                <w:highlight w:val="yellow"/>
              </w:rPr>
            </w:pPr>
            <w:r w:rsidRPr="00684994">
              <w:rPr>
                <w:b/>
              </w:rPr>
              <w:t>80</w:t>
            </w:r>
          </w:p>
        </w:tc>
        <w:tc>
          <w:tcPr>
            <w:tcW w:w="946" w:type="dxa"/>
            <w:tcBorders>
              <w:top w:val="single" w:sz="8" w:space="0" w:color="auto"/>
            </w:tcBorders>
            <w:vAlign w:val="center"/>
          </w:tcPr>
          <w:p w:rsidR="00F43686" w:rsidRPr="00405772" w:rsidRDefault="00F43686" w:rsidP="00F40666">
            <w:pPr>
              <w:jc w:val="center"/>
              <w:rPr>
                <w:b/>
                <w:highlight w:val="yellow"/>
              </w:rPr>
            </w:pPr>
            <w:r w:rsidRPr="00F40666">
              <w:rPr>
                <w:b/>
              </w:rPr>
              <w:t>200</w:t>
            </w:r>
          </w:p>
        </w:tc>
        <w:tc>
          <w:tcPr>
            <w:tcW w:w="957" w:type="dxa"/>
            <w:tcBorders>
              <w:top w:val="single" w:sz="8" w:space="0" w:color="auto"/>
            </w:tcBorders>
            <w:vAlign w:val="center"/>
          </w:tcPr>
          <w:p w:rsidR="00F43686" w:rsidRPr="00405772" w:rsidRDefault="00780809" w:rsidP="00FB4306">
            <w:pPr>
              <w:jc w:val="center"/>
              <w:rPr>
                <w:b/>
                <w:highlight w:val="yellow"/>
              </w:rPr>
            </w:pPr>
            <w:r w:rsidRPr="00780809">
              <w:rPr>
                <w:b/>
              </w:rPr>
              <w:t>15</w:t>
            </w:r>
          </w:p>
        </w:tc>
        <w:tc>
          <w:tcPr>
            <w:tcW w:w="1127" w:type="dxa"/>
            <w:tcBorders>
              <w:top w:val="single" w:sz="8" w:space="0" w:color="auto"/>
            </w:tcBorders>
            <w:vAlign w:val="center"/>
          </w:tcPr>
          <w:p w:rsidR="00F43686" w:rsidRPr="00783AC3" w:rsidRDefault="00F43686" w:rsidP="00FB4306">
            <w:pPr>
              <w:jc w:val="center"/>
              <w:rPr>
                <w:b/>
              </w:rPr>
            </w:pPr>
            <w:r>
              <w:rPr>
                <w:b/>
              </w:rPr>
              <w:t>199</w:t>
            </w:r>
          </w:p>
        </w:tc>
        <w:tc>
          <w:tcPr>
            <w:tcW w:w="1034" w:type="dxa"/>
            <w:tcBorders>
              <w:top w:val="single" w:sz="8" w:space="0" w:color="auto"/>
            </w:tcBorders>
            <w:vAlign w:val="center"/>
          </w:tcPr>
          <w:p w:rsidR="00F43686" w:rsidRPr="00783AC3" w:rsidRDefault="00F43686" w:rsidP="00FB4306">
            <w:pPr>
              <w:jc w:val="center"/>
              <w:rPr>
                <w:b/>
              </w:rPr>
            </w:pPr>
            <w:r w:rsidRPr="00783AC3">
              <w:rPr>
                <w:b/>
              </w:rPr>
              <w:t>32</w:t>
            </w:r>
          </w:p>
        </w:tc>
        <w:tc>
          <w:tcPr>
            <w:tcW w:w="1064" w:type="dxa"/>
            <w:tcBorders>
              <w:top w:val="single" w:sz="8" w:space="0" w:color="auto"/>
            </w:tcBorders>
            <w:vAlign w:val="center"/>
          </w:tcPr>
          <w:p w:rsidR="00F43686" w:rsidRPr="002513A2" w:rsidRDefault="00F43686" w:rsidP="00C41E72">
            <w:pPr>
              <w:jc w:val="center"/>
              <w:rPr>
                <w:b/>
              </w:rPr>
            </w:pPr>
            <w:r w:rsidRPr="002513A2">
              <w:rPr>
                <w:b/>
              </w:rPr>
              <w:t>20</w:t>
            </w:r>
          </w:p>
        </w:tc>
        <w:tc>
          <w:tcPr>
            <w:tcW w:w="1375" w:type="dxa"/>
            <w:tcBorders>
              <w:top w:val="single" w:sz="8" w:space="0" w:color="auto"/>
              <w:right w:val="single" w:sz="8" w:space="0" w:color="auto"/>
            </w:tcBorders>
            <w:vAlign w:val="center"/>
          </w:tcPr>
          <w:p w:rsidR="00F43686" w:rsidRPr="00682C56" w:rsidRDefault="00682C56" w:rsidP="00FB4306">
            <w:pPr>
              <w:jc w:val="center"/>
              <w:rPr>
                <w:b/>
              </w:rPr>
            </w:pPr>
            <w:r w:rsidRPr="00682C56">
              <w:rPr>
                <w:b/>
              </w:rPr>
              <w:t>946</w:t>
            </w:r>
          </w:p>
        </w:tc>
      </w:tr>
      <w:tr w:rsidR="000A3A5A" w:rsidTr="00AB5482">
        <w:trPr>
          <w:trHeight w:hRule="exact" w:val="576"/>
          <w:jc w:val="center"/>
        </w:trPr>
        <w:tc>
          <w:tcPr>
            <w:tcW w:w="1435" w:type="dxa"/>
            <w:tcBorders>
              <w:right w:val="single" w:sz="8" w:space="0" w:color="auto"/>
            </w:tcBorders>
            <w:vAlign w:val="center"/>
          </w:tcPr>
          <w:p w:rsidR="00F43686" w:rsidRPr="002F2BA4" w:rsidRDefault="00F43686" w:rsidP="00C43BA7">
            <w:pPr>
              <w:rPr>
                <w:sz w:val="20"/>
                <w:szCs w:val="20"/>
              </w:rPr>
            </w:pPr>
            <w:r>
              <w:rPr>
                <w:sz w:val="20"/>
                <w:szCs w:val="20"/>
              </w:rPr>
              <w:t>Number or</w:t>
            </w:r>
            <w:r w:rsidRPr="002F2BA4">
              <w:rPr>
                <w:sz w:val="20"/>
                <w:szCs w:val="20"/>
              </w:rPr>
              <w:t xml:space="preserve"> Strings *</w:t>
            </w:r>
          </w:p>
        </w:tc>
        <w:tc>
          <w:tcPr>
            <w:tcW w:w="939" w:type="dxa"/>
            <w:tcBorders>
              <w:left w:val="single" w:sz="8" w:space="0" w:color="auto"/>
            </w:tcBorders>
            <w:vAlign w:val="center"/>
          </w:tcPr>
          <w:p w:rsidR="00F43686" w:rsidRPr="002F2BA4" w:rsidRDefault="00F43686" w:rsidP="00F43686">
            <w:pPr>
              <w:jc w:val="center"/>
            </w:pPr>
            <w:r w:rsidRPr="002F2BA4">
              <w:t>10</w:t>
            </w:r>
          </w:p>
        </w:tc>
        <w:tc>
          <w:tcPr>
            <w:tcW w:w="861" w:type="dxa"/>
            <w:tcBorders>
              <w:left w:val="single" w:sz="8" w:space="0" w:color="auto"/>
            </w:tcBorders>
            <w:vAlign w:val="center"/>
          </w:tcPr>
          <w:p w:rsidR="00F43686" w:rsidRPr="002F2BA4" w:rsidRDefault="00F43686" w:rsidP="00FB4306">
            <w:pPr>
              <w:jc w:val="center"/>
            </w:pPr>
            <w:r>
              <w:t>5</w:t>
            </w:r>
          </w:p>
        </w:tc>
        <w:tc>
          <w:tcPr>
            <w:tcW w:w="946" w:type="dxa"/>
            <w:vAlign w:val="center"/>
          </w:tcPr>
          <w:p w:rsidR="00F43686" w:rsidRPr="002F2BA4" w:rsidRDefault="00F43686" w:rsidP="00FB4306">
            <w:pPr>
              <w:jc w:val="center"/>
            </w:pPr>
            <w:r w:rsidRPr="002F2BA4">
              <w:t>5</w:t>
            </w:r>
          </w:p>
        </w:tc>
        <w:tc>
          <w:tcPr>
            <w:tcW w:w="957" w:type="dxa"/>
            <w:vAlign w:val="center"/>
          </w:tcPr>
          <w:p w:rsidR="00F43686" w:rsidRPr="002513A2" w:rsidRDefault="00F43686" w:rsidP="00FB4306">
            <w:pPr>
              <w:jc w:val="center"/>
            </w:pPr>
            <w:r w:rsidRPr="002513A2">
              <w:t>3</w:t>
            </w:r>
          </w:p>
        </w:tc>
        <w:tc>
          <w:tcPr>
            <w:tcW w:w="1127" w:type="dxa"/>
            <w:vAlign w:val="center"/>
          </w:tcPr>
          <w:p w:rsidR="00F43686" w:rsidRPr="002F2BA4" w:rsidRDefault="00F43686" w:rsidP="00FB4306">
            <w:pPr>
              <w:jc w:val="center"/>
            </w:pPr>
            <w:r w:rsidRPr="002F2BA4">
              <w:t>10</w:t>
            </w:r>
          </w:p>
        </w:tc>
        <w:tc>
          <w:tcPr>
            <w:tcW w:w="1034" w:type="dxa"/>
            <w:vAlign w:val="center"/>
          </w:tcPr>
          <w:p w:rsidR="00F43686" w:rsidRPr="002F2BA4" w:rsidRDefault="00F43686" w:rsidP="00FB4306">
            <w:pPr>
              <w:jc w:val="center"/>
            </w:pPr>
            <w:r w:rsidRPr="002F2BA4">
              <w:t>5</w:t>
            </w:r>
          </w:p>
        </w:tc>
        <w:tc>
          <w:tcPr>
            <w:tcW w:w="1064" w:type="dxa"/>
            <w:vAlign w:val="center"/>
          </w:tcPr>
          <w:p w:rsidR="00F43686" w:rsidRPr="002513A2" w:rsidRDefault="00F43686" w:rsidP="006902D4">
            <w:pPr>
              <w:jc w:val="center"/>
            </w:pPr>
            <w:r w:rsidRPr="002513A2">
              <w:t>10</w:t>
            </w:r>
          </w:p>
        </w:tc>
        <w:tc>
          <w:tcPr>
            <w:tcW w:w="1375" w:type="dxa"/>
            <w:tcBorders>
              <w:right w:val="single" w:sz="8" w:space="0" w:color="auto"/>
            </w:tcBorders>
            <w:shd w:val="clear" w:color="auto" w:fill="BFBFBF" w:themeFill="background1" w:themeFillShade="BF"/>
            <w:vAlign w:val="center"/>
          </w:tcPr>
          <w:p w:rsidR="00F43686" w:rsidRPr="002F2BA4" w:rsidRDefault="00F43686" w:rsidP="00FB4306">
            <w:pPr>
              <w:jc w:val="center"/>
            </w:pPr>
          </w:p>
        </w:tc>
      </w:tr>
      <w:tr w:rsidR="000A3A5A" w:rsidTr="00AB5482">
        <w:trPr>
          <w:trHeight w:hRule="exact" w:val="748"/>
          <w:jc w:val="center"/>
        </w:trPr>
        <w:tc>
          <w:tcPr>
            <w:tcW w:w="1435" w:type="dxa"/>
            <w:tcBorders>
              <w:right w:val="single" w:sz="8" w:space="0" w:color="auto"/>
            </w:tcBorders>
            <w:vAlign w:val="center"/>
          </w:tcPr>
          <w:p w:rsidR="00F43686" w:rsidRPr="002F2BA4" w:rsidRDefault="00F43686" w:rsidP="00C43BA7">
            <w:pPr>
              <w:rPr>
                <w:sz w:val="20"/>
                <w:szCs w:val="20"/>
              </w:rPr>
            </w:pPr>
            <w:r>
              <w:rPr>
                <w:sz w:val="20"/>
                <w:szCs w:val="20"/>
              </w:rPr>
              <w:t xml:space="preserve">Number of </w:t>
            </w:r>
            <w:r w:rsidR="00E4467F">
              <w:rPr>
                <w:sz w:val="20"/>
                <w:szCs w:val="20"/>
              </w:rPr>
              <w:t>Buoys per S</w:t>
            </w:r>
            <w:r w:rsidRPr="002F2BA4">
              <w:rPr>
                <w:sz w:val="20"/>
                <w:szCs w:val="20"/>
              </w:rPr>
              <w:t>tring</w:t>
            </w:r>
          </w:p>
        </w:tc>
        <w:tc>
          <w:tcPr>
            <w:tcW w:w="939" w:type="dxa"/>
            <w:tcBorders>
              <w:left w:val="single" w:sz="8" w:space="0" w:color="auto"/>
            </w:tcBorders>
            <w:vAlign w:val="center"/>
          </w:tcPr>
          <w:p w:rsidR="00F43686" w:rsidRPr="002F2BA4" w:rsidRDefault="00F43686" w:rsidP="00FB4306">
            <w:pPr>
              <w:jc w:val="center"/>
            </w:pPr>
            <w:r w:rsidRPr="002F2BA4">
              <w:t>2</w:t>
            </w:r>
          </w:p>
        </w:tc>
        <w:tc>
          <w:tcPr>
            <w:tcW w:w="861" w:type="dxa"/>
            <w:tcBorders>
              <w:left w:val="single" w:sz="8" w:space="0" w:color="auto"/>
            </w:tcBorders>
            <w:vAlign w:val="center"/>
          </w:tcPr>
          <w:p w:rsidR="00F43686" w:rsidRPr="002F2BA4" w:rsidRDefault="00F43686" w:rsidP="00FB4306">
            <w:pPr>
              <w:jc w:val="center"/>
            </w:pPr>
            <w:r>
              <w:t>1</w:t>
            </w:r>
          </w:p>
        </w:tc>
        <w:tc>
          <w:tcPr>
            <w:tcW w:w="946" w:type="dxa"/>
            <w:vAlign w:val="center"/>
          </w:tcPr>
          <w:p w:rsidR="00F43686" w:rsidRPr="002F2BA4" w:rsidRDefault="00F43686" w:rsidP="00FB4306">
            <w:pPr>
              <w:jc w:val="center"/>
            </w:pPr>
            <w:r w:rsidRPr="002F2BA4">
              <w:t>2</w:t>
            </w:r>
          </w:p>
        </w:tc>
        <w:tc>
          <w:tcPr>
            <w:tcW w:w="957" w:type="dxa"/>
            <w:vAlign w:val="center"/>
          </w:tcPr>
          <w:p w:rsidR="00F43686" w:rsidRPr="002513A2" w:rsidRDefault="00F43686" w:rsidP="00FB4306">
            <w:pPr>
              <w:jc w:val="center"/>
            </w:pPr>
            <w:r w:rsidRPr="002513A2">
              <w:t>2</w:t>
            </w:r>
          </w:p>
        </w:tc>
        <w:tc>
          <w:tcPr>
            <w:tcW w:w="1127" w:type="dxa"/>
            <w:vAlign w:val="center"/>
          </w:tcPr>
          <w:p w:rsidR="00F43686" w:rsidRPr="002F2BA4" w:rsidRDefault="00F43686" w:rsidP="00FB4306">
            <w:pPr>
              <w:jc w:val="center"/>
            </w:pPr>
            <w:r w:rsidRPr="002F2BA4">
              <w:t>2</w:t>
            </w:r>
          </w:p>
        </w:tc>
        <w:tc>
          <w:tcPr>
            <w:tcW w:w="1034" w:type="dxa"/>
            <w:vAlign w:val="center"/>
          </w:tcPr>
          <w:p w:rsidR="00F43686" w:rsidRPr="002F2BA4" w:rsidRDefault="00F43686" w:rsidP="00FB4306">
            <w:pPr>
              <w:jc w:val="center"/>
            </w:pPr>
            <w:r w:rsidRPr="002F2BA4">
              <w:t>2</w:t>
            </w:r>
          </w:p>
        </w:tc>
        <w:tc>
          <w:tcPr>
            <w:tcW w:w="1064" w:type="dxa"/>
            <w:vAlign w:val="center"/>
          </w:tcPr>
          <w:p w:rsidR="00F43686" w:rsidRPr="002513A2" w:rsidRDefault="00F43686" w:rsidP="006902D4">
            <w:pPr>
              <w:jc w:val="center"/>
            </w:pPr>
            <w:r w:rsidRPr="002513A2">
              <w:t>2</w:t>
            </w:r>
          </w:p>
        </w:tc>
        <w:tc>
          <w:tcPr>
            <w:tcW w:w="1375" w:type="dxa"/>
            <w:tcBorders>
              <w:right w:val="single" w:sz="8" w:space="0" w:color="auto"/>
            </w:tcBorders>
            <w:shd w:val="clear" w:color="auto" w:fill="BFBFBF" w:themeFill="background1" w:themeFillShade="BF"/>
            <w:vAlign w:val="center"/>
          </w:tcPr>
          <w:p w:rsidR="00F43686" w:rsidRPr="002F2BA4" w:rsidRDefault="00F43686" w:rsidP="00FB4306">
            <w:pPr>
              <w:jc w:val="center"/>
            </w:pPr>
          </w:p>
        </w:tc>
      </w:tr>
      <w:tr w:rsidR="000A3A5A" w:rsidTr="00AB5482">
        <w:trPr>
          <w:trHeight w:hRule="exact" w:val="685"/>
          <w:jc w:val="center"/>
        </w:trPr>
        <w:tc>
          <w:tcPr>
            <w:tcW w:w="1435" w:type="dxa"/>
            <w:tcBorders>
              <w:right w:val="single" w:sz="8" w:space="0" w:color="auto"/>
            </w:tcBorders>
            <w:vAlign w:val="center"/>
          </w:tcPr>
          <w:p w:rsidR="00F43686" w:rsidRPr="002F2BA4" w:rsidRDefault="00F43686" w:rsidP="00617693">
            <w:pPr>
              <w:rPr>
                <w:sz w:val="20"/>
                <w:szCs w:val="20"/>
              </w:rPr>
            </w:pPr>
            <w:r>
              <w:rPr>
                <w:sz w:val="20"/>
                <w:szCs w:val="20"/>
              </w:rPr>
              <w:t xml:space="preserve">Number of </w:t>
            </w:r>
            <w:r w:rsidR="00E4467F">
              <w:rPr>
                <w:sz w:val="20"/>
                <w:szCs w:val="20"/>
              </w:rPr>
              <w:t>Markings per V</w:t>
            </w:r>
            <w:r w:rsidRPr="002F2BA4">
              <w:rPr>
                <w:sz w:val="20"/>
                <w:szCs w:val="20"/>
              </w:rPr>
              <w:t>essel</w:t>
            </w:r>
          </w:p>
        </w:tc>
        <w:tc>
          <w:tcPr>
            <w:tcW w:w="939" w:type="dxa"/>
            <w:tcBorders>
              <w:left w:val="single" w:sz="8" w:space="0" w:color="auto"/>
            </w:tcBorders>
            <w:vAlign w:val="center"/>
          </w:tcPr>
          <w:p w:rsidR="00F43686" w:rsidRPr="002F2BA4" w:rsidRDefault="00F43686" w:rsidP="00FB4306">
            <w:pPr>
              <w:jc w:val="center"/>
            </w:pPr>
            <w:r>
              <w:t>20</w:t>
            </w:r>
          </w:p>
        </w:tc>
        <w:tc>
          <w:tcPr>
            <w:tcW w:w="861" w:type="dxa"/>
            <w:tcBorders>
              <w:left w:val="single" w:sz="8" w:space="0" w:color="auto"/>
            </w:tcBorders>
            <w:vAlign w:val="center"/>
          </w:tcPr>
          <w:p w:rsidR="00F43686" w:rsidRPr="002F2BA4" w:rsidRDefault="00684994" w:rsidP="00684994">
            <w:pPr>
              <w:jc w:val="center"/>
            </w:pPr>
            <w:r>
              <w:t>5</w:t>
            </w:r>
          </w:p>
        </w:tc>
        <w:tc>
          <w:tcPr>
            <w:tcW w:w="946" w:type="dxa"/>
            <w:vAlign w:val="center"/>
          </w:tcPr>
          <w:p w:rsidR="00F43686" w:rsidRPr="002F2BA4" w:rsidRDefault="00F43686" w:rsidP="00FB4306">
            <w:pPr>
              <w:jc w:val="center"/>
            </w:pPr>
            <w:r w:rsidRPr="002F2BA4">
              <w:t>10</w:t>
            </w:r>
          </w:p>
        </w:tc>
        <w:tc>
          <w:tcPr>
            <w:tcW w:w="957" w:type="dxa"/>
            <w:vAlign w:val="center"/>
          </w:tcPr>
          <w:p w:rsidR="00F43686" w:rsidRPr="002513A2" w:rsidRDefault="00F43686" w:rsidP="00FB4306">
            <w:pPr>
              <w:jc w:val="center"/>
            </w:pPr>
            <w:r w:rsidRPr="002513A2">
              <w:t>6</w:t>
            </w:r>
          </w:p>
        </w:tc>
        <w:tc>
          <w:tcPr>
            <w:tcW w:w="1127" w:type="dxa"/>
            <w:vAlign w:val="center"/>
          </w:tcPr>
          <w:p w:rsidR="00F43686" w:rsidRPr="002F2BA4" w:rsidRDefault="00F43686" w:rsidP="00FB4306">
            <w:pPr>
              <w:jc w:val="center"/>
            </w:pPr>
            <w:r w:rsidRPr="002F2BA4">
              <w:t>20</w:t>
            </w:r>
          </w:p>
        </w:tc>
        <w:tc>
          <w:tcPr>
            <w:tcW w:w="1034" w:type="dxa"/>
            <w:vAlign w:val="center"/>
          </w:tcPr>
          <w:p w:rsidR="00F43686" w:rsidRPr="002F2BA4" w:rsidRDefault="00F43686" w:rsidP="00FB4306">
            <w:pPr>
              <w:jc w:val="center"/>
            </w:pPr>
            <w:r w:rsidRPr="002F2BA4">
              <w:t>10</w:t>
            </w:r>
          </w:p>
        </w:tc>
        <w:tc>
          <w:tcPr>
            <w:tcW w:w="1064" w:type="dxa"/>
            <w:vAlign w:val="center"/>
          </w:tcPr>
          <w:p w:rsidR="00F43686" w:rsidRPr="002513A2" w:rsidRDefault="00F43686" w:rsidP="006902D4">
            <w:pPr>
              <w:jc w:val="center"/>
            </w:pPr>
            <w:r w:rsidRPr="002513A2">
              <w:t>20</w:t>
            </w:r>
          </w:p>
        </w:tc>
        <w:tc>
          <w:tcPr>
            <w:tcW w:w="1375" w:type="dxa"/>
            <w:tcBorders>
              <w:right w:val="single" w:sz="8" w:space="0" w:color="auto"/>
            </w:tcBorders>
            <w:shd w:val="clear" w:color="auto" w:fill="BFBFBF" w:themeFill="background1" w:themeFillShade="BF"/>
            <w:vAlign w:val="center"/>
          </w:tcPr>
          <w:p w:rsidR="00F43686" w:rsidRPr="002F2BA4" w:rsidRDefault="00F43686" w:rsidP="00FB4306">
            <w:pPr>
              <w:jc w:val="center"/>
            </w:pPr>
          </w:p>
        </w:tc>
      </w:tr>
      <w:tr w:rsidR="000A3A5A" w:rsidRPr="00425722" w:rsidTr="000A3A5A">
        <w:trPr>
          <w:trHeight w:hRule="exact" w:val="928"/>
          <w:jc w:val="center"/>
        </w:trPr>
        <w:tc>
          <w:tcPr>
            <w:tcW w:w="1435" w:type="dxa"/>
            <w:tcBorders>
              <w:right w:val="single" w:sz="8" w:space="0" w:color="auto"/>
            </w:tcBorders>
            <w:vAlign w:val="center"/>
          </w:tcPr>
          <w:p w:rsidR="00F43686" w:rsidRPr="002F2BA4" w:rsidRDefault="000A3A5A" w:rsidP="00E4467F">
            <w:pPr>
              <w:rPr>
                <w:sz w:val="20"/>
                <w:szCs w:val="20"/>
              </w:rPr>
            </w:pPr>
            <w:r>
              <w:rPr>
                <w:sz w:val="20"/>
                <w:szCs w:val="20"/>
              </w:rPr>
              <w:t xml:space="preserve">Total </w:t>
            </w:r>
            <w:r w:rsidR="00E4467F">
              <w:rPr>
                <w:sz w:val="20"/>
                <w:szCs w:val="20"/>
              </w:rPr>
              <w:t>A</w:t>
            </w:r>
            <w:r>
              <w:rPr>
                <w:sz w:val="20"/>
                <w:szCs w:val="20"/>
              </w:rPr>
              <w:t xml:space="preserve">nnual </w:t>
            </w:r>
            <w:r w:rsidR="00E4467F">
              <w:rPr>
                <w:sz w:val="20"/>
                <w:szCs w:val="20"/>
              </w:rPr>
              <w:t>N</w:t>
            </w:r>
            <w:r w:rsidR="00F43686">
              <w:rPr>
                <w:sz w:val="20"/>
                <w:szCs w:val="20"/>
              </w:rPr>
              <w:t xml:space="preserve">umber of </w:t>
            </w:r>
            <w:r w:rsidR="007246F6">
              <w:rPr>
                <w:sz w:val="20"/>
                <w:szCs w:val="20"/>
              </w:rPr>
              <w:t>Markings per F</w:t>
            </w:r>
            <w:r w:rsidR="00F43686" w:rsidRPr="002F2BA4">
              <w:rPr>
                <w:sz w:val="20"/>
                <w:szCs w:val="20"/>
              </w:rPr>
              <w:t>leet</w:t>
            </w:r>
          </w:p>
        </w:tc>
        <w:tc>
          <w:tcPr>
            <w:tcW w:w="939" w:type="dxa"/>
            <w:tcBorders>
              <w:left w:val="single" w:sz="8" w:space="0" w:color="auto"/>
              <w:bottom w:val="single" w:sz="8" w:space="0" w:color="auto"/>
            </w:tcBorders>
            <w:vAlign w:val="center"/>
          </w:tcPr>
          <w:p w:rsidR="00F43686" w:rsidRPr="00C41E72" w:rsidRDefault="002513A2" w:rsidP="00FB4306">
            <w:pPr>
              <w:jc w:val="center"/>
            </w:pPr>
            <w:r>
              <w:t>8</w:t>
            </w:r>
            <w:r w:rsidR="00684994">
              <w:t>,000</w:t>
            </w:r>
          </w:p>
        </w:tc>
        <w:tc>
          <w:tcPr>
            <w:tcW w:w="861" w:type="dxa"/>
            <w:tcBorders>
              <w:left w:val="single" w:sz="8" w:space="0" w:color="auto"/>
              <w:bottom w:val="single" w:sz="8" w:space="0" w:color="auto"/>
            </w:tcBorders>
            <w:vAlign w:val="center"/>
          </w:tcPr>
          <w:p w:rsidR="00F43686" w:rsidRPr="00C41E72" w:rsidRDefault="00684994" w:rsidP="00FB4306">
            <w:pPr>
              <w:jc w:val="center"/>
            </w:pPr>
            <w:r>
              <w:t>400</w:t>
            </w:r>
          </w:p>
        </w:tc>
        <w:tc>
          <w:tcPr>
            <w:tcW w:w="946" w:type="dxa"/>
            <w:tcBorders>
              <w:bottom w:val="single" w:sz="8" w:space="0" w:color="auto"/>
            </w:tcBorders>
            <w:vAlign w:val="center"/>
          </w:tcPr>
          <w:p w:rsidR="00F43686" w:rsidRPr="00C41E72" w:rsidRDefault="00684994" w:rsidP="00FB4306">
            <w:pPr>
              <w:jc w:val="center"/>
            </w:pPr>
            <w:r>
              <w:t>2,000</w:t>
            </w:r>
          </w:p>
        </w:tc>
        <w:tc>
          <w:tcPr>
            <w:tcW w:w="957" w:type="dxa"/>
            <w:tcBorders>
              <w:bottom w:val="single" w:sz="8" w:space="0" w:color="auto"/>
            </w:tcBorders>
            <w:vAlign w:val="center"/>
          </w:tcPr>
          <w:p w:rsidR="00F43686" w:rsidRPr="00C41E72" w:rsidRDefault="002513A2" w:rsidP="00FB4306">
            <w:pPr>
              <w:jc w:val="center"/>
            </w:pPr>
            <w:r>
              <w:t>90</w:t>
            </w:r>
          </w:p>
        </w:tc>
        <w:tc>
          <w:tcPr>
            <w:tcW w:w="1127" w:type="dxa"/>
            <w:tcBorders>
              <w:bottom w:val="single" w:sz="8" w:space="0" w:color="auto"/>
            </w:tcBorders>
            <w:vAlign w:val="center"/>
          </w:tcPr>
          <w:p w:rsidR="00F43686" w:rsidRPr="00C41E72" w:rsidRDefault="00F43686" w:rsidP="00FB4306">
            <w:pPr>
              <w:jc w:val="center"/>
            </w:pPr>
            <w:r w:rsidRPr="00C41E72">
              <w:t>3,980</w:t>
            </w:r>
          </w:p>
        </w:tc>
        <w:tc>
          <w:tcPr>
            <w:tcW w:w="1034" w:type="dxa"/>
            <w:tcBorders>
              <w:bottom w:val="single" w:sz="8" w:space="0" w:color="auto"/>
            </w:tcBorders>
            <w:vAlign w:val="center"/>
          </w:tcPr>
          <w:p w:rsidR="00F43686" w:rsidRPr="00C41E72" w:rsidRDefault="00F43686" w:rsidP="00FB4306">
            <w:pPr>
              <w:jc w:val="center"/>
            </w:pPr>
            <w:r>
              <w:t>320</w:t>
            </w:r>
          </w:p>
        </w:tc>
        <w:tc>
          <w:tcPr>
            <w:tcW w:w="1064" w:type="dxa"/>
            <w:tcBorders>
              <w:bottom w:val="single" w:sz="8" w:space="0" w:color="auto"/>
            </w:tcBorders>
            <w:vAlign w:val="center"/>
          </w:tcPr>
          <w:p w:rsidR="00F43686" w:rsidRPr="002513A2" w:rsidRDefault="00F43686" w:rsidP="00FB4306">
            <w:pPr>
              <w:jc w:val="center"/>
            </w:pPr>
            <w:r w:rsidRPr="002513A2">
              <w:t>400</w:t>
            </w:r>
          </w:p>
        </w:tc>
        <w:tc>
          <w:tcPr>
            <w:tcW w:w="1375" w:type="dxa"/>
            <w:tcBorders>
              <w:bottom w:val="single" w:sz="8" w:space="0" w:color="auto"/>
              <w:right w:val="single" w:sz="8" w:space="0" w:color="auto"/>
            </w:tcBorders>
            <w:shd w:val="clear" w:color="auto" w:fill="FFFFFF" w:themeFill="background1"/>
            <w:vAlign w:val="center"/>
          </w:tcPr>
          <w:p w:rsidR="00F43686" w:rsidRPr="00425722" w:rsidRDefault="00682C56" w:rsidP="00FB4306">
            <w:pPr>
              <w:jc w:val="center"/>
            </w:pPr>
            <w:r>
              <w:t>15,190</w:t>
            </w:r>
          </w:p>
        </w:tc>
      </w:tr>
      <w:tr w:rsidR="000A3A5A" w:rsidTr="000A3A5A">
        <w:trPr>
          <w:trHeight w:hRule="exact" w:val="1028"/>
          <w:jc w:val="center"/>
        </w:trPr>
        <w:tc>
          <w:tcPr>
            <w:tcW w:w="1435" w:type="dxa"/>
            <w:tcBorders>
              <w:right w:val="single" w:sz="8" w:space="0" w:color="auto"/>
            </w:tcBorders>
            <w:vAlign w:val="center"/>
          </w:tcPr>
          <w:p w:rsidR="00F43686" w:rsidRPr="002F2BA4" w:rsidRDefault="000A3A5A" w:rsidP="007246F6">
            <w:pPr>
              <w:rPr>
                <w:sz w:val="20"/>
                <w:szCs w:val="20"/>
              </w:rPr>
            </w:pPr>
            <w:r>
              <w:rPr>
                <w:sz w:val="20"/>
                <w:szCs w:val="20"/>
              </w:rPr>
              <w:t xml:space="preserve">Total </w:t>
            </w:r>
            <w:r w:rsidR="007246F6">
              <w:rPr>
                <w:sz w:val="20"/>
                <w:szCs w:val="20"/>
              </w:rPr>
              <w:t>A</w:t>
            </w:r>
            <w:r>
              <w:rPr>
                <w:sz w:val="20"/>
                <w:szCs w:val="20"/>
              </w:rPr>
              <w:t xml:space="preserve">nnual </w:t>
            </w:r>
            <w:r w:rsidR="007246F6">
              <w:rPr>
                <w:sz w:val="20"/>
                <w:szCs w:val="20"/>
              </w:rPr>
              <w:t>Burden Hours  @ 0.25 hrs per M</w:t>
            </w:r>
            <w:r w:rsidR="00F43686">
              <w:rPr>
                <w:sz w:val="20"/>
                <w:szCs w:val="20"/>
              </w:rPr>
              <w:t>arking</w:t>
            </w:r>
          </w:p>
        </w:tc>
        <w:tc>
          <w:tcPr>
            <w:tcW w:w="939" w:type="dxa"/>
            <w:tcBorders>
              <w:left w:val="single" w:sz="8" w:space="0" w:color="auto"/>
              <w:bottom w:val="single" w:sz="8" w:space="0" w:color="auto"/>
            </w:tcBorders>
            <w:vAlign w:val="center"/>
          </w:tcPr>
          <w:p w:rsidR="00F43686" w:rsidRPr="009A0091" w:rsidRDefault="002513A2" w:rsidP="002513A2">
            <w:pPr>
              <w:jc w:val="center"/>
              <w:rPr>
                <w:b/>
              </w:rPr>
            </w:pPr>
            <w:r w:rsidRPr="009A0091">
              <w:rPr>
                <w:b/>
              </w:rPr>
              <w:t>2,000</w:t>
            </w:r>
          </w:p>
        </w:tc>
        <w:tc>
          <w:tcPr>
            <w:tcW w:w="861" w:type="dxa"/>
            <w:tcBorders>
              <w:left w:val="single" w:sz="8" w:space="0" w:color="auto"/>
              <w:bottom w:val="single" w:sz="8" w:space="0" w:color="auto"/>
            </w:tcBorders>
            <w:vAlign w:val="center"/>
          </w:tcPr>
          <w:p w:rsidR="00F43686" w:rsidRPr="009A0091" w:rsidRDefault="00684994" w:rsidP="00FB4306">
            <w:pPr>
              <w:jc w:val="center"/>
              <w:rPr>
                <w:b/>
              </w:rPr>
            </w:pPr>
            <w:r w:rsidRPr="009A0091">
              <w:rPr>
                <w:b/>
              </w:rPr>
              <w:t>100</w:t>
            </w:r>
          </w:p>
        </w:tc>
        <w:tc>
          <w:tcPr>
            <w:tcW w:w="946" w:type="dxa"/>
            <w:tcBorders>
              <w:bottom w:val="single" w:sz="8" w:space="0" w:color="auto"/>
            </w:tcBorders>
            <w:vAlign w:val="center"/>
          </w:tcPr>
          <w:p w:rsidR="00F43686" w:rsidRPr="009A0091" w:rsidRDefault="00684994" w:rsidP="00FB4306">
            <w:pPr>
              <w:jc w:val="center"/>
              <w:rPr>
                <w:b/>
              </w:rPr>
            </w:pPr>
            <w:r w:rsidRPr="009A0091">
              <w:rPr>
                <w:b/>
              </w:rPr>
              <w:t>500</w:t>
            </w:r>
          </w:p>
        </w:tc>
        <w:tc>
          <w:tcPr>
            <w:tcW w:w="957" w:type="dxa"/>
            <w:tcBorders>
              <w:bottom w:val="single" w:sz="8" w:space="0" w:color="auto"/>
            </w:tcBorders>
            <w:vAlign w:val="center"/>
          </w:tcPr>
          <w:p w:rsidR="00F43686" w:rsidRPr="009A0091" w:rsidRDefault="002513A2" w:rsidP="00FB4306">
            <w:pPr>
              <w:jc w:val="center"/>
              <w:rPr>
                <w:b/>
              </w:rPr>
            </w:pPr>
            <w:r w:rsidRPr="009A0091">
              <w:rPr>
                <w:b/>
              </w:rPr>
              <w:t>23</w:t>
            </w:r>
          </w:p>
        </w:tc>
        <w:tc>
          <w:tcPr>
            <w:tcW w:w="1127" w:type="dxa"/>
            <w:tcBorders>
              <w:bottom w:val="single" w:sz="8" w:space="0" w:color="auto"/>
            </w:tcBorders>
            <w:vAlign w:val="center"/>
          </w:tcPr>
          <w:p w:rsidR="00F43686" w:rsidRPr="009A0091" w:rsidRDefault="00F43686" w:rsidP="00FB4306">
            <w:pPr>
              <w:jc w:val="center"/>
              <w:rPr>
                <w:b/>
              </w:rPr>
            </w:pPr>
            <w:r w:rsidRPr="009A0091">
              <w:rPr>
                <w:b/>
              </w:rPr>
              <w:t>995</w:t>
            </w:r>
          </w:p>
        </w:tc>
        <w:tc>
          <w:tcPr>
            <w:tcW w:w="1034" w:type="dxa"/>
            <w:tcBorders>
              <w:bottom w:val="single" w:sz="8" w:space="0" w:color="auto"/>
            </w:tcBorders>
            <w:vAlign w:val="center"/>
          </w:tcPr>
          <w:p w:rsidR="00F43686" w:rsidRPr="009A0091" w:rsidRDefault="00F43686" w:rsidP="00FB4306">
            <w:pPr>
              <w:jc w:val="center"/>
              <w:rPr>
                <w:b/>
              </w:rPr>
            </w:pPr>
            <w:r w:rsidRPr="009A0091">
              <w:rPr>
                <w:b/>
              </w:rPr>
              <w:t>80</w:t>
            </w:r>
          </w:p>
        </w:tc>
        <w:tc>
          <w:tcPr>
            <w:tcW w:w="1064" w:type="dxa"/>
            <w:tcBorders>
              <w:bottom w:val="single" w:sz="8" w:space="0" w:color="auto"/>
            </w:tcBorders>
            <w:vAlign w:val="center"/>
          </w:tcPr>
          <w:p w:rsidR="00F43686" w:rsidRPr="009A0091" w:rsidRDefault="00F43686" w:rsidP="00FB4306">
            <w:pPr>
              <w:jc w:val="center"/>
              <w:rPr>
                <w:b/>
              </w:rPr>
            </w:pPr>
            <w:r w:rsidRPr="009A0091">
              <w:rPr>
                <w:b/>
              </w:rPr>
              <w:t>100</w:t>
            </w:r>
          </w:p>
        </w:tc>
        <w:tc>
          <w:tcPr>
            <w:tcW w:w="1375" w:type="dxa"/>
            <w:tcBorders>
              <w:bottom w:val="single" w:sz="8" w:space="0" w:color="auto"/>
              <w:right w:val="single" w:sz="8" w:space="0" w:color="auto"/>
            </w:tcBorders>
            <w:shd w:val="clear" w:color="auto" w:fill="FFFFFF" w:themeFill="background1"/>
            <w:vAlign w:val="center"/>
          </w:tcPr>
          <w:p w:rsidR="00F43686" w:rsidRPr="009A0091" w:rsidRDefault="00682C56" w:rsidP="00FB4306">
            <w:pPr>
              <w:jc w:val="center"/>
              <w:rPr>
                <w:b/>
              </w:rPr>
            </w:pPr>
            <w:r w:rsidRPr="009A0091">
              <w:rPr>
                <w:b/>
              </w:rPr>
              <w:t>3,798</w:t>
            </w:r>
          </w:p>
        </w:tc>
      </w:tr>
      <w:tr w:rsidR="000A3A5A" w:rsidTr="00AB5482">
        <w:trPr>
          <w:trHeight w:hRule="exact" w:val="857"/>
          <w:jc w:val="center"/>
        </w:trPr>
        <w:tc>
          <w:tcPr>
            <w:tcW w:w="1435" w:type="dxa"/>
            <w:tcBorders>
              <w:right w:val="single" w:sz="8" w:space="0" w:color="auto"/>
            </w:tcBorders>
            <w:vAlign w:val="center"/>
          </w:tcPr>
          <w:p w:rsidR="00AB5482" w:rsidRDefault="007246F6" w:rsidP="00617693">
            <w:pPr>
              <w:rPr>
                <w:sz w:val="20"/>
                <w:szCs w:val="20"/>
              </w:rPr>
            </w:pPr>
            <w:r>
              <w:rPr>
                <w:sz w:val="20"/>
                <w:szCs w:val="20"/>
              </w:rPr>
              <w:t xml:space="preserve">Material </w:t>
            </w:r>
            <w:r w:rsidR="00D734A9">
              <w:rPr>
                <w:sz w:val="20"/>
                <w:szCs w:val="20"/>
              </w:rPr>
              <w:t>C</w:t>
            </w:r>
            <w:r>
              <w:rPr>
                <w:sz w:val="20"/>
                <w:szCs w:val="20"/>
              </w:rPr>
              <w:t>osts @ $0.25 per M</w:t>
            </w:r>
            <w:r w:rsidR="00AB5482">
              <w:rPr>
                <w:sz w:val="20"/>
                <w:szCs w:val="20"/>
              </w:rPr>
              <w:t>arking</w:t>
            </w:r>
          </w:p>
        </w:tc>
        <w:tc>
          <w:tcPr>
            <w:tcW w:w="939" w:type="dxa"/>
            <w:tcBorders>
              <w:left w:val="single" w:sz="8" w:space="0" w:color="auto"/>
              <w:bottom w:val="single" w:sz="8" w:space="0" w:color="auto"/>
            </w:tcBorders>
            <w:vAlign w:val="center"/>
          </w:tcPr>
          <w:p w:rsidR="00AB5482" w:rsidRPr="00C41E72" w:rsidRDefault="00AB5482" w:rsidP="002513A2">
            <w:pPr>
              <w:jc w:val="center"/>
            </w:pPr>
            <w:r>
              <w:t>$</w:t>
            </w:r>
            <w:r w:rsidR="002513A2">
              <w:t>2</w:t>
            </w:r>
            <w:r>
              <w:t>,</w:t>
            </w:r>
            <w:r w:rsidR="002513A2">
              <w:t>0</w:t>
            </w:r>
            <w:r>
              <w:t>00</w:t>
            </w:r>
          </w:p>
        </w:tc>
        <w:tc>
          <w:tcPr>
            <w:tcW w:w="861" w:type="dxa"/>
            <w:tcBorders>
              <w:left w:val="single" w:sz="8" w:space="0" w:color="auto"/>
              <w:bottom w:val="single" w:sz="8" w:space="0" w:color="auto"/>
            </w:tcBorders>
            <w:vAlign w:val="center"/>
          </w:tcPr>
          <w:p w:rsidR="00AB5482" w:rsidRPr="00C41E72" w:rsidRDefault="00AB5482" w:rsidP="006902D4">
            <w:pPr>
              <w:jc w:val="center"/>
            </w:pPr>
            <w:r>
              <w:t>$100</w:t>
            </w:r>
          </w:p>
        </w:tc>
        <w:tc>
          <w:tcPr>
            <w:tcW w:w="946" w:type="dxa"/>
            <w:tcBorders>
              <w:bottom w:val="single" w:sz="8" w:space="0" w:color="auto"/>
            </w:tcBorders>
            <w:vAlign w:val="center"/>
          </w:tcPr>
          <w:p w:rsidR="00AB5482" w:rsidRPr="00C41E72" w:rsidRDefault="00AB5482" w:rsidP="006902D4">
            <w:pPr>
              <w:jc w:val="center"/>
            </w:pPr>
            <w:r>
              <w:t>$500</w:t>
            </w:r>
          </w:p>
        </w:tc>
        <w:tc>
          <w:tcPr>
            <w:tcW w:w="957" w:type="dxa"/>
            <w:tcBorders>
              <w:bottom w:val="single" w:sz="8" w:space="0" w:color="auto"/>
            </w:tcBorders>
            <w:vAlign w:val="center"/>
          </w:tcPr>
          <w:p w:rsidR="00AB5482" w:rsidRPr="00C41E72" w:rsidRDefault="002513A2" w:rsidP="00FB4306">
            <w:pPr>
              <w:jc w:val="center"/>
            </w:pPr>
            <w:r>
              <w:t>$23</w:t>
            </w:r>
          </w:p>
        </w:tc>
        <w:tc>
          <w:tcPr>
            <w:tcW w:w="1127" w:type="dxa"/>
            <w:tcBorders>
              <w:bottom w:val="single" w:sz="8" w:space="0" w:color="auto"/>
            </w:tcBorders>
            <w:vAlign w:val="center"/>
          </w:tcPr>
          <w:p w:rsidR="00AB5482" w:rsidRDefault="00AB5482" w:rsidP="00FB4306">
            <w:pPr>
              <w:jc w:val="center"/>
            </w:pPr>
            <w:r>
              <w:t>$995</w:t>
            </w:r>
          </w:p>
        </w:tc>
        <w:tc>
          <w:tcPr>
            <w:tcW w:w="1034" w:type="dxa"/>
            <w:tcBorders>
              <w:bottom w:val="single" w:sz="8" w:space="0" w:color="auto"/>
            </w:tcBorders>
            <w:vAlign w:val="center"/>
          </w:tcPr>
          <w:p w:rsidR="00AB5482" w:rsidRDefault="00AB5482" w:rsidP="00FB4306">
            <w:pPr>
              <w:jc w:val="center"/>
            </w:pPr>
            <w:r>
              <w:t>$80</w:t>
            </w:r>
          </w:p>
        </w:tc>
        <w:tc>
          <w:tcPr>
            <w:tcW w:w="1064" w:type="dxa"/>
            <w:tcBorders>
              <w:bottom w:val="single" w:sz="8" w:space="0" w:color="auto"/>
            </w:tcBorders>
            <w:vAlign w:val="center"/>
          </w:tcPr>
          <w:p w:rsidR="00AB5482" w:rsidRPr="002513A2" w:rsidRDefault="00AB5482" w:rsidP="00FB4306">
            <w:pPr>
              <w:jc w:val="center"/>
            </w:pPr>
            <w:r w:rsidRPr="002513A2">
              <w:t>$100</w:t>
            </w:r>
          </w:p>
        </w:tc>
        <w:tc>
          <w:tcPr>
            <w:tcW w:w="1375" w:type="dxa"/>
            <w:tcBorders>
              <w:bottom w:val="single" w:sz="8" w:space="0" w:color="auto"/>
              <w:right w:val="single" w:sz="8" w:space="0" w:color="auto"/>
            </w:tcBorders>
            <w:shd w:val="clear" w:color="auto" w:fill="FFFFFF" w:themeFill="background1"/>
            <w:vAlign w:val="center"/>
          </w:tcPr>
          <w:p w:rsidR="00AB5482" w:rsidRPr="00425722" w:rsidRDefault="00F15519" w:rsidP="00FB4306">
            <w:pPr>
              <w:jc w:val="center"/>
            </w:pPr>
            <w:r>
              <w:t>$3,798</w:t>
            </w:r>
          </w:p>
        </w:tc>
      </w:tr>
      <w:tr w:rsidR="000A3A5A" w:rsidTr="00AB5482">
        <w:trPr>
          <w:trHeight w:hRule="exact" w:val="857"/>
          <w:jc w:val="center"/>
        </w:trPr>
        <w:tc>
          <w:tcPr>
            <w:tcW w:w="1435" w:type="dxa"/>
            <w:tcBorders>
              <w:right w:val="single" w:sz="8" w:space="0" w:color="auto"/>
            </w:tcBorders>
            <w:vAlign w:val="center"/>
          </w:tcPr>
          <w:p w:rsidR="00AB5482" w:rsidRDefault="007246F6" w:rsidP="00617693">
            <w:pPr>
              <w:rPr>
                <w:sz w:val="20"/>
                <w:szCs w:val="20"/>
              </w:rPr>
            </w:pPr>
            <w:r>
              <w:rPr>
                <w:sz w:val="20"/>
                <w:szCs w:val="20"/>
              </w:rPr>
              <w:t>Labor C</w:t>
            </w:r>
            <w:r w:rsidR="00AB5482">
              <w:rPr>
                <w:sz w:val="20"/>
                <w:szCs w:val="20"/>
              </w:rPr>
              <w:t>ost @ $15/hrs</w:t>
            </w:r>
          </w:p>
        </w:tc>
        <w:tc>
          <w:tcPr>
            <w:tcW w:w="939" w:type="dxa"/>
            <w:tcBorders>
              <w:left w:val="single" w:sz="8" w:space="0" w:color="auto"/>
              <w:bottom w:val="single" w:sz="8" w:space="0" w:color="auto"/>
            </w:tcBorders>
            <w:vAlign w:val="center"/>
          </w:tcPr>
          <w:p w:rsidR="00AB5482" w:rsidRPr="00C41E72" w:rsidRDefault="00AB5482" w:rsidP="002513A2">
            <w:pPr>
              <w:jc w:val="center"/>
            </w:pPr>
            <w:r>
              <w:t>$</w:t>
            </w:r>
            <w:r w:rsidR="002513A2">
              <w:t>30,000</w:t>
            </w:r>
          </w:p>
        </w:tc>
        <w:tc>
          <w:tcPr>
            <w:tcW w:w="861" w:type="dxa"/>
            <w:tcBorders>
              <w:left w:val="single" w:sz="8" w:space="0" w:color="auto"/>
              <w:bottom w:val="single" w:sz="8" w:space="0" w:color="auto"/>
            </w:tcBorders>
            <w:vAlign w:val="center"/>
          </w:tcPr>
          <w:p w:rsidR="00AB5482" w:rsidRPr="00C41E72" w:rsidRDefault="009554B4" w:rsidP="00FB4306">
            <w:pPr>
              <w:jc w:val="center"/>
            </w:pPr>
            <w:r>
              <w:t>$1,500</w:t>
            </w:r>
          </w:p>
        </w:tc>
        <w:tc>
          <w:tcPr>
            <w:tcW w:w="946" w:type="dxa"/>
            <w:tcBorders>
              <w:bottom w:val="single" w:sz="8" w:space="0" w:color="auto"/>
            </w:tcBorders>
            <w:vAlign w:val="center"/>
          </w:tcPr>
          <w:p w:rsidR="00AB5482" w:rsidRPr="00C41E72" w:rsidRDefault="009554B4" w:rsidP="00FB4306">
            <w:pPr>
              <w:jc w:val="center"/>
            </w:pPr>
            <w:r>
              <w:t>$7,500</w:t>
            </w:r>
          </w:p>
        </w:tc>
        <w:tc>
          <w:tcPr>
            <w:tcW w:w="957" w:type="dxa"/>
            <w:tcBorders>
              <w:bottom w:val="single" w:sz="8" w:space="0" w:color="auto"/>
            </w:tcBorders>
            <w:vAlign w:val="center"/>
          </w:tcPr>
          <w:p w:rsidR="00AB5482" w:rsidRPr="00C41E72" w:rsidRDefault="00135879" w:rsidP="00FB4306">
            <w:pPr>
              <w:jc w:val="center"/>
            </w:pPr>
            <w:r>
              <w:t>$345</w:t>
            </w:r>
          </w:p>
        </w:tc>
        <w:tc>
          <w:tcPr>
            <w:tcW w:w="1127" w:type="dxa"/>
            <w:tcBorders>
              <w:bottom w:val="single" w:sz="8" w:space="0" w:color="auto"/>
            </w:tcBorders>
            <w:vAlign w:val="center"/>
          </w:tcPr>
          <w:p w:rsidR="00AB5482" w:rsidRDefault="009554B4" w:rsidP="00FB4306">
            <w:pPr>
              <w:jc w:val="center"/>
            </w:pPr>
            <w:r>
              <w:t>$</w:t>
            </w:r>
            <w:r w:rsidR="00AB5482">
              <w:t>14,925</w:t>
            </w:r>
          </w:p>
        </w:tc>
        <w:tc>
          <w:tcPr>
            <w:tcW w:w="1034" w:type="dxa"/>
            <w:tcBorders>
              <w:bottom w:val="single" w:sz="8" w:space="0" w:color="auto"/>
            </w:tcBorders>
            <w:vAlign w:val="center"/>
          </w:tcPr>
          <w:p w:rsidR="00AB5482" w:rsidRDefault="009554B4" w:rsidP="00FB4306">
            <w:pPr>
              <w:jc w:val="center"/>
            </w:pPr>
            <w:r>
              <w:t>$</w:t>
            </w:r>
            <w:r w:rsidR="00AB5482">
              <w:t>1,200</w:t>
            </w:r>
          </w:p>
        </w:tc>
        <w:tc>
          <w:tcPr>
            <w:tcW w:w="1064" w:type="dxa"/>
            <w:tcBorders>
              <w:bottom w:val="single" w:sz="8" w:space="0" w:color="auto"/>
            </w:tcBorders>
            <w:vAlign w:val="center"/>
          </w:tcPr>
          <w:p w:rsidR="00AB5482" w:rsidRPr="002513A2" w:rsidRDefault="009554B4" w:rsidP="00FB4306">
            <w:pPr>
              <w:jc w:val="center"/>
            </w:pPr>
            <w:r w:rsidRPr="002513A2">
              <w:t>$</w:t>
            </w:r>
            <w:r w:rsidR="00AB5482" w:rsidRPr="002513A2">
              <w:t>1,500</w:t>
            </w:r>
          </w:p>
        </w:tc>
        <w:tc>
          <w:tcPr>
            <w:tcW w:w="1375" w:type="dxa"/>
            <w:tcBorders>
              <w:bottom w:val="single" w:sz="8" w:space="0" w:color="auto"/>
              <w:right w:val="single" w:sz="8" w:space="0" w:color="auto"/>
            </w:tcBorders>
            <w:shd w:val="clear" w:color="auto" w:fill="FFFFFF" w:themeFill="background1"/>
            <w:vAlign w:val="center"/>
          </w:tcPr>
          <w:p w:rsidR="00AB5482" w:rsidRPr="00425722" w:rsidRDefault="00F15519" w:rsidP="00FB4306">
            <w:pPr>
              <w:jc w:val="center"/>
            </w:pPr>
            <w:r>
              <w:t>$56,970</w:t>
            </w:r>
          </w:p>
        </w:tc>
      </w:tr>
      <w:tr w:rsidR="00AB5482" w:rsidTr="00E2480E">
        <w:trPr>
          <w:jc w:val="center"/>
        </w:trPr>
        <w:tc>
          <w:tcPr>
            <w:tcW w:w="9738" w:type="dxa"/>
            <w:gridSpan w:val="9"/>
          </w:tcPr>
          <w:p w:rsidR="00AB5482" w:rsidRPr="002F2BA4" w:rsidRDefault="00AB5482" w:rsidP="00425722">
            <w:pPr>
              <w:rPr>
                <w:sz w:val="20"/>
                <w:szCs w:val="20"/>
              </w:rPr>
            </w:pPr>
            <w:r w:rsidRPr="002F2BA4">
              <w:rPr>
                <w:sz w:val="20"/>
                <w:szCs w:val="20"/>
              </w:rPr>
              <w:t>* Best estimates.</w:t>
            </w:r>
          </w:p>
          <w:p w:rsidR="00AB5482" w:rsidRDefault="00AB5482" w:rsidP="00425722">
            <w:pPr>
              <w:rPr>
                <w:sz w:val="20"/>
                <w:szCs w:val="20"/>
              </w:rPr>
            </w:pPr>
            <w:r w:rsidRPr="002F2BA4">
              <w:rPr>
                <w:sz w:val="20"/>
                <w:szCs w:val="20"/>
              </w:rPr>
              <w:t xml:space="preserve">** Assumes a string of pots is set by smaller </w:t>
            </w:r>
            <w:r w:rsidR="00D3669A">
              <w:rPr>
                <w:sz w:val="20"/>
                <w:szCs w:val="20"/>
              </w:rPr>
              <w:t xml:space="preserve">open access </w:t>
            </w:r>
            <w:r w:rsidRPr="002F2BA4">
              <w:rPr>
                <w:sz w:val="20"/>
                <w:szCs w:val="20"/>
              </w:rPr>
              <w:t>vessels, though pots may also be individually set.</w:t>
            </w:r>
          </w:p>
          <w:p w:rsidR="0014084B" w:rsidRPr="002F2BA4" w:rsidRDefault="0014084B" w:rsidP="00425722">
            <w:pPr>
              <w:rPr>
                <w:sz w:val="20"/>
                <w:szCs w:val="20"/>
              </w:rPr>
            </w:pPr>
            <w:r>
              <w:rPr>
                <w:sz w:val="20"/>
                <w:szCs w:val="20"/>
              </w:rPr>
              <w:t>*** Assumes all are small businesses</w:t>
            </w:r>
          </w:p>
          <w:p w:rsidR="00AB5482" w:rsidRPr="00425722" w:rsidRDefault="00AB5482" w:rsidP="00425722">
            <w:pPr>
              <w:rPr>
                <w:sz w:val="20"/>
                <w:szCs w:val="20"/>
              </w:rPr>
            </w:pPr>
            <w:r w:rsidRPr="002F2BA4">
              <w:rPr>
                <w:sz w:val="20"/>
                <w:szCs w:val="20"/>
              </w:rPr>
              <w:t>*</w:t>
            </w:r>
            <w:r w:rsidR="0014084B">
              <w:rPr>
                <w:sz w:val="20"/>
                <w:szCs w:val="20"/>
              </w:rPr>
              <w:t>*</w:t>
            </w:r>
            <w:r w:rsidRPr="002F2BA4">
              <w:rPr>
                <w:sz w:val="20"/>
                <w:szCs w:val="20"/>
              </w:rPr>
              <w:t>** As some vessels may participate in both limited entry and open access, the burden may be slightly overestimated.</w:t>
            </w:r>
          </w:p>
        </w:tc>
      </w:tr>
    </w:tbl>
    <w:p w:rsidR="006902D4" w:rsidRDefault="006902D4" w:rsidP="00493B94">
      <w:pPr>
        <w:rPr>
          <w:sz w:val="20"/>
          <w:szCs w:val="20"/>
        </w:rPr>
      </w:pPr>
    </w:p>
    <w:sectPr w:rsidR="006902D4" w:rsidSect="006902D4">
      <w:footerReference w:type="even" r:id="rId13"/>
      <w:footerReference w:type="default" r:id="rId14"/>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C3" w:rsidRDefault="00B643C3">
      <w:r>
        <w:separator/>
      </w:r>
    </w:p>
  </w:endnote>
  <w:endnote w:type="continuationSeparator" w:id="0">
    <w:p w:rsidR="00B643C3" w:rsidRDefault="00B643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D4" w:rsidRDefault="00B267A4" w:rsidP="00EB4EF4">
    <w:pPr>
      <w:pStyle w:val="Footer"/>
      <w:framePr w:wrap="around" w:vAnchor="text" w:hAnchor="margin" w:xAlign="center" w:y="1"/>
      <w:rPr>
        <w:rStyle w:val="PageNumber"/>
      </w:rPr>
    </w:pPr>
    <w:r>
      <w:rPr>
        <w:rStyle w:val="PageNumber"/>
      </w:rPr>
      <w:fldChar w:fldCharType="begin"/>
    </w:r>
    <w:r w:rsidR="006902D4">
      <w:rPr>
        <w:rStyle w:val="PageNumber"/>
      </w:rPr>
      <w:instrText xml:space="preserve">PAGE  </w:instrText>
    </w:r>
    <w:r>
      <w:rPr>
        <w:rStyle w:val="PageNumber"/>
      </w:rPr>
      <w:fldChar w:fldCharType="end"/>
    </w:r>
  </w:p>
  <w:p w:rsidR="006902D4" w:rsidRDefault="006902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2D4" w:rsidRDefault="00B267A4" w:rsidP="00EB4EF4">
    <w:pPr>
      <w:pStyle w:val="Footer"/>
      <w:framePr w:wrap="around" w:vAnchor="text" w:hAnchor="margin" w:xAlign="center" w:y="1"/>
      <w:rPr>
        <w:rStyle w:val="PageNumber"/>
      </w:rPr>
    </w:pPr>
    <w:r>
      <w:rPr>
        <w:rStyle w:val="PageNumber"/>
      </w:rPr>
      <w:fldChar w:fldCharType="begin"/>
    </w:r>
    <w:r w:rsidR="006902D4">
      <w:rPr>
        <w:rStyle w:val="PageNumber"/>
      </w:rPr>
      <w:instrText xml:space="preserve">PAGE  </w:instrText>
    </w:r>
    <w:r>
      <w:rPr>
        <w:rStyle w:val="PageNumber"/>
      </w:rPr>
      <w:fldChar w:fldCharType="separate"/>
    </w:r>
    <w:r w:rsidR="0045713E">
      <w:rPr>
        <w:rStyle w:val="PageNumber"/>
        <w:noProof/>
      </w:rPr>
      <w:t>1</w:t>
    </w:r>
    <w:r>
      <w:rPr>
        <w:rStyle w:val="PageNumber"/>
      </w:rPr>
      <w:fldChar w:fldCharType="end"/>
    </w:r>
  </w:p>
  <w:p w:rsidR="006902D4" w:rsidRDefault="006902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C3" w:rsidRDefault="00B643C3">
      <w:r>
        <w:separator/>
      </w:r>
    </w:p>
  </w:footnote>
  <w:footnote w:type="continuationSeparator" w:id="0">
    <w:p w:rsidR="00B643C3" w:rsidRDefault="00B64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CD8"/>
    <w:multiLevelType w:val="hybridMultilevel"/>
    <w:tmpl w:val="E71CB30E"/>
    <w:lvl w:ilvl="0" w:tplc="3CDAF7C0">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17693"/>
    <w:rsid w:val="00016D74"/>
    <w:rsid w:val="0004088D"/>
    <w:rsid w:val="000A3A5A"/>
    <w:rsid w:val="000B03A1"/>
    <w:rsid w:val="00135879"/>
    <w:rsid w:val="0014084B"/>
    <w:rsid w:val="00186125"/>
    <w:rsid w:val="002513A2"/>
    <w:rsid w:val="00284171"/>
    <w:rsid w:val="00285B43"/>
    <w:rsid w:val="00295C8D"/>
    <w:rsid w:val="002D0738"/>
    <w:rsid w:val="002F2BA4"/>
    <w:rsid w:val="00302F00"/>
    <w:rsid w:val="003459EF"/>
    <w:rsid w:val="00363F5D"/>
    <w:rsid w:val="0038207A"/>
    <w:rsid w:val="003B693A"/>
    <w:rsid w:val="003F7BBD"/>
    <w:rsid w:val="004041C7"/>
    <w:rsid w:val="00405772"/>
    <w:rsid w:val="004178C2"/>
    <w:rsid w:val="00425722"/>
    <w:rsid w:val="0042624F"/>
    <w:rsid w:val="00435EAF"/>
    <w:rsid w:val="0045713E"/>
    <w:rsid w:val="00476CFA"/>
    <w:rsid w:val="0048537B"/>
    <w:rsid w:val="00493B94"/>
    <w:rsid w:val="004C2BE2"/>
    <w:rsid w:val="004F6E8C"/>
    <w:rsid w:val="005D3BF5"/>
    <w:rsid w:val="00617693"/>
    <w:rsid w:val="0064383D"/>
    <w:rsid w:val="006642F1"/>
    <w:rsid w:val="00675E13"/>
    <w:rsid w:val="00682C56"/>
    <w:rsid w:val="00684994"/>
    <w:rsid w:val="006902D4"/>
    <w:rsid w:val="0069360C"/>
    <w:rsid w:val="007246F6"/>
    <w:rsid w:val="00754859"/>
    <w:rsid w:val="00780809"/>
    <w:rsid w:val="00780F29"/>
    <w:rsid w:val="00783AC3"/>
    <w:rsid w:val="007E752F"/>
    <w:rsid w:val="00817C10"/>
    <w:rsid w:val="00821FBB"/>
    <w:rsid w:val="008871C9"/>
    <w:rsid w:val="00910FC8"/>
    <w:rsid w:val="00944D52"/>
    <w:rsid w:val="009554B4"/>
    <w:rsid w:val="009A0091"/>
    <w:rsid w:val="009B71B9"/>
    <w:rsid w:val="009E327D"/>
    <w:rsid w:val="009F2E8F"/>
    <w:rsid w:val="00A21F8A"/>
    <w:rsid w:val="00A570DD"/>
    <w:rsid w:val="00AB5482"/>
    <w:rsid w:val="00AF0F13"/>
    <w:rsid w:val="00B11CF4"/>
    <w:rsid w:val="00B267A4"/>
    <w:rsid w:val="00B643C3"/>
    <w:rsid w:val="00B76BD5"/>
    <w:rsid w:val="00BE52C1"/>
    <w:rsid w:val="00BE66C7"/>
    <w:rsid w:val="00C33A9D"/>
    <w:rsid w:val="00C41E72"/>
    <w:rsid w:val="00C43BA7"/>
    <w:rsid w:val="00C976CF"/>
    <w:rsid w:val="00CC682D"/>
    <w:rsid w:val="00CF3FB5"/>
    <w:rsid w:val="00D05957"/>
    <w:rsid w:val="00D3669A"/>
    <w:rsid w:val="00D528B4"/>
    <w:rsid w:val="00D57D39"/>
    <w:rsid w:val="00D734A9"/>
    <w:rsid w:val="00E13CDC"/>
    <w:rsid w:val="00E2480E"/>
    <w:rsid w:val="00E4467F"/>
    <w:rsid w:val="00E55856"/>
    <w:rsid w:val="00EB4EF4"/>
    <w:rsid w:val="00EB633B"/>
    <w:rsid w:val="00ED08CF"/>
    <w:rsid w:val="00EF31B7"/>
    <w:rsid w:val="00F062A5"/>
    <w:rsid w:val="00F15519"/>
    <w:rsid w:val="00F40666"/>
    <w:rsid w:val="00F43686"/>
    <w:rsid w:val="00F9425C"/>
    <w:rsid w:val="00FB4306"/>
    <w:rsid w:val="00FE5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3ed22676d66c346e837bef5267c354c&amp;rgn=div8&amp;view=text&amp;node=50:11.0.1.1.1.5.1.6&amp;idno=5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gpo.gov/fdsys/pkg/FR-2010-12-15/pdf/2010-30527.pdf"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forceexplor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po.gov/fdsys/pkg/FR-2010-12-15/pdf/2010-30527.pdf" TargetMode="External"/><Relationship Id="rId4" Type="http://schemas.openxmlformats.org/officeDocument/2006/relationships/webSettings" Target="webSettings.xml"/><Relationship Id="rId9" Type="http://schemas.openxmlformats.org/officeDocument/2006/relationships/hyperlink" Target="http://ecfr.gpoaccess.gov/cgi/t/text/text-idx?c=ecfr&amp;sid=33ed22676d66c346e837bef5267c354c&amp;rgn=div8&amp;view=text&amp;node=50:11.0.1.1.1.6.1.6&amp;idno=5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1</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Jamie Goen</dc:creator>
  <cp:keywords/>
  <dc:description/>
  <cp:lastModifiedBy>sarah.brabson</cp:lastModifiedBy>
  <cp:revision>40</cp:revision>
  <cp:lastPrinted>2011-12-30T17:56:00Z</cp:lastPrinted>
  <dcterms:created xsi:type="dcterms:W3CDTF">2011-07-25T22:59:00Z</dcterms:created>
  <dcterms:modified xsi:type="dcterms:W3CDTF">2012-01-19T16:35:00Z</dcterms:modified>
</cp:coreProperties>
</file>