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B7" w:rsidRPr="007F3DE8" w:rsidRDefault="006C4744">
      <w:pPr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66775" cy="914400"/>
            <wp:effectExtent l="19050" t="0" r="9525" b="0"/>
            <wp:wrapNone/>
            <wp:docPr id="2" name="Picture 2" descr="DHHS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HHS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35B7">
        <w:tab/>
      </w:r>
      <w:r w:rsidR="002B35B7">
        <w:tab/>
        <w:t xml:space="preserve">  </w:t>
      </w:r>
      <w:r w:rsidR="002B35B7" w:rsidRPr="00EC47A0">
        <w:rPr>
          <w:rFonts w:ascii="Arial" w:hAnsi="Arial" w:cs="Arial"/>
          <w:b/>
          <w:sz w:val="18"/>
        </w:rPr>
        <w:t>DEPARTMENT OF HEALTH &amp; HUMAN SERVICES</w:t>
      </w:r>
      <w:r w:rsidR="002B35B7" w:rsidRPr="00EC47A0">
        <w:rPr>
          <w:rFonts w:ascii="Arial" w:hAnsi="Arial" w:cs="Arial"/>
          <w:b/>
          <w:sz w:val="18"/>
        </w:rPr>
        <w:tab/>
      </w:r>
      <w:r w:rsidR="002B35B7">
        <w:rPr>
          <w:sz w:val="18"/>
        </w:rPr>
        <w:tab/>
      </w:r>
      <w:r w:rsidR="002B35B7">
        <w:rPr>
          <w:sz w:val="18"/>
        </w:rPr>
        <w:tab/>
      </w:r>
      <w:r w:rsidR="002B7CE6">
        <w:rPr>
          <w:sz w:val="18"/>
        </w:rPr>
        <w:t xml:space="preserve">         </w:t>
      </w:r>
      <w:r w:rsidR="002B35B7" w:rsidRPr="007F3DE8">
        <w:rPr>
          <w:rFonts w:ascii="Arial" w:hAnsi="Arial" w:cs="Arial"/>
          <w:sz w:val="18"/>
          <w:szCs w:val="18"/>
        </w:rPr>
        <w:t>Public Health Service</w:t>
      </w:r>
    </w:p>
    <w:p w:rsidR="002B35B7" w:rsidRPr="007F3DE8" w:rsidRDefault="002B35B7">
      <w:pPr>
        <w:rPr>
          <w:rFonts w:ascii="Arial" w:hAnsi="Arial" w:cs="Arial"/>
          <w:sz w:val="18"/>
          <w:szCs w:val="18"/>
        </w:rPr>
      </w:pPr>
    </w:p>
    <w:p w:rsidR="002B35B7" w:rsidRPr="007F3DE8" w:rsidRDefault="005E473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line id="_x0000_s1026" style="position:absolute;z-index:251658240" from="79.2pt,4.8pt" to="543.6pt,4.8pt" o:allowincell="f"/>
        </w:pict>
      </w:r>
      <w:r w:rsidR="002B35B7" w:rsidRPr="007F3DE8">
        <w:rPr>
          <w:rFonts w:ascii="Arial" w:hAnsi="Arial" w:cs="Arial"/>
          <w:sz w:val="18"/>
          <w:szCs w:val="18"/>
        </w:rPr>
        <w:tab/>
      </w:r>
      <w:r w:rsidR="002B35B7" w:rsidRPr="007F3DE8">
        <w:rPr>
          <w:rFonts w:ascii="Arial" w:hAnsi="Arial" w:cs="Arial"/>
          <w:sz w:val="18"/>
          <w:szCs w:val="18"/>
        </w:rPr>
        <w:tab/>
      </w:r>
    </w:p>
    <w:p w:rsidR="00E73458" w:rsidRPr="007F3DE8" w:rsidRDefault="002B7CE6" w:rsidP="00EC47A0">
      <w:pPr>
        <w:ind w:firstLine="720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2B35B7" w:rsidRPr="007F3DE8">
        <w:rPr>
          <w:rFonts w:ascii="Arial" w:hAnsi="Arial" w:cs="Arial"/>
          <w:sz w:val="18"/>
          <w:szCs w:val="18"/>
        </w:rPr>
        <w:t>NIH</w:t>
      </w:r>
      <w:r w:rsidR="005B582B">
        <w:rPr>
          <w:rFonts w:ascii="Arial" w:hAnsi="Arial" w:cs="Arial"/>
          <w:sz w:val="18"/>
          <w:szCs w:val="18"/>
        </w:rPr>
        <w:t xml:space="preserve"> Clinical Center, Office of Clinical Research Training and Medical Education</w:t>
      </w:r>
    </w:p>
    <w:p w:rsidR="00436AEC" w:rsidRDefault="00436AEC" w:rsidP="00EC47A0">
      <w:pPr>
        <w:ind w:firstLine="7200"/>
        <w:jc w:val="right"/>
        <w:rPr>
          <w:rFonts w:ascii="Arial" w:hAnsi="Arial" w:cs="Arial"/>
          <w:sz w:val="18"/>
          <w:szCs w:val="18"/>
        </w:rPr>
      </w:pPr>
    </w:p>
    <w:p w:rsidR="008E7BD6" w:rsidRDefault="008E7BD6" w:rsidP="008E7BD6">
      <w:pPr>
        <w:ind w:left="648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</w:t>
      </w:r>
      <w:r w:rsidR="007711B3">
        <w:rPr>
          <w:rFonts w:ascii="Arial" w:hAnsi="Arial" w:cs="Arial"/>
          <w:b/>
          <w:sz w:val="20"/>
        </w:rPr>
        <w:t xml:space="preserve">Graduate </w:t>
      </w:r>
      <w:r w:rsidR="00E73458" w:rsidRPr="00436AEC">
        <w:rPr>
          <w:rFonts w:ascii="Arial" w:hAnsi="Arial" w:cs="Arial"/>
          <w:b/>
          <w:sz w:val="20"/>
        </w:rPr>
        <w:t>Medical</w:t>
      </w:r>
      <w:r w:rsidR="00436AEC" w:rsidRPr="00436AEC">
        <w:rPr>
          <w:rFonts w:ascii="Arial" w:hAnsi="Arial" w:cs="Arial"/>
          <w:b/>
          <w:sz w:val="20"/>
        </w:rPr>
        <w:t xml:space="preserve"> </w:t>
      </w:r>
      <w:r w:rsidR="00E73458" w:rsidRPr="00436AEC">
        <w:rPr>
          <w:rFonts w:ascii="Arial" w:hAnsi="Arial" w:cs="Arial"/>
          <w:b/>
          <w:sz w:val="20"/>
        </w:rPr>
        <w:t>Education</w:t>
      </w:r>
    </w:p>
    <w:p w:rsidR="008E7BD6" w:rsidRDefault="008E7BD6" w:rsidP="008E7BD6">
      <w:pPr>
        <w:ind w:left="6480"/>
        <w:rPr>
          <w:rFonts w:ascii="Arial" w:hAnsi="Arial" w:cs="Arial"/>
          <w:b/>
          <w:sz w:val="20"/>
        </w:rPr>
      </w:pPr>
    </w:p>
    <w:p w:rsidR="00EC47A0" w:rsidRPr="008E7BD6" w:rsidRDefault="008E7BD6" w:rsidP="008E7BD6">
      <w:pPr>
        <w:ind w:left="576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18"/>
          <w:szCs w:val="18"/>
        </w:rPr>
        <w:t xml:space="preserve">        </w:t>
      </w:r>
      <w:r w:rsidR="00EC47A0">
        <w:rPr>
          <w:rFonts w:ascii="Arial" w:hAnsi="Arial" w:cs="Arial"/>
          <w:sz w:val="18"/>
          <w:szCs w:val="18"/>
        </w:rPr>
        <w:t>Building 10, Room 1</w:t>
      </w:r>
      <w:r w:rsidR="00047B1A">
        <w:rPr>
          <w:rFonts w:ascii="Arial" w:hAnsi="Arial" w:cs="Arial"/>
          <w:sz w:val="18"/>
          <w:szCs w:val="18"/>
        </w:rPr>
        <w:t>N-252</w:t>
      </w:r>
      <w:r w:rsidR="00814D1C">
        <w:rPr>
          <w:rFonts w:ascii="Arial" w:hAnsi="Arial" w:cs="Arial"/>
          <w:sz w:val="18"/>
          <w:szCs w:val="18"/>
        </w:rPr>
        <w:t>C</w:t>
      </w:r>
      <w:r w:rsidR="00047B1A">
        <w:rPr>
          <w:rFonts w:ascii="Arial" w:hAnsi="Arial" w:cs="Arial"/>
          <w:sz w:val="18"/>
          <w:szCs w:val="18"/>
        </w:rPr>
        <w:t>,</w:t>
      </w:r>
      <w:r w:rsidR="00EC47A0">
        <w:rPr>
          <w:rFonts w:ascii="Arial" w:hAnsi="Arial" w:cs="Arial"/>
          <w:sz w:val="18"/>
          <w:szCs w:val="18"/>
        </w:rPr>
        <w:t xml:space="preserve"> MSC 1158</w:t>
      </w:r>
    </w:p>
    <w:p w:rsidR="007F3DE8" w:rsidRPr="007F3DE8" w:rsidRDefault="008E7BD6" w:rsidP="008E7BD6">
      <w:pPr>
        <w:ind w:left="64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7F3DE8" w:rsidRPr="007F3DE8">
        <w:rPr>
          <w:rFonts w:ascii="Arial" w:hAnsi="Arial" w:cs="Arial"/>
          <w:sz w:val="18"/>
          <w:szCs w:val="18"/>
        </w:rPr>
        <w:t>10 Center Drive, Room 1</w:t>
      </w:r>
      <w:r w:rsidR="00047B1A">
        <w:rPr>
          <w:rFonts w:ascii="Arial" w:hAnsi="Arial" w:cs="Arial"/>
          <w:sz w:val="18"/>
          <w:szCs w:val="18"/>
        </w:rPr>
        <w:t>N-252</w:t>
      </w:r>
      <w:r w:rsidR="00814D1C">
        <w:rPr>
          <w:rFonts w:ascii="Arial" w:hAnsi="Arial" w:cs="Arial"/>
          <w:sz w:val="18"/>
          <w:szCs w:val="18"/>
        </w:rPr>
        <w:t>C</w:t>
      </w:r>
    </w:p>
    <w:p w:rsidR="002B35B7" w:rsidRDefault="008E7BD6" w:rsidP="008E7BD6">
      <w:pPr>
        <w:ind w:left="64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2B35B7" w:rsidRPr="007F3DE8">
        <w:rPr>
          <w:rFonts w:ascii="Arial" w:hAnsi="Arial" w:cs="Arial"/>
          <w:sz w:val="18"/>
          <w:szCs w:val="18"/>
        </w:rPr>
        <w:t>Bethesda, MD  20892</w:t>
      </w:r>
      <w:r w:rsidR="007F3DE8" w:rsidRPr="007F3DE8">
        <w:rPr>
          <w:rFonts w:ascii="Arial" w:hAnsi="Arial" w:cs="Arial"/>
          <w:sz w:val="18"/>
          <w:szCs w:val="18"/>
        </w:rPr>
        <w:t>-1158</w:t>
      </w:r>
    </w:p>
    <w:p w:rsidR="00436AEC" w:rsidRDefault="00436AEC" w:rsidP="00EC47A0">
      <w:pPr>
        <w:ind w:firstLine="7200"/>
        <w:jc w:val="right"/>
        <w:rPr>
          <w:rFonts w:ascii="Arial" w:hAnsi="Arial" w:cs="Arial"/>
          <w:sz w:val="18"/>
          <w:szCs w:val="18"/>
        </w:rPr>
      </w:pPr>
    </w:p>
    <w:p w:rsidR="00EC47A0" w:rsidRDefault="00EC47A0" w:rsidP="00EC47A0">
      <w:pPr>
        <w:ind w:firstLine="720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Phone (301) </w:t>
      </w:r>
      <w:r w:rsidR="005B582B">
        <w:rPr>
          <w:rFonts w:ascii="Arial" w:hAnsi="Arial" w:cs="Arial"/>
          <w:sz w:val="18"/>
          <w:szCs w:val="18"/>
        </w:rPr>
        <w:t>496-2636</w:t>
      </w:r>
    </w:p>
    <w:p w:rsidR="00EC47A0" w:rsidRDefault="00EC47A0" w:rsidP="00EC47A0">
      <w:pPr>
        <w:ind w:firstLine="7200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Fax (301) </w:t>
      </w:r>
      <w:r w:rsidR="005B582B">
        <w:rPr>
          <w:rFonts w:ascii="Arial" w:hAnsi="Arial" w:cs="Arial"/>
          <w:sz w:val="18"/>
          <w:szCs w:val="18"/>
        </w:rPr>
        <w:t>402-2158</w:t>
      </w:r>
    </w:p>
    <w:p w:rsidR="00436AEC" w:rsidRDefault="00436AEC" w:rsidP="00EC47A0">
      <w:pPr>
        <w:ind w:left="7470" w:hanging="270"/>
        <w:jc w:val="right"/>
        <w:rPr>
          <w:rFonts w:ascii="Arial" w:hAnsi="Arial" w:cs="Arial"/>
          <w:sz w:val="18"/>
          <w:szCs w:val="18"/>
        </w:rPr>
      </w:pPr>
    </w:p>
    <w:p w:rsidR="00A45426" w:rsidRDefault="00A45426" w:rsidP="00EC47A0">
      <w:pPr>
        <w:ind w:left="7470" w:hanging="270"/>
        <w:jc w:val="right"/>
        <w:rPr>
          <w:rFonts w:ascii="Arial" w:hAnsi="Arial" w:cs="Arial"/>
          <w:sz w:val="18"/>
          <w:szCs w:val="18"/>
        </w:rPr>
      </w:pPr>
    </w:p>
    <w:p w:rsidR="00A45426" w:rsidRDefault="007F3DE8" w:rsidP="00EC47A0">
      <w:pPr>
        <w:ind w:left="7470" w:hanging="270"/>
        <w:jc w:val="right"/>
        <w:rPr>
          <w:rFonts w:ascii="Arial" w:hAnsi="Arial" w:cs="Arial"/>
          <w:sz w:val="18"/>
          <w:szCs w:val="18"/>
        </w:rPr>
      </w:pPr>
      <w:r w:rsidRPr="007F3DE8">
        <w:rPr>
          <w:rFonts w:ascii="Arial" w:hAnsi="Arial" w:cs="Arial"/>
          <w:sz w:val="18"/>
          <w:szCs w:val="18"/>
        </w:rPr>
        <w:t xml:space="preserve">       </w:t>
      </w:r>
    </w:p>
    <w:p w:rsidR="00A45426" w:rsidRPr="00A45426" w:rsidRDefault="00BB33BF" w:rsidP="00A4542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DATE</w:t>
      </w:r>
      <w:r w:rsidR="00A45426">
        <w:rPr>
          <w:rFonts w:ascii="Arial" w:hAnsi="Arial" w:cs="Arial"/>
          <w:szCs w:val="24"/>
        </w:rPr>
        <w:t>:</w:t>
      </w:r>
      <w:r w:rsidR="00A45426">
        <w:rPr>
          <w:rFonts w:ascii="Arial" w:hAnsi="Arial" w:cs="Arial"/>
          <w:szCs w:val="24"/>
        </w:rPr>
        <w:tab/>
      </w:r>
      <w:r w:rsidR="00A45426">
        <w:rPr>
          <w:rFonts w:ascii="Arial" w:hAnsi="Arial" w:cs="Arial"/>
          <w:szCs w:val="24"/>
        </w:rPr>
        <w:tab/>
      </w:r>
      <w:r w:rsidR="00190392">
        <w:rPr>
          <w:rFonts w:ascii="Arial" w:hAnsi="Arial" w:cs="Arial"/>
          <w:szCs w:val="24"/>
        </w:rPr>
        <w:t>January 12</w:t>
      </w:r>
      <w:r w:rsidR="0086374F">
        <w:rPr>
          <w:rFonts w:ascii="Arial" w:hAnsi="Arial" w:cs="Arial"/>
          <w:szCs w:val="24"/>
        </w:rPr>
        <w:t>, 2012</w:t>
      </w:r>
    </w:p>
    <w:p w:rsidR="00A45426" w:rsidRDefault="00A45426" w:rsidP="00A45426">
      <w:pPr>
        <w:rPr>
          <w:rFonts w:ascii="Arial" w:hAnsi="Arial" w:cs="Arial"/>
          <w:szCs w:val="24"/>
        </w:rPr>
      </w:pPr>
    </w:p>
    <w:p w:rsidR="00BB33BF" w:rsidRDefault="00BB33BF" w:rsidP="008518F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TO</w:t>
      </w:r>
      <w:r w:rsidR="00A45426">
        <w:rPr>
          <w:rFonts w:ascii="Arial" w:hAnsi="Arial" w:cs="Arial"/>
          <w:szCs w:val="24"/>
        </w:rPr>
        <w:t>:</w:t>
      </w:r>
      <w:r w:rsidR="00A45426">
        <w:rPr>
          <w:rFonts w:ascii="Arial" w:hAnsi="Arial" w:cs="Arial"/>
          <w:szCs w:val="24"/>
        </w:rPr>
        <w:tab/>
      </w:r>
      <w:r w:rsidR="00625254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Mikia Currie</w:t>
      </w:r>
    </w:p>
    <w:p w:rsidR="00BB33BF" w:rsidRDefault="00BB33BF" w:rsidP="00BB33BF">
      <w:pPr>
        <w:ind w:left="7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Program </w:t>
      </w:r>
      <w:r w:rsidR="002A4A93">
        <w:rPr>
          <w:rFonts w:ascii="Arial" w:hAnsi="Arial" w:cs="Arial"/>
          <w:szCs w:val="24"/>
        </w:rPr>
        <w:t>Analyst</w:t>
      </w:r>
    </w:p>
    <w:p w:rsidR="00BB33BF" w:rsidRDefault="00BB33BF" w:rsidP="00BB33BF">
      <w:pPr>
        <w:ind w:left="7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NIH Project Clearance Branch</w:t>
      </w:r>
    </w:p>
    <w:p w:rsidR="00BB33BF" w:rsidRDefault="00BB33BF" w:rsidP="00BB33BF">
      <w:pPr>
        <w:rPr>
          <w:rFonts w:ascii="Arial" w:hAnsi="Arial" w:cs="Arial"/>
          <w:szCs w:val="24"/>
        </w:rPr>
      </w:pPr>
    </w:p>
    <w:p w:rsidR="00BB33BF" w:rsidRDefault="00BB33BF" w:rsidP="00BB33B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Through:</w:t>
      </w:r>
      <w:r>
        <w:rPr>
          <w:rFonts w:ascii="Arial" w:hAnsi="Arial" w:cs="Arial"/>
          <w:szCs w:val="24"/>
        </w:rPr>
        <w:tab/>
        <w:t>Office of Management and Budget (OMB)</w:t>
      </w:r>
    </w:p>
    <w:p w:rsidR="00BB33BF" w:rsidRDefault="00BB33BF" w:rsidP="00BB33BF">
      <w:pPr>
        <w:ind w:left="7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Reports Clearance Officer, DHHS</w:t>
      </w:r>
    </w:p>
    <w:p w:rsidR="00A45426" w:rsidRDefault="00A45426" w:rsidP="00A45426">
      <w:pPr>
        <w:rPr>
          <w:rFonts w:ascii="Arial" w:hAnsi="Arial" w:cs="Arial"/>
          <w:szCs w:val="24"/>
        </w:rPr>
      </w:pPr>
    </w:p>
    <w:p w:rsidR="00A45426" w:rsidRDefault="00BB33BF" w:rsidP="00A4542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FROM</w:t>
      </w:r>
      <w:r w:rsidR="00A45426">
        <w:rPr>
          <w:rFonts w:ascii="Arial" w:hAnsi="Arial" w:cs="Arial"/>
          <w:szCs w:val="24"/>
        </w:rPr>
        <w:t>:</w:t>
      </w:r>
      <w:r w:rsidR="00A45426">
        <w:rPr>
          <w:rFonts w:ascii="Arial" w:hAnsi="Arial" w:cs="Arial"/>
          <w:szCs w:val="24"/>
        </w:rPr>
        <w:tab/>
        <w:t>Robert M. Lembo, MD</w:t>
      </w:r>
    </w:p>
    <w:p w:rsidR="00A45426" w:rsidRDefault="00A45426" w:rsidP="00A4542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Executive Director, Graduate Medical Education</w:t>
      </w:r>
    </w:p>
    <w:p w:rsidR="00545CCC" w:rsidRDefault="00545CCC" w:rsidP="00A4542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Office of Clinical Research Training and Medical Education</w:t>
      </w:r>
    </w:p>
    <w:p w:rsidR="00A45426" w:rsidRDefault="00A45426" w:rsidP="00A45426">
      <w:pPr>
        <w:rPr>
          <w:rFonts w:ascii="Arial" w:hAnsi="Arial" w:cs="Arial"/>
          <w:szCs w:val="24"/>
        </w:rPr>
      </w:pPr>
    </w:p>
    <w:p w:rsidR="009F4FC1" w:rsidRDefault="00BB33BF" w:rsidP="009209B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SUBJECT</w:t>
      </w:r>
      <w:r w:rsidR="00A45426">
        <w:rPr>
          <w:rFonts w:ascii="Arial" w:hAnsi="Arial" w:cs="Arial"/>
          <w:szCs w:val="24"/>
        </w:rPr>
        <w:t>:</w:t>
      </w:r>
      <w:r w:rsidR="00A45426">
        <w:rPr>
          <w:rFonts w:ascii="Arial" w:hAnsi="Arial" w:cs="Arial"/>
          <w:szCs w:val="24"/>
        </w:rPr>
        <w:tab/>
      </w:r>
      <w:r w:rsidR="00372902">
        <w:rPr>
          <w:rFonts w:ascii="Arial" w:hAnsi="Arial" w:cs="Arial"/>
          <w:szCs w:val="24"/>
        </w:rPr>
        <w:t xml:space="preserve">Modification of </w:t>
      </w:r>
      <w:r w:rsidR="00372902" w:rsidRPr="00F444B6">
        <w:rPr>
          <w:rFonts w:ascii="Arial" w:hAnsi="Arial" w:cs="Arial"/>
          <w:szCs w:val="24"/>
        </w:rPr>
        <w:t xml:space="preserve">Graduate Medical Education Alumni Survey </w:t>
      </w:r>
    </w:p>
    <w:p w:rsidR="00A45426" w:rsidRDefault="00372902" w:rsidP="009F4FC1">
      <w:pPr>
        <w:ind w:left="720" w:firstLine="720"/>
        <w:rPr>
          <w:rFonts w:ascii="Arial" w:hAnsi="Arial" w:cs="Arial"/>
          <w:szCs w:val="24"/>
        </w:rPr>
      </w:pPr>
      <w:r w:rsidRPr="00F444B6">
        <w:rPr>
          <w:rFonts w:ascii="Arial" w:hAnsi="Arial" w:cs="Arial"/>
          <w:szCs w:val="24"/>
        </w:rPr>
        <w:t xml:space="preserve">(OMB </w:t>
      </w:r>
      <w:r>
        <w:rPr>
          <w:rFonts w:ascii="Arial" w:hAnsi="Arial" w:cs="Arial"/>
          <w:szCs w:val="24"/>
        </w:rPr>
        <w:t>#</w:t>
      </w:r>
      <w:r w:rsidRPr="00F444B6">
        <w:rPr>
          <w:rFonts w:ascii="Arial" w:hAnsi="Arial" w:cs="Arial"/>
          <w:szCs w:val="24"/>
        </w:rPr>
        <w:t xml:space="preserve"> 0925-0602</w:t>
      </w:r>
      <w:r w:rsidR="000219CC">
        <w:rPr>
          <w:rFonts w:ascii="Arial" w:hAnsi="Arial" w:cs="Arial"/>
          <w:szCs w:val="24"/>
        </w:rPr>
        <w:t>, Expiration Date 08/31/2012</w:t>
      </w:r>
      <w:r w:rsidRPr="00F444B6">
        <w:rPr>
          <w:rFonts w:ascii="Arial" w:hAnsi="Arial" w:cs="Arial"/>
          <w:szCs w:val="24"/>
        </w:rPr>
        <w:t>)</w:t>
      </w:r>
    </w:p>
    <w:p w:rsidR="00A45426" w:rsidRDefault="00A45426" w:rsidP="00A45426">
      <w:pPr>
        <w:rPr>
          <w:rFonts w:ascii="Arial" w:hAnsi="Arial" w:cs="Arial"/>
          <w:szCs w:val="24"/>
        </w:rPr>
      </w:pPr>
    </w:p>
    <w:p w:rsidR="009209B6" w:rsidRDefault="00A45426" w:rsidP="0037290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F444B6" w:rsidRPr="00FD0D1A" w:rsidRDefault="00F444B6" w:rsidP="00F444B6">
      <w:pPr>
        <w:rPr>
          <w:rFonts w:ascii="Arial" w:hAnsi="Arial" w:cs="Arial"/>
          <w:szCs w:val="24"/>
        </w:rPr>
      </w:pPr>
      <w:r w:rsidRPr="00FD0D1A">
        <w:rPr>
          <w:rFonts w:ascii="Arial" w:hAnsi="Arial" w:cs="Arial"/>
          <w:szCs w:val="24"/>
        </w:rPr>
        <w:t xml:space="preserve"> </w:t>
      </w:r>
      <w:r w:rsidR="0086374F" w:rsidRPr="00FD0D1A">
        <w:rPr>
          <w:rFonts w:ascii="Arial" w:hAnsi="Arial" w:cs="Arial"/>
          <w:szCs w:val="24"/>
        </w:rPr>
        <w:t xml:space="preserve">We seek to incorporate one new, multiple choice question to the survey that will help us prospectively evaluate the attractiveness of the NIH Loan Repayment Programs to research-oriented graduates who may seek further advanced-level training at the NIH.  Recognizing </w:t>
      </w:r>
      <w:r w:rsidR="00B00A04" w:rsidRPr="00FD0D1A">
        <w:rPr>
          <w:rFonts w:ascii="Arial" w:hAnsi="Arial" w:cs="Arial"/>
          <w:szCs w:val="24"/>
        </w:rPr>
        <w:t xml:space="preserve">that increasing debt burdens may dissuade these trainees from pursuing advanced-level clinical-research training, this question has gained significant importance to the NIH and its accomplishment of its mission to train the next generation of clinician scientists.  </w:t>
      </w:r>
      <w:r w:rsidR="0086374F" w:rsidRPr="00FD0D1A">
        <w:rPr>
          <w:rFonts w:ascii="Arial" w:hAnsi="Arial" w:cs="Arial"/>
          <w:szCs w:val="24"/>
        </w:rPr>
        <w:t xml:space="preserve">The additional time burden </w:t>
      </w:r>
      <w:r w:rsidR="00B00A04" w:rsidRPr="00FD0D1A">
        <w:rPr>
          <w:rFonts w:ascii="Arial" w:hAnsi="Arial" w:cs="Arial"/>
          <w:szCs w:val="24"/>
        </w:rPr>
        <w:t xml:space="preserve">associated with this new multiple choice question </w:t>
      </w:r>
      <w:r w:rsidR="004D0F02">
        <w:rPr>
          <w:rFonts w:ascii="Arial" w:hAnsi="Arial" w:cs="Arial"/>
          <w:szCs w:val="24"/>
        </w:rPr>
        <w:t>would be at most 1 minute.</w:t>
      </w:r>
      <w:r w:rsidR="000219CC">
        <w:rPr>
          <w:rFonts w:ascii="Arial" w:hAnsi="Arial" w:cs="Arial"/>
          <w:szCs w:val="24"/>
        </w:rPr>
        <w:t xml:space="preserve"> The current annual hours are 272, with this addition it will now be 289 hours.</w:t>
      </w:r>
      <w:r w:rsidR="004D0F02">
        <w:rPr>
          <w:rFonts w:ascii="Arial" w:hAnsi="Arial" w:cs="Arial"/>
          <w:szCs w:val="24"/>
        </w:rPr>
        <w:t xml:space="preserve">  </w:t>
      </w:r>
      <w:r w:rsidR="0086374F" w:rsidRPr="00FD0D1A">
        <w:rPr>
          <w:rFonts w:ascii="Arial" w:hAnsi="Arial" w:cs="Arial"/>
          <w:szCs w:val="24"/>
        </w:rPr>
        <w:t>All other dimensions of the survey will remain unchanged.</w:t>
      </w:r>
    </w:p>
    <w:p w:rsidR="0086374F" w:rsidRPr="00FD0D1A" w:rsidRDefault="0086374F" w:rsidP="00F444B6">
      <w:pPr>
        <w:rPr>
          <w:rFonts w:ascii="Arial" w:hAnsi="Arial" w:cs="Arial"/>
          <w:szCs w:val="24"/>
        </w:rPr>
      </w:pPr>
    </w:p>
    <w:p w:rsidR="0086374F" w:rsidRPr="00FD0D1A" w:rsidRDefault="0086374F" w:rsidP="00F444B6">
      <w:pPr>
        <w:rPr>
          <w:rFonts w:ascii="Arial" w:hAnsi="Arial" w:cs="Arial"/>
          <w:szCs w:val="24"/>
        </w:rPr>
      </w:pPr>
      <w:r w:rsidRPr="00FD0D1A">
        <w:rPr>
          <w:rFonts w:ascii="Arial" w:hAnsi="Arial" w:cs="Arial"/>
          <w:szCs w:val="24"/>
        </w:rPr>
        <w:t>Proposed new question:</w:t>
      </w:r>
    </w:p>
    <w:p w:rsidR="0086374F" w:rsidRPr="00FD0D1A" w:rsidRDefault="0086374F" w:rsidP="00F444B6">
      <w:pPr>
        <w:rPr>
          <w:rFonts w:ascii="Arial" w:hAnsi="Arial" w:cs="Arial"/>
          <w:szCs w:val="24"/>
        </w:rPr>
      </w:pPr>
    </w:p>
    <w:p w:rsidR="0086374F" w:rsidRPr="00FD0D1A" w:rsidRDefault="0086374F" w:rsidP="0086374F">
      <w:pPr>
        <w:ind w:left="720" w:firstLine="720"/>
        <w:rPr>
          <w:rFonts w:ascii="Arial" w:hAnsi="Arial" w:cs="Arial"/>
          <w:color w:val="000000" w:themeColor="text1"/>
        </w:rPr>
      </w:pPr>
      <w:r w:rsidRPr="00FD0D1A">
        <w:rPr>
          <w:rFonts w:ascii="Arial" w:hAnsi="Arial" w:cs="Arial"/>
          <w:color w:val="000000" w:themeColor="text1"/>
        </w:rPr>
        <w:t xml:space="preserve">When you completed medical or dental school, what was your debt </w:t>
      </w:r>
      <w:r w:rsidR="00FD0D1A">
        <w:rPr>
          <w:rFonts w:ascii="Arial" w:hAnsi="Arial" w:cs="Arial"/>
          <w:color w:val="000000" w:themeColor="text1"/>
        </w:rPr>
        <w:tab/>
        <w:t>b</w:t>
      </w:r>
      <w:r w:rsidRPr="00FD0D1A">
        <w:rPr>
          <w:rFonts w:ascii="Arial" w:hAnsi="Arial" w:cs="Arial"/>
          <w:color w:val="000000" w:themeColor="text1"/>
        </w:rPr>
        <w:t>urden?</w:t>
      </w:r>
    </w:p>
    <w:p w:rsidR="0086374F" w:rsidRPr="00FD0D1A" w:rsidRDefault="0086374F" w:rsidP="0086374F">
      <w:pPr>
        <w:numPr>
          <w:ilvl w:val="2"/>
          <w:numId w:val="2"/>
        </w:numPr>
        <w:rPr>
          <w:rFonts w:ascii="Arial" w:hAnsi="Arial" w:cs="Arial"/>
          <w:color w:val="000000" w:themeColor="text1"/>
        </w:rPr>
      </w:pPr>
      <w:r w:rsidRPr="00FD0D1A">
        <w:rPr>
          <w:rFonts w:ascii="Arial" w:hAnsi="Arial" w:cs="Arial"/>
          <w:color w:val="000000" w:themeColor="text1"/>
        </w:rPr>
        <w:t>None</w:t>
      </w:r>
    </w:p>
    <w:p w:rsidR="0086374F" w:rsidRPr="00FD0D1A" w:rsidRDefault="0086374F" w:rsidP="0086374F">
      <w:pPr>
        <w:numPr>
          <w:ilvl w:val="2"/>
          <w:numId w:val="2"/>
        </w:numPr>
        <w:rPr>
          <w:rFonts w:ascii="Arial" w:hAnsi="Arial" w:cs="Arial"/>
          <w:color w:val="000000" w:themeColor="text1"/>
        </w:rPr>
      </w:pPr>
      <w:r w:rsidRPr="00FD0D1A">
        <w:rPr>
          <w:rFonts w:ascii="Arial" w:hAnsi="Arial" w:cs="Arial"/>
          <w:color w:val="000000" w:themeColor="text1"/>
        </w:rPr>
        <w:t>&lt;$50,000</w:t>
      </w:r>
    </w:p>
    <w:p w:rsidR="0086374F" w:rsidRPr="00FD0D1A" w:rsidRDefault="0086374F" w:rsidP="0086374F">
      <w:pPr>
        <w:numPr>
          <w:ilvl w:val="2"/>
          <w:numId w:val="2"/>
        </w:numPr>
        <w:rPr>
          <w:rFonts w:ascii="Arial" w:hAnsi="Arial" w:cs="Arial"/>
          <w:color w:val="000000" w:themeColor="text1"/>
        </w:rPr>
      </w:pPr>
      <w:r w:rsidRPr="00FD0D1A">
        <w:rPr>
          <w:rFonts w:ascii="Arial" w:hAnsi="Arial" w:cs="Arial"/>
          <w:color w:val="000000" w:themeColor="text1"/>
        </w:rPr>
        <w:lastRenderedPageBreak/>
        <w:t>$50,000 - $99,000</w:t>
      </w:r>
    </w:p>
    <w:p w:rsidR="0086374F" w:rsidRPr="00FD0D1A" w:rsidRDefault="0086374F" w:rsidP="0086374F">
      <w:pPr>
        <w:numPr>
          <w:ilvl w:val="2"/>
          <w:numId w:val="2"/>
        </w:numPr>
        <w:rPr>
          <w:rFonts w:ascii="Arial" w:hAnsi="Arial" w:cs="Arial"/>
          <w:color w:val="000000" w:themeColor="text1"/>
        </w:rPr>
      </w:pPr>
      <w:r w:rsidRPr="00FD0D1A">
        <w:rPr>
          <w:rFonts w:ascii="Arial" w:hAnsi="Arial" w:cs="Arial"/>
          <w:color w:val="000000" w:themeColor="text1"/>
        </w:rPr>
        <w:t>$100,000 - $150,000</w:t>
      </w:r>
    </w:p>
    <w:p w:rsidR="0086374F" w:rsidRPr="00FD0D1A" w:rsidRDefault="0086374F" w:rsidP="0086374F">
      <w:pPr>
        <w:numPr>
          <w:ilvl w:val="2"/>
          <w:numId w:val="2"/>
        </w:numPr>
        <w:rPr>
          <w:rFonts w:ascii="Arial" w:hAnsi="Arial" w:cs="Arial"/>
          <w:color w:val="000000" w:themeColor="text1"/>
        </w:rPr>
      </w:pPr>
      <w:r w:rsidRPr="00FD0D1A">
        <w:rPr>
          <w:rFonts w:ascii="Arial" w:hAnsi="Arial" w:cs="Arial"/>
          <w:color w:val="000000" w:themeColor="text1"/>
        </w:rPr>
        <w:t>&gt;$150,000</w:t>
      </w:r>
    </w:p>
    <w:p w:rsidR="0086374F" w:rsidRPr="00FD0D1A" w:rsidRDefault="0086374F" w:rsidP="0086374F">
      <w:pPr>
        <w:numPr>
          <w:ilvl w:val="2"/>
          <w:numId w:val="2"/>
        </w:numPr>
        <w:rPr>
          <w:rFonts w:ascii="Arial" w:hAnsi="Arial" w:cs="Arial"/>
          <w:color w:val="000000" w:themeColor="text1"/>
        </w:rPr>
      </w:pPr>
      <w:r w:rsidRPr="00FD0D1A">
        <w:rPr>
          <w:rFonts w:ascii="Arial" w:hAnsi="Arial" w:cs="Arial"/>
          <w:color w:val="000000" w:themeColor="text1"/>
        </w:rPr>
        <w:t>I prefer not to answer</w:t>
      </w:r>
    </w:p>
    <w:p w:rsidR="0086374F" w:rsidRPr="00FD0D1A" w:rsidRDefault="0086374F" w:rsidP="00F444B6">
      <w:pPr>
        <w:rPr>
          <w:rFonts w:ascii="Arial" w:hAnsi="Arial" w:cs="Arial"/>
          <w:szCs w:val="24"/>
        </w:rPr>
      </w:pPr>
    </w:p>
    <w:p w:rsidR="00F444B6" w:rsidRPr="00FD0D1A" w:rsidRDefault="0086374F" w:rsidP="00F444B6">
      <w:pPr>
        <w:rPr>
          <w:rFonts w:ascii="Arial" w:hAnsi="Arial" w:cs="Arial"/>
          <w:szCs w:val="24"/>
        </w:rPr>
      </w:pPr>
      <w:r w:rsidRPr="00FD0D1A">
        <w:rPr>
          <w:rFonts w:ascii="Arial" w:hAnsi="Arial" w:cs="Arial"/>
          <w:szCs w:val="24"/>
        </w:rPr>
        <w:t xml:space="preserve">Attached, you will find this question, written in red, </w:t>
      </w:r>
      <w:r w:rsidR="00FD0D1A">
        <w:rPr>
          <w:rFonts w:ascii="Arial" w:hAnsi="Arial" w:cs="Arial"/>
          <w:szCs w:val="24"/>
        </w:rPr>
        <w:t>on page three</w:t>
      </w:r>
      <w:r w:rsidRPr="00FD0D1A">
        <w:rPr>
          <w:rFonts w:ascii="Arial" w:hAnsi="Arial" w:cs="Arial"/>
          <w:szCs w:val="24"/>
        </w:rPr>
        <w:t xml:space="preserve"> of the survey.</w:t>
      </w:r>
    </w:p>
    <w:p w:rsidR="0086374F" w:rsidRDefault="0086374F" w:rsidP="00F444B6">
      <w:pPr>
        <w:rPr>
          <w:rFonts w:ascii="Arial" w:hAnsi="Arial" w:cs="Arial"/>
          <w:szCs w:val="24"/>
        </w:rPr>
      </w:pPr>
    </w:p>
    <w:tbl>
      <w:tblPr>
        <w:tblW w:w="8738" w:type="dxa"/>
        <w:jc w:val="center"/>
        <w:tblInd w:w="22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1379"/>
        <w:gridCol w:w="2137"/>
        <w:gridCol w:w="2136"/>
        <w:gridCol w:w="2136"/>
        <w:gridCol w:w="1567"/>
      </w:tblGrid>
      <w:tr w:rsidR="004D0F02" w:rsidRPr="002F67B5" w:rsidTr="004D0F02">
        <w:trPr>
          <w:trHeight w:val="982"/>
          <w:jc w:val="center"/>
        </w:trPr>
        <w:tc>
          <w:tcPr>
            <w:tcW w:w="1233" w:type="dxa"/>
            <w:shd w:val="clear" w:color="auto" w:fill="auto"/>
            <w:vAlign w:val="bottom"/>
          </w:tcPr>
          <w:p w:rsidR="004D0F02" w:rsidRDefault="004D0F02" w:rsidP="00A84A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Type of Respondents</w:t>
            </w:r>
          </w:p>
        </w:tc>
        <w:tc>
          <w:tcPr>
            <w:tcW w:w="1923" w:type="dxa"/>
            <w:shd w:val="clear" w:color="auto" w:fill="auto"/>
            <w:vAlign w:val="bottom"/>
          </w:tcPr>
          <w:p w:rsidR="004D0F02" w:rsidRDefault="004D0F02" w:rsidP="00A84A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Estimated Number of Respondents</w:t>
            </w:r>
          </w:p>
        </w:tc>
        <w:tc>
          <w:tcPr>
            <w:tcW w:w="1923" w:type="dxa"/>
            <w:shd w:val="clear" w:color="auto" w:fill="auto"/>
            <w:vAlign w:val="bottom"/>
          </w:tcPr>
          <w:p w:rsidR="004D0F02" w:rsidRDefault="004D0F02" w:rsidP="00A84A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Estimated Number of Responses per Respondent</w:t>
            </w:r>
          </w:p>
        </w:tc>
        <w:tc>
          <w:tcPr>
            <w:tcW w:w="1923" w:type="dxa"/>
            <w:shd w:val="clear" w:color="auto" w:fill="auto"/>
            <w:vAlign w:val="bottom"/>
          </w:tcPr>
          <w:p w:rsidR="004D0F02" w:rsidRDefault="004D0F02" w:rsidP="00A84A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Average Burden Hours Per Response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4D0F02" w:rsidRDefault="004D0F02" w:rsidP="00A84AB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Estimated Total Annual Burden Hours Requested</w:t>
            </w:r>
          </w:p>
        </w:tc>
      </w:tr>
      <w:tr w:rsidR="004D0F02" w:rsidRPr="002F67B5" w:rsidTr="004D0F02">
        <w:trPr>
          <w:trHeight w:val="338"/>
          <w:jc w:val="center"/>
        </w:trPr>
        <w:tc>
          <w:tcPr>
            <w:tcW w:w="1233" w:type="dxa"/>
            <w:shd w:val="clear" w:color="auto" w:fill="auto"/>
            <w:vAlign w:val="bottom"/>
          </w:tcPr>
          <w:p w:rsidR="004D0F02" w:rsidRDefault="004D0F02" w:rsidP="00A84A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Doctoral Level</w:t>
            </w:r>
          </w:p>
        </w:tc>
        <w:tc>
          <w:tcPr>
            <w:tcW w:w="1923" w:type="dxa"/>
            <w:shd w:val="clear" w:color="auto" w:fill="auto"/>
            <w:vAlign w:val="bottom"/>
          </w:tcPr>
          <w:p w:rsidR="004D0F02" w:rsidRDefault="004D0F02" w:rsidP="00A84A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</w:t>
            </w:r>
          </w:p>
        </w:tc>
        <w:tc>
          <w:tcPr>
            <w:tcW w:w="1923" w:type="dxa"/>
            <w:shd w:val="clear" w:color="auto" w:fill="auto"/>
            <w:vAlign w:val="bottom"/>
          </w:tcPr>
          <w:p w:rsidR="004D0F02" w:rsidRDefault="004D0F02" w:rsidP="00A84A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23" w:type="dxa"/>
            <w:shd w:val="clear" w:color="auto" w:fill="auto"/>
            <w:vAlign w:val="bottom"/>
          </w:tcPr>
          <w:p w:rsidR="004D0F02" w:rsidRDefault="000219CC" w:rsidP="00A84A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21/60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4D0F02" w:rsidRDefault="004D0F02" w:rsidP="004D0F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218.75</w:t>
            </w:r>
          </w:p>
        </w:tc>
      </w:tr>
      <w:tr w:rsidR="004D0F02" w:rsidRPr="002F67B5" w:rsidTr="004D0F02">
        <w:trPr>
          <w:trHeight w:val="338"/>
          <w:jc w:val="center"/>
        </w:trPr>
        <w:tc>
          <w:tcPr>
            <w:tcW w:w="1233" w:type="dxa"/>
            <w:shd w:val="clear" w:color="auto" w:fill="auto"/>
            <w:vAlign w:val="bottom"/>
          </w:tcPr>
          <w:p w:rsidR="004D0F02" w:rsidRDefault="004D0F02" w:rsidP="00A84A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Students</w:t>
            </w:r>
          </w:p>
        </w:tc>
        <w:tc>
          <w:tcPr>
            <w:tcW w:w="1923" w:type="dxa"/>
            <w:shd w:val="clear" w:color="auto" w:fill="auto"/>
            <w:vAlign w:val="bottom"/>
          </w:tcPr>
          <w:p w:rsidR="004D0F02" w:rsidRDefault="004D0F02" w:rsidP="00A84A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23" w:type="dxa"/>
            <w:shd w:val="clear" w:color="auto" w:fill="auto"/>
            <w:vAlign w:val="bottom"/>
          </w:tcPr>
          <w:p w:rsidR="004D0F02" w:rsidRDefault="004D0F02" w:rsidP="00A84A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23" w:type="dxa"/>
            <w:shd w:val="clear" w:color="auto" w:fill="auto"/>
            <w:vAlign w:val="bottom"/>
          </w:tcPr>
          <w:p w:rsidR="004D0F02" w:rsidRDefault="000219CC" w:rsidP="00A84A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21/60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4D0F02" w:rsidRDefault="004D0F02" w:rsidP="004D0F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35.00</w:t>
            </w:r>
          </w:p>
        </w:tc>
      </w:tr>
      <w:tr w:rsidR="004D0F02" w:rsidRPr="002F67B5" w:rsidTr="004D0F02">
        <w:trPr>
          <w:trHeight w:val="338"/>
          <w:jc w:val="center"/>
        </w:trPr>
        <w:tc>
          <w:tcPr>
            <w:tcW w:w="1233" w:type="dxa"/>
            <w:shd w:val="clear" w:color="auto" w:fill="auto"/>
            <w:vAlign w:val="bottom"/>
          </w:tcPr>
          <w:p w:rsidR="004D0F02" w:rsidRDefault="004D0F02" w:rsidP="00A84A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Nurses</w:t>
            </w:r>
          </w:p>
        </w:tc>
        <w:tc>
          <w:tcPr>
            <w:tcW w:w="1923" w:type="dxa"/>
            <w:shd w:val="clear" w:color="auto" w:fill="auto"/>
            <w:vAlign w:val="bottom"/>
          </w:tcPr>
          <w:p w:rsidR="004D0F02" w:rsidRDefault="004D0F02" w:rsidP="00A84A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923" w:type="dxa"/>
            <w:shd w:val="clear" w:color="auto" w:fill="auto"/>
            <w:vAlign w:val="bottom"/>
          </w:tcPr>
          <w:p w:rsidR="004D0F02" w:rsidRDefault="004D0F02" w:rsidP="00A84A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23" w:type="dxa"/>
            <w:shd w:val="clear" w:color="auto" w:fill="auto"/>
            <w:vAlign w:val="bottom"/>
          </w:tcPr>
          <w:p w:rsidR="004D0F02" w:rsidRDefault="000219CC" w:rsidP="00A84A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21/60</w:t>
            </w:r>
          </w:p>
        </w:tc>
        <w:tc>
          <w:tcPr>
            <w:tcW w:w="1736" w:type="dxa"/>
            <w:shd w:val="clear" w:color="auto" w:fill="auto"/>
            <w:vAlign w:val="bottom"/>
          </w:tcPr>
          <w:p w:rsidR="004D0F02" w:rsidRDefault="004D0F02" w:rsidP="00A84A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35.00</w:t>
            </w:r>
          </w:p>
        </w:tc>
      </w:tr>
      <w:tr w:rsidR="004D0F02" w:rsidRPr="002F67B5" w:rsidTr="004D0F02">
        <w:trPr>
          <w:trHeight w:val="322"/>
          <w:jc w:val="center"/>
        </w:trPr>
        <w:tc>
          <w:tcPr>
            <w:tcW w:w="1233" w:type="dxa"/>
            <w:shd w:val="clear" w:color="auto" w:fill="auto"/>
            <w:vAlign w:val="bottom"/>
          </w:tcPr>
          <w:p w:rsidR="004D0F02" w:rsidRDefault="004D0F02" w:rsidP="00A84A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  <w:tc>
          <w:tcPr>
            <w:tcW w:w="1923" w:type="dxa"/>
            <w:shd w:val="clear" w:color="auto" w:fill="auto"/>
            <w:noWrap/>
            <w:vAlign w:val="bottom"/>
          </w:tcPr>
          <w:p w:rsidR="004D0F02" w:rsidRDefault="004D0F02" w:rsidP="00A84A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………………………</w:t>
            </w:r>
          </w:p>
        </w:tc>
        <w:tc>
          <w:tcPr>
            <w:tcW w:w="1923" w:type="dxa"/>
            <w:shd w:val="clear" w:color="auto" w:fill="auto"/>
            <w:noWrap/>
            <w:vAlign w:val="bottom"/>
          </w:tcPr>
          <w:p w:rsidR="004D0F02" w:rsidRDefault="004D0F02" w:rsidP="00A84A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………………………</w:t>
            </w:r>
          </w:p>
        </w:tc>
        <w:tc>
          <w:tcPr>
            <w:tcW w:w="1923" w:type="dxa"/>
            <w:shd w:val="clear" w:color="auto" w:fill="auto"/>
            <w:noWrap/>
            <w:vAlign w:val="bottom"/>
          </w:tcPr>
          <w:p w:rsidR="004D0F02" w:rsidRDefault="004D0F02" w:rsidP="00A84AB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………………………</w:t>
            </w:r>
          </w:p>
        </w:tc>
        <w:tc>
          <w:tcPr>
            <w:tcW w:w="1736" w:type="dxa"/>
            <w:shd w:val="clear" w:color="auto" w:fill="auto"/>
            <w:noWrap/>
            <w:vAlign w:val="bottom"/>
          </w:tcPr>
          <w:p w:rsidR="004D0F02" w:rsidRDefault="004D0F02" w:rsidP="004D0F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288.75</w:t>
            </w:r>
          </w:p>
        </w:tc>
      </w:tr>
    </w:tbl>
    <w:p w:rsidR="004D0F02" w:rsidRDefault="004D0F02" w:rsidP="00F444B6">
      <w:pPr>
        <w:rPr>
          <w:rFonts w:ascii="Arial" w:hAnsi="Arial" w:cs="Arial"/>
          <w:szCs w:val="24"/>
        </w:rPr>
      </w:pPr>
    </w:p>
    <w:p w:rsidR="004D0F02" w:rsidRDefault="004D0F02" w:rsidP="00F444B6">
      <w:pPr>
        <w:rPr>
          <w:rFonts w:ascii="Arial" w:hAnsi="Arial" w:cs="Arial"/>
          <w:szCs w:val="24"/>
        </w:rPr>
      </w:pPr>
    </w:p>
    <w:p w:rsidR="004D0F02" w:rsidRPr="00FD0D1A" w:rsidRDefault="004D0F02" w:rsidP="00F444B6">
      <w:pPr>
        <w:rPr>
          <w:rFonts w:ascii="Arial" w:hAnsi="Arial" w:cs="Arial"/>
          <w:szCs w:val="24"/>
        </w:rPr>
      </w:pPr>
    </w:p>
    <w:p w:rsidR="00F444B6" w:rsidRPr="00FD0D1A" w:rsidRDefault="00F444B6" w:rsidP="00F444B6">
      <w:pPr>
        <w:rPr>
          <w:rFonts w:ascii="Arial" w:hAnsi="Arial" w:cs="Arial"/>
          <w:szCs w:val="24"/>
        </w:rPr>
      </w:pPr>
      <w:r w:rsidRPr="00FD0D1A">
        <w:rPr>
          <w:rFonts w:ascii="Arial" w:hAnsi="Arial" w:cs="Arial"/>
          <w:szCs w:val="24"/>
        </w:rPr>
        <w:t>Thank you f</w:t>
      </w:r>
      <w:r w:rsidR="0086374F" w:rsidRPr="00FD0D1A">
        <w:rPr>
          <w:rFonts w:ascii="Arial" w:hAnsi="Arial" w:cs="Arial"/>
          <w:szCs w:val="24"/>
        </w:rPr>
        <w:t>or considering th</w:t>
      </w:r>
      <w:r w:rsidR="00B00A04" w:rsidRPr="00FD0D1A">
        <w:rPr>
          <w:rFonts w:ascii="Arial" w:hAnsi="Arial" w:cs="Arial"/>
          <w:szCs w:val="24"/>
        </w:rPr>
        <w:t>is</w:t>
      </w:r>
      <w:r w:rsidR="0086374F" w:rsidRPr="00FD0D1A">
        <w:rPr>
          <w:rFonts w:ascii="Arial" w:hAnsi="Arial" w:cs="Arial"/>
          <w:szCs w:val="24"/>
        </w:rPr>
        <w:t xml:space="preserve"> minor modification</w:t>
      </w:r>
      <w:r w:rsidR="00B00A04" w:rsidRPr="00FD0D1A">
        <w:rPr>
          <w:rFonts w:ascii="Arial" w:hAnsi="Arial" w:cs="Arial"/>
          <w:szCs w:val="24"/>
        </w:rPr>
        <w:t xml:space="preserve"> we seek to make to the </w:t>
      </w:r>
      <w:r w:rsidRPr="00FD0D1A">
        <w:rPr>
          <w:rFonts w:ascii="Arial" w:hAnsi="Arial" w:cs="Arial"/>
          <w:szCs w:val="24"/>
        </w:rPr>
        <w:t>survey through the expedited change request process.  Please do not hesitate to contact me if you have any questions or wish additional information.</w:t>
      </w:r>
    </w:p>
    <w:p w:rsidR="00A45426" w:rsidRPr="00FD0D1A" w:rsidRDefault="00A45426" w:rsidP="00A45426">
      <w:pPr>
        <w:rPr>
          <w:rFonts w:ascii="Arial" w:hAnsi="Arial" w:cs="Arial"/>
          <w:szCs w:val="24"/>
        </w:rPr>
      </w:pPr>
    </w:p>
    <w:sectPr w:rsidR="00A45426" w:rsidRPr="00FD0D1A" w:rsidSect="008E7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21B0B"/>
    <w:multiLevelType w:val="hybridMultilevel"/>
    <w:tmpl w:val="974E0C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188F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0A0221"/>
    <w:multiLevelType w:val="hybridMultilevel"/>
    <w:tmpl w:val="9174A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compat/>
  <w:rsids>
    <w:rsidRoot w:val="00625254"/>
    <w:rsid w:val="000219CC"/>
    <w:rsid w:val="00047B1A"/>
    <w:rsid w:val="000F022B"/>
    <w:rsid w:val="00163F33"/>
    <w:rsid w:val="00190392"/>
    <w:rsid w:val="001A1D72"/>
    <w:rsid w:val="001C46AD"/>
    <w:rsid w:val="001E79AA"/>
    <w:rsid w:val="001F07E8"/>
    <w:rsid w:val="001F48A4"/>
    <w:rsid w:val="00202453"/>
    <w:rsid w:val="002217F6"/>
    <w:rsid w:val="002A4A93"/>
    <w:rsid w:val="002A6EC7"/>
    <w:rsid w:val="002B35B7"/>
    <w:rsid w:val="002B7CE6"/>
    <w:rsid w:val="002E0E0D"/>
    <w:rsid w:val="00315CD1"/>
    <w:rsid w:val="003212DA"/>
    <w:rsid w:val="00361BA3"/>
    <w:rsid w:val="00372902"/>
    <w:rsid w:val="00376B61"/>
    <w:rsid w:val="003C7F90"/>
    <w:rsid w:val="00411461"/>
    <w:rsid w:val="00436AEC"/>
    <w:rsid w:val="004819DA"/>
    <w:rsid w:val="004D0F02"/>
    <w:rsid w:val="00545CCC"/>
    <w:rsid w:val="005751A7"/>
    <w:rsid w:val="0059298F"/>
    <w:rsid w:val="005B582B"/>
    <w:rsid w:val="005C0C3E"/>
    <w:rsid w:val="005E473D"/>
    <w:rsid w:val="00625254"/>
    <w:rsid w:val="006C4744"/>
    <w:rsid w:val="006D261A"/>
    <w:rsid w:val="006E13A6"/>
    <w:rsid w:val="006F72F1"/>
    <w:rsid w:val="00707F18"/>
    <w:rsid w:val="00711FB7"/>
    <w:rsid w:val="007711B3"/>
    <w:rsid w:val="007A5B63"/>
    <w:rsid w:val="007F0B72"/>
    <w:rsid w:val="007F3DE8"/>
    <w:rsid w:val="00814D1C"/>
    <w:rsid w:val="00815CC6"/>
    <w:rsid w:val="008314FF"/>
    <w:rsid w:val="008518F6"/>
    <w:rsid w:val="0086374F"/>
    <w:rsid w:val="0089394C"/>
    <w:rsid w:val="008E7BD6"/>
    <w:rsid w:val="008F4A53"/>
    <w:rsid w:val="009209B6"/>
    <w:rsid w:val="00943CD9"/>
    <w:rsid w:val="009A5A90"/>
    <w:rsid w:val="009D4E30"/>
    <w:rsid w:val="009F4FC1"/>
    <w:rsid w:val="00A4313C"/>
    <w:rsid w:val="00A45426"/>
    <w:rsid w:val="00AD5C37"/>
    <w:rsid w:val="00AF3E2B"/>
    <w:rsid w:val="00B00A04"/>
    <w:rsid w:val="00BA3888"/>
    <w:rsid w:val="00BB33BF"/>
    <w:rsid w:val="00D646FF"/>
    <w:rsid w:val="00DA2F61"/>
    <w:rsid w:val="00E339FB"/>
    <w:rsid w:val="00E73458"/>
    <w:rsid w:val="00EC47A0"/>
    <w:rsid w:val="00F2358C"/>
    <w:rsid w:val="00F444B6"/>
    <w:rsid w:val="00F501EE"/>
    <w:rsid w:val="00FD0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C7F9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C7F90"/>
    <w:pPr>
      <w:ind w:left="7470" w:hanging="270"/>
    </w:pPr>
  </w:style>
  <w:style w:type="character" w:styleId="Hyperlink">
    <w:name w:val="Hyperlink"/>
    <w:basedOn w:val="DefaultParagraphFont"/>
    <w:rsid w:val="007F3DE8"/>
    <w:rPr>
      <w:color w:val="0000FF"/>
      <w:u w:val="single"/>
    </w:rPr>
  </w:style>
  <w:style w:type="paragraph" w:styleId="BalloonText">
    <w:name w:val="Balloon Text"/>
    <w:basedOn w:val="Normal"/>
    <w:semiHidden/>
    <w:rsid w:val="007F3D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44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razierrm\Desktop\Verification%20Letter%20Template2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3967-FF33-4EB0-A52B-37BF9472E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Verification Letter Template2 (2).dotx</Template>
  <TotalTime>3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Rhea Moore Frazier</dc:creator>
  <cp:keywords/>
  <cp:lastModifiedBy>curriem</cp:lastModifiedBy>
  <cp:revision>2</cp:revision>
  <cp:lastPrinted>2012-01-17T14:31:00Z</cp:lastPrinted>
  <dcterms:created xsi:type="dcterms:W3CDTF">2012-01-17T14:40:00Z</dcterms:created>
  <dcterms:modified xsi:type="dcterms:W3CDTF">2012-01-17T14:40:00Z</dcterms:modified>
</cp:coreProperties>
</file>