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70" w:rsidRPr="00973742" w:rsidRDefault="00D45270" w:rsidP="00EE3AB5">
      <w:pPr>
        <w:tabs>
          <w:tab w:val="right" w:pos="9360"/>
        </w:tabs>
        <w:rPr>
          <w:b/>
          <w:szCs w:val="24"/>
        </w:rPr>
      </w:pPr>
      <w:r w:rsidRPr="00973742">
        <w:rPr>
          <w:b/>
          <w:szCs w:val="24"/>
        </w:rPr>
        <w:t>MEMORANDUM</w:t>
      </w:r>
      <w:r w:rsidRPr="00973742">
        <w:rPr>
          <w:b/>
          <w:szCs w:val="24"/>
        </w:rPr>
        <w:tab/>
        <w:t xml:space="preserve">OMB # </w:t>
      </w:r>
      <w:r>
        <w:rPr>
          <w:b/>
          <w:szCs w:val="24"/>
        </w:rPr>
        <w:t>1850-0582 v.</w:t>
      </w:r>
      <w:r w:rsidR="00EE3AB5">
        <w:rPr>
          <w:b/>
          <w:szCs w:val="24"/>
        </w:rPr>
        <w:t>11</w:t>
      </w:r>
    </w:p>
    <w:p w:rsidR="00D45270" w:rsidRPr="00973742" w:rsidRDefault="00D45270" w:rsidP="002E4754">
      <w:pPr>
        <w:rPr>
          <w:b/>
          <w:szCs w:val="24"/>
        </w:rPr>
      </w:pPr>
    </w:p>
    <w:p w:rsidR="00D45270" w:rsidRPr="00973742" w:rsidRDefault="00D45270" w:rsidP="00DC1602">
      <w:pPr>
        <w:tabs>
          <w:tab w:val="left" w:pos="1440"/>
        </w:tabs>
        <w:rPr>
          <w:szCs w:val="24"/>
        </w:rPr>
      </w:pPr>
      <w:r w:rsidRPr="00973742">
        <w:rPr>
          <w:szCs w:val="24"/>
        </w:rPr>
        <w:t>DATE:</w:t>
      </w:r>
      <w:r w:rsidRPr="00973742">
        <w:rPr>
          <w:szCs w:val="24"/>
        </w:rPr>
        <w:tab/>
      </w:r>
      <w:r w:rsidR="00C63BF9">
        <w:rPr>
          <w:szCs w:val="24"/>
        </w:rPr>
        <w:t>January 5, 2012</w:t>
      </w:r>
    </w:p>
    <w:p w:rsidR="00D45270" w:rsidRPr="00973742" w:rsidRDefault="00D45270" w:rsidP="002E4754">
      <w:pPr>
        <w:tabs>
          <w:tab w:val="left" w:pos="1440"/>
        </w:tabs>
        <w:rPr>
          <w:szCs w:val="24"/>
        </w:rPr>
      </w:pPr>
    </w:p>
    <w:p w:rsidR="00D45270" w:rsidRPr="002E4754" w:rsidRDefault="00D45270" w:rsidP="002E4754">
      <w:pPr>
        <w:tabs>
          <w:tab w:val="left" w:pos="1440"/>
        </w:tabs>
        <w:rPr>
          <w:szCs w:val="24"/>
        </w:rPr>
      </w:pPr>
      <w:r w:rsidRPr="002E4754">
        <w:rPr>
          <w:szCs w:val="24"/>
        </w:rPr>
        <w:t>TO:</w:t>
      </w:r>
      <w:r w:rsidRPr="002E4754">
        <w:rPr>
          <w:szCs w:val="24"/>
        </w:rPr>
        <w:tab/>
      </w:r>
      <w:r w:rsidRPr="002E4754">
        <w:rPr>
          <w:bCs/>
        </w:rPr>
        <w:t>Rochelle W. Martinez</w:t>
      </w:r>
    </w:p>
    <w:p w:rsidR="00D45270" w:rsidRPr="002E4754" w:rsidRDefault="00D45270" w:rsidP="002E4754">
      <w:pPr>
        <w:tabs>
          <w:tab w:val="left" w:pos="1440"/>
        </w:tabs>
        <w:rPr>
          <w:szCs w:val="24"/>
        </w:rPr>
      </w:pPr>
      <w:r w:rsidRPr="002E4754">
        <w:rPr>
          <w:szCs w:val="24"/>
        </w:rPr>
        <w:tab/>
        <w:t>Office of Information and Regulatory Affairs, Office of Management and Budget</w:t>
      </w:r>
    </w:p>
    <w:p w:rsidR="00D45270" w:rsidRPr="002E4754" w:rsidRDefault="00D45270" w:rsidP="002E4754">
      <w:pPr>
        <w:tabs>
          <w:tab w:val="left" w:pos="1440"/>
        </w:tabs>
        <w:rPr>
          <w:szCs w:val="24"/>
        </w:rPr>
      </w:pPr>
    </w:p>
    <w:p w:rsidR="00D45270" w:rsidRPr="002E4754" w:rsidRDefault="00D45270" w:rsidP="002E4754">
      <w:pPr>
        <w:tabs>
          <w:tab w:val="left" w:pos="1440"/>
        </w:tabs>
        <w:rPr>
          <w:szCs w:val="24"/>
        </w:rPr>
      </w:pPr>
      <w:r w:rsidRPr="002E4754">
        <w:rPr>
          <w:szCs w:val="24"/>
        </w:rPr>
        <w:t>FROM:</w:t>
      </w:r>
      <w:r w:rsidRPr="002E4754">
        <w:rPr>
          <w:szCs w:val="24"/>
        </w:rPr>
        <w:tab/>
      </w:r>
      <w:r w:rsidRPr="002E4754">
        <w:rPr>
          <w:bCs/>
        </w:rPr>
        <w:t>Elise Miller</w:t>
      </w:r>
    </w:p>
    <w:p w:rsidR="00D45270" w:rsidRPr="002E4754" w:rsidRDefault="00D45270" w:rsidP="002E4754">
      <w:pPr>
        <w:tabs>
          <w:tab w:val="left" w:pos="1440"/>
        </w:tabs>
        <w:rPr>
          <w:szCs w:val="24"/>
        </w:rPr>
      </w:pPr>
      <w:r w:rsidRPr="002E4754">
        <w:rPr>
          <w:szCs w:val="24"/>
        </w:rPr>
        <w:tab/>
      </w:r>
      <w:r w:rsidRPr="002E4754">
        <w:rPr>
          <w:bCs/>
        </w:rPr>
        <w:t>IPEDS Program Director</w:t>
      </w:r>
      <w:r w:rsidRPr="002E4754">
        <w:rPr>
          <w:szCs w:val="24"/>
        </w:rPr>
        <w:t xml:space="preserve">, </w:t>
      </w:r>
      <w:smartTag w:uri="urn:schemas-microsoft-com:office:smarttags" w:element="place">
        <w:smartTag w:uri="urn:schemas-microsoft-com:office:smarttags" w:element="PlaceName">
          <w:r w:rsidRPr="002E4754">
            <w:rPr>
              <w:szCs w:val="24"/>
            </w:rPr>
            <w:t>National</w:t>
          </w:r>
        </w:smartTag>
        <w:r w:rsidRPr="002E4754">
          <w:rPr>
            <w:szCs w:val="24"/>
          </w:rPr>
          <w:t xml:space="preserve"> </w:t>
        </w:r>
        <w:smartTag w:uri="urn:schemas-microsoft-com:office:smarttags" w:element="PlaceType">
          <w:r w:rsidRPr="002E4754">
            <w:rPr>
              <w:szCs w:val="24"/>
            </w:rPr>
            <w:t>Center</w:t>
          </w:r>
        </w:smartTag>
      </w:smartTag>
      <w:r w:rsidRPr="002E4754">
        <w:rPr>
          <w:szCs w:val="24"/>
        </w:rPr>
        <w:t xml:space="preserve"> for Education Statistics</w:t>
      </w:r>
    </w:p>
    <w:p w:rsidR="00D45270" w:rsidRPr="002E4754" w:rsidRDefault="00D45270" w:rsidP="002E4754">
      <w:pPr>
        <w:tabs>
          <w:tab w:val="left" w:pos="1440"/>
        </w:tabs>
        <w:rPr>
          <w:bCs/>
        </w:rPr>
      </w:pPr>
      <w:r w:rsidRPr="002E4754">
        <w:rPr>
          <w:szCs w:val="24"/>
        </w:rPr>
        <w:tab/>
      </w:r>
      <w:r w:rsidRPr="002E4754">
        <w:rPr>
          <w:bCs/>
        </w:rPr>
        <w:t>Tom Weko</w:t>
      </w:r>
    </w:p>
    <w:p w:rsidR="00D45270" w:rsidRPr="00973742" w:rsidRDefault="00D45270" w:rsidP="002E4754">
      <w:pPr>
        <w:tabs>
          <w:tab w:val="left" w:pos="1440"/>
        </w:tabs>
        <w:rPr>
          <w:szCs w:val="24"/>
        </w:rPr>
      </w:pPr>
      <w:r w:rsidRPr="002E4754">
        <w:rPr>
          <w:szCs w:val="24"/>
        </w:rPr>
        <w:tab/>
      </w:r>
      <w:r w:rsidRPr="002E4754">
        <w:rPr>
          <w:bCs/>
        </w:rPr>
        <w:t xml:space="preserve">Associate Commissioner, </w:t>
      </w:r>
      <w:smartTag w:uri="urn:schemas-microsoft-com:office:smarttags" w:element="place">
        <w:smartTag w:uri="urn:schemas-microsoft-com:office:smarttags" w:element="PlaceName">
          <w:r w:rsidRPr="002E4754">
            <w:rPr>
              <w:szCs w:val="24"/>
            </w:rPr>
            <w:t>National</w:t>
          </w:r>
        </w:smartTag>
        <w:r w:rsidRPr="00973742">
          <w:rPr>
            <w:szCs w:val="24"/>
          </w:rPr>
          <w:t xml:space="preserve"> </w:t>
        </w:r>
        <w:smartTag w:uri="urn:schemas-microsoft-com:office:smarttags" w:element="PlaceType">
          <w:r w:rsidRPr="00973742">
            <w:rPr>
              <w:szCs w:val="24"/>
            </w:rPr>
            <w:t>Center</w:t>
          </w:r>
        </w:smartTag>
      </w:smartTag>
      <w:r w:rsidRPr="00973742">
        <w:rPr>
          <w:szCs w:val="24"/>
        </w:rPr>
        <w:t xml:space="preserve"> for Education Statistics</w:t>
      </w:r>
    </w:p>
    <w:p w:rsidR="00D45270" w:rsidRPr="00973742" w:rsidRDefault="00D45270" w:rsidP="002E4754">
      <w:pPr>
        <w:tabs>
          <w:tab w:val="left" w:pos="1440"/>
        </w:tabs>
        <w:rPr>
          <w:szCs w:val="24"/>
        </w:rPr>
      </w:pPr>
    </w:p>
    <w:p w:rsidR="00D45270" w:rsidRPr="00973742" w:rsidRDefault="00D45270" w:rsidP="002E4754">
      <w:pPr>
        <w:tabs>
          <w:tab w:val="left" w:pos="1440"/>
        </w:tabs>
        <w:rPr>
          <w:szCs w:val="24"/>
        </w:rPr>
      </w:pPr>
      <w:r w:rsidRPr="00973742">
        <w:rPr>
          <w:szCs w:val="24"/>
        </w:rPr>
        <w:t>THROUGH:</w:t>
      </w:r>
      <w:r w:rsidRPr="00973742">
        <w:rPr>
          <w:szCs w:val="24"/>
        </w:rPr>
        <w:tab/>
        <w:t>Kashka Kubzdela</w:t>
      </w:r>
    </w:p>
    <w:p w:rsidR="00D45270" w:rsidRPr="00973742" w:rsidRDefault="00D45270" w:rsidP="002E4754">
      <w:pPr>
        <w:tabs>
          <w:tab w:val="left" w:pos="1440"/>
        </w:tabs>
        <w:rPr>
          <w:szCs w:val="24"/>
        </w:rPr>
      </w:pPr>
      <w:r w:rsidRPr="00973742">
        <w:rPr>
          <w:szCs w:val="24"/>
        </w:rPr>
        <w:tab/>
      </w:r>
      <w:smartTag w:uri="urn:schemas-microsoft-com:office:smarttags" w:element="PlaceName">
        <w:smartTag w:uri="urn:schemas-microsoft-com:office:smarttags" w:element="place">
          <w:r w:rsidRPr="00973742">
            <w:rPr>
              <w:szCs w:val="24"/>
            </w:rPr>
            <w:t>National</w:t>
          </w:r>
        </w:smartTag>
        <w:r w:rsidRPr="00973742">
          <w:rPr>
            <w:szCs w:val="24"/>
          </w:rPr>
          <w:t xml:space="preserve"> </w:t>
        </w:r>
        <w:smartTag w:uri="urn:schemas-microsoft-com:office:smarttags" w:element="PlaceType">
          <w:r w:rsidRPr="00973742">
            <w:rPr>
              <w:szCs w:val="24"/>
            </w:rPr>
            <w:t>Center</w:t>
          </w:r>
        </w:smartTag>
      </w:smartTag>
      <w:r w:rsidRPr="00973742">
        <w:rPr>
          <w:szCs w:val="24"/>
        </w:rPr>
        <w:t xml:space="preserve"> for Education Statistics</w:t>
      </w:r>
    </w:p>
    <w:p w:rsidR="00D45270" w:rsidRDefault="00D45270" w:rsidP="002E4754">
      <w:pPr>
        <w:tabs>
          <w:tab w:val="left" w:pos="1440"/>
        </w:tabs>
        <w:rPr>
          <w:szCs w:val="24"/>
        </w:rPr>
      </w:pPr>
      <w:r w:rsidRPr="00973742">
        <w:rPr>
          <w:szCs w:val="24"/>
        </w:rPr>
        <w:tab/>
      </w:r>
    </w:p>
    <w:p w:rsidR="00655C3E" w:rsidRPr="00655C3E" w:rsidRDefault="00D45270" w:rsidP="00DC1602">
      <w:pPr>
        <w:tabs>
          <w:tab w:val="left" w:pos="1440"/>
        </w:tabs>
        <w:ind w:left="1440" w:hanging="1440"/>
      </w:pPr>
      <w:r w:rsidRPr="00973742">
        <w:rPr>
          <w:szCs w:val="24"/>
        </w:rPr>
        <w:t>SUBJECT:</w:t>
      </w:r>
      <w:r w:rsidRPr="00973742">
        <w:rPr>
          <w:szCs w:val="24"/>
        </w:rPr>
        <w:tab/>
      </w:r>
      <w:r w:rsidR="00655C3E" w:rsidRPr="00655C3E">
        <w:t>Integrated Postsecondary Education Data System (IPEDS) Web-based Data Collection 2012-13 through 2013-14 – Alignment with 2010 Standard Occupational Classification (SOC) Codes Change Request</w:t>
      </w:r>
    </w:p>
    <w:p w:rsidR="00D45270" w:rsidRDefault="00D45270">
      <w:pPr>
        <w:pStyle w:val="Title"/>
        <w:ind w:right="-360"/>
        <w:jc w:val="both"/>
      </w:pPr>
    </w:p>
    <w:p w:rsidR="00D45270" w:rsidRDefault="00D45270">
      <w:pPr>
        <w:pStyle w:val="Title"/>
        <w:ind w:right="-360"/>
        <w:jc w:val="left"/>
      </w:pPr>
    </w:p>
    <w:p w:rsidR="00C87D8E" w:rsidRDefault="00D45270" w:rsidP="00C87D8E">
      <w:pPr>
        <w:ind w:right="-360"/>
      </w:pPr>
      <w:r>
        <w:t>The National Center for Education Statistics (NCES) would like to make changes to the</w:t>
      </w:r>
      <w:r w:rsidR="006971D3">
        <w:t xml:space="preserve"> IPEDS </w:t>
      </w:r>
      <w:r w:rsidR="00DC1602">
        <w:t xml:space="preserve">reporting beginning with the </w:t>
      </w:r>
      <w:r>
        <w:t>201</w:t>
      </w:r>
      <w:r w:rsidR="00DC1602">
        <w:t>2</w:t>
      </w:r>
      <w:r>
        <w:t>-1</w:t>
      </w:r>
      <w:r w:rsidR="00DC1602">
        <w:t>3</w:t>
      </w:r>
      <w:r>
        <w:t xml:space="preserve"> Integrated Postsecondary Education Data System (IPEDS) web-based data collection.  Our current authorization </w:t>
      </w:r>
      <w:r w:rsidRPr="004924DD">
        <w:t xml:space="preserve">for IPEDS expires </w:t>
      </w:r>
      <w:r w:rsidR="00D80621">
        <w:t>June 30, 2014</w:t>
      </w:r>
      <w:r w:rsidRPr="004924DD">
        <w:t xml:space="preserve"> (OMB No. 1850-0582</w:t>
      </w:r>
      <w:r w:rsidR="00655C3E">
        <w:t xml:space="preserve"> v.10</w:t>
      </w:r>
      <w:r w:rsidRPr="004924DD">
        <w:t>)</w:t>
      </w:r>
      <w:r>
        <w:t xml:space="preserve"> and covers activities through the 201</w:t>
      </w:r>
      <w:r w:rsidR="00D80621">
        <w:t xml:space="preserve">3-14 </w:t>
      </w:r>
      <w:r>
        <w:t>data collection. We will submit a formal request for a</w:t>
      </w:r>
      <w:r w:rsidR="00D80621">
        <w:t xml:space="preserve"> three-year renewal in late 2013</w:t>
      </w:r>
      <w:r>
        <w:t xml:space="preserve">; however, </w:t>
      </w:r>
      <w:r w:rsidR="00D80621">
        <w:t>as noted in the</w:t>
      </w:r>
      <w:r w:rsidR="006971D3">
        <w:t xml:space="preserve"> v.10 request </w:t>
      </w:r>
      <w:r w:rsidR="00822DF5">
        <w:t>submitted in 2011</w:t>
      </w:r>
      <w:r w:rsidR="006971D3">
        <w:t xml:space="preserve">,  </w:t>
      </w:r>
      <w:r w:rsidR="00D80621">
        <w:t xml:space="preserve"> </w:t>
      </w:r>
      <w:r>
        <w:t xml:space="preserve">there are some modifications </w:t>
      </w:r>
      <w:r w:rsidR="006971D3">
        <w:t>needed to the H</w:t>
      </w:r>
      <w:r w:rsidR="002D1576">
        <w:t>uman Resources (H</w:t>
      </w:r>
      <w:r w:rsidR="006971D3">
        <w:t>R</w:t>
      </w:r>
      <w:r w:rsidR="002D1576">
        <w:t>)</w:t>
      </w:r>
      <w:r w:rsidR="006971D3">
        <w:t xml:space="preserve"> component before the 2014</w:t>
      </w:r>
      <w:r>
        <w:t>-1</w:t>
      </w:r>
      <w:r w:rsidR="006971D3">
        <w:t>5</w:t>
      </w:r>
      <w:r>
        <w:t xml:space="preserve"> data collection. </w:t>
      </w:r>
      <w:r w:rsidR="006971D3">
        <w:t xml:space="preserve">  Specifically, the v.10 request included a preview of the </w:t>
      </w:r>
      <w:r w:rsidR="006A7F2E">
        <w:t>forth</w:t>
      </w:r>
      <w:r w:rsidR="006971D3">
        <w:t xml:space="preserve">coming request for changes in the </w:t>
      </w:r>
      <w:r w:rsidR="002D1576">
        <w:t>HR</w:t>
      </w:r>
      <w:r w:rsidR="006971D3">
        <w:t xml:space="preserve"> Component to align with the 2010 Standard Occupation</w:t>
      </w:r>
      <w:r w:rsidR="002D1576">
        <w:t>al</w:t>
      </w:r>
      <w:r w:rsidR="006971D3">
        <w:t xml:space="preserve"> Classification System</w:t>
      </w:r>
      <w:r w:rsidR="00C87D8E">
        <w:t>.</w:t>
      </w:r>
      <w:r w:rsidR="00C87D8E" w:rsidRPr="00C87D8E">
        <w:t xml:space="preserve"> </w:t>
      </w:r>
      <w:r w:rsidR="00C87D8E">
        <w:t xml:space="preserve">We are therefore requesting your approval to make these modifications for the 2012-13 collection cycle. </w:t>
      </w:r>
    </w:p>
    <w:p w:rsidR="006971D3" w:rsidRDefault="006971D3" w:rsidP="00C87D8E">
      <w:pPr>
        <w:ind w:right="-360"/>
      </w:pPr>
    </w:p>
    <w:p w:rsidR="006971D3" w:rsidRDefault="006971D3" w:rsidP="006971D3">
      <w:pPr>
        <w:ind w:right="-360"/>
      </w:pPr>
    </w:p>
    <w:tbl>
      <w:tblPr>
        <w:tblW w:w="9558" w:type="dxa"/>
        <w:tblBorders>
          <w:top w:val="single" w:sz="8" w:space="0" w:color="7BA0CD"/>
          <w:left w:val="single" w:sz="8" w:space="0" w:color="7BA0CD"/>
          <w:bottom w:val="single" w:sz="8" w:space="0" w:color="7BA0CD"/>
          <w:right w:val="single" w:sz="8" w:space="0" w:color="7BA0CD"/>
        </w:tblBorders>
        <w:tblLayout w:type="fixed"/>
        <w:tblLook w:val="00A0"/>
      </w:tblPr>
      <w:tblGrid>
        <w:gridCol w:w="9558"/>
      </w:tblGrid>
      <w:tr w:rsidR="006971D3" w:rsidRPr="001D597F" w:rsidTr="00390AA8">
        <w:trPr>
          <w:trHeight w:val="520"/>
        </w:trPr>
        <w:tc>
          <w:tcPr>
            <w:tcW w:w="9558" w:type="dxa"/>
            <w:shd w:val="clear" w:color="auto" w:fill="DBE5F1" w:themeFill="accent1" w:themeFillTint="33"/>
          </w:tcPr>
          <w:p w:rsidR="006A7F2E" w:rsidRPr="006A7F2E" w:rsidRDefault="006A7F2E" w:rsidP="006A7F2E">
            <w:pPr>
              <w:rPr>
                <w:rFonts w:ascii="Arial" w:hAnsi="Arial" w:cs="Arial"/>
                <w:b/>
                <w:sz w:val="18"/>
                <w:szCs w:val="22"/>
              </w:rPr>
            </w:pPr>
            <w:r w:rsidRPr="006A7F2E">
              <w:rPr>
                <w:rFonts w:ascii="Arial" w:hAnsi="Arial" w:cs="Arial"/>
                <w:b/>
                <w:sz w:val="18"/>
                <w:szCs w:val="22"/>
              </w:rPr>
              <w:t xml:space="preserve">Excerpt from the Integrated Postsecondary Education Data System  (IPEDS) 2011-2014, </w:t>
            </w:r>
          </w:p>
          <w:p w:rsidR="006A7F2E" w:rsidRPr="006A7F2E" w:rsidRDefault="006A7F2E" w:rsidP="006A7F2E">
            <w:pPr>
              <w:rPr>
                <w:rFonts w:ascii="Arial" w:hAnsi="Arial" w:cs="Arial"/>
                <w:b/>
                <w:sz w:val="18"/>
                <w:szCs w:val="22"/>
              </w:rPr>
            </w:pPr>
            <w:r w:rsidRPr="006A7F2E">
              <w:rPr>
                <w:rFonts w:ascii="Arial" w:hAnsi="Arial" w:cs="Arial"/>
                <w:b/>
                <w:sz w:val="18"/>
                <w:szCs w:val="22"/>
              </w:rPr>
              <w:t>Supporting Statement Part A</w:t>
            </w:r>
          </w:p>
          <w:p w:rsidR="006A7F2E" w:rsidRPr="006A7F2E" w:rsidRDefault="006A7F2E" w:rsidP="006A7F2E">
            <w:pPr>
              <w:rPr>
                <w:rFonts w:ascii="Arial" w:hAnsi="Arial" w:cs="Arial"/>
                <w:b/>
                <w:sz w:val="18"/>
                <w:szCs w:val="22"/>
              </w:rPr>
            </w:pPr>
            <w:r w:rsidRPr="006A7F2E">
              <w:rPr>
                <w:rFonts w:ascii="Arial" w:hAnsi="Arial" w:cs="Arial"/>
                <w:b/>
                <w:sz w:val="18"/>
                <w:szCs w:val="22"/>
              </w:rPr>
              <w:t>OMB Paperwork Reduction Act Submission</w:t>
            </w:r>
          </w:p>
          <w:p w:rsidR="006A7F2E" w:rsidRPr="006A7F2E" w:rsidRDefault="006A7F2E" w:rsidP="006A7F2E">
            <w:pPr>
              <w:rPr>
                <w:rFonts w:ascii="Arial" w:hAnsi="Arial" w:cs="Arial"/>
                <w:b/>
                <w:sz w:val="18"/>
                <w:szCs w:val="22"/>
              </w:rPr>
            </w:pPr>
            <w:r w:rsidRPr="006A7F2E">
              <w:rPr>
                <w:rFonts w:ascii="Arial" w:hAnsi="Arial" w:cs="Arial"/>
                <w:b/>
                <w:sz w:val="18"/>
                <w:szCs w:val="22"/>
              </w:rPr>
              <w:t>OMB No. 1850-0582 v.10</w:t>
            </w:r>
          </w:p>
          <w:p w:rsidR="006A7F2E" w:rsidRDefault="006A7F2E" w:rsidP="006A7F2E">
            <w:pPr>
              <w:rPr>
                <w:rFonts w:ascii="Arial" w:hAnsi="Arial" w:cs="Arial"/>
                <w:bCs/>
                <w:sz w:val="18"/>
                <w:szCs w:val="22"/>
              </w:rPr>
            </w:pPr>
          </w:p>
          <w:p w:rsidR="006971D3" w:rsidRPr="005A7839" w:rsidRDefault="006971D3" w:rsidP="006A7F2E">
            <w:pPr>
              <w:rPr>
                <w:rFonts w:ascii="Arial" w:hAnsi="Arial" w:cs="Arial"/>
                <w:b/>
                <w:bCs/>
                <w:sz w:val="18"/>
              </w:rPr>
            </w:pPr>
            <w:r w:rsidRPr="003B3D33">
              <w:rPr>
                <w:rFonts w:ascii="Arial" w:hAnsi="Arial" w:cs="Arial"/>
                <w:b/>
                <w:sz w:val="22"/>
                <w:szCs w:val="22"/>
              </w:rPr>
              <w:t>Please note:</w:t>
            </w:r>
            <w:r>
              <w:rPr>
                <w:rFonts w:ascii="Arial" w:hAnsi="Arial" w:cs="Arial"/>
                <w:sz w:val="22"/>
                <w:szCs w:val="22"/>
              </w:rPr>
              <w:t xml:space="preserve"> IPEDS is not currently aligned with the recently revised </w:t>
            </w:r>
            <w:r w:rsidRPr="00205C83">
              <w:rPr>
                <w:rFonts w:ascii="Arial" w:hAnsi="Arial" w:cs="Arial"/>
                <w:sz w:val="22"/>
                <w:szCs w:val="22"/>
              </w:rPr>
              <w:t>Standard Occupational Classification (SOC) System</w:t>
            </w:r>
            <w:r>
              <w:rPr>
                <w:rFonts w:ascii="Arial" w:hAnsi="Arial" w:cs="Arial"/>
                <w:sz w:val="22"/>
                <w:szCs w:val="22"/>
              </w:rPr>
              <w:t>. Since the 2010 SOC was released, the IPEDS HR survey director has worked with a contractor to develop a crosswalk between IPEDS reporting categories for faculty and staff and the new SOC. NCES also gained input from nine higher education institutions on the proposed alignment. In April 2011, NCES sought and obtained approval from the SOC Policy Committee for its plan to align IPEDS reporting with the 2010 SOC. Institutions have alerted NCES that they will need time to reclassify their employees based on the 2010 SOC. Therefore, we plan to allow the 2011-12 collection year for institutions to make the necessary adjustment to their data systems, and beginning with the 2012-13 data collection year, IPEDS HR reporting will be fully aligned with the 2010 SOC. NCES will submit to OMB their alignment plan and any associated burden estimates in time for OMB approval before the 2012-13 data collection</w:t>
            </w:r>
            <w:r w:rsidRPr="005A7839">
              <w:rPr>
                <w:rFonts w:ascii="Arial" w:hAnsi="Arial" w:cs="Arial"/>
                <w:bCs/>
                <w:sz w:val="18"/>
                <w:szCs w:val="22"/>
              </w:rPr>
              <w:t xml:space="preserve">.  </w:t>
            </w:r>
          </w:p>
        </w:tc>
      </w:tr>
    </w:tbl>
    <w:p w:rsidR="006971D3" w:rsidRDefault="006971D3" w:rsidP="006971D3">
      <w:pPr>
        <w:ind w:right="-360"/>
      </w:pPr>
    </w:p>
    <w:p w:rsidR="006971D3" w:rsidRDefault="006971D3" w:rsidP="006971D3">
      <w:pPr>
        <w:ind w:right="-360"/>
      </w:pPr>
    </w:p>
    <w:p w:rsidR="00D45270" w:rsidRDefault="00D45270">
      <w:pPr>
        <w:ind w:right="-360"/>
      </w:pPr>
    </w:p>
    <w:p w:rsidR="00C87D8E" w:rsidRPr="00C87D8E" w:rsidRDefault="00C87D8E" w:rsidP="00C87D8E">
      <w:pPr>
        <w:tabs>
          <w:tab w:val="left" w:pos="1080"/>
        </w:tabs>
        <w:rPr>
          <w:szCs w:val="24"/>
        </w:rPr>
      </w:pPr>
      <w:r w:rsidRPr="00C87D8E">
        <w:rPr>
          <w:szCs w:val="24"/>
        </w:rPr>
        <w:lastRenderedPageBreak/>
        <w:t>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 7,000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IPEDS Data Center websites.</w:t>
      </w:r>
    </w:p>
    <w:p w:rsidR="00D45270" w:rsidRDefault="00D45270">
      <w:pPr>
        <w:ind w:right="-360"/>
      </w:pPr>
    </w:p>
    <w:p w:rsidR="00D45270" w:rsidRPr="00294687" w:rsidRDefault="006A7F2E" w:rsidP="00294687">
      <w:pPr>
        <w:rPr>
          <w:b/>
          <w:szCs w:val="24"/>
        </w:rPr>
      </w:pPr>
      <w:r>
        <w:rPr>
          <w:b/>
          <w:szCs w:val="24"/>
        </w:rPr>
        <w:t>Origin of Changes</w:t>
      </w:r>
    </w:p>
    <w:p w:rsidR="00D45270" w:rsidRPr="00294687" w:rsidRDefault="00D45270" w:rsidP="00294687">
      <w:pPr>
        <w:rPr>
          <w:szCs w:val="24"/>
        </w:rPr>
      </w:pPr>
    </w:p>
    <w:p w:rsidR="006A7F2E" w:rsidRDefault="006A7F2E" w:rsidP="00105F1C">
      <w:pPr>
        <w:autoSpaceDE w:val="0"/>
        <w:autoSpaceDN w:val="0"/>
        <w:adjustRightInd w:val="0"/>
        <w:rPr>
          <w:bCs/>
        </w:rPr>
      </w:pPr>
      <w:r>
        <w:rPr>
          <w:bCs/>
        </w:rPr>
        <w:t>The proposed occupational categories come from a new requirement to align IPEDS HR reporting with the 2010 Standard Occupational Classification (SOC) codes.</w:t>
      </w:r>
    </w:p>
    <w:p w:rsidR="00C87D8E" w:rsidRDefault="00C87D8E" w:rsidP="00A0276E">
      <w:pPr>
        <w:rPr>
          <w:szCs w:val="24"/>
        </w:rPr>
      </w:pPr>
    </w:p>
    <w:p w:rsidR="006A7F2E" w:rsidRDefault="0026014C" w:rsidP="0026014C">
      <w:pPr>
        <w:rPr>
          <w:szCs w:val="24"/>
        </w:rPr>
      </w:pPr>
      <w:r w:rsidRPr="00D15B36">
        <w:rPr>
          <w:szCs w:val="24"/>
        </w:rPr>
        <w:t>As noted on the SOC website</w:t>
      </w:r>
      <w:r w:rsidRPr="00D15B36">
        <w:t xml:space="preserve"> </w:t>
      </w:r>
      <w:hyperlink r:id="rId8" w:history="1">
        <w:r w:rsidRPr="00D15B36">
          <w:rPr>
            <w:rStyle w:val="Hyperlink"/>
            <w:szCs w:val="24"/>
          </w:rPr>
          <w:t>http://www.bls.gov/soc/home.htm</w:t>
        </w:r>
      </w:hyperlink>
      <w:r w:rsidRPr="00D15B36">
        <w:rPr>
          <w:szCs w:val="24"/>
        </w:rPr>
        <w:t>, “</w:t>
      </w:r>
      <w:r w:rsidR="00C87D8E" w:rsidRPr="00D15B36">
        <w:rPr>
          <w:szCs w:val="24"/>
        </w:rPr>
        <w:t>The 2010 Standard Occupational Classification (SOC) system is used by Federal statistical agencies to classify workers into occupational categories for the purpose of collecting, calculating, or disseminating data. All workers are classified into one of 840 detailed occupations according to their occupational definition. To facilitate classification, detailed occupations are combined to form 461 broad occupations, 97 minor groups, and 23 major groups. Detailed occupations in the SOC with similar job duties, and in some cases skills, education, and/or training, are grouped together.</w:t>
      </w:r>
      <w:r w:rsidRPr="00D15B36">
        <w:rPr>
          <w:szCs w:val="24"/>
        </w:rPr>
        <w:t>”</w:t>
      </w:r>
      <w:r w:rsidR="00C87D8E" w:rsidRPr="00C87D8E">
        <w:rPr>
          <w:szCs w:val="24"/>
        </w:rPr>
        <w:t xml:space="preserve"> </w:t>
      </w:r>
      <w:r w:rsidR="00A0276E">
        <w:rPr>
          <w:szCs w:val="24"/>
        </w:rPr>
        <w:br w:type="page"/>
      </w:r>
    </w:p>
    <w:tbl>
      <w:tblPr>
        <w:tblW w:w="9835"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Look w:val="00A0"/>
      </w:tblPr>
      <w:tblGrid>
        <w:gridCol w:w="8395"/>
        <w:gridCol w:w="1433"/>
        <w:gridCol w:w="7"/>
      </w:tblGrid>
      <w:tr w:rsidR="00105F1C" w:rsidRPr="00105F1C" w:rsidTr="00A0276E">
        <w:trPr>
          <w:gridAfter w:val="1"/>
          <w:wAfter w:w="7" w:type="dxa"/>
          <w:cantSplit/>
        </w:trPr>
        <w:tc>
          <w:tcPr>
            <w:tcW w:w="9828" w:type="dxa"/>
            <w:gridSpan w:val="2"/>
            <w:tcBorders>
              <w:top w:val="single" w:sz="8" w:space="0" w:color="4F81BD" w:themeColor="accent1"/>
              <w:bottom w:val="single" w:sz="8" w:space="0" w:color="7BA0CD"/>
            </w:tcBorders>
            <w:shd w:val="clear" w:color="auto" w:fill="DBE5F1" w:themeFill="accent1" w:themeFillTint="33"/>
          </w:tcPr>
          <w:p w:rsidR="003E07ED" w:rsidRDefault="003E07ED" w:rsidP="003E07ED">
            <w:pPr>
              <w:spacing w:before="120" w:after="120"/>
              <w:jc w:val="center"/>
              <w:rPr>
                <w:rFonts w:cs="Arial"/>
                <w:sz w:val="28"/>
                <w:szCs w:val="28"/>
              </w:rPr>
            </w:pPr>
            <w:r>
              <w:rPr>
                <w:rFonts w:cs="Arial"/>
                <w:sz w:val="28"/>
                <w:szCs w:val="28"/>
              </w:rPr>
              <w:lastRenderedPageBreak/>
              <w:t xml:space="preserve">Changes to IPEDS Data Collection 2012-13 </w:t>
            </w:r>
          </w:p>
          <w:p w:rsidR="00105F1C" w:rsidRPr="00A0276E" w:rsidRDefault="00105F1C" w:rsidP="00A0276E">
            <w:pPr>
              <w:spacing w:before="120" w:after="120"/>
              <w:jc w:val="center"/>
              <w:rPr>
                <w:rFonts w:cs="Arial"/>
                <w:sz w:val="28"/>
                <w:szCs w:val="28"/>
              </w:rPr>
            </w:pPr>
            <w:r w:rsidRPr="00105F1C">
              <w:rPr>
                <w:rFonts w:cs="Arial"/>
                <w:sz w:val="28"/>
                <w:szCs w:val="28"/>
              </w:rPr>
              <w:t>HUMAN RESOURCES</w:t>
            </w:r>
            <w:r w:rsidR="003E07ED">
              <w:rPr>
                <w:rFonts w:cs="Arial"/>
                <w:sz w:val="28"/>
                <w:szCs w:val="28"/>
              </w:rPr>
              <w:t xml:space="preserve"> (all institutions)</w:t>
            </w:r>
          </w:p>
        </w:tc>
      </w:tr>
      <w:tr w:rsidR="00105F1C" w:rsidRPr="00105F1C" w:rsidTr="00A0276E">
        <w:trPr>
          <w:gridAfter w:val="1"/>
          <w:wAfter w:w="7" w:type="dxa"/>
          <w:cantSplit/>
        </w:trPr>
        <w:tc>
          <w:tcPr>
            <w:tcW w:w="9828" w:type="dxa"/>
            <w:gridSpan w:val="2"/>
            <w:tcBorders>
              <w:top w:val="single" w:sz="8" w:space="0" w:color="7BA0CD"/>
              <w:left w:val="single" w:sz="8" w:space="0" w:color="7BA0CD"/>
              <w:bottom w:val="single" w:sz="8" w:space="0" w:color="7BA0CD"/>
              <w:right w:val="single" w:sz="8" w:space="0" w:color="7BA0CD"/>
            </w:tcBorders>
          </w:tcPr>
          <w:p w:rsidR="00105F1C" w:rsidRPr="003E07ED" w:rsidRDefault="00105F1C" w:rsidP="003E07ED">
            <w:pPr>
              <w:pStyle w:val="ListParagraph"/>
              <w:spacing w:before="120" w:after="120"/>
              <w:ind w:left="360"/>
              <w:rPr>
                <w:rFonts w:cs="Arial"/>
                <w:b/>
              </w:rPr>
            </w:pPr>
            <w:r w:rsidRPr="00C63BF9">
              <w:rPr>
                <w:rFonts w:cs="Arial"/>
                <w:sz w:val="20"/>
              </w:rPr>
              <w:t xml:space="preserve">Proposed new occupational categories for all institutions due to the required alignment of the HR component with the 2010 Standard Occupational Classification (SOC).  These new occupational categories will replace the </w:t>
            </w:r>
            <w:r w:rsidRPr="00C63BF9">
              <w:rPr>
                <w:sz w:val="20"/>
              </w:rPr>
              <w:t xml:space="preserve">primary function/occupational activity categories </w:t>
            </w:r>
            <w:r w:rsidRPr="00C63BF9">
              <w:rPr>
                <w:rFonts w:cs="Arial"/>
                <w:sz w:val="20"/>
              </w:rPr>
              <w:t xml:space="preserve">currently used for HR reporting.  </w:t>
            </w:r>
            <w:r w:rsidRPr="00C63BF9">
              <w:rPr>
                <w:sz w:val="20"/>
              </w:rPr>
              <w:t xml:space="preserve">Each job at the institution will need to be categorized according to the 2010 SOC in order to report HR data in 2012-13.  </w:t>
            </w:r>
          </w:p>
        </w:tc>
      </w:tr>
      <w:tr w:rsidR="00E21F97" w:rsidRPr="00A0276E" w:rsidTr="00C63BF9">
        <w:trPr>
          <w:cantSplit/>
          <w:trHeight w:val="331"/>
          <w:tblHeader/>
        </w:trPr>
        <w:tc>
          <w:tcPr>
            <w:tcW w:w="8395" w:type="dxa"/>
            <w:tcBorders>
              <w:top w:val="single" w:sz="8" w:space="0" w:color="7BA0CD"/>
              <w:left w:val="single" w:sz="8" w:space="0" w:color="7BA0CD"/>
              <w:bottom w:val="single" w:sz="8" w:space="0" w:color="7BA0CD"/>
              <w:right w:val="single" w:sz="8" w:space="0" w:color="7BA0CD"/>
            </w:tcBorders>
            <w:shd w:val="clear" w:color="auto" w:fill="auto"/>
          </w:tcPr>
          <w:p w:rsidR="00E21F97" w:rsidRPr="00A0276E" w:rsidRDefault="00E21F97" w:rsidP="00E21F97">
            <w:pPr>
              <w:jc w:val="center"/>
              <w:rPr>
                <w:rFonts w:asciiTheme="minorHAnsi" w:hAnsiTheme="minorHAnsi" w:cs="Arial"/>
                <w:bCs/>
              </w:rPr>
            </w:pPr>
            <w:r w:rsidRPr="00A0276E">
              <w:rPr>
                <w:rFonts w:asciiTheme="minorHAnsi" w:hAnsiTheme="minorHAnsi" w:cs="Arial"/>
              </w:rPr>
              <w:t>Change</w:t>
            </w:r>
          </w:p>
        </w:tc>
        <w:tc>
          <w:tcPr>
            <w:tcW w:w="1440" w:type="dxa"/>
            <w:gridSpan w:val="2"/>
            <w:tcBorders>
              <w:left w:val="single" w:sz="8" w:space="0" w:color="7BA0CD"/>
              <w:bottom w:val="single" w:sz="8" w:space="0" w:color="7BA0CD"/>
            </w:tcBorders>
            <w:shd w:val="clear" w:color="auto" w:fill="auto"/>
          </w:tcPr>
          <w:p w:rsidR="00E21F97" w:rsidRPr="00A0276E" w:rsidRDefault="00E21F97" w:rsidP="00E21F97">
            <w:pPr>
              <w:jc w:val="center"/>
              <w:rPr>
                <w:rFonts w:asciiTheme="minorHAnsi" w:hAnsiTheme="minorHAnsi" w:cs="Arial"/>
                <w:b/>
              </w:rPr>
            </w:pPr>
            <w:r w:rsidRPr="00A0276E">
              <w:rPr>
                <w:rFonts w:asciiTheme="minorHAnsi" w:hAnsiTheme="minorHAnsi" w:cs="Arial"/>
              </w:rPr>
              <w:t>Source</w:t>
            </w:r>
          </w:p>
        </w:tc>
      </w:tr>
      <w:tr w:rsidR="00E21F97" w:rsidRPr="006D0256" w:rsidTr="00A0276E">
        <w:trPr>
          <w:cantSplit/>
          <w:tblHeader/>
        </w:trPr>
        <w:tc>
          <w:tcPr>
            <w:tcW w:w="8395" w:type="dxa"/>
            <w:tcBorders>
              <w:top w:val="single" w:sz="8" w:space="0" w:color="7BA0CD"/>
              <w:left w:val="single" w:sz="8" w:space="0" w:color="7BA0CD"/>
              <w:bottom w:val="single" w:sz="8" w:space="0" w:color="7BA0CD"/>
              <w:right w:val="single" w:sz="8" w:space="0" w:color="7BA0CD"/>
            </w:tcBorders>
            <w:shd w:val="clear" w:color="auto" w:fill="auto"/>
          </w:tcPr>
          <w:p w:rsidR="00E21F97" w:rsidRPr="00C63BF9" w:rsidRDefault="00E21F97" w:rsidP="00A0276E">
            <w:pPr>
              <w:rPr>
                <w:rFonts w:asciiTheme="minorHAnsi" w:hAnsiTheme="minorHAnsi" w:cs="Arial"/>
                <w:szCs w:val="22"/>
              </w:rPr>
            </w:pPr>
            <w:r w:rsidRPr="00C63BF9">
              <w:rPr>
                <w:rFonts w:asciiTheme="minorHAnsi" w:hAnsiTheme="minorHAnsi" w:cs="Arial"/>
                <w:sz w:val="20"/>
                <w:szCs w:val="22"/>
              </w:rPr>
              <w:t xml:space="preserve">Adopt new occupational categories to replace the current primary function/occupational activity categories.  </w:t>
            </w:r>
          </w:p>
          <w:p w:rsidR="00E21F97" w:rsidRPr="00C63BF9" w:rsidRDefault="00E21F97" w:rsidP="00A0276E">
            <w:pPr>
              <w:spacing w:before="120" w:after="120"/>
              <w:rPr>
                <w:rFonts w:asciiTheme="minorHAnsi" w:hAnsiTheme="minorHAnsi" w:cs="Arial"/>
                <w:szCs w:val="22"/>
              </w:rPr>
            </w:pPr>
            <w:r w:rsidRPr="00C63BF9">
              <w:rPr>
                <w:rFonts w:asciiTheme="minorHAnsi" w:hAnsiTheme="minorHAnsi" w:cs="Arial"/>
                <w:sz w:val="20"/>
                <w:szCs w:val="22"/>
              </w:rPr>
              <w:t xml:space="preserve">The alignment with the 2010 Standard Occupational </w:t>
            </w:r>
            <w:r w:rsidR="00D15B36" w:rsidRPr="00C63BF9">
              <w:rPr>
                <w:rFonts w:asciiTheme="minorHAnsi" w:hAnsiTheme="minorHAnsi" w:cs="Arial"/>
                <w:sz w:val="20"/>
                <w:szCs w:val="22"/>
              </w:rPr>
              <w:t xml:space="preserve">Classification </w:t>
            </w:r>
            <w:r w:rsidRPr="00C63BF9">
              <w:rPr>
                <w:rFonts w:asciiTheme="minorHAnsi" w:hAnsiTheme="minorHAnsi" w:cs="Arial"/>
                <w:sz w:val="20"/>
                <w:szCs w:val="22"/>
              </w:rPr>
              <w:t xml:space="preserve">(SOC) requires the adoption of new occupational categories for reporting on the HR survey component.  However, the currently used categories Primarily Instruction, Instruction Combined with Research and/or Public Service, Primarily Research, and Primarily Public Service will continue to be used, and will not change.  The professional/non-professional terminology will no longer be used.   </w:t>
            </w:r>
          </w:p>
          <w:p w:rsidR="00E21F97" w:rsidRPr="00C63BF9" w:rsidRDefault="00E21F97" w:rsidP="00997156">
            <w:pPr>
              <w:spacing w:before="120" w:after="120"/>
              <w:rPr>
                <w:rFonts w:asciiTheme="minorHAnsi" w:hAnsiTheme="minorHAnsi" w:cs="Arial"/>
                <w:szCs w:val="22"/>
              </w:rPr>
            </w:pPr>
            <w:r w:rsidRPr="00C63BF9">
              <w:rPr>
                <w:rFonts w:asciiTheme="minorHAnsi" w:hAnsiTheme="minorHAnsi" w:cs="Arial"/>
                <w:sz w:val="20"/>
                <w:szCs w:val="22"/>
              </w:rPr>
              <w:t>NCES ask</w:t>
            </w:r>
            <w:r w:rsidR="00A0276E" w:rsidRPr="00C63BF9">
              <w:rPr>
                <w:rFonts w:asciiTheme="minorHAnsi" w:hAnsiTheme="minorHAnsi" w:cs="Arial"/>
                <w:sz w:val="20"/>
                <w:szCs w:val="22"/>
              </w:rPr>
              <w:t xml:space="preserve">s </w:t>
            </w:r>
            <w:r w:rsidRPr="00C63BF9">
              <w:rPr>
                <w:rFonts w:asciiTheme="minorHAnsi" w:hAnsiTheme="minorHAnsi" w:cs="Arial"/>
                <w:sz w:val="20"/>
                <w:szCs w:val="22"/>
              </w:rPr>
              <w:t>for approval to use the following categories</w:t>
            </w:r>
            <w:r w:rsidR="00997156" w:rsidRPr="00C63BF9">
              <w:rPr>
                <w:rFonts w:asciiTheme="minorHAnsi" w:hAnsiTheme="minorHAnsi" w:cs="Arial"/>
                <w:sz w:val="20"/>
                <w:szCs w:val="22"/>
              </w:rPr>
              <w:t>, and those noted with an asterisk (*)  are categories for which salary outlays will be collected</w:t>
            </w:r>
            <w:r w:rsidRPr="00C63BF9">
              <w:rPr>
                <w:rFonts w:asciiTheme="minorHAnsi" w:hAnsiTheme="minorHAnsi" w:cs="Arial"/>
                <w:sz w:val="20"/>
                <w:szCs w:val="22"/>
              </w:rPr>
              <w:t>:</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Management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Business and Financial Operations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Computer, Engineering, and Science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Community Service, Legal, Arts, and Media Occupations</w:t>
            </w:r>
            <w:r w:rsidR="00997156" w:rsidRPr="00C63BF9">
              <w:rPr>
                <w:rFonts w:eastAsia="Times New Roman" w:cs="Arial"/>
                <w:sz w:val="20"/>
              </w:rPr>
              <w:t xml:space="preserve"> *</w:t>
            </w:r>
          </w:p>
          <w:p w:rsidR="00FD5EBD" w:rsidRPr="00C63BF9" w:rsidRDefault="00FD5EBD" w:rsidP="00E21F97">
            <w:pPr>
              <w:pStyle w:val="ListParagraph"/>
              <w:numPr>
                <w:ilvl w:val="0"/>
                <w:numId w:val="4"/>
              </w:numPr>
              <w:rPr>
                <w:rFonts w:eastAsia="Times New Roman" w:cs="Arial"/>
                <w:sz w:val="20"/>
              </w:rPr>
            </w:pPr>
            <w:r w:rsidRPr="00C63BF9">
              <w:rPr>
                <w:rFonts w:eastAsia="Times New Roman" w:cs="Arial"/>
                <w:sz w:val="20"/>
              </w:rPr>
              <w:t>Postsecondary Teachers *</w:t>
            </w:r>
          </w:p>
          <w:p w:rsidR="0094289D" w:rsidRPr="00C63BF9" w:rsidRDefault="00FD5EBD">
            <w:pPr>
              <w:pStyle w:val="ListParagraph"/>
              <w:numPr>
                <w:ilvl w:val="1"/>
                <w:numId w:val="4"/>
              </w:numPr>
              <w:rPr>
                <w:rFonts w:eastAsia="Times New Roman" w:cs="Arial"/>
                <w:sz w:val="20"/>
              </w:rPr>
            </w:pPr>
            <w:r w:rsidRPr="00C63BF9">
              <w:rPr>
                <w:rFonts w:eastAsia="Times New Roman" w:cs="Arial"/>
                <w:sz w:val="20"/>
              </w:rPr>
              <w:t>by function</w:t>
            </w:r>
          </w:p>
          <w:p w:rsidR="0094289D" w:rsidRPr="00C63BF9" w:rsidRDefault="00E21F97">
            <w:pPr>
              <w:pStyle w:val="ListParagraph"/>
              <w:numPr>
                <w:ilvl w:val="2"/>
                <w:numId w:val="4"/>
              </w:numPr>
              <w:rPr>
                <w:rFonts w:eastAsia="Times New Roman" w:cs="Arial"/>
                <w:sz w:val="20"/>
              </w:rPr>
            </w:pPr>
            <w:r w:rsidRPr="00C63BF9">
              <w:rPr>
                <w:rFonts w:eastAsia="Times New Roman" w:cs="Arial"/>
                <w:sz w:val="20"/>
              </w:rPr>
              <w:t>Instruction</w:t>
            </w:r>
            <w:r w:rsidR="00FD5EBD" w:rsidRPr="00C63BF9">
              <w:rPr>
                <w:rFonts w:eastAsia="Times New Roman" w:cs="Arial"/>
                <w:sz w:val="20"/>
              </w:rPr>
              <w:t xml:space="preserve"> *</w:t>
            </w:r>
          </w:p>
          <w:p w:rsidR="0094289D" w:rsidRPr="00C63BF9" w:rsidRDefault="00E21F97">
            <w:pPr>
              <w:pStyle w:val="ListParagraph"/>
              <w:numPr>
                <w:ilvl w:val="2"/>
                <w:numId w:val="4"/>
              </w:numPr>
              <w:rPr>
                <w:rFonts w:eastAsia="Times New Roman" w:cs="Arial"/>
                <w:sz w:val="20"/>
              </w:rPr>
            </w:pPr>
            <w:r w:rsidRPr="00C63BF9">
              <w:rPr>
                <w:rFonts w:eastAsia="Times New Roman" w:cs="Arial"/>
                <w:sz w:val="20"/>
              </w:rPr>
              <w:t>Instruction combined with Research and/or Public Service</w:t>
            </w:r>
            <w:r w:rsidR="00FD5EBD" w:rsidRPr="00C63BF9">
              <w:rPr>
                <w:rFonts w:eastAsia="Times New Roman" w:cs="Arial"/>
                <w:sz w:val="20"/>
              </w:rPr>
              <w:t xml:space="preserve"> *</w:t>
            </w:r>
          </w:p>
          <w:p w:rsidR="0094289D" w:rsidRPr="00C63BF9" w:rsidRDefault="00E21F97">
            <w:pPr>
              <w:pStyle w:val="ListParagraph"/>
              <w:numPr>
                <w:ilvl w:val="2"/>
                <w:numId w:val="4"/>
              </w:numPr>
              <w:rPr>
                <w:rFonts w:eastAsia="Times New Roman" w:cs="Arial"/>
                <w:sz w:val="20"/>
              </w:rPr>
            </w:pPr>
            <w:r w:rsidRPr="00C63BF9">
              <w:rPr>
                <w:rFonts w:eastAsia="Times New Roman" w:cs="Arial"/>
                <w:sz w:val="20"/>
              </w:rPr>
              <w:t>Research</w:t>
            </w:r>
            <w:r w:rsidR="00997156" w:rsidRPr="00C63BF9">
              <w:rPr>
                <w:rFonts w:eastAsia="Times New Roman" w:cs="Arial"/>
                <w:sz w:val="20"/>
              </w:rPr>
              <w:t xml:space="preserve"> *</w:t>
            </w:r>
          </w:p>
          <w:p w:rsidR="0094289D" w:rsidRPr="00C63BF9" w:rsidRDefault="00E21F97">
            <w:pPr>
              <w:pStyle w:val="ListParagraph"/>
              <w:numPr>
                <w:ilvl w:val="2"/>
                <w:numId w:val="4"/>
              </w:numPr>
              <w:rPr>
                <w:rFonts w:eastAsia="Times New Roman" w:cs="Arial"/>
                <w:sz w:val="20"/>
              </w:rPr>
            </w:pPr>
            <w:r w:rsidRPr="00C63BF9">
              <w:rPr>
                <w:rFonts w:eastAsia="Times New Roman" w:cs="Arial"/>
                <w:sz w:val="20"/>
              </w:rPr>
              <w:t>Public Service</w:t>
            </w:r>
            <w:r w:rsidR="00997156" w:rsidRPr="00C63BF9">
              <w:rPr>
                <w:rFonts w:eastAsia="Times New Roman" w:cs="Arial"/>
                <w:sz w:val="20"/>
              </w:rPr>
              <w:t xml:space="preserve"> *</w:t>
            </w:r>
          </w:p>
          <w:p w:rsidR="00396250" w:rsidRPr="00C63BF9" w:rsidRDefault="00396250" w:rsidP="00396250">
            <w:pPr>
              <w:pStyle w:val="ListParagraph"/>
              <w:numPr>
                <w:ilvl w:val="0"/>
                <w:numId w:val="4"/>
              </w:numPr>
              <w:rPr>
                <w:rFonts w:eastAsia="Times New Roman" w:cs="Arial"/>
                <w:sz w:val="20"/>
              </w:rPr>
            </w:pPr>
            <w:r w:rsidRPr="00C63BF9">
              <w:rPr>
                <w:rFonts w:eastAsia="Times New Roman" w:cs="Arial"/>
                <w:sz w:val="20"/>
              </w:rPr>
              <w:t>Graduate Assistants</w:t>
            </w:r>
          </w:p>
          <w:p w:rsidR="00396250" w:rsidRPr="00C63BF9" w:rsidRDefault="00396250" w:rsidP="00396250">
            <w:pPr>
              <w:pStyle w:val="ListParagraph"/>
              <w:numPr>
                <w:ilvl w:val="1"/>
                <w:numId w:val="4"/>
              </w:numPr>
              <w:rPr>
                <w:rFonts w:eastAsia="Times New Roman" w:cs="Arial"/>
                <w:sz w:val="20"/>
              </w:rPr>
            </w:pPr>
            <w:r w:rsidRPr="00C63BF9">
              <w:rPr>
                <w:rFonts w:eastAsia="Times New Roman" w:cs="Arial"/>
                <w:sz w:val="20"/>
              </w:rPr>
              <w:t>Teaching</w:t>
            </w:r>
          </w:p>
          <w:p w:rsidR="00396250" w:rsidRPr="00C63BF9" w:rsidRDefault="00396250" w:rsidP="00396250">
            <w:pPr>
              <w:pStyle w:val="ListParagraph"/>
              <w:numPr>
                <w:ilvl w:val="1"/>
                <w:numId w:val="4"/>
              </w:numPr>
              <w:rPr>
                <w:rFonts w:eastAsia="Times New Roman" w:cs="Arial"/>
                <w:sz w:val="20"/>
              </w:rPr>
            </w:pPr>
            <w:r w:rsidRPr="00C63BF9">
              <w:rPr>
                <w:rFonts w:eastAsia="Times New Roman" w:cs="Arial"/>
                <w:sz w:val="20"/>
              </w:rPr>
              <w:t>Research</w:t>
            </w:r>
          </w:p>
          <w:p w:rsidR="00FD5EBD" w:rsidRPr="00C63BF9" w:rsidRDefault="00FD5EBD" w:rsidP="00FD5EBD">
            <w:pPr>
              <w:pStyle w:val="ListParagraph"/>
              <w:numPr>
                <w:ilvl w:val="1"/>
                <w:numId w:val="4"/>
              </w:numPr>
              <w:rPr>
                <w:rFonts w:eastAsia="Times New Roman" w:cs="Arial"/>
                <w:sz w:val="20"/>
              </w:rPr>
            </w:pPr>
            <w:r w:rsidRPr="00C63BF9">
              <w:rPr>
                <w:rFonts w:eastAsia="Times New Roman" w:cs="Arial"/>
                <w:sz w:val="20"/>
              </w:rPr>
              <w:t xml:space="preserve">Management Occupations </w:t>
            </w:r>
          </w:p>
          <w:p w:rsidR="00FD5EBD" w:rsidRPr="00C63BF9" w:rsidRDefault="00FD5EBD" w:rsidP="00FD5EBD">
            <w:pPr>
              <w:pStyle w:val="ListParagraph"/>
              <w:numPr>
                <w:ilvl w:val="1"/>
                <w:numId w:val="4"/>
              </w:numPr>
              <w:rPr>
                <w:rFonts w:eastAsia="Times New Roman" w:cs="Arial"/>
                <w:sz w:val="20"/>
              </w:rPr>
            </w:pPr>
            <w:r w:rsidRPr="00C63BF9">
              <w:rPr>
                <w:rFonts w:eastAsia="Times New Roman" w:cs="Arial"/>
                <w:sz w:val="20"/>
              </w:rPr>
              <w:t xml:space="preserve">Business and Financial Operations Occupations </w:t>
            </w:r>
          </w:p>
          <w:p w:rsidR="00FD5EBD" w:rsidRPr="00C63BF9" w:rsidRDefault="00FD5EBD" w:rsidP="00FD5EBD">
            <w:pPr>
              <w:pStyle w:val="ListParagraph"/>
              <w:numPr>
                <w:ilvl w:val="1"/>
                <w:numId w:val="4"/>
              </w:numPr>
              <w:rPr>
                <w:rFonts w:eastAsia="Times New Roman" w:cs="Arial"/>
                <w:sz w:val="20"/>
              </w:rPr>
            </w:pPr>
            <w:r w:rsidRPr="00C63BF9">
              <w:rPr>
                <w:rFonts w:eastAsia="Times New Roman" w:cs="Arial"/>
                <w:sz w:val="20"/>
              </w:rPr>
              <w:t xml:space="preserve">Computer, Engineering, and Science Occupations </w:t>
            </w:r>
          </w:p>
          <w:p w:rsidR="00FD5EBD" w:rsidRPr="00C63BF9" w:rsidRDefault="00FD5EBD" w:rsidP="00FD5EBD">
            <w:pPr>
              <w:pStyle w:val="ListParagraph"/>
              <w:numPr>
                <w:ilvl w:val="1"/>
                <w:numId w:val="4"/>
              </w:numPr>
              <w:rPr>
                <w:rFonts w:eastAsia="Times New Roman" w:cs="Arial"/>
                <w:sz w:val="20"/>
              </w:rPr>
            </w:pPr>
            <w:r w:rsidRPr="00C63BF9">
              <w:rPr>
                <w:rFonts w:eastAsia="Times New Roman" w:cs="Arial"/>
                <w:sz w:val="20"/>
              </w:rPr>
              <w:t xml:space="preserve">Community Service, Legal, Arts, and Media Occupations </w:t>
            </w:r>
          </w:p>
          <w:p w:rsidR="00FD5EBD" w:rsidRPr="00C63BF9" w:rsidRDefault="00FD5EBD" w:rsidP="00FD5EBD">
            <w:pPr>
              <w:pStyle w:val="ListParagraph"/>
              <w:numPr>
                <w:ilvl w:val="1"/>
                <w:numId w:val="4"/>
              </w:numPr>
              <w:rPr>
                <w:rFonts w:eastAsia="Times New Roman" w:cs="Arial"/>
                <w:sz w:val="20"/>
              </w:rPr>
            </w:pPr>
            <w:r w:rsidRPr="00C63BF9">
              <w:rPr>
                <w:rFonts w:eastAsia="Times New Roman" w:cs="Arial"/>
                <w:sz w:val="20"/>
              </w:rPr>
              <w:t xml:space="preserve">Library and Non-postsecondary Teaching Occupations </w:t>
            </w:r>
          </w:p>
          <w:p w:rsidR="00FD5EBD" w:rsidRPr="00C63BF9" w:rsidRDefault="00FD5EBD" w:rsidP="00FD5EBD">
            <w:pPr>
              <w:pStyle w:val="ListParagraph"/>
              <w:numPr>
                <w:ilvl w:val="1"/>
                <w:numId w:val="4"/>
              </w:numPr>
              <w:rPr>
                <w:rFonts w:eastAsia="Times New Roman" w:cs="Arial"/>
                <w:sz w:val="20"/>
              </w:rPr>
            </w:pPr>
            <w:r w:rsidRPr="00C63BF9">
              <w:rPr>
                <w:rFonts w:eastAsia="Times New Roman" w:cs="Arial"/>
                <w:sz w:val="20"/>
              </w:rPr>
              <w:t xml:space="preserve">Healthcare Practitioners and Technical Occupations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Library and Non-postsecondary Teaching Occupations</w:t>
            </w:r>
            <w:r w:rsidR="00997156" w:rsidRPr="00C63BF9">
              <w:rPr>
                <w:rFonts w:eastAsia="Times New Roman" w:cs="Arial"/>
                <w:sz w:val="20"/>
              </w:rPr>
              <w:t xml:space="preserve"> *</w:t>
            </w:r>
          </w:p>
          <w:p w:rsidR="00E21F97" w:rsidRPr="00C63BF9" w:rsidRDefault="00E21F97" w:rsidP="00E21F97">
            <w:pPr>
              <w:pStyle w:val="ListParagraph"/>
              <w:numPr>
                <w:ilvl w:val="1"/>
                <w:numId w:val="4"/>
              </w:numPr>
              <w:rPr>
                <w:rFonts w:eastAsia="Times New Roman" w:cs="Arial"/>
                <w:sz w:val="20"/>
              </w:rPr>
            </w:pPr>
            <w:r w:rsidRPr="00C63BF9">
              <w:rPr>
                <w:rFonts w:eastAsia="Times New Roman" w:cs="Arial"/>
                <w:sz w:val="20"/>
              </w:rPr>
              <w:t>Archivists, Curators, and Museum Technicians</w:t>
            </w:r>
          </w:p>
          <w:p w:rsidR="00E21F97" w:rsidRPr="00C63BF9" w:rsidRDefault="00E21F97" w:rsidP="00E21F97">
            <w:pPr>
              <w:pStyle w:val="ListParagraph"/>
              <w:numPr>
                <w:ilvl w:val="1"/>
                <w:numId w:val="4"/>
              </w:numPr>
              <w:rPr>
                <w:rFonts w:eastAsia="Times New Roman" w:cs="Arial"/>
                <w:sz w:val="20"/>
              </w:rPr>
            </w:pPr>
            <w:r w:rsidRPr="00C63BF9">
              <w:rPr>
                <w:rFonts w:eastAsia="Times New Roman" w:cs="Arial"/>
                <w:sz w:val="20"/>
              </w:rPr>
              <w:t>Librarians</w:t>
            </w:r>
          </w:p>
          <w:p w:rsidR="00E21F97" w:rsidRPr="00C63BF9" w:rsidRDefault="00E21F97" w:rsidP="00E21F97">
            <w:pPr>
              <w:pStyle w:val="ListParagraph"/>
              <w:numPr>
                <w:ilvl w:val="1"/>
                <w:numId w:val="4"/>
              </w:numPr>
              <w:rPr>
                <w:rFonts w:eastAsia="Times New Roman" w:cs="Arial"/>
                <w:sz w:val="20"/>
              </w:rPr>
            </w:pPr>
            <w:r w:rsidRPr="00C63BF9">
              <w:rPr>
                <w:rFonts w:eastAsia="Times New Roman" w:cs="Arial"/>
                <w:sz w:val="20"/>
              </w:rPr>
              <w:t>Library Technicians</w:t>
            </w:r>
          </w:p>
          <w:p w:rsidR="00E21F97" w:rsidRPr="00C63BF9" w:rsidRDefault="00E21F97" w:rsidP="00E21F97">
            <w:pPr>
              <w:pStyle w:val="ListParagraph"/>
              <w:numPr>
                <w:ilvl w:val="1"/>
                <w:numId w:val="4"/>
              </w:numPr>
              <w:rPr>
                <w:rFonts w:eastAsia="Times New Roman" w:cs="Arial"/>
                <w:sz w:val="20"/>
              </w:rPr>
            </w:pPr>
            <w:r w:rsidRPr="00C63BF9">
              <w:rPr>
                <w:rFonts w:eastAsia="Times New Roman" w:cs="Arial"/>
                <w:sz w:val="20"/>
              </w:rPr>
              <w:t>Non-postsecondary Teaching Occupations</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Healthcare Practitioners and Technical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Service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Sales and Related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Office and Administrative Support Occupations</w:t>
            </w:r>
            <w:r w:rsidR="00997156" w:rsidRPr="00C63BF9">
              <w:rPr>
                <w:rFonts w:eastAsia="Times New Roman" w:cs="Arial"/>
                <w:sz w:val="20"/>
              </w:rPr>
              <w:t xml:space="preserve"> *</w:t>
            </w:r>
          </w:p>
          <w:p w:rsidR="00E21F97" w:rsidRPr="00C63BF9" w:rsidRDefault="00E21F97" w:rsidP="00E21F97">
            <w:pPr>
              <w:pStyle w:val="ListParagraph"/>
              <w:numPr>
                <w:ilvl w:val="0"/>
                <w:numId w:val="4"/>
              </w:numPr>
              <w:rPr>
                <w:rFonts w:eastAsia="Times New Roman" w:cs="Arial"/>
                <w:sz w:val="20"/>
              </w:rPr>
            </w:pPr>
            <w:r w:rsidRPr="00C63BF9">
              <w:rPr>
                <w:rFonts w:eastAsia="Times New Roman" w:cs="Arial"/>
                <w:sz w:val="20"/>
              </w:rPr>
              <w:t>Natural Resources, Construction, and Maintenance Occupations</w:t>
            </w:r>
            <w:r w:rsidR="00997156" w:rsidRPr="00C63BF9">
              <w:rPr>
                <w:rFonts w:eastAsia="Times New Roman" w:cs="Arial"/>
                <w:sz w:val="20"/>
              </w:rPr>
              <w:t xml:space="preserve"> *</w:t>
            </w:r>
          </w:p>
          <w:p w:rsidR="00E21F97" w:rsidRPr="00A0276E" w:rsidRDefault="00E21F97" w:rsidP="00C63BF9">
            <w:pPr>
              <w:pStyle w:val="ListParagraph"/>
              <w:numPr>
                <w:ilvl w:val="0"/>
                <w:numId w:val="4"/>
              </w:numPr>
              <w:rPr>
                <w:rFonts w:cs="Arial"/>
              </w:rPr>
            </w:pPr>
            <w:r w:rsidRPr="00C63BF9">
              <w:rPr>
                <w:rFonts w:eastAsia="Times New Roman" w:cs="Arial"/>
                <w:sz w:val="20"/>
              </w:rPr>
              <w:t>Production, Transportation, and Material Moving Occupations</w:t>
            </w:r>
            <w:r w:rsidR="00997156" w:rsidRPr="00C63BF9">
              <w:rPr>
                <w:rFonts w:eastAsia="Times New Roman" w:cs="Arial"/>
                <w:sz w:val="20"/>
              </w:rPr>
              <w:t xml:space="preserve"> *</w:t>
            </w:r>
          </w:p>
        </w:tc>
        <w:tc>
          <w:tcPr>
            <w:tcW w:w="1440" w:type="dxa"/>
            <w:gridSpan w:val="2"/>
            <w:tcBorders>
              <w:left w:val="single" w:sz="8" w:space="0" w:color="7BA0CD"/>
              <w:bottom w:val="single" w:sz="8" w:space="0" w:color="7BA0CD"/>
              <w:right w:val="single" w:sz="8" w:space="0" w:color="4F81BD" w:themeColor="accent1"/>
            </w:tcBorders>
            <w:shd w:val="clear" w:color="auto" w:fill="auto"/>
          </w:tcPr>
          <w:p w:rsidR="00E21F97" w:rsidRPr="00A0276E" w:rsidRDefault="00E21F97" w:rsidP="00E21F97">
            <w:pPr>
              <w:spacing w:before="120" w:after="120"/>
              <w:jc w:val="center"/>
              <w:rPr>
                <w:rFonts w:asciiTheme="minorHAnsi" w:hAnsiTheme="minorHAnsi" w:cs="Arial"/>
                <w:szCs w:val="22"/>
              </w:rPr>
            </w:pPr>
            <w:r w:rsidRPr="00A0276E">
              <w:rPr>
                <w:rFonts w:asciiTheme="minorHAnsi" w:hAnsiTheme="minorHAnsi" w:cs="Arial"/>
                <w:sz w:val="22"/>
                <w:szCs w:val="22"/>
              </w:rPr>
              <w:t>2010 SOC</w:t>
            </w:r>
          </w:p>
        </w:tc>
      </w:tr>
    </w:tbl>
    <w:p w:rsidR="00105F1C" w:rsidRDefault="00105F1C" w:rsidP="00294687">
      <w:pPr>
        <w:rPr>
          <w:szCs w:val="24"/>
        </w:rPr>
      </w:pPr>
    </w:p>
    <w:p w:rsidR="00105F1C" w:rsidRDefault="00105F1C" w:rsidP="00294687">
      <w:pPr>
        <w:rPr>
          <w:szCs w:val="24"/>
        </w:rPr>
      </w:pPr>
    </w:p>
    <w:p w:rsidR="00D45270" w:rsidRDefault="00D45270" w:rsidP="00610FF2">
      <w:pPr>
        <w:ind w:right="-360"/>
      </w:pPr>
    </w:p>
    <w:p w:rsidR="00593A62" w:rsidRDefault="00593A62">
      <w:pPr>
        <w:rPr>
          <w:b/>
          <w:snapToGrid w:val="0"/>
        </w:rPr>
      </w:pPr>
      <w:r>
        <w:rPr>
          <w:b/>
          <w:snapToGrid w:val="0"/>
        </w:rPr>
        <w:br w:type="page"/>
      </w:r>
    </w:p>
    <w:p w:rsidR="00D45270" w:rsidRDefault="00D45270"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r>
        <w:rPr>
          <w:b/>
          <w:snapToGrid w:val="0"/>
        </w:rPr>
        <w:lastRenderedPageBreak/>
        <w:t xml:space="preserve">Overall </w:t>
      </w:r>
      <w:r w:rsidRPr="001D253F">
        <w:rPr>
          <w:b/>
          <w:snapToGrid w:val="0"/>
        </w:rPr>
        <w:t>Impact on Response Burden</w:t>
      </w:r>
    </w:p>
    <w:p w:rsidR="00623141" w:rsidRPr="001D253F" w:rsidRDefault="00623141"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p w:rsidR="003936B0" w:rsidRDefault="00D45270" w:rsidP="00A209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1D253F">
        <w:rPr>
          <w:snapToGrid w:val="0"/>
        </w:rPr>
        <w:t xml:space="preserve">Table 1 </w:t>
      </w:r>
      <w:r w:rsidR="00A2094A">
        <w:rPr>
          <w:snapToGrid w:val="0"/>
        </w:rPr>
        <w:t>below</w:t>
      </w:r>
      <w:r>
        <w:rPr>
          <w:snapToGrid w:val="0"/>
        </w:rPr>
        <w:t xml:space="preserve"> </w:t>
      </w:r>
      <w:r w:rsidRPr="001D253F">
        <w:rPr>
          <w:snapToGrid w:val="0"/>
        </w:rPr>
        <w:t>displays the estimated burden for 2</w:t>
      </w:r>
      <w:r>
        <w:rPr>
          <w:snapToGrid w:val="0"/>
        </w:rPr>
        <w:t>01</w:t>
      </w:r>
      <w:r w:rsidR="0082156B">
        <w:rPr>
          <w:snapToGrid w:val="0"/>
        </w:rPr>
        <w:t>2-13</w:t>
      </w:r>
      <w:r w:rsidR="004F4F3D">
        <w:rPr>
          <w:snapToGrid w:val="0"/>
        </w:rPr>
        <w:t xml:space="preserve"> and 2013-14</w:t>
      </w:r>
      <w:r w:rsidRPr="001D253F">
        <w:rPr>
          <w:snapToGrid w:val="0"/>
        </w:rPr>
        <w:t xml:space="preserve"> that was included in the original clearance request and the new estimated burden.</w:t>
      </w:r>
      <w:r w:rsidR="00A2094A">
        <w:rPr>
          <w:snapToGrid w:val="0"/>
        </w:rPr>
        <w:t xml:space="preserve"> </w:t>
      </w:r>
      <w:r w:rsidRPr="001D253F">
        <w:rPr>
          <w:snapToGrid w:val="0"/>
        </w:rPr>
        <w:t xml:space="preserve"> </w:t>
      </w:r>
      <w:r w:rsidR="00A2094A">
        <w:rPr>
          <w:snapToGrid w:val="0"/>
        </w:rPr>
        <w:t xml:space="preserve"> Rows with changes have been highlighted in yellow. </w:t>
      </w:r>
      <w:r>
        <w:rPr>
          <w:snapToGrid w:val="0"/>
        </w:rPr>
        <w:t xml:space="preserve"> Overall, burden would increase</w:t>
      </w:r>
      <w:r w:rsidR="004F4F3D">
        <w:rPr>
          <w:snapToGrid w:val="0"/>
        </w:rPr>
        <w:t xml:space="preserve"> </w:t>
      </w:r>
      <w:r>
        <w:rPr>
          <w:snapToGrid w:val="0"/>
        </w:rPr>
        <w:t xml:space="preserve">from </w:t>
      </w:r>
      <w:r w:rsidR="0082156B">
        <w:rPr>
          <w:snapToGrid w:val="0"/>
        </w:rPr>
        <w:t>850,320</w:t>
      </w:r>
      <w:r>
        <w:rPr>
          <w:snapToGrid w:val="0"/>
        </w:rPr>
        <w:t xml:space="preserve"> hours to </w:t>
      </w:r>
      <w:r w:rsidR="004F4F3D">
        <w:rPr>
          <w:snapToGrid w:val="0"/>
        </w:rPr>
        <w:t>900,720</w:t>
      </w:r>
      <w:r>
        <w:rPr>
          <w:snapToGrid w:val="0"/>
        </w:rPr>
        <w:t xml:space="preserve"> h</w:t>
      </w:r>
      <w:r w:rsidR="00901817">
        <w:rPr>
          <w:snapToGrid w:val="0"/>
        </w:rPr>
        <w:t>o</w:t>
      </w:r>
      <w:r>
        <w:rPr>
          <w:snapToGrid w:val="0"/>
        </w:rPr>
        <w:t>urs</w:t>
      </w:r>
      <w:r w:rsidR="004F4F3D">
        <w:rPr>
          <w:snapToGrid w:val="0"/>
        </w:rPr>
        <w:t xml:space="preserve"> in the first year of implementation</w:t>
      </w:r>
      <w:r w:rsidR="00901817">
        <w:rPr>
          <w:snapToGrid w:val="0"/>
        </w:rPr>
        <w:t xml:space="preserve"> </w:t>
      </w:r>
      <w:r w:rsidR="004F4F3D">
        <w:rPr>
          <w:snapToGrid w:val="0"/>
        </w:rPr>
        <w:t xml:space="preserve">for the </w:t>
      </w:r>
      <w:r w:rsidR="00901817">
        <w:rPr>
          <w:snapToGrid w:val="0"/>
        </w:rPr>
        <w:t xml:space="preserve">2012-13 collection and from </w:t>
      </w:r>
      <w:r w:rsidR="00901817" w:rsidRPr="00901817">
        <w:rPr>
          <w:snapToGrid w:val="0"/>
        </w:rPr>
        <w:t>832</w:t>
      </w:r>
      <w:r w:rsidR="00901817">
        <w:rPr>
          <w:snapToGrid w:val="0"/>
        </w:rPr>
        <w:t>,</w:t>
      </w:r>
      <w:r w:rsidR="00901817" w:rsidRPr="00901817">
        <w:rPr>
          <w:snapToGrid w:val="0"/>
        </w:rPr>
        <w:t xml:space="preserve">438 </w:t>
      </w:r>
      <w:r w:rsidR="00901817">
        <w:rPr>
          <w:snapToGrid w:val="0"/>
        </w:rPr>
        <w:t xml:space="preserve">hours to </w:t>
      </w:r>
      <w:r w:rsidR="00901817" w:rsidRPr="00901817">
        <w:rPr>
          <w:snapToGrid w:val="0"/>
        </w:rPr>
        <w:t xml:space="preserve">849,585 </w:t>
      </w:r>
      <w:r w:rsidR="00901817">
        <w:rPr>
          <w:snapToGrid w:val="0"/>
        </w:rPr>
        <w:t>hours in the second year of implementation for the 2013-14 collection</w:t>
      </w:r>
      <w:r>
        <w:rPr>
          <w:snapToGrid w:val="0"/>
        </w:rPr>
        <w:t>.</w:t>
      </w:r>
      <w:r w:rsidR="00901817">
        <w:rPr>
          <w:snapToGrid w:val="0"/>
        </w:rPr>
        <w:t xml:space="preserve">  </w:t>
      </w:r>
    </w:p>
    <w:p w:rsidR="003936B0" w:rsidRDefault="003936B0" w:rsidP="0039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D45270" w:rsidRDefault="00901817" w:rsidP="00A209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Pr>
          <w:snapToGrid w:val="0"/>
        </w:rPr>
        <w:t>NCES sought input from 9 institutions for assistance in determining the appropriate estimate</w:t>
      </w:r>
      <w:r w:rsidR="00A12564">
        <w:rPr>
          <w:snapToGrid w:val="0"/>
        </w:rPr>
        <w:t xml:space="preserve"> for the conversion, six of whom responded.  One institution stated it would be very difficult to estimate how long this would take as some jobs would be easy to group and others would require determination by a compensation specialist.  Of those that responded, the </w:t>
      </w:r>
      <w:r w:rsidR="003936B0">
        <w:rPr>
          <w:snapToGrid w:val="0"/>
        </w:rPr>
        <w:t xml:space="preserve">estimates primarily </w:t>
      </w:r>
      <w:r w:rsidR="00A12564">
        <w:rPr>
          <w:snapToGrid w:val="0"/>
        </w:rPr>
        <w:t xml:space="preserve">ranged from 8 to 38 hours </w:t>
      </w:r>
      <w:r w:rsidR="003936B0">
        <w:rPr>
          <w:snapToGrid w:val="0"/>
        </w:rPr>
        <w:t xml:space="preserve">during the first year and, reduced by </w:t>
      </w:r>
      <w:r w:rsidR="00A2094A">
        <w:rPr>
          <w:snapToGrid w:val="0"/>
        </w:rPr>
        <w:t xml:space="preserve">approximately </w:t>
      </w:r>
      <w:r w:rsidR="003936B0">
        <w:rPr>
          <w:snapToGrid w:val="0"/>
        </w:rPr>
        <w:t>a third in the second year.</w:t>
      </w:r>
      <w:r w:rsidR="00A12564">
        <w:rPr>
          <w:snapToGrid w:val="0"/>
        </w:rPr>
        <w:t xml:space="preserve"> </w:t>
      </w:r>
      <w:r w:rsidR="00A2094A">
        <w:rPr>
          <w:snapToGrid w:val="0"/>
        </w:rPr>
        <w:t xml:space="preserve">  As such, the estimated average hours per institution for completing the Human Resources would increase from 19.0 to 26.0 hours in the first year of implementation and from 18.6 to 21.0 hours in the second year of implementation. </w:t>
      </w:r>
      <w:r>
        <w:rPr>
          <w:snapToGrid w:val="0"/>
        </w:rPr>
        <w:t xml:space="preserve">   </w:t>
      </w:r>
    </w:p>
    <w:p w:rsidR="00A2094A" w:rsidRPr="001D253F" w:rsidRDefault="00A2094A" w:rsidP="0039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D45270" w:rsidRDefault="00D45270" w:rsidP="00610FF2">
      <w:pPr>
        <w:ind w:right="-360"/>
      </w:pPr>
    </w:p>
    <w:p w:rsidR="00D45270" w:rsidRPr="00610FF2" w:rsidRDefault="00D45270" w:rsidP="0082156B">
      <w:pPr>
        <w:widowControl w:val="0"/>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center"/>
        <w:rPr>
          <w:b/>
          <w:szCs w:val="24"/>
        </w:rPr>
      </w:pPr>
      <w:r>
        <w:rPr>
          <w:b/>
          <w:snapToGrid w:val="0"/>
        </w:rPr>
        <w:t xml:space="preserve">Table 1.  </w:t>
      </w:r>
      <w:r w:rsidRPr="00610FF2">
        <w:rPr>
          <w:b/>
          <w:szCs w:val="24"/>
        </w:rPr>
        <w:t>Estimated Response Burden for IPEDS 201</w:t>
      </w:r>
      <w:r w:rsidR="0082156B">
        <w:rPr>
          <w:b/>
          <w:szCs w:val="24"/>
        </w:rPr>
        <w:t>2</w:t>
      </w:r>
      <w:r w:rsidRPr="00610FF2">
        <w:rPr>
          <w:b/>
          <w:szCs w:val="24"/>
        </w:rPr>
        <w:t>-1</w:t>
      </w:r>
      <w:r w:rsidR="0082156B">
        <w:rPr>
          <w:b/>
          <w:szCs w:val="24"/>
        </w:rPr>
        <w:t>3</w:t>
      </w:r>
      <w:r w:rsidRPr="00610FF2">
        <w:rPr>
          <w:b/>
          <w:szCs w:val="24"/>
        </w:rPr>
        <w:t xml:space="preserve"> (Approved and Revised)</w:t>
      </w:r>
    </w:p>
    <w:tbl>
      <w:tblPr>
        <w:tblW w:w="103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548"/>
        <w:gridCol w:w="1283"/>
        <w:gridCol w:w="990"/>
        <w:gridCol w:w="877"/>
        <w:gridCol w:w="990"/>
        <w:gridCol w:w="900"/>
        <w:gridCol w:w="990"/>
        <w:gridCol w:w="900"/>
        <w:gridCol w:w="990"/>
        <w:gridCol w:w="900"/>
      </w:tblGrid>
      <w:tr w:rsidR="00E0426B" w:rsidRPr="00C80ABB" w:rsidTr="00907226">
        <w:trPr>
          <w:trHeight w:val="332"/>
        </w:trPr>
        <w:tc>
          <w:tcPr>
            <w:tcW w:w="1548" w:type="dxa"/>
            <w:tcBorders>
              <w:bottom w:val="single" w:sz="18" w:space="0" w:color="4F81BD"/>
            </w:tcBorders>
            <w:vAlign w:val="center"/>
          </w:tcPr>
          <w:p w:rsidR="00E0426B" w:rsidRPr="005A7839" w:rsidRDefault="00E0426B" w:rsidP="002A18CE">
            <w:pPr>
              <w:spacing w:line="276" w:lineRule="auto"/>
              <w:rPr>
                <w:rFonts w:ascii="Arial" w:hAnsi="Arial" w:cs="Arial"/>
                <w:b/>
                <w:bCs/>
                <w:sz w:val="18"/>
              </w:rPr>
            </w:pPr>
          </w:p>
        </w:tc>
        <w:tc>
          <w:tcPr>
            <w:tcW w:w="1283" w:type="dxa"/>
            <w:vMerge w:val="restart"/>
            <w:tcBorders>
              <w:bottom w:val="single" w:sz="18" w:space="0" w:color="4F81BD"/>
            </w:tcBorders>
            <w:vAlign w:val="center"/>
          </w:tcPr>
          <w:p w:rsidR="00E0426B" w:rsidRPr="005A7839" w:rsidRDefault="00E0426B" w:rsidP="002A18CE">
            <w:pPr>
              <w:jc w:val="center"/>
              <w:rPr>
                <w:rFonts w:ascii="Arial" w:hAnsi="Arial" w:cs="Arial"/>
                <w:b/>
                <w:bCs/>
                <w:sz w:val="16"/>
              </w:rPr>
            </w:pPr>
            <w:r w:rsidRPr="005A7839">
              <w:rPr>
                <w:rFonts w:ascii="Arial" w:hAnsi="Arial" w:cs="Arial"/>
                <w:b/>
                <w:bCs/>
                <w:sz w:val="16"/>
                <w:szCs w:val="22"/>
              </w:rPr>
              <w:t>Number of institutions (respondents)</w:t>
            </w:r>
          </w:p>
        </w:tc>
        <w:tc>
          <w:tcPr>
            <w:tcW w:w="1867" w:type="dxa"/>
            <w:gridSpan w:val="2"/>
            <w:tcBorders>
              <w:bottom w:val="single" w:sz="18" w:space="0" w:color="4F81BD"/>
            </w:tcBorders>
            <w:vAlign w:val="center"/>
          </w:tcPr>
          <w:p w:rsidR="00E0426B" w:rsidRPr="006A3173" w:rsidRDefault="00E0426B" w:rsidP="002A18CE">
            <w:pPr>
              <w:jc w:val="center"/>
              <w:rPr>
                <w:rFonts w:ascii="Arial" w:hAnsi="Arial" w:cs="Arial"/>
                <w:b/>
                <w:bCs/>
                <w:color w:val="7F7F7F" w:themeColor="text1" w:themeTint="80"/>
                <w:sz w:val="16"/>
              </w:rPr>
            </w:pPr>
            <w:r w:rsidRPr="006A3173">
              <w:rPr>
                <w:rFonts w:ascii="Arial" w:hAnsi="Arial" w:cs="Arial"/>
                <w:b/>
                <w:bCs/>
                <w:color w:val="7F7F7F" w:themeColor="text1" w:themeTint="80"/>
                <w:sz w:val="16"/>
                <w:szCs w:val="22"/>
              </w:rPr>
              <w:t>2012-13</w:t>
            </w:r>
          </w:p>
        </w:tc>
        <w:tc>
          <w:tcPr>
            <w:tcW w:w="1890" w:type="dxa"/>
            <w:gridSpan w:val="2"/>
            <w:tcBorders>
              <w:bottom w:val="single" w:sz="18" w:space="0" w:color="4F81BD"/>
            </w:tcBorders>
            <w:vAlign w:val="center"/>
          </w:tcPr>
          <w:p w:rsidR="00E0426B" w:rsidRPr="006A3173" w:rsidRDefault="00E0426B" w:rsidP="002A18CE">
            <w:pPr>
              <w:jc w:val="center"/>
              <w:rPr>
                <w:rFonts w:ascii="Arial" w:hAnsi="Arial" w:cs="Arial"/>
                <w:b/>
                <w:bCs/>
                <w:color w:val="7F7F7F" w:themeColor="text1" w:themeTint="80"/>
                <w:sz w:val="16"/>
              </w:rPr>
            </w:pPr>
            <w:r w:rsidRPr="006A3173">
              <w:rPr>
                <w:rFonts w:ascii="Arial" w:hAnsi="Arial" w:cs="Arial"/>
                <w:b/>
                <w:bCs/>
                <w:color w:val="7F7F7F" w:themeColor="text1" w:themeTint="80"/>
                <w:sz w:val="16"/>
                <w:szCs w:val="22"/>
              </w:rPr>
              <w:t>2013-14</w:t>
            </w:r>
          </w:p>
        </w:tc>
        <w:tc>
          <w:tcPr>
            <w:tcW w:w="1890" w:type="dxa"/>
            <w:gridSpan w:val="2"/>
            <w:tcBorders>
              <w:bottom w:val="single" w:sz="18" w:space="0" w:color="4F81BD"/>
            </w:tcBorders>
            <w:vAlign w:val="center"/>
          </w:tcPr>
          <w:p w:rsidR="00E0426B" w:rsidRPr="005A7839" w:rsidRDefault="00E0426B" w:rsidP="00E0426B">
            <w:pPr>
              <w:jc w:val="center"/>
              <w:rPr>
                <w:rFonts w:ascii="Arial" w:hAnsi="Arial" w:cs="Arial"/>
                <w:b/>
                <w:bCs/>
                <w:sz w:val="16"/>
              </w:rPr>
            </w:pPr>
            <w:r>
              <w:rPr>
                <w:rFonts w:ascii="Arial" w:hAnsi="Arial" w:cs="Arial"/>
                <w:b/>
                <w:bCs/>
                <w:sz w:val="16"/>
                <w:szCs w:val="22"/>
              </w:rPr>
              <w:t xml:space="preserve">Revised </w:t>
            </w:r>
            <w:r w:rsidRPr="005A7839">
              <w:rPr>
                <w:rFonts w:ascii="Arial" w:hAnsi="Arial" w:cs="Arial"/>
                <w:b/>
                <w:bCs/>
                <w:sz w:val="16"/>
                <w:szCs w:val="22"/>
              </w:rPr>
              <w:t>2012-13</w:t>
            </w:r>
          </w:p>
        </w:tc>
        <w:tc>
          <w:tcPr>
            <w:tcW w:w="1890" w:type="dxa"/>
            <w:gridSpan w:val="2"/>
            <w:tcBorders>
              <w:bottom w:val="single" w:sz="18" w:space="0" w:color="4F81BD"/>
            </w:tcBorders>
            <w:vAlign w:val="center"/>
          </w:tcPr>
          <w:p w:rsidR="00E0426B" w:rsidRPr="005A7839" w:rsidRDefault="00E0426B" w:rsidP="002A18CE">
            <w:pPr>
              <w:jc w:val="center"/>
              <w:rPr>
                <w:rFonts w:ascii="Arial" w:hAnsi="Arial" w:cs="Arial"/>
                <w:b/>
                <w:bCs/>
                <w:sz w:val="16"/>
              </w:rPr>
            </w:pPr>
            <w:r>
              <w:rPr>
                <w:rFonts w:ascii="Arial" w:hAnsi="Arial" w:cs="Arial"/>
                <w:b/>
                <w:bCs/>
                <w:sz w:val="16"/>
                <w:szCs w:val="22"/>
              </w:rPr>
              <w:t xml:space="preserve">Revised </w:t>
            </w:r>
            <w:r w:rsidRPr="005A7839">
              <w:rPr>
                <w:rFonts w:ascii="Arial" w:hAnsi="Arial" w:cs="Arial"/>
                <w:b/>
                <w:bCs/>
                <w:sz w:val="16"/>
                <w:szCs w:val="22"/>
              </w:rPr>
              <w:t>2013-14</w:t>
            </w:r>
          </w:p>
        </w:tc>
      </w:tr>
      <w:tr w:rsidR="00E0426B" w:rsidRPr="00C80ABB" w:rsidTr="00907226">
        <w:tc>
          <w:tcPr>
            <w:tcW w:w="1548" w:type="dxa"/>
            <w:shd w:val="clear" w:color="auto" w:fill="D3DFEE"/>
            <w:vAlign w:val="center"/>
          </w:tcPr>
          <w:p w:rsidR="00E0426B" w:rsidRPr="005A7839" w:rsidRDefault="00E0426B" w:rsidP="002A18CE">
            <w:pPr>
              <w:spacing w:line="276" w:lineRule="auto"/>
              <w:rPr>
                <w:rFonts w:ascii="Arial" w:hAnsi="Arial" w:cs="Arial"/>
                <w:b/>
                <w:bCs/>
                <w:sz w:val="18"/>
              </w:rPr>
            </w:pPr>
          </w:p>
        </w:tc>
        <w:tc>
          <w:tcPr>
            <w:tcW w:w="1283" w:type="dxa"/>
            <w:vMerge/>
            <w:shd w:val="clear" w:color="auto" w:fill="D3DFEE"/>
            <w:vAlign w:val="center"/>
          </w:tcPr>
          <w:p w:rsidR="00E0426B" w:rsidRPr="005A7839" w:rsidRDefault="00E0426B" w:rsidP="002A18CE">
            <w:pPr>
              <w:spacing w:after="200" w:line="276" w:lineRule="auto"/>
              <w:rPr>
                <w:rFonts w:ascii="Arial" w:hAnsi="Arial" w:cs="Arial"/>
                <w:sz w:val="18"/>
              </w:rPr>
            </w:pPr>
          </w:p>
        </w:tc>
        <w:tc>
          <w:tcPr>
            <w:tcW w:w="990" w:type="dxa"/>
            <w:shd w:val="clear" w:color="auto" w:fill="D3DFEE"/>
            <w:vAlign w:val="center"/>
          </w:tcPr>
          <w:p w:rsidR="00E0426B" w:rsidRPr="006A3173" w:rsidRDefault="00E0426B" w:rsidP="002A18CE">
            <w:pPr>
              <w:spacing w:after="200" w:line="276" w:lineRule="auto"/>
              <w:jc w:val="center"/>
              <w:rPr>
                <w:rFonts w:ascii="Arial" w:hAnsi="Arial" w:cs="Arial"/>
                <w:b/>
                <w:color w:val="7F7F7F" w:themeColor="text1" w:themeTint="80"/>
                <w:sz w:val="16"/>
              </w:rPr>
            </w:pPr>
            <w:r w:rsidRPr="006A3173">
              <w:rPr>
                <w:rFonts w:ascii="Arial" w:hAnsi="Arial" w:cs="Arial"/>
                <w:b/>
                <w:color w:val="7F7F7F" w:themeColor="text1" w:themeTint="80"/>
                <w:sz w:val="16"/>
                <w:szCs w:val="22"/>
              </w:rPr>
              <w:t>Avg per hours institution</w:t>
            </w:r>
          </w:p>
        </w:tc>
        <w:tc>
          <w:tcPr>
            <w:tcW w:w="877" w:type="dxa"/>
            <w:shd w:val="clear" w:color="auto" w:fill="D3DFEE"/>
            <w:vAlign w:val="center"/>
          </w:tcPr>
          <w:p w:rsidR="00E0426B" w:rsidRPr="006A3173" w:rsidRDefault="00E0426B" w:rsidP="002A18CE">
            <w:pPr>
              <w:spacing w:after="200" w:line="276" w:lineRule="auto"/>
              <w:jc w:val="center"/>
              <w:rPr>
                <w:rFonts w:ascii="Arial" w:hAnsi="Arial" w:cs="Arial"/>
                <w:b/>
                <w:color w:val="7F7F7F" w:themeColor="text1" w:themeTint="80"/>
                <w:sz w:val="16"/>
              </w:rPr>
            </w:pPr>
            <w:r w:rsidRPr="006A3173">
              <w:rPr>
                <w:rFonts w:ascii="Arial" w:hAnsi="Arial" w:cs="Arial"/>
                <w:b/>
                <w:color w:val="7F7F7F" w:themeColor="text1" w:themeTint="80"/>
                <w:sz w:val="16"/>
                <w:szCs w:val="22"/>
              </w:rPr>
              <w:t>Total hours</w:t>
            </w:r>
          </w:p>
        </w:tc>
        <w:tc>
          <w:tcPr>
            <w:tcW w:w="990" w:type="dxa"/>
            <w:shd w:val="clear" w:color="auto" w:fill="D3DFEE"/>
            <w:vAlign w:val="center"/>
          </w:tcPr>
          <w:p w:rsidR="00E0426B" w:rsidRPr="006A3173" w:rsidRDefault="00E0426B" w:rsidP="002A18CE">
            <w:pPr>
              <w:spacing w:after="200" w:line="276" w:lineRule="auto"/>
              <w:jc w:val="center"/>
              <w:rPr>
                <w:rFonts w:ascii="Arial" w:hAnsi="Arial" w:cs="Arial"/>
                <w:b/>
                <w:color w:val="7F7F7F" w:themeColor="text1" w:themeTint="80"/>
                <w:sz w:val="16"/>
              </w:rPr>
            </w:pPr>
            <w:r w:rsidRPr="006A3173">
              <w:rPr>
                <w:rFonts w:ascii="Arial" w:hAnsi="Arial" w:cs="Arial"/>
                <w:b/>
                <w:color w:val="7F7F7F" w:themeColor="text1" w:themeTint="80"/>
                <w:sz w:val="16"/>
                <w:szCs w:val="22"/>
              </w:rPr>
              <w:t>Avg per hours institution</w:t>
            </w:r>
          </w:p>
        </w:tc>
        <w:tc>
          <w:tcPr>
            <w:tcW w:w="900" w:type="dxa"/>
            <w:shd w:val="clear" w:color="auto" w:fill="D3DFEE"/>
            <w:vAlign w:val="center"/>
          </w:tcPr>
          <w:p w:rsidR="00E0426B" w:rsidRPr="006A3173" w:rsidRDefault="00E0426B" w:rsidP="002A18CE">
            <w:pPr>
              <w:spacing w:after="200" w:line="276" w:lineRule="auto"/>
              <w:jc w:val="center"/>
              <w:rPr>
                <w:rFonts w:ascii="Arial" w:hAnsi="Arial" w:cs="Arial"/>
                <w:b/>
                <w:color w:val="7F7F7F" w:themeColor="text1" w:themeTint="80"/>
                <w:sz w:val="16"/>
              </w:rPr>
            </w:pPr>
            <w:r w:rsidRPr="006A3173">
              <w:rPr>
                <w:rFonts w:ascii="Arial" w:hAnsi="Arial" w:cs="Arial"/>
                <w:b/>
                <w:color w:val="7F7F7F" w:themeColor="text1" w:themeTint="80"/>
                <w:sz w:val="16"/>
                <w:szCs w:val="22"/>
              </w:rPr>
              <w:t>Total hours</w:t>
            </w:r>
          </w:p>
        </w:tc>
        <w:tc>
          <w:tcPr>
            <w:tcW w:w="990" w:type="dxa"/>
            <w:shd w:val="clear" w:color="auto" w:fill="D3DFEE"/>
            <w:vAlign w:val="center"/>
          </w:tcPr>
          <w:p w:rsidR="00E0426B" w:rsidRPr="005A7839" w:rsidRDefault="00E0426B" w:rsidP="002A18CE">
            <w:pPr>
              <w:spacing w:after="200" w:line="276" w:lineRule="auto"/>
              <w:jc w:val="center"/>
              <w:rPr>
                <w:rFonts w:ascii="Arial" w:hAnsi="Arial" w:cs="Arial"/>
                <w:b/>
                <w:sz w:val="16"/>
              </w:rPr>
            </w:pPr>
            <w:r w:rsidRPr="005A7839">
              <w:rPr>
                <w:rFonts w:ascii="Arial" w:hAnsi="Arial" w:cs="Arial"/>
                <w:b/>
                <w:sz w:val="16"/>
                <w:szCs w:val="22"/>
              </w:rPr>
              <w:t>Avg per hours institution</w:t>
            </w:r>
          </w:p>
        </w:tc>
        <w:tc>
          <w:tcPr>
            <w:tcW w:w="900" w:type="dxa"/>
            <w:shd w:val="clear" w:color="auto" w:fill="D3DFEE"/>
            <w:vAlign w:val="center"/>
          </w:tcPr>
          <w:p w:rsidR="00E0426B" w:rsidRPr="005A7839" w:rsidRDefault="00E0426B" w:rsidP="002A18CE">
            <w:pPr>
              <w:spacing w:after="200" w:line="276" w:lineRule="auto"/>
              <w:jc w:val="center"/>
              <w:rPr>
                <w:rFonts w:ascii="Arial" w:hAnsi="Arial" w:cs="Arial"/>
                <w:b/>
                <w:sz w:val="16"/>
              </w:rPr>
            </w:pPr>
            <w:r w:rsidRPr="005A7839">
              <w:rPr>
                <w:rFonts w:ascii="Arial" w:hAnsi="Arial" w:cs="Arial"/>
                <w:b/>
                <w:sz w:val="16"/>
                <w:szCs w:val="22"/>
              </w:rPr>
              <w:t>Total hours</w:t>
            </w:r>
          </w:p>
        </w:tc>
        <w:tc>
          <w:tcPr>
            <w:tcW w:w="990" w:type="dxa"/>
            <w:shd w:val="clear" w:color="auto" w:fill="D3DFEE"/>
            <w:vAlign w:val="center"/>
          </w:tcPr>
          <w:p w:rsidR="00E0426B" w:rsidRPr="005A7839" w:rsidRDefault="00E0426B" w:rsidP="002A18CE">
            <w:pPr>
              <w:spacing w:after="200" w:line="276" w:lineRule="auto"/>
              <w:jc w:val="center"/>
              <w:rPr>
                <w:rFonts w:ascii="Arial" w:hAnsi="Arial" w:cs="Arial"/>
                <w:b/>
                <w:sz w:val="16"/>
              </w:rPr>
            </w:pPr>
            <w:r w:rsidRPr="005A7839">
              <w:rPr>
                <w:rFonts w:ascii="Arial" w:hAnsi="Arial" w:cs="Arial"/>
                <w:b/>
                <w:sz w:val="16"/>
                <w:szCs w:val="22"/>
              </w:rPr>
              <w:t>Avg per hours institution</w:t>
            </w:r>
          </w:p>
        </w:tc>
        <w:tc>
          <w:tcPr>
            <w:tcW w:w="900" w:type="dxa"/>
            <w:shd w:val="clear" w:color="auto" w:fill="D3DFEE"/>
            <w:vAlign w:val="center"/>
          </w:tcPr>
          <w:p w:rsidR="00E0426B" w:rsidRPr="005A7839" w:rsidRDefault="00E0426B" w:rsidP="002A18CE">
            <w:pPr>
              <w:spacing w:after="200" w:line="276" w:lineRule="auto"/>
              <w:jc w:val="center"/>
              <w:rPr>
                <w:rFonts w:ascii="Arial" w:hAnsi="Arial" w:cs="Arial"/>
                <w:b/>
                <w:sz w:val="16"/>
              </w:rPr>
            </w:pPr>
            <w:r w:rsidRPr="005A7839">
              <w:rPr>
                <w:rFonts w:ascii="Arial" w:hAnsi="Arial" w:cs="Arial"/>
                <w:b/>
                <w:sz w:val="16"/>
                <w:szCs w:val="22"/>
              </w:rPr>
              <w:t>Total hours</w:t>
            </w:r>
          </w:p>
        </w:tc>
      </w:tr>
      <w:tr w:rsidR="00E0426B" w:rsidRPr="00C80ABB" w:rsidTr="00907226">
        <w:tc>
          <w:tcPr>
            <w:tcW w:w="1548" w:type="dxa"/>
            <w:vAlign w:val="center"/>
          </w:tcPr>
          <w:p w:rsidR="00E0426B" w:rsidRPr="005A7839" w:rsidRDefault="00E0426B" w:rsidP="002A18CE">
            <w:pPr>
              <w:rPr>
                <w:rFonts w:ascii="Arial" w:hAnsi="Arial" w:cs="Arial"/>
                <w:b/>
                <w:bCs/>
                <w:sz w:val="18"/>
              </w:rPr>
            </w:pPr>
            <w:r w:rsidRPr="005A7839">
              <w:rPr>
                <w:rFonts w:ascii="Arial" w:hAnsi="Arial" w:cs="Arial"/>
                <w:b/>
                <w:bCs/>
                <w:sz w:val="18"/>
                <w:szCs w:val="22"/>
              </w:rPr>
              <w:t>Institutional Characteristics and IC Header</w:t>
            </w:r>
          </w:p>
        </w:tc>
        <w:tc>
          <w:tcPr>
            <w:tcW w:w="1283" w:type="dxa"/>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8.3</w:t>
            </w:r>
          </w:p>
        </w:tc>
        <w:tc>
          <w:tcPr>
            <w:tcW w:w="877"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59,760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8.1</w:t>
            </w:r>
          </w:p>
        </w:tc>
        <w:tc>
          <w:tcPr>
            <w:tcW w:w="90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58,480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8.</w:t>
            </w:r>
            <w:r>
              <w:rPr>
                <w:rFonts w:ascii="Arial" w:hAnsi="Arial" w:cs="Arial"/>
                <w:sz w:val="18"/>
                <w:szCs w:val="22"/>
              </w:rPr>
              <w:t>3</w:t>
            </w:r>
          </w:p>
        </w:tc>
        <w:tc>
          <w:tcPr>
            <w:tcW w:w="900" w:type="dxa"/>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59,760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8.1</w:t>
            </w:r>
          </w:p>
        </w:tc>
        <w:tc>
          <w:tcPr>
            <w:tcW w:w="90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58,480</w:t>
            </w:r>
          </w:p>
        </w:tc>
      </w:tr>
      <w:tr w:rsidR="00E0426B" w:rsidRPr="00C80ABB" w:rsidTr="00907226">
        <w:trPr>
          <w:trHeight w:val="286"/>
        </w:trPr>
        <w:tc>
          <w:tcPr>
            <w:tcW w:w="1548" w:type="dxa"/>
            <w:shd w:val="clear" w:color="auto" w:fill="D3DFEE"/>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Completions</w:t>
            </w:r>
          </w:p>
        </w:tc>
        <w:tc>
          <w:tcPr>
            <w:tcW w:w="1283" w:type="dxa"/>
            <w:shd w:val="clear" w:color="auto" w:fill="D3DFEE"/>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11.7</w:t>
            </w:r>
          </w:p>
        </w:tc>
        <w:tc>
          <w:tcPr>
            <w:tcW w:w="877"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84,240</w:t>
            </w:r>
          </w:p>
        </w:tc>
        <w:tc>
          <w:tcPr>
            <w:tcW w:w="99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11.5</w:t>
            </w:r>
          </w:p>
        </w:tc>
        <w:tc>
          <w:tcPr>
            <w:tcW w:w="90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82,571</w:t>
            </w:r>
          </w:p>
        </w:tc>
        <w:tc>
          <w:tcPr>
            <w:tcW w:w="99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11.</w:t>
            </w:r>
            <w:r>
              <w:rPr>
                <w:rFonts w:ascii="Arial" w:hAnsi="Arial" w:cs="Arial"/>
                <w:sz w:val="18"/>
                <w:szCs w:val="22"/>
              </w:rPr>
              <w:t>7</w:t>
            </w:r>
          </w:p>
        </w:tc>
        <w:tc>
          <w:tcPr>
            <w:tcW w:w="90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8</w:t>
            </w:r>
            <w:r>
              <w:rPr>
                <w:rFonts w:ascii="Arial" w:hAnsi="Arial" w:cs="Arial"/>
                <w:sz w:val="18"/>
                <w:szCs w:val="22"/>
              </w:rPr>
              <w:t>4</w:t>
            </w:r>
            <w:r w:rsidRPr="005A7839">
              <w:rPr>
                <w:rFonts w:ascii="Arial" w:hAnsi="Arial" w:cs="Arial"/>
                <w:sz w:val="18"/>
                <w:szCs w:val="22"/>
              </w:rPr>
              <w:t>,</w:t>
            </w:r>
            <w:r>
              <w:rPr>
                <w:rFonts w:ascii="Arial" w:hAnsi="Arial" w:cs="Arial"/>
                <w:sz w:val="18"/>
                <w:szCs w:val="22"/>
              </w:rPr>
              <w:t>240</w:t>
            </w:r>
          </w:p>
        </w:tc>
        <w:tc>
          <w:tcPr>
            <w:tcW w:w="99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11.5</w:t>
            </w:r>
          </w:p>
        </w:tc>
        <w:tc>
          <w:tcPr>
            <w:tcW w:w="90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82,571</w:t>
            </w:r>
          </w:p>
        </w:tc>
      </w:tr>
      <w:tr w:rsidR="00E0426B" w:rsidRPr="00C80ABB" w:rsidTr="00907226">
        <w:trPr>
          <w:trHeight w:val="403"/>
        </w:trPr>
        <w:tc>
          <w:tcPr>
            <w:tcW w:w="1548" w:type="dxa"/>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12-Month Enrollment</w:t>
            </w:r>
          </w:p>
        </w:tc>
        <w:tc>
          <w:tcPr>
            <w:tcW w:w="1283" w:type="dxa"/>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7.4</w:t>
            </w:r>
          </w:p>
        </w:tc>
        <w:tc>
          <w:tcPr>
            <w:tcW w:w="877"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53,280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7.2</w:t>
            </w:r>
          </w:p>
        </w:tc>
        <w:tc>
          <w:tcPr>
            <w:tcW w:w="90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52,030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7.</w:t>
            </w:r>
            <w:r>
              <w:rPr>
                <w:rFonts w:ascii="Arial" w:hAnsi="Arial" w:cs="Arial"/>
                <w:sz w:val="18"/>
                <w:szCs w:val="22"/>
              </w:rPr>
              <w:t>4</w:t>
            </w:r>
          </w:p>
        </w:tc>
        <w:tc>
          <w:tcPr>
            <w:tcW w:w="900" w:type="dxa"/>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53,280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7.2</w:t>
            </w:r>
          </w:p>
        </w:tc>
        <w:tc>
          <w:tcPr>
            <w:tcW w:w="90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52,030</w:t>
            </w:r>
          </w:p>
        </w:tc>
      </w:tr>
      <w:tr w:rsidR="00E0426B" w:rsidRPr="00C80ABB" w:rsidTr="00907226">
        <w:trPr>
          <w:trHeight w:val="313"/>
        </w:trPr>
        <w:tc>
          <w:tcPr>
            <w:tcW w:w="1548" w:type="dxa"/>
            <w:shd w:val="clear" w:color="auto" w:fill="FFFF66"/>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Human Resources</w:t>
            </w:r>
          </w:p>
        </w:tc>
        <w:tc>
          <w:tcPr>
            <w:tcW w:w="1283" w:type="dxa"/>
            <w:shd w:val="clear" w:color="auto" w:fill="FFFF66"/>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19.0</w:t>
            </w:r>
          </w:p>
        </w:tc>
        <w:tc>
          <w:tcPr>
            <w:tcW w:w="877"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136,800</w:t>
            </w:r>
          </w:p>
        </w:tc>
        <w:tc>
          <w:tcPr>
            <w:tcW w:w="990"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18.6</w:t>
            </w:r>
          </w:p>
        </w:tc>
        <w:tc>
          <w:tcPr>
            <w:tcW w:w="900"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134,053</w:t>
            </w:r>
          </w:p>
        </w:tc>
        <w:tc>
          <w:tcPr>
            <w:tcW w:w="990" w:type="dxa"/>
            <w:shd w:val="clear" w:color="auto" w:fill="FFFF66"/>
            <w:vAlign w:val="center"/>
          </w:tcPr>
          <w:p w:rsidR="00E0426B" w:rsidRPr="005A7839" w:rsidRDefault="004F4F3D" w:rsidP="002A18CE">
            <w:pPr>
              <w:spacing w:after="200"/>
              <w:jc w:val="right"/>
              <w:rPr>
                <w:rFonts w:ascii="Arial" w:hAnsi="Arial" w:cs="Arial"/>
                <w:sz w:val="18"/>
              </w:rPr>
            </w:pPr>
            <w:r>
              <w:rPr>
                <w:rFonts w:ascii="Arial" w:hAnsi="Arial" w:cs="Arial"/>
                <w:sz w:val="18"/>
                <w:szCs w:val="22"/>
              </w:rPr>
              <w:t>26.0</w:t>
            </w:r>
          </w:p>
        </w:tc>
        <w:tc>
          <w:tcPr>
            <w:tcW w:w="900" w:type="dxa"/>
            <w:shd w:val="clear" w:color="auto" w:fill="FFFF66"/>
            <w:vAlign w:val="center"/>
          </w:tcPr>
          <w:p w:rsidR="00E0426B" w:rsidRPr="005A7839" w:rsidRDefault="004F4F3D" w:rsidP="002A18CE">
            <w:pPr>
              <w:spacing w:after="200"/>
              <w:jc w:val="right"/>
              <w:rPr>
                <w:rFonts w:ascii="Arial" w:hAnsi="Arial" w:cs="Arial"/>
                <w:sz w:val="18"/>
              </w:rPr>
            </w:pPr>
            <w:r>
              <w:rPr>
                <w:rFonts w:ascii="Arial" w:hAnsi="Arial" w:cs="Arial"/>
                <w:sz w:val="18"/>
                <w:szCs w:val="22"/>
              </w:rPr>
              <w:t>187,200</w:t>
            </w:r>
          </w:p>
        </w:tc>
        <w:tc>
          <w:tcPr>
            <w:tcW w:w="990" w:type="dxa"/>
            <w:shd w:val="clear" w:color="auto" w:fill="FFFF66"/>
            <w:vAlign w:val="center"/>
          </w:tcPr>
          <w:p w:rsidR="00E0426B" w:rsidRPr="005A7839" w:rsidRDefault="004F4F3D" w:rsidP="002A18CE">
            <w:pPr>
              <w:spacing w:after="200"/>
              <w:jc w:val="right"/>
              <w:rPr>
                <w:rFonts w:ascii="Arial" w:hAnsi="Arial" w:cs="Arial"/>
                <w:sz w:val="18"/>
              </w:rPr>
            </w:pPr>
            <w:r>
              <w:rPr>
                <w:rFonts w:ascii="Arial" w:hAnsi="Arial" w:cs="Arial"/>
                <w:sz w:val="18"/>
                <w:szCs w:val="22"/>
              </w:rPr>
              <w:t>21.0</w:t>
            </w:r>
          </w:p>
        </w:tc>
        <w:tc>
          <w:tcPr>
            <w:tcW w:w="900" w:type="dxa"/>
            <w:shd w:val="clear" w:color="auto" w:fill="FFFF66"/>
            <w:vAlign w:val="center"/>
          </w:tcPr>
          <w:p w:rsidR="00E0426B" w:rsidRPr="005A7839" w:rsidRDefault="004F4F3D" w:rsidP="002A18CE">
            <w:pPr>
              <w:spacing w:after="200"/>
              <w:jc w:val="right"/>
              <w:rPr>
                <w:rFonts w:ascii="Arial" w:hAnsi="Arial" w:cs="Arial"/>
                <w:sz w:val="18"/>
              </w:rPr>
            </w:pPr>
            <w:r>
              <w:rPr>
                <w:rFonts w:ascii="Arial" w:hAnsi="Arial" w:cs="Arial"/>
                <w:sz w:val="18"/>
                <w:szCs w:val="22"/>
              </w:rPr>
              <w:t>151,200</w:t>
            </w:r>
          </w:p>
        </w:tc>
      </w:tr>
      <w:tr w:rsidR="00E0426B" w:rsidRPr="00C80ABB" w:rsidTr="00907226">
        <w:tc>
          <w:tcPr>
            <w:tcW w:w="1548" w:type="dxa"/>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Fall Enrollment</w:t>
            </w:r>
          </w:p>
        </w:tc>
        <w:tc>
          <w:tcPr>
            <w:tcW w:w="1283" w:type="dxa"/>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14.5</w:t>
            </w:r>
          </w:p>
        </w:tc>
        <w:tc>
          <w:tcPr>
            <w:tcW w:w="877"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104,400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14.3</w:t>
            </w:r>
          </w:p>
        </w:tc>
        <w:tc>
          <w:tcPr>
            <w:tcW w:w="90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102,824</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14.</w:t>
            </w:r>
            <w:r>
              <w:rPr>
                <w:rFonts w:ascii="Arial" w:hAnsi="Arial" w:cs="Arial"/>
                <w:sz w:val="18"/>
                <w:szCs w:val="22"/>
              </w:rPr>
              <w:t>5</w:t>
            </w:r>
          </w:p>
        </w:tc>
        <w:tc>
          <w:tcPr>
            <w:tcW w:w="900" w:type="dxa"/>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104,400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14.3</w:t>
            </w:r>
          </w:p>
        </w:tc>
        <w:tc>
          <w:tcPr>
            <w:tcW w:w="90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102,824</w:t>
            </w:r>
          </w:p>
        </w:tc>
      </w:tr>
      <w:tr w:rsidR="00E0426B" w:rsidRPr="00C80ABB" w:rsidTr="00907226">
        <w:tc>
          <w:tcPr>
            <w:tcW w:w="1548" w:type="dxa"/>
            <w:shd w:val="clear" w:color="auto" w:fill="D3DFEE"/>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Finance</w:t>
            </w:r>
          </w:p>
        </w:tc>
        <w:tc>
          <w:tcPr>
            <w:tcW w:w="1283" w:type="dxa"/>
            <w:shd w:val="clear" w:color="auto" w:fill="D3DFEE"/>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14.2</w:t>
            </w:r>
          </w:p>
        </w:tc>
        <w:tc>
          <w:tcPr>
            <w:tcW w:w="877"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102,240</w:t>
            </w:r>
          </w:p>
        </w:tc>
        <w:tc>
          <w:tcPr>
            <w:tcW w:w="99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13.8</w:t>
            </w:r>
          </w:p>
        </w:tc>
        <w:tc>
          <w:tcPr>
            <w:tcW w:w="90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99,330</w:t>
            </w:r>
          </w:p>
        </w:tc>
        <w:tc>
          <w:tcPr>
            <w:tcW w:w="99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w:t>
            </w:r>
            <w:r>
              <w:rPr>
                <w:rFonts w:ascii="Arial" w:hAnsi="Arial" w:cs="Arial"/>
                <w:sz w:val="18"/>
                <w:szCs w:val="22"/>
              </w:rPr>
              <w:t>4</w:t>
            </w:r>
            <w:r w:rsidRPr="005A7839">
              <w:rPr>
                <w:rFonts w:ascii="Arial" w:hAnsi="Arial" w:cs="Arial"/>
                <w:sz w:val="18"/>
                <w:szCs w:val="22"/>
              </w:rPr>
              <w:t>.</w:t>
            </w:r>
            <w:r>
              <w:rPr>
                <w:rFonts w:ascii="Arial" w:hAnsi="Arial" w:cs="Arial"/>
                <w:sz w:val="18"/>
                <w:szCs w:val="22"/>
              </w:rPr>
              <w:t>2</w:t>
            </w:r>
          </w:p>
        </w:tc>
        <w:tc>
          <w:tcPr>
            <w:tcW w:w="900" w:type="dxa"/>
            <w:shd w:val="clear" w:color="auto" w:fill="D3DFEE"/>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102,240</w:t>
            </w:r>
          </w:p>
        </w:tc>
        <w:tc>
          <w:tcPr>
            <w:tcW w:w="99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13.8</w:t>
            </w:r>
          </w:p>
        </w:tc>
        <w:tc>
          <w:tcPr>
            <w:tcW w:w="90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99,330</w:t>
            </w:r>
          </w:p>
        </w:tc>
      </w:tr>
      <w:tr w:rsidR="00E0426B" w:rsidRPr="00C80ABB" w:rsidTr="00907226">
        <w:tc>
          <w:tcPr>
            <w:tcW w:w="1548" w:type="dxa"/>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Graduation Rates</w:t>
            </w:r>
          </w:p>
        </w:tc>
        <w:tc>
          <w:tcPr>
            <w:tcW w:w="1283" w:type="dxa"/>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12.9</w:t>
            </w:r>
          </w:p>
        </w:tc>
        <w:tc>
          <w:tcPr>
            <w:tcW w:w="877"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92,880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12.7</w:t>
            </w:r>
          </w:p>
        </w:tc>
        <w:tc>
          <w:tcPr>
            <w:tcW w:w="90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91,160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12.</w:t>
            </w:r>
            <w:r>
              <w:rPr>
                <w:rFonts w:ascii="Arial" w:hAnsi="Arial" w:cs="Arial"/>
                <w:sz w:val="18"/>
                <w:szCs w:val="22"/>
              </w:rPr>
              <w:t>9</w:t>
            </w:r>
          </w:p>
        </w:tc>
        <w:tc>
          <w:tcPr>
            <w:tcW w:w="900" w:type="dxa"/>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92,880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12.7</w:t>
            </w:r>
          </w:p>
        </w:tc>
        <w:tc>
          <w:tcPr>
            <w:tcW w:w="90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91,160</w:t>
            </w:r>
          </w:p>
        </w:tc>
      </w:tr>
      <w:tr w:rsidR="00E0426B" w:rsidRPr="00C80ABB" w:rsidTr="00907226">
        <w:tc>
          <w:tcPr>
            <w:tcW w:w="1548" w:type="dxa"/>
            <w:shd w:val="clear" w:color="auto" w:fill="D3DFEE"/>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Graduation Rates 200</w:t>
            </w:r>
          </w:p>
        </w:tc>
        <w:tc>
          <w:tcPr>
            <w:tcW w:w="1283" w:type="dxa"/>
            <w:shd w:val="clear" w:color="auto" w:fill="D3DFEE"/>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4.1</w:t>
            </w:r>
          </w:p>
        </w:tc>
        <w:tc>
          <w:tcPr>
            <w:tcW w:w="877"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29,520</w:t>
            </w:r>
          </w:p>
        </w:tc>
        <w:tc>
          <w:tcPr>
            <w:tcW w:w="99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3.9</w:t>
            </w:r>
          </w:p>
        </w:tc>
        <w:tc>
          <w:tcPr>
            <w:tcW w:w="900" w:type="dxa"/>
            <w:shd w:val="clear" w:color="auto" w:fill="D3DFEE"/>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27,950</w:t>
            </w:r>
          </w:p>
        </w:tc>
        <w:tc>
          <w:tcPr>
            <w:tcW w:w="990" w:type="dxa"/>
            <w:shd w:val="clear" w:color="auto" w:fill="D3DFEE"/>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4</w:t>
            </w:r>
            <w:r w:rsidRPr="005A7839">
              <w:rPr>
                <w:rFonts w:ascii="Arial" w:hAnsi="Arial" w:cs="Arial"/>
                <w:sz w:val="18"/>
                <w:szCs w:val="22"/>
              </w:rPr>
              <w:t>.</w:t>
            </w:r>
            <w:r>
              <w:rPr>
                <w:rFonts w:ascii="Arial" w:hAnsi="Arial" w:cs="Arial"/>
                <w:sz w:val="18"/>
                <w:szCs w:val="22"/>
              </w:rPr>
              <w:t>1</w:t>
            </w:r>
          </w:p>
        </w:tc>
        <w:tc>
          <w:tcPr>
            <w:tcW w:w="900" w:type="dxa"/>
            <w:shd w:val="clear" w:color="auto" w:fill="D3DFEE"/>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29,520</w:t>
            </w:r>
          </w:p>
        </w:tc>
        <w:tc>
          <w:tcPr>
            <w:tcW w:w="99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3.9</w:t>
            </w:r>
          </w:p>
        </w:tc>
        <w:tc>
          <w:tcPr>
            <w:tcW w:w="900" w:type="dxa"/>
            <w:shd w:val="clear" w:color="auto" w:fill="D3DFEE"/>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27,950</w:t>
            </w:r>
          </w:p>
        </w:tc>
      </w:tr>
      <w:tr w:rsidR="00E0426B" w:rsidRPr="00C80ABB" w:rsidTr="00907226">
        <w:tc>
          <w:tcPr>
            <w:tcW w:w="1548" w:type="dxa"/>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Student Financial Aid</w:t>
            </w:r>
          </w:p>
        </w:tc>
        <w:tc>
          <w:tcPr>
            <w:tcW w:w="1283" w:type="dxa"/>
            <w:vAlign w:val="center"/>
          </w:tcPr>
          <w:p w:rsidR="00E0426B" w:rsidRPr="005A7839" w:rsidRDefault="00E0426B" w:rsidP="00907226">
            <w:pPr>
              <w:spacing w:after="200"/>
              <w:jc w:val="center"/>
              <w:rPr>
                <w:rFonts w:ascii="Arial" w:hAnsi="Arial" w:cs="Arial"/>
                <w:sz w:val="18"/>
              </w:rPr>
            </w:pPr>
            <w:r w:rsidRPr="005A7839">
              <w:rPr>
                <w:rFonts w:ascii="Arial" w:hAnsi="Arial" w:cs="Arial"/>
                <w:sz w:val="18"/>
                <w:szCs w:val="22"/>
              </w:rPr>
              <w:t>7,200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26.0</w:t>
            </w:r>
          </w:p>
        </w:tc>
        <w:tc>
          <w:tcPr>
            <w:tcW w:w="877"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187,200</w:t>
            </w:r>
          </w:p>
        </w:tc>
        <w:tc>
          <w:tcPr>
            <w:tcW w:w="99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25.6</w:t>
            </w:r>
          </w:p>
        </w:tc>
        <w:tc>
          <w:tcPr>
            <w:tcW w:w="900" w:type="dxa"/>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184,040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2</w:t>
            </w:r>
            <w:r>
              <w:rPr>
                <w:rFonts w:ascii="Arial" w:hAnsi="Arial" w:cs="Arial"/>
                <w:sz w:val="18"/>
                <w:szCs w:val="22"/>
              </w:rPr>
              <w:t>6</w:t>
            </w:r>
            <w:r w:rsidRPr="005A7839">
              <w:rPr>
                <w:rFonts w:ascii="Arial" w:hAnsi="Arial" w:cs="Arial"/>
                <w:sz w:val="18"/>
                <w:szCs w:val="22"/>
              </w:rPr>
              <w:t>.</w:t>
            </w:r>
            <w:r>
              <w:rPr>
                <w:rFonts w:ascii="Arial" w:hAnsi="Arial" w:cs="Arial"/>
                <w:sz w:val="18"/>
                <w:szCs w:val="22"/>
              </w:rPr>
              <w:t>0</w:t>
            </w:r>
          </w:p>
        </w:tc>
        <w:tc>
          <w:tcPr>
            <w:tcW w:w="900" w:type="dxa"/>
            <w:vAlign w:val="center"/>
          </w:tcPr>
          <w:p w:rsidR="00E0426B" w:rsidRPr="005A7839" w:rsidRDefault="00E0426B" w:rsidP="002A18CE">
            <w:pPr>
              <w:spacing w:after="200"/>
              <w:jc w:val="right"/>
              <w:rPr>
                <w:rFonts w:ascii="Arial" w:hAnsi="Arial" w:cs="Arial"/>
                <w:sz w:val="18"/>
              </w:rPr>
            </w:pPr>
            <w:r>
              <w:rPr>
                <w:rFonts w:ascii="Arial" w:hAnsi="Arial" w:cs="Arial"/>
                <w:sz w:val="18"/>
                <w:szCs w:val="22"/>
              </w:rPr>
              <w:t>187,200</w:t>
            </w:r>
          </w:p>
        </w:tc>
        <w:tc>
          <w:tcPr>
            <w:tcW w:w="99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25.6</w:t>
            </w:r>
          </w:p>
        </w:tc>
        <w:tc>
          <w:tcPr>
            <w:tcW w:w="900" w:type="dxa"/>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184,040</w:t>
            </w:r>
          </w:p>
        </w:tc>
      </w:tr>
      <w:tr w:rsidR="00E0426B" w:rsidRPr="00C80ABB" w:rsidTr="00907226">
        <w:trPr>
          <w:trHeight w:val="169"/>
        </w:trPr>
        <w:tc>
          <w:tcPr>
            <w:tcW w:w="1548" w:type="dxa"/>
            <w:shd w:val="clear" w:color="auto" w:fill="FFFF66"/>
            <w:vAlign w:val="center"/>
          </w:tcPr>
          <w:p w:rsidR="00E0426B" w:rsidRPr="005A7839" w:rsidRDefault="00E0426B" w:rsidP="002A18CE">
            <w:pPr>
              <w:spacing w:after="200"/>
              <w:rPr>
                <w:rFonts w:ascii="Arial" w:hAnsi="Arial" w:cs="Arial"/>
                <w:b/>
                <w:bCs/>
                <w:sz w:val="18"/>
              </w:rPr>
            </w:pPr>
            <w:r w:rsidRPr="005A7839">
              <w:rPr>
                <w:rFonts w:ascii="Arial" w:hAnsi="Arial" w:cs="Arial"/>
                <w:b/>
                <w:bCs/>
                <w:sz w:val="18"/>
                <w:szCs w:val="22"/>
              </w:rPr>
              <w:t>Total</w:t>
            </w:r>
          </w:p>
        </w:tc>
        <w:tc>
          <w:tcPr>
            <w:tcW w:w="1283" w:type="dxa"/>
            <w:shd w:val="clear" w:color="auto" w:fill="FFFF66"/>
            <w:vAlign w:val="center"/>
          </w:tcPr>
          <w:p w:rsidR="00E0426B" w:rsidRPr="005A7839" w:rsidRDefault="00E0426B" w:rsidP="002A18CE">
            <w:pPr>
              <w:spacing w:after="200"/>
              <w:rPr>
                <w:rFonts w:ascii="Arial" w:hAnsi="Arial" w:cs="Arial"/>
                <w:sz w:val="18"/>
              </w:rPr>
            </w:pPr>
          </w:p>
        </w:tc>
        <w:tc>
          <w:tcPr>
            <w:tcW w:w="990"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118.2</w:t>
            </w:r>
          </w:p>
        </w:tc>
        <w:tc>
          <w:tcPr>
            <w:tcW w:w="877"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850,320</w:t>
            </w:r>
          </w:p>
        </w:tc>
        <w:tc>
          <w:tcPr>
            <w:tcW w:w="990"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115.7</w:t>
            </w:r>
          </w:p>
        </w:tc>
        <w:tc>
          <w:tcPr>
            <w:tcW w:w="900" w:type="dxa"/>
            <w:shd w:val="clear" w:color="auto" w:fill="FFFF66"/>
            <w:vAlign w:val="center"/>
          </w:tcPr>
          <w:p w:rsidR="00E0426B" w:rsidRPr="006A3173" w:rsidRDefault="00E0426B" w:rsidP="00E0426B">
            <w:pPr>
              <w:spacing w:after="200"/>
              <w:jc w:val="right"/>
              <w:rPr>
                <w:rFonts w:ascii="Arial" w:hAnsi="Arial" w:cs="Arial"/>
                <w:color w:val="7F7F7F" w:themeColor="text1" w:themeTint="80"/>
                <w:sz w:val="18"/>
              </w:rPr>
            </w:pPr>
            <w:r w:rsidRPr="006A3173">
              <w:rPr>
                <w:rFonts w:ascii="Arial" w:hAnsi="Arial" w:cs="Arial"/>
                <w:color w:val="7F7F7F" w:themeColor="text1" w:themeTint="80"/>
                <w:sz w:val="18"/>
                <w:szCs w:val="22"/>
              </w:rPr>
              <w:t>832,438</w:t>
            </w:r>
          </w:p>
        </w:tc>
        <w:tc>
          <w:tcPr>
            <w:tcW w:w="990" w:type="dxa"/>
            <w:shd w:val="clear" w:color="auto" w:fill="FFFF66"/>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11</w:t>
            </w:r>
            <w:r>
              <w:rPr>
                <w:rFonts w:ascii="Arial" w:hAnsi="Arial" w:cs="Arial"/>
                <w:sz w:val="18"/>
                <w:szCs w:val="22"/>
              </w:rPr>
              <w:t>8</w:t>
            </w:r>
            <w:r w:rsidRPr="005A7839">
              <w:rPr>
                <w:rFonts w:ascii="Arial" w:hAnsi="Arial" w:cs="Arial"/>
                <w:sz w:val="18"/>
                <w:szCs w:val="22"/>
              </w:rPr>
              <w:t>.</w:t>
            </w:r>
            <w:r>
              <w:rPr>
                <w:rFonts w:ascii="Arial" w:hAnsi="Arial" w:cs="Arial"/>
                <w:sz w:val="18"/>
                <w:szCs w:val="22"/>
              </w:rPr>
              <w:t>2</w:t>
            </w:r>
          </w:p>
        </w:tc>
        <w:tc>
          <w:tcPr>
            <w:tcW w:w="900" w:type="dxa"/>
            <w:shd w:val="clear" w:color="auto" w:fill="FFFF66"/>
            <w:vAlign w:val="center"/>
          </w:tcPr>
          <w:p w:rsidR="00E0426B" w:rsidRPr="005A7839" w:rsidRDefault="004F4F3D" w:rsidP="002A18CE">
            <w:pPr>
              <w:spacing w:after="200"/>
              <w:jc w:val="right"/>
              <w:rPr>
                <w:rFonts w:ascii="Arial" w:hAnsi="Arial" w:cs="Arial"/>
                <w:sz w:val="18"/>
              </w:rPr>
            </w:pPr>
            <w:r>
              <w:rPr>
                <w:rFonts w:ascii="Arial" w:hAnsi="Arial" w:cs="Arial"/>
                <w:sz w:val="18"/>
                <w:szCs w:val="22"/>
              </w:rPr>
              <w:t>900,720</w:t>
            </w:r>
          </w:p>
        </w:tc>
        <w:tc>
          <w:tcPr>
            <w:tcW w:w="990" w:type="dxa"/>
            <w:shd w:val="clear" w:color="auto" w:fill="FFFF66"/>
            <w:vAlign w:val="center"/>
          </w:tcPr>
          <w:p w:rsidR="00E0426B" w:rsidRPr="005A7839" w:rsidRDefault="00E0426B" w:rsidP="002A18CE">
            <w:pPr>
              <w:spacing w:after="200"/>
              <w:jc w:val="right"/>
              <w:rPr>
                <w:rFonts w:ascii="Arial" w:hAnsi="Arial" w:cs="Arial"/>
                <w:sz w:val="18"/>
              </w:rPr>
            </w:pPr>
            <w:r w:rsidRPr="005A7839">
              <w:rPr>
                <w:rFonts w:ascii="Arial" w:hAnsi="Arial" w:cs="Arial"/>
                <w:sz w:val="18"/>
                <w:szCs w:val="22"/>
              </w:rPr>
              <w:t>115.7</w:t>
            </w:r>
          </w:p>
        </w:tc>
        <w:tc>
          <w:tcPr>
            <w:tcW w:w="900" w:type="dxa"/>
            <w:shd w:val="clear" w:color="auto" w:fill="FFFF66"/>
            <w:vAlign w:val="center"/>
          </w:tcPr>
          <w:p w:rsidR="00E0426B" w:rsidRPr="005A7839" w:rsidRDefault="004F4F3D" w:rsidP="002A18CE">
            <w:pPr>
              <w:spacing w:after="200"/>
              <w:jc w:val="right"/>
              <w:rPr>
                <w:rFonts w:ascii="Arial" w:hAnsi="Arial" w:cs="Arial"/>
                <w:sz w:val="18"/>
              </w:rPr>
            </w:pPr>
            <w:r>
              <w:rPr>
                <w:rFonts w:ascii="Arial" w:hAnsi="Arial" w:cs="Arial"/>
                <w:sz w:val="18"/>
                <w:szCs w:val="22"/>
              </w:rPr>
              <w:t>849,585</w:t>
            </w:r>
          </w:p>
        </w:tc>
      </w:tr>
    </w:tbl>
    <w:p w:rsidR="00D45270" w:rsidRDefault="00D45270"/>
    <w:p w:rsidR="00D45270" w:rsidRDefault="00D45270" w:rsidP="00610FF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360"/>
        <w:rPr>
          <w:b/>
          <w:snapToGrid w:val="0"/>
        </w:rPr>
      </w:pPr>
    </w:p>
    <w:sectPr w:rsidR="00D45270" w:rsidSect="00997156">
      <w:footerReference w:type="even" r:id="rId9"/>
      <w:footerReference w:type="default" r:id="rId10"/>
      <w:pgSz w:w="12240" w:h="15840"/>
      <w:pgMar w:top="1008" w:right="1440" w:bottom="1008"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808" w:rsidRDefault="004A7808">
      <w:r>
        <w:separator/>
      </w:r>
    </w:p>
  </w:endnote>
  <w:endnote w:type="continuationSeparator" w:id="0">
    <w:p w:rsidR="004A7808" w:rsidRDefault="004A78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56" w:rsidRDefault="00730BE7">
    <w:pPr>
      <w:pStyle w:val="Footer"/>
      <w:framePr w:wrap="around" w:vAnchor="text" w:hAnchor="margin" w:xAlign="center" w:y="1"/>
      <w:rPr>
        <w:rStyle w:val="PageNumber"/>
      </w:rPr>
    </w:pPr>
    <w:r>
      <w:rPr>
        <w:rStyle w:val="PageNumber"/>
      </w:rPr>
      <w:fldChar w:fldCharType="begin"/>
    </w:r>
    <w:r w:rsidR="00997156">
      <w:rPr>
        <w:rStyle w:val="PageNumber"/>
      </w:rPr>
      <w:instrText xml:space="preserve">PAGE  </w:instrText>
    </w:r>
    <w:r>
      <w:rPr>
        <w:rStyle w:val="PageNumber"/>
      </w:rPr>
      <w:fldChar w:fldCharType="separate"/>
    </w:r>
    <w:r w:rsidR="00997156">
      <w:rPr>
        <w:rStyle w:val="PageNumber"/>
        <w:noProof/>
      </w:rPr>
      <w:t>33</w:t>
    </w:r>
    <w:r>
      <w:rPr>
        <w:rStyle w:val="PageNumber"/>
      </w:rPr>
      <w:fldChar w:fldCharType="end"/>
    </w:r>
  </w:p>
  <w:p w:rsidR="00997156" w:rsidRDefault="00997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56" w:rsidRDefault="00730BE7">
    <w:pPr>
      <w:pStyle w:val="Footer"/>
      <w:framePr w:wrap="around" w:vAnchor="text" w:hAnchor="margin" w:xAlign="center" w:y="1"/>
      <w:rPr>
        <w:rStyle w:val="PageNumber"/>
      </w:rPr>
    </w:pPr>
    <w:r>
      <w:rPr>
        <w:rStyle w:val="PageNumber"/>
      </w:rPr>
      <w:fldChar w:fldCharType="begin"/>
    </w:r>
    <w:r w:rsidR="00997156">
      <w:rPr>
        <w:rStyle w:val="PageNumber"/>
      </w:rPr>
      <w:instrText xml:space="preserve">PAGE  </w:instrText>
    </w:r>
    <w:r>
      <w:rPr>
        <w:rStyle w:val="PageNumber"/>
      </w:rPr>
      <w:fldChar w:fldCharType="separate"/>
    </w:r>
    <w:r w:rsidR="000743FB">
      <w:rPr>
        <w:rStyle w:val="PageNumber"/>
        <w:noProof/>
      </w:rPr>
      <w:t>1</w:t>
    </w:r>
    <w:r>
      <w:rPr>
        <w:rStyle w:val="PageNumber"/>
      </w:rPr>
      <w:fldChar w:fldCharType="end"/>
    </w:r>
  </w:p>
  <w:p w:rsidR="00997156" w:rsidRDefault="00997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808" w:rsidRDefault="004A7808">
      <w:r>
        <w:separator/>
      </w:r>
    </w:p>
  </w:footnote>
  <w:footnote w:type="continuationSeparator" w:id="0">
    <w:p w:rsidR="004A7808" w:rsidRDefault="004A7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proofState w:spelling="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4924DD"/>
    <w:rsid w:val="000608C1"/>
    <w:rsid w:val="000743FB"/>
    <w:rsid w:val="000B1ABA"/>
    <w:rsid w:val="000F0ACC"/>
    <w:rsid w:val="0010144F"/>
    <w:rsid w:val="00105F1C"/>
    <w:rsid w:val="00172E29"/>
    <w:rsid w:val="001D253F"/>
    <w:rsid w:val="002117AD"/>
    <w:rsid w:val="0026014C"/>
    <w:rsid w:val="00261172"/>
    <w:rsid w:val="00294687"/>
    <w:rsid w:val="002D1576"/>
    <w:rsid w:val="002D69A3"/>
    <w:rsid w:val="002E4754"/>
    <w:rsid w:val="00351D1F"/>
    <w:rsid w:val="00390AA8"/>
    <w:rsid w:val="003936B0"/>
    <w:rsid w:val="00396250"/>
    <w:rsid w:val="003D0F80"/>
    <w:rsid w:val="003E07ED"/>
    <w:rsid w:val="003F175E"/>
    <w:rsid w:val="00411602"/>
    <w:rsid w:val="004924DD"/>
    <w:rsid w:val="004A7808"/>
    <w:rsid w:val="004B46F0"/>
    <w:rsid w:val="004F4F3D"/>
    <w:rsid w:val="00593A62"/>
    <w:rsid w:val="005B19E1"/>
    <w:rsid w:val="00610FF2"/>
    <w:rsid w:val="00623141"/>
    <w:rsid w:val="0063087C"/>
    <w:rsid w:val="00655C3E"/>
    <w:rsid w:val="006971D3"/>
    <w:rsid w:val="006A3173"/>
    <w:rsid w:val="006A7F2E"/>
    <w:rsid w:val="00730BE7"/>
    <w:rsid w:val="00735944"/>
    <w:rsid w:val="00760E0F"/>
    <w:rsid w:val="007B0766"/>
    <w:rsid w:val="007B4027"/>
    <w:rsid w:val="008046D3"/>
    <w:rsid w:val="0082156B"/>
    <w:rsid w:val="00822DF5"/>
    <w:rsid w:val="00870C02"/>
    <w:rsid w:val="00883B86"/>
    <w:rsid w:val="008F7CC3"/>
    <w:rsid w:val="00901817"/>
    <w:rsid w:val="00907226"/>
    <w:rsid w:val="0094289D"/>
    <w:rsid w:val="00973742"/>
    <w:rsid w:val="00997156"/>
    <w:rsid w:val="009D6B9E"/>
    <w:rsid w:val="00A0276E"/>
    <w:rsid w:val="00A12564"/>
    <w:rsid w:val="00A2094A"/>
    <w:rsid w:val="00A26746"/>
    <w:rsid w:val="00A37435"/>
    <w:rsid w:val="00AB4023"/>
    <w:rsid w:val="00B3446B"/>
    <w:rsid w:val="00B54BAB"/>
    <w:rsid w:val="00B74C70"/>
    <w:rsid w:val="00C63BF9"/>
    <w:rsid w:val="00C71150"/>
    <w:rsid w:val="00C87D8E"/>
    <w:rsid w:val="00CA7369"/>
    <w:rsid w:val="00CC0C60"/>
    <w:rsid w:val="00D15B36"/>
    <w:rsid w:val="00D45270"/>
    <w:rsid w:val="00D6294C"/>
    <w:rsid w:val="00D80621"/>
    <w:rsid w:val="00DC1602"/>
    <w:rsid w:val="00E0426B"/>
    <w:rsid w:val="00E214B9"/>
    <w:rsid w:val="00E21F97"/>
    <w:rsid w:val="00E22570"/>
    <w:rsid w:val="00E25A9E"/>
    <w:rsid w:val="00E3144A"/>
    <w:rsid w:val="00E36BB9"/>
    <w:rsid w:val="00E72F3B"/>
    <w:rsid w:val="00EE3AB5"/>
    <w:rsid w:val="00FC6E5B"/>
    <w:rsid w:val="00FD5EBD"/>
    <w:rsid w:val="00FE0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2015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soc/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69E8-74C2-463E-8BBE-3A5540E8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7868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katrina.ingalls</cp:lastModifiedBy>
  <cp:revision>2</cp:revision>
  <cp:lastPrinted>2011-11-21T16:56:00Z</cp:lastPrinted>
  <dcterms:created xsi:type="dcterms:W3CDTF">2012-01-06T15:48:00Z</dcterms:created>
  <dcterms:modified xsi:type="dcterms:W3CDTF">2012-01-06T15:48:00Z</dcterms:modified>
</cp:coreProperties>
</file>