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F24" w:rsidRPr="001B2F24" w:rsidRDefault="00D45DAB">
      <w:pPr>
        <w:spacing w:line="480" w:lineRule="auto"/>
        <w:jc w:val="center"/>
        <w:rPr>
          <w:b/>
          <w:lang w:val="en-CA"/>
        </w:rPr>
      </w:pPr>
      <w:r>
        <w:rPr>
          <w:b/>
          <w:lang w:val="en-CA"/>
        </w:rPr>
        <w:t>IC</w:t>
      </w:r>
      <w:r w:rsidR="001B2F24">
        <w:rPr>
          <w:b/>
          <w:lang w:val="en-CA"/>
        </w:rPr>
        <w:t>INFORMATION COLLECTION REQUEST</w:t>
      </w:r>
    </w:p>
    <w:p w:rsidR="00E254E2" w:rsidRPr="00481723" w:rsidRDefault="00C12326">
      <w:pPr>
        <w:spacing w:line="480" w:lineRule="auto"/>
        <w:jc w:val="center"/>
        <w:rPr>
          <w:b/>
          <w:bCs/>
        </w:rPr>
      </w:pPr>
      <w:r w:rsidRPr="00481723">
        <w:rPr>
          <w:lang w:val="en-CA"/>
        </w:rPr>
        <w:fldChar w:fldCharType="begin"/>
      </w:r>
      <w:r w:rsidR="00E254E2" w:rsidRPr="00481723">
        <w:rPr>
          <w:lang w:val="en-CA"/>
        </w:rPr>
        <w:instrText xml:space="preserve"> SEQ CHAPTER \h \r 1</w:instrText>
      </w:r>
      <w:r w:rsidRPr="00481723">
        <w:rPr>
          <w:lang w:val="en-CA"/>
        </w:rPr>
        <w:fldChar w:fldCharType="end"/>
      </w:r>
      <w:r w:rsidR="00E254E2" w:rsidRPr="00481723">
        <w:rPr>
          <w:b/>
          <w:bCs/>
        </w:rPr>
        <w:t>SUPPORTING STATEMENT</w:t>
      </w:r>
    </w:p>
    <w:p w:rsidR="00E254E2" w:rsidRPr="00481723" w:rsidRDefault="00E254E2" w:rsidP="00E254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r w:rsidRPr="00481723">
        <w:rPr>
          <w:b/>
          <w:bCs/>
        </w:rPr>
        <w:t xml:space="preserve">NATIONAL EMISSION STANDARDS FOR </w:t>
      </w:r>
      <w:r w:rsidR="001B2F24">
        <w:rPr>
          <w:b/>
          <w:bCs/>
        </w:rPr>
        <w:t xml:space="preserve">HAZARDOUS AIR POLLUTANTS FOR </w:t>
      </w:r>
      <w:r>
        <w:rPr>
          <w:b/>
          <w:bCs/>
        </w:rPr>
        <w:t>SECONDARY LEAD SMELTING</w:t>
      </w:r>
      <w:r w:rsidR="001B2F24">
        <w:rPr>
          <w:b/>
          <w:bCs/>
        </w:rPr>
        <w:t xml:space="preserve"> (40 CFR PART 63, SUBPART X) (FINAL RULE)</w:t>
      </w:r>
    </w:p>
    <w:p w:rsidR="00E254E2" w:rsidRPr="00481723" w:rsidRDefault="00E254E2" w:rsidP="001B2F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 w:rsidRPr="00481723">
        <w:rPr>
          <w:b/>
          <w:bCs/>
        </w:rPr>
        <w:t xml:space="preserve"> </w:t>
      </w:r>
    </w:p>
    <w:p w:rsidR="00E254E2" w:rsidRPr="00481723" w:rsidRDefault="00E254E2">
      <w:pPr>
        <w:spacing w:line="480" w:lineRule="auto"/>
      </w:pPr>
      <w:r w:rsidRPr="00481723">
        <w:rPr>
          <w:b/>
          <w:bCs/>
        </w:rPr>
        <w:t>PART A</w:t>
      </w:r>
    </w:p>
    <w:p w:rsidR="00E254E2" w:rsidRPr="00B870BB" w:rsidRDefault="00E254E2" w:rsidP="00C549BC">
      <w:pPr>
        <w:pStyle w:val="Heading1"/>
        <w:numPr>
          <w:ilvl w:val="0"/>
          <w:numId w:val="0"/>
        </w:numPr>
        <w:ind w:left="72"/>
      </w:pPr>
      <w:r w:rsidRPr="00B870BB">
        <w:t>1</w:t>
      </w:r>
      <w:r w:rsidR="00E762F0">
        <w:t>.</w:t>
      </w:r>
      <w:r w:rsidRPr="00B870BB">
        <w:tab/>
        <w:t>Identification of the Information Collection</w:t>
      </w:r>
    </w:p>
    <w:p w:rsidR="00E254E2" w:rsidRPr="00B870BB" w:rsidRDefault="00E254E2" w:rsidP="00C549BC">
      <w:pPr>
        <w:pStyle w:val="Heading5"/>
      </w:pPr>
      <w:r w:rsidRPr="00B870BB">
        <w:t xml:space="preserve">(a) </w:t>
      </w:r>
      <w:r w:rsidRPr="00B870BB">
        <w:tab/>
        <w:t>Title and Number of the Information Collection.</w:t>
      </w:r>
    </w:p>
    <w:p w:rsidR="00E254E2" w:rsidRPr="00B870BB" w:rsidRDefault="001B2F24" w:rsidP="00C549BC">
      <w:pPr>
        <w:pStyle w:val="BodyText"/>
      </w:pPr>
      <w:r>
        <w:t>NESHAP</w:t>
      </w:r>
      <w:r w:rsidR="00E254E2" w:rsidRPr="00B870BB">
        <w:t xml:space="preserve"> for Secondary Lead Smelting</w:t>
      </w:r>
      <w:r w:rsidR="00E254E2">
        <w:t xml:space="preserve"> (40 CFR part 63, subpart X)</w:t>
      </w:r>
      <w:r>
        <w:t>, EPA ICR Number 1686.09, OMB Control Number 2060-0296.</w:t>
      </w:r>
    </w:p>
    <w:p w:rsidR="00E254E2" w:rsidRPr="00B870BB" w:rsidRDefault="00E254E2" w:rsidP="00C549BC">
      <w:pPr>
        <w:pStyle w:val="Heading5"/>
      </w:pPr>
      <w:r w:rsidRPr="00B870BB">
        <w:t>(b)</w:t>
      </w:r>
      <w:r w:rsidRPr="00B870BB">
        <w:tab/>
        <w:t>Short Characterization.</w:t>
      </w:r>
    </w:p>
    <w:p w:rsidR="00E254E2" w:rsidRPr="00B870BB" w:rsidRDefault="00E254E2" w:rsidP="00C549BC">
      <w:pPr>
        <w:pStyle w:val="BodyText"/>
      </w:pPr>
      <w:r w:rsidRPr="00975970">
        <w:t xml:space="preserve">This ICR is prepared for a U.S. Environmental Protection Agency (EPA) rulemaking developed under authority of section 112 of the Clean Air Act (CAA).  The rulemaking amends </w:t>
      </w:r>
      <w:r>
        <w:t>T</w:t>
      </w:r>
      <w:r w:rsidRPr="00975970">
        <w:t xml:space="preserve">itle 40, chapter I, part 63, subpart X, National Emission Standards for Hazardous Air Pollutants (NESHAP) for Secondary Lead Smelting, of the Code of Federal Regulations (CFR).  The </w:t>
      </w:r>
      <w:r>
        <w:t xml:space="preserve">previous </w:t>
      </w:r>
      <w:r w:rsidRPr="00975970">
        <w:t>NESHAP w</w:t>
      </w:r>
      <w:r>
        <w:t>as</w:t>
      </w:r>
      <w:r w:rsidRPr="00975970">
        <w:t xml:space="preserve"> proposed on June 23, 1995, and promulgated on June 13, 1997.  </w:t>
      </w:r>
      <w:r>
        <w:t xml:space="preserve">The revised NESHAP was proposed on May 19, 2011.  </w:t>
      </w:r>
      <w:r w:rsidRPr="00975970">
        <w:t>The potential</w:t>
      </w:r>
      <w:r w:rsidRPr="00B870BB">
        <w:t xml:space="preserve"> respondents are owners or operators of any existing or new affected source with secondary lead smelting operations.  There are 1</w:t>
      </w:r>
      <w:r>
        <w:t>6</w:t>
      </w:r>
      <w:r w:rsidRPr="00B870BB">
        <w:t xml:space="preserve"> facilities subject to the NESHAP.  The NESHAP is applicable to the following processes at a secondary lead smelter:  blast, reverberatory, rotary, and electric smelting furnaces; refining kettles; agglomerating furnaces; dryers; process fugitive sources; and fugitive dust sources.  The affected sources are those that meet the criteria established in §63.541 of the Secondary Lead Smelting NESHAP.</w:t>
      </w:r>
    </w:p>
    <w:p w:rsidR="00E254E2" w:rsidRPr="00B870BB" w:rsidRDefault="00E254E2" w:rsidP="00C549BC">
      <w:pPr>
        <w:pStyle w:val="BodyText"/>
      </w:pPr>
      <w:r w:rsidRPr="00B870BB">
        <w:t xml:space="preserve">The amendments reduce the emissions limits for lead.  Specifically, sources </w:t>
      </w:r>
      <w:r>
        <w:t xml:space="preserve">are </w:t>
      </w:r>
      <w:r w:rsidRPr="00B870BB">
        <w:t>required to maintain the concentration of lead compounds in any process vent gas at or below 1.0 milligrams of lead per dry standard cubic meter</w:t>
      </w:r>
      <w:r>
        <w:t xml:space="preserve"> (mg/dscm)</w:t>
      </w:r>
      <w:r w:rsidRPr="00B870BB">
        <w:t xml:space="preserve"> (0.00043 grains of lead per dry standard cubic foot</w:t>
      </w:r>
      <w:r>
        <w:t xml:space="preserve"> (gr/dscf)</w:t>
      </w:r>
      <w:r w:rsidRPr="00B870BB">
        <w:t xml:space="preserve">), and they also </w:t>
      </w:r>
      <w:r>
        <w:t>are</w:t>
      </w:r>
      <w:r w:rsidRPr="00B870BB">
        <w:t xml:space="preserve"> required to maintain the flow-weighted average concentration of lead compounds in vent gases from a secondary lead facility at or below 0.20 </w:t>
      </w:r>
      <w:r>
        <w:t>mg/dscm</w:t>
      </w:r>
      <w:r w:rsidRPr="00B870BB">
        <w:t xml:space="preserve"> (0.000087 </w:t>
      </w:r>
      <w:r>
        <w:t>gr/dscf</w:t>
      </w:r>
      <w:r w:rsidRPr="00B870BB">
        <w:t>).  The amendments also establish emissions limits for total hydrocarbons (THC) and dioxins and furans (D/F) from furnace sources.</w:t>
      </w:r>
    </w:p>
    <w:p w:rsidR="0038047D" w:rsidRDefault="00E254E2">
      <w:pPr>
        <w:pStyle w:val="BodyText"/>
      </w:pPr>
      <w:r>
        <w:t xml:space="preserve">The final amendments include </w:t>
      </w:r>
      <w:r w:rsidRPr="00CF52AA">
        <w:t>a</w:t>
      </w:r>
      <w:r>
        <w:t>n emission limit for</w:t>
      </w:r>
      <w:r w:rsidRPr="00CF52AA">
        <w:t xml:space="preserve"> THC of 12 </w:t>
      </w:r>
      <w:r>
        <w:t>parts per million volume</w:t>
      </w:r>
      <w:r w:rsidRPr="00CF52AA">
        <w:t xml:space="preserve"> (expressed as propane) corrected to 4 percent </w:t>
      </w:r>
      <w:r>
        <w:t>carbon dioxide (</w:t>
      </w:r>
      <w:r w:rsidRPr="00CF52AA">
        <w:t>CO</w:t>
      </w:r>
      <w:r w:rsidRPr="00CF52AA">
        <w:rPr>
          <w:vertAlign w:val="subscript"/>
        </w:rPr>
        <w:t>2</w:t>
      </w:r>
      <w:r>
        <w:t>)</w:t>
      </w:r>
      <w:r w:rsidRPr="00CF52AA">
        <w:rPr>
          <w:vertAlign w:val="subscript"/>
        </w:rPr>
        <w:t xml:space="preserve">  </w:t>
      </w:r>
      <w:r>
        <w:rPr>
          <w:vertAlign w:val="subscript"/>
        </w:rPr>
        <w:t xml:space="preserve"> </w:t>
      </w:r>
      <w:r w:rsidRPr="00CF52AA">
        <w:t xml:space="preserve">for new and existing </w:t>
      </w:r>
      <w:r w:rsidRPr="00CF52AA">
        <w:lastRenderedPageBreak/>
        <w:t xml:space="preserve">reverberatory furnaces not collocated with a blast furnace and reverberatory furnaces mixed with electric furnaces. </w:t>
      </w:r>
    </w:p>
    <w:p w:rsidR="00E254E2" w:rsidRPr="00CF52AA" w:rsidRDefault="00E254E2" w:rsidP="00C549BC">
      <w:pPr>
        <w:pStyle w:val="BodyText"/>
      </w:pPr>
      <w:r>
        <w:t xml:space="preserve">With regard to D/F, </w:t>
      </w:r>
      <w:r w:rsidRPr="00CF52AA">
        <w:t xml:space="preserve">we are </w:t>
      </w:r>
      <w:r>
        <w:t>revising</w:t>
      </w:r>
      <w:r w:rsidRPr="00CF52AA">
        <w:t xml:space="preserve"> the </w:t>
      </w:r>
      <w:r>
        <w:t>previous</w:t>
      </w:r>
      <w:r w:rsidRPr="00CF52AA">
        <w:t xml:space="preserve"> NESHAP to include the following emissions limits for dioxins and furans:  </w:t>
      </w:r>
    </w:p>
    <w:p w:rsidR="00E254E2" w:rsidRPr="00C549BC" w:rsidRDefault="00E254E2" w:rsidP="00C549BC">
      <w:pPr>
        <w:pStyle w:val="Bullet-last"/>
      </w:pPr>
      <w:r>
        <w:t>For r</w:t>
      </w:r>
      <w:r w:rsidRPr="00CF52AA">
        <w:t>everberatory furnaces not collocated with blast furnaces</w:t>
      </w:r>
      <w:r>
        <w:t>,</w:t>
      </w:r>
      <w:r w:rsidRPr="00CF52AA">
        <w:t xml:space="preserve"> and</w:t>
      </w:r>
      <w:r>
        <w:t xml:space="preserve"> for</w:t>
      </w:r>
      <w:r w:rsidRPr="00CF52AA">
        <w:t xml:space="preserve"> reverberatory furnaces where the exhaust gases are mixed with electric furnaces</w:t>
      </w:r>
      <w:r>
        <w:t>, a limit of</w:t>
      </w:r>
      <w:r w:rsidRPr="00CF52AA">
        <w:t xml:space="preserve"> 0.20 </w:t>
      </w:r>
      <w:r>
        <w:t xml:space="preserve">nanograms per dry standard cubic meter (ng/dscm) </w:t>
      </w:r>
      <w:r w:rsidRPr="00CF52AA">
        <w:t xml:space="preserve"> at 7 percent</w:t>
      </w:r>
      <w:r>
        <w:t xml:space="preserve"> oxygen</w:t>
      </w:r>
      <w:r w:rsidRPr="00CF52AA">
        <w:t xml:space="preserve"> </w:t>
      </w:r>
      <w:r>
        <w:t>(</w:t>
      </w:r>
      <w:r w:rsidRPr="00CF52AA">
        <w:t>O</w:t>
      </w:r>
      <w:r w:rsidRPr="00CF52AA">
        <w:rPr>
          <w:vertAlign w:val="subscript"/>
        </w:rPr>
        <w:t>2</w:t>
      </w:r>
      <w:r>
        <w:t>) expressed on a toxic equivalency (TEQ) basis</w:t>
      </w:r>
      <w:r w:rsidRPr="00CF52AA">
        <w:t xml:space="preserve"> and 0.1 ng/dscm</w:t>
      </w:r>
      <w:r>
        <w:t xml:space="preserve"> </w:t>
      </w:r>
      <w:r w:rsidRPr="00CF52AA">
        <w:t>at 7 percent O</w:t>
      </w:r>
      <w:r w:rsidRPr="00CF52AA">
        <w:rPr>
          <w:vertAlign w:val="subscript"/>
        </w:rPr>
        <w:t>2</w:t>
      </w:r>
      <w:r>
        <w:rPr>
          <w:vertAlign w:val="subscript"/>
        </w:rPr>
        <w:t xml:space="preserve"> </w:t>
      </w:r>
      <w:r>
        <w:t>expressed on a TEQ basis</w:t>
      </w:r>
      <w:r w:rsidRPr="00CF52AA">
        <w:t xml:space="preserve"> for existing and new affected sources, respectively.</w:t>
      </w:r>
    </w:p>
    <w:p w:rsidR="00E254E2" w:rsidRPr="00C549BC" w:rsidRDefault="00E254E2" w:rsidP="00D2253E">
      <w:pPr>
        <w:pStyle w:val="Bullet-last"/>
      </w:pPr>
      <w:r>
        <w:t>For b</w:t>
      </w:r>
      <w:r w:rsidRPr="00CF52AA">
        <w:t>last furnaces</w:t>
      </w:r>
      <w:r>
        <w:t xml:space="preserve">, a limit of </w:t>
      </w:r>
      <w:r w:rsidRPr="00CF52AA">
        <w:t>170 ng/dscm at 7 percent O</w:t>
      </w:r>
      <w:r w:rsidRPr="00CF52AA">
        <w:rPr>
          <w:vertAlign w:val="subscript"/>
        </w:rPr>
        <w:t>2</w:t>
      </w:r>
      <w:r>
        <w:rPr>
          <w:vertAlign w:val="subscript"/>
        </w:rPr>
        <w:t xml:space="preserve"> </w:t>
      </w:r>
      <w:r>
        <w:t>expressed on a TEQ basis</w:t>
      </w:r>
      <w:r w:rsidRPr="00CF52AA">
        <w:t xml:space="preserve"> and 10 ng/dscm at 7 percent O</w:t>
      </w:r>
      <w:r w:rsidRPr="00CF52AA">
        <w:rPr>
          <w:vertAlign w:val="subscript"/>
        </w:rPr>
        <w:t>2</w:t>
      </w:r>
      <w:r>
        <w:t xml:space="preserve"> expressed on a TEQ basis</w:t>
      </w:r>
      <w:r w:rsidRPr="00CF52AA">
        <w:rPr>
          <w:vertAlign w:val="subscript"/>
        </w:rPr>
        <w:t xml:space="preserve"> </w:t>
      </w:r>
      <w:r w:rsidRPr="00CF52AA">
        <w:t xml:space="preserve">for existing and new sources, respectively.  </w:t>
      </w:r>
    </w:p>
    <w:p w:rsidR="00E254E2" w:rsidRPr="00CF52AA" w:rsidRDefault="00E254E2" w:rsidP="00D2253E">
      <w:pPr>
        <w:pStyle w:val="Bullet-last"/>
      </w:pPr>
      <w:r>
        <w:t>For c</w:t>
      </w:r>
      <w:r w:rsidRPr="00CF52AA">
        <w:t>ollocated blast and reverberatory furnaces</w:t>
      </w:r>
      <w:r>
        <w:t xml:space="preserve">, a limit of </w:t>
      </w:r>
      <w:r w:rsidRPr="00CF52AA">
        <w:t>0.5 ng/dscm at 7 percent O</w:t>
      </w:r>
      <w:r w:rsidRPr="00CF52AA">
        <w:rPr>
          <w:vertAlign w:val="subscript"/>
        </w:rPr>
        <w:t>2</w:t>
      </w:r>
      <w:r>
        <w:t xml:space="preserve"> expressed on a TEQ basis</w:t>
      </w:r>
      <w:r w:rsidRPr="00CF52AA">
        <w:t xml:space="preserve"> for both new and existing sources.</w:t>
      </w:r>
    </w:p>
    <w:p w:rsidR="00E254E2" w:rsidRPr="00FE040F" w:rsidRDefault="00E254E2" w:rsidP="00D2253E">
      <w:pPr>
        <w:pStyle w:val="BodyText"/>
      </w:pPr>
      <w:r w:rsidRPr="00CF52AA">
        <w:t xml:space="preserve">To control fugitive lead emissions, we are </w:t>
      </w:r>
      <w:r>
        <w:t xml:space="preserve">finalizing amendments </w:t>
      </w:r>
      <w:r w:rsidRPr="00CF52AA">
        <w:t xml:space="preserve">that </w:t>
      </w:r>
      <w:r>
        <w:t xml:space="preserve">require </w:t>
      </w:r>
      <w:r w:rsidRPr="00CF52AA">
        <w:t xml:space="preserve">each facility </w:t>
      </w:r>
      <w:r>
        <w:t xml:space="preserve">to </w:t>
      </w:r>
      <w:r w:rsidRPr="00CF52AA">
        <w:t>totally enclose all sources of fugitive emissions (e.g.,</w:t>
      </w:r>
      <w:r>
        <w:t xml:space="preserve"> st</w:t>
      </w:r>
      <w:r w:rsidRPr="00CF52AA">
        <w:t>orage piles, material handling, battery breaking, dryers, and casting kettles) and operate the total enclosure</w:t>
      </w:r>
      <w:r>
        <w:t>s</w:t>
      </w:r>
      <w:r w:rsidRPr="00CF52AA">
        <w:t xml:space="preserve"> under negative pressure </w:t>
      </w:r>
      <w:r>
        <w:t>in addition to requiring facilities to</w:t>
      </w:r>
      <w:r w:rsidRPr="00CF52AA">
        <w:t xml:space="preserve"> impleme</w:t>
      </w:r>
      <w:r>
        <w:t xml:space="preserve">nt comprehensive work practices designed to prevent the formation of fugitive dust.   The work practices include </w:t>
      </w:r>
      <w:r w:rsidRPr="00CF52AA">
        <w:t>pavement cleaning</w:t>
      </w:r>
      <w:r>
        <w:t xml:space="preserve">, </w:t>
      </w:r>
      <w:r w:rsidRPr="00CF52AA">
        <w:t>vehicle washing</w:t>
      </w:r>
      <w:r>
        <w:t xml:space="preserve">, </w:t>
      </w:r>
      <w:r w:rsidRPr="00CF52AA">
        <w:t>cleaning of all affected areas after accidental releases</w:t>
      </w:r>
      <w:r>
        <w:t>,</w:t>
      </w:r>
      <w:r w:rsidRPr="00CF52AA">
        <w:t xml:space="preserve"> inspection of the battery storage areas for broken batteries</w:t>
      </w:r>
      <w:r>
        <w:t>,</w:t>
      </w:r>
      <w:r w:rsidRPr="00CF52AA">
        <w:t xml:space="preserve"> performance of maintenance activities </w:t>
      </w:r>
      <w:r>
        <w:t>in a manner that minimizes fugitive lead dust emissions,</w:t>
      </w:r>
      <w:r w:rsidRPr="00CF52AA">
        <w:t xml:space="preserve"> and transport of lead bearing </w:t>
      </w:r>
      <w:r>
        <w:t xml:space="preserve">dust </w:t>
      </w:r>
      <w:r w:rsidRPr="00CF52AA">
        <w:t xml:space="preserve">in closed systems.  The </w:t>
      </w:r>
      <w:r>
        <w:t>requirements for full enclosure are</w:t>
      </w:r>
      <w:r w:rsidRPr="00FE040F">
        <w:t xml:space="preserve"> new provisions under the </w:t>
      </w:r>
      <w:r>
        <w:t>final</w:t>
      </w:r>
      <w:r w:rsidRPr="00FE040F">
        <w:t xml:space="preserve"> amendments. </w:t>
      </w:r>
    </w:p>
    <w:p w:rsidR="00E254E2" w:rsidRPr="00FE040F" w:rsidRDefault="00E254E2" w:rsidP="00D2253E">
      <w:pPr>
        <w:pStyle w:val="BodyText"/>
      </w:pPr>
      <w:r w:rsidRPr="00FE040F">
        <w:t>The amendments to the rule eliminate the startup, shutdown, and malfunction</w:t>
      </w:r>
      <w:r>
        <w:t xml:space="preserve"> (SSM)</w:t>
      </w:r>
      <w:r w:rsidRPr="00FE040F">
        <w:t xml:space="preserve"> exemption, remove the SSM plan requirement, add provisions to provide an affirmative defense against civil penalties for exceedances of emission standards caused by malfunctions, </w:t>
      </w:r>
      <w:r>
        <w:t>add</w:t>
      </w:r>
      <w:r w:rsidRPr="00FE040F">
        <w:t xml:space="preserve"> a requirement for electronic submittal of performance test data, and correct editorial error</w:t>
      </w:r>
      <w:r>
        <w:t>s</w:t>
      </w:r>
      <w:r w:rsidRPr="00FE040F">
        <w:t xml:space="preserve">.  </w:t>
      </w:r>
    </w:p>
    <w:p w:rsidR="00E254E2" w:rsidRPr="00CF52AA" w:rsidRDefault="00E254E2" w:rsidP="00D2253E">
      <w:pPr>
        <w:pStyle w:val="BodyText"/>
      </w:pPr>
      <w:r w:rsidRPr="00FE040F">
        <w:t>Recordkeeping for stack testing will be the same with the exception</w:t>
      </w:r>
      <w:r w:rsidRPr="00CF52AA">
        <w:t xml:space="preserve"> of </w:t>
      </w:r>
      <w:r>
        <w:t>records of the additional testing requirements for THC and D/F.</w:t>
      </w:r>
    </w:p>
    <w:p w:rsidR="00E254E2" w:rsidRPr="00CF52AA" w:rsidRDefault="00E254E2" w:rsidP="00D2253E">
      <w:pPr>
        <w:pStyle w:val="BodyText"/>
      </w:pPr>
      <w:r>
        <w:t>T</w:t>
      </w:r>
      <w:r w:rsidRPr="00CF52AA">
        <w:t xml:space="preserve">he </w:t>
      </w:r>
      <w:r>
        <w:t xml:space="preserve">final </w:t>
      </w:r>
      <w:r w:rsidRPr="00CF52AA">
        <w:t xml:space="preserve">amendments </w:t>
      </w:r>
      <w:r>
        <w:t xml:space="preserve">for control of fugitive emissions that include work practices and enclosure standards </w:t>
      </w:r>
      <w:r w:rsidRPr="00CF52AA">
        <w:t xml:space="preserve">have a compliance date of </w:t>
      </w:r>
      <w:r>
        <w:t>2</w:t>
      </w:r>
      <w:r w:rsidRPr="00CF52AA">
        <w:t xml:space="preserve"> years from the promulgation date which will allow the facility to </w:t>
      </w:r>
      <w:r>
        <w:t>construct any enclosures</w:t>
      </w:r>
      <w:r w:rsidRPr="00CF52AA">
        <w:t xml:space="preserve"> necessary to meet the new and revised requirements.  </w:t>
      </w:r>
      <w:r>
        <w:t xml:space="preserve">The compliance date for the amendments for the revised stack lead emission limit and new THC and D/F emissions limits is 2 years from the date of promulgation. The </w:t>
      </w:r>
      <w:r>
        <w:lastRenderedPageBreak/>
        <w:t xml:space="preserve">compliance date for the revised SSM requirements is the date of promulgation.  </w:t>
      </w:r>
      <w:r w:rsidRPr="00CF52AA">
        <w:t xml:space="preserve">The </w:t>
      </w:r>
      <w:r>
        <w:t>final</w:t>
      </w:r>
      <w:r w:rsidRPr="00CF52AA">
        <w:t xml:space="preserve"> amendments require stack testing for </w:t>
      </w:r>
      <w:r>
        <w:t xml:space="preserve">D/F every </w:t>
      </w:r>
      <w:r w:rsidR="00E663AB">
        <w:t>6</w:t>
      </w:r>
      <w:r>
        <w:t xml:space="preserve"> years.</w:t>
      </w:r>
      <w:r w:rsidRPr="00CF52AA">
        <w:t xml:space="preserve"> </w:t>
      </w:r>
      <w:r>
        <w:t xml:space="preserve"> </w:t>
      </w:r>
    </w:p>
    <w:p w:rsidR="00E254E2" w:rsidRPr="00CF52AA" w:rsidRDefault="00E254E2" w:rsidP="00D2253E">
      <w:pPr>
        <w:pStyle w:val="BodyText"/>
      </w:pPr>
      <w:r w:rsidRPr="00CF52AA">
        <w:t xml:space="preserve">The information collection requirements associated with the </w:t>
      </w:r>
      <w:r>
        <w:t>final</w:t>
      </w:r>
      <w:r w:rsidRPr="00CF52AA">
        <w:t xml:space="preserve"> amendments to the NESHAP are listed in Attachment </w:t>
      </w:r>
      <w:r>
        <w:t>2</w:t>
      </w:r>
      <w:r w:rsidRPr="00CF52AA">
        <w:t>.</w:t>
      </w:r>
    </w:p>
    <w:p w:rsidR="00E254E2" w:rsidRPr="00CF52AA" w:rsidRDefault="00E254E2" w:rsidP="00D2253E">
      <w:pPr>
        <w:pStyle w:val="Heading2"/>
      </w:pPr>
      <w:r w:rsidRPr="00CF52AA">
        <w:t>2.</w:t>
      </w:r>
      <w:r w:rsidR="00D2253E">
        <w:tab/>
      </w:r>
      <w:r w:rsidRPr="00CF52AA">
        <w:t>Need For and Use of the Collection</w:t>
      </w:r>
    </w:p>
    <w:p w:rsidR="00E254E2" w:rsidRPr="00CF52AA" w:rsidRDefault="00E254E2" w:rsidP="00D2253E">
      <w:pPr>
        <w:pStyle w:val="Heading5"/>
      </w:pPr>
      <w:r w:rsidRPr="00CF52AA">
        <w:t>(a)</w:t>
      </w:r>
      <w:r w:rsidRPr="00CF52AA">
        <w:tab/>
        <w:t>Need/Authority for the Collection.</w:t>
      </w:r>
    </w:p>
    <w:p w:rsidR="00E254E2" w:rsidRPr="00CF52AA" w:rsidRDefault="00E254E2" w:rsidP="00D2253E">
      <w:pPr>
        <w:pStyle w:val="BodyText"/>
      </w:pPr>
      <w:r w:rsidRPr="00CF52AA">
        <w:t>Section 112 of the (CAA) requires EPA to establish NESHAP for both major and area sources of</w:t>
      </w:r>
      <w:r>
        <w:t xml:space="preserve"> hazardous air pollutants</w:t>
      </w:r>
      <w:r w:rsidRPr="00CF52AA">
        <w:t xml:space="preserve"> </w:t>
      </w:r>
      <w:r>
        <w:t>(</w:t>
      </w:r>
      <w:r w:rsidRPr="00CF52AA">
        <w:t>HAP</w:t>
      </w:r>
      <w:r>
        <w:t>)</w:t>
      </w:r>
      <w:r w:rsidRPr="00CF52AA">
        <w:t xml:space="preserve"> that are listed for regulation under section 112(c)</w:t>
      </w:r>
      <w:r>
        <w:t xml:space="preserve"> of the CAA</w:t>
      </w:r>
      <w:r w:rsidRPr="00CF52AA">
        <w:t xml:space="preserve">.  A major source is a stationary source that emits or has the potential to emit more than 10 tons per year (tpy) of any single HAP or more than 25 tpy of any combination of HAP.  An area source is a stationary source that is not a major source (i.e., an area source </w:t>
      </w:r>
      <w:r>
        <w:t xml:space="preserve">that </w:t>
      </w:r>
      <w:r w:rsidRPr="00CF52AA">
        <w:t xml:space="preserve">does not emit and does not have the potential to emit more than 10 tpy of any single HAP and more than 25 tpy of any combination of HAP).  For major sources, these technology-based standards must reflect the maximum degree of emission reductions of HAP achievable (after considering cost, energy requirements, and non-air quality health and environmental impacts) and are commonly referred to as maximum achievable control technology (MACT) standards.  Section 112(d)(6) </w:t>
      </w:r>
      <w:r>
        <w:t xml:space="preserve">of the CAA </w:t>
      </w:r>
      <w:r w:rsidRPr="00CF52AA">
        <w:t xml:space="preserve">requires EPA to review these technology-based standards and to revise them “as necessary (taking into account developments in practices, processes, and control technologies)” no less frequently than every 8 years.  In addition, section 112(f) of the CAA requires EPA to determine for source categories subject to certain CAA section 112(d) standards whether the emissions limitations provide an ample margin of safety to protect public health.  For MACT standards for HAP “classified as a known, probable, or possible human carcinogen" that "do not reduce lifetime excess cancer risks to the individual most exposed to emissions from a source in the category or subcategory to less than 1-in-1 million,” EPA must promulgate residual risk standards for the source category (or subcategory) as necessary to provide an ample margin of safety to protect public health.  In doing so, EPA may adopt standards equal to existing MACT standards, if EPA determines that the existing standards are sufficiently protective.  EPA must also adopt more stringent standards, if necessary, to prevent an adverse environmental effect, but must consider cost, energy, safety, and other relevant factors in doing so.  </w:t>
      </w:r>
    </w:p>
    <w:p w:rsidR="00E254E2" w:rsidRPr="00CF52AA" w:rsidRDefault="00E254E2" w:rsidP="00D2253E">
      <w:pPr>
        <w:pStyle w:val="BodyText"/>
      </w:pPr>
      <w:r w:rsidRPr="00CF52AA">
        <w:t xml:space="preserve">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w:t>
      </w:r>
      <w:r>
        <w:t>CAA</w:t>
      </w:r>
      <w:r w:rsidRPr="00CF52AA">
        <w:t xml:space="preserve"> (42 U.S.C. 7414) and set out in the part 63 NESHAP General Provisions.  The recordkeeping and reporting requirements for title V permits are contained in 40 CFR 70.6 and 40 CFR 71.6.  Under </w:t>
      </w:r>
      <w:r w:rsidRPr="00CF52AA">
        <w:lastRenderedPageBreak/>
        <w:t xml:space="preserve">parts 63 and 70 or 71, the owner or operator must keep each record for 5 years following the date of each occurrence, measurement, maintenance, corrective action, report, or record. </w:t>
      </w:r>
    </w:p>
    <w:p w:rsidR="00E254E2" w:rsidRPr="00CF52AA" w:rsidRDefault="00E254E2" w:rsidP="00D2253E">
      <w:pPr>
        <w:pStyle w:val="Heading5"/>
      </w:pPr>
      <w:r w:rsidRPr="00CF52AA">
        <w:t>(b)</w:t>
      </w:r>
      <w:r w:rsidRPr="00CF52AA">
        <w:tab/>
        <w:t>Use/Users of the Data.</w:t>
      </w:r>
    </w:p>
    <w:p w:rsidR="00E254E2" w:rsidRPr="00CF52AA" w:rsidRDefault="00E254E2" w:rsidP="00D2253E">
      <w:pPr>
        <w:pStyle w:val="BodyText"/>
      </w:pPr>
      <w:r w:rsidRPr="00CF52AA">
        <w:t xml:space="preserve">The information will be used by the delegated authority (State agency, or Regional Administrator if there is no delegated State agency) to ensure that the standards and other requirements are being achieved.  Based on review of the recorded information at the site and the reported information, the delegated permitting authority can identify facilities that may not be in compliance and decide which facilities, records, or processes may need inspection. </w:t>
      </w:r>
    </w:p>
    <w:p w:rsidR="00E254E2" w:rsidRPr="00CF52AA" w:rsidRDefault="00E254E2" w:rsidP="00D2253E">
      <w:pPr>
        <w:pStyle w:val="Heading2"/>
      </w:pPr>
      <w:r w:rsidRPr="00CF52AA">
        <w:t>3.</w:t>
      </w:r>
      <w:r w:rsidRPr="00CF52AA">
        <w:tab/>
        <w:t>Nonduplication, Consultations, and Other Collection Criteria</w:t>
      </w:r>
    </w:p>
    <w:p w:rsidR="00E254E2" w:rsidRPr="00CF52AA" w:rsidRDefault="00E254E2" w:rsidP="00D2253E">
      <w:pPr>
        <w:pStyle w:val="Heading5"/>
      </w:pPr>
      <w:r w:rsidRPr="00CF52AA">
        <w:t>(a)</w:t>
      </w:r>
      <w:r w:rsidRPr="00CF52AA">
        <w:tab/>
        <w:t>Nonduplication.</w:t>
      </w:r>
    </w:p>
    <w:p w:rsidR="00E254E2" w:rsidRPr="00CF52AA" w:rsidRDefault="00E254E2" w:rsidP="00D2253E">
      <w:pPr>
        <w:pStyle w:val="BodyText"/>
      </w:pPr>
      <w:r w:rsidRPr="00CF52AA">
        <w:t>A computer search of EPA’s ongoing</w:t>
      </w:r>
      <w:r>
        <w:t xml:space="preserve"> information collection requests</w:t>
      </w:r>
      <w:r w:rsidRPr="00CF52AA">
        <w:t xml:space="preserve"> </w:t>
      </w:r>
      <w:r>
        <w:t>(</w:t>
      </w:r>
      <w:r w:rsidRPr="00CF52AA">
        <w:t>ICRs</w:t>
      </w:r>
      <w:r>
        <w:t>)</w:t>
      </w:r>
      <w:r w:rsidRPr="00CF52AA">
        <w:t xml:space="preserve"> revealed no duplication of information-gathering efforts. </w:t>
      </w:r>
    </w:p>
    <w:p w:rsidR="00E254E2" w:rsidRPr="00CF52AA" w:rsidRDefault="00E254E2" w:rsidP="00D2253E">
      <w:pPr>
        <w:pStyle w:val="Heading5"/>
      </w:pPr>
      <w:r w:rsidRPr="00CF52AA">
        <w:t>(b)</w:t>
      </w:r>
      <w:r w:rsidRPr="00CF52AA">
        <w:tab/>
        <w:t>Public Notice Required Prior to ICR Submission to OMB.</w:t>
      </w:r>
    </w:p>
    <w:p w:rsidR="00E254E2" w:rsidRPr="00CF52AA" w:rsidRDefault="00E254E2" w:rsidP="00D2253E">
      <w:pPr>
        <w:pStyle w:val="BodyText"/>
      </w:pPr>
      <w:r w:rsidRPr="00CF52AA">
        <w:t>Th</w:t>
      </w:r>
      <w:r w:rsidR="001B2F24">
        <w:t>e preamble to the final rule will give public notice of this ICR.</w:t>
      </w:r>
    </w:p>
    <w:p w:rsidR="00E254E2" w:rsidRPr="00CF52AA" w:rsidRDefault="00E254E2" w:rsidP="00D2253E">
      <w:pPr>
        <w:pStyle w:val="Heading5"/>
      </w:pPr>
      <w:r w:rsidRPr="00CF52AA">
        <w:t>(c)</w:t>
      </w:r>
      <w:r w:rsidRPr="00CF52AA">
        <w:tab/>
        <w:t>Consultations.</w:t>
      </w:r>
    </w:p>
    <w:p w:rsidR="00E254E2" w:rsidRPr="00CF52AA" w:rsidRDefault="00E254E2" w:rsidP="00D2253E">
      <w:pPr>
        <w:pStyle w:val="BodyText"/>
      </w:pPr>
      <w:r w:rsidRPr="00CF52AA">
        <w:t xml:space="preserve">The amendments were developed in consultation with </w:t>
      </w:r>
      <w:r>
        <w:t xml:space="preserve">the Association of Battery Recyclers (ABR) </w:t>
      </w:r>
      <w:r w:rsidRPr="00CF52AA">
        <w:t xml:space="preserve">and </w:t>
      </w:r>
      <w:r>
        <w:t>various companies (including the Revere Smelting and Refining (RSR) Corporation and Exide Technologies, who own 9 of the 16 facilities and Johnson Controls, Inc., who is in the process of constructing a new secondary lead smelting facility)</w:t>
      </w:r>
      <w:r w:rsidRPr="00CF52AA">
        <w:t>.  The non-EPA persons consulted on the information collection activities are identified in Table 1.</w:t>
      </w:r>
    </w:p>
    <w:p w:rsidR="00E254E2" w:rsidRPr="00CF52AA" w:rsidRDefault="00E254E2" w:rsidP="00D2253E">
      <w:pPr>
        <w:pStyle w:val="TableTitle"/>
      </w:pPr>
      <w:r w:rsidRPr="00CF52AA">
        <w:t>TABLE 1.  PERSONS CONSULTED ON THE INFORMATION COLLECTION ACTIVITIES</w:t>
      </w:r>
    </w:p>
    <w:tbl>
      <w:tblPr>
        <w:tblW w:w="5078" w:type="pct"/>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CellMar>
          <w:left w:w="120" w:type="dxa"/>
          <w:right w:w="120" w:type="dxa"/>
        </w:tblCellMar>
        <w:tblLook w:val="0000"/>
      </w:tblPr>
      <w:tblGrid>
        <w:gridCol w:w="2190"/>
        <w:gridCol w:w="5760"/>
        <w:gridCol w:w="1800"/>
      </w:tblGrid>
      <w:tr w:rsidR="00E254E2" w:rsidRPr="00CF52AA" w:rsidTr="00D2253E">
        <w:trPr>
          <w:cantSplit/>
          <w:tblHeader/>
        </w:trPr>
        <w:tc>
          <w:tcPr>
            <w:tcW w:w="1123" w:type="pct"/>
            <w:tcBorders>
              <w:top w:val="double" w:sz="4" w:space="0" w:color="auto"/>
              <w:bottom w:val="single" w:sz="6" w:space="0" w:color="000000"/>
            </w:tcBorders>
            <w:shd w:val="clear" w:color="auto" w:fill="D9D9D9" w:themeFill="background1" w:themeFillShade="D9"/>
            <w:vAlign w:val="bottom"/>
          </w:tcPr>
          <w:p w:rsidR="00E254E2" w:rsidRPr="00CF52AA" w:rsidRDefault="00E254E2" w:rsidP="00E254E2">
            <w:pPr>
              <w:keepNext/>
              <w:spacing w:before="76" w:after="31"/>
              <w:jc w:val="center"/>
              <w:rPr>
                <w:b/>
              </w:rPr>
            </w:pPr>
            <w:r w:rsidRPr="00CF52AA">
              <w:rPr>
                <w:b/>
              </w:rPr>
              <w:t>Contact</w:t>
            </w:r>
          </w:p>
        </w:tc>
        <w:tc>
          <w:tcPr>
            <w:tcW w:w="2954" w:type="pct"/>
            <w:tcBorders>
              <w:top w:val="double" w:sz="4" w:space="0" w:color="auto"/>
              <w:bottom w:val="single" w:sz="6" w:space="0" w:color="000000"/>
            </w:tcBorders>
            <w:shd w:val="clear" w:color="auto" w:fill="D9D9D9" w:themeFill="background1" w:themeFillShade="D9"/>
            <w:vAlign w:val="bottom"/>
          </w:tcPr>
          <w:p w:rsidR="00E254E2" w:rsidRPr="00CF52AA" w:rsidRDefault="00E254E2" w:rsidP="00E254E2">
            <w:pPr>
              <w:keepNext/>
              <w:spacing w:before="76" w:after="31"/>
              <w:jc w:val="center"/>
              <w:rPr>
                <w:b/>
              </w:rPr>
            </w:pPr>
            <w:r w:rsidRPr="00CF52AA">
              <w:rPr>
                <w:b/>
              </w:rPr>
              <w:t>Organization</w:t>
            </w:r>
          </w:p>
        </w:tc>
        <w:tc>
          <w:tcPr>
            <w:tcW w:w="923" w:type="pct"/>
            <w:tcBorders>
              <w:top w:val="double" w:sz="4" w:space="0" w:color="auto"/>
              <w:bottom w:val="single" w:sz="6" w:space="0" w:color="000000"/>
            </w:tcBorders>
            <w:shd w:val="clear" w:color="auto" w:fill="D9D9D9" w:themeFill="background1" w:themeFillShade="D9"/>
            <w:vAlign w:val="bottom"/>
          </w:tcPr>
          <w:p w:rsidR="00E254E2" w:rsidRPr="00CF52AA" w:rsidRDefault="00E254E2" w:rsidP="00E254E2">
            <w:pPr>
              <w:keepNext/>
              <w:spacing w:before="76" w:after="31"/>
              <w:jc w:val="center"/>
              <w:rPr>
                <w:b/>
              </w:rPr>
            </w:pPr>
            <w:r w:rsidRPr="00CF52AA">
              <w:rPr>
                <w:b/>
              </w:rPr>
              <w:t>Telephone No.</w:t>
            </w:r>
          </w:p>
        </w:tc>
      </w:tr>
      <w:tr w:rsidR="00E254E2" w:rsidRPr="00CF52AA" w:rsidTr="00D2253E">
        <w:trPr>
          <w:cantSplit/>
        </w:trPr>
        <w:tc>
          <w:tcPr>
            <w:tcW w:w="1123" w:type="pct"/>
            <w:tcBorders>
              <w:top w:val="single" w:sz="6" w:space="0" w:color="000000"/>
            </w:tcBorders>
          </w:tcPr>
          <w:p w:rsidR="00E254E2" w:rsidRPr="00CF52AA" w:rsidRDefault="00E254E2" w:rsidP="00E254E2">
            <w:r>
              <w:t xml:space="preserve">Russell Kemp </w:t>
            </w:r>
          </w:p>
        </w:tc>
        <w:tc>
          <w:tcPr>
            <w:tcW w:w="2954" w:type="pct"/>
            <w:tcBorders>
              <w:top w:val="single" w:sz="6" w:space="0" w:color="000000"/>
            </w:tcBorders>
          </w:tcPr>
          <w:p w:rsidR="00E254E2" w:rsidRPr="00CF52AA" w:rsidRDefault="00E254E2" w:rsidP="00E254E2">
            <w:pPr>
              <w:keepNext/>
            </w:pPr>
            <w:r>
              <w:t>Environ Corp.</w:t>
            </w:r>
          </w:p>
        </w:tc>
        <w:tc>
          <w:tcPr>
            <w:tcW w:w="923" w:type="pct"/>
            <w:tcBorders>
              <w:top w:val="single" w:sz="6" w:space="0" w:color="000000"/>
            </w:tcBorders>
          </w:tcPr>
          <w:p w:rsidR="00E254E2" w:rsidRPr="00CF52AA" w:rsidRDefault="00E254E2" w:rsidP="00E254E2">
            <w:r>
              <w:t>678-388-1654</w:t>
            </w:r>
          </w:p>
        </w:tc>
      </w:tr>
      <w:tr w:rsidR="00E254E2" w:rsidRPr="00CF52AA" w:rsidTr="00E254E2">
        <w:trPr>
          <w:cantSplit/>
        </w:trPr>
        <w:tc>
          <w:tcPr>
            <w:tcW w:w="1123" w:type="pct"/>
          </w:tcPr>
          <w:p w:rsidR="00E254E2" w:rsidRDefault="00E254E2" w:rsidP="00E254E2">
            <w:r>
              <w:t>Robert Steinwurtzel</w:t>
            </w:r>
          </w:p>
        </w:tc>
        <w:tc>
          <w:tcPr>
            <w:tcW w:w="2954" w:type="pct"/>
          </w:tcPr>
          <w:p w:rsidR="00E254E2" w:rsidRDefault="00E254E2" w:rsidP="00E254E2">
            <w:pPr>
              <w:keepNext/>
            </w:pPr>
            <w:r>
              <w:t>Baker and Hostetler</w:t>
            </w:r>
          </w:p>
        </w:tc>
        <w:tc>
          <w:tcPr>
            <w:tcW w:w="923" w:type="pct"/>
          </w:tcPr>
          <w:p w:rsidR="00E254E2" w:rsidRDefault="00E254E2" w:rsidP="00E254E2">
            <w:r>
              <w:t>202-861-1708</w:t>
            </w:r>
          </w:p>
        </w:tc>
      </w:tr>
      <w:tr w:rsidR="00E254E2" w:rsidRPr="00CF52AA" w:rsidTr="00E254E2">
        <w:trPr>
          <w:cantSplit/>
        </w:trPr>
        <w:tc>
          <w:tcPr>
            <w:tcW w:w="1123" w:type="pct"/>
          </w:tcPr>
          <w:p w:rsidR="00E254E2" w:rsidRPr="00CF52AA" w:rsidRDefault="00E254E2" w:rsidP="00E254E2">
            <w:r w:rsidRPr="00CF52AA">
              <w:t>Steve Arnold</w:t>
            </w:r>
          </w:p>
        </w:tc>
        <w:tc>
          <w:tcPr>
            <w:tcW w:w="2954" w:type="pct"/>
          </w:tcPr>
          <w:p w:rsidR="00E254E2" w:rsidRPr="00CF52AA" w:rsidRDefault="00E254E2" w:rsidP="00E254E2">
            <w:pPr>
              <w:keepNext/>
            </w:pPr>
            <w:r w:rsidRPr="00CF52AA">
              <w:t>The Doe Run Company</w:t>
            </w:r>
          </w:p>
        </w:tc>
        <w:tc>
          <w:tcPr>
            <w:tcW w:w="923" w:type="pct"/>
          </w:tcPr>
          <w:p w:rsidR="00E254E2" w:rsidRPr="00CF52AA" w:rsidRDefault="00E254E2" w:rsidP="00E254E2">
            <w:r w:rsidRPr="00CF52AA">
              <w:t>573-626-3495</w:t>
            </w:r>
          </w:p>
        </w:tc>
      </w:tr>
      <w:tr w:rsidR="00E254E2" w:rsidRPr="00CF52AA" w:rsidTr="00E254E2">
        <w:trPr>
          <w:cantSplit/>
        </w:trPr>
        <w:tc>
          <w:tcPr>
            <w:tcW w:w="1123" w:type="pct"/>
          </w:tcPr>
          <w:p w:rsidR="00E254E2" w:rsidRPr="00CF52AA" w:rsidRDefault="00E254E2" w:rsidP="00E254E2">
            <w:r>
              <w:t>Mark Cummings</w:t>
            </w:r>
          </w:p>
        </w:tc>
        <w:tc>
          <w:tcPr>
            <w:tcW w:w="2954" w:type="pct"/>
          </w:tcPr>
          <w:p w:rsidR="00E254E2" w:rsidRPr="00CF52AA" w:rsidRDefault="00E254E2" w:rsidP="00E254E2">
            <w:pPr>
              <w:keepNext/>
            </w:pPr>
            <w:r>
              <w:t>Exide Technologies</w:t>
            </w:r>
          </w:p>
        </w:tc>
        <w:tc>
          <w:tcPr>
            <w:tcW w:w="923" w:type="pct"/>
          </w:tcPr>
          <w:p w:rsidR="00E254E2" w:rsidRPr="00CF52AA" w:rsidRDefault="00E254E2" w:rsidP="00E254E2">
            <w:r>
              <w:t>678-566-9280</w:t>
            </w:r>
          </w:p>
        </w:tc>
      </w:tr>
      <w:tr w:rsidR="00E254E2" w:rsidRPr="00CF52AA" w:rsidTr="00E254E2">
        <w:trPr>
          <w:cantSplit/>
        </w:trPr>
        <w:tc>
          <w:tcPr>
            <w:tcW w:w="1123" w:type="pct"/>
          </w:tcPr>
          <w:p w:rsidR="00E254E2" w:rsidRPr="00CF52AA" w:rsidRDefault="00E254E2" w:rsidP="00E663AB">
            <w:r>
              <w:t>Mike Bu</w:t>
            </w:r>
            <w:r w:rsidR="00E663AB">
              <w:t>c</w:t>
            </w:r>
            <w:r>
              <w:t>kantz</w:t>
            </w:r>
          </w:p>
        </w:tc>
        <w:tc>
          <w:tcPr>
            <w:tcW w:w="2954" w:type="pct"/>
          </w:tcPr>
          <w:p w:rsidR="00E254E2" w:rsidRPr="00CF52AA" w:rsidRDefault="00E254E2" w:rsidP="00E254E2">
            <w:pPr>
              <w:keepNext/>
            </w:pPr>
            <w:r>
              <w:t>RSR Corp</w:t>
            </w:r>
          </w:p>
        </w:tc>
        <w:tc>
          <w:tcPr>
            <w:tcW w:w="923" w:type="pct"/>
          </w:tcPr>
          <w:p w:rsidR="00E254E2" w:rsidRPr="00CF52AA" w:rsidRDefault="00E254E2" w:rsidP="00E254E2">
            <w:r>
              <w:t>626-937-3245</w:t>
            </w:r>
          </w:p>
        </w:tc>
      </w:tr>
      <w:tr w:rsidR="00E254E2" w:rsidRPr="00CF52AA" w:rsidTr="00E254E2">
        <w:trPr>
          <w:cantSplit/>
        </w:trPr>
        <w:tc>
          <w:tcPr>
            <w:tcW w:w="1123" w:type="pct"/>
          </w:tcPr>
          <w:p w:rsidR="00E254E2" w:rsidRDefault="00E254E2" w:rsidP="00E254E2">
            <w:r>
              <w:t>Keith McCoy</w:t>
            </w:r>
          </w:p>
        </w:tc>
        <w:tc>
          <w:tcPr>
            <w:tcW w:w="2954" w:type="pct"/>
          </w:tcPr>
          <w:p w:rsidR="00E254E2" w:rsidRDefault="00E254E2" w:rsidP="00E254E2">
            <w:pPr>
              <w:keepNext/>
            </w:pPr>
            <w:r>
              <w:t xml:space="preserve">Johnson Controls, Inc. </w:t>
            </w:r>
          </w:p>
        </w:tc>
        <w:tc>
          <w:tcPr>
            <w:tcW w:w="923" w:type="pct"/>
          </w:tcPr>
          <w:p w:rsidR="00E254E2" w:rsidRDefault="00E254E2" w:rsidP="00E254E2">
            <w:r>
              <w:t>202-406-4068</w:t>
            </w:r>
          </w:p>
        </w:tc>
      </w:tr>
    </w:tbl>
    <w:p w:rsidR="00E254E2" w:rsidRPr="007C40B4" w:rsidRDefault="00E254E2" w:rsidP="00D2253E">
      <w:pPr>
        <w:pStyle w:val="Heading5"/>
      </w:pPr>
      <w:r w:rsidRPr="007C40B4">
        <w:t>(d)</w:t>
      </w:r>
      <w:r w:rsidRPr="007C40B4">
        <w:tab/>
        <w:t>Effects of Less Frequent Collection.</w:t>
      </w:r>
    </w:p>
    <w:p w:rsidR="00E254E2" w:rsidRPr="007C40B4" w:rsidRDefault="00E254E2" w:rsidP="00D2253E">
      <w:pPr>
        <w:pStyle w:val="BodyText"/>
      </w:pPr>
      <w:r w:rsidRPr="007C40B4">
        <w:t xml:space="preserve">If the relevant information </w:t>
      </w:r>
      <w:r>
        <w:t>was</w:t>
      </w:r>
      <w:r w:rsidRPr="007C40B4">
        <w:t xml:space="preserve"> collected less frequently, the delegated permitting authority (State or EPA) will not be reasonably assured that a facility is in compliance with the standards.</w:t>
      </w:r>
    </w:p>
    <w:p w:rsidR="00E254E2" w:rsidRPr="007C40B4" w:rsidRDefault="00E254E2" w:rsidP="00D2253E">
      <w:pPr>
        <w:pStyle w:val="Heading5"/>
      </w:pPr>
      <w:r w:rsidRPr="007C40B4">
        <w:lastRenderedPageBreak/>
        <w:t>(e)</w:t>
      </w:r>
      <w:r w:rsidRPr="007C40B4">
        <w:tab/>
        <w:t xml:space="preserve">General Guidelines. </w:t>
      </w:r>
    </w:p>
    <w:p w:rsidR="00E254E2" w:rsidRPr="007C40B4" w:rsidRDefault="00E254E2" w:rsidP="00D2253E">
      <w:pPr>
        <w:pStyle w:val="BodyText"/>
      </w:pPr>
      <w:r w:rsidRPr="007C40B4">
        <w:t>None of the guidelines in 5 CFR 1320.6 are being exceeded.</w:t>
      </w:r>
    </w:p>
    <w:p w:rsidR="00E254E2" w:rsidRPr="007C40B4" w:rsidRDefault="00E254E2" w:rsidP="00D2253E">
      <w:pPr>
        <w:pStyle w:val="Heading5"/>
      </w:pPr>
      <w:r w:rsidRPr="007C40B4">
        <w:t>(f)</w:t>
      </w:r>
      <w:r w:rsidRPr="007C40B4">
        <w:tab/>
        <w:t>Confidentiality.</w:t>
      </w:r>
    </w:p>
    <w:p w:rsidR="00E254E2" w:rsidRPr="007C40B4" w:rsidRDefault="00E254E2" w:rsidP="00D2253E">
      <w:pPr>
        <w:pStyle w:val="BodyText"/>
        <w:rPr>
          <w:i/>
          <w:iCs/>
        </w:rPr>
      </w:pPr>
      <w:r w:rsidRPr="007C40B4">
        <w:t>All information submitted to the Agency for which a claim of confidentiality is made will be safeguarded according to the Agency policies set forth in Title 40, Chapter 1, Part 2, Subpart B--Confidentiality of Business Information (see 40 CFR 2; 41 FR 36902, September 1, 1976; amended by 43 FR 39999, September 28, 1978; 43 FR 42251, September 28, 1978; 44 FR 17674, March 23, 1979).</w:t>
      </w:r>
    </w:p>
    <w:p w:rsidR="00E254E2" w:rsidRPr="007C40B4" w:rsidRDefault="00E254E2" w:rsidP="00D2253E">
      <w:pPr>
        <w:pStyle w:val="Heading5"/>
      </w:pPr>
      <w:r w:rsidRPr="007C40B4">
        <w:t>(g)</w:t>
      </w:r>
      <w:r w:rsidRPr="007C40B4">
        <w:tab/>
        <w:t xml:space="preserve">Sensitive Questions.  </w:t>
      </w:r>
    </w:p>
    <w:p w:rsidR="00E254E2" w:rsidRPr="007C40B4" w:rsidRDefault="00E254E2" w:rsidP="00D2253E">
      <w:pPr>
        <w:pStyle w:val="BodyText"/>
      </w:pPr>
      <w:r w:rsidRPr="007C40B4">
        <w:t>This section is not applicable because this ICR does not involve matters of a sensitive nature.</w:t>
      </w:r>
    </w:p>
    <w:p w:rsidR="00E254E2" w:rsidRPr="007C40B4" w:rsidRDefault="00E254E2" w:rsidP="00D2253E">
      <w:pPr>
        <w:pStyle w:val="Heading2"/>
      </w:pPr>
      <w:r w:rsidRPr="007C40B4">
        <w:t>4.</w:t>
      </w:r>
      <w:r w:rsidRPr="007C40B4">
        <w:tab/>
        <w:t>The Respondents and the Information Requested</w:t>
      </w:r>
    </w:p>
    <w:p w:rsidR="00E254E2" w:rsidRPr="007C40B4" w:rsidRDefault="00E254E2" w:rsidP="00D2253E">
      <w:pPr>
        <w:pStyle w:val="Heading5"/>
      </w:pPr>
      <w:r w:rsidRPr="007C40B4">
        <w:t>(a)</w:t>
      </w:r>
      <w:r w:rsidRPr="007C40B4">
        <w:tab/>
        <w:t>Respondents/NAICS Codes.</w:t>
      </w:r>
    </w:p>
    <w:p w:rsidR="00E254E2" w:rsidRPr="007C40B4" w:rsidRDefault="00E254E2" w:rsidP="00D2253E">
      <w:pPr>
        <w:pStyle w:val="BodyText"/>
      </w:pPr>
      <w:r w:rsidRPr="007C40B4">
        <w:t xml:space="preserve">Potential respondents under </w:t>
      </w:r>
      <w:r>
        <w:t>s</w:t>
      </w:r>
      <w:r w:rsidRPr="007C40B4">
        <w:t xml:space="preserve">ubpart </w:t>
      </w:r>
      <w:r>
        <w:t>X</w:t>
      </w:r>
      <w:r w:rsidRPr="007C40B4">
        <w:t xml:space="preserve"> are owners or operators of any existing or new facility engaged in </w:t>
      </w:r>
      <w:r>
        <w:t>secondary lead smelting</w:t>
      </w:r>
      <w:r w:rsidRPr="007C40B4">
        <w:t xml:space="preserve">.  </w:t>
      </w:r>
      <w:r>
        <w:t xml:space="preserve">Secondary lead smelting </w:t>
      </w:r>
      <w:r w:rsidRPr="007C40B4">
        <w:t>facilities are primarily classified under NAICS code</w:t>
      </w:r>
      <w:r>
        <w:t>s</w:t>
      </w:r>
      <w:r w:rsidRPr="007C40B4">
        <w:t xml:space="preserve"> </w:t>
      </w:r>
      <w:r>
        <w:t>331492</w:t>
      </w:r>
      <w:r w:rsidRPr="00005F0D">
        <w:t xml:space="preserve">, </w:t>
      </w:r>
      <w:r>
        <w:t>Secondary Lead Smelting and Refining.</w:t>
      </w:r>
      <w:r w:rsidRPr="007C40B4">
        <w:t xml:space="preserve">  </w:t>
      </w:r>
    </w:p>
    <w:p w:rsidR="00E254E2" w:rsidRPr="007C40B4" w:rsidRDefault="00E254E2" w:rsidP="00D2253E">
      <w:pPr>
        <w:pStyle w:val="BodyText"/>
      </w:pPr>
      <w:r w:rsidRPr="007C40B4">
        <w:rPr>
          <w:rFonts w:cs="Courier New"/>
        </w:rPr>
        <w:t xml:space="preserve">There </w:t>
      </w:r>
      <w:r>
        <w:rPr>
          <w:rFonts w:cs="Courier New"/>
        </w:rPr>
        <w:t>are 16 facilities</w:t>
      </w:r>
      <w:r w:rsidRPr="007C40B4">
        <w:rPr>
          <w:rFonts w:cs="Courier New"/>
        </w:rPr>
        <w:t xml:space="preserve"> that </w:t>
      </w:r>
      <w:r>
        <w:rPr>
          <w:rFonts w:cs="Courier New"/>
        </w:rPr>
        <w:t>will be</w:t>
      </w:r>
      <w:r w:rsidRPr="007C40B4">
        <w:rPr>
          <w:rFonts w:cs="Courier New"/>
        </w:rPr>
        <w:t xml:space="preserve"> subject to the </w:t>
      </w:r>
      <w:r>
        <w:rPr>
          <w:rFonts w:cs="Courier New"/>
        </w:rPr>
        <w:t xml:space="preserve">final amendments to the </w:t>
      </w:r>
      <w:r w:rsidRPr="007C40B4">
        <w:rPr>
          <w:rFonts w:cs="Courier New"/>
        </w:rPr>
        <w:t>NESHAP</w:t>
      </w:r>
      <w:r>
        <w:rPr>
          <w:rFonts w:cs="Courier New"/>
        </w:rPr>
        <w:t xml:space="preserve">.  </w:t>
      </w:r>
      <w:r>
        <w:t xml:space="preserve">One </w:t>
      </w:r>
      <w:r w:rsidRPr="007C40B4">
        <w:t xml:space="preserve">new </w:t>
      </w:r>
      <w:r>
        <w:t xml:space="preserve">secondary lead smelting facility is under construction at this time.  No additional facilities </w:t>
      </w:r>
      <w:r w:rsidRPr="007C40B4">
        <w:t xml:space="preserve">are expected during the </w:t>
      </w:r>
      <w:r>
        <w:t>3</w:t>
      </w:r>
      <w:r w:rsidRPr="007C40B4">
        <w:t>­year period of this ICR.</w:t>
      </w:r>
    </w:p>
    <w:p w:rsidR="00E254E2" w:rsidRPr="007C40B4" w:rsidRDefault="00E254E2" w:rsidP="00D2253E">
      <w:pPr>
        <w:pStyle w:val="Heading5"/>
      </w:pPr>
      <w:r w:rsidRPr="007C40B4">
        <w:t>(b)</w:t>
      </w:r>
      <w:r w:rsidR="00D2253E">
        <w:tab/>
      </w:r>
      <w:r w:rsidRPr="007C40B4">
        <w:t>Information Requested.</w:t>
      </w:r>
    </w:p>
    <w:p w:rsidR="00E254E2" w:rsidRPr="00006150" w:rsidRDefault="00E254E2" w:rsidP="00A21FCE">
      <w:pPr>
        <w:pStyle w:val="BodyText"/>
        <w:rPr>
          <w:color w:val="000000"/>
        </w:rPr>
      </w:pPr>
      <w:r w:rsidRPr="00006150">
        <w:rPr>
          <w:i/>
          <w:iCs/>
        </w:rPr>
        <w:t>(i</w:t>
      </w:r>
      <w:r w:rsidRPr="00D2253E">
        <w:rPr>
          <w:rStyle w:val="heading6ICR"/>
        </w:rPr>
        <w:t>)  Data Items, Including Recordkeeping Requirements.</w:t>
      </w:r>
      <w:r w:rsidRPr="00006150">
        <w:rPr>
          <w:i/>
        </w:rPr>
        <w:t xml:space="preserve">  </w:t>
      </w:r>
      <w:r w:rsidRPr="00006150">
        <w:t xml:space="preserve">Attachment </w:t>
      </w:r>
      <w:r>
        <w:t>2</w:t>
      </w:r>
      <w:r w:rsidRPr="00006150">
        <w:t xml:space="preserve">, Information Requirements, summarizes the data items, including recordkeeping and reporting requirements, for the Secondary Lead Smelting source category.  </w:t>
      </w:r>
      <w:r w:rsidRPr="00006150">
        <w:rPr>
          <w:color w:val="000000"/>
        </w:rPr>
        <w:t>The amendments to the NESHAP require that any performance tests performed after December 31, 2011 be submitted electronically to EPA’s Central Data Exchange by using the Electronic Reporting Tool (ERT) for test methods that are compatible with ERT.  This new requirement to submit the data to the ERT is in addition to the other existing submission requirements for this data.</w:t>
      </w:r>
    </w:p>
    <w:p w:rsidR="00E254E2" w:rsidRDefault="00E254E2" w:rsidP="00D2253E">
      <w:pPr>
        <w:pStyle w:val="BodyText"/>
      </w:pPr>
      <w:r w:rsidRPr="00A21FCE">
        <w:rPr>
          <w:rStyle w:val="heading6ICR"/>
        </w:rPr>
        <w:t>(ii)  Respondent Activities.</w:t>
      </w:r>
      <w:r w:rsidRPr="00C7625A">
        <w:t xml:space="preserve">  The respondent activities that will be required by the </w:t>
      </w:r>
      <w:r>
        <w:t>final</w:t>
      </w:r>
      <w:r w:rsidRPr="00C7625A">
        <w:t xml:space="preserve"> </w:t>
      </w:r>
      <w:r>
        <w:t>amendments to the Secondary Lead Smelting NESHAP</w:t>
      </w:r>
      <w:r w:rsidRPr="00C7625A">
        <w:t xml:space="preserve"> are identified in </w:t>
      </w:r>
      <w:r w:rsidRPr="000F6D41">
        <w:t xml:space="preserve">Tables </w:t>
      </w:r>
      <w:r>
        <w:t>1-3 of Attachment 1</w:t>
      </w:r>
      <w:r w:rsidRPr="00C7625A">
        <w:t xml:space="preserve"> and are introduced in section 6(a).</w:t>
      </w:r>
    </w:p>
    <w:p w:rsidR="00E254E2" w:rsidRPr="00006150" w:rsidRDefault="00E254E2" w:rsidP="00A21FCE">
      <w:pPr>
        <w:pStyle w:val="BodyText"/>
      </w:pPr>
      <w:r w:rsidRPr="00006150">
        <w:t xml:space="preserve">EPA is including an estimate of the burden associated with performing an affirmative defense.  EPA is providing this as an illustrative example of the potential additional </w:t>
      </w:r>
      <w:r w:rsidRPr="00006150">
        <w:lastRenderedPageBreak/>
        <w:t xml:space="preserve">administrative burden a source may incur to assert in an </w:t>
      </w:r>
      <w:r>
        <w:t>a</w:t>
      </w:r>
      <w:r w:rsidRPr="00006150">
        <w:t xml:space="preserve">ffirmative </w:t>
      </w:r>
      <w:r>
        <w:t>d</w:t>
      </w:r>
      <w:r w:rsidRPr="00006150">
        <w:t xml:space="preserve">efense in response to an action to enforce the standards set forth in the applicable subpart.  </w:t>
      </w:r>
    </w:p>
    <w:p w:rsidR="00E254E2" w:rsidRPr="00006150" w:rsidRDefault="00E254E2" w:rsidP="00A21FCE">
      <w:pPr>
        <w:pStyle w:val="BodyText"/>
      </w:pPr>
      <w:r w:rsidRPr="00006150">
        <w:t xml:space="preserve">This illustrative estimate is not considered a duplicate estimate of cost under the General Duty to Minimize Emissions clause under 63.6(e)(1)(i), which states:  “At all times, the owner and operator must operate and maintain any affected source, including associated air pollution control equipment and monitoring equipment, in a manner consistent with safety and good air pollution control practices for minimizing emissions.  Determining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p>
    <w:p w:rsidR="00E254E2" w:rsidRPr="00006150" w:rsidRDefault="00E254E2" w:rsidP="00A21FCE">
      <w:pPr>
        <w:pStyle w:val="BodyText"/>
      </w:pPr>
      <w:r w:rsidRPr="00006150">
        <w:t xml:space="preserve">To provide the public with an estimate of the relative magnitude of the burden associated with an assertion of the affirmative defense position adopted by a source, EPA provides an administrative adjustment to this ICR that estimates the costs of the notification, recordkeeping and reporting requirements associated with the assertion of the affirmative defense.  EPA’s estimate for the required notification, reports and records, including the root cause analysis, associated with a single incident totals approximately $3,141 and is based on the time and effort required of a source to review relevant data, interview plant employees, and document the events surrounding a malfunction that has caused an exceedance of an emission limit.  The estimate also includes time to produce and retain the records and reports for submission to EPA.  EPA provides this illustrative estimate of this burden because these costs are only incurred if there has been a violation and a source chooses to take advantage of the affirmative defense.  </w:t>
      </w:r>
    </w:p>
    <w:p w:rsidR="00E254E2" w:rsidRPr="00006150" w:rsidRDefault="00E254E2" w:rsidP="00A21FCE">
      <w:pPr>
        <w:pStyle w:val="BodyText"/>
      </w:pPr>
      <w:r w:rsidRPr="00006150">
        <w:t xml:space="preserve">Of the number of excess emission events reported by source operators, only a small number would be expected to result from a malfunction, and only a subset of excess emissions caused by malfunctions would result in the source choosing to assert the affirmative defense.  Thus we believe the number of instances in which source operators might be expected to avail themselves of the affirmative defense will be extremely small.  For this reason, we estimate no more than 2 or 3 such occurrences for all sources within a given category over the 3-year period covered by this ICR.  For the purpose of this estimate, we are adding two instances of affirmative defense.  We expect to gather information on such events in the future and will revise this estimate as better information becomes available.  </w:t>
      </w:r>
    </w:p>
    <w:p w:rsidR="00E254E2" w:rsidRPr="00C7625A" w:rsidRDefault="00E254E2" w:rsidP="00A21FCE">
      <w:pPr>
        <w:pStyle w:val="Heading2"/>
      </w:pPr>
      <w:r w:rsidRPr="00C7625A">
        <w:t>5.</w:t>
      </w:r>
      <w:r w:rsidRPr="00C7625A">
        <w:tab/>
        <w:t>The Information Collected–Agency Activities, Collection Methodology, and Information Management</w:t>
      </w:r>
    </w:p>
    <w:p w:rsidR="00E254E2" w:rsidRPr="00C7625A" w:rsidRDefault="00E254E2" w:rsidP="00A21FCE">
      <w:pPr>
        <w:pStyle w:val="Heading5"/>
      </w:pPr>
      <w:r w:rsidRPr="00C7625A">
        <w:t>(a)</w:t>
      </w:r>
      <w:r w:rsidRPr="00C7625A">
        <w:tab/>
        <w:t>Agency Activities.</w:t>
      </w:r>
    </w:p>
    <w:p w:rsidR="00E254E2" w:rsidRPr="00C7625A" w:rsidRDefault="00E254E2" w:rsidP="00A21FCE">
      <w:pPr>
        <w:pStyle w:val="BodyText"/>
      </w:pPr>
      <w:r w:rsidRPr="00C7625A">
        <w:lastRenderedPageBreak/>
        <w:t xml:space="preserve">The Agency activities associated with the </w:t>
      </w:r>
      <w:r>
        <w:t>final</w:t>
      </w:r>
      <w:r w:rsidRPr="00C7625A">
        <w:t xml:space="preserve"> </w:t>
      </w:r>
      <w:r>
        <w:t>amendments to the Secondary Lead Smelting NESHAP</w:t>
      </w:r>
      <w:r w:rsidRPr="00C7625A">
        <w:t xml:space="preserve"> are provided in </w:t>
      </w:r>
      <w:r w:rsidRPr="000F6D41">
        <w:t>Tables 5-7 of Attachment 1 and</w:t>
      </w:r>
      <w:r w:rsidRPr="00C7625A">
        <w:t xml:space="preserve"> are introduced in section 6(c).</w:t>
      </w:r>
    </w:p>
    <w:p w:rsidR="00E254E2" w:rsidRPr="00C7625A" w:rsidRDefault="00E254E2" w:rsidP="00A21FCE">
      <w:pPr>
        <w:pStyle w:val="Heading5"/>
      </w:pPr>
      <w:r w:rsidRPr="00C7625A">
        <w:t>(b)</w:t>
      </w:r>
      <w:r w:rsidRPr="00C7625A">
        <w:tab/>
        <w:t>Collection Methodology and Management.</w:t>
      </w:r>
    </w:p>
    <w:p w:rsidR="00E254E2" w:rsidRPr="00C7625A" w:rsidRDefault="00E254E2" w:rsidP="00A21FCE">
      <w:pPr>
        <w:pStyle w:val="BodyText"/>
      </w:pPr>
      <w:r w:rsidRPr="00C7625A">
        <w:t xml:space="preserve">Data and records maintained by the respondents are tabulated and published for use in compliance and enforcement programs of the delegated permitting authority.  EPA is the permitting authority until the State agency is delegated authority to implement the final </w:t>
      </w:r>
      <w:r>
        <w:t xml:space="preserve">amendments to the </w:t>
      </w:r>
      <w:r w:rsidRPr="00C7625A">
        <w:t xml:space="preserve">rule.  Therefore, information contained in </w:t>
      </w:r>
      <w:r>
        <w:t xml:space="preserve">any </w:t>
      </w:r>
      <w:r w:rsidRPr="00C7625A">
        <w:t>report submitted to the Regional Administrator will be entered into the Air Facility System (AFS), which is operated and maintained by EPA’s Office of Compliance.  AFS is EPA’s database for the collection, maintenance, and retrieval of compliance data for approximately 125,000 industrial and government-owned facilities.  EPA uses the AFS for tracking air pollution compliance and enforcement by local and state regulatory agencies, EPA regional offices and EPA headquarters.  EPA and its delegated authorities can edit, store, retrieve and analyze the data.</w:t>
      </w:r>
    </w:p>
    <w:p w:rsidR="00E254E2" w:rsidRPr="00C7625A" w:rsidRDefault="00E254E2" w:rsidP="00A21FCE">
      <w:pPr>
        <w:pStyle w:val="Heading5"/>
      </w:pPr>
      <w:r w:rsidRPr="00C7625A">
        <w:t>(c)</w:t>
      </w:r>
      <w:r w:rsidRPr="00C7625A">
        <w:tab/>
        <w:t>Small Entity Flexibility.</w:t>
      </w:r>
    </w:p>
    <w:p w:rsidR="00E254E2" w:rsidRPr="00C7625A" w:rsidRDefault="00E254E2" w:rsidP="00A21FCE">
      <w:pPr>
        <w:pStyle w:val="BodyText"/>
      </w:pPr>
      <w:r w:rsidRPr="00C7625A">
        <w:t xml:space="preserve">The Small Business Administration defines a small entity </w:t>
      </w:r>
      <w:r>
        <w:t xml:space="preserve">engaging in secondary lead smelting operations </w:t>
      </w:r>
      <w:r w:rsidRPr="00C7625A">
        <w:t xml:space="preserve">as a firm having no more than </w:t>
      </w:r>
      <w:r>
        <w:t>7</w:t>
      </w:r>
      <w:r w:rsidRPr="00C7625A">
        <w:t xml:space="preserve">00 employees.  </w:t>
      </w:r>
      <w:r>
        <w:t>13 of t</w:t>
      </w:r>
      <w:r w:rsidRPr="00C7625A">
        <w:t xml:space="preserve">he </w:t>
      </w:r>
      <w:r>
        <w:t>16 facilities subject to the final</w:t>
      </w:r>
      <w:r w:rsidRPr="00C7625A">
        <w:t xml:space="preserve"> amendments </w:t>
      </w:r>
      <w:r>
        <w:t xml:space="preserve">for the Secondary Lead Smelting source category do not meet the definition of a small entity.  Three facilities are owned by small entities.  Gopher Resources owns two facilities, and The Battery Recycling Company owns one facility.  Based on the definition, however, we estimate that the economic impacts to these entities will not be significant.  One Gopher Resources facility is already relatively well controlled and therefore will not need to spend a significant amount of capital on new control devices. The second Gopher Resources facility is currently undergoing an expansion that includes upgrades to their control devices and total enclosures and will therefore also not need to spend a significant amount of capital on new control devices.  The third facility owned by The Battery Recycling Company will require some facility upgrades. However, the estimated construction and operating costs for these upgrades have not been determined to be significant based on guidelines developed for the analysis.  Therefore, we have determined that these amendments will not impose a significant impact on a substantial number of small entities.   </w:t>
      </w:r>
      <w:r w:rsidRPr="00C7625A">
        <w:t xml:space="preserve"> </w:t>
      </w:r>
    </w:p>
    <w:p w:rsidR="00E254E2" w:rsidRPr="00C7625A" w:rsidRDefault="00E254E2" w:rsidP="00A21FCE">
      <w:pPr>
        <w:pStyle w:val="Heading5"/>
      </w:pPr>
      <w:r w:rsidRPr="00C7625A">
        <w:t>(d)</w:t>
      </w:r>
      <w:r w:rsidRPr="00C7625A">
        <w:tab/>
        <w:t>Collection Schedule.</w:t>
      </w:r>
    </w:p>
    <w:p w:rsidR="00E254E2" w:rsidRPr="00C7625A" w:rsidRDefault="00E254E2" w:rsidP="00A21FCE">
      <w:pPr>
        <w:pStyle w:val="BodyText"/>
      </w:pPr>
      <w:r w:rsidRPr="00C7625A">
        <w:t xml:space="preserve">The specific frequency for each information collection activity within this request is shown in </w:t>
      </w:r>
      <w:r w:rsidRPr="000F6D41">
        <w:t>Table</w:t>
      </w:r>
      <w:r>
        <w:t>s</w:t>
      </w:r>
      <w:r w:rsidRPr="000F6D41">
        <w:t xml:space="preserve"> </w:t>
      </w:r>
      <w:r>
        <w:t>1-3 of Attachment 1</w:t>
      </w:r>
      <w:r w:rsidRPr="00C7625A">
        <w:t xml:space="preserve"> for the </w:t>
      </w:r>
      <w:r>
        <w:t>Secondary Lead Smelting</w:t>
      </w:r>
      <w:r w:rsidRPr="00C7625A">
        <w:t xml:space="preserve"> </w:t>
      </w:r>
      <w:r>
        <w:t>c</w:t>
      </w:r>
      <w:r w:rsidRPr="00C7625A">
        <w:t>ategory.</w:t>
      </w:r>
    </w:p>
    <w:p w:rsidR="00E254E2" w:rsidRPr="00BD4412" w:rsidRDefault="00E254E2" w:rsidP="00A21FCE">
      <w:pPr>
        <w:pStyle w:val="Heading2"/>
      </w:pPr>
      <w:r w:rsidRPr="00BD4412">
        <w:lastRenderedPageBreak/>
        <w:t>6.</w:t>
      </w:r>
      <w:r w:rsidRPr="00BD4412">
        <w:tab/>
        <w:t>Estimating the Burden and Cost of the Collection</w:t>
      </w:r>
    </w:p>
    <w:p w:rsidR="00E254E2" w:rsidRPr="00BD4412" w:rsidRDefault="00E254E2" w:rsidP="00E254E2">
      <w:pPr>
        <w:keepNext/>
        <w:tabs>
          <w:tab w:val="left" w:pos="720"/>
        </w:tabs>
        <w:spacing w:line="360" w:lineRule="auto"/>
        <w:ind w:left="720" w:hanging="720"/>
      </w:pPr>
      <w:r w:rsidRPr="00BD4412">
        <w:rPr>
          <w:i/>
          <w:iCs/>
        </w:rPr>
        <w:t>(a)</w:t>
      </w:r>
      <w:r w:rsidRPr="00BD4412">
        <w:rPr>
          <w:i/>
          <w:iCs/>
        </w:rPr>
        <w:tab/>
        <w:t>Estimating Respondent Burden.</w:t>
      </w:r>
    </w:p>
    <w:p w:rsidR="00E254E2" w:rsidRPr="00BD4412" w:rsidRDefault="00E254E2" w:rsidP="00A21FCE">
      <w:pPr>
        <w:pStyle w:val="BodyText"/>
      </w:pPr>
      <w:r w:rsidRPr="00BD4412">
        <w:t xml:space="preserve">The annual burden estimates for the </w:t>
      </w:r>
      <w:r>
        <w:t>final</w:t>
      </w:r>
      <w:r w:rsidRPr="00BD4412">
        <w:t xml:space="preserve"> </w:t>
      </w:r>
      <w:r>
        <w:t xml:space="preserve">amendments to the Secondary Lead Smelting </w:t>
      </w:r>
      <w:r w:rsidRPr="00BD4412">
        <w:t xml:space="preserve">NESHAP are shown in </w:t>
      </w:r>
      <w:r w:rsidRPr="000F6D41">
        <w:t>Table</w:t>
      </w:r>
      <w:r>
        <w:t>s</w:t>
      </w:r>
      <w:r w:rsidRPr="000F6D41">
        <w:t xml:space="preserve"> </w:t>
      </w:r>
      <w:r>
        <w:t>1-3 of Attachment 1</w:t>
      </w:r>
      <w:r w:rsidRPr="00BD4412">
        <w:t xml:space="preserve">.  These numbers were derived from estimates based on EPA’s experience with other standards.  </w:t>
      </w:r>
      <w:r>
        <w:t xml:space="preserve">Burden estimates for the one new source are included in the estimate. </w:t>
      </w:r>
    </w:p>
    <w:p w:rsidR="00E254E2" w:rsidRPr="00BD4412" w:rsidRDefault="00E254E2" w:rsidP="00A21FCE">
      <w:pPr>
        <w:pStyle w:val="Heading5"/>
      </w:pPr>
      <w:r w:rsidRPr="00BD4412">
        <w:t>(b)</w:t>
      </w:r>
      <w:r w:rsidRPr="00BD4412">
        <w:tab/>
        <w:t>Estimating Respondent Costs.</w:t>
      </w:r>
    </w:p>
    <w:p w:rsidR="00E254E2" w:rsidRPr="008E6889" w:rsidRDefault="00E254E2" w:rsidP="00A21FCE">
      <w:pPr>
        <w:pStyle w:val="BodyText"/>
      </w:pPr>
      <w:r w:rsidRPr="00A21FCE">
        <w:rPr>
          <w:rStyle w:val="heading6ICR"/>
        </w:rPr>
        <w:t>(i)</w:t>
      </w:r>
      <w:r w:rsidR="00A21FCE">
        <w:rPr>
          <w:rStyle w:val="heading6ICR"/>
        </w:rPr>
        <w:t xml:space="preserve">  </w:t>
      </w:r>
      <w:r w:rsidRPr="00A21FCE">
        <w:rPr>
          <w:rStyle w:val="heading6ICR"/>
        </w:rPr>
        <w:t xml:space="preserve">Estimating Labor Costs.  </w:t>
      </w:r>
      <w:r w:rsidRPr="008E6889">
        <w:t xml:space="preserve">Labor rates and associated costs are based on Bureau of Labor Statistics (BLS) data.  Technical, management, and clerical average hourly rates for private industry workers </w:t>
      </w:r>
      <w:r>
        <w:t xml:space="preserve">associated with Nonferrous Metal Production and Processing </w:t>
      </w:r>
      <w:r w:rsidRPr="008E6889">
        <w:t xml:space="preserve">were taken from the United </w:t>
      </w:r>
      <w:r w:rsidRPr="00F574C9">
        <w:t xml:space="preserve">States Department of Labor, Bureau of Labor Statistics, Occupational Employment </w:t>
      </w:r>
      <w:r>
        <w:t>Statistics</w:t>
      </w:r>
      <w:r w:rsidRPr="00F574C9">
        <w:t xml:space="preserve"> available at </w:t>
      </w:r>
      <w:r w:rsidRPr="001F0525">
        <w:t>http://bls.gov/oes/current/naics4_331400.htm#43-0000</w:t>
      </w:r>
      <w:r w:rsidRPr="00F574C9">
        <w:t>. Wages for technical labor are based on "</w:t>
      </w:r>
      <w:r>
        <w:t>Environmental Engineer</w:t>
      </w:r>
      <w:r w:rsidRPr="00F574C9">
        <w:t>," with a total compensation of $</w:t>
      </w:r>
      <w:r>
        <w:t>38.10</w:t>
      </w:r>
      <w:r w:rsidRPr="00F574C9">
        <w:t>/hour.  Wages for management labor are taken from "</w:t>
      </w:r>
      <w:r>
        <w:t>Engineering Managers</w:t>
      </w:r>
      <w:r w:rsidRPr="00F574C9">
        <w:t>," with a total compensation of $5</w:t>
      </w:r>
      <w:r>
        <w:t>0.65</w:t>
      </w:r>
      <w:r w:rsidRPr="00F574C9">
        <w:t>/hour.  Wages for clerical labor are based on "</w:t>
      </w:r>
      <w:r w:rsidRPr="001F0525">
        <w:t>Secretaries, Except Legal, Medical, and Executive</w:t>
      </w:r>
      <w:r w:rsidRPr="00F574C9">
        <w:t>," with a total compensation of $</w:t>
      </w:r>
      <w:r>
        <w:t>15.98</w:t>
      </w:r>
      <w:r w:rsidRPr="00F574C9">
        <w:t>/hour.  These</w:t>
      </w:r>
      <w:r w:rsidRPr="00476BC3">
        <w:t xml:space="preserve"> rates represent salaries plus fringe benefits and do not include the cost of overhead.  An overhead rate of 110 percent is used to account for these costs.  The fully-burdened hourly wage rates used to represent respondent labor costs are:  technical at $</w:t>
      </w:r>
      <w:r>
        <w:t>80.01</w:t>
      </w:r>
      <w:r w:rsidRPr="00476BC3">
        <w:t>/hour, management at $</w:t>
      </w:r>
      <w:r>
        <w:t>106.37</w:t>
      </w:r>
      <w:r w:rsidRPr="00476BC3">
        <w:t>/hour, and clerical at $</w:t>
      </w:r>
      <w:r>
        <w:t>33.56</w:t>
      </w:r>
      <w:r w:rsidRPr="00476BC3">
        <w:t>/hour.</w:t>
      </w:r>
    </w:p>
    <w:p w:rsidR="00E254E2" w:rsidRDefault="00E254E2" w:rsidP="00A21FCE">
      <w:pPr>
        <w:pStyle w:val="BodyText"/>
      </w:pPr>
      <w:r w:rsidRPr="00CF0317">
        <w:rPr>
          <w:i/>
          <w:iCs/>
        </w:rPr>
        <w:t>(ii)  Estimating Capital and Operations and Maintenance (O&amp;M) Costs</w:t>
      </w:r>
      <w:r w:rsidRPr="00CF0317">
        <w:t xml:space="preserve">.  </w:t>
      </w:r>
      <w:r>
        <w:t xml:space="preserve">The capital costs associated with the NESHAP including monitoring system initial costs; one-time costs when a facility becomes subject to the regulation.  The annual operation and maintenance costs are the ongoing costs to maintain the monitors and conducting stack testing.   </w:t>
      </w:r>
    </w:p>
    <w:p w:rsidR="00E254E2" w:rsidRPr="00006150" w:rsidRDefault="00E254E2" w:rsidP="00A21FCE">
      <w:pPr>
        <w:pStyle w:val="BodyText"/>
      </w:pPr>
      <w:r w:rsidRPr="00CF0317">
        <w:rPr>
          <w:i/>
        </w:rPr>
        <w:t xml:space="preserve">(iii)  </w:t>
      </w:r>
      <w:r>
        <w:rPr>
          <w:i/>
        </w:rPr>
        <w:t>Capital/Startup vs. Operation and Maintenance (O&amp;M) Costs.</w:t>
      </w:r>
      <w:r>
        <w:t xml:space="preserve">  The estimated capital and O&amp;M costs for the affected units for the first 3 years after promulgation are provided.  The total annualized capital and O&amp;M costs are $1.33 mi</w:t>
      </w:r>
      <w:r w:rsidR="00243B9F">
        <w:t>llion for an average of $440,280</w:t>
      </w:r>
      <w:r>
        <w:t xml:space="preserve"> per year. </w:t>
      </w:r>
      <w:r>
        <w:rPr>
          <w:i/>
        </w:rPr>
        <w:t xml:space="preserve">  </w:t>
      </w:r>
      <w:r w:rsidRPr="00006150">
        <w:t xml:space="preserve"> </w:t>
      </w:r>
    </w:p>
    <w:p w:rsidR="00E254E2" w:rsidRPr="00006150" w:rsidRDefault="00E254E2" w:rsidP="00E762F0">
      <w:pPr>
        <w:pStyle w:val="BodyText"/>
      </w:pPr>
      <w:r w:rsidRPr="00E762F0">
        <w:rPr>
          <w:rStyle w:val="heading6ICR"/>
        </w:rPr>
        <w:t xml:space="preserve">(iv)  Affirmative Defense, Root Cause Analysis, and Malfunction Costs. </w:t>
      </w:r>
      <w:r w:rsidR="00E762F0">
        <w:t xml:space="preserve"> </w:t>
      </w:r>
      <w:r w:rsidRPr="00006150">
        <w:t>EPA’s estimate for a</w:t>
      </w:r>
      <w:r>
        <w:t>n</w:t>
      </w:r>
      <w:r w:rsidRPr="00006150">
        <w:t xml:space="preserve"> affirmative defense and root cause analysis is based on general experience to calculate the time and effort required of a source to review relevant data, interview plant employees, and reconstruct the events prior to a malfunction in order to determine primary and contributing causes.  The level of effort also includes time to produce and retain the report in document form so that the source will have it available should EPA or state enforcement agencies ever request to review it.   </w:t>
      </w:r>
    </w:p>
    <w:p w:rsidR="00E254E2" w:rsidRPr="00006150" w:rsidRDefault="00E254E2" w:rsidP="00E762F0">
      <w:pPr>
        <w:pStyle w:val="Heading5"/>
      </w:pPr>
      <w:r w:rsidRPr="00006150">
        <w:lastRenderedPageBreak/>
        <w:t>(c)</w:t>
      </w:r>
      <w:r w:rsidRPr="00006150">
        <w:tab/>
        <w:t>Estimating Agency Burden and Cost.</w:t>
      </w:r>
    </w:p>
    <w:p w:rsidR="00E254E2" w:rsidRDefault="00E254E2" w:rsidP="00E762F0">
      <w:pPr>
        <w:pStyle w:val="BodyText"/>
      </w:pPr>
      <w:r>
        <w:t>The only costs to the Agency are those costs associated with analysis of the reported information.  EPA’s overall compliance and enforcement program includes activities such as the examination of records maintained by the respondents, periodic inspection of sources of emission, and the publication and distribution of collected information.</w:t>
      </w:r>
    </w:p>
    <w:p w:rsidR="00E254E2" w:rsidRPr="00CF0317" w:rsidRDefault="00E254E2" w:rsidP="00E762F0">
      <w:pPr>
        <w:pStyle w:val="BodyText"/>
      </w:pPr>
      <w:r>
        <w:t>The average annual Agency cost during the three years of th</w:t>
      </w:r>
      <w:r w:rsidR="00243B9F">
        <w:t>e ICR is estimated to be $51,822</w:t>
      </w:r>
      <w:r>
        <w:t>.</w:t>
      </w:r>
    </w:p>
    <w:p w:rsidR="00E254E2" w:rsidRPr="008F2DC2" w:rsidRDefault="00E254E2" w:rsidP="00E762F0">
      <w:pPr>
        <w:pStyle w:val="BodyText"/>
      </w:pPr>
      <w:r w:rsidRPr="008F2DC2">
        <w:t xml:space="preserve">The Agency labor rates are from the Office of Personnel Management (OPM) 2010 General Schedule, which excludes locality rates of pay.  These rates can be obtained from Salary Table 2010-GS available on the OPM website, </w:t>
      </w:r>
      <w:hyperlink r:id="rId7" w:history="1">
        <w:r w:rsidRPr="008F2DC2">
          <w:rPr>
            <w:rStyle w:val="Hyperlink"/>
          </w:rPr>
          <w:t>http://www.opm.gov/oca/10tables/pdf/gs_h.pdf</w:t>
        </w:r>
      </w:hyperlink>
      <w:r w:rsidRPr="008F2DC2">
        <w:t xml:space="preserve">. </w:t>
      </w:r>
    </w:p>
    <w:p w:rsidR="00E254E2" w:rsidRPr="008F2DC2" w:rsidRDefault="00E254E2" w:rsidP="00E254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pPr>
      <w:r>
        <w:tab/>
      </w:r>
      <w:r w:rsidRPr="008F2DC2">
        <w:t xml:space="preserve">Managerial  </w:t>
      </w:r>
      <w:r w:rsidRPr="008F2DC2">
        <w:tab/>
        <w:t>$62.27 (GS-13, Step 5, $38.92+ 60%)</w:t>
      </w:r>
    </w:p>
    <w:p w:rsidR="00E254E2" w:rsidRPr="008F2DC2" w:rsidRDefault="00E254E2" w:rsidP="00E254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pPr>
      <w:r>
        <w:tab/>
      </w:r>
      <w:r w:rsidRPr="008F2DC2">
        <w:t xml:space="preserve">Technical      </w:t>
      </w:r>
      <w:r w:rsidRPr="008F2DC2">
        <w:tab/>
        <w:t>$46.21 (GS-12, Step 1, $28.88+ 60%)</w:t>
      </w:r>
    </w:p>
    <w:p w:rsidR="00E254E2" w:rsidRPr="008F2DC2" w:rsidRDefault="00E254E2" w:rsidP="00E254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pPr>
      <w:r>
        <w:tab/>
      </w:r>
      <w:r w:rsidRPr="008F2DC2">
        <w:t>Clerical</w:t>
      </w:r>
      <w:r w:rsidRPr="008F2DC2">
        <w:tab/>
        <w:t>$25.01 (GS-6, Step 3, $15.63 + 60%)</w:t>
      </w:r>
    </w:p>
    <w:p w:rsidR="00E254E2" w:rsidRDefault="00E254E2" w:rsidP="00E762F0">
      <w:pPr>
        <w:pStyle w:val="BodyText"/>
      </w:pPr>
      <w:r w:rsidRPr="00451AED">
        <w:t xml:space="preserve">These rates were increased by 60 percent to include fringe benefits and overhead.  </w:t>
      </w:r>
    </w:p>
    <w:p w:rsidR="00E254E2" w:rsidRPr="005726F8" w:rsidRDefault="00E254E2" w:rsidP="00E762F0">
      <w:pPr>
        <w:pStyle w:val="Heading5"/>
      </w:pPr>
      <w:r w:rsidRPr="005726F8">
        <w:t>(d)</w:t>
      </w:r>
      <w:r w:rsidRPr="005726F8">
        <w:tab/>
        <w:t>Estimating the Respondent Universe and Total Burden and Costs.</w:t>
      </w:r>
    </w:p>
    <w:p w:rsidR="00E254E2" w:rsidRPr="00E07D06" w:rsidRDefault="00E254E2" w:rsidP="00E762F0">
      <w:pPr>
        <w:pStyle w:val="BodyText"/>
      </w:pPr>
      <w:r w:rsidRPr="005726F8">
        <w:t xml:space="preserve">There </w:t>
      </w:r>
      <w:r>
        <w:t xml:space="preserve">are 16 </w:t>
      </w:r>
      <w:r w:rsidRPr="00476BC3">
        <w:t>facilit</w:t>
      </w:r>
      <w:r>
        <w:t xml:space="preserve">ies </w:t>
      </w:r>
      <w:r w:rsidRPr="00476BC3">
        <w:t xml:space="preserve">that </w:t>
      </w:r>
      <w:r>
        <w:t>are</w:t>
      </w:r>
      <w:r w:rsidRPr="00476BC3">
        <w:t xml:space="preserve"> subject to the</w:t>
      </w:r>
      <w:r>
        <w:t xml:space="preserve"> revised Secondary Lead Smelting NESHAP</w:t>
      </w:r>
      <w:r w:rsidRPr="00476BC3">
        <w:t xml:space="preserve">.  </w:t>
      </w:r>
      <w:r>
        <w:t xml:space="preserve">One </w:t>
      </w:r>
      <w:r w:rsidRPr="00476BC3">
        <w:t xml:space="preserve">new source </w:t>
      </w:r>
      <w:r>
        <w:t>is</w:t>
      </w:r>
      <w:r w:rsidRPr="00476BC3">
        <w:t xml:space="preserve"> expected </w:t>
      </w:r>
      <w:r>
        <w:t>to begin operation in the first year of the 3-year</w:t>
      </w:r>
      <w:r w:rsidRPr="00476BC3">
        <w:t xml:space="preserve"> </w:t>
      </w:r>
      <w:r>
        <w:t>compliance period</w:t>
      </w:r>
      <w:r w:rsidRPr="00476BC3">
        <w:t>.</w:t>
      </w:r>
      <w:r>
        <w:t xml:space="preserve"> Over the 3-year period, it is estimated that these 16 facilities will have 114 responses for an average of </w:t>
      </w:r>
      <w:r w:rsidRPr="00E07D06">
        <w:t xml:space="preserve">38 per year. </w:t>
      </w:r>
    </w:p>
    <w:p w:rsidR="00E254E2" w:rsidRPr="00E07D06" w:rsidRDefault="00E254E2" w:rsidP="00E762F0">
      <w:pPr>
        <w:pStyle w:val="Heading5"/>
      </w:pPr>
      <w:r w:rsidRPr="00E07D06">
        <w:t>(e)</w:t>
      </w:r>
      <w:r w:rsidRPr="00E07D06">
        <w:tab/>
        <w:t>Bottom Line Burden Hours and Cost Tables.</w:t>
      </w:r>
    </w:p>
    <w:p w:rsidR="00E254E2" w:rsidRPr="00E07D06" w:rsidRDefault="00E254E2" w:rsidP="00E762F0">
      <w:pPr>
        <w:pStyle w:val="BodyText"/>
      </w:pPr>
      <w:r w:rsidRPr="00E07D06">
        <w:rPr>
          <w:i/>
          <w:iCs/>
        </w:rPr>
        <w:t>(i)  Respondent tally.</w:t>
      </w:r>
      <w:r w:rsidRPr="00E07D06">
        <w:t xml:space="preserve">  The bottom line respondent burden hours and costs presented in Tables 1-3 of Attachment 1 are calculated by adding person-hours per year down each column for technical, managerial, and clerical staff, and by adding down the cost column.  The average annual burden for the recordkeeping and reporting requirements in the </w:t>
      </w:r>
      <w:r>
        <w:t>final</w:t>
      </w:r>
      <w:r w:rsidRPr="00E07D06">
        <w:t xml:space="preserve"> amendments to subpart X for the 16 facilities that are subject to the Second</w:t>
      </w:r>
      <w:r w:rsidR="00243B9F">
        <w:t>ary Lead Smelting NESHAP is $788,873</w:t>
      </w:r>
      <w:r w:rsidRPr="00E07D06">
        <w:t xml:space="preserve">.  This includes </w:t>
      </w:r>
      <w:r w:rsidR="00243B9F">
        <w:t>4,503</w:t>
      </w:r>
      <w:r w:rsidRPr="00E07D06">
        <w:t xml:space="preserve"> annual labor hours.  </w:t>
      </w:r>
    </w:p>
    <w:p w:rsidR="00E254E2" w:rsidRPr="00E07D06" w:rsidRDefault="00E254E2" w:rsidP="00E762F0">
      <w:pPr>
        <w:pStyle w:val="BodyText"/>
      </w:pPr>
      <w:r w:rsidRPr="00E07D06">
        <w:rPr>
          <w:i/>
          <w:iCs/>
        </w:rPr>
        <w:t>(ii)  The Agency tally.</w:t>
      </w:r>
      <w:r w:rsidRPr="00E07D06">
        <w:t xml:space="preserve">  The average annual Fe</w:t>
      </w:r>
      <w:r w:rsidR="00243B9F">
        <w:t>deral Government cost is $51,822</w:t>
      </w:r>
      <w:r w:rsidRPr="00E07D06">
        <w:t xml:space="preserve"> for 1,150 hours for the </w:t>
      </w:r>
      <w:r>
        <w:t>final</w:t>
      </w:r>
      <w:r w:rsidRPr="00E07D06">
        <w:t xml:space="preserve"> amendments to subpart X.  The bottom line Agency burden hours and costs presented in Tables 5-7 of Attachment 1 are calculated by adding person-hours per year down each column for technical, managerial, and clerical staff, and by adding down the cost column. </w:t>
      </w:r>
    </w:p>
    <w:p w:rsidR="00E254E2" w:rsidRPr="00E07D06" w:rsidRDefault="00E254E2" w:rsidP="00E762F0">
      <w:pPr>
        <w:pStyle w:val="BodyText"/>
        <w:rPr>
          <w:i/>
        </w:rPr>
      </w:pPr>
      <w:r w:rsidRPr="00E07D06">
        <w:rPr>
          <w:i/>
        </w:rPr>
        <w:t>(iii)  Variations in the annual bottom line.</w:t>
      </w:r>
      <w:r w:rsidR="00E762F0">
        <w:rPr>
          <w:i/>
        </w:rPr>
        <w:t xml:space="preserve"> </w:t>
      </w:r>
      <w:r w:rsidRPr="00E07D06">
        <w:t>The total respondent costs for years 1, 2, and 3 are $1.17 million, 0.75 million, and $0.45 million</w:t>
      </w:r>
      <w:r>
        <w:t>, respectively</w:t>
      </w:r>
      <w:r w:rsidRPr="00E07D06">
        <w:t xml:space="preserve">.  The corresponding total respondent hours </w:t>
      </w:r>
      <w:r>
        <w:t>for years 1, 2, and 3</w:t>
      </w:r>
      <w:r w:rsidRPr="00E07D06">
        <w:t xml:space="preserve"> </w:t>
      </w:r>
      <w:r>
        <w:t>are</w:t>
      </w:r>
      <w:r w:rsidRPr="00E07D06">
        <w:t xml:space="preserve"> </w:t>
      </w:r>
      <w:r w:rsidR="00D45DAB">
        <w:t>5,633;</w:t>
      </w:r>
      <w:r w:rsidRPr="00E07D06">
        <w:t xml:space="preserve"> </w:t>
      </w:r>
      <w:r w:rsidR="00D45DAB">
        <w:t>4,087;</w:t>
      </w:r>
      <w:r w:rsidRPr="00E07D06">
        <w:t xml:space="preserve"> and </w:t>
      </w:r>
      <w:r w:rsidR="00D45DAB">
        <w:t>3,788</w:t>
      </w:r>
      <w:r>
        <w:t xml:space="preserve"> respectively</w:t>
      </w:r>
      <w:r w:rsidRPr="00E07D06">
        <w:t xml:space="preserve">.  </w:t>
      </w:r>
    </w:p>
    <w:p w:rsidR="00E254E2" w:rsidRPr="00243B9F" w:rsidRDefault="00E254E2" w:rsidP="00E762F0">
      <w:pPr>
        <w:pStyle w:val="Heading5"/>
        <w:rPr>
          <w:i w:val="0"/>
        </w:rPr>
      </w:pPr>
      <w:r w:rsidRPr="00E07D06">
        <w:lastRenderedPageBreak/>
        <w:t>(f)</w:t>
      </w:r>
      <w:r w:rsidRPr="00E07D06">
        <w:tab/>
        <w:t>Reasons for Change in Burden.</w:t>
      </w:r>
    </w:p>
    <w:p w:rsidR="00243B9F" w:rsidRPr="00243B9F" w:rsidRDefault="00243B9F" w:rsidP="00E762F0">
      <w:pPr>
        <w:pStyle w:val="Heading5"/>
        <w:rPr>
          <w:i w:val="0"/>
        </w:rPr>
      </w:pPr>
      <w:r w:rsidRPr="00243B9F">
        <w:rPr>
          <w:i w:val="0"/>
        </w:rPr>
        <w:tab/>
        <w:t xml:space="preserve">This ICR is prepared for a U.S. Environmental Protection Agency (EPA) rulemaking developed under authority of section 112 of the Clean Air Act (CAA).  The rulemaking amends Title 40, chapter I, part 63, subpart X, National Emission Standards for Hazardous Air Pollutants (NESHAP) for Secondary Lead Smelting, of the Code of Federal Regulations (CFR).  </w:t>
      </w:r>
    </w:p>
    <w:p w:rsidR="00E254E2" w:rsidRPr="00E07D06" w:rsidRDefault="00243B9F" w:rsidP="00E762F0">
      <w:pPr>
        <w:pStyle w:val="Heading5"/>
      </w:pPr>
      <w:r w:rsidRPr="00E07D06">
        <w:t xml:space="preserve"> </w:t>
      </w:r>
      <w:r w:rsidR="00E254E2" w:rsidRPr="00E07D06">
        <w:t>(g)</w:t>
      </w:r>
      <w:r w:rsidR="00E254E2" w:rsidRPr="00E07D06">
        <w:tab/>
        <w:t>Burden Statement</w:t>
      </w:r>
    </w:p>
    <w:p w:rsidR="00E254E2" w:rsidRPr="00F64D9D" w:rsidRDefault="00E254E2" w:rsidP="00E762F0">
      <w:pPr>
        <w:pStyle w:val="BodyText"/>
      </w:pPr>
      <w:r w:rsidRPr="00E07D06">
        <w:t xml:space="preserve">The average annual respondent burden for the </w:t>
      </w:r>
      <w:r>
        <w:t>final</w:t>
      </w:r>
      <w:r w:rsidRPr="00E07D06">
        <w:t xml:space="preserve"> amendments to the Secondary Lead Smelting NESHAP i</w:t>
      </w:r>
      <w:r w:rsidR="00243B9F">
        <w:t>s estimated at 119 hours per response</w:t>
      </w:r>
      <w:r w:rsidRPr="00E07D06">
        <w:t>.</w:t>
      </w:r>
    </w:p>
    <w:p w:rsidR="00E254E2" w:rsidRPr="00F64D9D" w:rsidRDefault="00E254E2" w:rsidP="00E762F0">
      <w:pPr>
        <w:pStyle w:val="BodyText"/>
      </w:pPr>
      <w:r w:rsidRPr="00F64D9D">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E254E2" w:rsidRPr="00F64D9D" w:rsidRDefault="00E254E2" w:rsidP="00E762F0">
      <w:pPr>
        <w:pStyle w:val="BodyText"/>
      </w:pPr>
      <w:r w:rsidRPr="00F64D9D">
        <w:t xml:space="preserve">An agency may not conduct or sponsor, and a person is not required to respond to a collection of information unless it displays a currently valid </w:t>
      </w:r>
      <w:r>
        <w:t>Office of Management and Budget (</w:t>
      </w:r>
      <w:r w:rsidRPr="00F64D9D">
        <w:t>OMB</w:t>
      </w:r>
      <w:r>
        <w:t>)</w:t>
      </w:r>
      <w:r w:rsidRPr="00F64D9D">
        <w:t xml:space="preserve"> control number.  The OMB control numbers for EPA’s regulations in 40 CFR part 63 are listed in 40 CFR part 9.</w:t>
      </w:r>
    </w:p>
    <w:p w:rsidR="00E254E2" w:rsidRPr="00F64D9D" w:rsidRDefault="00E254E2" w:rsidP="00E762F0">
      <w:pPr>
        <w:pStyle w:val="BodyText"/>
      </w:pPr>
      <w:r w:rsidRPr="00F64D9D">
        <w:t>To comment on the Agency’s need for this information</w:t>
      </w:r>
      <w:r>
        <w:t>,</w:t>
      </w:r>
      <w:r w:rsidRPr="00F64D9D">
        <w:t xml:space="preserve"> the accuracy of the provided burden estimates, and </w:t>
      </w:r>
      <w:r>
        <w:t xml:space="preserve">for </w:t>
      </w:r>
      <w:r w:rsidRPr="00F64D9D">
        <w:t xml:space="preserve">any suggestions for minimizing respondent burden, including through the use of automated collection techniques, EPA has established a public docket for this ICR under Docket ID No. </w:t>
      </w:r>
      <w:r w:rsidRPr="00B802C0">
        <w:t>EPA-HQ-OAR-</w:t>
      </w:r>
      <w:r>
        <w:t>2011-0344</w:t>
      </w:r>
      <w:r w:rsidRPr="009B61A6">
        <w:t>, which is available</w:t>
      </w:r>
      <w:r w:rsidRPr="00F64D9D">
        <w:t xml:space="preserve"> for online viewing at </w:t>
      </w:r>
      <w:hyperlink r:id="rId8" w:history="1">
        <w:r w:rsidRPr="00F64D9D">
          <w:rPr>
            <w:rStyle w:val="Hyperlink"/>
          </w:rPr>
          <w:t>http://www.regulations.gov</w:t>
        </w:r>
      </w:hyperlink>
      <w:r w:rsidRPr="00F64D9D">
        <w:t>, or in person viewing at the Air and Radiation Docket and Information Center in the EPA Docket Cente</w:t>
      </w:r>
      <w:r w:rsidR="00243B9F">
        <w:t>r (EPA/DC), EPA West, Room 3334</w:t>
      </w:r>
      <w:r w:rsidRPr="00F64D9D">
        <w:t xml:space="preserve">, 1301 Constitution Ave., NW, Washington, DC.  The EPA Docket Center Public Reading Room is open from </w:t>
      </w:r>
      <w:smartTag w:uri="urn:schemas-microsoft-com:office:smarttags" w:element="time">
        <w:smartTagPr>
          <w:attr w:name="Minute" w:val="30"/>
          <w:attr w:name="Hour" w:val="8"/>
        </w:smartTagPr>
        <w:r w:rsidRPr="00F64D9D">
          <w:t>8:30 a.m.</w:t>
        </w:r>
      </w:smartTag>
      <w:r w:rsidRPr="00F64D9D">
        <w:t xml:space="preserve"> to </w:t>
      </w:r>
      <w:smartTag w:uri="urn:schemas-microsoft-com:office:smarttags" w:element="time">
        <w:smartTagPr>
          <w:attr w:name="Minute" w:val="30"/>
          <w:attr w:name="Hour" w:val="16"/>
        </w:smartTagPr>
        <w:r w:rsidRPr="00F64D9D">
          <w:t>4:30 p.m.</w:t>
        </w:r>
      </w:smartTag>
      <w:r w:rsidRPr="00F64D9D">
        <w:t xml:space="preserve">, Monday through Friday, excluding legal holidays.  The telephone number for the Reading Room is (202) 566-1744, and the telephone number for </w:t>
      </w:r>
      <w:r w:rsidR="00243B9F">
        <w:t>the Air Docket is (202) 566-1742</w:t>
      </w:r>
      <w:r w:rsidRPr="00F64D9D">
        <w:t xml:space="preserve">.  An electronic version of the public docket is available at </w:t>
      </w:r>
      <w:hyperlink r:id="rId9" w:history="1">
        <w:r w:rsidRPr="00F64D9D">
          <w:rPr>
            <w:rStyle w:val="Hyperlink"/>
          </w:rPr>
          <w:t>http://www.regulations.gov.</w:t>
        </w:r>
      </w:hyperlink>
      <w:r w:rsidRPr="00F64D9D">
        <w:t xml:space="preserve">  </w:t>
      </w:r>
      <w:r w:rsidRPr="00F64D9D">
        <w:rPr>
          <w:color w:val="0F0F0F"/>
        </w:rPr>
        <w:t xml:space="preserve">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Pr="00F64D9D">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F64D9D">
            <w:t>725 17</w:t>
          </w:r>
          <w:r w:rsidRPr="00F64D9D">
            <w:rPr>
              <w:vertAlign w:val="superscript"/>
            </w:rPr>
            <w:t>th</w:t>
          </w:r>
          <w:r w:rsidRPr="00F64D9D">
            <w:t xml:space="preserve"> Street, NW</w:t>
          </w:r>
        </w:smartTag>
        <w:r w:rsidRPr="00F64D9D">
          <w:t xml:space="preserve">, </w:t>
        </w:r>
        <w:smartTag w:uri="urn:schemas-microsoft-com:office:smarttags" w:element="City">
          <w:r w:rsidRPr="00F64D9D">
            <w:t>Washington</w:t>
          </w:r>
        </w:smartTag>
        <w:r w:rsidRPr="00F64D9D">
          <w:t xml:space="preserve">, </w:t>
        </w:r>
        <w:smartTag w:uri="urn:schemas-microsoft-com:office:smarttags" w:element="State">
          <w:r w:rsidRPr="00F64D9D">
            <w:lastRenderedPageBreak/>
            <w:t>DC</w:t>
          </w:r>
        </w:smartTag>
        <w:r w:rsidRPr="00F64D9D">
          <w:t xml:space="preserve"> </w:t>
        </w:r>
        <w:smartTag w:uri="urn:schemas-microsoft-com:office:smarttags" w:element="PostalCode">
          <w:r w:rsidRPr="00F64D9D">
            <w:t>20503</w:t>
          </w:r>
        </w:smartTag>
      </w:smartTag>
      <w:r w:rsidRPr="00F64D9D">
        <w:t>, Attention Desk Officer for EPA.  Please include the relevant Docket ID Number (</w:t>
      </w:r>
      <w:r w:rsidRPr="002A37DB">
        <w:t>EPA-HQ-OAR</w:t>
      </w:r>
      <w:r>
        <w:t>-2011-0344</w:t>
      </w:r>
      <w:r w:rsidRPr="00F64D9D">
        <w:t>)</w:t>
      </w:r>
      <w:r w:rsidR="00243B9F">
        <w:t xml:space="preserve"> and OMB Control Number (2060-0296)</w:t>
      </w:r>
      <w:r w:rsidRPr="00F64D9D">
        <w:t xml:space="preserve"> in any correspondence.</w:t>
      </w:r>
    </w:p>
    <w:p w:rsidR="00E254E2" w:rsidRPr="00F64D9D" w:rsidRDefault="00E254E2">
      <w:pPr>
        <w:keepNext/>
        <w:keepLines/>
        <w:spacing w:line="360" w:lineRule="auto"/>
      </w:pPr>
      <w:r>
        <w:rPr>
          <w:b/>
          <w:bCs/>
        </w:rPr>
        <w:br w:type="page"/>
      </w:r>
      <w:r w:rsidRPr="00F64D9D">
        <w:rPr>
          <w:b/>
          <w:bCs/>
        </w:rPr>
        <w:lastRenderedPageBreak/>
        <w:t>PART B</w:t>
      </w:r>
    </w:p>
    <w:p w:rsidR="00E254E2" w:rsidRDefault="00E254E2">
      <w:pPr>
        <w:spacing w:line="360" w:lineRule="auto"/>
      </w:pPr>
      <w:r w:rsidRPr="00F64D9D">
        <w:tab/>
        <w:t xml:space="preserve">This section is not applicable because statistical methods are not used in data collection associated with the </w:t>
      </w:r>
      <w:r>
        <w:t>final</w:t>
      </w:r>
      <w:r w:rsidRPr="00F64D9D">
        <w:t xml:space="preserve"> rule.</w:t>
      </w:r>
    </w:p>
    <w:p w:rsidR="00E254E2" w:rsidRDefault="00E254E2">
      <w:pPr>
        <w:spacing w:line="360" w:lineRule="auto"/>
      </w:pPr>
    </w:p>
    <w:p w:rsidR="00E254E2" w:rsidRDefault="00E254E2">
      <w:pPr>
        <w:spacing w:line="360" w:lineRule="auto"/>
      </w:pPr>
    </w:p>
    <w:p w:rsidR="00E254E2" w:rsidRPr="00C549BC" w:rsidRDefault="00E254E2" w:rsidP="00E254E2">
      <w:pPr>
        <w:spacing w:line="360" w:lineRule="auto"/>
        <w:jc w:val="center"/>
        <w:rPr>
          <w:b/>
          <w:sz w:val="28"/>
          <w:szCs w:val="28"/>
        </w:rPr>
      </w:pPr>
      <w:r>
        <w:br w:type="page"/>
      </w:r>
      <w:r w:rsidRPr="00C549BC">
        <w:rPr>
          <w:b/>
          <w:sz w:val="28"/>
          <w:szCs w:val="28"/>
        </w:rPr>
        <w:lastRenderedPageBreak/>
        <w:t>ATTACHMENT 1</w:t>
      </w:r>
    </w:p>
    <w:p w:rsidR="00E254E2" w:rsidRPr="00C549BC" w:rsidRDefault="00E254E2" w:rsidP="00E254E2">
      <w:pPr>
        <w:spacing w:line="360" w:lineRule="auto"/>
        <w:jc w:val="center"/>
        <w:rPr>
          <w:b/>
          <w:sz w:val="28"/>
          <w:szCs w:val="28"/>
        </w:rPr>
      </w:pPr>
      <w:r w:rsidRPr="00C549BC">
        <w:rPr>
          <w:b/>
          <w:sz w:val="28"/>
          <w:szCs w:val="28"/>
        </w:rPr>
        <w:t>Burden Estimate Tables 1 – 8</w:t>
      </w:r>
    </w:p>
    <w:p w:rsidR="00E254E2" w:rsidRDefault="00E254E2" w:rsidP="00E254E2">
      <w:pPr>
        <w:spacing w:line="360" w:lineRule="auto"/>
        <w:jc w:val="center"/>
      </w:pPr>
    </w:p>
    <w:p w:rsidR="00E254E2" w:rsidRDefault="00E254E2" w:rsidP="00C549BC">
      <w:pPr>
        <w:pStyle w:val="BodyText"/>
        <w:ind w:left="1440" w:hanging="1440"/>
      </w:pPr>
      <w:r w:rsidRPr="003C5EBF">
        <w:t>Table</w:t>
      </w:r>
      <w:r>
        <w:t>s</w:t>
      </w:r>
      <w:r w:rsidRPr="003C5EBF">
        <w:t xml:space="preserve"> 1 </w:t>
      </w:r>
      <w:r>
        <w:t>– 3:</w:t>
      </w:r>
      <w:r>
        <w:tab/>
      </w:r>
      <w:r w:rsidRPr="003C5EBF">
        <w:t>Annual Respondent Burden and Cost of Recordkeeping and Reporting Requirements for the Secondary Lead Smelters NESHAP - Year</w:t>
      </w:r>
      <w:r>
        <w:t>s</w:t>
      </w:r>
      <w:r w:rsidRPr="003C5EBF">
        <w:t xml:space="preserve"> 1</w:t>
      </w:r>
      <w:r>
        <w:t xml:space="preserve"> – 3</w:t>
      </w:r>
    </w:p>
    <w:p w:rsidR="00E254E2" w:rsidRDefault="00E254E2" w:rsidP="00C549BC">
      <w:pPr>
        <w:pStyle w:val="BodyText"/>
        <w:ind w:left="1440" w:hanging="1440"/>
      </w:pPr>
      <w:r w:rsidRPr="003C5EBF">
        <w:t>Table</w:t>
      </w:r>
      <w:r>
        <w:t xml:space="preserve"> 4:</w:t>
      </w:r>
      <w:r>
        <w:tab/>
        <w:t xml:space="preserve">Summary of </w:t>
      </w:r>
      <w:r w:rsidRPr="003C5EBF">
        <w:t>Annual Respondent Burden and Cost of Recordkeeping and Reporting Requirements for the Second</w:t>
      </w:r>
      <w:r>
        <w:t>ary Lead Smelters NESHAP</w:t>
      </w:r>
    </w:p>
    <w:p w:rsidR="00E254E2" w:rsidRDefault="00E254E2" w:rsidP="00C549BC">
      <w:pPr>
        <w:pStyle w:val="BodyText"/>
        <w:ind w:left="1440" w:hanging="1440"/>
      </w:pPr>
      <w:r w:rsidRPr="003C5EBF">
        <w:t>Table</w:t>
      </w:r>
      <w:r>
        <w:t>s</w:t>
      </w:r>
      <w:r w:rsidRPr="003C5EBF">
        <w:t xml:space="preserve"> 5</w:t>
      </w:r>
      <w:r>
        <w:t xml:space="preserve"> – 7:</w:t>
      </w:r>
      <w:r>
        <w:tab/>
      </w:r>
      <w:r w:rsidRPr="003C5EBF">
        <w:t>Annual Designated Administrator Burden and Cost of Recordkeeping and Reporting Requirements for the Secondary Lead Smelters NESHAP - Year</w:t>
      </w:r>
      <w:r>
        <w:t>s</w:t>
      </w:r>
      <w:r w:rsidRPr="003C5EBF">
        <w:t xml:space="preserve"> 1</w:t>
      </w:r>
      <w:r>
        <w:t xml:space="preserve"> - 3</w:t>
      </w:r>
      <w:r w:rsidRPr="003C5EBF">
        <w:t xml:space="preserve">   </w:t>
      </w:r>
    </w:p>
    <w:p w:rsidR="00E254E2" w:rsidRDefault="00E254E2" w:rsidP="00C549BC">
      <w:pPr>
        <w:pStyle w:val="BodyText"/>
        <w:ind w:left="1440" w:hanging="1440"/>
      </w:pPr>
      <w:r w:rsidRPr="003C5EBF">
        <w:t>Table</w:t>
      </w:r>
      <w:r>
        <w:t xml:space="preserve"> 8:</w:t>
      </w:r>
      <w:r>
        <w:tab/>
        <w:t xml:space="preserve">Summary of </w:t>
      </w:r>
      <w:r w:rsidRPr="003C5EBF">
        <w:t>Annual Designated Administrator Burden and Cost of Recordkeeping and Reporting Requirements for the Second</w:t>
      </w:r>
      <w:r>
        <w:t>ary Lead Smelters NESHAP</w:t>
      </w:r>
    </w:p>
    <w:p w:rsidR="00E254E2" w:rsidRDefault="00E254E2" w:rsidP="00E254E2">
      <w:pPr>
        <w:spacing w:line="360" w:lineRule="auto"/>
        <w:ind w:left="1440" w:hanging="1440"/>
      </w:pPr>
    </w:p>
    <w:p w:rsidR="00E254E2" w:rsidRDefault="00E254E2" w:rsidP="00E254E2">
      <w:pPr>
        <w:spacing w:line="360" w:lineRule="auto"/>
        <w:ind w:left="1440" w:hanging="1440"/>
        <w:sectPr w:rsidR="00E254E2" w:rsidSect="00813518">
          <w:footerReference w:type="default" r:id="rId10"/>
          <w:footerReference w:type="first" r:id="rId11"/>
          <w:type w:val="continuous"/>
          <w:pgSz w:w="12240" w:h="15840"/>
          <w:pgMar w:top="1440" w:right="1440" w:bottom="1440" w:left="1440" w:header="720" w:footer="720" w:gutter="0"/>
          <w:cols w:space="720"/>
          <w:docGrid w:linePitch="360"/>
        </w:sectPr>
      </w:pPr>
    </w:p>
    <w:p w:rsidR="00E254E2" w:rsidRDefault="00E254E2" w:rsidP="00E254E2">
      <w:pPr>
        <w:spacing w:line="360" w:lineRule="auto"/>
        <w:ind w:left="1440" w:hanging="1440"/>
      </w:pPr>
    </w:p>
    <w:tbl>
      <w:tblPr>
        <w:tblW w:w="5000" w:type="pct"/>
        <w:tblLook w:val="04A0"/>
      </w:tblPr>
      <w:tblGrid>
        <w:gridCol w:w="1203"/>
        <w:gridCol w:w="1016"/>
        <w:gridCol w:w="971"/>
        <w:gridCol w:w="971"/>
        <w:gridCol w:w="1035"/>
        <w:gridCol w:w="1015"/>
        <w:gridCol w:w="224"/>
        <w:gridCol w:w="855"/>
        <w:gridCol w:w="838"/>
        <w:gridCol w:w="702"/>
        <w:gridCol w:w="1108"/>
        <w:gridCol w:w="883"/>
        <w:gridCol w:w="1016"/>
        <w:gridCol w:w="916"/>
        <w:gridCol w:w="423"/>
      </w:tblGrid>
      <w:tr w:rsidR="00E254E2" w:rsidRPr="004B7434" w:rsidTr="00E254E2">
        <w:trPr>
          <w:tblHeader/>
        </w:trPr>
        <w:tc>
          <w:tcPr>
            <w:tcW w:w="5000" w:type="pct"/>
            <w:gridSpan w:val="15"/>
            <w:tcBorders>
              <w:bottom w:val="single" w:sz="4" w:space="0" w:color="auto"/>
            </w:tcBorders>
            <w:shd w:val="clear" w:color="000000" w:fill="auto"/>
            <w:vAlign w:val="bottom"/>
            <w:hideMark/>
          </w:tcPr>
          <w:p w:rsidR="00E254E2" w:rsidRPr="004B7434" w:rsidRDefault="00E254E2" w:rsidP="00E254E2">
            <w:pPr>
              <w:jc w:val="center"/>
              <w:rPr>
                <w:rFonts w:ascii="Calibri" w:hAnsi="Calibri" w:cs="Calibri"/>
                <w:b/>
                <w:sz w:val="16"/>
                <w:szCs w:val="16"/>
              </w:rPr>
            </w:pPr>
            <w:r w:rsidRPr="003C5EBF">
              <w:t xml:space="preserve"> </w:t>
            </w:r>
            <w:r w:rsidRPr="004B7434">
              <w:rPr>
                <w:rFonts w:ascii="Calibri" w:hAnsi="Calibri" w:cs="Calibri"/>
                <w:b/>
                <w:bCs/>
                <w:sz w:val="28"/>
                <w:szCs w:val="28"/>
              </w:rPr>
              <w:t>Table 1 - Annual Respondent Burden and Cost of Recordkeeping and Reporting Requirements for the Secondary Lead Smelters NESHAP  - Year 1</w:t>
            </w:r>
          </w:p>
        </w:tc>
      </w:tr>
      <w:tr w:rsidR="00E254E2" w:rsidRPr="004B7434" w:rsidTr="00E254E2">
        <w:trPr>
          <w:trHeight w:val="1395"/>
          <w:tblHeader/>
        </w:trPr>
        <w:tc>
          <w:tcPr>
            <w:tcW w:w="456" w:type="pct"/>
            <w:tcBorders>
              <w:top w:val="single" w:sz="8" w:space="0" w:color="auto"/>
              <w:left w:val="single" w:sz="8" w:space="0" w:color="auto"/>
              <w:bottom w:val="single" w:sz="4" w:space="0" w:color="auto"/>
              <w:right w:val="single" w:sz="4" w:space="0" w:color="auto"/>
            </w:tcBorders>
            <w:shd w:val="clear" w:color="000000" w:fill="D9D9D9" w:themeFill="background1" w:themeFillShade="D9"/>
            <w:vAlign w:val="bottom"/>
            <w:hideMark/>
          </w:tcPr>
          <w:p w:rsidR="00E254E2" w:rsidRPr="004B7434" w:rsidRDefault="00E254E2" w:rsidP="00E254E2">
            <w:pPr>
              <w:jc w:val="center"/>
              <w:rPr>
                <w:rFonts w:ascii="Calibri" w:hAnsi="Calibri" w:cs="Calibri"/>
                <w:b/>
                <w:sz w:val="16"/>
                <w:szCs w:val="16"/>
              </w:rPr>
            </w:pPr>
            <w:r w:rsidRPr="004B7434">
              <w:rPr>
                <w:rFonts w:ascii="Calibri" w:hAnsi="Calibri" w:cs="Calibri"/>
                <w:b/>
                <w:sz w:val="16"/>
                <w:szCs w:val="16"/>
              </w:rPr>
              <w:t>Burden Item</w:t>
            </w:r>
          </w:p>
        </w:tc>
        <w:tc>
          <w:tcPr>
            <w:tcW w:w="385" w:type="pct"/>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4B7434" w:rsidRDefault="00E254E2" w:rsidP="00E254E2">
            <w:pPr>
              <w:jc w:val="center"/>
              <w:rPr>
                <w:rFonts w:ascii="Calibri" w:hAnsi="Calibri" w:cs="Calibri"/>
                <w:b/>
                <w:sz w:val="16"/>
                <w:szCs w:val="16"/>
              </w:rPr>
            </w:pPr>
            <w:r w:rsidRPr="004B7434">
              <w:rPr>
                <w:rFonts w:ascii="Calibri" w:hAnsi="Calibri" w:cs="Calibri"/>
                <w:b/>
                <w:sz w:val="16"/>
                <w:szCs w:val="16"/>
              </w:rPr>
              <w:t>(A)</w:t>
            </w:r>
            <w:r w:rsidRPr="004B7434">
              <w:rPr>
                <w:rFonts w:ascii="Calibri" w:hAnsi="Calibri" w:cs="Calibri"/>
                <w:b/>
                <w:sz w:val="16"/>
                <w:szCs w:val="16"/>
              </w:rPr>
              <w:br/>
              <w:t>Respondent Hours per Occurrence (Technical hours)</w:t>
            </w:r>
          </w:p>
        </w:tc>
        <w:tc>
          <w:tcPr>
            <w:tcW w:w="369" w:type="pct"/>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4B7434" w:rsidRDefault="00E254E2" w:rsidP="00E254E2">
            <w:pPr>
              <w:jc w:val="center"/>
              <w:rPr>
                <w:rFonts w:ascii="Calibri" w:hAnsi="Calibri" w:cs="Calibri"/>
                <w:b/>
                <w:sz w:val="16"/>
                <w:szCs w:val="16"/>
              </w:rPr>
            </w:pPr>
            <w:r w:rsidRPr="004B7434">
              <w:rPr>
                <w:rFonts w:ascii="Calibri" w:hAnsi="Calibri" w:cs="Calibri"/>
                <w:b/>
                <w:sz w:val="16"/>
                <w:szCs w:val="16"/>
              </w:rPr>
              <w:t xml:space="preserve">(B) </w:t>
            </w:r>
            <w:r w:rsidRPr="004B7434">
              <w:rPr>
                <w:rFonts w:ascii="Calibri" w:hAnsi="Calibri" w:cs="Calibri"/>
                <w:b/>
                <w:sz w:val="16"/>
                <w:szCs w:val="16"/>
              </w:rPr>
              <w:br/>
              <w:t>Stack Testing Cost Per Occurrence</w:t>
            </w:r>
          </w:p>
        </w:tc>
        <w:tc>
          <w:tcPr>
            <w:tcW w:w="369" w:type="pct"/>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4B7434" w:rsidRDefault="00E254E2" w:rsidP="00E254E2">
            <w:pPr>
              <w:jc w:val="center"/>
              <w:rPr>
                <w:rFonts w:ascii="Calibri" w:hAnsi="Calibri" w:cs="Calibri"/>
                <w:b/>
                <w:sz w:val="16"/>
                <w:szCs w:val="16"/>
              </w:rPr>
            </w:pPr>
            <w:r w:rsidRPr="004B7434">
              <w:rPr>
                <w:rFonts w:ascii="Calibri" w:hAnsi="Calibri" w:cs="Calibri"/>
                <w:b/>
                <w:sz w:val="16"/>
                <w:szCs w:val="16"/>
              </w:rPr>
              <w:t xml:space="preserve">(C) </w:t>
            </w:r>
            <w:r w:rsidRPr="004B7434">
              <w:rPr>
                <w:rFonts w:ascii="Calibri" w:hAnsi="Calibri" w:cs="Calibri"/>
                <w:b/>
                <w:sz w:val="16"/>
                <w:szCs w:val="16"/>
              </w:rPr>
              <w:br/>
              <w:t>Other Non-Labor Costs Per Occurrence</w:t>
            </w:r>
          </w:p>
        </w:tc>
        <w:tc>
          <w:tcPr>
            <w:tcW w:w="393" w:type="pct"/>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4B7434" w:rsidRDefault="00E254E2" w:rsidP="00E254E2">
            <w:pPr>
              <w:jc w:val="center"/>
              <w:rPr>
                <w:rFonts w:ascii="Calibri" w:hAnsi="Calibri" w:cs="Calibri"/>
                <w:b/>
                <w:sz w:val="16"/>
                <w:szCs w:val="16"/>
              </w:rPr>
            </w:pPr>
            <w:r w:rsidRPr="004B7434">
              <w:rPr>
                <w:rFonts w:ascii="Calibri" w:hAnsi="Calibri" w:cs="Calibri"/>
                <w:b/>
                <w:sz w:val="16"/>
                <w:szCs w:val="16"/>
              </w:rPr>
              <w:t xml:space="preserve">(D) </w:t>
            </w:r>
            <w:r w:rsidRPr="004B7434">
              <w:rPr>
                <w:rFonts w:ascii="Calibri" w:hAnsi="Calibri" w:cs="Calibri"/>
                <w:b/>
                <w:sz w:val="16"/>
                <w:szCs w:val="16"/>
              </w:rPr>
              <w:br/>
              <w:t>Number of Occurrences Per Respondent Per Year</w:t>
            </w:r>
          </w:p>
        </w:tc>
        <w:tc>
          <w:tcPr>
            <w:tcW w:w="385" w:type="pct"/>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4B7434" w:rsidRDefault="00E254E2" w:rsidP="00E254E2">
            <w:pPr>
              <w:jc w:val="center"/>
              <w:rPr>
                <w:rFonts w:ascii="Calibri" w:hAnsi="Calibri" w:cs="Calibri"/>
                <w:b/>
                <w:sz w:val="16"/>
                <w:szCs w:val="16"/>
              </w:rPr>
            </w:pPr>
            <w:r w:rsidRPr="004B7434">
              <w:rPr>
                <w:rFonts w:ascii="Calibri" w:hAnsi="Calibri" w:cs="Calibri"/>
                <w:b/>
                <w:sz w:val="16"/>
                <w:szCs w:val="16"/>
              </w:rPr>
              <w:t>(E)</w:t>
            </w:r>
            <w:r w:rsidRPr="004B7434">
              <w:rPr>
                <w:rFonts w:ascii="Calibri" w:hAnsi="Calibri" w:cs="Calibri"/>
                <w:b/>
                <w:sz w:val="16"/>
                <w:szCs w:val="16"/>
              </w:rPr>
              <w:br/>
              <w:t>Technical Hours per Respondent Per Year</w:t>
            </w:r>
            <w:r w:rsidRPr="004B7434">
              <w:rPr>
                <w:rFonts w:ascii="Calibri" w:hAnsi="Calibri" w:cs="Calibri"/>
                <w:b/>
                <w:sz w:val="16"/>
                <w:szCs w:val="16"/>
              </w:rPr>
              <w:br/>
              <w:t xml:space="preserve"> (A X D)</w:t>
            </w:r>
          </w:p>
        </w:tc>
        <w:tc>
          <w:tcPr>
            <w:tcW w:w="410" w:type="pct"/>
            <w:gridSpan w:val="2"/>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4B7434" w:rsidRDefault="00E254E2" w:rsidP="00E254E2">
            <w:pPr>
              <w:jc w:val="center"/>
              <w:rPr>
                <w:rFonts w:ascii="Calibri" w:hAnsi="Calibri" w:cs="Calibri"/>
                <w:b/>
                <w:sz w:val="16"/>
                <w:szCs w:val="16"/>
              </w:rPr>
            </w:pPr>
            <w:r w:rsidRPr="004B7434">
              <w:rPr>
                <w:rFonts w:ascii="Calibri" w:hAnsi="Calibri" w:cs="Calibri"/>
                <w:b/>
                <w:sz w:val="16"/>
                <w:szCs w:val="16"/>
              </w:rPr>
              <w:t>(F)</w:t>
            </w:r>
            <w:r w:rsidRPr="004B7434">
              <w:rPr>
                <w:rFonts w:ascii="Calibri" w:hAnsi="Calibri" w:cs="Calibri"/>
                <w:b/>
                <w:sz w:val="16"/>
                <w:szCs w:val="16"/>
              </w:rPr>
              <w:br/>
              <w:t>Number of Respondents Per Year</w:t>
            </w:r>
          </w:p>
        </w:tc>
        <w:tc>
          <w:tcPr>
            <w:tcW w:w="318" w:type="pct"/>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4B7434" w:rsidRDefault="00E254E2" w:rsidP="00E254E2">
            <w:pPr>
              <w:jc w:val="center"/>
              <w:rPr>
                <w:rFonts w:ascii="Calibri" w:hAnsi="Calibri" w:cs="Calibri"/>
                <w:b/>
                <w:sz w:val="16"/>
                <w:szCs w:val="16"/>
              </w:rPr>
            </w:pPr>
            <w:r w:rsidRPr="004B7434">
              <w:rPr>
                <w:rFonts w:ascii="Calibri" w:hAnsi="Calibri" w:cs="Calibri"/>
                <w:b/>
                <w:sz w:val="16"/>
                <w:szCs w:val="16"/>
              </w:rPr>
              <w:t>(G) Technical Hours per Year (E X F)</w:t>
            </w:r>
          </w:p>
        </w:tc>
        <w:tc>
          <w:tcPr>
            <w:tcW w:w="266" w:type="pct"/>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4B7434" w:rsidRDefault="00E254E2" w:rsidP="00E254E2">
            <w:pPr>
              <w:jc w:val="center"/>
              <w:rPr>
                <w:rFonts w:ascii="Calibri" w:hAnsi="Calibri" w:cs="Calibri"/>
                <w:b/>
                <w:sz w:val="16"/>
                <w:szCs w:val="16"/>
              </w:rPr>
            </w:pPr>
            <w:r w:rsidRPr="004B7434">
              <w:rPr>
                <w:rFonts w:ascii="Calibri" w:hAnsi="Calibri" w:cs="Calibri"/>
                <w:b/>
                <w:sz w:val="16"/>
                <w:szCs w:val="16"/>
              </w:rPr>
              <w:t xml:space="preserve">(H) </w:t>
            </w:r>
            <w:r w:rsidRPr="004B7434">
              <w:rPr>
                <w:rFonts w:ascii="Calibri" w:hAnsi="Calibri" w:cs="Calibri"/>
                <w:b/>
                <w:sz w:val="16"/>
                <w:szCs w:val="16"/>
              </w:rPr>
              <w:br/>
              <w:t>Clerical Hours per Year</w:t>
            </w:r>
            <w:r w:rsidRPr="004B7434">
              <w:rPr>
                <w:rFonts w:ascii="Calibri" w:hAnsi="Calibri" w:cs="Calibri"/>
                <w:b/>
                <w:sz w:val="16"/>
                <w:szCs w:val="16"/>
              </w:rPr>
              <w:br/>
              <w:t>(G X 0.1)</w:t>
            </w:r>
          </w:p>
        </w:tc>
        <w:tc>
          <w:tcPr>
            <w:tcW w:w="421" w:type="pct"/>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4B7434" w:rsidRDefault="00E254E2" w:rsidP="00E254E2">
            <w:pPr>
              <w:jc w:val="center"/>
              <w:rPr>
                <w:rFonts w:ascii="Calibri" w:hAnsi="Calibri" w:cs="Calibri"/>
                <w:b/>
                <w:sz w:val="16"/>
                <w:szCs w:val="16"/>
              </w:rPr>
            </w:pPr>
            <w:r w:rsidRPr="004B7434">
              <w:rPr>
                <w:rFonts w:ascii="Calibri" w:hAnsi="Calibri" w:cs="Calibri"/>
                <w:b/>
                <w:sz w:val="16"/>
                <w:szCs w:val="16"/>
              </w:rPr>
              <w:t>(I)</w:t>
            </w:r>
            <w:r w:rsidRPr="004B7434">
              <w:rPr>
                <w:rFonts w:ascii="Calibri" w:hAnsi="Calibri" w:cs="Calibri"/>
                <w:b/>
                <w:sz w:val="16"/>
                <w:szCs w:val="16"/>
              </w:rPr>
              <w:br/>
              <w:t>Management Hours per Year</w:t>
            </w:r>
            <w:r w:rsidRPr="004B7434">
              <w:rPr>
                <w:rFonts w:ascii="Calibri" w:hAnsi="Calibri" w:cs="Calibri"/>
                <w:b/>
                <w:sz w:val="16"/>
                <w:szCs w:val="16"/>
              </w:rPr>
              <w:br/>
              <w:t>(G X .05)</w:t>
            </w:r>
          </w:p>
        </w:tc>
        <w:tc>
          <w:tcPr>
            <w:tcW w:w="335" w:type="pct"/>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4B7434" w:rsidRDefault="00E254E2" w:rsidP="00E254E2">
            <w:pPr>
              <w:jc w:val="center"/>
              <w:rPr>
                <w:rFonts w:ascii="Calibri" w:hAnsi="Calibri" w:cs="Calibri"/>
                <w:b/>
                <w:sz w:val="16"/>
                <w:szCs w:val="16"/>
              </w:rPr>
            </w:pPr>
            <w:r w:rsidRPr="004B7434">
              <w:rPr>
                <w:rFonts w:ascii="Calibri" w:hAnsi="Calibri" w:cs="Calibri"/>
                <w:b/>
                <w:sz w:val="16"/>
                <w:szCs w:val="16"/>
              </w:rPr>
              <w:t>(J)</w:t>
            </w:r>
            <w:r w:rsidRPr="004B7434">
              <w:rPr>
                <w:rFonts w:ascii="Calibri" w:hAnsi="Calibri" w:cs="Calibri"/>
                <w:b/>
                <w:sz w:val="16"/>
                <w:szCs w:val="16"/>
              </w:rPr>
              <w:br/>
              <w:t>Total Labor Costs Per Year</w:t>
            </w:r>
          </w:p>
        </w:tc>
        <w:tc>
          <w:tcPr>
            <w:tcW w:w="386" w:type="pct"/>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4B7434" w:rsidRDefault="00E254E2" w:rsidP="00E254E2">
            <w:pPr>
              <w:jc w:val="center"/>
              <w:rPr>
                <w:rFonts w:ascii="Calibri" w:hAnsi="Calibri" w:cs="Calibri"/>
                <w:b/>
                <w:sz w:val="16"/>
                <w:szCs w:val="16"/>
              </w:rPr>
            </w:pPr>
            <w:r w:rsidRPr="004B7434">
              <w:rPr>
                <w:rFonts w:ascii="Calibri" w:hAnsi="Calibri" w:cs="Calibri"/>
                <w:b/>
                <w:sz w:val="16"/>
                <w:szCs w:val="16"/>
              </w:rPr>
              <w:t>(K)</w:t>
            </w:r>
            <w:r w:rsidRPr="004B7434">
              <w:rPr>
                <w:rFonts w:ascii="Calibri" w:hAnsi="Calibri" w:cs="Calibri"/>
                <w:b/>
                <w:sz w:val="16"/>
                <w:szCs w:val="16"/>
              </w:rPr>
              <w:br/>
              <w:t>Total Non-Labor Costs Per Year [(B+C)xDxF]</w:t>
            </w:r>
          </w:p>
        </w:tc>
        <w:tc>
          <w:tcPr>
            <w:tcW w:w="348" w:type="pct"/>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4B7434" w:rsidRDefault="00E254E2" w:rsidP="00E254E2">
            <w:pPr>
              <w:jc w:val="center"/>
              <w:rPr>
                <w:rFonts w:ascii="Calibri" w:hAnsi="Calibri" w:cs="Calibri"/>
                <w:b/>
                <w:sz w:val="16"/>
                <w:szCs w:val="16"/>
              </w:rPr>
            </w:pPr>
            <w:r w:rsidRPr="004B7434">
              <w:rPr>
                <w:rFonts w:ascii="Calibri" w:hAnsi="Calibri" w:cs="Calibri"/>
                <w:b/>
                <w:sz w:val="16"/>
                <w:szCs w:val="16"/>
              </w:rPr>
              <w:t>(L)</w:t>
            </w:r>
            <w:r w:rsidRPr="004B7434">
              <w:rPr>
                <w:rFonts w:ascii="Calibri" w:hAnsi="Calibri" w:cs="Calibri"/>
                <w:b/>
                <w:sz w:val="16"/>
                <w:szCs w:val="16"/>
              </w:rPr>
              <w:br/>
              <w:t>Total Number of Responses per Year</w:t>
            </w:r>
            <w:r w:rsidRPr="004B7434">
              <w:rPr>
                <w:rFonts w:ascii="Calibri" w:hAnsi="Calibri" w:cs="Calibri"/>
                <w:b/>
                <w:sz w:val="16"/>
                <w:szCs w:val="16"/>
              </w:rPr>
              <w:br/>
              <w:t>(D X F)</w:t>
            </w:r>
          </w:p>
        </w:tc>
        <w:tc>
          <w:tcPr>
            <w:tcW w:w="159" w:type="pct"/>
            <w:tcBorders>
              <w:top w:val="single" w:sz="8" w:space="0" w:color="auto"/>
              <w:left w:val="nil"/>
              <w:bottom w:val="single" w:sz="4" w:space="0" w:color="auto"/>
              <w:right w:val="single" w:sz="8" w:space="0" w:color="auto"/>
            </w:tcBorders>
            <w:shd w:val="clear" w:color="000000" w:fill="D9D9D9" w:themeFill="background1" w:themeFillShade="D9"/>
            <w:textDirection w:val="btLr"/>
            <w:vAlign w:val="bottom"/>
            <w:hideMark/>
          </w:tcPr>
          <w:p w:rsidR="00E254E2" w:rsidRPr="004B7434" w:rsidRDefault="00E254E2" w:rsidP="00E254E2">
            <w:pPr>
              <w:jc w:val="center"/>
              <w:rPr>
                <w:rFonts w:ascii="Calibri" w:hAnsi="Calibri" w:cs="Calibri"/>
                <w:b/>
                <w:sz w:val="16"/>
                <w:szCs w:val="16"/>
              </w:rPr>
            </w:pPr>
            <w:r w:rsidRPr="004B7434">
              <w:rPr>
                <w:rFonts w:ascii="Calibri" w:hAnsi="Calibri" w:cs="Calibri"/>
                <w:b/>
                <w:sz w:val="16"/>
                <w:szCs w:val="16"/>
              </w:rPr>
              <w:t>Footnotes</w:t>
            </w:r>
          </w:p>
        </w:tc>
      </w:tr>
      <w:tr w:rsidR="00E254E2" w:rsidRPr="004B7434" w:rsidTr="00E254E2">
        <w:trPr>
          <w:trHeight w:val="210"/>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1.  Applications</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NA</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10"/>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2.  Surveys and Studies</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NA</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10"/>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3.  Reporting Requirements</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A.  Read Rule</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20</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320</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32</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$28,379</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B.  Required Activities</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1.  THC testing</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$4,700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10</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34</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340</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34</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17</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$30,153</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$159,800</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2.  Dioxin/Furan testing</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$19,300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10</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23</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230</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23</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12</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$20,397</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$443,900</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3.  Lead testing</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$10,000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10</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4.  Differential pressure monitor</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$2,300</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46</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92</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9</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5</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$8,159</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$105,800</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450"/>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5.  Differential pressure monitor (annual O&amp;M)</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$230</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46</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92</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9</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5</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$8,159</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$10,580</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6.  Inspection and repair enclosure</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24</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24</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384</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38</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19</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$34,055</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7.  Inspect battery storage areas</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24</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24</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384</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38</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19</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$34,055</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C.  Create Information</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Inc. in 3B</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D.  Gather Information</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Inc. in 3E</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E.  Report Preparation</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1.  Annual report</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10</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160</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8</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$14,189</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lastRenderedPageBreak/>
              <w:t>2.  Differential pressure monitoring report</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10</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160</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8</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$14,189</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3.  Develop SOP for work practices</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40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40</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640</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64</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32</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$56,758</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40"/>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4.  Affirmative defense</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30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30</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30</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3</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$3,141</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b/>
                <w:bCs/>
                <w:i/>
                <w:iCs/>
                <w:sz w:val="16"/>
                <w:szCs w:val="16"/>
              </w:rPr>
            </w:pPr>
            <w:r w:rsidRPr="004B7434">
              <w:rPr>
                <w:rFonts w:ascii="Calibri" w:hAnsi="Calibri" w:cs="Calibri"/>
                <w:b/>
                <w:bCs/>
                <w:i/>
                <w:iCs/>
                <w:sz w:val="16"/>
                <w:szCs w:val="16"/>
              </w:rPr>
              <w:t>Reporting Subtotal</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2802</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280</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140</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$251,634</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$720,080</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48</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4.  Recordkeeping Requirements</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A.  Read Instructions</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Inc. in 3A</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B.  Implements Activities</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NA</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C.  Develop Record System</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NA</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D.  Record information</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1.  Records of fugitives</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12</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14</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224</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22</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11</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$19,865</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450"/>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2.  Records of flow weighted average for lead standard</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$1,419</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3.  Records of continuous pressure monitors</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12</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12</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192</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19</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10</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$17,027</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4.  Records of power outages</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12</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12</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192</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19</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10</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$17,027</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5.  Records of facility enclosure inspections</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12</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12</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192</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19</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10</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$17,027</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lastRenderedPageBreak/>
              <w:t>6.  Records of startup and shutdown</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12</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12</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192</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19</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10</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$17,027</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7.  Records of malfunctions</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6</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12</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192</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19</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10</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$17,027</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450"/>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8.  Records of actions taken during malfunctions</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6</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6</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96</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10</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5</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$8,514</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9.  Records for BLDS</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12</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12</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192</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19</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10</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$17,027</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10.  Records of furnace inspection</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12</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12</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192</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19</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10</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$17,027</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450"/>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11.  Records of recovery of plastic battery casing material</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6</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6</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96</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10</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5</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$8,514</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E.  Personnel Training</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20</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320</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32</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16</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$28,379</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single" w:sz="4" w:space="0" w:color="auto"/>
              <w:right w:val="single" w:sz="4"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F.  Time for Audits</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NA</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93"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10" w:type="pct"/>
            <w:gridSpan w:val="2"/>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1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26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21"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35"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6"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159" w:type="pct"/>
            <w:tcBorders>
              <w:top w:val="nil"/>
              <w:left w:val="nil"/>
              <w:bottom w:val="single" w:sz="4"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40"/>
        </w:trPr>
        <w:tc>
          <w:tcPr>
            <w:tcW w:w="456" w:type="pct"/>
            <w:tcBorders>
              <w:top w:val="nil"/>
              <w:left w:val="single" w:sz="8" w:space="0" w:color="auto"/>
              <w:bottom w:val="nil"/>
              <w:right w:val="single" w:sz="4" w:space="0" w:color="auto"/>
            </w:tcBorders>
            <w:shd w:val="clear" w:color="000000" w:fill="FFFFFF"/>
            <w:vAlign w:val="bottom"/>
            <w:hideMark/>
          </w:tcPr>
          <w:p w:rsidR="00E254E2" w:rsidRPr="004B7434" w:rsidRDefault="00E254E2" w:rsidP="00E254E2">
            <w:pPr>
              <w:rPr>
                <w:rFonts w:ascii="Calibri" w:hAnsi="Calibri" w:cs="Calibri"/>
                <w:b/>
                <w:bCs/>
                <w:i/>
                <w:iCs/>
                <w:sz w:val="16"/>
                <w:szCs w:val="16"/>
              </w:rPr>
            </w:pPr>
            <w:r w:rsidRPr="004B7434">
              <w:rPr>
                <w:rFonts w:ascii="Calibri" w:hAnsi="Calibri" w:cs="Calibri"/>
                <w:b/>
                <w:bCs/>
                <w:i/>
                <w:iCs/>
                <w:sz w:val="16"/>
                <w:szCs w:val="16"/>
              </w:rPr>
              <w:t>Recordkeeping Subtotal</w:t>
            </w:r>
          </w:p>
        </w:tc>
        <w:tc>
          <w:tcPr>
            <w:tcW w:w="385" w:type="pct"/>
            <w:tcBorders>
              <w:top w:val="nil"/>
              <w:left w:val="nil"/>
              <w:bottom w:val="nil"/>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nil"/>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nil"/>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93" w:type="pct"/>
            <w:tcBorders>
              <w:top w:val="nil"/>
              <w:left w:val="nil"/>
              <w:bottom w:val="nil"/>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5" w:type="pct"/>
            <w:tcBorders>
              <w:top w:val="nil"/>
              <w:left w:val="nil"/>
              <w:bottom w:val="nil"/>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10" w:type="pct"/>
            <w:gridSpan w:val="2"/>
            <w:tcBorders>
              <w:top w:val="nil"/>
              <w:left w:val="nil"/>
              <w:bottom w:val="nil"/>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18" w:type="pct"/>
            <w:tcBorders>
              <w:top w:val="nil"/>
              <w:left w:val="nil"/>
              <w:bottom w:val="nil"/>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2096</w:t>
            </w:r>
          </w:p>
        </w:tc>
        <w:tc>
          <w:tcPr>
            <w:tcW w:w="266" w:type="pct"/>
            <w:tcBorders>
              <w:top w:val="nil"/>
              <w:left w:val="nil"/>
              <w:bottom w:val="nil"/>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210</w:t>
            </w:r>
          </w:p>
        </w:tc>
        <w:tc>
          <w:tcPr>
            <w:tcW w:w="421" w:type="pct"/>
            <w:tcBorders>
              <w:top w:val="nil"/>
              <w:left w:val="nil"/>
              <w:bottom w:val="nil"/>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105</w:t>
            </w:r>
          </w:p>
        </w:tc>
        <w:tc>
          <w:tcPr>
            <w:tcW w:w="335" w:type="pct"/>
            <w:tcBorders>
              <w:top w:val="nil"/>
              <w:left w:val="nil"/>
              <w:bottom w:val="nil"/>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$185,880</w:t>
            </w:r>
          </w:p>
        </w:tc>
        <w:tc>
          <w:tcPr>
            <w:tcW w:w="386" w:type="pct"/>
            <w:tcBorders>
              <w:top w:val="nil"/>
              <w:left w:val="nil"/>
              <w:bottom w:val="nil"/>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348" w:type="pct"/>
            <w:tcBorders>
              <w:top w:val="nil"/>
              <w:left w:val="nil"/>
              <w:bottom w:val="nil"/>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0</w:t>
            </w:r>
          </w:p>
        </w:tc>
        <w:tc>
          <w:tcPr>
            <w:tcW w:w="159" w:type="pct"/>
            <w:tcBorders>
              <w:top w:val="nil"/>
              <w:left w:val="nil"/>
              <w:bottom w:val="nil"/>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40"/>
        </w:trPr>
        <w:tc>
          <w:tcPr>
            <w:tcW w:w="456" w:type="pct"/>
            <w:tcBorders>
              <w:top w:val="single" w:sz="8" w:space="0" w:color="auto"/>
              <w:left w:val="single" w:sz="8" w:space="0" w:color="auto"/>
              <w:bottom w:val="single" w:sz="8" w:space="0" w:color="auto"/>
              <w:right w:val="single" w:sz="4" w:space="0" w:color="auto"/>
            </w:tcBorders>
            <w:shd w:val="clear" w:color="000000" w:fill="FFFFFF"/>
            <w:vAlign w:val="bottom"/>
            <w:hideMark/>
          </w:tcPr>
          <w:p w:rsidR="00E254E2" w:rsidRPr="004B7434" w:rsidRDefault="00E254E2" w:rsidP="00E254E2">
            <w:pPr>
              <w:rPr>
                <w:rFonts w:ascii="Calibri" w:hAnsi="Calibri" w:cs="Calibri"/>
                <w:b/>
                <w:bCs/>
                <w:sz w:val="16"/>
                <w:szCs w:val="16"/>
              </w:rPr>
            </w:pPr>
            <w:r w:rsidRPr="004B7434">
              <w:rPr>
                <w:rFonts w:ascii="Calibri" w:hAnsi="Calibri" w:cs="Calibri"/>
                <w:b/>
                <w:bCs/>
                <w:sz w:val="16"/>
                <w:szCs w:val="16"/>
              </w:rPr>
              <w:t>TOTAL</w:t>
            </w:r>
          </w:p>
        </w:tc>
        <w:tc>
          <w:tcPr>
            <w:tcW w:w="385" w:type="pct"/>
            <w:tcBorders>
              <w:top w:val="single" w:sz="8" w:space="0" w:color="auto"/>
              <w:left w:val="nil"/>
              <w:bottom w:val="single" w:sz="8"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69" w:type="pct"/>
            <w:tcBorders>
              <w:top w:val="single" w:sz="8" w:space="0" w:color="auto"/>
              <w:left w:val="nil"/>
              <w:bottom w:val="single" w:sz="8"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69" w:type="pct"/>
            <w:tcBorders>
              <w:top w:val="single" w:sz="8" w:space="0" w:color="auto"/>
              <w:left w:val="nil"/>
              <w:bottom w:val="single" w:sz="8"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93" w:type="pct"/>
            <w:tcBorders>
              <w:top w:val="single" w:sz="8" w:space="0" w:color="auto"/>
              <w:left w:val="nil"/>
              <w:bottom w:val="single" w:sz="8"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85" w:type="pct"/>
            <w:tcBorders>
              <w:top w:val="single" w:sz="8" w:space="0" w:color="auto"/>
              <w:left w:val="nil"/>
              <w:bottom w:val="single" w:sz="8"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410" w:type="pct"/>
            <w:gridSpan w:val="2"/>
            <w:tcBorders>
              <w:top w:val="single" w:sz="8" w:space="0" w:color="auto"/>
              <w:left w:val="nil"/>
              <w:bottom w:val="single" w:sz="8"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c>
          <w:tcPr>
            <w:tcW w:w="318" w:type="pct"/>
            <w:tcBorders>
              <w:top w:val="single" w:sz="8" w:space="0" w:color="auto"/>
              <w:left w:val="nil"/>
              <w:bottom w:val="single" w:sz="8"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4898</w:t>
            </w:r>
          </w:p>
        </w:tc>
        <w:tc>
          <w:tcPr>
            <w:tcW w:w="266" w:type="pct"/>
            <w:tcBorders>
              <w:top w:val="single" w:sz="8" w:space="0" w:color="auto"/>
              <w:left w:val="nil"/>
              <w:bottom w:val="single" w:sz="8"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490</w:t>
            </w:r>
          </w:p>
        </w:tc>
        <w:tc>
          <w:tcPr>
            <w:tcW w:w="421" w:type="pct"/>
            <w:tcBorders>
              <w:top w:val="single" w:sz="8" w:space="0" w:color="auto"/>
              <w:left w:val="nil"/>
              <w:bottom w:val="single" w:sz="8"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245</w:t>
            </w:r>
          </w:p>
        </w:tc>
        <w:tc>
          <w:tcPr>
            <w:tcW w:w="335" w:type="pct"/>
            <w:tcBorders>
              <w:top w:val="single" w:sz="8" w:space="0" w:color="auto"/>
              <w:left w:val="nil"/>
              <w:bottom w:val="single" w:sz="8"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$437,514</w:t>
            </w:r>
          </w:p>
        </w:tc>
        <w:tc>
          <w:tcPr>
            <w:tcW w:w="386" w:type="pct"/>
            <w:tcBorders>
              <w:top w:val="single" w:sz="8" w:space="0" w:color="auto"/>
              <w:left w:val="nil"/>
              <w:bottom w:val="single" w:sz="8"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$720,080</w:t>
            </w:r>
          </w:p>
        </w:tc>
        <w:tc>
          <w:tcPr>
            <w:tcW w:w="348" w:type="pct"/>
            <w:tcBorders>
              <w:top w:val="single" w:sz="8" w:space="0" w:color="auto"/>
              <w:left w:val="nil"/>
              <w:bottom w:val="single" w:sz="8" w:space="0" w:color="auto"/>
              <w:right w:val="single" w:sz="4"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48</w:t>
            </w:r>
          </w:p>
        </w:tc>
        <w:tc>
          <w:tcPr>
            <w:tcW w:w="159" w:type="pct"/>
            <w:tcBorders>
              <w:top w:val="single" w:sz="8" w:space="0" w:color="auto"/>
              <w:left w:val="nil"/>
              <w:bottom w:val="single" w:sz="8" w:space="0" w:color="auto"/>
              <w:right w:val="single" w:sz="8" w:space="0" w:color="auto"/>
            </w:tcBorders>
            <w:shd w:val="clear" w:color="000000" w:fill="FFFFFF"/>
            <w:vAlign w:val="bottom"/>
            <w:hideMark/>
          </w:tcPr>
          <w:p w:rsidR="00E254E2" w:rsidRPr="004B7434" w:rsidRDefault="00E254E2" w:rsidP="00E254E2">
            <w:pPr>
              <w:jc w:val="cente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nil"/>
              <w:right w:val="nil"/>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 </w:t>
            </w:r>
          </w:p>
        </w:tc>
        <w:tc>
          <w:tcPr>
            <w:tcW w:w="385" w:type="pct"/>
            <w:tcBorders>
              <w:top w:val="nil"/>
              <w:left w:val="nil"/>
              <w:bottom w:val="nil"/>
              <w:right w:val="nil"/>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nil"/>
              <w:right w:val="nil"/>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nil"/>
              <w:right w:val="nil"/>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 </w:t>
            </w:r>
          </w:p>
        </w:tc>
        <w:tc>
          <w:tcPr>
            <w:tcW w:w="1506" w:type="pct"/>
            <w:gridSpan w:val="5"/>
            <w:vMerge w:val="restart"/>
            <w:tcBorders>
              <w:top w:val="single" w:sz="8" w:space="0" w:color="auto"/>
              <w:left w:val="nil"/>
              <w:bottom w:val="nil"/>
              <w:right w:val="nil"/>
            </w:tcBorders>
            <w:shd w:val="clear" w:color="000000" w:fill="FFFFFF"/>
            <w:vAlign w:val="center"/>
            <w:hideMark/>
          </w:tcPr>
          <w:p w:rsidR="00E254E2" w:rsidRPr="004B7434" w:rsidRDefault="00E254E2" w:rsidP="00E254E2">
            <w:pPr>
              <w:rPr>
                <w:rFonts w:ascii="Arial" w:hAnsi="Arial" w:cs="Arial"/>
                <w:sz w:val="16"/>
                <w:szCs w:val="16"/>
              </w:rPr>
            </w:pPr>
            <w:r w:rsidRPr="004B7434">
              <w:rPr>
                <w:rFonts w:ascii="Arial" w:hAnsi="Arial" w:cs="Arial"/>
                <w:sz w:val="16"/>
                <w:szCs w:val="16"/>
              </w:rPr>
              <w:t>Summary of Respondent Burden</w:t>
            </w:r>
          </w:p>
        </w:tc>
        <w:tc>
          <w:tcPr>
            <w:tcW w:w="266" w:type="pct"/>
            <w:tcBorders>
              <w:top w:val="nil"/>
              <w:left w:val="nil"/>
              <w:bottom w:val="nil"/>
              <w:right w:val="nil"/>
            </w:tcBorders>
            <w:shd w:val="clear" w:color="000000" w:fill="FFFFFF"/>
            <w:vAlign w:val="center"/>
            <w:hideMark/>
          </w:tcPr>
          <w:p w:rsidR="00E254E2" w:rsidRPr="004B7434" w:rsidRDefault="00E254E2" w:rsidP="00E254E2">
            <w:pPr>
              <w:jc w:val="center"/>
              <w:rPr>
                <w:rFonts w:ascii="Arial" w:hAnsi="Arial" w:cs="Arial"/>
                <w:sz w:val="16"/>
                <w:szCs w:val="16"/>
              </w:rPr>
            </w:pPr>
            <w:r w:rsidRPr="004B7434">
              <w:rPr>
                <w:rFonts w:ascii="Arial" w:hAnsi="Arial" w:cs="Arial"/>
                <w:sz w:val="16"/>
                <w:szCs w:val="16"/>
              </w:rPr>
              <w:t>Total Hours</w:t>
            </w:r>
          </w:p>
        </w:tc>
        <w:tc>
          <w:tcPr>
            <w:tcW w:w="421" w:type="pct"/>
            <w:tcBorders>
              <w:top w:val="nil"/>
              <w:left w:val="nil"/>
              <w:bottom w:val="nil"/>
              <w:right w:val="nil"/>
            </w:tcBorders>
            <w:shd w:val="clear" w:color="000000" w:fill="FFFFFF"/>
            <w:vAlign w:val="center"/>
            <w:hideMark/>
          </w:tcPr>
          <w:p w:rsidR="00E254E2" w:rsidRPr="004B7434" w:rsidRDefault="00E254E2" w:rsidP="00E254E2">
            <w:pPr>
              <w:jc w:val="center"/>
              <w:rPr>
                <w:rFonts w:ascii="Arial" w:hAnsi="Arial" w:cs="Arial"/>
                <w:sz w:val="16"/>
                <w:szCs w:val="16"/>
              </w:rPr>
            </w:pPr>
            <w:r w:rsidRPr="004B7434">
              <w:rPr>
                <w:rFonts w:ascii="Arial" w:hAnsi="Arial" w:cs="Arial"/>
                <w:sz w:val="16"/>
                <w:szCs w:val="16"/>
              </w:rPr>
              <w:t>Labor</w:t>
            </w:r>
          </w:p>
        </w:tc>
        <w:tc>
          <w:tcPr>
            <w:tcW w:w="335" w:type="pct"/>
            <w:tcBorders>
              <w:top w:val="nil"/>
              <w:left w:val="nil"/>
              <w:bottom w:val="nil"/>
              <w:right w:val="nil"/>
            </w:tcBorders>
            <w:shd w:val="clear" w:color="000000" w:fill="FFFFFF"/>
            <w:vAlign w:val="center"/>
            <w:hideMark/>
          </w:tcPr>
          <w:p w:rsidR="00E254E2" w:rsidRPr="004B7434" w:rsidRDefault="00E254E2" w:rsidP="00E254E2">
            <w:pPr>
              <w:jc w:val="center"/>
              <w:rPr>
                <w:rFonts w:ascii="Arial" w:hAnsi="Arial" w:cs="Arial"/>
                <w:sz w:val="16"/>
                <w:szCs w:val="16"/>
              </w:rPr>
            </w:pPr>
            <w:r w:rsidRPr="004B7434">
              <w:rPr>
                <w:rFonts w:ascii="Arial" w:hAnsi="Arial" w:cs="Arial"/>
                <w:sz w:val="16"/>
                <w:szCs w:val="16"/>
              </w:rPr>
              <w:t>Non-Labor</w:t>
            </w:r>
          </w:p>
        </w:tc>
        <w:tc>
          <w:tcPr>
            <w:tcW w:w="386" w:type="pct"/>
            <w:tcBorders>
              <w:top w:val="nil"/>
              <w:left w:val="nil"/>
              <w:bottom w:val="nil"/>
              <w:right w:val="nil"/>
            </w:tcBorders>
            <w:shd w:val="clear" w:color="000000" w:fill="FFFFFF"/>
            <w:vAlign w:val="center"/>
            <w:hideMark/>
          </w:tcPr>
          <w:p w:rsidR="00E254E2" w:rsidRPr="004B7434" w:rsidRDefault="00E254E2" w:rsidP="00E254E2">
            <w:pPr>
              <w:jc w:val="center"/>
              <w:rPr>
                <w:rFonts w:ascii="Arial" w:hAnsi="Arial" w:cs="Arial"/>
                <w:sz w:val="16"/>
                <w:szCs w:val="16"/>
              </w:rPr>
            </w:pPr>
            <w:r w:rsidRPr="004B7434">
              <w:rPr>
                <w:rFonts w:ascii="Arial" w:hAnsi="Arial" w:cs="Arial"/>
                <w:sz w:val="16"/>
                <w:szCs w:val="16"/>
              </w:rPr>
              <w:t>Total</w:t>
            </w:r>
          </w:p>
        </w:tc>
        <w:tc>
          <w:tcPr>
            <w:tcW w:w="348" w:type="pct"/>
            <w:tcBorders>
              <w:top w:val="nil"/>
              <w:left w:val="nil"/>
              <w:bottom w:val="nil"/>
              <w:right w:val="nil"/>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 </w:t>
            </w:r>
          </w:p>
        </w:tc>
        <w:tc>
          <w:tcPr>
            <w:tcW w:w="159" w:type="pct"/>
            <w:tcBorders>
              <w:top w:val="nil"/>
              <w:left w:val="nil"/>
              <w:bottom w:val="nil"/>
              <w:right w:val="single" w:sz="8"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225"/>
        </w:trPr>
        <w:tc>
          <w:tcPr>
            <w:tcW w:w="456" w:type="pct"/>
            <w:tcBorders>
              <w:top w:val="nil"/>
              <w:left w:val="single" w:sz="8" w:space="0" w:color="auto"/>
              <w:bottom w:val="nil"/>
              <w:right w:val="nil"/>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 </w:t>
            </w:r>
          </w:p>
        </w:tc>
        <w:tc>
          <w:tcPr>
            <w:tcW w:w="385" w:type="pct"/>
            <w:tcBorders>
              <w:top w:val="nil"/>
              <w:left w:val="nil"/>
              <w:bottom w:val="nil"/>
              <w:right w:val="nil"/>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nil"/>
              <w:right w:val="nil"/>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nil"/>
              <w:right w:val="nil"/>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 </w:t>
            </w:r>
          </w:p>
        </w:tc>
        <w:tc>
          <w:tcPr>
            <w:tcW w:w="1506" w:type="pct"/>
            <w:gridSpan w:val="5"/>
            <w:vMerge/>
            <w:tcBorders>
              <w:top w:val="nil"/>
              <w:left w:val="nil"/>
              <w:bottom w:val="nil"/>
              <w:right w:val="nil"/>
            </w:tcBorders>
            <w:vAlign w:val="center"/>
            <w:hideMark/>
          </w:tcPr>
          <w:p w:rsidR="00E254E2" w:rsidRPr="004B7434" w:rsidRDefault="00E254E2" w:rsidP="00E254E2">
            <w:pPr>
              <w:rPr>
                <w:rFonts w:ascii="Arial" w:hAnsi="Arial" w:cs="Arial"/>
                <w:sz w:val="16"/>
                <w:szCs w:val="16"/>
              </w:rPr>
            </w:pPr>
          </w:p>
        </w:tc>
        <w:tc>
          <w:tcPr>
            <w:tcW w:w="266" w:type="pct"/>
            <w:tcBorders>
              <w:top w:val="nil"/>
              <w:left w:val="nil"/>
              <w:bottom w:val="nil"/>
              <w:right w:val="nil"/>
            </w:tcBorders>
            <w:shd w:val="clear" w:color="000000" w:fill="FFFFFF"/>
            <w:vAlign w:val="center"/>
            <w:hideMark/>
          </w:tcPr>
          <w:p w:rsidR="00E254E2" w:rsidRPr="004B7434" w:rsidRDefault="00E254E2" w:rsidP="00E254E2">
            <w:pPr>
              <w:jc w:val="center"/>
              <w:rPr>
                <w:rFonts w:ascii="Arial" w:hAnsi="Arial" w:cs="Arial"/>
                <w:sz w:val="16"/>
                <w:szCs w:val="16"/>
              </w:rPr>
            </w:pPr>
            <w:r w:rsidRPr="004B7434">
              <w:rPr>
                <w:rFonts w:ascii="Arial" w:hAnsi="Arial" w:cs="Arial"/>
                <w:sz w:val="16"/>
                <w:szCs w:val="16"/>
              </w:rPr>
              <w:t>5,633</w:t>
            </w:r>
          </w:p>
        </w:tc>
        <w:tc>
          <w:tcPr>
            <w:tcW w:w="421" w:type="pct"/>
            <w:tcBorders>
              <w:top w:val="nil"/>
              <w:left w:val="nil"/>
              <w:bottom w:val="nil"/>
              <w:right w:val="nil"/>
            </w:tcBorders>
            <w:shd w:val="clear" w:color="000000" w:fill="FFFFFF"/>
            <w:vAlign w:val="center"/>
            <w:hideMark/>
          </w:tcPr>
          <w:p w:rsidR="00E254E2" w:rsidRPr="004B7434" w:rsidRDefault="00E254E2" w:rsidP="00E254E2">
            <w:pPr>
              <w:jc w:val="center"/>
              <w:rPr>
                <w:rFonts w:ascii="Arial" w:hAnsi="Arial" w:cs="Arial"/>
                <w:sz w:val="16"/>
                <w:szCs w:val="16"/>
              </w:rPr>
            </w:pPr>
            <w:r w:rsidRPr="004B7434">
              <w:rPr>
                <w:rFonts w:ascii="Arial" w:hAnsi="Arial" w:cs="Arial"/>
                <w:sz w:val="16"/>
                <w:szCs w:val="16"/>
              </w:rPr>
              <w:t>$437,514</w:t>
            </w:r>
          </w:p>
        </w:tc>
        <w:tc>
          <w:tcPr>
            <w:tcW w:w="335" w:type="pct"/>
            <w:tcBorders>
              <w:top w:val="nil"/>
              <w:left w:val="nil"/>
              <w:bottom w:val="nil"/>
              <w:right w:val="nil"/>
            </w:tcBorders>
            <w:shd w:val="clear" w:color="000000" w:fill="FFFFFF"/>
            <w:vAlign w:val="center"/>
            <w:hideMark/>
          </w:tcPr>
          <w:p w:rsidR="00E254E2" w:rsidRPr="004B7434" w:rsidRDefault="00E254E2" w:rsidP="00E254E2">
            <w:pPr>
              <w:jc w:val="center"/>
              <w:rPr>
                <w:rFonts w:ascii="Arial" w:hAnsi="Arial" w:cs="Arial"/>
                <w:sz w:val="16"/>
                <w:szCs w:val="16"/>
              </w:rPr>
            </w:pPr>
            <w:r w:rsidRPr="004B7434">
              <w:rPr>
                <w:rFonts w:ascii="Arial" w:hAnsi="Arial" w:cs="Arial"/>
                <w:sz w:val="16"/>
                <w:szCs w:val="16"/>
              </w:rPr>
              <w:t>$720,080</w:t>
            </w:r>
          </w:p>
        </w:tc>
        <w:tc>
          <w:tcPr>
            <w:tcW w:w="386" w:type="pct"/>
            <w:tcBorders>
              <w:top w:val="nil"/>
              <w:left w:val="nil"/>
              <w:bottom w:val="nil"/>
              <w:right w:val="nil"/>
            </w:tcBorders>
            <w:shd w:val="clear" w:color="000000" w:fill="FFFFFF"/>
            <w:vAlign w:val="center"/>
            <w:hideMark/>
          </w:tcPr>
          <w:p w:rsidR="00E254E2" w:rsidRPr="004B7434" w:rsidRDefault="00E254E2" w:rsidP="00E254E2">
            <w:pPr>
              <w:jc w:val="center"/>
              <w:rPr>
                <w:rFonts w:ascii="Arial" w:hAnsi="Arial" w:cs="Arial"/>
                <w:sz w:val="16"/>
                <w:szCs w:val="16"/>
              </w:rPr>
            </w:pPr>
            <w:r w:rsidRPr="004B7434">
              <w:rPr>
                <w:rFonts w:ascii="Arial" w:hAnsi="Arial" w:cs="Arial"/>
                <w:sz w:val="16"/>
                <w:szCs w:val="16"/>
              </w:rPr>
              <w:t>$1,157,594</w:t>
            </w:r>
          </w:p>
        </w:tc>
        <w:tc>
          <w:tcPr>
            <w:tcW w:w="348" w:type="pct"/>
            <w:tcBorders>
              <w:top w:val="nil"/>
              <w:left w:val="nil"/>
              <w:bottom w:val="nil"/>
              <w:right w:val="nil"/>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 </w:t>
            </w:r>
          </w:p>
        </w:tc>
        <w:tc>
          <w:tcPr>
            <w:tcW w:w="159" w:type="pct"/>
            <w:tcBorders>
              <w:top w:val="nil"/>
              <w:left w:val="nil"/>
              <w:bottom w:val="nil"/>
              <w:right w:val="single" w:sz="8"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300"/>
        </w:trPr>
        <w:tc>
          <w:tcPr>
            <w:tcW w:w="456" w:type="pct"/>
            <w:tcBorders>
              <w:top w:val="nil"/>
              <w:left w:val="single" w:sz="8" w:space="0" w:color="auto"/>
              <w:bottom w:val="nil"/>
              <w:right w:val="nil"/>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 </w:t>
            </w:r>
          </w:p>
        </w:tc>
        <w:tc>
          <w:tcPr>
            <w:tcW w:w="385" w:type="pct"/>
            <w:tcBorders>
              <w:top w:val="nil"/>
              <w:left w:val="nil"/>
              <w:bottom w:val="nil"/>
              <w:right w:val="nil"/>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nil"/>
              <w:right w:val="nil"/>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nil"/>
              <w:right w:val="nil"/>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 </w:t>
            </w:r>
          </w:p>
        </w:tc>
        <w:tc>
          <w:tcPr>
            <w:tcW w:w="1506" w:type="pct"/>
            <w:gridSpan w:val="5"/>
            <w:tcBorders>
              <w:top w:val="nil"/>
              <w:left w:val="nil"/>
              <w:bottom w:val="nil"/>
              <w:right w:val="nil"/>
            </w:tcBorders>
            <w:shd w:val="clear" w:color="000000" w:fill="FFFFFF"/>
            <w:vAlign w:val="center"/>
            <w:hideMark/>
          </w:tcPr>
          <w:p w:rsidR="00E254E2" w:rsidRPr="004B7434" w:rsidRDefault="00E254E2" w:rsidP="00E254E2">
            <w:pPr>
              <w:rPr>
                <w:rFonts w:ascii="Arial" w:hAnsi="Arial" w:cs="Arial"/>
                <w:sz w:val="16"/>
                <w:szCs w:val="16"/>
              </w:rPr>
            </w:pPr>
            <w:r w:rsidRPr="004B7434">
              <w:rPr>
                <w:rFonts w:ascii="Arial" w:hAnsi="Arial" w:cs="Arial"/>
                <w:sz w:val="16"/>
                <w:szCs w:val="16"/>
              </w:rPr>
              <w:t>Initial Capital and Startup</w:t>
            </w:r>
          </w:p>
        </w:tc>
        <w:tc>
          <w:tcPr>
            <w:tcW w:w="266" w:type="pct"/>
            <w:tcBorders>
              <w:top w:val="nil"/>
              <w:left w:val="nil"/>
              <w:bottom w:val="nil"/>
              <w:right w:val="nil"/>
            </w:tcBorders>
            <w:shd w:val="clear" w:color="000000" w:fill="FFFFFF"/>
            <w:vAlign w:val="center"/>
            <w:hideMark/>
          </w:tcPr>
          <w:p w:rsidR="00E254E2" w:rsidRPr="004B7434" w:rsidRDefault="00E254E2" w:rsidP="00E254E2">
            <w:pPr>
              <w:jc w:val="center"/>
              <w:rPr>
                <w:rFonts w:ascii="Arial" w:hAnsi="Arial" w:cs="Arial"/>
                <w:sz w:val="16"/>
                <w:szCs w:val="16"/>
              </w:rPr>
            </w:pPr>
            <w:r w:rsidRPr="004B7434">
              <w:rPr>
                <w:rFonts w:ascii="Arial" w:hAnsi="Arial" w:cs="Arial"/>
                <w:sz w:val="16"/>
                <w:szCs w:val="16"/>
              </w:rPr>
              <w:t> </w:t>
            </w:r>
          </w:p>
        </w:tc>
        <w:tc>
          <w:tcPr>
            <w:tcW w:w="421" w:type="pct"/>
            <w:tcBorders>
              <w:top w:val="nil"/>
              <w:left w:val="nil"/>
              <w:bottom w:val="nil"/>
              <w:right w:val="nil"/>
            </w:tcBorders>
            <w:shd w:val="clear" w:color="000000" w:fill="FFFFFF"/>
            <w:vAlign w:val="center"/>
            <w:hideMark/>
          </w:tcPr>
          <w:p w:rsidR="00E254E2" w:rsidRPr="004B7434" w:rsidRDefault="00E254E2" w:rsidP="00E254E2">
            <w:pPr>
              <w:jc w:val="center"/>
              <w:rPr>
                <w:rFonts w:ascii="Arial" w:hAnsi="Arial" w:cs="Arial"/>
                <w:sz w:val="16"/>
                <w:szCs w:val="16"/>
              </w:rPr>
            </w:pPr>
            <w:r w:rsidRPr="004B7434">
              <w:rPr>
                <w:rFonts w:ascii="Arial" w:hAnsi="Arial" w:cs="Arial"/>
                <w:sz w:val="16"/>
                <w:szCs w:val="16"/>
              </w:rPr>
              <w:t> </w:t>
            </w:r>
          </w:p>
        </w:tc>
        <w:tc>
          <w:tcPr>
            <w:tcW w:w="335" w:type="pct"/>
            <w:tcBorders>
              <w:top w:val="nil"/>
              <w:left w:val="nil"/>
              <w:bottom w:val="nil"/>
              <w:right w:val="nil"/>
            </w:tcBorders>
            <w:shd w:val="clear" w:color="000000" w:fill="FFFFFF"/>
            <w:vAlign w:val="center"/>
            <w:hideMark/>
          </w:tcPr>
          <w:p w:rsidR="00E254E2" w:rsidRPr="004B7434" w:rsidRDefault="00E254E2" w:rsidP="00E254E2">
            <w:pPr>
              <w:jc w:val="center"/>
              <w:rPr>
                <w:rFonts w:ascii="Arial" w:hAnsi="Arial" w:cs="Arial"/>
                <w:sz w:val="16"/>
                <w:szCs w:val="16"/>
              </w:rPr>
            </w:pPr>
            <w:r w:rsidRPr="004B7434">
              <w:rPr>
                <w:rFonts w:ascii="Arial" w:hAnsi="Arial" w:cs="Arial"/>
                <w:sz w:val="16"/>
                <w:szCs w:val="16"/>
              </w:rPr>
              <w:t>$105,800</w:t>
            </w:r>
          </w:p>
        </w:tc>
        <w:tc>
          <w:tcPr>
            <w:tcW w:w="386" w:type="pct"/>
            <w:tcBorders>
              <w:top w:val="nil"/>
              <w:left w:val="nil"/>
              <w:bottom w:val="nil"/>
              <w:right w:val="nil"/>
            </w:tcBorders>
            <w:shd w:val="clear" w:color="000000" w:fill="FFFFFF"/>
            <w:vAlign w:val="center"/>
            <w:hideMark/>
          </w:tcPr>
          <w:p w:rsidR="00E254E2" w:rsidRPr="004B7434" w:rsidRDefault="00E254E2" w:rsidP="00E254E2">
            <w:pPr>
              <w:jc w:val="center"/>
              <w:rPr>
                <w:rFonts w:ascii="Arial" w:hAnsi="Arial" w:cs="Arial"/>
                <w:sz w:val="16"/>
                <w:szCs w:val="16"/>
              </w:rPr>
            </w:pPr>
            <w:r w:rsidRPr="004B7434">
              <w:rPr>
                <w:rFonts w:ascii="Arial" w:hAnsi="Arial" w:cs="Arial"/>
                <w:sz w:val="16"/>
                <w:szCs w:val="16"/>
              </w:rPr>
              <w:t> </w:t>
            </w:r>
          </w:p>
        </w:tc>
        <w:tc>
          <w:tcPr>
            <w:tcW w:w="348" w:type="pct"/>
            <w:tcBorders>
              <w:top w:val="nil"/>
              <w:left w:val="nil"/>
              <w:bottom w:val="nil"/>
              <w:right w:val="nil"/>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 </w:t>
            </w:r>
          </w:p>
        </w:tc>
        <w:tc>
          <w:tcPr>
            <w:tcW w:w="159" w:type="pct"/>
            <w:tcBorders>
              <w:top w:val="nil"/>
              <w:left w:val="nil"/>
              <w:bottom w:val="nil"/>
              <w:right w:val="single" w:sz="8"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 </w:t>
            </w:r>
          </w:p>
        </w:tc>
      </w:tr>
      <w:tr w:rsidR="00E254E2" w:rsidRPr="004B7434" w:rsidTr="00E254E2">
        <w:trPr>
          <w:trHeight w:val="315"/>
        </w:trPr>
        <w:tc>
          <w:tcPr>
            <w:tcW w:w="456" w:type="pct"/>
            <w:tcBorders>
              <w:top w:val="nil"/>
              <w:left w:val="single" w:sz="8" w:space="0" w:color="auto"/>
              <w:bottom w:val="single" w:sz="8" w:space="0" w:color="auto"/>
              <w:right w:val="nil"/>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 </w:t>
            </w:r>
          </w:p>
        </w:tc>
        <w:tc>
          <w:tcPr>
            <w:tcW w:w="385" w:type="pct"/>
            <w:tcBorders>
              <w:top w:val="nil"/>
              <w:left w:val="nil"/>
              <w:bottom w:val="single" w:sz="8" w:space="0" w:color="auto"/>
              <w:right w:val="nil"/>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single" w:sz="8" w:space="0" w:color="auto"/>
              <w:right w:val="nil"/>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 </w:t>
            </w:r>
          </w:p>
        </w:tc>
        <w:tc>
          <w:tcPr>
            <w:tcW w:w="369" w:type="pct"/>
            <w:tcBorders>
              <w:top w:val="nil"/>
              <w:left w:val="nil"/>
              <w:bottom w:val="single" w:sz="8" w:space="0" w:color="auto"/>
              <w:right w:val="nil"/>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 </w:t>
            </w:r>
          </w:p>
        </w:tc>
        <w:tc>
          <w:tcPr>
            <w:tcW w:w="863" w:type="pct"/>
            <w:gridSpan w:val="3"/>
            <w:tcBorders>
              <w:top w:val="nil"/>
              <w:left w:val="nil"/>
              <w:bottom w:val="single" w:sz="8" w:space="0" w:color="auto"/>
              <w:right w:val="nil"/>
            </w:tcBorders>
            <w:shd w:val="clear" w:color="000000" w:fill="FFFFFF"/>
            <w:vAlign w:val="center"/>
            <w:hideMark/>
          </w:tcPr>
          <w:p w:rsidR="00E254E2" w:rsidRPr="004B7434" w:rsidRDefault="00E254E2" w:rsidP="00E254E2">
            <w:pPr>
              <w:rPr>
                <w:rFonts w:ascii="Arial" w:hAnsi="Arial" w:cs="Arial"/>
                <w:sz w:val="16"/>
                <w:szCs w:val="16"/>
              </w:rPr>
            </w:pPr>
            <w:r w:rsidRPr="004B7434">
              <w:rPr>
                <w:rFonts w:ascii="Arial" w:hAnsi="Arial" w:cs="Arial"/>
                <w:sz w:val="16"/>
                <w:szCs w:val="16"/>
              </w:rPr>
              <w:t>Annualized Capital/Start-up and O &amp; M</w:t>
            </w:r>
          </w:p>
        </w:tc>
        <w:tc>
          <w:tcPr>
            <w:tcW w:w="643" w:type="pct"/>
            <w:gridSpan w:val="2"/>
            <w:tcBorders>
              <w:top w:val="nil"/>
              <w:left w:val="nil"/>
              <w:bottom w:val="single" w:sz="8" w:space="0" w:color="auto"/>
              <w:right w:val="nil"/>
            </w:tcBorders>
            <w:shd w:val="clear" w:color="000000" w:fill="FFFFFF"/>
            <w:vAlign w:val="center"/>
            <w:hideMark/>
          </w:tcPr>
          <w:p w:rsidR="00E254E2" w:rsidRPr="004B7434" w:rsidRDefault="00E254E2" w:rsidP="00E254E2">
            <w:pPr>
              <w:rPr>
                <w:rFonts w:ascii="Arial" w:hAnsi="Arial" w:cs="Arial"/>
                <w:sz w:val="16"/>
                <w:szCs w:val="16"/>
              </w:rPr>
            </w:pPr>
            <w:r w:rsidRPr="004B7434">
              <w:rPr>
                <w:rFonts w:ascii="Arial" w:hAnsi="Arial" w:cs="Arial"/>
                <w:sz w:val="16"/>
                <w:szCs w:val="16"/>
              </w:rPr>
              <w:t> </w:t>
            </w:r>
          </w:p>
        </w:tc>
        <w:tc>
          <w:tcPr>
            <w:tcW w:w="266" w:type="pct"/>
            <w:tcBorders>
              <w:top w:val="nil"/>
              <w:left w:val="nil"/>
              <w:bottom w:val="single" w:sz="8" w:space="0" w:color="auto"/>
              <w:right w:val="nil"/>
            </w:tcBorders>
            <w:shd w:val="clear" w:color="000000" w:fill="FFFFFF"/>
            <w:vAlign w:val="center"/>
            <w:hideMark/>
          </w:tcPr>
          <w:p w:rsidR="00E254E2" w:rsidRPr="004B7434" w:rsidRDefault="00E254E2" w:rsidP="00E254E2">
            <w:pPr>
              <w:rPr>
                <w:rFonts w:ascii="Arial" w:hAnsi="Arial" w:cs="Arial"/>
                <w:sz w:val="16"/>
                <w:szCs w:val="16"/>
              </w:rPr>
            </w:pPr>
            <w:r w:rsidRPr="004B7434">
              <w:rPr>
                <w:rFonts w:ascii="Arial" w:hAnsi="Arial" w:cs="Arial"/>
                <w:sz w:val="16"/>
                <w:szCs w:val="16"/>
              </w:rPr>
              <w:t> </w:t>
            </w:r>
          </w:p>
        </w:tc>
        <w:tc>
          <w:tcPr>
            <w:tcW w:w="421" w:type="pct"/>
            <w:tcBorders>
              <w:top w:val="nil"/>
              <w:left w:val="nil"/>
              <w:bottom w:val="single" w:sz="8" w:space="0" w:color="auto"/>
              <w:right w:val="nil"/>
            </w:tcBorders>
            <w:shd w:val="clear" w:color="000000" w:fill="FFFFFF"/>
            <w:vAlign w:val="center"/>
            <w:hideMark/>
          </w:tcPr>
          <w:p w:rsidR="00E254E2" w:rsidRPr="004B7434" w:rsidRDefault="00E254E2" w:rsidP="00E254E2">
            <w:pPr>
              <w:jc w:val="center"/>
              <w:rPr>
                <w:rFonts w:ascii="Arial" w:hAnsi="Arial" w:cs="Arial"/>
                <w:sz w:val="16"/>
                <w:szCs w:val="16"/>
              </w:rPr>
            </w:pPr>
            <w:r w:rsidRPr="004B7434">
              <w:rPr>
                <w:rFonts w:ascii="Arial" w:hAnsi="Arial" w:cs="Arial"/>
                <w:sz w:val="16"/>
                <w:szCs w:val="16"/>
              </w:rPr>
              <w:t> </w:t>
            </w:r>
          </w:p>
        </w:tc>
        <w:tc>
          <w:tcPr>
            <w:tcW w:w="335" w:type="pct"/>
            <w:tcBorders>
              <w:top w:val="nil"/>
              <w:left w:val="nil"/>
              <w:bottom w:val="single" w:sz="8" w:space="0" w:color="auto"/>
              <w:right w:val="nil"/>
            </w:tcBorders>
            <w:shd w:val="clear" w:color="000000" w:fill="FFFFFF"/>
            <w:vAlign w:val="center"/>
            <w:hideMark/>
          </w:tcPr>
          <w:p w:rsidR="00E254E2" w:rsidRPr="004B7434" w:rsidRDefault="00E254E2" w:rsidP="00E254E2">
            <w:pPr>
              <w:jc w:val="center"/>
              <w:rPr>
                <w:rFonts w:ascii="Arial" w:hAnsi="Arial" w:cs="Arial"/>
                <w:sz w:val="16"/>
                <w:szCs w:val="16"/>
              </w:rPr>
            </w:pPr>
            <w:r w:rsidRPr="004B7434">
              <w:rPr>
                <w:rFonts w:ascii="Arial" w:hAnsi="Arial" w:cs="Arial"/>
                <w:sz w:val="16"/>
                <w:szCs w:val="16"/>
              </w:rPr>
              <w:t>$720,080</w:t>
            </w:r>
          </w:p>
        </w:tc>
        <w:tc>
          <w:tcPr>
            <w:tcW w:w="386" w:type="pct"/>
            <w:tcBorders>
              <w:top w:val="nil"/>
              <w:left w:val="nil"/>
              <w:bottom w:val="single" w:sz="8" w:space="0" w:color="auto"/>
              <w:right w:val="nil"/>
            </w:tcBorders>
            <w:shd w:val="clear" w:color="000000" w:fill="FFFFFF"/>
            <w:vAlign w:val="center"/>
            <w:hideMark/>
          </w:tcPr>
          <w:p w:rsidR="00E254E2" w:rsidRPr="004B7434" w:rsidRDefault="00E254E2" w:rsidP="00E254E2">
            <w:pPr>
              <w:jc w:val="center"/>
              <w:rPr>
                <w:rFonts w:ascii="Arial" w:hAnsi="Arial" w:cs="Arial"/>
                <w:sz w:val="16"/>
                <w:szCs w:val="16"/>
              </w:rPr>
            </w:pPr>
            <w:r w:rsidRPr="004B7434">
              <w:rPr>
                <w:rFonts w:ascii="Arial" w:hAnsi="Arial" w:cs="Arial"/>
                <w:sz w:val="16"/>
                <w:szCs w:val="16"/>
              </w:rPr>
              <w:t> </w:t>
            </w:r>
          </w:p>
        </w:tc>
        <w:tc>
          <w:tcPr>
            <w:tcW w:w="348" w:type="pct"/>
            <w:tcBorders>
              <w:top w:val="nil"/>
              <w:left w:val="nil"/>
              <w:bottom w:val="single" w:sz="8" w:space="0" w:color="auto"/>
              <w:right w:val="nil"/>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 </w:t>
            </w:r>
          </w:p>
        </w:tc>
        <w:tc>
          <w:tcPr>
            <w:tcW w:w="159" w:type="pct"/>
            <w:tcBorders>
              <w:top w:val="nil"/>
              <w:left w:val="nil"/>
              <w:bottom w:val="single" w:sz="8" w:space="0" w:color="auto"/>
              <w:right w:val="single" w:sz="8" w:space="0" w:color="auto"/>
            </w:tcBorders>
            <w:shd w:val="clear" w:color="000000" w:fill="FFFFFF"/>
            <w:vAlign w:val="bottom"/>
            <w:hideMark/>
          </w:tcPr>
          <w:p w:rsidR="00E254E2" w:rsidRPr="004B7434" w:rsidRDefault="00E254E2" w:rsidP="00E254E2">
            <w:pPr>
              <w:rPr>
                <w:rFonts w:ascii="Calibri" w:hAnsi="Calibri" w:cs="Calibri"/>
                <w:sz w:val="16"/>
                <w:szCs w:val="16"/>
              </w:rPr>
            </w:pPr>
            <w:r w:rsidRPr="004B7434">
              <w:rPr>
                <w:rFonts w:ascii="Calibri" w:hAnsi="Calibri" w:cs="Calibri"/>
                <w:sz w:val="16"/>
                <w:szCs w:val="16"/>
              </w:rPr>
              <w:t> </w:t>
            </w:r>
          </w:p>
        </w:tc>
      </w:tr>
    </w:tbl>
    <w:p w:rsidR="00E254E2" w:rsidRDefault="00E254E2" w:rsidP="00E254E2">
      <w:pPr>
        <w:jc w:val="center"/>
        <w:rPr>
          <w:bCs/>
          <w:sz w:val="18"/>
          <w:szCs w:val="18"/>
          <w:highlight w:val="yellow"/>
        </w:rPr>
      </w:pPr>
      <w:r>
        <w:rPr>
          <w:bCs/>
          <w:sz w:val="18"/>
          <w:szCs w:val="18"/>
          <w:highlight w:val="yellow"/>
        </w:rPr>
        <w:br w:type="page"/>
      </w:r>
    </w:p>
    <w:tbl>
      <w:tblPr>
        <w:tblW w:w="0" w:type="auto"/>
        <w:tblInd w:w="-432" w:type="dxa"/>
        <w:tblLook w:val="04A0"/>
      </w:tblPr>
      <w:tblGrid>
        <w:gridCol w:w="1636"/>
        <w:gridCol w:w="1002"/>
        <w:gridCol w:w="964"/>
        <w:gridCol w:w="964"/>
        <w:gridCol w:w="1032"/>
        <w:gridCol w:w="1101"/>
        <w:gridCol w:w="1062"/>
        <w:gridCol w:w="836"/>
        <w:gridCol w:w="708"/>
        <w:gridCol w:w="1091"/>
        <w:gridCol w:w="889"/>
        <w:gridCol w:w="990"/>
        <w:gridCol w:w="910"/>
        <w:gridCol w:w="423"/>
      </w:tblGrid>
      <w:tr w:rsidR="00E254E2" w:rsidRPr="00427326" w:rsidTr="00E254E2">
        <w:trPr>
          <w:trHeight w:val="525"/>
          <w:tblHeader/>
        </w:trPr>
        <w:tc>
          <w:tcPr>
            <w:tcW w:w="13896" w:type="dxa"/>
            <w:gridSpan w:val="14"/>
            <w:tcBorders>
              <w:top w:val="nil"/>
              <w:left w:val="nil"/>
              <w:bottom w:val="single" w:sz="8" w:space="0" w:color="auto"/>
              <w:right w:val="nil"/>
            </w:tcBorders>
            <w:shd w:val="clear" w:color="000000" w:fill="FFFFFF"/>
            <w:vAlign w:val="bottom"/>
            <w:hideMark/>
          </w:tcPr>
          <w:p w:rsidR="00E254E2" w:rsidRPr="00427326" w:rsidRDefault="00E254E2" w:rsidP="00E254E2">
            <w:pPr>
              <w:jc w:val="center"/>
              <w:rPr>
                <w:rFonts w:ascii="Calibri" w:hAnsi="Calibri" w:cs="Calibri"/>
                <w:b/>
                <w:bCs/>
                <w:sz w:val="28"/>
                <w:szCs w:val="28"/>
              </w:rPr>
            </w:pPr>
            <w:r w:rsidRPr="00427326">
              <w:rPr>
                <w:rFonts w:ascii="Calibri" w:hAnsi="Calibri" w:cs="Calibri"/>
                <w:b/>
                <w:bCs/>
                <w:sz w:val="28"/>
                <w:szCs w:val="28"/>
              </w:rPr>
              <w:t>Table 2 - Annual Respondent Burden and Cost of Recordkeeping and Reporting Requirements for the Secondary Lead Smelters NESHAP  - Year 2</w:t>
            </w:r>
          </w:p>
        </w:tc>
      </w:tr>
      <w:tr w:rsidR="00E254E2" w:rsidRPr="00427326" w:rsidTr="00E254E2">
        <w:trPr>
          <w:trHeight w:val="1440"/>
          <w:tblHeader/>
        </w:trPr>
        <w:tc>
          <w:tcPr>
            <w:tcW w:w="1846" w:type="dxa"/>
            <w:tcBorders>
              <w:top w:val="single" w:sz="8" w:space="0" w:color="auto"/>
              <w:left w:val="single" w:sz="8" w:space="0" w:color="auto"/>
              <w:bottom w:val="single" w:sz="4" w:space="0" w:color="auto"/>
              <w:right w:val="single" w:sz="4" w:space="0" w:color="auto"/>
            </w:tcBorders>
            <w:shd w:val="clear" w:color="000000" w:fill="D9D9D9" w:themeFill="background1" w:themeFillShade="D9"/>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Burden Item</w:t>
            </w:r>
          </w:p>
        </w:tc>
        <w:tc>
          <w:tcPr>
            <w:tcW w:w="1004" w:type="dxa"/>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(A)</w:t>
            </w:r>
            <w:r w:rsidRPr="00427326">
              <w:rPr>
                <w:rFonts w:ascii="Calibri" w:hAnsi="Calibri" w:cs="Calibri"/>
                <w:sz w:val="16"/>
                <w:szCs w:val="16"/>
              </w:rPr>
              <w:br/>
              <w:t>Respondent Hours per Occurrence (Technical hours)</w:t>
            </w:r>
          </w:p>
        </w:tc>
        <w:tc>
          <w:tcPr>
            <w:tcW w:w="964" w:type="dxa"/>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xml:space="preserve">(B) </w:t>
            </w:r>
            <w:r w:rsidRPr="00427326">
              <w:rPr>
                <w:rFonts w:ascii="Calibri" w:hAnsi="Calibri" w:cs="Calibri"/>
                <w:sz w:val="16"/>
                <w:szCs w:val="16"/>
              </w:rPr>
              <w:br/>
              <w:t>Stack Testing Cost Per Occurrence</w:t>
            </w:r>
          </w:p>
        </w:tc>
        <w:tc>
          <w:tcPr>
            <w:tcW w:w="964" w:type="dxa"/>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xml:space="preserve">(C) </w:t>
            </w:r>
            <w:r w:rsidRPr="00427326">
              <w:rPr>
                <w:rFonts w:ascii="Calibri" w:hAnsi="Calibri" w:cs="Calibri"/>
                <w:sz w:val="16"/>
                <w:szCs w:val="16"/>
              </w:rPr>
              <w:br/>
              <w:t>Other Non-Labor Costs Per Occurrence</w:t>
            </w:r>
          </w:p>
        </w:tc>
        <w:tc>
          <w:tcPr>
            <w:tcW w:w="1034" w:type="dxa"/>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xml:space="preserve">(D) </w:t>
            </w:r>
            <w:r w:rsidRPr="00427326">
              <w:rPr>
                <w:rFonts w:ascii="Calibri" w:hAnsi="Calibri" w:cs="Calibri"/>
                <w:sz w:val="16"/>
                <w:szCs w:val="16"/>
              </w:rPr>
              <w:br/>
              <w:t>Number of Occurrences Per Respondent Per Year</w:t>
            </w:r>
          </w:p>
        </w:tc>
        <w:tc>
          <w:tcPr>
            <w:tcW w:w="1150" w:type="dxa"/>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(E)</w:t>
            </w:r>
            <w:r w:rsidRPr="00427326">
              <w:rPr>
                <w:rFonts w:ascii="Calibri" w:hAnsi="Calibri" w:cs="Calibri"/>
                <w:sz w:val="16"/>
                <w:szCs w:val="16"/>
              </w:rPr>
              <w:br/>
              <w:t>Technical Hours per Respondent Per Year</w:t>
            </w:r>
            <w:r w:rsidRPr="00427326">
              <w:rPr>
                <w:rFonts w:ascii="Calibri" w:hAnsi="Calibri" w:cs="Calibri"/>
                <w:sz w:val="16"/>
                <w:szCs w:val="16"/>
              </w:rPr>
              <w:br/>
              <w:t xml:space="preserve"> (A X D)</w:t>
            </w:r>
          </w:p>
        </w:tc>
        <w:tc>
          <w:tcPr>
            <w:tcW w:w="1062" w:type="dxa"/>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(F)</w:t>
            </w:r>
            <w:r w:rsidRPr="00427326">
              <w:rPr>
                <w:rFonts w:ascii="Calibri" w:hAnsi="Calibri" w:cs="Calibri"/>
                <w:sz w:val="16"/>
                <w:szCs w:val="16"/>
              </w:rPr>
              <w:br/>
              <w:t>Number of Respondents Per Year</w:t>
            </w:r>
          </w:p>
        </w:tc>
        <w:tc>
          <w:tcPr>
            <w:tcW w:w="840" w:type="dxa"/>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(G) Technical Hours per Year (E X F)</w:t>
            </w:r>
          </w:p>
        </w:tc>
        <w:tc>
          <w:tcPr>
            <w:tcW w:w="716" w:type="dxa"/>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xml:space="preserve">(H) </w:t>
            </w:r>
            <w:r w:rsidRPr="00427326">
              <w:rPr>
                <w:rFonts w:ascii="Calibri" w:hAnsi="Calibri" w:cs="Calibri"/>
                <w:sz w:val="16"/>
                <w:szCs w:val="16"/>
              </w:rPr>
              <w:br/>
              <w:t>Clerical Hours per Year</w:t>
            </w:r>
            <w:r w:rsidRPr="00427326">
              <w:rPr>
                <w:rFonts w:ascii="Calibri" w:hAnsi="Calibri" w:cs="Calibri"/>
                <w:sz w:val="16"/>
                <w:szCs w:val="16"/>
              </w:rPr>
              <w:br/>
              <w:t>(G X 0.1)</w:t>
            </w:r>
          </w:p>
        </w:tc>
        <w:tc>
          <w:tcPr>
            <w:tcW w:w="1091" w:type="dxa"/>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(I)</w:t>
            </w:r>
            <w:r w:rsidRPr="00427326">
              <w:rPr>
                <w:rFonts w:ascii="Calibri" w:hAnsi="Calibri" w:cs="Calibri"/>
                <w:sz w:val="16"/>
                <w:szCs w:val="16"/>
              </w:rPr>
              <w:br/>
              <w:t>Management Hours per Year</w:t>
            </w:r>
            <w:r w:rsidRPr="00427326">
              <w:rPr>
                <w:rFonts w:ascii="Calibri" w:hAnsi="Calibri" w:cs="Calibri"/>
                <w:sz w:val="16"/>
                <w:szCs w:val="16"/>
              </w:rPr>
              <w:br/>
              <w:t>(G X .05)</w:t>
            </w:r>
          </w:p>
        </w:tc>
        <w:tc>
          <w:tcPr>
            <w:tcW w:w="891" w:type="dxa"/>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(J)</w:t>
            </w:r>
            <w:r w:rsidRPr="00427326">
              <w:rPr>
                <w:rFonts w:ascii="Calibri" w:hAnsi="Calibri" w:cs="Calibri"/>
                <w:sz w:val="16"/>
                <w:szCs w:val="16"/>
              </w:rPr>
              <w:br/>
              <w:t>Total Labor Costs Per Year</w:t>
            </w:r>
          </w:p>
        </w:tc>
        <w:tc>
          <w:tcPr>
            <w:tcW w:w="998" w:type="dxa"/>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(K)</w:t>
            </w:r>
            <w:r w:rsidRPr="00427326">
              <w:rPr>
                <w:rFonts w:ascii="Calibri" w:hAnsi="Calibri" w:cs="Calibri"/>
                <w:sz w:val="16"/>
                <w:szCs w:val="16"/>
              </w:rPr>
              <w:br/>
              <w:t>Total Non-Labor Costs Per Year [(B+C)xDxF]</w:t>
            </w:r>
          </w:p>
        </w:tc>
        <w:tc>
          <w:tcPr>
            <w:tcW w:w="913" w:type="dxa"/>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(L)</w:t>
            </w:r>
            <w:r w:rsidRPr="00427326">
              <w:rPr>
                <w:rFonts w:ascii="Calibri" w:hAnsi="Calibri" w:cs="Calibri"/>
                <w:sz w:val="16"/>
                <w:szCs w:val="16"/>
              </w:rPr>
              <w:br/>
              <w:t>Total Number of Responses per Year</w:t>
            </w:r>
            <w:r w:rsidRPr="00427326">
              <w:rPr>
                <w:rFonts w:ascii="Calibri" w:hAnsi="Calibri" w:cs="Calibri"/>
                <w:sz w:val="16"/>
                <w:szCs w:val="16"/>
              </w:rPr>
              <w:br/>
              <w:t>(D X F)</w:t>
            </w:r>
          </w:p>
        </w:tc>
        <w:tc>
          <w:tcPr>
            <w:tcW w:w="423" w:type="dxa"/>
            <w:tcBorders>
              <w:top w:val="single" w:sz="8" w:space="0" w:color="auto"/>
              <w:left w:val="nil"/>
              <w:bottom w:val="single" w:sz="4" w:space="0" w:color="auto"/>
              <w:right w:val="single" w:sz="8" w:space="0" w:color="auto"/>
            </w:tcBorders>
            <w:shd w:val="clear" w:color="000000" w:fill="D9D9D9" w:themeFill="background1" w:themeFillShade="D9"/>
            <w:textDirection w:val="btLr"/>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Footnotes</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1.  Applications</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NA</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2.  Surveys and Studies</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NA</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3.  Reporting Requirements</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A.  Read Rule</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20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20</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B.  Required Activities</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1.  THC testing</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$4,700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10</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34</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340</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34</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17</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$30,153</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$159,800</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2.  Dioxin/Furan testing</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$19,300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10</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3.  Lead testing</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$10,000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10</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26</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260</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26</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13</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$23,058</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$260,000</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4.  Differential pressure monitor</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2</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$2,300</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2</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5.  Differential pressure monitor (annual O&amp;M)</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2</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$230</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2</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46</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92</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9</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5</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$8,159</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$10,580</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6.  Inspection and repair enclosure</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20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24</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16</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384</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38</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19</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$34,055</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7.  Inspect battery storage areas</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20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24</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16</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384</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38</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19</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$34,055</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C.  Create Information</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Inc. in 3B</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D.  Gather Information</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Inc. in 3E</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E.  Report Preparation</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1.  Annual report</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10</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16</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160</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16</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8</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$14,189</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16</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2.  Differential pressure monitoring report</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10</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16</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160</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16</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8</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$14,189</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16</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3.  Develop SOP for work practices</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40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40</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4.  Affirmative defense</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30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30</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30</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3</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2</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$3,141</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b/>
                <w:bCs/>
                <w:i/>
                <w:iCs/>
                <w:sz w:val="16"/>
                <w:szCs w:val="16"/>
              </w:rPr>
            </w:pPr>
            <w:r w:rsidRPr="00427326">
              <w:rPr>
                <w:rFonts w:ascii="Calibri" w:hAnsi="Calibri" w:cs="Calibri"/>
                <w:b/>
                <w:bCs/>
                <w:i/>
                <w:iCs/>
                <w:sz w:val="16"/>
                <w:szCs w:val="16"/>
              </w:rPr>
              <w:t>Reporting Subtotal</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1810</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181</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91</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$160,999</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$430,380</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33</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lastRenderedPageBreak/>
              <w:t>4.  Recordkeeping Requirements</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A.  Read Instructions</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Inc. in 3A</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B.  Implements Activities</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NA</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C.  Develop Record System</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NA</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D.  Record information</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1.  Records of fugitives</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12</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12</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16</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192</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19</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10</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$17,027</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2.  Records of flow weighted average for lead standard</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16</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16</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2</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$1,419</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3.  Records of continuous pressure monitors</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12</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12</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16</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192</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19</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10</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$17,027</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4.  Records of power outages</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12</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12</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16</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192</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19</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10</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$17,027</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5.  Records of facility enclosure inspections</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12</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12</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16</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192</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19</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10</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$17,027</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6.  Records of startup and shutdown</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12</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12</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16</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192</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19</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10</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$17,027</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7.  Records of malfunctions</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2</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6</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12</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16</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192</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19</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10</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$17,027</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8.  Records of actions taken during malfunctions</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6</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6</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16</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96</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10</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5</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$8,514</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9.  Records for BLDS</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12</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12</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16</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192</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19</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10</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$17,027</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10.  Records of furnace inspection</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12</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12</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16</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192</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19</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10</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$17,027</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11.  Records of recovery of plastic battery casing material</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6</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6</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16</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96</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10</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5</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$8,514</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E.  Personnel Training</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8</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8</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4" w:space="0" w:color="auto"/>
              <w:right w:val="single" w:sz="4"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lastRenderedPageBreak/>
              <w:t>F.  Time for Audits</w:t>
            </w:r>
          </w:p>
        </w:tc>
        <w:tc>
          <w:tcPr>
            <w:tcW w:w="100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NA</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34"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15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62"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40"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716"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91"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98"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13" w:type="dxa"/>
            <w:tcBorders>
              <w:top w:val="nil"/>
              <w:left w:val="nil"/>
              <w:bottom w:val="single" w:sz="4"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423" w:type="dxa"/>
            <w:tcBorders>
              <w:top w:val="nil"/>
              <w:left w:val="nil"/>
              <w:bottom w:val="single" w:sz="4"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nil"/>
              <w:right w:val="single" w:sz="4" w:space="0" w:color="auto"/>
            </w:tcBorders>
            <w:shd w:val="clear" w:color="000000" w:fill="FFFFFF"/>
            <w:vAlign w:val="bottom"/>
            <w:hideMark/>
          </w:tcPr>
          <w:p w:rsidR="00E254E2" w:rsidRPr="00427326" w:rsidRDefault="00E254E2" w:rsidP="00E254E2">
            <w:pPr>
              <w:rPr>
                <w:rFonts w:ascii="Calibri" w:hAnsi="Calibri" w:cs="Calibri"/>
                <w:b/>
                <w:bCs/>
                <w:i/>
                <w:iCs/>
                <w:sz w:val="16"/>
                <w:szCs w:val="16"/>
              </w:rPr>
            </w:pPr>
            <w:r w:rsidRPr="00427326">
              <w:rPr>
                <w:rFonts w:ascii="Calibri" w:hAnsi="Calibri" w:cs="Calibri"/>
                <w:b/>
                <w:bCs/>
                <w:i/>
                <w:iCs/>
                <w:sz w:val="16"/>
                <w:szCs w:val="16"/>
              </w:rPr>
              <w:t>Recordkeeping Subtotal</w:t>
            </w:r>
          </w:p>
        </w:tc>
        <w:tc>
          <w:tcPr>
            <w:tcW w:w="1004" w:type="dxa"/>
            <w:tcBorders>
              <w:top w:val="nil"/>
              <w:left w:val="nil"/>
              <w:bottom w:val="nil"/>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nil"/>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nil"/>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34" w:type="dxa"/>
            <w:tcBorders>
              <w:top w:val="nil"/>
              <w:left w:val="nil"/>
              <w:bottom w:val="nil"/>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150" w:type="dxa"/>
            <w:tcBorders>
              <w:top w:val="nil"/>
              <w:left w:val="nil"/>
              <w:bottom w:val="nil"/>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62" w:type="dxa"/>
            <w:tcBorders>
              <w:top w:val="nil"/>
              <w:left w:val="nil"/>
              <w:bottom w:val="nil"/>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40" w:type="dxa"/>
            <w:tcBorders>
              <w:top w:val="nil"/>
              <w:left w:val="nil"/>
              <w:bottom w:val="nil"/>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1744</w:t>
            </w:r>
          </w:p>
        </w:tc>
        <w:tc>
          <w:tcPr>
            <w:tcW w:w="716" w:type="dxa"/>
            <w:tcBorders>
              <w:top w:val="nil"/>
              <w:left w:val="nil"/>
              <w:bottom w:val="nil"/>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174</w:t>
            </w:r>
          </w:p>
        </w:tc>
        <w:tc>
          <w:tcPr>
            <w:tcW w:w="1091" w:type="dxa"/>
            <w:tcBorders>
              <w:top w:val="nil"/>
              <w:left w:val="nil"/>
              <w:bottom w:val="nil"/>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87</w:t>
            </w:r>
          </w:p>
        </w:tc>
        <w:tc>
          <w:tcPr>
            <w:tcW w:w="891" w:type="dxa"/>
            <w:tcBorders>
              <w:top w:val="nil"/>
              <w:left w:val="nil"/>
              <w:bottom w:val="nil"/>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$154,663</w:t>
            </w:r>
          </w:p>
        </w:tc>
        <w:tc>
          <w:tcPr>
            <w:tcW w:w="998" w:type="dxa"/>
            <w:tcBorders>
              <w:top w:val="nil"/>
              <w:left w:val="nil"/>
              <w:bottom w:val="nil"/>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913" w:type="dxa"/>
            <w:tcBorders>
              <w:top w:val="nil"/>
              <w:left w:val="nil"/>
              <w:bottom w:val="nil"/>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0</w:t>
            </w:r>
          </w:p>
        </w:tc>
        <w:tc>
          <w:tcPr>
            <w:tcW w:w="423" w:type="dxa"/>
            <w:tcBorders>
              <w:top w:val="nil"/>
              <w:left w:val="nil"/>
              <w:bottom w:val="nil"/>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single" w:sz="8" w:space="0" w:color="auto"/>
              <w:left w:val="single" w:sz="8" w:space="0" w:color="auto"/>
              <w:bottom w:val="single" w:sz="8" w:space="0" w:color="auto"/>
              <w:right w:val="single" w:sz="4" w:space="0" w:color="auto"/>
            </w:tcBorders>
            <w:shd w:val="clear" w:color="000000" w:fill="FFFFFF"/>
            <w:vAlign w:val="bottom"/>
            <w:hideMark/>
          </w:tcPr>
          <w:p w:rsidR="00E254E2" w:rsidRPr="00427326" w:rsidRDefault="00E254E2" w:rsidP="00E254E2">
            <w:pPr>
              <w:rPr>
                <w:rFonts w:ascii="Calibri" w:hAnsi="Calibri" w:cs="Calibri"/>
                <w:b/>
                <w:bCs/>
                <w:sz w:val="16"/>
                <w:szCs w:val="16"/>
              </w:rPr>
            </w:pPr>
            <w:r w:rsidRPr="00427326">
              <w:rPr>
                <w:rFonts w:ascii="Calibri" w:hAnsi="Calibri" w:cs="Calibri"/>
                <w:b/>
                <w:bCs/>
                <w:sz w:val="16"/>
                <w:szCs w:val="16"/>
              </w:rPr>
              <w:t>TOTAL</w:t>
            </w:r>
          </w:p>
        </w:tc>
        <w:tc>
          <w:tcPr>
            <w:tcW w:w="1004" w:type="dxa"/>
            <w:tcBorders>
              <w:top w:val="single" w:sz="8" w:space="0" w:color="auto"/>
              <w:left w:val="nil"/>
              <w:bottom w:val="single" w:sz="8"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64" w:type="dxa"/>
            <w:tcBorders>
              <w:top w:val="single" w:sz="8" w:space="0" w:color="auto"/>
              <w:left w:val="nil"/>
              <w:bottom w:val="single" w:sz="8"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964" w:type="dxa"/>
            <w:tcBorders>
              <w:top w:val="single" w:sz="8" w:space="0" w:color="auto"/>
              <w:left w:val="nil"/>
              <w:bottom w:val="single" w:sz="8"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34" w:type="dxa"/>
            <w:tcBorders>
              <w:top w:val="single" w:sz="8" w:space="0" w:color="auto"/>
              <w:left w:val="nil"/>
              <w:bottom w:val="single" w:sz="8"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150" w:type="dxa"/>
            <w:tcBorders>
              <w:top w:val="single" w:sz="8" w:space="0" w:color="auto"/>
              <w:left w:val="nil"/>
              <w:bottom w:val="single" w:sz="8"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1062" w:type="dxa"/>
            <w:tcBorders>
              <w:top w:val="single" w:sz="8" w:space="0" w:color="auto"/>
              <w:left w:val="nil"/>
              <w:bottom w:val="single" w:sz="8"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c>
          <w:tcPr>
            <w:tcW w:w="840" w:type="dxa"/>
            <w:tcBorders>
              <w:top w:val="single" w:sz="8" w:space="0" w:color="auto"/>
              <w:left w:val="nil"/>
              <w:bottom w:val="single" w:sz="8"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3554</w:t>
            </w:r>
          </w:p>
        </w:tc>
        <w:tc>
          <w:tcPr>
            <w:tcW w:w="716" w:type="dxa"/>
            <w:tcBorders>
              <w:top w:val="single" w:sz="8" w:space="0" w:color="auto"/>
              <w:left w:val="nil"/>
              <w:bottom w:val="single" w:sz="8"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355</w:t>
            </w:r>
          </w:p>
        </w:tc>
        <w:tc>
          <w:tcPr>
            <w:tcW w:w="1091" w:type="dxa"/>
            <w:tcBorders>
              <w:top w:val="single" w:sz="8" w:space="0" w:color="auto"/>
              <w:left w:val="nil"/>
              <w:bottom w:val="single" w:sz="8"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178</w:t>
            </w:r>
          </w:p>
        </w:tc>
        <w:tc>
          <w:tcPr>
            <w:tcW w:w="891" w:type="dxa"/>
            <w:tcBorders>
              <w:top w:val="single" w:sz="8" w:space="0" w:color="auto"/>
              <w:left w:val="nil"/>
              <w:bottom w:val="single" w:sz="8"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$315,662</w:t>
            </w:r>
          </w:p>
        </w:tc>
        <w:tc>
          <w:tcPr>
            <w:tcW w:w="998" w:type="dxa"/>
            <w:tcBorders>
              <w:top w:val="single" w:sz="8" w:space="0" w:color="auto"/>
              <w:left w:val="nil"/>
              <w:bottom w:val="single" w:sz="8"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$430,380</w:t>
            </w:r>
          </w:p>
        </w:tc>
        <w:tc>
          <w:tcPr>
            <w:tcW w:w="913" w:type="dxa"/>
            <w:tcBorders>
              <w:top w:val="single" w:sz="8" w:space="0" w:color="auto"/>
              <w:left w:val="nil"/>
              <w:bottom w:val="single" w:sz="8" w:space="0" w:color="auto"/>
              <w:right w:val="single" w:sz="4"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33</w:t>
            </w:r>
          </w:p>
        </w:tc>
        <w:tc>
          <w:tcPr>
            <w:tcW w:w="423" w:type="dxa"/>
            <w:tcBorders>
              <w:top w:val="single" w:sz="8" w:space="0" w:color="auto"/>
              <w:left w:val="nil"/>
              <w:bottom w:val="single" w:sz="8" w:space="0" w:color="auto"/>
              <w:right w:val="single" w:sz="8" w:space="0" w:color="auto"/>
            </w:tcBorders>
            <w:shd w:val="clear" w:color="000000" w:fill="FFFFFF"/>
            <w:vAlign w:val="bottom"/>
            <w:hideMark/>
          </w:tcPr>
          <w:p w:rsidR="00E254E2" w:rsidRPr="00427326" w:rsidRDefault="00E254E2" w:rsidP="00E254E2">
            <w:pPr>
              <w:jc w:val="cente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nil"/>
              <w:right w:val="nil"/>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 </w:t>
            </w:r>
          </w:p>
        </w:tc>
        <w:tc>
          <w:tcPr>
            <w:tcW w:w="1004" w:type="dxa"/>
            <w:tcBorders>
              <w:top w:val="nil"/>
              <w:left w:val="nil"/>
              <w:bottom w:val="nil"/>
              <w:right w:val="nil"/>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nil"/>
              <w:right w:val="nil"/>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nil"/>
              <w:right w:val="nil"/>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 </w:t>
            </w:r>
          </w:p>
        </w:tc>
        <w:tc>
          <w:tcPr>
            <w:tcW w:w="1034" w:type="dxa"/>
            <w:tcBorders>
              <w:top w:val="nil"/>
              <w:left w:val="nil"/>
              <w:bottom w:val="nil"/>
              <w:right w:val="nil"/>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 </w:t>
            </w:r>
          </w:p>
        </w:tc>
        <w:tc>
          <w:tcPr>
            <w:tcW w:w="1150" w:type="dxa"/>
            <w:tcBorders>
              <w:top w:val="nil"/>
              <w:left w:val="nil"/>
              <w:bottom w:val="nil"/>
              <w:right w:val="nil"/>
            </w:tcBorders>
            <w:shd w:val="clear" w:color="000000" w:fill="FFFFFF"/>
            <w:vAlign w:val="center"/>
            <w:hideMark/>
          </w:tcPr>
          <w:p w:rsidR="00E254E2" w:rsidRPr="00427326" w:rsidRDefault="00E254E2" w:rsidP="00E254E2">
            <w:pPr>
              <w:jc w:val="center"/>
              <w:rPr>
                <w:rFonts w:ascii="Arial" w:hAnsi="Arial" w:cs="Arial"/>
                <w:sz w:val="16"/>
                <w:szCs w:val="16"/>
              </w:rPr>
            </w:pPr>
            <w:r w:rsidRPr="00427326">
              <w:rPr>
                <w:rFonts w:ascii="Arial" w:hAnsi="Arial" w:cs="Arial"/>
                <w:sz w:val="16"/>
                <w:szCs w:val="16"/>
              </w:rPr>
              <w:t> </w:t>
            </w:r>
          </w:p>
        </w:tc>
        <w:tc>
          <w:tcPr>
            <w:tcW w:w="1062" w:type="dxa"/>
            <w:tcBorders>
              <w:top w:val="nil"/>
              <w:left w:val="nil"/>
              <w:bottom w:val="nil"/>
              <w:right w:val="nil"/>
            </w:tcBorders>
            <w:shd w:val="clear" w:color="000000" w:fill="FFFFFF"/>
            <w:vAlign w:val="center"/>
            <w:hideMark/>
          </w:tcPr>
          <w:p w:rsidR="00E254E2" w:rsidRPr="00427326" w:rsidRDefault="00E254E2" w:rsidP="00E254E2">
            <w:pPr>
              <w:jc w:val="center"/>
              <w:rPr>
                <w:rFonts w:ascii="Arial" w:hAnsi="Arial" w:cs="Arial"/>
                <w:sz w:val="16"/>
                <w:szCs w:val="16"/>
              </w:rPr>
            </w:pPr>
            <w:r w:rsidRPr="00427326">
              <w:rPr>
                <w:rFonts w:ascii="Arial" w:hAnsi="Arial" w:cs="Arial"/>
                <w:sz w:val="16"/>
                <w:szCs w:val="16"/>
              </w:rPr>
              <w:t> </w:t>
            </w:r>
          </w:p>
        </w:tc>
        <w:tc>
          <w:tcPr>
            <w:tcW w:w="840" w:type="dxa"/>
            <w:tcBorders>
              <w:top w:val="nil"/>
              <w:left w:val="nil"/>
              <w:bottom w:val="nil"/>
              <w:right w:val="nil"/>
            </w:tcBorders>
            <w:shd w:val="clear" w:color="000000" w:fill="FFFFFF"/>
            <w:vAlign w:val="center"/>
            <w:hideMark/>
          </w:tcPr>
          <w:p w:rsidR="00E254E2" w:rsidRPr="00427326" w:rsidRDefault="00E254E2" w:rsidP="00E254E2">
            <w:pPr>
              <w:jc w:val="center"/>
              <w:rPr>
                <w:rFonts w:ascii="Arial" w:hAnsi="Arial" w:cs="Arial"/>
                <w:sz w:val="16"/>
                <w:szCs w:val="16"/>
              </w:rPr>
            </w:pPr>
            <w:r w:rsidRPr="00427326">
              <w:rPr>
                <w:rFonts w:ascii="Arial" w:hAnsi="Arial" w:cs="Arial"/>
                <w:sz w:val="16"/>
                <w:szCs w:val="16"/>
              </w:rPr>
              <w:t> </w:t>
            </w:r>
          </w:p>
        </w:tc>
        <w:tc>
          <w:tcPr>
            <w:tcW w:w="716" w:type="dxa"/>
            <w:tcBorders>
              <w:top w:val="nil"/>
              <w:left w:val="nil"/>
              <w:bottom w:val="nil"/>
              <w:right w:val="nil"/>
            </w:tcBorders>
            <w:shd w:val="clear" w:color="000000" w:fill="FFFFFF"/>
            <w:vAlign w:val="center"/>
            <w:hideMark/>
          </w:tcPr>
          <w:p w:rsidR="00E254E2" w:rsidRPr="00FB075C" w:rsidRDefault="00E254E2" w:rsidP="00E254E2">
            <w:pPr>
              <w:jc w:val="center"/>
              <w:rPr>
                <w:rFonts w:ascii="Arial" w:hAnsi="Arial" w:cs="Arial"/>
                <w:b/>
                <w:sz w:val="16"/>
                <w:szCs w:val="16"/>
              </w:rPr>
            </w:pPr>
            <w:r w:rsidRPr="00FB075C">
              <w:rPr>
                <w:rFonts w:ascii="Arial" w:hAnsi="Arial" w:cs="Arial"/>
                <w:b/>
                <w:sz w:val="16"/>
                <w:szCs w:val="16"/>
              </w:rPr>
              <w:t>Total Hours</w:t>
            </w:r>
          </w:p>
        </w:tc>
        <w:tc>
          <w:tcPr>
            <w:tcW w:w="1091" w:type="dxa"/>
            <w:tcBorders>
              <w:top w:val="nil"/>
              <w:left w:val="nil"/>
              <w:bottom w:val="nil"/>
              <w:right w:val="nil"/>
            </w:tcBorders>
            <w:shd w:val="clear" w:color="000000" w:fill="FFFFFF"/>
            <w:vAlign w:val="center"/>
            <w:hideMark/>
          </w:tcPr>
          <w:p w:rsidR="00E254E2" w:rsidRPr="00FB075C" w:rsidRDefault="00E254E2" w:rsidP="00E254E2">
            <w:pPr>
              <w:jc w:val="center"/>
              <w:rPr>
                <w:rFonts w:ascii="Arial" w:hAnsi="Arial" w:cs="Arial"/>
                <w:b/>
                <w:sz w:val="16"/>
                <w:szCs w:val="16"/>
              </w:rPr>
            </w:pPr>
            <w:r w:rsidRPr="00FB075C">
              <w:rPr>
                <w:rFonts w:ascii="Arial" w:hAnsi="Arial" w:cs="Arial"/>
                <w:b/>
                <w:sz w:val="16"/>
                <w:szCs w:val="16"/>
              </w:rPr>
              <w:t>Labor</w:t>
            </w:r>
          </w:p>
        </w:tc>
        <w:tc>
          <w:tcPr>
            <w:tcW w:w="891" w:type="dxa"/>
            <w:tcBorders>
              <w:top w:val="nil"/>
              <w:left w:val="nil"/>
              <w:bottom w:val="nil"/>
              <w:right w:val="nil"/>
            </w:tcBorders>
            <w:shd w:val="clear" w:color="000000" w:fill="FFFFFF"/>
            <w:vAlign w:val="center"/>
            <w:hideMark/>
          </w:tcPr>
          <w:p w:rsidR="00E254E2" w:rsidRPr="00FB075C" w:rsidRDefault="00E254E2" w:rsidP="00E254E2">
            <w:pPr>
              <w:jc w:val="center"/>
              <w:rPr>
                <w:rFonts w:ascii="Arial" w:hAnsi="Arial" w:cs="Arial"/>
                <w:b/>
                <w:sz w:val="16"/>
                <w:szCs w:val="16"/>
              </w:rPr>
            </w:pPr>
            <w:r w:rsidRPr="00FB075C">
              <w:rPr>
                <w:rFonts w:ascii="Arial" w:hAnsi="Arial" w:cs="Arial"/>
                <w:b/>
                <w:sz w:val="16"/>
                <w:szCs w:val="16"/>
              </w:rPr>
              <w:t>Non-Labor</w:t>
            </w:r>
          </w:p>
        </w:tc>
        <w:tc>
          <w:tcPr>
            <w:tcW w:w="998" w:type="dxa"/>
            <w:tcBorders>
              <w:top w:val="nil"/>
              <w:left w:val="nil"/>
              <w:bottom w:val="nil"/>
              <w:right w:val="nil"/>
            </w:tcBorders>
            <w:shd w:val="clear" w:color="000000" w:fill="FFFFFF"/>
            <w:vAlign w:val="center"/>
            <w:hideMark/>
          </w:tcPr>
          <w:p w:rsidR="00E254E2" w:rsidRPr="00FB075C" w:rsidRDefault="00E254E2" w:rsidP="00E254E2">
            <w:pPr>
              <w:jc w:val="center"/>
              <w:rPr>
                <w:rFonts w:ascii="Arial" w:hAnsi="Arial" w:cs="Arial"/>
                <w:b/>
                <w:sz w:val="16"/>
                <w:szCs w:val="16"/>
              </w:rPr>
            </w:pPr>
            <w:r w:rsidRPr="00FB075C">
              <w:rPr>
                <w:rFonts w:ascii="Arial" w:hAnsi="Arial" w:cs="Arial"/>
                <w:b/>
                <w:sz w:val="16"/>
                <w:szCs w:val="16"/>
              </w:rPr>
              <w:t>Total</w:t>
            </w:r>
          </w:p>
        </w:tc>
        <w:tc>
          <w:tcPr>
            <w:tcW w:w="913" w:type="dxa"/>
            <w:tcBorders>
              <w:top w:val="nil"/>
              <w:left w:val="nil"/>
              <w:bottom w:val="nil"/>
              <w:right w:val="nil"/>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 </w:t>
            </w:r>
          </w:p>
        </w:tc>
        <w:tc>
          <w:tcPr>
            <w:tcW w:w="423" w:type="dxa"/>
            <w:tcBorders>
              <w:top w:val="nil"/>
              <w:left w:val="nil"/>
              <w:bottom w:val="nil"/>
              <w:right w:val="single" w:sz="8"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nil"/>
              <w:right w:val="nil"/>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 </w:t>
            </w:r>
          </w:p>
        </w:tc>
        <w:tc>
          <w:tcPr>
            <w:tcW w:w="1004" w:type="dxa"/>
            <w:tcBorders>
              <w:top w:val="nil"/>
              <w:left w:val="nil"/>
              <w:bottom w:val="nil"/>
              <w:right w:val="nil"/>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nil"/>
              <w:right w:val="nil"/>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nil"/>
              <w:right w:val="nil"/>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 </w:t>
            </w:r>
          </w:p>
        </w:tc>
        <w:tc>
          <w:tcPr>
            <w:tcW w:w="3246" w:type="dxa"/>
            <w:gridSpan w:val="3"/>
            <w:tcBorders>
              <w:top w:val="nil"/>
              <w:left w:val="nil"/>
              <w:bottom w:val="nil"/>
              <w:right w:val="nil"/>
            </w:tcBorders>
            <w:shd w:val="clear" w:color="000000" w:fill="FFFFFF"/>
            <w:vAlign w:val="bottom"/>
            <w:hideMark/>
          </w:tcPr>
          <w:p w:rsidR="00E254E2" w:rsidRPr="00FB075C" w:rsidRDefault="00E254E2" w:rsidP="00E254E2">
            <w:pPr>
              <w:rPr>
                <w:rFonts w:ascii="Arial" w:hAnsi="Arial" w:cs="Arial"/>
                <w:b/>
                <w:sz w:val="16"/>
                <w:szCs w:val="16"/>
              </w:rPr>
            </w:pPr>
            <w:r w:rsidRPr="00FB075C">
              <w:rPr>
                <w:rFonts w:ascii="Calibri" w:hAnsi="Calibri" w:cs="Calibri"/>
                <w:b/>
                <w:sz w:val="16"/>
                <w:szCs w:val="16"/>
              </w:rPr>
              <w:t> </w:t>
            </w:r>
            <w:r w:rsidRPr="00FB075C">
              <w:rPr>
                <w:rFonts w:ascii="Arial" w:hAnsi="Arial" w:cs="Arial"/>
                <w:b/>
                <w:sz w:val="16"/>
                <w:szCs w:val="16"/>
              </w:rPr>
              <w:t>Summary of Respondent Burden </w:t>
            </w:r>
          </w:p>
        </w:tc>
        <w:tc>
          <w:tcPr>
            <w:tcW w:w="840" w:type="dxa"/>
            <w:tcBorders>
              <w:top w:val="nil"/>
              <w:left w:val="nil"/>
              <w:bottom w:val="nil"/>
              <w:right w:val="nil"/>
            </w:tcBorders>
            <w:shd w:val="clear" w:color="000000" w:fill="FFFFFF"/>
            <w:vAlign w:val="center"/>
            <w:hideMark/>
          </w:tcPr>
          <w:p w:rsidR="00E254E2" w:rsidRPr="00427326" w:rsidRDefault="00E254E2" w:rsidP="00E254E2">
            <w:pPr>
              <w:jc w:val="center"/>
              <w:rPr>
                <w:rFonts w:ascii="Arial" w:hAnsi="Arial" w:cs="Arial"/>
                <w:sz w:val="16"/>
                <w:szCs w:val="16"/>
              </w:rPr>
            </w:pPr>
            <w:r w:rsidRPr="00427326">
              <w:rPr>
                <w:rFonts w:ascii="Arial" w:hAnsi="Arial" w:cs="Arial"/>
                <w:sz w:val="16"/>
                <w:szCs w:val="16"/>
              </w:rPr>
              <w:t> </w:t>
            </w:r>
          </w:p>
        </w:tc>
        <w:tc>
          <w:tcPr>
            <w:tcW w:w="716" w:type="dxa"/>
            <w:tcBorders>
              <w:top w:val="nil"/>
              <w:left w:val="nil"/>
              <w:bottom w:val="nil"/>
              <w:right w:val="nil"/>
            </w:tcBorders>
            <w:shd w:val="clear" w:color="000000" w:fill="FFFFFF"/>
            <w:vAlign w:val="center"/>
            <w:hideMark/>
          </w:tcPr>
          <w:p w:rsidR="00E254E2" w:rsidRPr="00427326" w:rsidRDefault="00E254E2" w:rsidP="00E254E2">
            <w:pPr>
              <w:jc w:val="right"/>
              <w:rPr>
                <w:rFonts w:ascii="Arial" w:hAnsi="Arial" w:cs="Arial"/>
                <w:sz w:val="16"/>
                <w:szCs w:val="16"/>
              </w:rPr>
            </w:pPr>
            <w:r w:rsidRPr="00427326">
              <w:rPr>
                <w:rFonts w:ascii="Arial" w:hAnsi="Arial" w:cs="Arial"/>
                <w:sz w:val="16"/>
                <w:szCs w:val="16"/>
              </w:rPr>
              <w:t>4,087</w:t>
            </w:r>
          </w:p>
        </w:tc>
        <w:tc>
          <w:tcPr>
            <w:tcW w:w="1091" w:type="dxa"/>
            <w:tcBorders>
              <w:top w:val="nil"/>
              <w:left w:val="nil"/>
              <w:bottom w:val="nil"/>
              <w:right w:val="nil"/>
            </w:tcBorders>
            <w:shd w:val="clear" w:color="000000" w:fill="FFFFFF"/>
            <w:vAlign w:val="center"/>
            <w:hideMark/>
          </w:tcPr>
          <w:p w:rsidR="00E254E2" w:rsidRPr="00427326" w:rsidRDefault="00E254E2" w:rsidP="00E254E2">
            <w:pPr>
              <w:jc w:val="right"/>
              <w:rPr>
                <w:rFonts w:ascii="Arial" w:hAnsi="Arial" w:cs="Arial"/>
                <w:sz w:val="16"/>
                <w:szCs w:val="16"/>
              </w:rPr>
            </w:pPr>
            <w:r w:rsidRPr="00427326">
              <w:rPr>
                <w:rFonts w:ascii="Arial" w:hAnsi="Arial" w:cs="Arial"/>
                <w:sz w:val="16"/>
                <w:szCs w:val="16"/>
              </w:rPr>
              <w:t>$315,662</w:t>
            </w:r>
          </w:p>
        </w:tc>
        <w:tc>
          <w:tcPr>
            <w:tcW w:w="891" w:type="dxa"/>
            <w:tcBorders>
              <w:top w:val="nil"/>
              <w:left w:val="nil"/>
              <w:bottom w:val="nil"/>
              <w:right w:val="nil"/>
            </w:tcBorders>
            <w:shd w:val="clear" w:color="000000" w:fill="FFFFFF"/>
            <w:vAlign w:val="center"/>
            <w:hideMark/>
          </w:tcPr>
          <w:p w:rsidR="00E254E2" w:rsidRPr="00427326" w:rsidRDefault="00E254E2" w:rsidP="00E254E2">
            <w:pPr>
              <w:jc w:val="right"/>
              <w:rPr>
                <w:rFonts w:ascii="Arial" w:hAnsi="Arial" w:cs="Arial"/>
                <w:sz w:val="16"/>
                <w:szCs w:val="16"/>
              </w:rPr>
            </w:pPr>
            <w:r w:rsidRPr="00427326">
              <w:rPr>
                <w:rFonts w:ascii="Arial" w:hAnsi="Arial" w:cs="Arial"/>
                <w:sz w:val="16"/>
                <w:szCs w:val="16"/>
              </w:rPr>
              <w:t>$430,380</w:t>
            </w:r>
          </w:p>
        </w:tc>
        <w:tc>
          <w:tcPr>
            <w:tcW w:w="998" w:type="dxa"/>
            <w:tcBorders>
              <w:top w:val="nil"/>
              <w:left w:val="nil"/>
              <w:bottom w:val="nil"/>
              <w:right w:val="nil"/>
            </w:tcBorders>
            <w:shd w:val="clear" w:color="000000" w:fill="FFFFFF"/>
            <w:vAlign w:val="center"/>
            <w:hideMark/>
          </w:tcPr>
          <w:p w:rsidR="00E254E2" w:rsidRPr="00427326" w:rsidRDefault="00E254E2" w:rsidP="00E254E2">
            <w:pPr>
              <w:jc w:val="right"/>
              <w:rPr>
                <w:rFonts w:ascii="Arial" w:hAnsi="Arial" w:cs="Arial"/>
                <w:sz w:val="16"/>
                <w:szCs w:val="16"/>
              </w:rPr>
            </w:pPr>
            <w:r w:rsidRPr="00427326">
              <w:rPr>
                <w:rFonts w:ascii="Arial" w:hAnsi="Arial" w:cs="Arial"/>
                <w:sz w:val="16"/>
                <w:szCs w:val="16"/>
              </w:rPr>
              <w:t>$746,042</w:t>
            </w:r>
          </w:p>
        </w:tc>
        <w:tc>
          <w:tcPr>
            <w:tcW w:w="913" w:type="dxa"/>
            <w:tcBorders>
              <w:top w:val="nil"/>
              <w:left w:val="nil"/>
              <w:bottom w:val="nil"/>
              <w:right w:val="nil"/>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 </w:t>
            </w:r>
          </w:p>
        </w:tc>
        <w:tc>
          <w:tcPr>
            <w:tcW w:w="423" w:type="dxa"/>
            <w:tcBorders>
              <w:top w:val="nil"/>
              <w:left w:val="nil"/>
              <w:bottom w:val="nil"/>
              <w:right w:val="single" w:sz="8"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nil"/>
              <w:right w:val="nil"/>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 </w:t>
            </w:r>
          </w:p>
        </w:tc>
        <w:tc>
          <w:tcPr>
            <w:tcW w:w="1004" w:type="dxa"/>
            <w:tcBorders>
              <w:top w:val="nil"/>
              <w:left w:val="nil"/>
              <w:bottom w:val="nil"/>
              <w:right w:val="nil"/>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nil"/>
              <w:right w:val="nil"/>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nil"/>
              <w:right w:val="nil"/>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 </w:t>
            </w:r>
          </w:p>
        </w:tc>
        <w:tc>
          <w:tcPr>
            <w:tcW w:w="3246" w:type="dxa"/>
            <w:gridSpan w:val="3"/>
            <w:tcBorders>
              <w:top w:val="nil"/>
              <w:left w:val="nil"/>
              <w:bottom w:val="nil"/>
              <w:right w:val="nil"/>
            </w:tcBorders>
            <w:shd w:val="clear" w:color="000000" w:fill="FFFFFF"/>
            <w:vAlign w:val="bottom"/>
            <w:hideMark/>
          </w:tcPr>
          <w:p w:rsidR="00E254E2" w:rsidRPr="00FB075C" w:rsidRDefault="00E254E2" w:rsidP="00E254E2">
            <w:pPr>
              <w:rPr>
                <w:rFonts w:ascii="Arial" w:hAnsi="Arial" w:cs="Arial"/>
                <w:b/>
                <w:sz w:val="16"/>
                <w:szCs w:val="16"/>
              </w:rPr>
            </w:pPr>
            <w:r w:rsidRPr="00FB075C">
              <w:rPr>
                <w:rFonts w:ascii="Arial" w:hAnsi="Arial" w:cs="Arial"/>
                <w:b/>
                <w:sz w:val="16"/>
                <w:szCs w:val="16"/>
              </w:rPr>
              <w:t>Initial Capital and Startup </w:t>
            </w:r>
          </w:p>
        </w:tc>
        <w:tc>
          <w:tcPr>
            <w:tcW w:w="840" w:type="dxa"/>
            <w:tcBorders>
              <w:top w:val="nil"/>
              <w:left w:val="nil"/>
              <w:bottom w:val="nil"/>
              <w:right w:val="nil"/>
            </w:tcBorders>
            <w:shd w:val="clear" w:color="000000" w:fill="FFFFFF"/>
            <w:vAlign w:val="center"/>
            <w:hideMark/>
          </w:tcPr>
          <w:p w:rsidR="00E254E2" w:rsidRPr="00427326" w:rsidRDefault="00E254E2" w:rsidP="00E254E2">
            <w:pPr>
              <w:jc w:val="center"/>
              <w:rPr>
                <w:rFonts w:ascii="Arial" w:hAnsi="Arial" w:cs="Arial"/>
                <w:sz w:val="16"/>
                <w:szCs w:val="16"/>
              </w:rPr>
            </w:pPr>
            <w:r w:rsidRPr="00427326">
              <w:rPr>
                <w:rFonts w:ascii="Arial" w:hAnsi="Arial" w:cs="Arial"/>
                <w:sz w:val="16"/>
                <w:szCs w:val="16"/>
              </w:rPr>
              <w:t> </w:t>
            </w:r>
          </w:p>
        </w:tc>
        <w:tc>
          <w:tcPr>
            <w:tcW w:w="716" w:type="dxa"/>
            <w:tcBorders>
              <w:top w:val="nil"/>
              <w:left w:val="nil"/>
              <w:bottom w:val="nil"/>
              <w:right w:val="nil"/>
            </w:tcBorders>
            <w:shd w:val="clear" w:color="000000" w:fill="FFFFFF"/>
            <w:vAlign w:val="center"/>
            <w:hideMark/>
          </w:tcPr>
          <w:p w:rsidR="00E254E2" w:rsidRPr="00427326" w:rsidRDefault="00E254E2" w:rsidP="00E254E2">
            <w:pPr>
              <w:jc w:val="center"/>
              <w:rPr>
                <w:rFonts w:ascii="Arial" w:hAnsi="Arial" w:cs="Arial"/>
                <w:sz w:val="16"/>
                <w:szCs w:val="16"/>
              </w:rPr>
            </w:pPr>
            <w:r w:rsidRPr="00427326">
              <w:rPr>
                <w:rFonts w:ascii="Arial" w:hAnsi="Arial" w:cs="Arial"/>
                <w:sz w:val="16"/>
                <w:szCs w:val="16"/>
              </w:rPr>
              <w:t> </w:t>
            </w:r>
          </w:p>
        </w:tc>
        <w:tc>
          <w:tcPr>
            <w:tcW w:w="1091" w:type="dxa"/>
            <w:tcBorders>
              <w:top w:val="nil"/>
              <w:left w:val="nil"/>
              <w:bottom w:val="nil"/>
              <w:right w:val="nil"/>
            </w:tcBorders>
            <w:shd w:val="clear" w:color="000000" w:fill="FFFFFF"/>
            <w:vAlign w:val="center"/>
            <w:hideMark/>
          </w:tcPr>
          <w:p w:rsidR="00E254E2" w:rsidRPr="00427326" w:rsidRDefault="00E254E2" w:rsidP="00E254E2">
            <w:pPr>
              <w:jc w:val="center"/>
              <w:rPr>
                <w:rFonts w:ascii="Arial" w:hAnsi="Arial" w:cs="Arial"/>
                <w:sz w:val="16"/>
                <w:szCs w:val="16"/>
              </w:rPr>
            </w:pPr>
            <w:r w:rsidRPr="00427326">
              <w:rPr>
                <w:rFonts w:ascii="Arial" w:hAnsi="Arial" w:cs="Arial"/>
                <w:sz w:val="16"/>
                <w:szCs w:val="16"/>
              </w:rPr>
              <w:t> </w:t>
            </w:r>
          </w:p>
        </w:tc>
        <w:tc>
          <w:tcPr>
            <w:tcW w:w="891" w:type="dxa"/>
            <w:tcBorders>
              <w:top w:val="nil"/>
              <w:left w:val="nil"/>
              <w:bottom w:val="nil"/>
              <w:right w:val="nil"/>
            </w:tcBorders>
            <w:shd w:val="clear" w:color="000000" w:fill="FFFFFF"/>
            <w:vAlign w:val="center"/>
            <w:hideMark/>
          </w:tcPr>
          <w:p w:rsidR="00E254E2" w:rsidRPr="00427326" w:rsidRDefault="00E254E2" w:rsidP="00E254E2">
            <w:pPr>
              <w:jc w:val="right"/>
              <w:rPr>
                <w:rFonts w:ascii="Arial" w:hAnsi="Arial" w:cs="Arial"/>
                <w:sz w:val="16"/>
                <w:szCs w:val="16"/>
              </w:rPr>
            </w:pPr>
            <w:r w:rsidRPr="00427326">
              <w:rPr>
                <w:rFonts w:ascii="Arial" w:hAnsi="Arial" w:cs="Arial"/>
                <w:sz w:val="16"/>
                <w:szCs w:val="16"/>
              </w:rPr>
              <w:t>$0</w:t>
            </w:r>
          </w:p>
        </w:tc>
        <w:tc>
          <w:tcPr>
            <w:tcW w:w="998" w:type="dxa"/>
            <w:tcBorders>
              <w:top w:val="nil"/>
              <w:left w:val="nil"/>
              <w:bottom w:val="nil"/>
              <w:right w:val="nil"/>
            </w:tcBorders>
            <w:shd w:val="clear" w:color="000000" w:fill="FFFFFF"/>
            <w:vAlign w:val="center"/>
            <w:hideMark/>
          </w:tcPr>
          <w:p w:rsidR="00E254E2" w:rsidRPr="00427326" w:rsidRDefault="00E254E2" w:rsidP="00E254E2">
            <w:pPr>
              <w:jc w:val="center"/>
              <w:rPr>
                <w:rFonts w:ascii="Arial" w:hAnsi="Arial" w:cs="Arial"/>
                <w:sz w:val="16"/>
                <w:szCs w:val="16"/>
              </w:rPr>
            </w:pPr>
            <w:r w:rsidRPr="00427326">
              <w:rPr>
                <w:rFonts w:ascii="Arial" w:hAnsi="Arial" w:cs="Arial"/>
                <w:sz w:val="16"/>
                <w:szCs w:val="16"/>
              </w:rPr>
              <w:t> </w:t>
            </w:r>
          </w:p>
        </w:tc>
        <w:tc>
          <w:tcPr>
            <w:tcW w:w="913" w:type="dxa"/>
            <w:tcBorders>
              <w:top w:val="nil"/>
              <w:left w:val="nil"/>
              <w:bottom w:val="nil"/>
              <w:right w:val="nil"/>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 </w:t>
            </w:r>
          </w:p>
        </w:tc>
        <w:tc>
          <w:tcPr>
            <w:tcW w:w="423" w:type="dxa"/>
            <w:tcBorders>
              <w:top w:val="nil"/>
              <w:left w:val="nil"/>
              <w:bottom w:val="nil"/>
              <w:right w:val="single" w:sz="8"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 </w:t>
            </w:r>
          </w:p>
        </w:tc>
      </w:tr>
      <w:tr w:rsidR="00E254E2" w:rsidRPr="00427326" w:rsidTr="00E254E2">
        <w:trPr>
          <w:trHeight w:val="240"/>
        </w:trPr>
        <w:tc>
          <w:tcPr>
            <w:tcW w:w="1846" w:type="dxa"/>
            <w:tcBorders>
              <w:top w:val="nil"/>
              <w:left w:val="single" w:sz="8" w:space="0" w:color="auto"/>
              <w:bottom w:val="single" w:sz="8" w:space="0" w:color="auto"/>
              <w:right w:val="nil"/>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 </w:t>
            </w:r>
          </w:p>
        </w:tc>
        <w:tc>
          <w:tcPr>
            <w:tcW w:w="1004" w:type="dxa"/>
            <w:tcBorders>
              <w:top w:val="nil"/>
              <w:left w:val="nil"/>
              <w:bottom w:val="single" w:sz="8" w:space="0" w:color="auto"/>
              <w:right w:val="nil"/>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single" w:sz="8" w:space="0" w:color="auto"/>
              <w:right w:val="nil"/>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 </w:t>
            </w:r>
          </w:p>
        </w:tc>
        <w:tc>
          <w:tcPr>
            <w:tcW w:w="964" w:type="dxa"/>
            <w:tcBorders>
              <w:top w:val="nil"/>
              <w:left w:val="nil"/>
              <w:bottom w:val="single" w:sz="8" w:space="0" w:color="auto"/>
              <w:right w:val="nil"/>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 </w:t>
            </w:r>
          </w:p>
        </w:tc>
        <w:tc>
          <w:tcPr>
            <w:tcW w:w="3246" w:type="dxa"/>
            <w:gridSpan w:val="3"/>
            <w:tcBorders>
              <w:top w:val="nil"/>
              <w:left w:val="nil"/>
              <w:bottom w:val="single" w:sz="8" w:space="0" w:color="auto"/>
              <w:right w:val="nil"/>
            </w:tcBorders>
            <w:shd w:val="clear" w:color="000000" w:fill="FFFFFF"/>
            <w:vAlign w:val="bottom"/>
            <w:hideMark/>
          </w:tcPr>
          <w:p w:rsidR="00E254E2" w:rsidRPr="00FB075C" w:rsidRDefault="00E254E2" w:rsidP="00E254E2">
            <w:pPr>
              <w:rPr>
                <w:rFonts w:ascii="Arial" w:hAnsi="Arial" w:cs="Arial"/>
                <w:b/>
                <w:sz w:val="16"/>
                <w:szCs w:val="16"/>
              </w:rPr>
            </w:pPr>
            <w:r w:rsidRPr="00FB075C">
              <w:rPr>
                <w:rFonts w:ascii="Calibri" w:hAnsi="Calibri" w:cs="Calibri"/>
                <w:b/>
                <w:sz w:val="16"/>
                <w:szCs w:val="16"/>
              </w:rPr>
              <w:t> </w:t>
            </w:r>
            <w:r w:rsidRPr="00FB075C">
              <w:rPr>
                <w:rFonts w:ascii="Arial" w:hAnsi="Arial" w:cs="Arial"/>
                <w:b/>
                <w:sz w:val="16"/>
                <w:szCs w:val="16"/>
              </w:rPr>
              <w:t>Annualized Capital/Start-up and O &amp; M </w:t>
            </w:r>
          </w:p>
        </w:tc>
        <w:tc>
          <w:tcPr>
            <w:tcW w:w="840" w:type="dxa"/>
            <w:tcBorders>
              <w:top w:val="nil"/>
              <w:left w:val="nil"/>
              <w:bottom w:val="single" w:sz="8" w:space="0" w:color="auto"/>
              <w:right w:val="nil"/>
            </w:tcBorders>
            <w:shd w:val="clear" w:color="000000" w:fill="FFFFFF"/>
            <w:vAlign w:val="center"/>
            <w:hideMark/>
          </w:tcPr>
          <w:p w:rsidR="00E254E2" w:rsidRPr="00427326" w:rsidRDefault="00E254E2" w:rsidP="00E254E2">
            <w:pPr>
              <w:rPr>
                <w:rFonts w:ascii="Arial" w:hAnsi="Arial" w:cs="Arial"/>
                <w:sz w:val="16"/>
                <w:szCs w:val="16"/>
              </w:rPr>
            </w:pPr>
            <w:r w:rsidRPr="00427326">
              <w:rPr>
                <w:rFonts w:ascii="Arial" w:hAnsi="Arial" w:cs="Arial"/>
                <w:sz w:val="16"/>
                <w:szCs w:val="16"/>
              </w:rPr>
              <w:t> </w:t>
            </w:r>
          </w:p>
        </w:tc>
        <w:tc>
          <w:tcPr>
            <w:tcW w:w="716" w:type="dxa"/>
            <w:tcBorders>
              <w:top w:val="nil"/>
              <w:left w:val="nil"/>
              <w:bottom w:val="single" w:sz="8" w:space="0" w:color="auto"/>
              <w:right w:val="nil"/>
            </w:tcBorders>
            <w:shd w:val="clear" w:color="000000" w:fill="FFFFFF"/>
            <w:vAlign w:val="center"/>
            <w:hideMark/>
          </w:tcPr>
          <w:p w:rsidR="00E254E2" w:rsidRPr="00427326" w:rsidRDefault="00E254E2" w:rsidP="00E254E2">
            <w:pPr>
              <w:rPr>
                <w:rFonts w:ascii="Arial" w:hAnsi="Arial" w:cs="Arial"/>
                <w:sz w:val="16"/>
                <w:szCs w:val="16"/>
              </w:rPr>
            </w:pPr>
            <w:r w:rsidRPr="00427326">
              <w:rPr>
                <w:rFonts w:ascii="Arial" w:hAnsi="Arial" w:cs="Arial"/>
                <w:sz w:val="16"/>
                <w:szCs w:val="16"/>
              </w:rPr>
              <w:t> </w:t>
            </w:r>
          </w:p>
        </w:tc>
        <w:tc>
          <w:tcPr>
            <w:tcW w:w="1091" w:type="dxa"/>
            <w:tcBorders>
              <w:top w:val="nil"/>
              <w:left w:val="nil"/>
              <w:bottom w:val="single" w:sz="8" w:space="0" w:color="auto"/>
              <w:right w:val="nil"/>
            </w:tcBorders>
            <w:shd w:val="clear" w:color="000000" w:fill="FFFFFF"/>
            <w:vAlign w:val="center"/>
            <w:hideMark/>
          </w:tcPr>
          <w:p w:rsidR="00E254E2" w:rsidRPr="00427326" w:rsidRDefault="00E254E2" w:rsidP="00E254E2">
            <w:pPr>
              <w:jc w:val="center"/>
              <w:rPr>
                <w:rFonts w:ascii="Arial" w:hAnsi="Arial" w:cs="Arial"/>
                <w:sz w:val="16"/>
                <w:szCs w:val="16"/>
              </w:rPr>
            </w:pPr>
            <w:r w:rsidRPr="00427326">
              <w:rPr>
                <w:rFonts w:ascii="Arial" w:hAnsi="Arial" w:cs="Arial"/>
                <w:sz w:val="16"/>
                <w:szCs w:val="16"/>
              </w:rPr>
              <w:t> </w:t>
            </w:r>
          </w:p>
        </w:tc>
        <w:tc>
          <w:tcPr>
            <w:tcW w:w="891" w:type="dxa"/>
            <w:tcBorders>
              <w:top w:val="nil"/>
              <w:left w:val="nil"/>
              <w:bottom w:val="single" w:sz="8" w:space="0" w:color="auto"/>
              <w:right w:val="nil"/>
            </w:tcBorders>
            <w:shd w:val="clear" w:color="000000" w:fill="FFFFFF"/>
            <w:vAlign w:val="center"/>
            <w:hideMark/>
          </w:tcPr>
          <w:p w:rsidR="00E254E2" w:rsidRPr="00427326" w:rsidRDefault="00E254E2" w:rsidP="00E254E2">
            <w:pPr>
              <w:jc w:val="right"/>
              <w:rPr>
                <w:rFonts w:ascii="Arial" w:hAnsi="Arial" w:cs="Arial"/>
                <w:sz w:val="16"/>
                <w:szCs w:val="16"/>
              </w:rPr>
            </w:pPr>
            <w:r w:rsidRPr="00427326">
              <w:rPr>
                <w:rFonts w:ascii="Arial" w:hAnsi="Arial" w:cs="Arial"/>
                <w:sz w:val="16"/>
                <w:szCs w:val="16"/>
              </w:rPr>
              <w:t>$430,380</w:t>
            </w:r>
          </w:p>
        </w:tc>
        <w:tc>
          <w:tcPr>
            <w:tcW w:w="998" w:type="dxa"/>
            <w:tcBorders>
              <w:top w:val="nil"/>
              <w:left w:val="nil"/>
              <w:bottom w:val="single" w:sz="8" w:space="0" w:color="auto"/>
              <w:right w:val="nil"/>
            </w:tcBorders>
            <w:shd w:val="clear" w:color="000000" w:fill="FFFFFF"/>
            <w:vAlign w:val="center"/>
            <w:hideMark/>
          </w:tcPr>
          <w:p w:rsidR="00E254E2" w:rsidRPr="00427326" w:rsidRDefault="00E254E2" w:rsidP="00E254E2">
            <w:pPr>
              <w:jc w:val="center"/>
              <w:rPr>
                <w:rFonts w:ascii="Arial" w:hAnsi="Arial" w:cs="Arial"/>
                <w:sz w:val="16"/>
                <w:szCs w:val="16"/>
              </w:rPr>
            </w:pPr>
            <w:r w:rsidRPr="00427326">
              <w:rPr>
                <w:rFonts w:ascii="Arial" w:hAnsi="Arial" w:cs="Arial"/>
                <w:sz w:val="16"/>
                <w:szCs w:val="16"/>
              </w:rPr>
              <w:t> </w:t>
            </w:r>
          </w:p>
        </w:tc>
        <w:tc>
          <w:tcPr>
            <w:tcW w:w="913" w:type="dxa"/>
            <w:tcBorders>
              <w:top w:val="nil"/>
              <w:left w:val="nil"/>
              <w:bottom w:val="single" w:sz="8" w:space="0" w:color="auto"/>
              <w:right w:val="nil"/>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 </w:t>
            </w:r>
          </w:p>
        </w:tc>
        <w:tc>
          <w:tcPr>
            <w:tcW w:w="423" w:type="dxa"/>
            <w:tcBorders>
              <w:top w:val="nil"/>
              <w:left w:val="nil"/>
              <w:bottom w:val="single" w:sz="8" w:space="0" w:color="auto"/>
              <w:right w:val="single" w:sz="8" w:space="0" w:color="auto"/>
            </w:tcBorders>
            <w:shd w:val="clear" w:color="000000" w:fill="FFFFFF"/>
            <w:vAlign w:val="bottom"/>
            <w:hideMark/>
          </w:tcPr>
          <w:p w:rsidR="00E254E2" w:rsidRPr="00427326" w:rsidRDefault="00E254E2" w:rsidP="00E254E2">
            <w:pPr>
              <w:rPr>
                <w:rFonts w:ascii="Calibri" w:hAnsi="Calibri" w:cs="Calibri"/>
                <w:sz w:val="16"/>
                <w:szCs w:val="16"/>
              </w:rPr>
            </w:pPr>
            <w:r w:rsidRPr="00427326">
              <w:rPr>
                <w:rFonts w:ascii="Calibri" w:hAnsi="Calibri" w:cs="Calibri"/>
                <w:sz w:val="16"/>
                <w:szCs w:val="16"/>
              </w:rPr>
              <w:t> </w:t>
            </w:r>
          </w:p>
        </w:tc>
      </w:tr>
    </w:tbl>
    <w:p w:rsidR="00E254E2" w:rsidRDefault="00E254E2" w:rsidP="00E254E2">
      <w:pPr>
        <w:jc w:val="center"/>
        <w:rPr>
          <w:bCs/>
          <w:sz w:val="18"/>
          <w:szCs w:val="18"/>
          <w:highlight w:val="yellow"/>
        </w:rPr>
      </w:pPr>
      <w:r>
        <w:rPr>
          <w:bCs/>
          <w:sz w:val="18"/>
          <w:szCs w:val="18"/>
          <w:highlight w:val="yellow"/>
        </w:rPr>
        <w:br w:type="page"/>
      </w:r>
    </w:p>
    <w:tbl>
      <w:tblPr>
        <w:tblW w:w="5275" w:type="pct"/>
        <w:tblInd w:w="-245" w:type="dxa"/>
        <w:tblLayout w:type="fixed"/>
        <w:tblCellMar>
          <w:left w:w="115" w:type="dxa"/>
          <w:right w:w="115" w:type="dxa"/>
        </w:tblCellMar>
        <w:tblLook w:val="04A0"/>
      </w:tblPr>
      <w:tblGrid>
        <w:gridCol w:w="3239"/>
        <w:gridCol w:w="1060"/>
        <w:gridCol w:w="774"/>
        <w:gridCol w:w="774"/>
        <w:gridCol w:w="827"/>
        <w:gridCol w:w="804"/>
        <w:gridCol w:w="854"/>
        <w:gridCol w:w="668"/>
        <w:gridCol w:w="866"/>
        <w:gridCol w:w="968"/>
        <w:gridCol w:w="1147"/>
        <w:gridCol w:w="879"/>
        <w:gridCol w:w="707"/>
        <w:gridCol w:w="348"/>
      </w:tblGrid>
      <w:tr w:rsidR="00E254E2" w:rsidRPr="00FB075C" w:rsidTr="00E254E2">
        <w:trPr>
          <w:trHeight w:val="390"/>
          <w:tblHeader/>
        </w:trPr>
        <w:tc>
          <w:tcPr>
            <w:tcW w:w="5000" w:type="pct"/>
            <w:gridSpan w:val="14"/>
            <w:tcBorders>
              <w:top w:val="nil"/>
              <w:left w:val="nil"/>
              <w:bottom w:val="single" w:sz="8" w:space="0" w:color="auto"/>
              <w:right w:val="nil"/>
            </w:tcBorders>
            <w:shd w:val="clear" w:color="000000" w:fill="FFFFFF"/>
            <w:noWrap/>
            <w:vAlign w:val="bottom"/>
            <w:hideMark/>
          </w:tcPr>
          <w:p w:rsidR="00E254E2" w:rsidRPr="00FB075C" w:rsidRDefault="00E254E2" w:rsidP="00E254E2">
            <w:pPr>
              <w:jc w:val="center"/>
              <w:rPr>
                <w:rFonts w:ascii="Calibri" w:hAnsi="Calibri" w:cs="Calibri"/>
                <w:b/>
                <w:bCs/>
                <w:sz w:val="28"/>
                <w:szCs w:val="28"/>
              </w:rPr>
            </w:pPr>
            <w:r w:rsidRPr="00FB075C">
              <w:rPr>
                <w:rFonts w:ascii="Calibri" w:hAnsi="Calibri" w:cs="Calibri"/>
                <w:b/>
                <w:bCs/>
                <w:sz w:val="28"/>
                <w:szCs w:val="28"/>
              </w:rPr>
              <w:t>Table 3 - Annual Respondent Burden and Cost of Recordkeeping and Reporting Requirements for the Secondary Lead Smelters NESHAP  - Year 3</w:t>
            </w:r>
          </w:p>
        </w:tc>
      </w:tr>
      <w:tr w:rsidR="00E254E2" w:rsidRPr="00FB075C" w:rsidTr="00C549BC">
        <w:trPr>
          <w:trHeight w:val="1350"/>
          <w:tblHeader/>
        </w:trPr>
        <w:tc>
          <w:tcPr>
            <w:tcW w:w="1164" w:type="pct"/>
            <w:tcBorders>
              <w:top w:val="single" w:sz="8" w:space="0" w:color="auto"/>
              <w:left w:val="single" w:sz="8" w:space="0" w:color="auto"/>
              <w:bottom w:val="single" w:sz="4" w:space="0" w:color="auto"/>
              <w:right w:val="single" w:sz="4" w:space="0" w:color="auto"/>
            </w:tcBorders>
            <w:shd w:val="clear" w:color="000000" w:fill="D9D9D9" w:themeFill="background1" w:themeFillShade="D9"/>
            <w:vAlign w:val="bottom"/>
            <w:hideMark/>
          </w:tcPr>
          <w:p w:rsidR="00E254E2" w:rsidRPr="00FB075C" w:rsidRDefault="00E254E2" w:rsidP="00E254E2">
            <w:pPr>
              <w:jc w:val="center"/>
              <w:rPr>
                <w:rFonts w:ascii="Calibri" w:hAnsi="Calibri" w:cs="Calibri"/>
                <w:b/>
                <w:sz w:val="16"/>
                <w:szCs w:val="16"/>
              </w:rPr>
            </w:pPr>
            <w:r w:rsidRPr="00FB075C">
              <w:rPr>
                <w:rFonts w:ascii="Calibri" w:hAnsi="Calibri" w:cs="Calibri"/>
                <w:b/>
                <w:sz w:val="16"/>
                <w:szCs w:val="16"/>
              </w:rPr>
              <w:t>Burden Item</w:t>
            </w:r>
          </w:p>
        </w:tc>
        <w:tc>
          <w:tcPr>
            <w:tcW w:w="381" w:type="pct"/>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FB075C" w:rsidRDefault="00E254E2" w:rsidP="00E254E2">
            <w:pPr>
              <w:jc w:val="center"/>
              <w:rPr>
                <w:rFonts w:ascii="Calibri" w:hAnsi="Calibri" w:cs="Calibri"/>
                <w:b/>
                <w:sz w:val="16"/>
                <w:szCs w:val="16"/>
              </w:rPr>
            </w:pPr>
            <w:r w:rsidRPr="00FB075C">
              <w:rPr>
                <w:rFonts w:ascii="Calibri" w:hAnsi="Calibri" w:cs="Calibri"/>
                <w:b/>
                <w:sz w:val="16"/>
                <w:szCs w:val="16"/>
              </w:rPr>
              <w:t>(A)</w:t>
            </w:r>
            <w:r w:rsidRPr="00FB075C">
              <w:rPr>
                <w:rFonts w:ascii="Calibri" w:hAnsi="Calibri" w:cs="Calibri"/>
                <w:b/>
                <w:sz w:val="16"/>
                <w:szCs w:val="16"/>
              </w:rPr>
              <w:br/>
              <w:t>Respondent Hours per Occurrence (Technical hours)</w:t>
            </w:r>
          </w:p>
        </w:tc>
        <w:tc>
          <w:tcPr>
            <w:tcW w:w="278" w:type="pct"/>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FB075C" w:rsidRDefault="00E254E2" w:rsidP="00E254E2">
            <w:pPr>
              <w:jc w:val="center"/>
              <w:rPr>
                <w:rFonts w:ascii="Calibri" w:hAnsi="Calibri" w:cs="Calibri"/>
                <w:b/>
                <w:sz w:val="16"/>
                <w:szCs w:val="16"/>
              </w:rPr>
            </w:pPr>
            <w:r w:rsidRPr="00FB075C">
              <w:rPr>
                <w:rFonts w:ascii="Calibri" w:hAnsi="Calibri" w:cs="Calibri"/>
                <w:b/>
                <w:sz w:val="16"/>
                <w:szCs w:val="16"/>
              </w:rPr>
              <w:t xml:space="preserve">(B) </w:t>
            </w:r>
            <w:r w:rsidRPr="00FB075C">
              <w:rPr>
                <w:rFonts w:ascii="Calibri" w:hAnsi="Calibri" w:cs="Calibri"/>
                <w:b/>
                <w:sz w:val="16"/>
                <w:szCs w:val="16"/>
              </w:rPr>
              <w:br/>
              <w:t>Stack Testing Cost Per Occurrence</w:t>
            </w:r>
          </w:p>
        </w:tc>
        <w:tc>
          <w:tcPr>
            <w:tcW w:w="278" w:type="pct"/>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FB075C" w:rsidRDefault="00E254E2" w:rsidP="00E254E2">
            <w:pPr>
              <w:jc w:val="center"/>
              <w:rPr>
                <w:rFonts w:ascii="Calibri" w:hAnsi="Calibri" w:cs="Calibri"/>
                <w:b/>
                <w:sz w:val="16"/>
                <w:szCs w:val="16"/>
              </w:rPr>
            </w:pPr>
            <w:r w:rsidRPr="00FB075C">
              <w:rPr>
                <w:rFonts w:ascii="Calibri" w:hAnsi="Calibri" w:cs="Calibri"/>
                <w:b/>
                <w:sz w:val="16"/>
                <w:szCs w:val="16"/>
              </w:rPr>
              <w:t xml:space="preserve">(C) </w:t>
            </w:r>
            <w:r w:rsidRPr="00FB075C">
              <w:rPr>
                <w:rFonts w:ascii="Calibri" w:hAnsi="Calibri" w:cs="Calibri"/>
                <w:b/>
                <w:sz w:val="16"/>
                <w:szCs w:val="16"/>
              </w:rPr>
              <w:br/>
              <w:t>Other Non-Labor Costs Per Occurrence</w:t>
            </w:r>
          </w:p>
        </w:tc>
        <w:tc>
          <w:tcPr>
            <w:tcW w:w="297" w:type="pct"/>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FB075C" w:rsidRDefault="00E254E2" w:rsidP="00E254E2">
            <w:pPr>
              <w:jc w:val="center"/>
              <w:rPr>
                <w:rFonts w:ascii="Calibri" w:hAnsi="Calibri" w:cs="Calibri"/>
                <w:b/>
                <w:sz w:val="16"/>
                <w:szCs w:val="16"/>
              </w:rPr>
            </w:pPr>
            <w:r w:rsidRPr="00FB075C">
              <w:rPr>
                <w:rFonts w:ascii="Calibri" w:hAnsi="Calibri" w:cs="Calibri"/>
                <w:b/>
                <w:sz w:val="16"/>
                <w:szCs w:val="16"/>
              </w:rPr>
              <w:t xml:space="preserve">(D) </w:t>
            </w:r>
            <w:r w:rsidRPr="00FB075C">
              <w:rPr>
                <w:rFonts w:ascii="Calibri" w:hAnsi="Calibri" w:cs="Calibri"/>
                <w:b/>
                <w:sz w:val="16"/>
                <w:szCs w:val="16"/>
              </w:rPr>
              <w:br/>
              <w:t>Number of Occurrences Per Respondent Per Year</w:t>
            </w:r>
          </w:p>
        </w:tc>
        <w:tc>
          <w:tcPr>
            <w:tcW w:w="289" w:type="pct"/>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FB075C" w:rsidRDefault="00E254E2" w:rsidP="00E254E2">
            <w:pPr>
              <w:jc w:val="center"/>
              <w:rPr>
                <w:rFonts w:ascii="Calibri" w:hAnsi="Calibri" w:cs="Calibri"/>
                <w:b/>
                <w:sz w:val="16"/>
                <w:szCs w:val="16"/>
              </w:rPr>
            </w:pPr>
            <w:r w:rsidRPr="00FB075C">
              <w:rPr>
                <w:rFonts w:ascii="Calibri" w:hAnsi="Calibri" w:cs="Calibri"/>
                <w:b/>
                <w:sz w:val="16"/>
                <w:szCs w:val="16"/>
              </w:rPr>
              <w:t>(E)</w:t>
            </w:r>
            <w:r w:rsidRPr="00FB075C">
              <w:rPr>
                <w:rFonts w:ascii="Calibri" w:hAnsi="Calibri" w:cs="Calibri"/>
                <w:b/>
                <w:sz w:val="16"/>
                <w:szCs w:val="16"/>
              </w:rPr>
              <w:br/>
              <w:t>Technical Hours per Respondent Per Year</w:t>
            </w:r>
            <w:r w:rsidRPr="00FB075C">
              <w:rPr>
                <w:rFonts w:ascii="Calibri" w:hAnsi="Calibri" w:cs="Calibri"/>
                <w:b/>
                <w:sz w:val="16"/>
                <w:szCs w:val="16"/>
              </w:rPr>
              <w:br/>
              <w:t xml:space="preserve"> (A X D)</w:t>
            </w:r>
          </w:p>
        </w:tc>
        <w:tc>
          <w:tcPr>
            <w:tcW w:w="307" w:type="pct"/>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FB075C" w:rsidRDefault="00E254E2" w:rsidP="00E254E2">
            <w:pPr>
              <w:jc w:val="center"/>
              <w:rPr>
                <w:rFonts w:ascii="Calibri" w:hAnsi="Calibri" w:cs="Calibri"/>
                <w:b/>
                <w:sz w:val="16"/>
                <w:szCs w:val="16"/>
              </w:rPr>
            </w:pPr>
            <w:r w:rsidRPr="00FB075C">
              <w:rPr>
                <w:rFonts w:ascii="Calibri" w:hAnsi="Calibri" w:cs="Calibri"/>
                <w:b/>
                <w:sz w:val="16"/>
                <w:szCs w:val="16"/>
              </w:rPr>
              <w:t>(F)</w:t>
            </w:r>
            <w:r w:rsidRPr="00FB075C">
              <w:rPr>
                <w:rFonts w:ascii="Calibri" w:hAnsi="Calibri" w:cs="Calibri"/>
                <w:b/>
                <w:sz w:val="16"/>
                <w:szCs w:val="16"/>
              </w:rPr>
              <w:br/>
              <w:t>Number of Respondents Per Year</w:t>
            </w:r>
          </w:p>
        </w:tc>
        <w:tc>
          <w:tcPr>
            <w:tcW w:w="240" w:type="pct"/>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FB075C" w:rsidRDefault="00E254E2" w:rsidP="00E254E2">
            <w:pPr>
              <w:jc w:val="center"/>
              <w:rPr>
                <w:rFonts w:ascii="Calibri" w:hAnsi="Calibri" w:cs="Calibri"/>
                <w:b/>
                <w:sz w:val="16"/>
                <w:szCs w:val="16"/>
              </w:rPr>
            </w:pPr>
            <w:r w:rsidRPr="00FB075C">
              <w:rPr>
                <w:rFonts w:ascii="Calibri" w:hAnsi="Calibri" w:cs="Calibri"/>
                <w:b/>
                <w:sz w:val="16"/>
                <w:szCs w:val="16"/>
              </w:rPr>
              <w:t>(G) Technical Hours per Year (E X F)</w:t>
            </w:r>
          </w:p>
        </w:tc>
        <w:tc>
          <w:tcPr>
            <w:tcW w:w="311" w:type="pct"/>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FB075C" w:rsidRDefault="00E254E2" w:rsidP="00E254E2">
            <w:pPr>
              <w:jc w:val="center"/>
              <w:rPr>
                <w:rFonts w:ascii="Calibri" w:hAnsi="Calibri" w:cs="Calibri"/>
                <w:b/>
                <w:sz w:val="16"/>
                <w:szCs w:val="16"/>
              </w:rPr>
            </w:pPr>
            <w:r w:rsidRPr="00FB075C">
              <w:rPr>
                <w:rFonts w:ascii="Calibri" w:hAnsi="Calibri" w:cs="Calibri"/>
                <w:b/>
                <w:sz w:val="16"/>
                <w:szCs w:val="16"/>
              </w:rPr>
              <w:t xml:space="preserve">(H) </w:t>
            </w:r>
            <w:r w:rsidRPr="00FB075C">
              <w:rPr>
                <w:rFonts w:ascii="Calibri" w:hAnsi="Calibri" w:cs="Calibri"/>
                <w:b/>
                <w:sz w:val="16"/>
                <w:szCs w:val="16"/>
              </w:rPr>
              <w:br/>
              <w:t>Clerical Hours per Year</w:t>
            </w:r>
            <w:r w:rsidRPr="00FB075C">
              <w:rPr>
                <w:rFonts w:ascii="Calibri" w:hAnsi="Calibri" w:cs="Calibri"/>
                <w:b/>
                <w:sz w:val="16"/>
                <w:szCs w:val="16"/>
              </w:rPr>
              <w:br/>
              <w:t>(G X 0.1)</w:t>
            </w:r>
          </w:p>
        </w:tc>
        <w:tc>
          <w:tcPr>
            <w:tcW w:w="348" w:type="pct"/>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FB075C" w:rsidRDefault="00E254E2" w:rsidP="00E254E2">
            <w:pPr>
              <w:jc w:val="center"/>
              <w:rPr>
                <w:rFonts w:ascii="Calibri" w:hAnsi="Calibri" w:cs="Calibri"/>
                <w:b/>
                <w:sz w:val="16"/>
                <w:szCs w:val="16"/>
              </w:rPr>
            </w:pPr>
            <w:r w:rsidRPr="00FB075C">
              <w:rPr>
                <w:rFonts w:ascii="Calibri" w:hAnsi="Calibri" w:cs="Calibri"/>
                <w:b/>
                <w:sz w:val="16"/>
                <w:szCs w:val="16"/>
              </w:rPr>
              <w:t>(I)</w:t>
            </w:r>
            <w:r w:rsidRPr="00FB075C">
              <w:rPr>
                <w:rFonts w:ascii="Calibri" w:hAnsi="Calibri" w:cs="Calibri"/>
                <w:b/>
                <w:sz w:val="16"/>
                <w:szCs w:val="16"/>
              </w:rPr>
              <w:br/>
              <w:t>Management Hours per Year</w:t>
            </w:r>
            <w:r w:rsidRPr="00FB075C">
              <w:rPr>
                <w:rFonts w:ascii="Calibri" w:hAnsi="Calibri" w:cs="Calibri"/>
                <w:b/>
                <w:sz w:val="16"/>
                <w:szCs w:val="16"/>
              </w:rPr>
              <w:br/>
              <w:t>(G X .05)</w:t>
            </w:r>
          </w:p>
        </w:tc>
        <w:tc>
          <w:tcPr>
            <w:tcW w:w="412" w:type="pct"/>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FB075C" w:rsidRDefault="00E254E2" w:rsidP="00E254E2">
            <w:pPr>
              <w:jc w:val="center"/>
              <w:rPr>
                <w:rFonts w:ascii="Calibri" w:hAnsi="Calibri" w:cs="Calibri"/>
                <w:b/>
                <w:sz w:val="16"/>
                <w:szCs w:val="16"/>
              </w:rPr>
            </w:pPr>
            <w:r w:rsidRPr="00FB075C">
              <w:rPr>
                <w:rFonts w:ascii="Calibri" w:hAnsi="Calibri" w:cs="Calibri"/>
                <w:b/>
                <w:sz w:val="16"/>
                <w:szCs w:val="16"/>
              </w:rPr>
              <w:t>(J)</w:t>
            </w:r>
            <w:r w:rsidRPr="00FB075C">
              <w:rPr>
                <w:rFonts w:ascii="Calibri" w:hAnsi="Calibri" w:cs="Calibri"/>
                <w:b/>
                <w:sz w:val="16"/>
                <w:szCs w:val="16"/>
              </w:rPr>
              <w:br/>
              <w:t>Total Labor Costs Per Year</w:t>
            </w:r>
          </w:p>
        </w:tc>
        <w:tc>
          <w:tcPr>
            <w:tcW w:w="316" w:type="pct"/>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FB075C" w:rsidRDefault="00E254E2" w:rsidP="00E254E2">
            <w:pPr>
              <w:jc w:val="center"/>
              <w:rPr>
                <w:rFonts w:ascii="Calibri" w:hAnsi="Calibri" w:cs="Calibri"/>
                <w:b/>
                <w:sz w:val="16"/>
                <w:szCs w:val="16"/>
              </w:rPr>
            </w:pPr>
            <w:r w:rsidRPr="00FB075C">
              <w:rPr>
                <w:rFonts w:ascii="Calibri" w:hAnsi="Calibri" w:cs="Calibri"/>
                <w:b/>
                <w:sz w:val="16"/>
                <w:szCs w:val="16"/>
              </w:rPr>
              <w:t>(K)</w:t>
            </w:r>
            <w:r w:rsidRPr="00FB075C">
              <w:rPr>
                <w:rFonts w:ascii="Calibri" w:hAnsi="Calibri" w:cs="Calibri"/>
                <w:b/>
                <w:sz w:val="16"/>
                <w:szCs w:val="16"/>
              </w:rPr>
              <w:br/>
              <w:t>Total Non-Labor Costs Per Year [(B+C)xDxF]</w:t>
            </w:r>
          </w:p>
        </w:tc>
        <w:tc>
          <w:tcPr>
            <w:tcW w:w="254" w:type="pct"/>
            <w:tcBorders>
              <w:top w:val="single" w:sz="8" w:space="0" w:color="auto"/>
              <w:left w:val="nil"/>
              <w:bottom w:val="single" w:sz="4" w:space="0" w:color="auto"/>
              <w:right w:val="single" w:sz="4" w:space="0" w:color="auto"/>
            </w:tcBorders>
            <w:shd w:val="clear" w:color="000000" w:fill="D9D9D9" w:themeFill="background1" w:themeFillShade="D9"/>
            <w:vAlign w:val="bottom"/>
            <w:hideMark/>
          </w:tcPr>
          <w:p w:rsidR="00E254E2" w:rsidRPr="00FB075C" w:rsidRDefault="00E254E2" w:rsidP="00E254E2">
            <w:pPr>
              <w:jc w:val="center"/>
              <w:rPr>
                <w:rFonts w:ascii="Calibri" w:hAnsi="Calibri" w:cs="Calibri"/>
                <w:b/>
                <w:sz w:val="16"/>
                <w:szCs w:val="16"/>
              </w:rPr>
            </w:pPr>
            <w:r w:rsidRPr="00FB075C">
              <w:rPr>
                <w:rFonts w:ascii="Calibri" w:hAnsi="Calibri" w:cs="Calibri"/>
                <w:b/>
                <w:sz w:val="16"/>
                <w:szCs w:val="16"/>
              </w:rPr>
              <w:t>(L)</w:t>
            </w:r>
            <w:r w:rsidRPr="00FB075C">
              <w:rPr>
                <w:rFonts w:ascii="Calibri" w:hAnsi="Calibri" w:cs="Calibri"/>
                <w:b/>
                <w:sz w:val="16"/>
                <w:szCs w:val="16"/>
              </w:rPr>
              <w:br/>
              <w:t>Total Number of Responses per Year</w:t>
            </w:r>
            <w:r w:rsidRPr="00FB075C">
              <w:rPr>
                <w:rFonts w:ascii="Calibri" w:hAnsi="Calibri" w:cs="Calibri"/>
                <w:b/>
                <w:sz w:val="16"/>
                <w:szCs w:val="16"/>
              </w:rPr>
              <w:br/>
              <w:t>(D X F)</w:t>
            </w:r>
          </w:p>
        </w:tc>
        <w:tc>
          <w:tcPr>
            <w:tcW w:w="125" w:type="pct"/>
            <w:tcBorders>
              <w:top w:val="single" w:sz="8" w:space="0" w:color="auto"/>
              <w:left w:val="nil"/>
              <w:bottom w:val="single" w:sz="4" w:space="0" w:color="auto"/>
              <w:right w:val="single" w:sz="8" w:space="0" w:color="auto"/>
            </w:tcBorders>
            <w:shd w:val="clear" w:color="000000" w:fill="D9D9D9" w:themeFill="background1" w:themeFillShade="D9"/>
            <w:textDirection w:val="btLr"/>
            <w:vAlign w:val="bottom"/>
            <w:hideMark/>
          </w:tcPr>
          <w:p w:rsidR="00E254E2" w:rsidRPr="00FB075C" w:rsidRDefault="00E254E2" w:rsidP="00E254E2">
            <w:pPr>
              <w:jc w:val="center"/>
              <w:rPr>
                <w:rFonts w:ascii="Calibri" w:hAnsi="Calibri" w:cs="Calibri"/>
                <w:b/>
                <w:sz w:val="16"/>
                <w:szCs w:val="16"/>
              </w:rPr>
            </w:pPr>
            <w:r w:rsidRPr="00FB075C">
              <w:rPr>
                <w:rFonts w:ascii="Calibri" w:hAnsi="Calibri" w:cs="Calibri"/>
                <w:b/>
                <w:sz w:val="16"/>
                <w:szCs w:val="16"/>
              </w:rPr>
              <w:t>Footnotes</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1.  Applications</w:t>
            </w:r>
          </w:p>
        </w:tc>
        <w:tc>
          <w:tcPr>
            <w:tcW w:w="381" w:type="pct"/>
            <w:tcBorders>
              <w:top w:val="nil"/>
              <w:left w:val="nil"/>
              <w:bottom w:val="single" w:sz="4" w:space="0" w:color="auto"/>
              <w:right w:val="single" w:sz="4" w:space="0" w:color="auto"/>
            </w:tcBorders>
            <w:shd w:val="clear" w:color="000000" w:fill="FFFFFF"/>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NA</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2.  Surveys and Studies</w:t>
            </w:r>
          </w:p>
        </w:tc>
        <w:tc>
          <w:tcPr>
            <w:tcW w:w="381" w:type="pct"/>
            <w:tcBorders>
              <w:top w:val="nil"/>
              <w:left w:val="nil"/>
              <w:bottom w:val="single" w:sz="4" w:space="0" w:color="auto"/>
              <w:right w:val="single" w:sz="4" w:space="0" w:color="auto"/>
            </w:tcBorders>
            <w:shd w:val="clear" w:color="000000" w:fill="FFFFFF"/>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NA</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3.  Reporting Requirements</w:t>
            </w:r>
          </w:p>
        </w:tc>
        <w:tc>
          <w:tcPr>
            <w:tcW w:w="381" w:type="pct"/>
            <w:tcBorders>
              <w:top w:val="nil"/>
              <w:left w:val="nil"/>
              <w:bottom w:val="single" w:sz="4" w:space="0" w:color="auto"/>
              <w:right w:val="single" w:sz="4" w:space="0" w:color="auto"/>
            </w:tcBorders>
            <w:shd w:val="clear" w:color="000000" w:fill="FFFFFF"/>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200" w:firstLine="320"/>
              <w:rPr>
                <w:rFonts w:ascii="Calibri" w:hAnsi="Calibri" w:cs="Calibri"/>
                <w:sz w:val="16"/>
                <w:szCs w:val="16"/>
              </w:rPr>
            </w:pPr>
            <w:r w:rsidRPr="00FB075C">
              <w:rPr>
                <w:rFonts w:ascii="Calibri" w:hAnsi="Calibri" w:cs="Calibri"/>
                <w:sz w:val="16"/>
                <w:szCs w:val="16"/>
              </w:rPr>
              <w:t>A.  Read Rule</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20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20</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200" w:firstLine="320"/>
              <w:rPr>
                <w:rFonts w:ascii="Calibri" w:hAnsi="Calibri" w:cs="Calibri"/>
                <w:sz w:val="16"/>
                <w:szCs w:val="16"/>
              </w:rPr>
            </w:pPr>
            <w:r w:rsidRPr="00FB075C">
              <w:rPr>
                <w:rFonts w:ascii="Calibri" w:hAnsi="Calibri" w:cs="Calibri"/>
                <w:sz w:val="16"/>
                <w:szCs w:val="16"/>
              </w:rPr>
              <w:t>B.  Required Activities</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400" w:firstLine="640"/>
              <w:rPr>
                <w:rFonts w:ascii="Calibri" w:hAnsi="Calibri" w:cs="Calibri"/>
                <w:sz w:val="16"/>
                <w:szCs w:val="16"/>
              </w:rPr>
            </w:pPr>
            <w:r w:rsidRPr="00FB075C">
              <w:rPr>
                <w:rFonts w:ascii="Calibri" w:hAnsi="Calibri" w:cs="Calibri"/>
                <w:sz w:val="16"/>
                <w:szCs w:val="16"/>
              </w:rPr>
              <w:t>1.  THC testing</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$4,700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10</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34</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340</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34</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17</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$30,153</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$159,800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400" w:firstLine="640"/>
              <w:rPr>
                <w:rFonts w:ascii="Calibri" w:hAnsi="Calibri" w:cs="Calibri"/>
                <w:sz w:val="16"/>
                <w:szCs w:val="16"/>
              </w:rPr>
            </w:pPr>
            <w:r w:rsidRPr="00FB075C">
              <w:rPr>
                <w:rFonts w:ascii="Calibri" w:hAnsi="Calibri" w:cs="Calibri"/>
                <w:sz w:val="16"/>
                <w:szCs w:val="16"/>
              </w:rPr>
              <w:t>2.  Dioxin/Furan testing</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$19,300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10</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400" w:firstLine="640"/>
              <w:rPr>
                <w:rFonts w:ascii="Calibri" w:hAnsi="Calibri" w:cs="Calibri"/>
                <w:sz w:val="16"/>
                <w:szCs w:val="16"/>
              </w:rPr>
            </w:pPr>
            <w:r w:rsidRPr="00FB075C">
              <w:rPr>
                <w:rFonts w:ascii="Calibri" w:hAnsi="Calibri" w:cs="Calibri"/>
                <w:sz w:val="16"/>
                <w:szCs w:val="16"/>
              </w:rPr>
              <w:t>3.  Lead testing</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$10,000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10</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400" w:firstLine="640"/>
              <w:rPr>
                <w:rFonts w:ascii="Calibri" w:hAnsi="Calibri" w:cs="Calibri"/>
                <w:sz w:val="16"/>
                <w:szCs w:val="16"/>
              </w:rPr>
            </w:pPr>
            <w:r w:rsidRPr="00FB075C">
              <w:rPr>
                <w:rFonts w:ascii="Calibri" w:hAnsi="Calibri" w:cs="Calibri"/>
                <w:sz w:val="16"/>
                <w:szCs w:val="16"/>
              </w:rPr>
              <w:t>4.  Differential pressure monitor</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2</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$2,300</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2</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400" w:firstLine="640"/>
              <w:rPr>
                <w:rFonts w:ascii="Calibri" w:hAnsi="Calibri" w:cs="Calibri"/>
                <w:sz w:val="16"/>
                <w:szCs w:val="16"/>
              </w:rPr>
            </w:pPr>
            <w:r w:rsidRPr="00FB075C">
              <w:rPr>
                <w:rFonts w:ascii="Calibri" w:hAnsi="Calibri" w:cs="Calibri"/>
                <w:sz w:val="16"/>
                <w:szCs w:val="16"/>
              </w:rPr>
              <w:t>5.  Differential pressure monitor (annual O&amp;M)</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2</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$230</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2</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46</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92</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9</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5</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$8,159</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$10,580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400" w:firstLine="640"/>
              <w:rPr>
                <w:rFonts w:ascii="Calibri" w:hAnsi="Calibri" w:cs="Calibri"/>
                <w:sz w:val="16"/>
                <w:szCs w:val="16"/>
              </w:rPr>
            </w:pPr>
            <w:r w:rsidRPr="00FB075C">
              <w:rPr>
                <w:rFonts w:ascii="Calibri" w:hAnsi="Calibri" w:cs="Calibri"/>
                <w:sz w:val="16"/>
                <w:szCs w:val="16"/>
              </w:rPr>
              <w:t>6.  Inspection and repair enclosure</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20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24</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16</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384</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38</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19</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$34,055</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400" w:firstLine="640"/>
              <w:rPr>
                <w:rFonts w:ascii="Calibri" w:hAnsi="Calibri" w:cs="Calibri"/>
                <w:sz w:val="16"/>
                <w:szCs w:val="16"/>
              </w:rPr>
            </w:pPr>
            <w:r w:rsidRPr="00FB075C">
              <w:rPr>
                <w:rFonts w:ascii="Calibri" w:hAnsi="Calibri" w:cs="Calibri"/>
                <w:sz w:val="16"/>
                <w:szCs w:val="16"/>
              </w:rPr>
              <w:t>7.  Inspect battery storage areas</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20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24</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16</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384</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38</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19</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$34,055</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400" w:firstLine="640"/>
              <w:rPr>
                <w:rFonts w:ascii="Calibri" w:hAnsi="Calibri" w:cs="Calibri"/>
                <w:sz w:val="16"/>
                <w:szCs w:val="16"/>
              </w:rPr>
            </w:pPr>
            <w:r w:rsidRPr="00FB075C">
              <w:rPr>
                <w:rFonts w:ascii="Calibri" w:hAnsi="Calibri" w:cs="Calibri"/>
                <w:sz w:val="16"/>
                <w:szCs w:val="16"/>
              </w:rPr>
              <w:t>8.  HEPA filter monitor</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600" w:firstLine="960"/>
              <w:rPr>
                <w:rFonts w:ascii="Calibri" w:hAnsi="Calibri" w:cs="Calibri"/>
                <w:sz w:val="16"/>
                <w:szCs w:val="16"/>
              </w:rPr>
            </w:pPr>
            <w:r w:rsidRPr="00FB075C">
              <w:rPr>
                <w:rFonts w:ascii="Calibri" w:hAnsi="Calibri" w:cs="Calibri"/>
                <w:sz w:val="16"/>
                <w:szCs w:val="16"/>
              </w:rPr>
              <w:t>Initial capital</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2</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$32,759</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2</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600" w:firstLine="960"/>
              <w:rPr>
                <w:rFonts w:ascii="Calibri" w:hAnsi="Calibri" w:cs="Calibri"/>
                <w:sz w:val="16"/>
                <w:szCs w:val="16"/>
              </w:rPr>
            </w:pPr>
            <w:r w:rsidRPr="00FB075C">
              <w:rPr>
                <w:rFonts w:ascii="Calibri" w:hAnsi="Calibri" w:cs="Calibri"/>
                <w:sz w:val="16"/>
                <w:szCs w:val="16"/>
              </w:rPr>
              <w:t>Annual (O&amp;M)</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2</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$4,665</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2</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200" w:firstLine="320"/>
              <w:rPr>
                <w:rFonts w:ascii="Calibri" w:hAnsi="Calibri" w:cs="Calibri"/>
                <w:sz w:val="16"/>
                <w:szCs w:val="16"/>
              </w:rPr>
            </w:pPr>
            <w:r w:rsidRPr="00FB075C">
              <w:rPr>
                <w:rFonts w:ascii="Calibri" w:hAnsi="Calibri" w:cs="Calibri"/>
                <w:sz w:val="16"/>
                <w:szCs w:val="16"/>
              </w:rPr>
              <w:t>C.  Create Information</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Inc. in 3B</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200" w:firstLine="320"/>
              <w:rPr>
                <w:rFonts w:ascii="Calibri" w:hAnsi="Calibri" w:cs="Calibri"/>
                <w:sz w:val="16"/>
                <w:szCs w:val="16"/>
              </w:rPr>
            </w:pPr>
            <w:r w:rsidRPr="00FB075C">
              <w:rPr>
                <w:rFonts w:ascii="Calibri" w:hAnsi="Calibri" w:cs="Calibri"/>
                <w:sz w:val="16"/>
                <w:szCs w:val="16"/>
              </w:rPr>
              <w:t>D.  Gather Information</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Inc. in 3E</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200" w:firstLine="320"/>
              <w:rPr>
                <w:rFonts w:ascii="Calibri" w:hAnsi="Calibri" w:cs="Calibri"/>
                <w:sz w:val="16"/>
                <w:szCs w:val="16"/>
              </w:rPr>
            </w:pPr>
            <w:r w:rsidRPr="00FB075C">
              <w:rPr>
                <w:rFonts w:ascii="Calibri" w:hAnsi="Calibri" w:cs="Calibri"/>
                <w:sz w:val="16"/>
                <w:szCs w:val="16"/>
              </w:rPr>
              <w:t>E.  Report Preparation</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400" w:firstLine="640"/>
              <w:rPr>
                <w:rFonts w:ascii="Calibri" w:hAnsi="Calibri" w:cs="Calibri"/>
                <w:sz w:val="16"/>
                <w:szCs w:val="16"/>
              </w:rPr>
            </w:pPr>
            <w:r w:rsidRPr="00FB075C">
              <w:rPr>
                <w:rFonts w:ascii="Calibri" w:hAnsi="Calibri" w:cs="Calibri"/>
                <w:sz w:val="16"/>
                <w:szCs w:val="16"/>
              </w:rPr>
              <w:t>1.  Annual report</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10</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16</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160</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16</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8</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$14,189</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16</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400" w:firstLine="640"/>
              <w:rPr>
                <w:rFonts w:ascii="Calibri" w:hAnsi="Calibri" w:cs="Calibri"/>
                <w:sz w:val="16"/>
                <w:szCs w:val="16"/>
              </w:rPr>
            </w:pPr>
            <w:r w:rsidRPr="00FB075C">
              <w:rPr>
                <w:rFonts w:ascii="Calibri" w:hAnsi="Calibri" w:cs="Calibri"/>
                <w:sz w:val="16"/>
                <w:szCs w:val="16"/>
              </w:rPr>
              <w:t>2.  Differential pressure monitoring report</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10</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16</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160</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16</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8</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$14,189</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16</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400" w:firstLine="640"/>
              <w:rPr>
                <w:rFonts w:ascii="Calibri" w:hAnsi="Calibri" w:cs="Calibri"/>
                <w:sz w:val="16"/>
                <w:szCs w:val="16"/>
              </w:rPr>
            </w:pPr>
            <w:r w:rsidRPr="00FB075C">
              <w:rPr>
                <w:rFonts w:ascii="Calibri" w:hAnsi="Calibri" w:cs="Calibri"/>
                <w:sz w:val="16"/>
                <w:szCs w:val="16"/>
              </w:rPr>
              <w:t>3.  Develop SOP for work practices</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40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40</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400" w:firstLine="640"/>
              <w:rPr>
                <w:rFonts w:ascii="Calibri" w:hAnsi="Calibri" w:cs="Calibri"/>
                <w:sz w:val="16"/>
                <w:szCs w:val="16"/>
              </w:rPr>
            </w:pPr>
            <w:r w:rsidRPr="00FB075C">
              <w:rPr>
                <w:rFonts w:ascii="Calibri" w:hAnsi="Calibri" w:cs="Calibri"/>
                <w:sz w:val="16"/>
                <w:szCs w:val="16"/>
              </w:rPr>
              <w:t>4.  Affirmative defense</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30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30</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30</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3</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2</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$3,141</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rPr>
                <w:rFonts w:ascii="Calibri" w:hAnsi="Calibri" w:cs="Calibri"/>
                <w:b/>
                <w:bCs/>
                <w:i/>
                <w:iCs/>
                <w:sz w:val="16"/>
                <w:szCs w:val="16"/>
              </w:rPr>
            </w:pPr>
            <w:r w:rsidRPr="00FB075C">
              <w:rPr>
                <w:rFonts w:ascii="Calibri" w:hAnsi="Calibri" w:cs="Calibri"/>
                <w:b/>
                <w:bCs/>
                <w:i/>
                <w:iCs/>
                <w:sz w:val="16"/>
                <w:szCs w:val="16"/>
              </w:rPr>
              <w:t>Reporting Subtotal</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1550</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155</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78</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$137,941</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$170,380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33</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4.  Recordkeeping Requirements</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200" w:firstLine="320"/>
              <w:rPr>
                <w:rFonts w:ascii="Calibri" w:hAnsi="Calibri" w:cs="Calibri"/>
                <w:sz w:val="16"/>
                <w:szCs w:val="16"/>
              </w:rPr>
            </w:pPr>
            <w:r w:rsidRPr="00FB075C">
              <w:rPr>
                <w:rFonts w:ascii="Calibri" w:hAnsi="Calibri" w:cs="Calibri"/>
                <w:sz w:val="16"/>
                <w:szCs w:val="16"/>
              </w:rPr>
              <w:t>A.  Read Instructions</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Inc. in 3A</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200" w:firstLine="320"/>
              <w:rPr>
                <w:rFonts w:ascii="Calibri" w:hAnsi="Calibri" w:cs="Calibri"/>
                <w:sz w:val="16"/>
                <w:szCs w:val="16"/>
              </w:rPr>
            </w:pPr>
            <w:r w:rsidRPr="00FB075C">
              <w:rPr>
                <w:rFonts w:ascii="Calibri" w:hAnsi="Calibri" w:cs="Calibri"/>
                <w:sz w:val="16"/>
                <w:szCs w:val="16"/>
              </w:rPr>
              <w:t>B.  Implements Activities</w:t>
            </w:r>
          </w:p>
        </w:tc>
        <w:tc>
          <w:tcPr>
            <w:tcW w:w="381" w:type="pct"/>
            <w:tcBorders>
              <w:top w:val="nil"/>
              <w:left w:val="nil"/>
              <w:bottom w:val="single" w:sz="4" w:space="0" w:color="auto"/>
              <w:right w:val="single" w:sz="4" w:space="0" w:color="auto"/>
            </w:tcBorders>
            <w:shd w:val="clear" w:color="000000" w:fill="FFFFFF"/>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NA</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200" w:firstLine="320"/>
              <w:rPr>
                <w:rFonts w:ascii="Calibri" w:hAnsi="Calibri" w:cs="Calibri"/>
                <w:sz w:val="16"/>
                <w:szCs w:val="16"/>
              </w:rPr>
            </w:pPr>
            <w:r w:rsidRPr="00FB075C">
              <w:rPr>
                <w:rFonts w:ascii="Calibri" w:hAnsi="Calibri" w:cs="Calibri"/>
                <w:sz w:val="16"/>
                <w:szCs w:val="16"/>
              </w:rPr>
              <w:lastRenderedPageBreak/>
              <w:t>C.  Develop Record System</w:t>
            </w:r>
          </w:p>
        </w:tc>
        <w:tc>
          <w:tcPr>
            <w:tcW w:w="381" w:type="pct"/>
            <w:tcBorders>
              <w:top w:val="nil"/>
              <w:left w:val="nil"/>
              <w:bottom w:val="single" w:sz="4" w:space="0" w:color="auto"/>
              <w:right w:val="single" w:sz="4" w:space="0" w:color="auto"/>
            </w:tcBorders>
            <w:shd w:val="clear" w:color="000000" w:fill="FFFFFF"/>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NA</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200" w:firstLine="320"/>
              <w:rPr>
                <w:rFonts w:ascii="Calibri" w:hAnsi="Calibri" w:cs="Calibri"/>
                <w:sz w:val="16"/>
                <w:szCs w:val="16"/>
              </w:rPr>
            </w:pPr>
            <w:r w:rsidRPr="00FB075C">
              <w:rPr>
                <w:rFonts w:ascii="Calibri" w:hAnsi="Calibri" w:cs="Calibri"/>
                <w:sz w:val="16"/>
                <w:szCs w:val="16"/>
              </w:rPr>
              <w:t>D.  Record information</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400" w:firstLine="640"/>
              <w:rPr>
                <w:rFonts w:ascii="Calibri" w:hAnsi="Calibri" w:cs="Calibri"/>
                <w:sz w:val="16"/>
                <w:szCs w:val="16"/>
              </w:rPr>
            </w:pPr>
            <w:r w:rsidRPr="00FB075C">
              <w:rPr>
                <w:rFonts w:ascii="Calibri" w:hAnsi="Calibri" w:cs="Calibri"/>
                <w:sz w:val="16"/>
                <w:szCs w:val="16"/>
              </w:rPr>
              <w:t>1.  Records of fugitives</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12</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12</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16</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192</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19</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10</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$17,027</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400" w:firstLine="640"/>
              <w:rPr>
                <w:rFonts w:ascii="Calibri" w:hAnsi="Calibri" w:cs="Calibri"/>
                <w:sz w:val="16"/>
                <w:szCs w:val="16"/>
              </w:rPr>
            </w:pPr>
            <w:r w:rsidRPr="00FB075C">
              <w:rPr>
                <w:rFonts w:ascii="Calibri" w:hAnsi="Calibri" w:cs="Calibri"/>
                <w:sz w:val="16"/>
                <w:szCs w:val="16"/>
              </w:rPr>
              <w:t>2.  Records of flow weighted average for lead standard</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16</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16</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2</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$1,419</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400" w:firstLine="640"/>
              <w:rPr>
                <w:rFonts w:ascii="Calibri" w:hAnsi="Calibri" w:cs="Calibri"/>
                <w:sz w:val="16"/>
                <w:szCs w:val="16"/>
              </w:rPr>
            </w:pPr>
            <w:r w:rsidRPr="00FB075C">
              <w:rPr>
                <w:rFonts w:ascii="Calibri" w:hAnsi="Calibri" w:cs="Calibri"/>
                <w:sz w:val="16"/>
                <w:szCs w:val="16"/>
              </w:rPr>
              <w:t>3.  Records of continuous pressure monitors</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12</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12</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16</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192</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19</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10</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$17,027</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400" w:firstLine="640"/>
              <w:rPr>
                <w:rFonts w:ascii="Calibri" w:hAnsi="Calibri" w:cs="Calibri"/>
                <w:sz w:val="16"/>
                <w:szCs w:val="16"/>
              </w:rPr>
            </w:pPr>
            <w:r w:rsidRPr="00FB075C">
              <w:rPr>
                <w:rFonts w:ascii="Calibri" w:hAnsi="Calibri" w:cs="Calibri"/>
                <w:sz w:val="16"/>
                <w:szCs w:val="16"/>
              </w:rPr>
              <w:t>4.  Records of power outages</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12</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12</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16</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192</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19</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10</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$17,027</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400" w:firstLine="640"/>
              <w:rPr>
                <w:rFonts w:ascii="Calibri" w:hAnsi="Calibri" w:cs="Calibri"/>
                <w:sz w:val="16"/>
                <w:szCs w:val="16"/>
              </w:rPr>
            </w:pPr>
            <w:r w:rsidRPr="00FB075C">
              <w:rPr>
                <w:rFonts w:ascii="Calibri" w:hAnsi="Calibri" w:cs="Calibri"/>
                <w:sz w:val="16"/>
                <w:szCs w:val="16"/>
              </w:rPr>
              <w:t>5.  Records of facility enclosure inspections</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12</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12</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16</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192</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19</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10</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$17,027</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400" w:firstLine="640"/>
              <w:rPr>
                <w:rFonts w:ascii="Calibri" w:hAnsi="Calibri" w:cs="Calibri"/>
                <w:sz w:val="16"/>
                <w:szCs w:val="16"/>
              </w:rPr>
            </w:pPr>
            <w:r w:rsidRPr="00FB075C">
              <w:rPr>
                <w:rFonts w:ascii="Calibri" w:hAnsi="Calibri" w:cs="Calibri"/>
                <w:sz w:val="16"/>
                <w:szCs w:val="16"/>
              </w:rPr>
              <w:t>6.  Records of startup and shutdown</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12</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12</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16</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192</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19</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10</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$17,027</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400" w:firstLine="640"/>
              <w:rPr>
                <w:rFonts w:ascii="Calibri" w:hAnsi="Calibri" w:cs="Calibri"/>
                <w:sz w:val="16"/>
                <w:szCs w:val="16"/>
              </w:rPr>
            </w:pPr>
            <w:r w:rsidRPr="00FB075C">
              <w:rPr>
                <w:rFonts w:ascii="Calibri" w:hAnsi="Calibri" w:cs="Calibri"/>
                <w:sz w:val="16"/>
                <w:szCs w:val="16"/>
              </w:rPr>
              <w:t>7.  Records of malfunctions</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2</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6</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12</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16</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192</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19</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10</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$17,027</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400" w:firstLine="640"/>
              <w:rPr>
                <w:rFonts w:ascii="Calibri" w:hAnsi="Calibri" w:cs="Calibri"/>
                <w:sz w:val="16"/>
                <w:szCs w:val="16"/>
              </w:rPr>
            </w:pPr>
            <w:r w:rsidRPr="00FB075C">
              <w:rPr>
                <w:rFonts w:ascii="Calibri" w:hAnsi="Calibri" w:cs="Calibri"/>
                <w:sz w:val="16"/>
                <w:szCs w:val="16"/>
              </w:rPr>
              <w:t>8.  Records of actions taken during malfunctions</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6</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6</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16</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96</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10</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5</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$8,514</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400" w:firstLine="640"/>
              <w:rPr>
                <w:rFonts w:ascii="Calibri" w:hAnsi="Calibri" w:cs="Calibri"/>
                <w:sz w:val="16"/>
                <w:szCs w:val="16"/>
              </w:rPr>
            </w:pPr>
            <w:r w:rsidRPr="00FB075C">
              <w:rPr>
                <w:rFonts w:ascii="Calibri" w:hAnsi="Calibri" w:cs="Calibri"/>
                <w:sz w:val="16"/>
                <w:szCs w:val="16"/>
              </w:rPr>
              <w:t>9.  Records for BLDS</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12</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12</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16</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192</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19</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10</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$17,027</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400" w:firstLine="640"/>
              <w:rPr>
                <w:rFonts w:ascii="Calibri" w:hAnsi="Calibri" w:cs="Calibri"/>
                <w:sz w:val="16"/>
                <w:szCs w:val="16"/>
              </w:rPr>
            </w:pPr>
            <w:r w:rsidRPr="00FB075C">
              <w:rPr>
                <w:rFonts w:ascii="Calibri" w:hAnsi="Calibri" w:cs="Calibri"/>
                <w:sz w:val="16"/>
                <w:szCs w:val="16"/>
              </w:rPr>
              <w:t>10.  Records of furnace inspection</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12</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12</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16</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192</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19</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10</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$17,027</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400" w:firstLine="640"/>
              <w:rPr>
                <w:rFonts w:ascii="Calibri" w:hAnsi="Calibri" w:cs="Calibri"/>
                <w:sz w:val="16"/>
                <w:szCs w:val="16"/>
              </w:rPr>
            </w:pPr>
            <w:r w:rsidRPr="00FB075C">
              <w:rPr>
                <w:rFonts w:ascii="Calibri" w:hAnsi="Calibri" w:cs="Calibri"/>
                <w:sz w:val="16"/>
                <w:szCs w:val="16"/>
              </w:rPr>
              <w:t>11.  Records of recovery of plastic battery casing material</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6</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6</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16</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96</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10</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5</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$8,514</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200" w:firstLine="320"/>
              <w:rPr>
                <w:rFonts w:ascii="Calibri" w:hAnsi="Calibri" w:cs="Calibri"/>
                <w:sz w:val="16"/>
                <w:szCs w:val="16"/>
              </w:rPr>
            </w:pPr>
            <w:r w:rsidRPr="00FB075C">
              <w:rPr>
                <w:rFonts w:ascii="Calibri" w:hAnsi="Calibri" w:cs="Calibri"/>
                <w:sz w:val="16"/>
                <w:szCs w:val="16"/>
              </w:rPr>
              <w:t>E.  Personnel Training</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8</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8</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FB075C" w:rsidRDefault="00E254E2" w:rsidP="00E254E2">
            <w:pPr>
              <w:ind w:firstLineChars="200" w:firstLine="320"/>
              <w:rPr>
                <w:rFonts w:ascii="Calibri" w:hAnsi="Calibri" w:cs="Calibri"/>
                <w:sz w:val="16"/>
                <w:szCs w:val="16"/>
              </w:rPr>
            </w:pPr>
            <w:r w:rsidRPr="00FB075C">
              <w:rPr>
                <w:rFonts w:ascii="Calibri" w:hAnsi="Calibri" w:cs="Calibri"/>
                <w:sz w:val="16"/>
                <w:szCs w:val="16"/>
              </w:rPr>
              <w:t>F.  Time for Audits</w:t>
            </w:r>
          </w:p>
        </w:tc>
        <w:tc>
          <w:tcPr>
            <w:tcW w:w="38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NA</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9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89"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07"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40"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1"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48"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412"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16"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54" w:type="pct"/>
            <w:tcBorders>
              <w:top w:val="nil"/>
              <w:left w:val="nil"/>
              <w:bottom w:val="single" w:sz="4"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125" w:type="pct"/>
            <w:tcBorders>
              <w:top w:val="nil"/>
              <w:left w:val="nil"/>
              <w:bottom w:val="single" w:sz="4"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nil"/>
              <w:right w:val="single" w:sz="4" w:space="0" w:color="auto"/>
            </w:tcBorders>
            <w:shd w:val="clear" w:color="000000" w:fill="FFFFFF"/>
            <w:noWrap/>
            <w:vAlign w:val="bottom"/>
            <w:hideMark/>
          </w:tcPr>
          <w:p w:rsidR="00E254E2" w:rsidRPr="00FB075C" w:rsidRDefault="00E254E2" w:rsidP="00E254E2">
            <w:pPr>
              <w:rPr>
                <w:rFonts w:ascii="Calibri" w:hAnsi="Calibri" w:cs="Calibri"/>
                <w:b/>
                <w:bCs/>
                <w:i/>
                <w:iCs/>
                <w:sz w:val="16"/>
                <w:szCs w:val="16"/>
              </w:rPr>
            </w:pPr>
            <w:r w:rsidRPr="00FB075C">
              <w:rPr>
                <w:rFonts w:ascii="Calibri" w:hAnsi="Calibri" w:cs="Calibri"/>
                <w:b/>
                <w:bCs/>
                <w:i/>
                <w:iCs/>
                <w:sz w:val="16"/>
                <w:szCs w:val="16"/>
              </w:rPr>
              <w:t>Recordkeeping Subtotal</w:t>
            </w:r>
          </w:p>
        </w:tc>
        <w:tc>
          <w:tcPr>
            <w:tcW w:w="381" w:type="pct"/>
            <w:tcBorders>
              <w:top w:val="nil"/>
              <w:left w:val="nil"/>
              <w:bottom w:val="nil"/>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nil"/>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nil"/>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97" w:type="pct"/>
            <w:tcBorders>
              <w:top w:val="nil"/>
              <w:left w:val="nil"/>
              <w:bottom w:val="nil"/>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89" w:type="pct"/>
            <w:tcBorders>
              <w:top w:val="nil"/>
              <w:left w:val="nil"/>
              <w:bottom w:val="nil"/>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07" w:type="pct"/>
            <w:tcBorders>
              <w:top w:val="nil"/>
              <w:left w:val="nil"/>
              <w:bottom w:val="nil"/>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40" w:type="pct"/>
            <w:tcBorders>
              <w:top w:val="nil"/>
              <w:left w:val="nil"/>
              <w:bottom w:val="nil"/>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1744</w:t>
            </w:r>
          </w:p>
        </w:tc>
        <w:tc>
          <w:tcPr>
            <w:tcW w:w="311" w:type="pct"/>
            <w:tcBorders>
              <w:top w:val="nil"/>
              <w:left w:val="nil"/>
              <w:bottom w:val="nil"/>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174</w:t>
            </w:r>
          </w:p>
        </w:tc>
        <w:tc>
          <w:tcPr>
            <w:tcW w:w="348" w:type="pct"/>
            <w:tcBorders>
              <w:top w:val="nil"/>
              <w:left w:val="nil"/>
              <w:bottom w:val="nil"/>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87</w:t>
            </w:r>
          </w:p>
        </w:tc>
        <w:tc>
          <w:tcPr>
            <w:tcW w:w="412" w:type="pct"/>
            <w:tcBorders>
              <w:top w:val="nil"/>
              <w:left w:val="nil"/>
              <w:bottom w:val="nil"/>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$154,663</w:t>
            </w:r>
          </w:p>
        </w:tc>
        <w:tc>
          <w:tcPr>
            <w:tcW w:w="316" w:type="pct"/>
            <w:tcBorders>
              <w:top w:val="nil"/>
              <w:left w:val="nil"/>
              <w:bottom w:val="nil"/>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254" w:type="pct"/>
            <w:tcBorders>
              <w:top w:val="nil"/>
              <w:left w:val="nil"/>
              <w:bottom w:val="nil"/>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0</w:t>
            </w:r>
          </w:p>
        </w:tc>
        <w:tc>
          <w:tcPr>
            <w:tcW w:w="125" w:type="pct"/>
            <w:tcBorders>
              <w:top w:val="nil"/>
              <w:left w:val="nil"/>
              <w:bottom w:val="nil"/>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E254E2" w:rsidRPr="00FB075C" w:rsidRDefault="00E254E2" w:rsidP="00E254E2">
            <w:pPr>
              <w:rPr>
                <w:rFonts w:ascii="Calibri" w:hAnsi="Calibri" w:cs="Calibri"/>
                <w:b/>
                <w:bCs/>
                <w:sz w:val="16"/>
                <w:szCs w:val="16"/>
              </w:rPr>
            </w:pPr>
            <w:r w:rsidRPr="00FB075C">
              <w:rPr>
                <w:rFonts w:ascii="Calibri" w:hAnsi="Calibri" w:cs="Calibri"/>
                <w:b/>
                <w:bCs/>
                <w:sz w:val="16"/>
                <w:szCs w:val="16"/>
              </w:rPr>
              <w:t>TOTAL</w:t>
            </w:r>
          </w:p>
        </w:tc>
        <w:tc>
          <w:tcPr>
            <w:tcW w:w="381" w:type="pct"/>
            <w:tcBorders>
              <w:top w:val="single" w:sz="8" w:space="0" w:color="auto"/>
              <w:left w:val="nil"/>
              <w:bottom w:val="single" w:sz="8"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78" w:type="pct"/>
            <w:tcBorders>
              <w:top w:val="single" w:sz="8" w:space="0" w:color="auto"/>
              <w:left w:val="nil"/>
              <w:bottom w:val="single" w:sz="8"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78" w:type="pct"/>
            <w:tcBorders>
              <w:top w:val="single" w:sz="8" w:space="0" w:color="auto"/>
              <w:left w:val="nil"/>
              <w:bottom w:val="single" w:sz="8"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97" w:type="pct"/>
            <w:tcBorders>
              <w:top w:val="single" w:sz="8" w:space="0" w:color="auto"/>
              <w:left w:val="nil"/>
              <w:bottom w:val="single" w:sz="8"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89" w:type="pct"/>
            <w:tcBorders>
              <w:top w:val="single" w:sz="8" w:space="0" w:color="auto"/>
              <w:left w:val="nil"/>
              <w:bottom w:val="single" w:sz="8"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307" w:type="pct"/>
            <w:tcBorders>
              <w:top w:val="single" w:sz="8" w:space="0" w:color="auto"/>
              <w:left w:val="nil"/>
              <w:bottom w:val="single" w:sz="8"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c>
          <w:tcPr>
            <w:tcW w:w="240" w:type="pct"/>
            <w:tcBorders>
              <w:top w:val="single" w:sz="8" w:space="0" w:color="auto"/>
              <w:left w:val="nil"/>
              <w:bottom w:val="single" w:sz="8"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3294</w:t>
            </w:r>
          </w:p>
        </w:tc>
        <w:tc>
          <w:tcPr>
            <w:tcW w:w="311" w:type="pct"/>
            <w:tcBorders>
              <w:top w:val="single" w:sz="8" w:space="0" w:color="auto"/>
              <w:left w:val="nil"/>
              <w:bottom w:val="single" w:sz="8"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329</w:t>
            </w:r>
          </w:p>
        </w:tc>
        <w:tc>
          <w:tcPr>
            <w:tcW w:w="348" w:type="pct"/>
            <w:tcBorders>
              <w:top w:val="single" w:sz="8" w:space="0" w:color="auto"/>
              <w:left w:val="nil"/>
              <w:bottom w:val="single" w:sz="8"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165</w:t>
            </w:r>
          </w:p>
        </w:tc>
        <w:tc>
          <w:tcPr>
            <w:tcW w:w="412" w:type="pct"/>
            <w:tcBorders>
              <w:top w:val="single" w:sz="8" w:space="0" w:color="auto"/>
              <w:left w:val="nil"/>
              <w:bottom w:val="single" w:sz="8"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$292,604</w:t>
            </w:r>
          </w:p>
        </w:tc>
        <w:tc>
          <w:tcPr>
            <w:tcW w:w="316" w:type="pct"/>
            <w:tcBorders>
              <w:top w:val="single" w:sz="8" w:space="0" w:color="auto"/>
              <w:left w:val="nil"/>
              <w:bottom w:val="single" w:sz="8"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$170,380</w:t>
            </w:r>
          </w:p>
        </w:tc>
        <w:tc>
          <w:tcPr>
            <w:tcW w:w="254" w:type="pct"/>
            <w:tcBorders>
              <w:top w:val="single" w:sz="8" w:space="0" w:color="auto"/>
              <w:left w:val="nil"/>
              <w:bottom w:val="single" w:sz="8" w:space="0" w:color="auto"/>
              <w:right w:val="single" w:sz="4"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33</w:t>
            </w:r>
          </w:p>
        </w:tc>
        <w:tc>
          <w:tcPr>
            <w:tcW w:w="125" w:type="pct"/>
            <w:tcBorders>
              <w:top w:val="single" w:sz="8" w:space="0" w:color="auto"/>
              <w:left w:val="nil"/>
              <w:bottom w:val="single" w:sz="8" w:space="0" w:color="auto"/>
              <w:right w:val="single" w:sz="8" w:space="0" w:color="auto"/>
            </w:tcBorders>
            <w:shd w:val="clear" w:color="000000" w:fill="FFFFFF"/>
            <w:noWrap/>
            <w:vAlign w:val="bottom"/>
            <w:hideMark/>
          </w:tcPr>
          <w:p w:rsidR="00E254E2" w:rsidRPr="00FB075C" w:rsidRDefault="00E254E2" w:rsidP="00E254E2">
            <w:pPr>
              <w:jc w:val="cente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nil"/>
              <w:right w:val="nil"/>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 </w:t>
            </w:r>
          </w:p>
        </w:tc>
        <w:tc>
          <w:tcPr>
            <w:tcW w:w="381" w:type="pct"/>
            <w:tcBorders>
              <w:top w:val="nil"/>
              <w:left w:val="nil"/>
              <w:bottom w:val="nil"/>
              <w:right w:val="nil"/>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nil"/>
              <w:right w:val="nil"/>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nil"/>
              <w:right w:val="nil"/>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 </w:t>
            </w:r>
          </w:p>
        </w:tc>
        <w:tc>
          <w:tcPr>
            <w:tcW w:w="297" w:type="pct"/>
            <w:tcBorders>
              <w:top w:val="nil"/>
              <w:left w:val="nil"/>
              <w:bottom w:val="nil"/>
              <w:right w:val="nil"/>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 </w:t>
            </w:r>
          </w:p>
        </w:tc>
        <w:tc>
          <w:tcPr>
            <w:tcW w:w="289" w:type="pct"/>
            <w:tcBorders>
              <w:top w:val="nil"/>
              <w:left w:val="nil"/>
              <w:bottom w:val="nil"/>
              <w:right w:val="nil"/>
            </w:tcBorders>
            <w:shd w:val="clear" w:color="000000" w:fill="FFFFFF"/>
            <w:noWrap/>
            <w:vAlign w:val="center"/>
            <w:hideMark/>
          </w:tcPr>
          <w:p w:rsidR="00E254E2" w:rsidRPr="00FB075C" w:rsidRDefault="00E254E2" w:rsidP="00E254E2">
            <w:pPr>
              <w:jc w:val="center"/>
              <w:rPr>
                <w:rFonts w:ascii="Arial" w:hAnsi="Arial" w:cs="Arial"/>
                <w:sz w:val="16"/>
                <w:szCs w:val="16"/>
              </w:rPr>
            </w:pPr>
            <w:r w:rsidRPr="00FB075C">
              <w:rPr>
                <w:rFonts w:ascii="Arial" w:hAnsi="Arial" w:cs="Arial"/>
                <w:sz w:val="16"/>
                <w:szCs w:val="16"/>
              </w:rPr>
              <w:t> </w:t>
            </w:r>
          </w:p>
        </w:tc>
        <w:tc>
          <w:tcPr>
            <w:tcW w:w="307" w:type="pct"/>
            <w:tcBorders>
              <w:top w:val="nil"/>
              <w:left w:val="nil"/>
              <w:bottom w:val="nil"/>
              <w:right w:val="nil"/>
            </w:tcBorders>
            <w:shd w:val="clear" w:color="000000" w:fill="FFFFFF"/>
            <w:noWrap/>
            <w:vAlign w:val="center"/>
            <w:hideMark/>
          </w:tcPr>
          <w:p w:rsidR="00E254E2" w:rsidRPr="00FB075C" w:rsidRDefault="00E254E2" w:rsidP="00E254E2">
            <w:pPr>
              <w:jc w:val="center"/>
              <w:rPr>
                <w:rFonts w:ascii="Arial" w:hAnsi="Arial" w:cs="Arial"/>
                <w:sz w:val="16"/>
                <w:szCs w:val="16"/>
              </w:rPr>
            </w:pPr>
            <w:r w:rsidRPr="00FB075C">
              <w:rPr>
                <w:rFonts w:ascii="Arial" w:hAnsi="Arial" w:cs="Arial"/>
                <w:sz w:val="16"/>
                <w:szCs w:val="16"/>
              </w:rPr>
              <w:t> </w:t>
            </w:r>
          </w:p>
        </w:tc>
        <w:tc>
          <w:tcPr>
            <w:tcW w:w="240" w:type="pct"/>
            <w:tcBorders>
              <w:top w:val="nil"/>
              <w:left w:val="nil"/>
              <w:bottom w:val="nil"/>
              <w:right w:val="nil"/>
            </w:tcBorders>
            <w:shd w:val="clear" w:color="000000" w:fill="FFFFFF"/>
            <w:noWrap/>
            <w:vAlign w:val="center"/>
            <w:hideMark/>
          </w:tcPr>
          <w:p w:rsidR="00E254E2" w:rsidRPr="00FB075C" w:rsidRDefault="00E254E2" w:rsidP="00E254E2">
            <w:pPr>
              <w:jc w:val="center"/>
              <w:rPr>
                <w:rFonts w:ascii="Arial" w:hAnsi="Arial" w:cs="Arial"/>
                <w:sz w:val="16"/>
                <w:szCs w:val="16"/>
              </w:rPr>
            </w:pPr>
            <w:r w:rsidRPr="00FB075C">
              <w:rPr>
                <w:rFonts w:ascii="Arial" w:hAnsi="Arial" w:cs="Arial"/>
                <w:sz w:val="16"/>
                <w:szCs w:val="16"/>
              </w:rPr>
              <w:t> </w:t>
            </w:r>
          </w:p>
        </w:tc>
        <w:tc>
          <w:tcPr>
            <w:tcW w:w="311" w:type="pct"/>
            <w:tcBorders>
              <w:top w:val="nil"/>
              <w:left w:val="nil"/>
              <w:bottom w:val="nil"/>
              <w:right w:val="nil"/>
            </w:tcBorders>
            <w:shd w:val="clear" w:color="000000" w:fill="FFFFFF"/>
            <w:noWrap/>
            <w:vAlign w:val="center"/>
            <w:hideMark/>
          </w:tcPr>
          <w:p w:rsidR="00E254E2" w:rsidRPr="00FB075C" w:rsidRDefault="00E254E2" w:rsidP="00E254E2">
            <w:pPr>
              <w:jc w:val="center"/>
              <w:rPr>
                <w:rFonts w:ascii="Arial" w:hAnsi="Arial" w:cs="Arial"/>
                <w:b/>
                <w:sz w:val="16"/>
                <w:szCs w:val="16"/>
              </w:rPr>
            </w:pPr>
            <w:r w:rsidRPr="00FB075C">
              <w:rPr>
                <w:rFonts w:ascii="Arial" w:hAnsi="Arial" w:cs="Arial"/>
                <w:b/>
                <w:sz w:val="16"/>
                <w:szCs w:val="16"/>
              </w:rPr>
              <w:t>Total Hours</w:t>
            </w:r>
          </w:p>
        </w:tc>
        <w:tc>
          <w:tcPr>
            <w:tcW w:w="348" w:type="pct"/>
            <w:tcBorders>
              <w:top w:val="nil"/>
              <w:left w:val="nil"/>
              <w:bottom w:val="nil"/>
              <w:right w:val="nil"/>
            </w:tcBorders>
            <w:shd w:val="clear" w:color="000000" w:fill="FFFFFF"/>
            <w:noWrap/>
            <w:vAlign w:val="center"/>
            <w:hideMark/>
          </w:tcPr>
          <w:p w:rsidR="00E254E2" w:rsidRPr="00FB075C" w:rsidRDefault="00E254E2" w:rsidP="00E254E2">
            <w:pPr>
              <w:jc w:val="center"/>
              <w:rPr>
                <w:rFonts w:ascii="Arial" w:hAnsi="Arial" w:cs="Arial"/>
                <w:b/>
                <w:sz w:val="16"/>
                <w:szCs w:val="16"/>
              </w:rPr>
            </w:pPr>
            <w:r w:rsidRPr="00FB075C">
              <w:rPr>
                <w:rFonts w:ascii="Arial" w:hAnsi="Arial" w:cs="Arial"/>
                <w:b/>
                <w:sz w:val="16"/>
                <w:szCs w:val="16"/>
              </w:rPr>
              <w:t>Labor</w:t>
            </w:r>
          </w:p>
        </w:tc>
        <w:tc>
          <w:tcPr>
            <w:tcW w:w="412" w:type="pct"/>
            <w:tcBorders>
              <w:top w:val="nil"/>
              <w:left w:val="nil"/>
              <w:bottom w:val="nil"/>
              <w:right w:val="nil"/>
            </w:tcBorders>
            <w:shd w:val="clear" w:color="000000" w:fill="FFFFFF"/>
            <w:noWrap/>
            <w:vAlign w:val="center"/>
            <w:hideMark/>
          </w:tcPr>
          <w:p w:rsidR="00E254E2" w:rsidRPr="00FB075C" w:rsidRDefault="00E254E2" w:rsidP="00E254E2">
            <w:pPr>
              <w:jc w:val="center"/>
              <w:rPr>
                <w:rFonts w:ascii="Arial" w:hAnsi="Arial" w:cs="Arial"/>
                <w:b/>
                <w:sz w:val="16"/>
                <w:szCs w:val="16"/>
              </w:rPr>
            </w:pPr>
            <w:r w:rsidRPr="00FB075C">
              <w:rPr>
                <w:rFonts w:ascii="Arial" w:hAnsi="Arial" w:cs="Arial"/>
                <w:b/>
                <w:sz w:val="16"/>
                <w:szCs w:val="16"/>
              </w:rPr>
              <w:t>Non-Labor</w:t>
            </w:r>
          </w:p>
        </w:tc>
        <w:tc>
          <w:tcPr>
            <w:tcW w:w="316" w:type="pct"/>
            <w:tcBorders>
              <w:top w:val="nil"/>
              <w:left w:val="nil"/>
              <w:bottom w:val="nil"/>
              <w:right w:val="nil"/>
            </w:tcBorders>
            <w:shd w:val="clear" w:color="000000" w:fill="FFFFFF"/>
            <w:noWrap/>
            <w:vAlign w:val="center"/>
            <w:hideMark/>
          </w:tcPr>
          <w:p w:rsidR="00E254E2" w:rsidRPr="00FB075C" w:rsidRDefault="00E254E2" w:rsidP="00E254E2">
            <w:pPr>
              <w:jc w:val="center"/>
              <w:rPr>
                <w:rFonts w:ascii="Arial" w:hAnsi="Arial" w:cs="Arial"/>
                <w:b/>
                <w:sz w:val="16"/>
                <w:szCs w:val="16"/>
              </w:rPr>
            </w:pPr>
            <w:r w:rsidRPr="00FB075C">
              <w:rPr>
                <w:rFonts w:ascii="Arial" w:hAnsi="Arial" w:cs="Arial"/>
                <w:b/>
                <w:sz w:val="16"/>
                <w:szCs w:val="16"/>
              </w:rPr>
              <w:t>Total</w:t>
            </w:r>
          </w:p>
        </w:tc>
        <w:tc>
          <w:tcPr>
            <w:tcW w:w="254" w:type="pct"/>
            <w:tcBorders>
              <w:top w:val="nil"/>
              <w:left w:val="nil"/>
              <w:bottom w:val="nil"/>
              <w:right w:val="nil"/>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 </w:t>
            </w:r>
          </w:p>
        </w:tc>
        <w:tc>
          <w:tcPr>
            <w:tcW w:w="125" w:type="pct"/>
            <w:tcBorders>
              <w:top w:val="nil"/>
              <w:left w:val="nil"/>
              <w:bottom w:val="nil"/>
              <w:right w:val="single" w:sz="8" w:space="0" w:color="auto"/>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nil"/>
              <w:right w:val="nil"/>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 </w:t>
            </w:r>
          </w:p>
        </w:tc>
        <w:tc>
          <w:tcPr>
            <w:tcW w:w="381" w:type="pct"/>
            <w:tcBorders>
              <w:top w:val="nil"/>
              <w:left w:val="nil"/>
              <w:bottom w:val="nil"/>
              <w:right w:val="nil"/>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nil"/>
              <w:right w:val="nil"/>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nil"/>
              <w:right w:val="nil"/>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 </w:t>
            </w:r>
          </w:p>
        </w:tc>
        <w:tc>
          <w:tcPr>
            <w:tcW w:w="1133" w:type="pct"/>
            <w:gridSpan w:val="4"/>
            <w:tcBorders>
              <w:top w:val="nil"/>
              <w:left w:val="nil"/>
              <w:bottom w:val="nil"/>
              <w:right w:val="nil"/>
            </w:tcBorders>
            <w:shd w:val="clear" w:color="000000" w:fill="FFFFFF"/>
            <w:noWrap/>
            <w:vAlign w:val="bottom"/>
            <w:hideMark/>
          </w:tcPr>
          <w:p w:rsidR="00E254E2" w:rsidRPr="00FB075C" w:rsidRDefault="00E254E2" w:rsidP="00E254E2">
            <w:pPr>
              <w:rPr>
                <w:rFonts w:ascii="Arial" w:hAnsi="Arial" w:cs="Arial"/>
                <w:b/>
                <w:sz w:val="16"/>
                <w:szCs w:val="16"/>
              </w:rPr>
            </w:pPr>
            <w:r w:rsidRPr="00FB075C">
              <w:rPr>
                <w:rFonts w:ascii="Calibri" w:hAnsi="Calibri" w:cs="Calibri"/>
                <w:b/>
                <w:sz w:val="16"/>
                <w:szCs w:val="16"/>
              </w:rPr>
              <w:t> </w:t>
            </w:r>
            <w:r w:rsidRPr="00FB075C">
              <w:rPr>
                <w:rFonts w:ascii="Arial" w:hAnsi="Arial" w:cs="Arial"/>
                <w:b/>
                <w:sz w:val="16"/>
                <w:szCs w:val="16"/>
              </w:rPr>
              <w:t>Summary of Respondent Burden</w:t>
            </w:r>
          </w:p>
        </w:tc>
        <w:tc>
          <w:tcPr>
            <w:tcW w:w="311" w:type="pct"/>
            <w:tcBorders>
              <w:top w:val="nil"/>
              <w:left w:val="nil"/>
              <w:bottom w:val="nil"/>
              <w:right w:val="nil"/>
            </w:tcBorders>
            <w:shd w:val="clear" w:color="000000" w:fill="FFFFFF"/>
            <w:noWrap/>
            <w:vAlign w:val="center"/>
            <w:hideMark/>
          </w:tcPr>
          <w:p w:rsidR="00E254E2" w:rsidRPr="00FB075C" w:rsidRDefault="00E254E2" w:rsidP="00E254E2">
            <w:pPr>
              <w:jc w:val="right"/>
              <w:rPr>
                <w:rFonts w:ascii="Arial" w:hAnsi="Arial" w:cs="Arial"/>
                <w:sz w:val="16"/>
                <w:szCs w:val="16"/>
              </w:rPr>
            </w:pPr>
            <w:r w:rsidRPr="00FB075C">
              <w:rPr>
                <w:rFonts w:ascii="Arial" w:hAnsi="Arial" w:cs="Arial"/>
                <w:sz w:val="16"/>
                <w:szCs w:val="16"/>
              </w:rPr>
              <w:t>3,788</w:t>
            </w:r>
          </w:p>
        </w:tc>
        <w:tc>
          <w:tcPr>
            <w:tcW w:w="348" w:type="pct"/>
            <w:tcBorders>
              <w:top w:val="nil"/>
              <w:left w:val="nil"/>
              <w:bottom w:val="nil"/>
              <w:right w:val="nil"/>
            </w:tcBorders>
            <w:shd w:val="clear" w:color="000000" w:fill="FFFFFF"/>
            <w:noWrap/>
            <w:vAlign w:val="center"/>
            <w:hideMark/>
          </w:tcPr>
          <w:p w:rsidR="00E254E2" w:rsidRPr="00FB075C" w:rsidRDefault="00E254E2" w:rsidP="00E254E2">
            <w:pPr>
              <w:jc w:val="right"/>
              <w:rPr>
                <w:rFonts w:ascii="Arial" w:hAnsi="Arial" w:cs="Arial"/>
                <w:sz w:val="16"/>
                <w:szCs w:val="16"/>
              </w:rPr>
            </w:pPr>
            <w:r w:rsidRPr="00FB075C">
              <w:rPr>
                <w:rFonts w:ascii="Arial" w:hAnsi="Arial" w:cs="Arial"/>
                <w:sz w:val="16"/>
                <w:szCs w:val="16"/>
              </w:rPr>
              <w:t>$292,604</w:t>
            </w:r>
          </w:p>
        </w:tc>
        <w:tc>
          <w:tcPr>
            <w:tcW w:w="412" w:type="pct"/>
            <w:tcBorders>
              <w:top w:val="nil"/>
              <w:left w:val="nil"/>
              <w:bottom w:val="nil"/>
              <w:right w:val="nil"/>
            </w:tcBorders>
            <w:shd w:val="clear" w:color="000000" w:fill="FFFFFF"/>
            <w:noWrap/>
            <w:vAlign w:val="center"/>
            <w:hideMark/>
          </w:tcPr>
          <w:p w:rsidR="00E254E2" w:rsidRPr="00FB075C" w:rsidRDefault="00E254E2" w:rsidP="00E254E2">
            <w:pPr>
              <w:jc w:val="right"/>
              <w:rPr>
                <w:rFonts w:ascii="Arial" w:hAnsi="Arial" w:cs="Arial"/>
                <w:sz w:val="16"/>
                <w:szCs w:val="16"/>
              </w:rPr>
            </w:pPr>
            <w:r w:rsidRPr="00FB075C">
              <w:rPr>
                <w:rFonts w:ascii="Arial" w:hAnsi="Arial" w:cs="Arial"/>
                <w:sz w:val="16"/>
                <w:szCs w:val="16"/>
              </w:rPr>
              <w:t>$170,380</w:t>
            </w:r>
          </w:p>
        </w:tc>
        <w:tc>
          <w:tcPr>
            <w:tcW w:w="316" w:type="pct"/>
            <w:tcBorders>
              <w:top w:val="nil"/>
              <w:left w:val="nil"/>
              <w:bottom w:val="nil"/>
              <w:right w:val="nil"/>
            </w:tcBorders>
            <w:shd w:val="clear" w:color="000000" w:fill="FFFFFF"/>
            <w:noWrap/>
            <w:vAlign w:val="center"/>
            <w:hideMark/>
          </w:tcPr>
          <w:p w:rsidR="00E254E2" w:rsidRPr="00FB075C" w:rsidRDefault="00E254E2" w:rsidP="00E254E2">
            <w:pPr>
              <w:jc w:val="right"/>
              <w:rPr>
                <w:rFonts w:ascii="Arial" w:hAnsi="Arial" w:cs="Arial"/>
                <w:sz w:val="16"/>
                <w:szCs w:val="16"/>
              </w:rPr>
            </w:pPr>
            <w:r w:rsidRPr="00FB075C">
              <w:rPr>
                <w:rFonts w:ascii="Arial" w:hAnsi="Arial" w:cs="Arial"/>
                <w:sz w:val="16"/>
                <w:szCs w:val="16"/>
              </w:rPr>
              <w:t>$462,984</w:t>
            </w:r>
          </w:p>
        </w:tc>
        <w:tc>
          <w:tcPr>
            <w:tcW w:w="254" w:type="pct"/>
            <w:tcBorders>
              <w:top w:val="nil"/>
              <w:left w:val="nil"/>
              <w:bottom w:val="nil"/>
              <w:right w:val="nil"/>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 </w:t>
            </w:r>
          </w:p>
        </w:tc>
        <w:tc>
          <w:tcPr>
            <w:tcW w:w="125" w:type="pct"/>
            <w:tcBorders>
              <w:top w:val="nil"/>
              <w:left w:val="nil"/>
              <w:bottom w:val="nil"/>
              <w:right w:val="single" w:sz="8" w:space="0" w:color="auto"/>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nil"/>
              <w:right w:val="nil"/>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 </w:t>
            </w:r>
          </w:p>
        </w:tc>
        <w:tc>
          <w:tcPr>
            <w:tcW w:w="381" w:type="pct"/>
            <w:tcBorders>
              <w:top w:val="nil"/>
              <w:left w:val="nil"/>
              <w:bottom w:val="nil"/>
              <w:right w:val="nil"/>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nil"/>
              <w:right w:val="nil"/>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nil"/>
              <w:right w:val="nil"/>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 </w:t>
            </w:r>
          </w:p>
        </w:tc>
        <w:tc>
          <w:tcPr>
            <w:tcW w:w="1133" w:type="pct"/>
            <w:gridSpan w:val="4"/>
            <w:tcBorders>
              <w:top w:val="nil"/>
              <w:left w:val="nil"/>
              <w:bottom w:val="nil"/>
              <w:right w:val="nil"/>
            </w:tcBorders>
            <w:shd w:val="clear" w:color="000000" w:fill="FFFFFF"/>
            <w:noWrap/>
            <w:vAlign w:val="bottom"/>
            <w:hideMark/>
          </w:tcPr>
          <w:p w:rsidR="00E254E2" w:rsidRPr="00FB075C" w:rsidRDefault="00E254E2" w:rsidP="00E254E2">
            <w:pPr>
              <w:rPr>
                <w:rFonts w:ascii="Arial" w:hAnsi="Arial" w:cs="Arial"/>
                <w:b/>
                <w:sz w:val="16"/>
                <w:szCs w:val="16"/>
              </w:rPr>
            </w:pPr>
            <w:r w:rsidRPr="00FB075C">
              <w:rPr>
                <w:rFonts w:ascii="Calibri" w:hAnsi="Calibri" w:cs="Calibri"/>
                <w:b/>
                <w:sz w:val="16"/>
                <w:szCs w:val="16"/>
              </w:rPr>
              <w:t> </w:t>
            </w:r>
            <w:r w:rsidRPr="00FB075C">
              <w:rPr>
                <w:rFonts w:ascii="Arial" w:hAnsi="Arial" w:cs="Arial"/>
                <w:b/>
                <w:sz w:val="16"/>
                <w:szCs w:val="16"/>
              </w:rPr>
              <w:t>Initial Capital and Startup </w:t>
            </w:r>
          </w:p>
        </w:tc>
        <w:tc>
          <w:tcPr>
            <w:tcW w:w="311" w:type="pct"/>
            <w:tcBorders>
              <w:top w:val="nil"/>
              <w:left w:val="nil"/>
              <w:bottom w:val="nil"/>
              <w:right w:val="nil"/>
            </w:tcBorders>
            <w:shd w:val="clear" w:color="000000" w:fill="FFFFFF"/>
            <w:noWrap/>
            <w:vAlign w:val="center"/>
            <w:hideMark/>
          </w:tcPr>
          <w:p w:rsidR="00E254E2" w:rsidRPr="00FB075C" w:rsidRDefault="00E254E2" w:rsidP="00E254E2">
            <w:pPr>
              <w:jc w:val="right"/>
              <w:rPr>
                <w:rFonts w:ascii="Arial" w:hAnsi="Arial" w:cs="Arial"/>
                <w:sz w:val="16"/>
                <w:szCs w:val="16"/>
              </w:rPr>
            </w:pPr>
            <w:r w:rsidRPr="00FB075C">
              <w:rPr>
                <w:rFonts w:ascii="Arial" w:hAnsi="Arial" w:cs="Arial"/>
                <w:sz w:val="16"/>
                <w:szCs w:val="16"/>
              </w:rPr>
              <w:t> </w:t>
            </w:r>
          </w:p>
        </w:tc>
        <w:tc>
          <w:tcPr>
            <w:tcW w:w="348" w:type="pct"/>
            <w:tcBorders>
              <w:top w:val="nil"/>
              <w:left w:val="nil"/>
              <w:bottom w:val="nil"/>
              <w:right w:val="nil"/>
            </w:tcBorders>
            <w:shd w:val="clear" w:color="000000" w:fill="FFFFFF"/>
            <w:noWrap/>
            <w:vAlign w:val="center"/>
            <w:hideMark/>
          </w:tcPr>
          <w:p w:rsidR="00E254E2" w:rsidRPr="00FB075C" w:rsidRDefault="00E254E2" w:rsidP="00E254E2">
            <w:pPr>
              <w:jc w:val="right"/>
              <w:rPr>
                <w:rFonts w:ascii="Arial" w:hAnsi="Arial" w:cs="Arial"/>
                <w:sz w:val="16"/>
                <w:szCs w:val="16"/>
              </w:rPr>
            </w:pPr>
            <w:r w:rsidRPr="00FB075C">
              <w:rPr>
                <w:rFonts w:ascii="Arial" w:hAnsi="Arial" w:cs="Arial"/>
                <w:sz w:val="16"/>
                <w:szCs w:val="16"/>
              </w:rPr>
              <w:t> </w:t>
            </w:r>
          </w:p>
        </w:tc>
        <w:tc>
          <w:tcPr>
            <w:tcW w:w="412" w:type="pct"/>
            <w:tcBorders>
              <w:top w:val="nil"/>
              <w:left w:val="nil"/>
              <w:bottom w:val="nil"/>
              <w:right w:val="nil"/>
            </w:tcBorders>
            <w:shd w:val="clear" w:color="000000" w:fill="FFFFFF"/>
            <w:noWrap/>
            <w:vAlign w:val="center"/>
            <w:hideMark/>
          </w:tcPr>
          <w:p w:rsidR="00E254E2" w:rsidRPr="00FB075C" w:rsidRDefault="00E254E2" w:rsidP="00E254E2">
            <w:pPr>
              <w:jc w:val="right"/>
              <w:rPr>
                <w:rFonts w:ascii="Arial" w:hAnsi="Arial" w:cs="Arial"/>
                <w:sz w:val="16"/>
                <w:szCs w:val="16"/>
              </w:rPr>
            </w:pPr>
            <w:r w:rsidRPr="00FB075C">
              <w:rPr>
                <w:rFonts w:ascii="Arial" w:hAnsi="Arial" w:cs="Arial"/>
                <w:sz w:val="16"/>
                <w:szCs w:val="16"/>
              </w:rPr>
              <w:t>$0</w:t>
            </w:r>
          </w:p>
        </w:tc>
        <w:tc>
          <w:tcPr>
            <w:tcW w:w="316" w:type="pct"/>
            <w:tcBorders>
              <w:top w:val="nil"/>
              <w:left w:val="nil"/>
              <w:bottom w:val="nil"/>
              <w:right w:val="nil"/>
            </w:tcBorders>
            <w:shd w:val="clear" w:color="000000" w:fill="FFFFFF"/>
            <w:noWrap/>
            <w:vAlign w:val="center"/>
            <w:hideMark/>
          </w:tcPr>
          <w:p w:rsidR="00E254E2" w:rsidRPr="00FB075C" w:rsidRDefault="00E254E2" w:rsidP="00E254E2">
            <w:pPr>
              <w:jc w:val="right"/>
              <w:rPr>
                <w:rFonts w:ascii="Arial" w:hAnsi="Arial" w:cs="Arial"/>
                <w:sz w:val="16"/>
                <w:szCs w:val="16"/>
              </w:rPr>
            </w:pPr>
            <w:r w:rsidRPr="00FB075C">
              <w:rPr>
                <w:rFonts w:ascii="Arial" w:hAnsi="Arial" w:cs="Arial"/>
                <w:sz w:val="16"/>
                <w:szCs w:val="16"/>
              </w:rPr>
              <w:t> </w:t>
            </w:r>
          </w:p>
        </w:tc>
        <w:tc>
          <w:tcPr>
            <w:tcW w:w="254" w:type="pct"/>
            <w:tcBorders>
              <w:top w:val="nil"/>
              <w:left w:val="nil"/>
              <w:bottom w:val="nil"/>
              <w:right w:val="nil"/>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 </w:t>
            </w:r>
          </w:p>
        </w:tc>
        <w:tc>
          <w:tcPr>
            <w:tcW w:w="125" w:type="pct"/>
            <w:tcBorders>
              <w:top w:val="nil"/>
              <w:left w:val="nil"/>
              <w:bottom w:val="nil"/>
              <w:right w:val="single" w:sz="8" w:space="0" w:color="auto"/>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 </w:t>
            </w:r>
          </w:p>
        </w:tc>
      </w:tr>
      <w:tr w:rsidR="00E254E2" w:rsidRPr="00FB075C" w:rsidTr="00C549BC">
        <w:trPr>
          <w:trHeight w:val="240"/>
        </w:trPr>
        <w:tc>
          <w:tcPr>
            <w:tcW w:w="1164" w:type="pct"/>
            <w:tcBorders>
              <w:top w:val="nil"/>
              <w:left w:val="single" w:sz="8" w:space="0" w:color="auto"/>
              <w:bottom w:val="single" w:sz="8" w:space="0" w:color="auto"/>
              <w:right w:val="nil"/>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 </w:t>
            </w:r>
          </w:p>
        </w:tc>
        <w:tc>
          <w:tcPr>
            <w:tcW w:w="381" w:type="pct"/>
            <w:tcBorders>
              <w:top w:val="nil"/>
              <w:left w:val="nil"/>
              <w:bottom w:val="single" w:sz="8" w:space="0" w:color="auto"/>
              <w:right w:val="nil"/>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single" w:sz="8" w:space="0" w:color="auto"/>
              <w:right w:val="nil"/>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 </w:t>
            </w:r>
          </w:p>
        </w:tc>
        <w:tc>
          <w:tcPr>
            <w:tcW w:w="278" w:type="pct"/>
            <w:tcBorders>
              <w:top w:val="nil"/>
              <w:left w:val="nil"/>
              <w:bottom w:val="single" w:sz="8" w:space="0" w:color="auto"/>
              <w:right w:val="nil"/>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 </w:t>
            </w:r>
          </w:p>
        </w:tc>
        <w:tc>
          <w:tcPr>
            <w:tcW w:w="1133" w:type="pct"/>
            <w:gridSpan w:val="4"/>
            <w:tcBorders>
              <w:top w:val="nil"/>
              <w:left w:val="nil"/>
              <w:bottom w:val="single" w:sz="8" w:space="0" w:color="auto"/>
              <w:right w:val="nil"/>
            </w:tcBorders>
            <w:shd w:val="clear" w:color="000000" w:fill="FFFFFF"/>
            <w:noWrap/>
            <w:vAlign w:val="bottom"/>
            <w:hideMark/>
          </w:tcPr>
          <w:p w:rsidR="00E254E2" w:rsidRPr="00FB075C" w:rsidRDefault="00E254E2" w:rsidP="00E254E2">
            <w:pPr>
              <w:rPr>
                <w:rFonts w:ascii="Arial" w:hAnsi="Arial" w:cs="Arial"/>
                <w:b/>
                <w:sz w:val="16"/>
                <w:szCs w:val="16"/>
              </w:rPr>
            </w:pPr>
            <w:r w:rsidRPr="00FB075C">
              <w:rPr>
                <w:rFonts w:ascii="Calibri" w:hAnsi="Calibri" w:cs="Calibri"/>
                <w:b/>
                <w:sz w:val="16"/>
                <w:szCs w:val="16"/>
              </w:rPr>
              <w:t> </w:t>
            </w:r>
            <w:r w:rsidRPr="00FB075C">
              <w:rPr>
                <w:rFonts w:ascii="Arial" w:hAnsi="Arial" w:cs="Arial"/>
                <w:b/>
                <w:sz w:val="16"/>
                <w:szCs w:val="16"/>
              </w:rPr>
              <w:t>Annualized Capital/Start-up and O &amp; M</w:t>
            </w:r>
          </w:p>
        </w:tc>
        <w:tc>
          <w:tcPr>
            <w:tcW w:w="311" w:type="pct"/>
            <w:tcBorders>
              <w:top w:val="nil"/>
              <w:left w:val="nil"/>
              <w:bottom w:val="single" w:sz="8" w:space="0" w:color="auto"/>
              <w:right w:val="nil"/>
            </w:tcBorders>
            <w:shd w:val="clear" w:color="000000" w:fill="FFFFFF"/>
            <w:noWrap/>
            <w:vAlign w:val="center"/>
            <w:hideMark/>
          </w:tcPr>
          <w:p w:rsidR="00E254E2" w:rsidRPr="00FB075C" w:rsidRDefault="00E254E2" w:rsidP="00E254E2">
            <w:pPr>
              <w:jc w:val="right"/>
              <w:rPr>
                <w:rFonts w:ascii="Arial" w:hAnsi="Arial" w:cs="Arial"/>
                <w:sz w:val="16"/>
                <w:szCs w:val="16"/>
              </w:rPr>
            </w:pPr>
            <w:r w:rsidRPr="00FB075C">
              <w:rPr>
                <w:rFonts w:ascii="Arial" w:hAnsi="Arial" w:cs="Arial"/>
                <w:sz w:val="16"/>
                <w:szCs w:val="16"/>
              </w:rPr>
              <w:t> </w:t>
            </w:r>
          </w:p>
        </w:tc>
        <w:tc>
          <w:tcPr>
            <w:tcW w:w="760" w:type="pct"/>
            <w:gridSpan w:val="2"/>
            <w:tcBorders>
              <w:top w:val="nil"/>
              <w:left w:val="nil"/>
              <w:bottom w:val="single" w:sz="8" w:space="0" w:color="auto"/>
              <w:right w:val="nil"/>
            </w:tcBorders>
            <w:shd w:val="clear" w:color="000000" w:fill="FFFFFF"/>
            <w:noWrap/>
            <w:vAlign w:val="center"/>
            <w:hideMark/>
          </w:tcPr>
          <w:p w:rsidR="00E254E2" w:rsidRPr="00FB075C" w:rsidRDefault="00E254E2" w:rsidP="00E254E2">
            <w:pPr>
              <w:jc w:val="right"/>
              <w:rPr>
                <w:rFonts w:ascii="Arial" w:hAnsi="Arial" w:cs="Arial"/>
                <w:sz w:val="16"/>
                <w:szCs w:val="16"/>
              </w:rPr>
            </w:pPr>
            <w:r w:rsidRPr="00FB075C">
              <w:rPr>
                <w:rFonts w:ascii="Arial" w:hAnsi="Arial" w:cs="Arial"/>
                <w:sz w:val="16"/>
                <w:szCs w:val="16"/>
              </w:rPr>
              <w:t> $170,380</w:t>
            </w:r>
          </w:p>
        </w:tc>
        <w:tc>
          <w:tcPr>
            <w:tcW w:w="316" w:type="pct"/>
            <w:tcBorders>
              <w:top w:val="nil"/>
              <w:left w:val="nil"/>
              <w:bottom w:val="single" w:sz="8" w:space="0" w:color="auto"/>
              <w:right w:val="nil"/>
            </w:tcBorders>
            <w:shd w:val="clear" w:color="000000" w:fill="FFFFFF"/>
            <w:noWrap/>
            <w:vAlign w:val="center"/>
            <w:hideMark/>
          </w:tcPr>
          <w:p w:rsidR="00E254E2" w:rsidRPr="00FB075C" w:rsidRDefault="00E254E2" w:rsidP="00E254E2">
            <w:pPr>
              <w:jc w:val="right"/>
              <w:rPr>
                <w:rFonts w:ascii="Arial" w:hAnsi="Arial" w:cs="Arial"/>
                <w:sz w:val="16"/>
                <w:szCs w:val="16"/>
              </w:rPr>
            </w:pPr>
            <w:r w:rsidRPr="00FB075C">
              <w:rPr>
                <w:rFonts w:ascii="Arial" w:hAnsi="Arial" w:cs="Arial"/>
                <w:sz w:val="16"/>
                <w:szCs w:val="16"/>
              </w:rPr>
              <w:t> </w:t>
            </w:r>
          </w:p>
        </w:tc>
        <w:tc>
          <w:tcPr>
            <w:tcW w:w="254" w:type="pct"/>
            <w:tcBorders>
              <w:top w:val="nil"/>
              <w:left w:val="nil"/>
              <w:bottom w:val="single" w:sz="8" w:space="0" w:color="auto"/>
              <w:right w:val="nil"/>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 </w:t>
            </w:r>
          </w:p>
        </w:tc>
        <w:tc>
          <w:tcPr>
            <w:tcW w:w="125" w:type="pct"/>
            <w:tcBorders>
              <w:top w:val="nil"/>
              <w:left w:val="nil"/>
              <w:bottom w:val="single" w:sz="8" w:space="0" w:color="auto"/>
              <w:right w:val="single" w:sz="8" w:space="0" w:color="auto"/>
            </w:tcBorders>
            <w:shd w:val="clear" w:color="000000" w:fill="FFFFFF"/>
            <w:noWrap/>
            <w:vAlign w:val="bottom"/>
            <w:hideMark/>
          </w:tcPr>
          <w:p w:rsidR="00E254E2" w:rsidRPr="00FB075C" w:rsidRDefault="00E254E2" w:rsidP="00E254E2">
            <w:pPr>
              <w:rPr>
                <w:rFonts w:ascii="Calibri" w:hAnsi="Calibri" w:cs="Calibri"/>
                <w:sz w:val="16"/>
                <w:szCs w:val="16"/>
              </w:rPr>
            </w:pPr>
            <w:r w:rsidRPr="00FB075C">
              <w:rPr>
                <w:rFonts w:ascii="Calibri" w:hAnsi="Calibri" w:cs="Calibri"/>
                <w:sz w:val="16"/>
                <w:szCs w:val="16"/>
              </w:rPr>
              <w:t> </w:t>
            </w:r>
          </w:p>
        </w:tc>
      </w:tr>
    </w:tbl>
    <w:p w:rsidR="00E254E2" w:rsidRDefault="00E254E2" w:rsidP="00E254E2">
      <w:pPr>
        <w:jc w:val="center"/>
        <w:rPr>
          <w:bCs/>
          <w:sz w:val="18"/>
          <w:szCs w:val="18"/>
          <w:highlight w:val="yellow"/>
        </w:rPr>
      </w:pPr>
    </w:p>
    <w:p w:rsidR="00E254E2" w:rsidRDefault="00E254E2" w:rsidP="00E254E2">
      <w:pPr>
        <w:jc w:val="center"/>
        <w:rPr>
          <w:bCs/>
          <w:sz w:val="18"/>
          <w:szCs w:val="18"/>
          <w:highlight w:val="yellow"/>
        </w:rPr>
      </w:pPr>
    </w:p>
    <w:p w:rsidR="00E254E2" w:rsidRDefault="00E254E2" w:rsidP="00E254E2">
      <w:pPr>
        <w:jc w:val="center"/>
        <w:rPr>
          <w:bCs/>
          <w:sz w:val="18"/>
          <w:szCs w:val="18"/>
          <w:highlight w:val="yellow"/>
        </w:rPr>
      </w:pPr>
      <w:r>
        <w:rPr>
          <w:bCs/>
          <w:sz w:val="18"/>
          <w:szCs w:val="18"/>
          <w:highlight w:val="yellow"/>
        </w:rPr>
        <w:br w:type="page"/>
      </w:r>
    </w:p>
    <w:tbl>
      <w:tblPr>
        <w:tblW w:w="5000" w:type="pct"/>
        <w:tblLook w:val="04A0"/>
      </w:tblPr>
      <w:tblGrid>
        <w:gridCol w:w="1221"/>
        <w:gridCol w:w="1623"/>
        <w:gridCol w:w="1299"/>
        <w:gridCol w:w="1892"/>
        <w:gridCol w:w="1299"/>
        <w:gridCol w:w="1892"/>
        <w:gridCol w:w="2111"/>
        <w:gridCol w:w="1839"/>
      </w:tblGrid>
      <w:tr w:rsidR="00E254E2" w:rsidRPr="00A57B6E" w:rsidTr="00E254E2">
        <w:trPr>
          <w:trHeight w:val="975"/>
        </w:trPr>
        <w:tc>
          <w:tcPr>
            <w:tcW w:w="5000" w:type="pct"/>
            <w:gridSpan w:val="8"/>
            <w:tcBorders>
              <w:top w:val="nil"/>
              <w:left w:val="nil"/>
              <w:bottom w:val="single" w:sz="4" w:space="0" w:color="auto"/>
              <w:right w:val="nil"/>
            </w:tcBorders>
            <w:shd w:val="clear" w:color="000000" w:fill="FFFFFF"/>
            <w:vAlign w:val="bottom"/>
            <w:hideMark/>
          </w:tcPr>
          <w:p w:rsidR="00E254E2" w:rsidRPr="00A57B6E" w:rsidRDefault="00E254E2" w:rsidP="00E254E2">
            <w:pPr>
              <w:jc w:val="center"/>
              <w:rPr>
                <w:rFonts w:ascii="Calibri" w:hAnsi="Calibri" w:cs="Calibri"/>
                <w:b/>
                <w:bCs/>
                <w:sz w:val="28"/>
                <w:szCs w:val="28"/>
              </w:rPr>
            </w:pPr>
            <w:r w:rsidRPr="00A57B6E">
              <w:rPr>
                <w:rFonts w:ascii="Calibri" w:hAnsi="Calibri" w:cs="Calibri"/>
                <w:b/>
                <w:bCs/>
                <w:sz w:val="28"/>
                <w:szCs w:val="28"/>
              </w:rPr>
              <w:t>Table 4 - Summary of Annual Respondent Burden and Cost of Recordkeeping and Reporting Requirements for the Secondary Lead Smelters NESHAP</w:t>
            </w:r>
          </w:p>
        </w:tc>
      </w:tr>
      <w:tr w:rsidR="00E254E2" w:rsidRPr="00A57B6E" w:rsidTr="00E254E2">
        <w:trPr>
          <w:trHeight w:val="1305"/>
        </w:trPr>
        <w:tc>
          <w:tcPr>
            <w:tcW w:w="463" w:type="pct"/>
            <w:tcBorders>
              <w:top w:val="single" w:sz="4" w:space="0" w:color="auto"/>
              <w:left w:val="single" w:sz="8" w:space="0" w:color="auto"/>
              <w:bottom w:val="double" w:sz="6" w:space="0" w:color="auto"/>
              <w:right w:val="single" w:sz="4" w:space="0" w:color="auto"/>
            </w:tcBorders>
            <w:shd w:val="clear" w:color="000000" w:fill="D9D9D9" w:themeFill="background1" w:themeFillShade="D9"/>
            <w:noWrap/>
            <w:vAlign w:val="bottom"/>
            <w:hideMark/>
          </w:tcPr>
          <w:p w:rsidR="00E254E2" w:rsidRPr="00E254E2" w:rsidRDefault="00E254E2" w:rsidP="00E254E2">
            <w:pPr>
              <w:jc w:val="center"/>
              <w:rPr>
                <w:b/>
                <w:sz w:val="22"/>
                <w:szCs w:val="22"/>
              </w:rPr>
            </w:pPr>
            <w:r w:rsidRPr="00E254E2">
              <w:rPr>
                <w:b/>
                <w:sz w:val="22"/>
                <w:szCs w:val="22"/>
              </w:rPr>
              <w:t>Year</w:t>
            </w:r>
          </w:p>
        </w:tc>
        <w:tc>
          <w:tcPr>
            <w:tcW w:w="616" w:type="pct"/>
            <w:tcBorders>
              <w:top w:val="single" w:sz="4" w:space="0" w:color="auto"/>
              <w:left w:val="nil"/>
              <w:bottom w:val="double" w:sz="6" w:space="0" w:color="auto"/>
              <w:right w:val="single" w:sz="4" w:space="0" w:color="auto"/>
            </w:tcBorders>
            <w:shd w:val="clear" w:color="000000" w:fill="D9D9D9" w:themeFill="background1" w:themeFillShade="D9"/>
            <w:vAlign w:val="bottom"/>
            <w:hideMark/>
          </w:tcPr>
          <w:p w:rsidR="00E254E2" w:rsidRPr="00E254E2" w:rsidRDefault="00E254E2" w:rsidP="00E254E2">
            <w:pPr>
              <w:jc w:val="center"/>
              <w:rPr>
                <w:b/>
                <w:sz w:val="22"/>
                <w:szCs w:val="22"/>
              </w:rPr>
            </w:pPr>
            <w:r w:rsidRPr="00E254E2">
              <w:rPr>
                <w:b/>
                <w:sz w:val="22"/>
                <w:szCs w:val="22"/>
              </w:rPr>
              <w:t>Technical Hours</w:t>
            </w:r>
          </w:p>
        </w:tc>
        <w:tc>
          <w:tcPr>
            <w:tcW w:w="493" w:type="pct"/>
            <w:tcBorders>
              <w:top w:val="single" w:sz="4" w:space="0" w:color="auto"/>
              <w:left w:val="nil"/>
              <w:bottom w:val="double" w:sz="6" w:space="0" w:color="auto"/>
              <w:right w:val="single" w:sz="4" w:space="0" w:color="auto"/>
            </w:tcBorders>
            <w:shd w:val="clear" w:color="000000" w:fill="D9D9D9" w:themeFill="background1" w:themeFillShade="D9"/>
            <w:vAlign w:val="bottom"/>
            <w:hideMark/>
          </w:tcPr>
          <w:p w:rsidR="00E254E2" w:rsidRPr="00E254E2" w:rsidRDefault="00E254E2" w:rsidP="00E254E2">
            <w:pPr>
              <w:jc w:val="center"/>
              <w:rPr>
                <w:b/>
                <w:sz w:val="22"/>
                <w:szCs w:val="22"/>
              </w:rPr>
            </w:pPr>
            <w:r w:rsidRPr="00E254E2">
              <w:rPr>
                <w:b/>
                <w:sz w:val="22"/>
                <w:szCs w:val="22"/>
              </w:rPr>
              <w:t>Clerical Hours</w:t>
            </w:r>
          </w:p>
        </w:tc>
        <w:tc>
          <w:tcPr>
            <w:tcW w:w="718" w:type="pct"/>
            <w:tcBorders>
              <w:top w:val="single" w:sz="4" w:space="0" w:color="auto"/>
              <w:left w:val="nil"/>
              <w:bottom w:val="double" w:sz="6" w:space="0" w:color="auto"/>
              <w:right w:val="single" w:sz="4" w:space="0" w:color="auto"/>
            </w:tcBorders>
            <w:shd w:val="clear" w:color="000000" w:fill="D9D9D9" w:themeFill="background1" w:themeFillShade="D9"/>
            <w:vAlign w:val="bottom"/>
            <w:hideMark/>
          </w:tcPr>
          <w:p w:rsidR="00E254E2" w:rsidRPr="00E254E2" w:rsidRDefault="00E254E2" w:rsidP="00E254E2">
            <w:pPr>
              <w:jc w:val="center"/>
              <w:rPr>
                <w:b/>
                <w:sz w:val="22"/>
                <w:szCs w:val="22"/>
              </w:rPr>
            </w:pPr>
            <w:r w:rsidRPr="00E254E2">
              <w:rPr>
                <w:b/>
                <w:sz w:val="22"/>
                <w:szCs w:val="22"/>
              </w:rPr>
              <w:t>Management Hours</w:t>
            </w:r>
          </w:p>
        </w:tc>
        <w:tc>
          <w:tcPr>
            <w:tcW w:w="493" w:type="pct"/>
            <w:tcBorders>
              <w:top w:val="single" w:sz="4" w:space="0" w:color="auto"/>
              <w:left w:val="nil"/>
              <w:bottom w:val="double" w:sz="6" w:space="0" w:color="auto"/>
              <w:right w:val="single" w:sz="4" w:space="0" w:color="auto"/>
            </w:tcBorders>
            <w:shd w:val="clear" w:color="000000" w:fill="D9D9D9" w:themeFill="background1" w:themeFillShade="D9"/>
            <w:vAlign w:val="bottom"/>
            <w:hideMark/>
          </w:tcPr>
          <w:p w:rsidR="00E254E2" w:rsidRPr="00E254E2" w:rsidRDefault="00E254E2" w:rsidP="00E254E2">
            <w:pPr>
              <w:jc w:val="center"/>
              <w:rPr>
                <w:b/>
                <w:sz w:val="22"/>
                <w:szCs w:val="22"/>
              </w:rPr>
            </w:pPr>
            <w:r w:rsidRPr="00E254E2">
              <w:rPr>
                <w:b/>
                <w:sz w:val="22"/>
                <w:szCs w:val="22"/>
              </w:rPr>
              <w:t>Total Labor Hours</w:t>
            </w:r>
          </w:p>
        </w:tc>
        <w:tc>
          <w:tcPr>
            <w:tcW w:w="718" w:type="pct"/>
            <w:tcBorders>
              <w:top w:val="single" w:sz="4" w:space="0" w:color="auto"/>
              <w:left w:val="nil"/>
              <w:bottom w:val="double" w:sz="6" w:space="0" w:color="auto"/>
              <w:right w:val="single" w:sz="4" w:space="0" w:color="auto"/>
            </w:tcBorders>
            <w:shd w:val="clear" w:color="000000" w:fill="D9D9D9" w:themeFill="background1" w:themeFillShade="D9"/>
            <w:vAlign w:val="bottom"/>
            <w:hideMark/>
          </w:tcPr>
          <w:p w:rsidR="00E254E2" w:rsidRPr="00E254E2" w:rsidRDefault="00E254E2" w:rsidP="00E254E2">
            <w:pPr>
              <w:jc w:val="center"/>
              <w:rPr>
                <w:b/>
                <w:sz w:val="22"/>
                <w:szCs w:val="22"/>
              </w:rPr>
            </w:pPr>
            <w:r w:rsidRPr="00E254E2">
              <w:rPr>
                <w:b/>
                <w:sz w:val="22"/>
                <w:szCs w:val="22"/>
              </w:rPr>
              <w:t>Labor Costs</w:t>
            </w:r>
          </w:p>
        </w:tc>
        <w:tc>
          <w:tcPr>
            <w:tcW w:w="801" w:type="pct"/>
            <w:tcBorders>
              <w:top w:val="single" w:sz="4" w:space="0" w:color="auto"/>
              <w:left w:val="nil"/>
              <w:bottom w:val="double" w:sz="6" w:space="0" w:color="auto"/>
              <w:right w:val="single" w:sz="4" w:space="0" w:color="auto"/>
            </w:tcBorders>
            <w:shd w:val="clear" w:color="000000" w:fill="D9D9D9" w:themeFill="background1" w:themeFillShade="D9"/>
            <w:vAlign w:val="bottom"/>
            <w:hideMark/>
          </w:tcPr>
          <w:p w:rsidR="00E254E2" w:rsidRPr="00E254E2" w:rsidRDefault="00E254E2" w:rsidP="00E254E2">
            <w:pPr>
              <w:jc w:val="center"/>
              <w:rPr>
                <w:b/>
                <w:sz w:val="22"/>
                <w:szCs w:val="22"/>
              </w:rPr>
            </w:pPr>
            <w:r w:rsidRPr="00E254E2">
              <w:rPr>
                <w:b/>
                <w:sz w:val="22"/>
                <w:szCs w:val="22"/>
              </w:rPr>
              <w:t>Non-Labor (Annualized Capital/Startup and O&amp;M) Costs</w:t>
            </w:r>
          </w:p>
        </w:tc>
        <w:tc>
          <w:tcPr>
            <w:tcW w:w="698" w:type="pct"/>
            <w:tcBorders>
              <w:top w:val="single" w:sz="4" w:space="0" w:color="auto"/>
              <w:left w:val="nil"/>
              <w:bottom w:val="double" w:sz="6" w:space="0" w:color="auto"/>
              <w:right w:val="single" w:sz="8" w:space="0" w:color="auto"/>
            </w:tcBorders>
            <w:shd w:val="clear" w:color="000000" w:fill="D9D9D9" w:themeFill="background1" w:themeFillShade="D9"/>
            <w:vAlign w:val="bottom"/>
            <w:hideMark/>
          </w:tcPr>
          <w:p w:rsidR="00E254E2" w:rsidRPr="00E254E2" w:rsidRDefault="00E254E2" w:rsidP="00E254E2">
            <w:pPr>
              <w:jc w:val="center"/>
              <w:rPr>
                <w:b/>
                <w:sz w:val="22"/>
                <w:szCs w:val="22"/>
              </w:rPr>
            </w:pPr>
            <w:r w:rsidRPr="00E254E2">
              <w:rPr>
                <w:b/>
                <w:sz w:val="22"/>
                <w:szCs w:val="22"/>
              </w:rPr>
              <w:t>Total Costs</w:t>
            </w:r>
          </w:p>
        </w:tc>
      </w:tr>
      <w:tr w:rsidR="00E254E2" w:rsidRPr="00A57B6E" w:rsidTr="00E254E2">
        <w:trPr>
          <w:trHeight w:val="315"/>
        </w:trPr>
        <w:tc>
          <w:tcPr>
            <w:tcW w:w="463"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 xml:space="preserve">1 </w:t>
            </w:r>
          </w:p>
        </w:tc>
        <w:tc>
          <w:tcPr>
            <w:tcW w:w="616" w:type="pct"/>
            <w:tcBorders>
              <w:top w:val="nil"/>
              <w:left w:val="nil"/>
              <w:bottom w:val="single" w:sz="4"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4,898</w:t>
            </w:r>
          </w:p>
        </w:tc>
        <w:tc>
          <w:tcPr>
            <w:tcW w:w="493" w:type="pct"/>
            <w:tcBorders>
              <w:top w:val="nil"/>
              <w:left w:val="nil"/>
              <w:bottom w:val="single" w:sz="4"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490</w:t>
            </w:r>
          </w:p>
        </w:tc>
        <w:tc>
          <w:tcPr>
            <w:tcW w:w="718" w:type="pct"/>
            <w:tcBorders>
              <w:top w:val="nil"/>
              <w:left w:val="nil"/>
              <w:bottom w:val="single" w:sz="4"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245</w:t>
            </w:r>
          </w:p>
        </w:tc>
        <w:tc>
          <w:tcPr>
            <w:tcW w:w="493" w:type="pct"/>
            <w:tcBorders>
              <w:top w:val="nil"/>
              <w:left w:val="nil"/>
              <w:bottom w:val="single" w:sz="4"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5,633</w:t>
            </w:r>
          </w:p>
        </w:tc>
        <w:tc>
          <w:tcPr>
            <w:tcW w:w="718" w:type="pct"/>
            <w:tcBorders>
              <w:top w:val="nil"/>
              <w:left w:val="nil"/>
              <w:bottom w:val="single" w:sz="4"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$437,514</w:t>
            </w:r>
          </w:p>
        </w:tc>
        <w:tc>
          <w:tcPr>
            <w:tcW w:w="801" w:type="pct"/>
            <w:tcBorders>
              <w:top w:val="nil"/>
              <w:left w:val="nil"/>
              <w:bottom w:val="single" w:sz="4"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$720,080</w:t>
            </w:r>
          </w:p>
        </w:tc>
        <w:tc>
          <w:tcPr>
            <w:tcW w:w="698" w:type="pct"/>
            <w:tcBorders>
              <w:top w:val="nil"/>
              <w:left w:val="nil"/>
              <w:bottom w:val="single" w:sz="4" w:space="0" w:color="auto"/>
              <w:right w:val="single" w:sz="8"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$1,157,594</w:t>
            </w:r>
          </w:p>
        </w:tc>
      </w:tr>
      <w:tr w:rsidR="00E254E2" w:rsidRPr="00A57B6E" w:rsidTr="00E254E2">
        <w:trPr>
          <w:trHeight w:val="300"/>
        </w:trPr>
        <w:tc>
          <w:tcPr>
            <w:tcW w:w="463"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 xml:space="preserve">2 </w:t>
            </w:r>
          </w:p>
        </w:tc>
        <w:tc>
          <w:tcPr>
            <w:tcW w:w="616" w:type="pct"/>
            <w:tcBorders>
              <w:top w:val="nil"/>
              <w:left w:val="nil"/>
              <w:bottom w:val="single" w:sz="4"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3,554</w:t>
            </w:r>
          </w:p>
        </w:tc>
        <w:tc>
          <w:tcPr>
            <w:tcW w:w="493" w:type="pct"/>
            <w:tcBorders>
              <w:top w:val="nil"/>
              <w:left w:val="nil"/>
              <w:bottom w:val="single" w:sz="4"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355</w:t>
            </w:r>
          </w:p>
        </w:tc>
        <w:tc>
          <w:tcPr>
            <w:tcW w:w="718" w:type="pct"/>
            <w:tcBorders>
              <w:top w:val="nil"/>
              <w:left w:val="nil"/>
              <w:bottom w:val="single" w:sz="4"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178</w:t>
            </w:r>
          </w:p>
        </w:tc>
        <w:tc>
          <w:tcPr>
            <w:tcW w:w="493" w:type="pct"/>
            <w:tcBorders>
              <w:top w:val="nil"/>
              <w:left w:val="nil"/>
              <w:bottom w:val="single" w:sz="4"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4,087</w:t>
            </w:r>
          </w:p>
        </w:tc>
        <w:tc>
          <w:tcPr>
            <w:tcW w:w="718" w:type="pct"/>
            <w:tcBorders>
              <w:top w:val="nil"/>
              <w:left w:val="nil"/>
              <w:bottom w:val="single" w:sz="4"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$315,662</w:t>
            </w:r>
          </w:p>
        </w:tc>
        <w:tc>
          <w:tcPr>
            <w:tcW w:w="801" w:type="pct"/>
            <w:tcBorders>
              <w:top w:val="nil"/>
              <w:left w:val="nil"/>
              <w:bottom w:val="single" w:sz="4"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$430,380</w:t>
            </w:r>
          </w:p>
        </w:tc>
        <w:tc>
          <w:tcPr>
            <w:tcW w:w="698" w:type="pct"/>
            <w:tcBorders>
              <w:top w:val="nil"/>
              <w:left w:val="nil"/>
              <w:bottom w:val="single" w:sz="4" w:space="0" w:color="auto"/>
              <w:right w:val="single" w:sz="8"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$746,042</w:t>
            </w:r>
          </w:p>
        </w:tc>
      </w:tr>
      <w:tr w:rsidR="00E254E2" w:rsidRPr="00A57B6E" w:rsidTr="00E254E2">
        <w:trPr>
          <w:trHeight w:val="315"/>
        </w:trPr>
        <w:tc>
          <w:tcPr>
            <w:tcW w:w="463" w:type="pct"/>
            <w:tcBorders>
              <w:top w:val="nil"/>
              <w:left w:val="single" w:sz="8" w:space="0" w:color="auto"/>
              <w:bottom w:val="double" w:sz="6"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 xml:space="preserve">3 </w:t>
            </w:r>
          </w:p>
        </w:tc>
        <w:tc>
          <w:tcPr>
            <w:tcW w:w="616" w:type="pct"/>
            <w:tcBorders>
              <w:top w:val="nil"/>
              <w:left w:val="nil"/>
              <w:bottom w:val="double" w:sz="6"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3,294</w:t>
            </w:r>
          </w:p>
        </w:tc>
        <w:tc>
          <w:tcPr>
            <w:tcW w:w="493" w:type="pct"/>
            <w:tcBorders>
              <w:top w:val="nil"/>
              <w:left w:val="nil"/>
              <w:bottom w:val="double" w:sz="6"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329</w:t>
            </w:r>
          </w:p>
        </w:tc>
        <w:tc>
          <w:tcPr>
            <w:tcW w:w="718" w:type="pct"/>
            <w:tcBorders>
              <w:top w:val="nil"/>
              <w:left w:val="nil"/>
              <w:bottom w:val="double" w:sz="6"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165</w:t>
            </w:r>
          </w:p>
        </w:tc>
        <w:tc>
          <w:tcPr>
            <w:tcW w:w="493" w:type="pct"/>
            <w:tcBorders>
              <w:top w:val="nil"/>
              <w:left w:val="nil"/>
              <w:bottom w:val="double" w:sz="6"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3,788</w:t>
            </w:r>
          </w:p>
        </w:tc>
        <w:tc>
          <w:tcPr>
            <w:tcW w:w="718" w:type="pct"/>
            <w:tcBorders>
              <w:top w:val="nil"/>
              <w:left w:val="nil"/>
              <w:bottom w:val="double" w:sz="6"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$292,604</w:t>
            </w:r>
          </w:p>
        </w:tc>
        <w:tc>
          <w:tcPr>
            <w:tcW w:w="801" w:type="pct"/>
            <w:tcBorders>
              <w:top w:val="nil"/>
              <w:left w:val="nil"/>
              <w:bottom w:val="double" w:sz="6"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$170,380</w:t>
            </w:r>
          </w:p>
        </w:tc>
        <w:tc>
          <w:tcPr>
            <w:tcW w:w="698" w:type="pct"/>
            <w:tcBorders>
              <w:top w:val="nil"/>
              <w:left w:val="nil"/>
              <w:bottom w:val="double" w:sz="6" w:space="0" w:color="auto"/>
              <w:right w:val="single" w:sz="8"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$462,984</w:t>
            </w:r>
          </w:p>
        </w:tc>
      </w:tr>
      <w:tr w:rsidR="00E254E2" w:rsidRPr="00A57B6E" w:rsidTr="00E254E2">
        <w:trPr>
          <w:trHeight w:val="315"/>
        </w:trPr>
        <w:tc>
          <w:tcPr>
            <w:tcW w:w="463"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Total</w:t>
            </w:r>
          </w:p>
        </w:tc>
        <w:tc>
          <w:tcPr>
            <w:tcW w:w="616" w:type="pct"/>
            <w:tcBorders>
              <w:top w:val="nil"/>
              <w:left w:val="nil"/>
              <w:bottom w:val="single" w:sz="4"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11,746</w:t>
            </w:r>
          </w:p>
        </w:tc>
        <w:tc>
          <w:tcPr>
            <w:tcW w:w="493" w:type="pct"/>
            <w:tcBorders>
              <w:top w:val="nil"/>
              <w:left w:val="nil"/>
              <w:bottom w:val="single" w:sz="4"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1,175</w:t>
            </w:r>
          </w:p>
        </w:tc>
        <w:tc>
          <w:tcPr>
            <w:tcW w:w="718" w:type="pct"/>
            <w:tcBorders>
              <w:top w:val="nil"/>
              <w:left w:val="nil"/>
              <w:bottom w:val="single" w:sz="4"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587</w:t>
            </w:r>
          </w:p>
        </w:tc>
        <w:tc>
          <w:tcPr>
            <w:tcW w:w="493" w:type="pct"/>
            <w:tcBorders>
              <w:top w:val="nil"/>
              <w:left w:val="nil"/>
              <w:bottom w:val="single" w:sz="4"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13,508</w:t>
            </w:r>
          </w:p>
        </w:tc>
        <w:tc>
          <w:tcPr>
            <w:tcW w:w="718" w:type="pct"/>
            <w:tcBorders>
              <w:top w:val="nil"/>
              <w:left w:val="nil"/>
              <w:bottom w:val="single" w:sz="4"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$1,045,780</w:t>
            </w:r>
          </w:p>
        </w:tc>
        <w:tc>
          <w:tcPr>
            <w:tcW w:w="801" w:type="pct"/>
            <w:tcBorders>
              <w:top w:val="nil"/>
              <w:left w:val="nil"/>
              <w:bottom w:val="single" w:sz="4"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$1,320,840</w:t>
            </w:r>
          </w:p>
        </w:tc>
        <w:tc>
          <w:tcPr>
            <w:tcW w:w="698" w:type="pct"/>
            <w:tcBorders>
              <w:top w:val="nil"/>
              <w:left w:val="nil"/>
              <w:bottom w:val="single" w:sz="4" w:space="0" w:color="auto"/>
              <w:right w:val="single" w:sz="8"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$2,366,620</w:t>
            </w:r>
          </w:p>
        </w:tc>
      </w:tr>
      <w:tr w:rsidR="00E254E2" w:rsidRPr="00A57B6E" w:rsidTr="00E254E2">
        <w:trPr>
          <w:trHeight w:val="315"/>
        </w:trPr>
        <w:tc>
          <w:tcPr>
            <w:tcW w:w="463" w:type="pct"/>
            <w:tcBorders>
              <w:top w:val="nil"/>
              <w:left w:val="single" w:sz="8" w:space="0" w:color="auto"/>
              <w:bottom w:val="single" w:sz="8"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Average</w:t>
            </w:r>
          </w:p>
        </w:tc>
        <w:tc>
          <w:tcPr>
            <w:tcW w:w="616" w:type="pct"/>
            <w:tcBorders>
              <w:top w:val="nil"/>
              <w:left w:val="nil"/>
              <w:bottom w:val="single" w:sz="8"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3,915</w:t>
            </w:r>
          </w:p>
        </w:tc>
        <w:tc>
          <w:tcPr>
            <w:tcW w:w="493" w:type="pct"/>
            <w:tcBorders>
              <w:top w:val="nil"/>
              <w:left w:val="nil"/>
              <w:bottom w:val="single" w:sz="8"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392</w:t>
            </w:r>
          </w:p>
        </w:tc>
        <w:tc>
          <w:tcPr>
            <w:tcW w:w="718" w:type="pct"/>
            <w:tcBorders>
              <w:top w:val="nil"/>
              <w:left w:val="nil"/>
              <w:bottom w:val="single" w:sz="8"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196</w:t>
            </w:r>
          </w:p>
        </w:tc>
        <w:tc>
          <w:tcPr>
            <w:tcW w:w="493" w:type="pct"/>
            <w:tcBorders>
              <w:top w:val="nil"/>
              <w:left w:val="nil"/>
              <w:bottom w:val="single" w:sz="8"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4,503</w:t>
            </w:r>
          </w:p>
        </w:tc>
        <w:tc>
          <w:tcPr>
            <w:tcW w:w="718" w:type="pct"/>
            <w:tcBorders>
              <w:top w:val="nil"/>
              <w:left w:val="nil"/>
              <w:bottom w:val="single" w:sz="8"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$348,593</w:t>
            </w:r>
          </w:p>
        </w:tc>
        <w:tc>
          <w:tcPr>
            <w:tcW w:w="801" w:type="pct"/>
            <w:tcBorders>
              <w:top w:val="nil"/>
              <w:left w:val="nil"/>
              <w:bottom w:val="single" w:sz="8" w:space="0" w:color="auto"/>
              <w:right w:val="single" w:sz="4"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$440,280</w:t>
            </w:r>
          </w:p>
        </w:tc>
        <w:tc>
          <w:tcPr>
            <w:tcW w:w="698" w:type="pct"/>
            <w:tcBorders>
              <w:top w:val="nil"/>
              <w:left w:val="nil"/>
              <w:bottom w:val="single" w:sz="8" w:space="0" w:color="auto"/>
              <w:right w:val="single" w:sz="8" w:space="0" w:color="auto"/>
            </w:tcBorders>
            <w:shd w:val="clear" w:color="000000" w:fill="FFFFFF"/>
            <w:noWrap/>
            <w:vAlign w:val="bottom"/>
            <w:hideMark/>
          </w:tcPr>
          <w:p w:rsidR="00E254E2" w:rsidRPr="00E254E2" w:rsidRDefault="00E254E2" w:rsidP="00E254E2">
            <w:pPr>
              <w:jc w:val="center"/>
              <w:rPr>
                <w:sz w:val="22"/>
                <w:szCs w:val="22"/>
              </w:rPr>
            </w:pPr>
            <w:r w:rsidRPr="00E254E2">
              <w:rPr>
                <w:sz w:val="22"/>
                <w:szCs w:val="22"/>
              </w:rPr>
              <w:t>$788,873</w:t>
            </w:r>
          </w:p>
        </w:tc>
      </w:tr>
    </w:tbl>
    <w:p w:rsidR="00E254E2" w:rsidRDefault="00E254E2" w:rsidP="00E254E2">
      <w:pPr>
        <w:jc w:val="center"/>
        <w:rPr>
          <w:bCs/>
          <w:sz w:val="18"/>
          <w:szCs w:val="18"/>
          <w:highlight w:val="yellow"/>
        </w:rPr>
      </w:pPr>
    </w:p>
    <w:p w:rsidR="00E254E2" w:rsidRDefault="00E254E2" w:rsidP="00E254E2">
      <w:pPr>
        <w:jc w:val="center"/>
        <w:rPr>
          <w:bCs/>
          <w:sz w:val="18"/>
          <w:szCs w:val="18"/>
          <w:highlight w:val="yellow"/>
        </w:rPr>
      </w:pPr>
    </w:p>
    <w:p w:rsidR="00E254E2" w:rsidRDefault="00E254E2">
      <w:r>
        <w:br w:type="page"/>
      </w:r>
    </w:p>
    <w:tbl>
      <w:tblPr>
        <w:tblW w:w="13387" w:type="dxa"/>
        <w:tblInd w:w="91" w:type="dxa"/>
        <w:tblLook w:val="04A0"/>
      </w:tblPr>
      <w:tblGrid>
        <w:gridCol w:w="350"/>
        <w:gridCol w:w="379"/>
        <w:gridCol w:w="353"/>
        <w:gridCol w:w="4622"/>
        <w:gridCol w:w="272"/>
        <w:gridCol w:w="1333"/>
        <w:gridCol w:w="1312"/>
        <w:gridCol w:w="1088"/>
        <w:gridCol w:w="1510"/>
        <w:gridCol w:w="950"/>
        <w:gridCol w:w="795"/>
        <w:gridCol w:w="423"/>
      </w:tblGrid>
      <w:tr w:rsidR="00E254E2" w:rsidRPr="00A57B6E" w:rsidTr="00E254E2">
        <w:trPr>
          <w:trHeight w:val="840"/>
        </w:trPr>
        <w:tc>
          <w:tcPr>
            <w:tcW w:w="13387" w:type="dxa"/>
            <w:gridSpan w:val="12"/>
            <w:tcBorders>
              <w:top w:val="nil"/>
              <w:left w:val="nil"/>
              <w:bottom w:val="single" w:sz="8" w:space="0" w:color="auto"/>
              <w:right w:val="nil"/>
            </w:tcBorders>
            <w:shd w:val="clear" w:color="000000" w:fill="FFFFFF"/>
            <w:vAlign w:val="bottom"/>
            <w:hideMark/>
          </w:tcPr>
          <w:p w:rsidR="00E254E2" w:rsidRPr="00A57B6E" w:rsidRDefault="00E254E2" w:rsidP="00E254E2">
            <w:pPr>
              <w:jc w:val="center"/>
              <w:rPr>
                <w:rFonts w:ascii="Arial" w:hAnsi="Arial" w:cs="Arial"/>
                <w:b/>
                <w:bCs/>
              </w:rPr>
            </w:pPr>
            <w:r>
              <w:rPr>
                <w:bCs/>
                <w:sz w:val="18"/>
                <w:szCs w:val="18"/>
                <w:highlight w:val="yellow"/>
              </w:rPr>
              <w:br w:type="page"/>
            </w:r>
            <w:r w:rsidRPr="00A57B6E">
              <w:rPr>
                <w:rFonts w:ascii="Arial" w:hAnsi="Arial" w:cs="Arial"/>
                <w:b/>
                <w:bCs/>
              </w:rPr>
              <w:t xml:space="preserve">Table 5 - Annual Designated Administrator Burden and Cost of Recordkeeping and Reporting Requirements for the Secondary Lead Smelters NESHAP  - Year 1    </w:t>
            </w:r>
          </w:p>
        </w:tc>
      </w:tr>
      <w:tr w:rsidR="00E254E2" w:rsidRPr="00A57B6E" w:rsidTr="00E254E2">
        <w:trPr>
          <w:trHeight w:val="330"/>
        </w:trPr>
        <w:tc>
          <w:tcPr>
            <w:tcW w:w="350" w:type="dxa"/>
            <w:tcBorders>
              <w:top w:val="single" w:sz="8" w:space="0" w:color="auto"/>
              <w:left w:val="single" w:sz="8" w:space="0" w:color="auto"/>
              <w:bottom w:val="nil"/>
              <w:right w:val="nil"/>
            </w:tcBorders>
            <w:shd w:val="clear" w:color="auto" w:fill="D9D9D9" w:themeFill="background1" w:themeFillShade="D9"/>
            <w:noWrap/>
            <w:vAlign w:val="bottom"/>
            <w:hideMark/>
          </w:tcPr>
          <w:p w:rsidR="00E254E2" w:rsidRPr="00A57B6E" w:rsidRDefault="00E254E2" w:rsidP="00E254E2">
            <w:pPr>
              <w:rPr>
                <w:rFonts w:ascii="Arial" w:hAnsi="Arial" w:cs="Arial"/>
                <w:b/>
                <w:sz w:val="16"/>
                <w:szCs w:val="16"/>
              </w:rPr>
            </w:pPr>
          </w:p>
        </w:tc>
        <w:tc>
          <w:tcPr>
            <w:tcW w:w="379" w:type="dxa"/>
            <w:tcBorders>
              <w:top w:val="single" w:sz="8" w:space="0" w:color="auto"/>
              <w:left w:val="nil"/>
              <w:bottom w:val="nil"/>
              <w:right w:val="nil"/>
            </w:tcBorders>
            <w:shd w:val="clear" w:color="auto" w:fill="D9D9D9" w:themeFill="background1" w:themeFillShade="D9"/>
            <w:noWrap/>
            <w:vAlign w:val="bottom"/>
            <w:hideMark/>
          </w:tcPr>
          <w:p w:rsidR="00E254E2" w:rsidRPr="00A57B6E" w:rsidRDefault="00E254E2" w:rsidP="00E254E2">
            <w:pPr>
              <w:rPr>
                <w:rFonts w:ascii="Arial" w:hAnsi="Arial" w:cs="Arial"/>
                <w:b/>
                <w:sz w:val="16"/>
                <w:szCs w:val="16"/>
              </w:rPr>
            </w:pPr>
          </w:p>
        </w:tc>
        <w:tc>
          <w:tcPr>
            <w:tcW w:w="353" w:type="dxa"/>
            <w:tcBorders>
              <w:top w:val="single" w:sz="8" w:space="0" w:color="auto"/>
              <w:left w:val="nil"/>
              <w:bottom w:val="nil"/>
              <w:right w:val="nil"/>
            </w:tcBorders>
            <w:shd w:val="clear" w:color="auto" w:fill="D9D9D9" w:themeFill="background1" w:themeFillShade="D9"/>
            <w:noWrap/>
            <w:vAlign w:val="bottom"/>
            <w:hideMark/>
          </w:tcPr>
          <w:p w:rsidR="00E254E2" w:rsidRPr="00A57B6E" w:rsidRDefault="00E254E2" w:rsidP="00E254E2">
            <w:pPr>
              <w:rPr>
                <w:rFonts w:ascii="Arial" w:hAnsi="Arial" w:cs="Arial"/>
                <w:b/>
                <w:sz w:val="16"/>
                <w:szCs w:val="16"/>
              </w:rPr>
            </w:pPr>
          </w:p>
        </w:tc>
        <w:tc>
          <w:tcPr>
            <w:tcW w:w="4622" w:type="dxa"/>
            <w:tcBorders>
              <w:top w:val="single" w:sz="8" w:space="0" w:color="auto"/>
              <w:left w:val="nil"/>
              <w:bottom w:val="nil"/>
              <w:right w:val="nil"/>
            </w:tcBorders>
            <w:shd w:val="clear" w:color="auto" w:fill="D9D9D9" w:themeFill="background1" w:themeFillShade="D9"/>
            <w:noWrap/>
            <w:vAlign w:val="bottom"/>
            <w:hideMark/>
          </w:tcPr>
          <w:p w:rsidR="00E254E2" w:rsidRPr="00A57B6E" w:rsidRDefault="00E254E2" w:rsidP="00E254E2">
            <w:pPr>
              <w:rPr>
                <w:rFonts w:ascii="Arial" w:hAnsi="Arial" w:cs="Arial"/>
                <w:b/>
                <w:sz w:val="16"/>
                <w:szCs w:val="16"/>
              </w:rPr>
            </w:pPr>
          </w:p>
        </w:tc>
        <w:tc>
          <w:tcPr>
            <w:tcW w:w="272" w:type="dxa"/>
            <w:tcBorders>
              <w:top w:val="single" w:sz="8" w:space="0" w:color="auto"/>
              <w:left w:val="nil"/>
              <w:bottom w:val="nil"/>
              <w:right w:val="nil"/>
            </w:tcBorders>
            <w:shd w:val="clear" w:color="auto" w:fill="D9D9D9" w:themeFill="background1" w:themeFillShade="D9"/>
            <w:noWrap/>
            <w:vAlign w:val="bottom"/>
            <w:hideMark/>
          </w:tcPr>
          <w:p w:rsidR="00E254E2" w:rsidRPr="00A57B6E" w:rsidRDefault="00E254E2" w:rsidP="00E254E2">
            <w:pPr>
              <w:rPr>
                <w:rFonts w:ascii="Arial" w:hAnsi="Arial" w:cs="Arial"/>
                <w:b/>
                <w:sz w:val="16"/>
                <w:szCs w:val="16"/>
              </w:rPr>
            </w:pPr>
            <w:r w:rsidRPr="00A57B6E">
              <w:rPr>
                <w:rFonts w:ascii="Arial" w:hAnsi="Arial" w:cs="Arial"/>
                <w:b/>
                <w:sz w:val="16"/>
                <w:szCs w:val="16"/>
              </w:rPr>
              <w:t> </w:t>
            </w:r>
          </w:p>
        </w:tc>
        <w:tc>
          <w:tcPr>
            <w:tcW w:w="1333" w:type="dxa"/>
            <w:tcBorders>
              <w:top w:val="single" w:sz="8" w:space="0" w:color="auto"/>
              <w:left w:val="single" w:sz="4" w:space="0" w:color="000000"/>
              <w:bottom w:val="single" w:sz="4" w:space="0" w:color="auto"/>
              <w:right w:val="nil"/>
            </w:tcBorders>
            <w:shd w:val="clear" w:color="auto" w:fill="D9D9D9" w:themeFill="background1" w:themeFillShade="D9"/>
            <w:noWrap/>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(A)</w:t>
            </w:r>
          </w:p>
        </w:tc>
        <w:tc>
          <w:tcPr>
            <w:tcW w:w="1312" w:type="dxa"/>
            <w:tcBorders>
              <w:top w:val="single" w:sz="8" w:space="0" w:color="auto"/>
              <w:left w:val="single" w:sz="4" w:space="0" w:color="000000"/>
              <w:bottom w:val="single" w:sz="4" w:space="0" w:color="auto"/>
              <w:right w:val="single" w:sz="4" w:space="0" w:color="auto"/>
            </w:tcBorders>
            <w:shd w:val="clear" w:color="auto" w:fill="D9D9D9" w:themeFill="background1" w:themeFillShade="D9"/>
            <w:noWrap/>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(B)</w:t>
            </w:r>
          </w:p>
        </w:tc>
        <w:tc>
          <w:tcPr>
            <w:tcW w:w="1088"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(C)</w:t>
            </w:r>
          </w:p>
        </w:tc>
        <w:tc>
          <w:tcPr>
            <w:tcW w:w="1510"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(D)</w:t>
            </w:r>
          </w:p>
        </w:tc>
        <w:tc>
          <w:tcPr>
            <w:tcW w:w="950"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(E)</w:t>
            </w:r>
          </w:p>
        </w:tc>
        <w:tc>
          <w:tcPr>
            <w:tcW w:w="795"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(F)</w:t>
            </w:r>
          </w:p>
        </w:tc>
        <w:tc>
          <w:tcPr>
            <w:tcW w:w="423" w:type="dxa"/>
            <w:vMerge w:val="restart"/>
            <w:tcBorders>
              <w:top w:val="single" w:sz="8" w:space="0" w:color="auto"/>
              <w:left w:val="nil"/>
              <w:bottom w:val="double" w:sz="6" w:space="0" w:color="000000"/>
              <w:right w:val="single" w:sz="8" w:space="0" w:color="auto"/>
            </w:tcBorders>
            <w:shd w:val="clear" w:color="auto" w:fill="D9D9D9" w:themeFill="background1" w:themeFillShade="D9"/>
            <w:textDirection w:val="btLr"/>
            <w:vAlign w:val="bottom"/>
            <w:hideMark/>
          </w:tcPr>
          <w:p w:rsidR="00E254E2" w:rsidRPr="00A57B6E" w:rsidRDefault="00E254E2" w:rsidP="00E254E2">
            <w:pPr>
              <w:jc w:val="center"/>
              <w:rPr>
                <w:rFonts w:ascii="Calibri" w:hAnsi="Calibri" w:cs="Calibri"/>
                <w:b/>
                <w:sz w:val="16"/>
                <w:szCs w:val="16"/>
              </w:rPr>
            </w:pPr>
            <w:r w:rsidRPr="00A57B6E">
              <w:rPr>
                <w:rFonts w:ascii="Calibri" w:hAnsi="Calibri" w:cs="Calibri"/>
                <w:b/>
                <w:sz w:val="16"/>
                <w:szCs w:val="16"/>
              </w:rPr>
              <w:t>Footnotes</w:t>
            </w:r>
          </w:p>
        </w:tc>
      </w:tr>
      <w:tr w:rsidR="00E254E2" w:rsidRPr="00A57B6E" w:rsidTr="00E254E2">
        <w:trPr>
          <w:trHeight w:val="705"/>
        </w:trPr>
        <w:tc>
          <w:tcPr>
            <w:tcW w:w="5976" w:type="dxa"/>
            <w:gridSpan w:val="5"/>
            <w:tcBorders>
              <w:top w:val="nil"/>
              <w:left w:val="single" w:sz="8" w:space="0" w:color="auto"/>
              <w:bottom w:val="double" w:sz="6" w:space="0" w:color="auto"/>
              <w:right w:val="single" w:sz="4" w:space="0" w:color="000000"/>
            </w:tcBorders>
            <w:shd w:val="clear" w:color="auto" w:fill="D9D9D9" w:themeFill="background1" w:themeFillShade="D9"/>
            <w:noWrap/>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Burden Item</w:t>
            </w:r>
          </w:p>
        </w:tc>
        <w:tc>
          <w:tcPr>
            <w:tcW w:w="1333" w:type="dxa"/>
            <w:tcBorders>
              <w:top w:val="nil"/>
              <w:left w:val="nil"/>
              <w:bottom w:val="double" w:sz="6" w:space="0" w:color="auto"/>
              <w:right w:val="nil"/>
            </w:tcBorders>
            <w:shd w:val="clear" w:color="auto" w:fill="D9D9D9" w:themeFill="background1" w:themeFillShade="D9"/>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Number of Occurrences Per Year</w:t>
            </w:r>
          </w:p>
        </w:tc>
        <w:tc>
          <w:tcPr>
            <w:tcW w:w="1312" w:type="dxa"/>
            <w:tcBorders>
              <w:top w:val="nil"/>
              <w:left w:val="single" w:sz="4" w:space="0" w:color="000000"/>
              <w:bottom w:val="double" w:sz="6" w:space="0" w:color="auto"/>
              <w:right w:val="single" w:sz="4" w:space="0" w:color="auto"/>
            </w:tcBorders>
            <w:shd w:val="clear" w:color="auto" w:fill="D9D9D9" w:themeFill="background1" w:themeFillShade="D9"/>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EPA Hours Per Occurrence</w:t>
            </w:r>
          </w:p>
        </w:tc>
        <w:tc>
          <w:tcPr>
            <w:tcW w:w="1088" w:type="dxa"/>
            <w:tcBorders>
              <w:top w:val="nil"/>
              <w:left w:val="nil"/>
              <w:bottom w:val="double" w:sz="6" w:space="0" w:color="auto"/>
              <w:right w:val="single" w:sz="4" w:space="0" w:color="auto"/>
            </w:tcBorders>
            <w:shd w:val="clear" w:color="auto" w:fill="D9D9D9" w:themeFill="background1" w:themeFillShade="D9"/>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Tech Hours Per Year (C=AxB)</w:t>
            </w:r>
          </w:p>
        </w:tc>
        <w:tc>
          <w:tcPr>
            <w:tcW w:w="1510" w:type="dxa"/>
            <w:tcBorders>
              <w:top w:val="nil"/>
              <w:left w:val="nil"/>
              <w:bottom w:val="double" w:sz="6" w:space="0" w:color="auto"/>
              <w:right w:val="single" w:sz="4" w:space="0" w:color="auto"/>
            </w:tcBorders>
            <w:shd w:val="clear" w:color="auto" w:fill="D9D9D9" w:themeFill="background1" w:themeFillShade="D9"/>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Management Hours Per Year (D=Cx0.05)</w:t>
            </w:r>
          </w:p>
        </w:tc>
        <w:tc>
          <w:tcPr>
            <w:tcW w:w="950" w:type="dxa"/>
            <w:tcBorders>
              <w:top w:val="nil"/>
              <w:left w:val="nil"/>
              <w:bottom w:val="double" w:sz="6" w:space="0" w:color="auto"/>
              <w:right w:val="single" w:sz="4" w:space="0" w:color="auto"/>
            </w:tcBorders>
            <w:shd w:val="clear" w:color="auto" w:fill="D9D9D9" w:themeFill="background1" w:themeFillShade="D9"/>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Clerical Hours Per Year (E=Cx0.1)</w:t>
            </w:r>
          </w:p>
        </w:tc>
        <w:tc>
          <w:tcPr>
            <w:tcW w:w="795" w:type="dxa"/>
            <w:tcBorders>
              <w:top w:val="nil"/>
              <w:left w:val="nil"/>
              <w:bottom w:val="double" w:sz="6" w:space="0" w:color="auto"/>
              <w:right w:val="single" w:sz="4" w:space="0" w:color="auto"/>
            </w:tcBorders>
            <w:shd w:val="clear" w:color="auto" w:fill="D9D9D9" w:themeFill="background1" w:themeFillShade="D9"/>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EPA Cost Per Year (a,b)</w:t>
            </w:r>
          </w:p>
        </w:tc>
        <w:tc>
          <w:tcPr>
            <w:tcW w:w="423" w:type="dxa"/>
            <w:vMerge/>
            <w:tcBorders>
              <w:top w:val="single" w:sz="8" w:space="0" w:color="auto"/>
              <w:left w:val="nil"/>
              <w:bottom w:val="double" w:sz="6" w:space="0" w:color="000000"/>
              <w:right w:val="single" w:sz="8" w:space="0" w:color="auto"/>
            </w:tcBorders>
            <w:shd w:val="clear" w:color="auto" w:fill="D9D9D9" w:themeFill="background1" w:themeFillShade="D9"/>
            <w:vAlign w:val="center"/>
            <w:hideMark/>
          </w:tcPr>
          <w:p w:rsidR="00E254E2" w:rsidRPr="00A57B6E" w:rsidRDefault="00E254E2" w:rsidP="00E254E2">
            <w:pPr>
              <w:rPr>
                <w:rFonts w:ascii="Calibri" w:hAnsi="Calibri" w:cs="Calibri"/>
                <w:b/>
                <w:sz w:val="16"/>
                <w:szCs w:val="16"/>
              </w:rPr>
            </w:pPr>
          </w:p>
        </w:tc>
      </w:tr>
      <w:tr w:rsidR="00E254E2" w:rsidRPr="00A57B6E" w:rsidTr="00E254E2">
        <w:trPr>
          <w:trHeight w:val="240"/>
        </w:trPr>
        <w:tc>
          <w:tcPr>
            <w:tcW w:w="350" w:type="dxa"/>
            <w:tcBorders>
              <w:top w:val="nil"/>
              <w:left w:val="single" w:sz="8" w:space="0" w:color="auto"/>
              <w:bottom w:val="single" w:sz="4" w:space="0" w:color="000000"/>
              <w:right w:val="nil"/>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1.</w:t>
            </w:r>
          </w:p>
        </w:tc>
        <w:tc>
          <w:tcPr>
            <w:tcW w:w="5354" w:type="dxa"/>
            <w:gridSpan w:val="3"/>
            <w:tcBorders>
              <w:top w:val="nil"/>
              <w:left w:val="nil"/>
              <w:bottom w:val="single" w:sz="4" w:space="0" w:color="000000"/>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Applications</w:t>
            </w:r>
          </w:p>
        </w:tc>
        <w:tc>
          <w:tcPr>
            <w:tcW w:w="272" w:type="dxa"/>
            <w:tcBorders>
              <w:top w:val="nil"/>
              <w:left w:val="nil"/>
              <w:bottom w:val="single" w:sz="4" w:space="0" w:color="000000"/>
              <w:right w:val="single" w:sz="4" w:space="0" w:color="000000"/>
            </w:tcBorders>
            <w:shd w:val="clear" w:color="000000" w:fill="FFFFFF"/>
            <w:noWrap/>
            <w:vAlign w:val="bottom"/>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7411" w:type="dxa"/>
            <w:gridSpan w:val="7"/>
            <w:tcBorders>
              <w:top w:val="nil"/>
              <w:left w:val="nil"/>
              <w:bottom w:val="single" w:sz="4" w:space="0" w:color="auto"/>
              <w:right w:val="single" w:sz="8" w:space="0" w:color="000000"/>
            </w:tcBorders>
            <w:shd w:val="clear" w:color="000000" w:fill="FFFFFF"/>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not applicable</w:t>
            </w:r>
          </w:p>
        </w:tc>
      </w:tr>
      <w:tr w:rsidR="00E254E2" w:rsidRPr="00A57B6E" w:rsidTr="00E254E2">
        <w:trPr>
          <w:trHeight w:val="240"/>
        </w:trPr>
        <w:tc>
          <w:tcPr>
            <w:tcW w:w="350" w:type="dxa"/>
            <w:tcBorders>
              <w:top w:val="nil"/>
              <w:left w:val="single" w:sz="8" w:space="0" w:color="auto"/>
              <w:bottom w:val="nil"/>
              <w:right w:val="nil"/>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2.</w:t>
            </w:r>
          </w:p>
        </w:tc>
        <w:tc>
          <w:tcPr>
            <w:tcW w:w="5354" w:type="dxa"/>
            <w:gridSpan w:val="3"/>
            <w:tcBorders>
              <w:top w:val="nil"/>
              <w:left w:val="nil"/>
              <w:bottom w:val="nil"/>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Read and Understand Rule Requirements</w:t>
            </w:r>
          </w:p>
        </w:tc>
        <w:tc>
          <w:tcPr>
            <w:tcW w:w="272" w:type="dxa"/>
            <w:tcBorders>
              <w:top w:val="nil"/>
              <w:left w:val="nil"/>
              <w:bottom w:val="nil"/>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1333" w:type="dxa"/>
            <w:tcBorders>
              <w:top w:val="nil"/>
              <w:left w:val="single" w:sz="4" w:space="0" w:color="000000"/>
              <w:bottom w:val="single" w:sz="4" w:space="0" w:color="000000"/>
              <w:right w:val="single" w:sz="4"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20 </w:t>
            </w:r>
          </w:p>
        </w:tc>
        <w:tc>
          <w:tcPr>
            <w:tcW w:w="1312"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40</w:t>
            </w:r>
          </w:p>
        </w:tc>
        <w:tc>
          <w:tcPr>
            <w:tcW w:w="1088"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800</w:t>
            </w:r>
          </w:p>
        </w:tc>
        <w:tc>
          <w:tcPr>
            <w:tcW w:w="1510"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40</w:t>
            </w:r>
          </w:p>
        </w:tc>
        <w:tc>
          <w:tcPr>
            <w:tcW w:w="950"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80</w:t>
            </w:r>
          </w:p>
        </w:tc>
        <w:tc>
          <w:tcPr>
            <w:tcW w:w="795"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$41,458 </w:t>
            </w:r>
          </w:p>
        </w:tc>
        <w:tc>
          <w:tcPr>
            <w:tcW w:w="423" w:type="dxa"/>
            <w:tcBorders>
              <w:top w:val="nil"/>
              <w:left w:val="nil"/>
              <w:bottom w:val="single" w:sz="4" w:space="0" w:color="auto"/>
              <w:right w:val="single" w:sz="8"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a</w:t>
            </w:r>
          </w:p>
        </w:tc>
      </w:tr>
      <w:tr w:rsidR="00E254E2" w:rsidRPr="00A57B6E" w:rsidTr="00E254E2">
        <w:trPr>
          <w:trHeight w:val="240"/>
        </w:trPr>
        <w:tc>
          <w:tcPr>
            <w:tcW w:w="350" w:type="dxa"/>
            <w:tcBorders>
              <w:top w:val="single" w:sz="4" w:space="0" w:color="auto"/>
              <w:left w:val="single" w:sz="8" w:space="0" w:color="auto"/>
              <w:bottom w:val="single" w:sz="4" w:space="0" w:color="auto"/>
              <w:right w:val="nil"/>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3.</w:t>
            </w:r>
          </w:p>
        </w:tc>
        <w:tc>
          <w:tcPr>
            <w:tcW w:w="5354" w:type="dxa"/>
            <w:gridSpan w:val="3"/>
            <w:tcBorders>
              <w:top w:val="single" w:sz="4" w:space="0" w:color="auto"/>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Required Activities</w:t>
            </w:r>
          </w:p>
        </w:tc>
        <w:tc>
          <w:tcPr>
            <w:tcW w:w="272" w:type="dxa"/>
            <w:tcBorders>
              <w:top w:val="single" w:sz="4" w:space="0" w:color="auto"/>
              <w:left w:val="nil"/>
              <w:bottom w:val="single" w:sz="4" w:space="0" w:color="auto"/>
              <w:right w:val="single" w:sz="4" w:space="0" w:color="000000"/>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7411" w:type="dxa"/>
            <w:gridSpan w:val="7"/>
            <w:tcBorders>
              <w:top w:val="single" w:sz="4" w:space="0" w:color="auto"/>
              <w:left w:val="nil"/>
              <w:bottom w:val="single" w:sz="4" w:space="0" w:color="auto"/>
              <w:right w:val="single" w:sz="8"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w:t>
            </w:r>
          </w:p>
        </w:tc>
      </w:tr>
      <w:tr w:rsidR="00E254E2" w:rsidRPr="00A57B6E" w:rsidTr="00E254E2">
        <w:trPr>
          <w:trHeight w:val="240"/>
        </w:trPr>
        <w:tc>
          <w:tcPr>
            <w:tcW w:w="350" w:type="dxa"/>
            <w:tcBorders>
              <w:top w:val="nil"/>
              <w:left w:val="single" w:sz="8" w:space="0" w:color="auto"/>
              <w:bottom w:val="nil"/>
              <w:right w:val="nil"/>
            </w:tcBorders>
            <w:shd w:val="clear" w:color="000000" w:fill="FFFFFF"/>
            <w:noWrap/>
            <w:vAlign w:val="center"/>
            <w:hideMark/>
          </w:tcPr>
          <w:p w:rsidR="00E254E2" w:rsidRPr="00A57B6E" w:rsidRDefault="00E254E2" w:rsidP="00E254E2">
            <w:pPr>
              <w:rPr>
                <w:rFonts w:ascii="Arial" w:hAnsi="Arial" w:cs="Arial"/>
                <w:color w:val="0000FF"/>
                <w:sz w:val="16"/>
                <w:szCs w:val="16"/>
              </w:rPr>
            </w:pPr>
            <w:r w:rsidRPr="00A57B6E">
              <w:rPr>
                <w:rFonts w:ascii="Arial" w:hAnsi="Arial" w:cs="Arial"/>
                <w:color w:val="0000FF"/>
                <w:sz w:val="16"/>
                <w:szCs w:val="16"/>
              </w:rPr>
              <w:t> </w:t>
            </w:r>
          </w:p>
        </w:tc>
        <w:tc>
          <w:tcPr>
            <w:tcW w:w="379" w:type="dxa"/>
            <w:tcBorders>
              <w:top w:val="nil"/>
              <w:left w:val="nil"/>
              <w:bottom w:val="nil"/>
              <w:right w:val="nil"/>
            </w:tcBorders>
            <w:shd w:val="clear" w:color="000000" w:fill="FFFFFF"/>
            <w:noWrap/>
            <w:vAlign w:val="center"/>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A.</w:t>
            </w:r>
          </w:p>
        </w:tc>
        <w:tc>
          <w:tcPr>
            <w:tcW w:w="5247" w:type="dxa"/>
            <w:gridSpan w:val="3"/>
            <w:tcBorders>
              <w:top w:val="nil"/>
              <w:left w:val="nil"/>
              <w:bottom w:val="single" w:sz="4" w:space="0" w:color="000000"/>
              <w:right w:val="single" w:sz="4" w:space="0" w:color="000000"/>
            </w:tcBorders>
            <w:shd w:val="clear" w:color="000000" w:fill="FFFFFF"/>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Observe stack tests</w:t>
            </w:r>
          </w:p>
        </w:tc>
        <w:tc>
          <w:tcPr>
            <w:tcW w:w="1333" w:type="dxa"/>
            <w:tcBorders>
              <w:top w:val="nil"/>
              <w:left w:val="nil"/>
              <w:bottom w:val="nil"/>
              <w:right w:val="single" w:sz="4"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7 </w:t>
            </w:r>
          </w:p>
        </w:tc>
        <w:tc>
          <w:tcPr>
            <w:tcW w:w="1312" w:type="dxa"/>
            <w:tcBorders>
              <w:top w:val="nil"/>
              <w:left w:val="nil"/>
              <w:bottom w:val="nil"/>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48 </w:t>
            </w:r>
          </w:p>
        </w:tc>
        <w:tc>
          <w:tcPr>
            <w:tcW w:w="1088" w:type="dxa"/>
            <w:tcBorders>
              <w:top w:val="nil"/>
              <w:left w:val="nil"/>
              <w:bottom w:val="nil"/>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336</w:t>
            </w:r>
          </w:p>
        </w:tc>
        <w:tc>
          <w:tcPr>
            <w:tcW w:w="1510" w:type="dxa"/>
            <w:tcBorders>
              <w:top w:val="nil"/>
              <w:left w:val="nil"/>
              <w:bottom w:val="nil"/>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17</w:t>
            </w:r>
          </w:p>
        </w:tc>
        <w:tc>
          <w:tcPr>
            <w:tcW w:w="950" w:type="dxa"/>
            <w:tcBorders>
              <w:top w:val="nil"/>
              <w:left w:val="nil"/>
              <w:bottom w:val="nil"/>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34</w:t>
            </w:r>
          </w:p>
        </w:tc>
        <w:tc>
          <w:tcPr>
            <w:tcW w:w="795"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$17,412 </w:t>
            </w:r>
          </w:p>
        </w:tc>
        <w:tc>
          <w:tcPr>
            <w:tcW w:w="423" w:type="dxa"/>
            <w:tcBorders>
              <w:top w:val="nil"/>
              <w:left w:val="nil"/>
              <w:bottom w:val="single" w:sz="4" w:space="0" w:color="auto"/>
              <w:right w:val="single" w:sz="8" w:space="0" w:color="auto"/>
            </w:tcBorders>
            <w:shd w:val="clear" w:color="000000" w:fill="FFFFFF"/>
            <w:noWrap/>
            <w:vAlign w:val="center"/>
            <w:hideMark/>
          </w:tcPr>
          <w:p w:rsidR="00E254E2" w:rsidRPr="00A57B6E" w:rsidRDefault="007249CF" w:rsidP="00E254E2">
            <w:pPr>
              <w:jc w:val="center"/>
              <w:rPr>
                <w:rFonts w:ascii="Arial" w:hAnsi="Arial" w:cs="Arial"/>
                <w:sz w:val="16"/>
                <w:szCs w:val="16"/>
              </w:rPr>
            </w:pPr>
            <w:r w:rsidRPr="00A57B6E">
              <w:rPr>
                <w:rFonts w:ascii="Arial" w:hAnsi="Arial" w:cs="Arial"/>
                <w:sz w:val="16"/>
                <w:szCs w:val="16"/>
              </w:rPr>
              <w:t>B</w:t>
            </w:r>
          </w:p>
        </w:tc>
      </w:tr>
      <w:tr w:rsidR="00E254E2" w:rsidRPr="00A57B6E" w:rsidTr="00E254E2">
        <w:trPr>
          <w:trHeight w:val="240"/>
        </w:trPr>
        <w:tc>
          <w:tcPr>
            <w:tcW w:w="350" w:type="dxa"/>
            <w:tcBorders>
              <w:top w:val="single" w:sz="4" w:space="0" w:color="000000"/>
              <w:left w:val="single" w:sz="8" w:space="0" w:color="auto"/>
              <w:bottom w:val="single" w:sz="4" w:space="0" w:color="000000"/>
              <w:right w:val="nil"/>
            </w:tcBorders>
            <w:shd w:val="clear" w:color="000000" w:fill="FFFFFF"/>
            <w:noWrap/>
            <w:vAlign w:val="center"/>
            <w:hideMark/>
          </w:tcPr>
          <w:p w:rsidR="00E254E2" w:rsidRPr="00A57B6E" w:rsidRDefault="00E254E2" w:rsidP="00E254E2">
            <w:pPr>
              <w:rPr>
                <w:rFonts w:ascii="Arial" w:hAnsi="Arial" w:cs="Arial"/>
                <w:color w:val="0000FF"/>
                <w:sz w:val="16"/>
                <w:szCs w:val="16"/>
              </w:rPr>
            </w:pPr>
            <w:r w:rsidRPr="00A57B6E">
              <w:rPr>
                <w:rFonts w:ascii="Arial" w:hAnsi="Arial" w:cs="Arial"/>
                <w:color w:val="0000FF"/>
                <w:sz w:val="16"/>
                <w:szCs w:val="16"/>
              </w:rPr>
              <w:t> </w:t>
            </w:r>
          </w:p>
        </w:tc>
        <w:tc>
          <w:tcPr>
            <w:tcW w:w="379" w:type="dxa"/>
            <w:tcBorders>
              <w:top w:val="single" w:sz="4" w:space="0" w:color="000000"/>
              <w:left w:val="nil"/>
              <w:bottom w:val="single" w:sz="4" w:space="0" w:color="000000"/>
              <w:right w:val="nil"/>
            </w:tcBorders>
            <w:shd w:val="clear" w:color="000000" w:fill="FFFFFF"/>
            <w:noWrap/>
            <w:vAlign w:val="center"/>
            <w:hideMark/>
          </w:tcPr>
          <w:p w:rsidR="00E254E2" w:rsidRPr="00A57B6E" w:rsidRDefault="00E254E2" w:rsidP="00E254E2">
            <w:pPr>
              <w:jc w:val="right"/>
              <w:rPr>
                <w:rFonts w:ascii="Arial" w:hAnsi="Arial" w:cs="Arial"/>
                <w:color w:val="000000"/>
                <w:sz w:val="16"/>
                <w:szCs w:val="16"/>
              </w:rPr>
            </w:pPr>
            <w:r w:rsidRPr="00A57B6E">
              <w:rPr>
                <w:rFonts w:ascii="Arial" w:hAnsi="Arial" w:cs="Arial"/>
                <w:color w:val="000000"/>
                <w:sz w:val="16"/>
                <w:szCs w:val="16"/>
              </w:rPr>
              <w:t>B.</w:t>
            </w:r>
          </w:p>
        </w:tc>
        <w:tc>
          <w:tcPr>
            <w:tcW w:w="4975" w:type="dxa"/>
            <w:gridSpan w:val="2"/>
            <w:tcBorders>
              <w:top w:val="single" w:sz="4" w:space="0" w:color="000000"/>
              <w:left w:val="nil"/>
              <w:bottom w:val="single" w:sz="4" w:space="0" w:color="000000"/>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Excess emissions -- Enforcement Activities</w:t>
            </w:r>
          </w:p>
        </w:tc>
        <w:tc>
          <w:tcPr>
            <w:tcW w:w="272" w:type="dxa"/>
            <w:tcBorders>
              <w:top w:val="nil"/>
              <w:left w:val="nil"/>
              <w:bottom w:val="single" w:sz="4" w:space="0" w:color="000000"/>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3 </w:t>
            </w:r>
          </w:p>
        </w:tc>
        <w:tc>
          <w:tcPr>
            <w:tcW w:w="1312" w:type="dxa"/>
            <w:tcBorders>
              <w:top w:val="single" w:sz="4" w:space="0" w:color="000000"/>
              <w:left w:val="nil"/>
              <w:bottom w:val="nil"/>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24 </w:t>
            </w:r>
          </w:p>
        </w:tc>
        <w:tc>
          <w:tcPr>
            <w:tcW w:w="1088" w:type="dxa"/>
            <w:tcBorders>
              <w:top w:val="single" w:sz="4" w:space="0" w:color="000000"/>
              <w:left w:val="nil"/>
              <w:bottom w:val="nil"/>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72</w:t>
            </w:r>
          </w:p>
        </w:tc>
        <w:tc>
          <w:tcPr>
            <w:tcW w:w="1510" w:type="dxa"/>
            <w:tcBorders>
              <w:top w:val="single" w:sz="4" w:space="0" w:color="000000"/>
              <w:left w:val="nil"/>
              <w:bottom w:val="nil"/>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4</w:t>
            </w:r>
          </w:p>
        </w:tc>
        <w:tc>
          <w:tcPr>
            <w:tcW w:w="950" w:type="dxa"/>
            <w:tcBorders>
              <w:top w:val="single" w:sz="4" w:space="0" w:color="000000"/>
              <w:left w:val="nil"/>
              <w:bottom w:val="nil"/>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7</w:t>
            </w:r>
          </w:p>
        </w:tc>
        <w:tc>
          <w:tcPr>
            <w:tcW w:w="795"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$3,731 </w:t>
            </w:r>
          </w:p>
        </w:tc>
        <w:tc>
          <w:tcPr>
            <w:tcW w:w="423" w:type="dxa"/>
            <w:tcBorders>
              <w:top w:val="nil"/>
              <w:left w:val="nil"/>
              <w:bottom w:val="single" w:sz="4" w:space="0" w:color="auto"/>
              <w:right w:val="single" w:sz="8"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c</w:t>
            </w:r>
          </w:p>
        </w:tc>
      </w:tr>
      <w:tr w:rsidR="00E254E2" w:rsidRPr="00A57B6E" w:rsidTr="00E254E2">
        <w:trPr>
          <w:trHeight w:val="240"/>
        </w:trPr>
        <w:tc>
          <w:tcPr>
            <w:tcW w:w="350" w:type="dxa"/>
            <w:tcBorders>
              <w:top w:val="nil"/>
              <w:left w:val="single" w:sz="8" w:space="0" w:color="auto"/>
              <w:bottom w:val="single" w:sz="4" w:space="0" w:color="000000"/>
              <w:right w:val="nil"/>
            </w:tcBorders>
            <w:shd w:val="clear" w:color="000000" w:fill="FFFFFF"/>
            <w:noWrap/>
            <w:vAlign w:val="center"/>
            <w:hideMark/>
          </w:tcPr>
          <w:p w:rsidR="00E254E2" w:rsidRPr="00A57B6E" w:rsidRDefault="00E254E2" w:rsidP="00E254E2">
            <w:pPr>
              <w:rPr>
                <w:rFonts w:ascii="Arial" w:hAnsi="Arial" w:cs="Arial"/>
                <w:color w:val="0000FF"/>
                <w:sz w:val="16"/>
                <w:szCs w:val="16"/>
              </w:rPr>
            </w:pPr>
            <w:r w:rsidRPr="00A57B6E">
              <w:rPr>
                <w:rFonts w:ascii="Arial" w:hAnsi="Arial" w:cs="Arial"/>
                <w:color w:val="0000FF"/>
                <w:sz w:val="16"/>
                <w:szCs w:val="16"/>
              </w:rPr>
              <w:t> </w:t>
            </w:r>
          </w:p>
        </w:tc>
        <w:tc>
          <w:tcPr>
            <w:tcW w:w="379" w:type="dxa"/>
            <w:tcBorders>
              <w:top w:val="nil"/>
              <w:left w:val="nil"/>
              <w:bottom w:val="single" w:sz="4" w:space="0" w:color="000000"/>
              <w:right w:val="nil"/>
            </w:tcBorders>
            <w:shd w:val="clear" w:color="000000" w:fill="FFFFFF"/>
            <w:noWrap/>
            <w:vAlign w:val="center"/>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C.</w:t>
            </w:r>
          </w:p>
        </w:tc>
        <w:tc>
          <w:tcPr>
            <w:tcW w:w="4975" w:type="dxa"/>
            <w:gridSpan w:val="2"/>
            <w:tcBorders>
              <w:top w:val="nil"/>
              <w:left w:val="nil"/>
              <w:bottom w:val="single" w:sz="4" w:space="0" w:color="000000"/>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Create Information</w:t>
            </w:r>
          </w:p>
        </w:tc>
        <w:tc>
          <w:tcPr>
            <w:tcW w:w="272" w:type="dxa"/>
            <w:tcBorders>
              <w:top w:val="nil"/>
              <w:left w:val="nil"/>
              <w:bottom w:val="single" w:sz="4" w:space="0" w:color="000000"/>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7411" w:type="dxa"/>
            <w:gridSpan w:val="7"/>
            <w:tcBorders>
              <w:top w:val="single" w:sz="4" w:space="0" w:color="auto"/>
              <w:left w:val="single" w:sz="4" w:space="0" w:color="000000"/>
              <w:bottom w:val="single" w:sz="4" w:space="0" w:color="auto"/>
              <w:right w:val="single" w:sz="8"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not applicable</w:t>
            </w:r>
          </w:p>
        </w:tc>
      </w:tr>
      <w:tr w:rsidR="00E254E2" w:rsidRPr="00A57B6E" w:rsidTr="00E254E2">
        <w:trPr>
          <w:trHeight w:val="240"/>
        </w:trPr>
        <w:tc>
          <w:tcPr>
            <w:tcW w:w="350" w:type="dxa"/>
            <w:tcBorders>
              <w:top w:val="nil"/>
              <w:left w:val="single" w:sz="8" w:space="0" w:color="auto"/>
              <w:bottom w:val="nil"/>
              <w:right w:val="nil"/>
            </w:tcBorders>
            <w:shd w:val="clear" w:color="000000" w:fill="FFFFFF"/>
            <w:noWrap/>
            <w:vAlign w:val="center"/>
            <w:hideMark/>
          </w:tcPr>
          <w:p w:rsidR="00E254E2" w:rsidRPr="00A57B6E" w:rsidRDefault="00E254E2" w:rsidP="00E254E2">
            <w:pPr>
              <w:rPr>
                <w:rFonts w:ascii="Arial" w:hAnsi="Arial" w:cs="Arial"/>
                <w:color w:val="0000FF"/>
                <w:sz w:val="16"/>
                <w:szCs w:val="16"/>
              </w:rPr>
            </w:pPr>
            <w:r w:rsidRPr="00A57B6E">
              <w:rPr>
                <w:rFonts w:ascii="Arial" w:hAnsi="Arial" w:cs="Arial"/>
                <w:color w:val="0000FF"/>
                <w:sz w:val="16"/>
                <w:szCs w:val="16"/>
              </w:rPr>
              <w:t> </w:t>
            </w:r>
          </w:p>
        </w:tc>
        <w:tc>
          <w:tcPr>
            <w:tcW w:w="379" w:type="dxa"/>
            <w:tcBorders>
              <w:top w:val="nil"/>
              <w:left w:val="nil"/>
              <w:bottom w:val="nil"/>
              <w:right w:val="nil"/>
            </w:tcBorders>
            <w:shd w:val="clear" w:color="000000" w:fill="FFFFFF"/>
            <w:noWrap/>
            <w:vAlign w:val="center"/>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D.</w:t>
            </w:r>
          </w:p>
        </w:tc>
        <w:tc>
          <w:tcPr>
            <w:tcW w:w="4975" w:type="dxa"/>
            <w:gridSpan w:val="2"/>
            <w:tcBorders>
              <w:top w:val="single" w:sz="4" w:space="0" w:color="000000"/>
              <w:left w:val="nil"/>
              <w:bottom w:val="nil"/>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Gather Information</w:t>
            </w:r>
          </w:p>
        </w:tc>
        <w:tc>
          <w:tcPr>
            <w:tcW w:w="272" w:type="dxa"/>
            <w:tcBorders>
              <w:top w:val="nil"/>
              <w:left w:val="nil"/>
              <w:bottom w:val="nil"/>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7411" w:type="dxa"/>
            <w:gridSpan w:val="7"/>
            <w:tcBorders>
              <w:top w:val="single" w:sz="4" w:space="0" w:color="auto"/>
              <w:left w:val="single" w:sz="4" w:space="0" w:color="000000"/>
              <w:bottom w:val="nil"/>
              <w:right w:val="single" w:sz="8"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not applicable</w:t>
            </w:r>
          </w:p>
        </w:tc>
      </w:tr>
      <w:tr w:rsidR="00E254E2" w:rsidRPr="00A57B6E" w:rsidTr="00E254E2">
        <w:trPr>
          <w:trHeight w:val="240"/>
        </w:trPr>
        <w:tc>
          <w:tcPr>
            <w:tcW w:w="350" w:type="dxa"/>
            <w:tcBorders>
              <w:top w:val="single" w:sz="4" w:space="0" w:color="auto"/>
              <w:left w:val="single" w:sz="8" w:space="0" w:color="auto"/>
              <w:bottom w:val="single" w:sz="4" w:space="0" w:color="auto"/>
              <w:right w:val="nil"/>
            </w:tcBorders>
            <w:shd w:val="clear" w:color="000000" w:fill="FFFFFF"/>
            <w:noWrap/>
            <w:vAlign w:val="center"/>
            <w:hideMark/>
          </w:tcPr>
          <w:p w:rsidR="00E254E2" w:rsidRPr="00A57B6E" w:rsidRDefault="00E254E2" w:rsidP="00E254E2">
            <w:pPr>
              <w:rPr>
                <w:rFonts w:ascii="Arial" w:hAnsi="Arial" w:cs="Arial"/>
                <w:color w:val="0000FF"/>
                <w:sz w:val="16"/>
                <w:szCs w:val="16"/>
              </w:rPr>
            </w:pPr>
            <w:r w:rsidRPr="00A57B6E">
              <w:rPr>
                <w:rFonts w:ascii="Arial" w:hAnsi="Arial" w:cs="Arial"/>
                <w:color w:val="0000FF"/>
                <w:sz w:val="16"/>
                <w:szCs w:val="16"/>
              </w:rPr>
              <w:t> </w:t>
            </w:r>
          </w:p>
        </w:tc>
        <w:tc>
          <w:tcPr>
            <w:tcW w:w="379" w:type="dxa"/>
            <w:tcBorders>
              <w:top w:val="single" w:sz="4" w:space="0" w:color="auto"/>
              <w:left w:val="nil"/>
              <w:bottom w:val="single" w:sz="4" w:space="0" w:color="auto"/>
              <w:right w:val="nil"/>
            </w:tcBorders>
            <w:shd w:val="clear" w:color="000000" w:fill="FFFFFF"/>
            <w:noWrap/>
            <w:vAlign w:val="center"/>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E.</w:t>
            </w:r>
          </w:p>
        </w:tc>
        <w:tc>
          <w:tcPr>
            <w:tcW w:w="4975" w:type="dxa"/>
            <w:gridSpan w:val="2"/>
            <w:tcBorders>
              <w:top w:val="single" w:sz="4" w:space="0" w:color="auto"/>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Report Reviews</w:t>
            </w:r>
          </w:p>
        </w:tc>
        <w:tc>
          <w:tcPr>
            <w:tcW w:w="272" w:type="dxa"/>
            <w:tcBorders>
              <w:top w:val="single" w:sz="4" w:space="0" w:color="auto"/>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7411" w:type="dxa"/>
            <w:gridSpan w:val="7"/>
            <w:tcBorders>
              <w:top w:val="single" w:sz="4" w:space="0" w:color="auto"/>
              <w:left w:val="single" w:sz="4" w:space="0" w:color="000000"/>
              <w:bottom w:val="single" w:sz="4" w:space="0" w:color="auto"/>
              <w:right w:val="single" w:sz="8"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w:t>
            </w:r>
          </w:p>
        </w:tc>
      </w:tr>
      <w:tr w:rsidR="00E254E2" w:rsidRPr="00A57B6E" w:rsidTr="00E254E2">
        <w:trPr>
          <w:trHeight w:val="240"/>
        </w:trPr>
        <w:tc>
          <w:tcPr>
            <w:tcW w:w="350" w:type="dxa"/>
            <w:tcBorders>
              <w:top w:val="nil"/>
              <w:left w:val="single" w:sz="8" w:space="0" w:color="auto"/>
              <w:bottom w:val="single" w:sz="4" w:space="0" w:color="auto"/>
              <w:right w:val="nil"/>
            </w:tcBorders>
            <w:shd w:val="clear" w:color="000000" w:fill="FFFFFF"/>
            <w:noWrap/>
            <w:vAlign w:val="center"/>
            <w:hideMark/>
          </w:tcPr>
          <w:p w:rsidR="00E254E2" w:rsidRPr="00A57B6E" w:rsidRDefault="00E254E2" w:rsidP="00E254E2">
            <w:pPr>
              <w:rPr>
                <w:rFonts w:ascii="Arial" w:hAnsi="Arial" w:cs="Arial"/>
                <w:color w:val="0000FF"/>
                <w:sz w:val="16"/>
                <w:szCs w:val="16"/>
              </w:rPr>
            </w:pPr>
            <w:r w:rsidRPr="00A57B6E">
              <w:rPr>
                <w:rFonts w:ascii="Arial" w:hAnsi="Arial" w:cs="Arial"/>
                <w:color w:val="0000FF"/>
                <w:sz w:val="16"/>
                <w:szCs w:val="16"/>
              </w:rPr>
              <w:t> </w:t>
            </w:r>
          </w:p>
        </w:tc>
        <w:tc>
          <w:tcPr>
            <w:tcW w:w="379" w:type="dxa"/>
            <w:tcBorders>
              <w:top w:val="nil"/>
              <w:left w:val="nil"/>
              <w:bottom w:val="single" w:sz="4" w:space="0" w:color="auto"/>
              <w:right w:val="nil"/>
            </w:tcBorders>
            <w:shd w:val="clear" w:color="000000" w:fill="FFFFFF"/>
            <w:noWrap/>
            <w:vAlign w:val="center"/>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 </w:t>
            </w:r>
          </w:p>
        </w:tc>
        <w:tc>
          <w:tcPr>
            <w:tcW w:w="353" w:type="dxa"/>
            <w:tcBorders>
              <w:top w:val="nil"/>
              <w:left w:val="nil"/>
              <w:bottom w:val="single" w:sz="4" w:space="0" w:color="auto"/>
              <w:right w:val="nil"/>
            </w:tcBorders>
            <w:shd w:val="clear" w:color="000000" w:fill="FFFFFF"/>
            <w:noWrap/>
            <w:vAlign w:val="bottom"/>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1.</w:t>
            </w:r>
          </w:p>
        </w:tc>
        <w:tc>
          <w:tcPr>
            <w:tcW w:w="4622" w:type="dxa"/>
            <w:tcBorders>
              <w:top w:val="nil"/>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Review work practice SOP</w:t>
            </w:r>
          </w:p>
        </w:tc>
        <w:tc>
          <w:tcPr>
            <w:tcW w:w="272" w:type="dxa"/>
            <w:tcBorders>
              <w:top w:val="nil"/>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1333" w:type="dxa"/>
            <w:tcBorders>
              <w:top w:val="nil"/>
              <w:left w:val="single" w:sz="4" w:space="0" w:color="000000"/>
              <w:bottom w:val="single" w:sz="4" w:space="0" w:color="auto"/>
              <w:right w:val="single" w:sz="4"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16 </w:t>
            </w:r>
          </w:p>
        </w:tc>
        <w:tc>
          <w:tcPr>
            <w:tcW w:w="1312"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10 </w:t>
            </w:r>
          </w:p>
        </w:tc>
        <w:tc>
          <w:tcPr>
            <w:tcW w:w="1088"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160</w:t>
            </w:r>
          </w:p>
        </w:tc>
        <w:tc>
          <w:tcPr>
            <w:tcW w:w="1510"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8</w:t>
            </w:r>
          </w:p>
        </w:tc>
        <w:tc>
          <w:tcPr>
            <w:tcW w:w="950"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16</w:t>
            </w:r>
          </w:p>
        </w:tc>
        <w:tc>
          <w:tcPr>
            <w:tcW w:w="795"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$8,292 </w:t>
            </w:r>
          </w:p>
        </w:tc>
        <w:tc>
          <w:tcPr>
            <w:tcW w:w="423" w:type="dxa"/>
            <w:tcBorders>
              <w:top w:val="nil"/>
              <w:left w:val="nil"/>
              <w:bottom w:val="single" w:sz="4" w:space="0" w:color="auto"/>
              <w:right w:val="single" w:sz="8"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w:t>
            </w:r>
          </w:p>
        </w:tc>
      </w:tr>
      <w:tr w:rsidR="00E254E2" w:rsidRPr="00A57B6E" w:rsidTr="00E254E2">
        <w:trPr>
          <w:trHeight w:val="240"/>
        </w:trPr>
        <w:tc>
          <w:tcPr>
            <w:tcW w:w="350" w:type="dxa"/>
            <w:tcBorders>
              <w:top w:val="nil"/>
              <w:left w:val="single" w:sz="8" w:space="0" w:color="auto"/>
              <w:bottom w:val="single" w:sz="4" w:space="0" w:color="auto"/>
              <w:right w:val="nil"/>
            </w:tcBorders>
            <w:shd w:val="clear" w:color="000000" w:fill="FFFFFF"/>
            <w:noWrap/>
            <w:vAlign w:val="center"/>
            <w:hideMark/>
          </w:tcPr>
          <w:p w:rsidR="00E254E2" w:rsidRPr="00A57B6E" w:rsidRDefault="00E254E2" w:rsidP="00E254E2">
            <w:pPr>
              <w:rPr>
                <w:rFonts w:ascii="Arial" w:hAnsi="Arial" w:cs="Arial"/>
                <w:color w:val="0000FF"/>
                <w:sz w:val="16"/>
                <w:szCs w:val="16"/>
              </w:rPr>
            </w:pPr>
            <w:r w:rsidRPr="00A57B6E">
              <w:rPr>
                <w:rFonts w:ascii="Arial" w:hAnsi="Arial" w:cs="Arial"/>
                <w:color w:val="0000FF"/>
                <w:sz w:val="16"/>
                <w:szCs w:val="16"/>
              </w:rPr>
              <w:t> </w:t>
            </w:r>
          </w:p>
        </w:tc>
        <w:tc>
          <w:tcPr>
            <w:tcW w:w="379" w:type="dxa"/>
            <w:tcBorders>
              <w:top w:val="nil"/>
              <w:left w:val="nil"/>
              <w:bottom w:val="single" w:sz="4" w:space="0" w:color="auto"/>
              <w:right w:val="nil"/>
            </w:tcBorders>
            <w:shd w:val="clear" w:color="000000" w:fill="FFFFFF"/>
            <w:noWrap/>
            <w:vAlign w:val="center"/>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 </w:t>
            </w:r>
          </w:p>
        </w:tc>
        <w:tc>
          <w:tcPr>
            <w:tcW w:w="353" w:type="dxa"/>
            <w:tcBorders>
              <w:top w:val="nil"/>
              <w:left w:val="nil"/>
              <w:bottom w:val="single" w:sz="4" w:space="0" w:color="auto"/>
              <w:right w:val="nil"/>
            </w:tcBorders>
            <w:shd w:val="clear" w:color="000000" w:fill="FFFFFF"/>
            <w:noWrap/>
            <w:vAlign w:val="bottom"/>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2.</w:t>
            </w:r>
          </w:p>
        </w:tc>
        <w:tc>
          <w:tcPr>
            <w:tcW w:w="4622" w:type="dxa"/>
            <w:tcBorders>
              <w:top w:val="nil"/>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Review different presure monitoring report</w:t>
            </w:r>
          </w:p>
        </w:tc>
        <w:tc>
          <w:tcPr>
            <w:tcW w:w="272" w:type="dxa"/>
            <w:tcBorders>
              <w:top w:val="nil"/>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1333" w:type="dxa"/>
            <w:tcBorders>
              <w:top w:val="nil"/>
              <w:left w:val="single" w:sz="4" w:space="0" w:color="000000"/>
              <w:bottom w:val="single" w:sz="4" w:space="0" w:color="auto"/>
              <w:right w:val="single" w:sz="4"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16 </w:t>
            </w:r>
          </w:p>
        </w:tc>
        <w:tc>
          <w:tcPr>
            <w:tcW w:w="1312"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3 </w:t>
            </w:r>
          </w:p>
        </w:tc>
        <w:tc>
          <w:tcPr>
            <w:tcW w:w="1088"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48</w:t>
            </w:r>
          </w:p>
        </w:tc>
        <w:tc>
          <w:tcPr>
            <w:tcW w:w="1510"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2</w:t>
            </w:r>
          </w:p>
        </w:tc>
        <w:tc>
          <w:tcPr>
            <w:tcW w:w="950"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5</w:t>
            </w:r>
          </w:p>
        </w:tc>
        <w:tc>
          <w:tcPr>
            <w:tcW w:w="795"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$2,487 </w:t>
            </w:r>
          </w:p>
        </w:tc>
        <w:tc>
          <w:tcPr>
            <w:tcW w:w="423" w:type="dxa"/>
            <w:tcBorders>
              <w:top w:val="nil"/>
              <w:left w:val="nil"/>
              <w:bottom w:val="single" w:sz="4" w:space="0" w:color="auto"/>
              <w:right w:val="single" w:sz="8"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w:t>
            </w:r>
          </w:p>
        </w:tc>
      </w:tr>
      <w:tr w:rsidR="00E254E2" w:rsidRPr="00A57B6E" w:rsidTr="00E254E2">
        <w:trPr>
          <w:trHeight w:val="240"/>
        </w:trPr>
        <w:tc>
          <w:tcPr>
            <w:tcW w:w="350" w:type="dxa"/>
            <w:tcBorders>
              <w:top w:val="nil"/>
              <w:left w:val="single" w:sz="8" w:space="0" w:color="auto"/>
              <w:bottom w:val="single" w:sz="4" w:space="0" w:color="auto"/>
              <w:right w:val="nil"/>
            </w:tcBorders>
            <w:shd w:val="clear" w:color="000000" w:fill="FFFFFF"/>
            <w:noWrap/>
            <w:vAlign w:val="center"/>
            <w:hideMark/>
          </w:tcPr>
          <w:p w:rsidR="00E254E2" w:rsidRPr="00A57B6E" w:rsidRDefault="00E254E2" w:rsidP="00E254E2">
            <w:pPr>
              <w:rPr>
                <w:rFonts w:ascii="Arial" w:hAnsi="Arial" w:cs="Arial"/>
                <w:color w:val="0000FF"/>
                <w:sz w:val="16"/>
                <w:szCs w:val="16"/>
              </w:rPr>
            </w:pPr>
            <w:r w:rsidRPr="00A57B6E">
              <w:rPr>
                <w:rFonts w:ascii="Arial" w:hAnsi="Arial" w:cs="Arial"/>
                <w:color w:val="0000FF"/>
                <w:sz w:val="16"/>
                <w:szCs w:val="16"/>
              </w:rPr>
              <w:t> </w:t>
            </w:r>
          </w:p>
        </w:tc>
        <w:tc>
          <w:tcPr>
            <w:tcW w:w="379" w:type="dxa"/>
            <w:tcBorders>
              <w:top w:val="nil"/>
              <w:left w:val="nil"/>
              <w:bottom w:val="single" w:sz="4" w:space="0" w:color="auto"/>
              <w:right w:val="nil"/>
            </w:tcBorders>
            <w:shd w:val="clear" w:color="000000" w:fill="FFFFFF"/>
            <w:noWrap/>
            <w:vAlign w:val="center"/>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 </w:t>
            </w:r>
          </w:p>
        </w:tc>
        <w:tc>
          <w:tcPr>
            <w:tcW w:w="353" w:type="dxa"/>
            <w:tcBorders>
              <w:top w:val="nil"/>
              <w:left w:val="nil"/>
              <w:bottom w:val="single" w:sz="4" w:space="0" w:color="auto"/>
              <w:right w:val="nil"/>
            </w:tcBorders>
            <w:shd w:val="clear" w:color="000000" w:fill="FFFFFF"/>
            <w:noWrap/>
            <w:vAlign w:val="bottom"/>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3.</w:t>
            </w:r>
          </w:p>
        </w:tc>
        <w:tc>
          <w:tcPr>
            <w:tcW w:w="4622" w:type="dxa"/>
            <w:tcBorders>
              <w:top w:val="nil"/>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Review annual compliance report</w:t>
            </w:r>
          </w:p>
        </w:tc>
        <w:tc>
          <w:tcPr>
            <w:tcW w:w="272" w:type="dxa"/>
            <w:tcBorders>
              <w:top w:val="nil"/>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1333" w:type="dxa"/>
            <w:tcBorders>
              <w:top w:val="nil"/>
              <w:left w:val="single" w:sz="4" w:space="0" w:color="000000"/>
              <w:bottom w:val="single" w:sz="4" w:space="0" w:color="auto"/>
              <w:right w:val="single" w:sz="4"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16 </w:t>
            </w:r>
          </w:p>
        </w:tc>
        <w:tc>
          <w:tcPr>
            <w:tcW w:w="1312"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10 </w:t>
            </w:r>
          </w:p>
        </w:tc>
        <w:tc>
          <w:tcPr>
            <w:tcW w:w="1088"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160</w:t>
            </w:r>
          </w:p>
        </w:tc>
        <w:tc>
          <w:tcPr>
            <w:tcW w:w="1510"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8</w:t>
            </w:r>
          </w:p>
        </w:tc>
        <w:tc>
          <w:tcPr>
            <w:tcW w:w="950"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16</w:t>
            </w:r>
          </w:p>
        </w:tc>
        <w:tc>
          <w:tcPr>
            <w:tcW w:w="795"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$8,292 </w:t>
            </w:r>
          </w:p>
        </w:tc>
        <w:tc>
          <w:tcPr>
            <w:tcW w:w="423" w:type="dxa"/>
            <w:tcBorders>
              <w:top w:val="nil"/>
              <w:left w:val="nil"/>
              <w:bottom w:val="single" w:sz="4" w:space="0" w:color="auto"/>
              <w:right w:val="single" w:sz="8" w:space="0" w:color="auto"/>
            </w:tcBorders>
            <w:shd w:val="clear" w:color="000000" w:fill="FFFFFF"/>
            <w:noWrap/>
            <w:vAlign w:val="center"/>
            <w:hideMark/>
          </w:tcPr>
          <w:p w:rsidR="00E254E2" w:rsidRPr="00A57B6E" w:rsidRDefault="007249CF" w:rsidP="00E254E2">
            <w:pPr>
              <w:jc w:val="center"/>
              <w:rPr>
                <w:rFonts w:ascii="Arial" w:hAnsi="Arial" w:cs="Arial"/>
                <w:sz w:val="16"/>
                <w:szCs w:val="16"/>
              </w:rPr>
            </w:pPr>
            <w:r w:rsidRPr="00A57B6E">
              <w:rPr>
                <w:rFonts w:ascii="Arial" w:hAnsi="Arial" w:cs="Arial"/>
                <w:sz w:val="16"/>
                <w:szCs w:val="16"/>
              </w:rPr>
              <w:t>D</w:t>
            </w:r>
          </w:p>
        </w:tc>
      </w:tr>
      <w:tr w:rsidR="00E254E2" w:rsidRPr="00A57B6E" w:rsidTr="00E254E2">
        <w:trPr>
          <w:trHeight w:val="240"/>
        </w:trPr>
        <w:tc>
          <w:tcPr>
            <w:tcW w:w="350" w:type="dxa"/>
            <w:tcBorders>
              <w:top w:val="nil"/>
              <w:left w:val="single" w:sz="8" w:space="0" w:color="auto"/>
              <w:bottom w:val="single" w:sz="8" w:space="0" w:color="auto"/>
              <w:right w:val="nil"/>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w:t>
            </w:r>
          </w:p>
        </w:tc>
        <w:tc>
          <w:tcPr>
            <w:tcW w:w="379" w:type="dxa"/>
            <w:tcBorders>
              <w:top w:val="nil"/>
              <w:left w:val="nil"/>
              <w:bottom w:val="single" w:sz="8" w:space="0" w:color="auto"/>
              <w:right w:val="nil"/>
            </w:tcBorders>
            <w:shd w:val="clear" w:color="000000" w:fill="FFFFFF"/>
            <w:noWrap/>
            <w:vAlign w:val="center"/>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F.</w:t>
            </w:r>
          </w:p>
        </w:tc>
        <w:tc>
          <w:tcPr>
            <w:tcW w:w="4975" w:type="dxa"/>
            <w:gridSpan w:val="2"/>
            <w:tcBorders>
              <w:top w:val="single" w:sz="4" w:space="0" w:color="auto"/>
              <w:left w:val="nil"/>
              <w:bottom w:val="single" w:sz="8"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Prepare annual summary report</w:t>
            </w:r>
          </w:p>
        </w:tc>
        <w:tc>
          <w:tcPr>
            <w:tcW w:w="272" w:type="dxa"/>
            <w:tcBorders>
              <w:top w:val="nil"/>
              <w:left w:val="nil"/>
              <w:bottom w:val="single" w:sz="8"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1333" w:type="dxa"/>
            <w:tcBorders>
              <w:top w:val="nil"/>
              <w:left w:val="single" w:sz="4" w:space="0" w:color="000000"/>
              <w:bottom w:val="single" w:sz="8" w:space="0" w:color="auto"/>
              <w:right w:val="single" w:sz="4"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1 </w:t>
            </w:r>
          </w:p>
        </w:tc>
        <w:tc>
          <w:tcPr>
            <w:tcW w:w="1312" w:type="dxa"/>
            <w:tcBorders>
              <w:top w:val="nil"/>
              <w:left w:val="nil"/>
              <w:bottom w:val="single" w:sz="8"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64 </w:t>
            </w:r>
          </w:p>
        </w:tc>
        <w:tc>
          <w:tcPr>
            <w:tcW w:w="1088" w:type="dxa"/>
            <w:tcBorders>
              <w:top w:val="nil"/>
              <w:left w:val="nil"/>
              <w:bottom w:val="single" w:sz="8"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64</w:t>
            </w:r>
          </w:p>
        </w:tc>
        <w:tc>
          <w:tcPr>
            <w:tcW w:w="1510" w:type="dxa"/>
            <w:tcBorders>
              <w:top w:val="nil"/>
              <w:left w:val="nil"/>
              <w:bottom w:val="single" w:sz="8"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3</w:t>
            </w:r>
          </w:p>
        </w:tc>
        <w:tc>
          <w:tcPr>
            <w:tcW w:w="950" w:type="dxa"/>
            <w:tcBorders>
              <w:top w:val="nil"/>
              <w:left w:val="nil"/>
              <w:bottom w:val="single" w:sz="8"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6</w:t>
            </w:r>
          </w:p>
        </w:tc>
        <w:tc>
          <w:tcPr>
            <w:tcW w:w="795" w:type="dxa"/>
            <w:tcBorders>
              <w:top w:val="nil"/>
              <w:left w:val="nil"/>
              <w:bottom w:val="single" w:sz="8"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$3,317 </w:t>
            </w:r>
          </w:p>
        </w:tc>
        <w:tc>
          <w:tcPr>
            <w:tcW w:w="423" w:type="dxa"/>
            <w:tcBorders>
              <w:top w:val="nil"/>
              <w:left w:val="nil"/>
              <w:bottom w:val="single" w:sz="8" w:space="0" w:color="auto"/>
              <w:right w:val="single" w:sz="8"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e</w:t>
            </w:r>
          </w:p>
        </w:tc>
      </w:tr>
      <w:tr w:rsidR="00E254E2" w:rsidRPr="00A57B6E" w:rsidTr="00E254E2">
        <w:trPr>
          <w:trHeight w:val="240"/>
        </w:trPr>
        <w:tc>
          <w:tcPr>
            <w:tcW w:w="1082"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E254E2" w:rsidRPr="00A57B6E" w:rsidRDefault="00E254E2" w:rsidP="00E254E2">
            <w:pPr>
              <w:rPr>
                <w:rFonts w:ascii="Arial" w:hAnsi="Arial" w:cs="Arial"/>
                <w:b/>
                <w:sz w:val="16"/>
                <w:szCs w:val="16"/>
              </w:rPr>
            </w:pPr>
            <w:r w:rsidRPr="00A57B6E">
              <w:rPr>
                <w:rFonts w:ascii="Arial" w:hAnsi="Arial" w:cs="Arial"/>
                <w:b/>
                <w:sz w:val="16"/>
                <w:szCs w:val="16"/>
              </w:rPr>
              <w:t> </w:t>
            </w:r>
          </w:p>
          <w:p w:rsidR="00E254E2" w:rsidRPr="00A57B6E" w:rsidRDefault="00E254E2" w:rsidP="00E254E2">
            <w:pPr>
              <w:rPr>
                <w:rFonts w:ascii="Arial" w:hAnsi="Arial" w:cs="Arial"/>
                <w:b/>
                <w:sz w:val="16"/>
                <w:szCs w:val="16"/>
              </w:rPr>
            </w:pPr>
            <w:r w:rsidRPr="00A57B6E">
              <w:rPr>
                <w:rFonts w:ascii="Arial" w:hAnsi="Arial" w:cs="Arial"/>
                <w:b/>
                <w:sz w:val="16"/>
                <w:szCs w:val="16"/>
              </w:rPr>
              <w:t>TOTAL</w:t>
            </w:r>
          </w:p>
        </w:tc>
        <w:tc>
          <w:tcPr>
            <w:tcW w:w="4622" w:type="dxa"/>
            <w:tcBorders>
              <w:top w:val="single" w:sz="8" w:space="0" w:color="auto"/>
              <w:left w:val="nil"/>
              <w:bottom w:val="single" w:sz="8"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272" w:type="dxa"/>
            <w:tcBorders>
              <w:top w:val="single" w:sz="8" w:space="0" w:color="auto"/>
              <w:left w:val="nil"/>
              <w:bottom w:val="single" w:sz="8"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1333" w:type="dxa"/>
            <w:tcBorders>
              <w:top w:val="single" w:sz="8" w:space="0" w:color="auto"/>
              <w:left w:val="nil"/>
              <w:bottom w:val="single" w:sz="8" w:space="0" w:color="auto"/>
              <w:right w:val="nil"/>
            </w:tcBorders>
            <w:shd w:val="clear" w:color="000000" w:fill="FFFFFF"/>
            <w:noWrap/>
            <w:vAlign w:val="center"/>
            <w:hideMark/>
          </w:tcPr>
          <w:p w:rsidR="00E254E2" w:rsidRPr="00A57B6E" w:rsidRDefault="00E254E2" w:rsidP="00E254E2">
            <w:pPr>
              <w:jc w:val="center"/>
              <w:rPr>
                <w:rFonts w:ascii="Arial" w:hAnsi="Arial" w:cs="Arial"/>
                <w:color w:val="0000FF"/>
                <w:sz w:val="16"/>
                <w:szCs w:val="16"/>
              </w:rPr>
            </w:pPr>
            <w:r w:rsidRPr="00A57B6E">
              <w:rPr>
                <w:rFonts w:ascii="Arial" w:hAnsi="Arial" w:cs="Arial"/>
                <w:color w:val="0000FF"/>
                <w:sz w:val="16"/>
                <w:szCs w:val="16"/>
              </w:rPr>
              <w:t> </w:t>
            </w:r>
          </w:p>
        </w:tc>
        <w:tc>
          <w:tcPr>
            <w:tcW w:w="1312" w:type="dxa"/>
            <w:tcBorders>
              <w:top w:val="single" w:sz="8" w:space="0" w:color="auto"/>
              <w:left w:val="nil"/>
              <w:bottom w:val="single" w:sz="8" w:space="0" w:color="auto"/>
              <w:right w:val="single" w:sz="4"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w:t>
            </w:r>
          </w:p>
        </w:tc>
        <w:tc>
          <w:tcPr>
            <w:tcW w:w="1088" w:type="dxa"/>
            <w:tcBorders>
              <w:top w:val="single" w:sz="8" w:space="0" w:color="auto"/>
              <w:left w:val="nil"/>
              <w:bottom w:val="single" w:sz="8" w:space="0" w:color="auto"/>
              <w:right w:val="nil"/>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1640</w:t>
            </w:r>
          </w:p>
        </w:tc>
        <w:tc>
          <w:tcPr>
            <w:tcW w:w="1510" w:type="dxa"/>
            <w:tcBorders>
              <w:top w:val="single" w:sz="8" w:space="0" w:color="auto"/>
              <w:left w:val="single" w:sz="4" w:space="0" w:color="000000"/>
              <w:bottom w:val="single" w:sz="8" w:space="0" w:color="auto"/>
              <w:right w:val="nil"/>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82</w:t>
            </w:r>
          </w:p>
        </w:tc>
        <w:tc>
          <w:tcPr>
            <w:tcW w:w="950" w:type="dxa"/>
            <w:tcBorders>
              <w:top w:val="single" w:sz="8" w:space="0" w:color="auto"/>
              <w:left w:val="single" w:sz="4" w:space="0" w:color="000000"/>
              <w:bottom w:val="single" w:sz="8" w:space="0" w:color="auto"/>
              <w:right w:val="nil"/>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164</w:t>
            </w:r>
          </w:p>
        </w:tc>
        <w:tc>
          <w:tcPr>
            <w:tcW w:w="795"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$84,989 </w:t>
            </w:r>
          </w:p>
        </w:tc>
        <w:tc>
          <w:tcPr>
            <w:tcW w:w="423" w:type="dxa"/>
            <w:tcBorders>
              <w:top w:val="single" w:sz="8" w:space="0" w:color="auto"/>
              <w:left w:val="nil"/>
              <w:bottom w:val="single" w:sz="8" w:space="0" w:color="auto"/>
              <w:right w:val="single" w:sz="8"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w:t>
            </w:r>
          </w:p>
        </w:tc>
      </w:tr>
    </w:tbl>
    <w:p w:rsidR="00E254E2" w:rsidRDefault="00E254E2" w:rsidP="00E254E2">
      <w:pPr>
        <w:rPr>
          <w:bCs/>
          <w:sz w:val="18"/>
          <w:szCs w:val="18"/>
        </w:rPr>
      </w:pPr>
    </w:p>
    <w:p w:rsidR="00E254E2" w:rsidRPr="00A57B6E" w:rsidRDefault="00E254E2" w:rsidP="00E254E2">
      <w:pPr>
        <w:rPr>
          <w:b/>
          <w:bCs/>
          <w:sz w:val="18"/>
          <w:szCs w:val="18"/>
        </w:rPr>
      </w:pPr>
      <w:r w:rsidRPr="00A57B6E">
        <w:rPr>
          <w:b/>
          <w:bCs/>
          <w:sz w:val="18"/>
          <w:szCs w:val="18"/>
        </w:rPr>
        <w:t>FOOTNOTES</w:t>
      </w:r>
    </w:p>
    <w:p w:rsidR="00E254E2" w:rsidRPr="00A57B6E" w:rsidRDefault="00E254E2" w:rsidP="00E254E2">
      <w:pPr>
        <w:rPr>
          <w:bCs/>
          <w:sz w:val="18"/>
          <w:szCs w:val="18"/>
        </w:rPr>
      </w:pPr>
      <w:r w:rsidRPr="00A57B6E">
        <w:rPr>
          <w:bCs/>
          <w:sz w:val="18"/>
          <w:szCs w:val="18"/>
        </w:rPr>
        <w:t>a</w:t>
      </w:r>
      <w:r w:rsidRPr="00A57B6E">
        <w:rPr>
          <w:bCs/>
          <w:sz w:val="18"/>
          <w:szCs w:val="18"/>
        </w:rPr>
        <w:tab/>
        <w:t>Number of occurences is the number of states where affected sources will exist and each EPA Region (10 states + 10 EPA regions = 20 respondents).</w:t>
      </w:r>
    </w:p>
    <w:p w:rsidR="00E254E2" w:rsidRPr="00A57B6E" w:rsidRDefault="00E254E2" w:rsidP="00E254E2">
      <w:pPr>
        <w:rPr>
          <w:bCs/>
          <w:sz w:val="18"/>
          <w:szCs w:val="18"/>
        </w:rPr>
      </w:pPr>
      <w:r w:rsidRPr="00A57B6E">
        <w:rPr>
          <w:bCs/>
          <w:sz w:val="18"/>
          <w:szCs w:val="18"/>
        </w:rPr>
        <w:t>b</w:t>
      </w:r>
      <w:r w:rsidRPr="00A57B6E">
        <w:rPr>
          <w:bCs/>
          <w:sz w:val="18"/>
          <w:szCs w:val="18"/>
        </w:rPr>
        <w:tab/>
        <w:t>Assumes EPA personnel attend 20 percent of the stack tests.</w:t>
      </w:r>
    </w:p>
    <w:p w:rsidR="00E254E2" w:rsidRPr="00A57B6E" w:rsidRDefault="00E254E2" w:rsidP="00E254E2">
      <w:pPr>
        <w:rPr>
          <w:bCs/>
          <w:sz w:val="18"/>
          <w:szCs w:val="18"/>
        </w:rPr>
      </w:pPr>
      <w:r w:rsidRPr="00A57B6E">
        <w:rPr>
          <w:bCs/>
          <w:sz w:val="18"/>
          <w:szCs w:val="18"/>
        </w:rPr>
        <w:t>c</w:t>
      </w:r>
      <w:r w:rsidRPr="00A57B6E">
        <w:rPr>
          <w:bCs/>
          <w:sz w:val="18"/>
          <w:szCs w:val="18"/>
        </w:rPr>
        <w:tab/>
        <w:t>Assume 10 percent of the facilities will exceed emissions.</w:t>
      </w:r>
    </w:p>
    <w:p w:rsidR="00E254E2" w:rsidRPr="00A57B6E" w:rsidRDefault="00E254E2" w:rsidP="00E254E2">
      <w:pPr>
        <w:rPr>
          <w:bCs/>
          <w:sz w:val="18"/>
          <w:szCs w:val="18"/>
        </w:rPr>
      </w:pPr>
      <w:r w:rsidRPr="00A57B6E">
        <w:rPr>
          <w:bCs/>
          <w:sz w:val="18"/>
          <w:szCs w:val="18"/>
        </w:rPr>
        <w:t>d</w:t>
      </w:r>
      <w:r w:rsidRPr="00A57B6E">
        <w:rPr>
          <w:bCs/>
          <w:sz w:val="18"/>
          <w:szCs w:val="18"/>
        </w:rPr>
        <w:tab/>
        <w:t>Only hours to review new requirements.</w:t>
      </w:r>
    </w:p>
    <w:p w:rsidR="00E254E2" w:rsidRDefault="00E254E2" w:rsidP="00E254E2">
      <w:pPr>
        <w:rPr>
          <w:bCs/>
          <w:sz w:val="18"/>
          <w:szCs w:val="18"/>
        </w:rPr>
      </w:pPr>
      <w:r w:rsidRPr="00A57B6E">
        <w:rPr>
          <w:bCs/>
          <w:sz w:val="18"/>
          <w:szCs w:val="18"/>
        </w:rPr>
        <w:t>e</w:t>
      </w:r>
      <w:r w:rsidRPr="00A57B6E">
        <w:rPr>
          <w:bCs/>
          <w:sz w:val="18"/>
          <w:szCs w:val="18"/>
        </w:rPr>
        <w:tab/>
        <w:t>Using four hours per state to write annual summary report.</w:t>
      </w:r>
    </w:p>
    <w:p w:rsidR="00E254E2" w:rsidRDefault="00E254E2" w:rsidP="00E254E2">
      <w:pPr>
        <w:rPr>
          <w:bCs/>
          <w:sz w:val="18"/>
          <w:szCs w:val="18"/>
        </w:rPr>
      </w:pPr>
    </w:p>
    <w:p w:rsidR="00E254E2" w:rsidRDefault="00E254E2" w:rsidP="00E254E2">
      <w:pPr>
        <w:jc w:val="center"/>
        <w:rPr>
          <w:bCs/>
          <w:sz w:val="18"/>
          <w:szCs w:val="18"/>
        </w:rPr>
      </w:pPr>
      <w:r>
        <w:rPr>
          <w:bCs/>
          <w:sz w:val="18"/>
          <w:szCs w:val="18"/>
        </w:rPr>
        <w:br w:type="page"/>
      </w:r>
    </w:p>
    <w:tbl>
      <w:tblPr>
        <w:tblW w:w="13378" w:type="dxa"/>
        <w:tblInd w:w="91" w:type="dxa"/>
        <w:tblLook w:val="04A0"/>
      </w:tblPr>
      <w:tblGrid>
        <w:gridCol w:w="350"/>
        <w:gridCol w:w="379"/>
        <w:gridCol w:w="353"/>
        <w:gridCol w:w="4622"/>
        <w:gridCol w:w="272"/>
        <w:gridCol w:w="1333"/>
        <w:gridCol w:w="1312"/>
        <w:gridCol w:w="1088"/>
        <w:gridCol w:w="1510"/>
        <w:gridCol w:w="950"/>
        <w:gridCol w:w="795"/>
        <w:gridCol w:w="423"/>
      </w:tblGrid>
      <w:tr w:rsidR="00E254E2" w:rsidRPr="00A57B6E" w:rsidTr="00E254E2">
        <w:trPr>
          <w:trHeight w:val="795"/>
        </w:trPr>
        <w:tc>
          <w:tcPr>
            <w:tcW w:w="13378" w:type="dxa"/>
            <w:gridSpan w:val="12"/>
            <w:tcBorders>
              <w:top w:val="nil"/>
              <w:left w:val="nil"/>
              <w:bottom w:val="single" w:sz="8" w:space="0" w:color="auto"/>
              <w:right w:val="nil"/>
            </w:tcBorders>
            <w:shd w:val="clear" w:color="000000" w:fill="FFFFFF"/>
            <w:vAlign w:val="bottom"/>
            <w:hideMark/>
          </w:tcPr>
          <w:p w:rsidR="00E254E2" w:rsidRPr="00A57B6E" w:rsidRDefault="00E254E2" w:rsidP="007E1564">
            <w:pPr>
              <w:jc w:val="center"/>
              <w:rPr>
                <w:rFonts w:ascii="Arial" w:hAnsi="Arial" w:cs="Arial"/>
                <w:b/>
                <w:bCs/>
              </w:rPr>
            </w:pPr>
            <w:r w:rsidRPr="00A57B6E">
              <w:rPr>
                <w:rFonts w:ascii="Arial" w:hAnsi="Arial" w:cs="Arial"/>
                <w:b/>
                <w:bCs/>
              </w:rPr>
              <w:t xml:space="preserve">Table 6 - Annual Designated Administrator Burden and Cost of Recordkeeping and Reporting Requirements for the Secondary Lead Smelters NESHAP  - Year </w:t>
            </w:r>
            <w:r w:rsidR="007E1564">
              <w:rPr>
                <w:rFonts w:ascii="Arial" w:hAnsi="Arial" w:cs="Arial"/>
                <w:b/>
                <w:bCs/>
              </w:rPr>
              <w:t>2</w:t>
            </w:r>
            <w:r w:rsidRPr="00A57B6E">
              <w:rPr>
                <w:rFonts w:ascii="Arial" w:hAnsi="Arial" w:cs="Arial"/>
                <w:b/>
                <w:bCs/>
              </w:rPr>
              <w:t xml:space="preserve">    </w:t>
            </w:r>
          </w:p>
        </w:tc>
      </w:tr>
      <w:tr w:rsidR="00E254E2" w:rsidRPr="00A57B6E" w:rsidTr="00E254E2">
        <w:trPr>
          <w:trHeight w:val="300"/>
        </w:trPr>
        <w:tc>
          <w:tcPr>
            <w:tcW w:w="350" w:type="dxa"/>
            <w:tcBorders>
              <w:top w:val="single" w:sz="8" w:space="0" w:color="auto"/>
              <w:left w:val="single" w:sz="8" w:space="0" w:color="auto"/>
              <w:bottom w:val="nil"/>
              <w:right w:val="nil"/>
            </w:tcBorders>
            <w:shd w:val="clear" w:color="auto" w:fill="D9D9D9" w:themeFill="background1" w:themeFillShade="D9"/>
            <w:noWrap/>
            <w:vAlign w:val="bottom"/>
            <w:hideMark/>
          </w:tcPr>
          <w:p w:rsidR="00E254E2" w:rsidRPr="00A57B6E" w:rsidRDefault="00E254E2" w:rsidP="00E254E2">
            <w:pPr>
              <w:rPr>
                <w:rFonts w:ascii="Arial" w:hAnsi="Arial" w:cs="Arial"/>
                <w:b/>
                <w:sz w:val="16"/>
                <w:szCs w:val="16"/>
              </w:rPr>
            </w:pPr>
            <w:r w:rsidRPr="00A57B6E">
              <w:rPr>
                <w:rFonts w:ascii="Arial" w:hAnsi="Arial" w:cs="Arial"/>
                <w:b/>
                <w:sz w:val="16"/>
                <w:szCs w:val="16"/>
              </w:rPr>
              <w:t> </w:t>
            </w:r>
          </w:p>
        </w:tc>
        <w:tc>
          <w:tcPr>
            <w:tcW w:w="379" w:type="dxa"/>
            <w:tcBorders>
              <w:top w:val="single" w:sz="8" w:space="0" w:color="auto"/>
              <w:left w:val="nil"/>
              <w:bottom w:val="nil"/>
              <w:right w:val="nil"/>
            </w:tcBorders>
            <w:shd w:val="clear" w:color="auto" w:fill="D9D9D9" w:themeFill="background1" w:themeFillShade="D9"/>
            <w:noWrap/>
            <w:vAlign w:val="bottom"/>
            <w:hideMark/>
          </w:tcPr>
          <w:p w:rsidR="00E254E2" w:rsidRPr="00A57B6E" w:rsidRDefault="00E254E2" w:rsidP="00E254E2">
            <w:pPr>
              <w:rPr>
                <w:rFonts w:ascii="Arial" w:hAnsi="Arial" w:cs="Arial"/>
                <w:b/>
                <w:sz w:val="16"/>
                <w:szCs w:val="16"/>
              </w:rPr>
            </w:pPr>
            <w:r w:rsidRPr="00A57B6E">
              <w:rPr>
                <w:rFonts w:ascii="Arial" w:hAnsi="Arial" w:cs="Arial"/>
                <w:b/>
                <w:sz w:val="16"/>
                <w:szCs w:val="16"/>
              </w:rPr>
              <w:t> </w:t>
            </w:r>
          </w:p>
        </w:tc>
        <w:tc>
          <w:tcPr>
            <w:tcW w:w="353" w:type="dxa"/>
            <w:tcBorders>
              <w:top w:val="single" w:sz="8" w:space="0" w:color="auto"/>
              <w:left w:val="nil"/>
              <w:bottom w:val="nil"/>
              <w:right w:val="nil"/>
            </w:tcBorders>
            <w:shd w:val="clear" w:color="auto" w:fill="D9D9D9" w:themeFill="background1" w:themeFillShade="D9"/>
            <w:noWrap/>
            <w:vAlign w:val="bottom"/>
            <w:hideMark/>
          </w:tcPr>
          <w:p w:rsidR="00E254E2" w:rsidRPr="00A57B6E" w:rsidRDefault="00E254E2" w:rsidP="00E254E2">
            <w:pPr>
              <w:rPr>
                <w:rFonts w:ascii="Arial" w:hAnsi="Arial" w:cs="Arial"/>
                <w:b/>
                <w:sz w:val="16"/>
                <w:szCs w:val="16"/>
              </w:rPr>
            </w:pPr>
            <w:r w:rsidRPr="00A57B6E">
              <w:rPr>
                <w:rFonts w:ascii="Arial" w:hAnsi="Arial" w:cs="Arial"/>
                <w:b/>
                <w:sz w:val="16"/>
                <w:szCs w:val="16"/>
              </w:rPr>
              <w:t> </w:t>
            </w:r>
          </w:p>
        </w:tc>
        <w:tc>
          <w:tcPr>
            <w:tcW w:w="4622" w:type="dxa"/>
            <w:tcBorders>
              <w:top w:val="single" w:sz="8" w:space="0" w:color="auto"/>
              <w:left w:val="nil"/>
              <w:bottom w:val="nil"/>
              <w:right w:val="nil"/>
            </w:tcBorders>
            <w:shd w:val="clear" w:color="auto" w:fill="D9D9D9" w:themeFill="background1" w:themeFillShade="D9"/>
            <w:noWrap/>
            <w:vAlign w:val="bottom"/>
            <w:hideMark/>
          </w:tcPr>
          <w:p w:rsidR="00E254E2" w:rsidRPr="00A57B6E" w:rsidRDefault="00E254E2" w:rsidP="00E254E2">
            <w:pPr>
              <w:rPr>
                <w:rFonts w:ascii="Arial" w:hAnsi="Arial" w:cs="Arial"/>
                <w:b/>
                <w:sz w:val="16"/>
                <w:szCs w:val="16"/>
              </w:rPr>
            </w:pPr>
            <w:r w:rsidRPr="00A57B6E">
              <w:rPr>
                <w:rFonts w:ascii="Arial" w:hAnsi="Arial" w:cs="Arial"/>
                <w:b/>
                <w:sz w:val="16"/>
                <w:szCs w:val="16"/>
              </w:rPr>
              <w:t> </w:t>
            </w:r>
          </w:p>
        </w:tc>
        <w:tc>
          <w:tcPr>
            <w:tcW w:w="272" w:type="dxa"/>
            <w:tcBorders>
              <w:top w:val="single" w:sz="8" w:space="0" w:color="auto"/>
              <w:left w:val="nil"/>
              <w:bottom w:val="nil"/>
              <w:right w:val="nil"/>
            </w:tcBorders>
            <w:shd w:val="clear" w:color="auto" w:fill="D9D9D9" w:themeFill="background1" w:themeFillShade="D9"/>
            <w:noWrap/>
            <w:vAlign w:val="bottom"/>
            <w:hideMark/>
          </w:tcPr>
          <w:p w:rsidR="00E254E2" w:rsidRPr="00A57B6E" w:rsidRDefault="00E254E2" w:rsidP="00E254E2">
            <w:pPr>
              <w:rPr>
                <w:rFonts w:ascii="Arial" w:hAnsi="Arial" w:cs="Arial"/>
                <w:b/>
                <w:sz w:val="16"/>
                <w:szCs w:val="16"/>
              </w:rPr>
            </w:pPr>
            <w:r w:rsidRPr="00A57B6E">
              <w:rPr>
                <w:rFonts w:ascii="Arial" w:hAnsi="Arial" w:cs="Arial"/>
                <w:b/>
                <w:sz w:val="16"/>
                <w:szCs w:val="16"/>
              </w:rPr>
              <w:t> </w:t>
            </w:r>
          </w:p>
        </w:tc>
        <w:tc>
          <w:tcPr>
            <w:tcW w:w="1333" w:type="dxa"/>
            <w:tcBorders>
              <w:top w:val="single" w:sz="8" w:space="0" w:color="auto"/>
              <w:left w:val="single" w:sz="4" w:space="0" w:color="000000"/>
              <w:bottom w:val="single" w:sz="4" w:space="0" w:color="auto"/>
              <w:right w:val="nil"/>
            </w:tcBorders>
            <w:shd w:val="clear" w:color="auto" w:fill="D9D9D9" w:themeFill="background1" w:themeFillShade="D9"/>
            <w:noWrap/>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(A)</w:t>
            </w:r>
          </w:p>
        </w:tc>
        <w:tc>
          <w:tcPr>
            <w:tcW w:w="1312" w:type="dxa"/>
            <w:tcBorders>
              <w:top w:val="single" w:sz="8" w:space="0" w:color="auto"/>
              <w:left w:val="single" w:sz="4" w:space="0" w:color="000000"/>
              <w:bottom w:val="single" w:sz="4" w:space="0" w:color="auto"/>
              <w:right w:val="single" w:sz="4" w:space="0" w:color="auto"/>
            </w:tcBorders>
            <w:shd w:val="clear" w:color="auto" w:fill="D9D9D9" w:themeFill="background1" w:themeFillShade="D9"/>
            <w:noWrap/>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(B)</w:t>
            </w:r>
          </w:p>
        </w:tc>
        <w:tc>
          <w:tcPr>
            <w:tcW w:w="1088"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(C)</w:t>
            </w:r>
          </w:p>
        </w:tc>
        <w:tc>
          <w:tcPr>
            <w:tcW w:w="1510"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(D)</w:t>
            </w:r>
          </w:p>
        </w:tc>
        <w:tc>
          <w:tcPr>
            <w:tcW w:w="941"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(E)</w:t>
            </w:r>
          </w:p>
        </w:tc>
        <w:tc>
          <w:tcPr>
            <w:tcW w:w="795"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(F)</w:t>
            </w:r>
          </w:p>
        </w:tc>
        <w:tc>
          <w:tcPr>
            <w:tcW w:w="423" w:type="dxa"/>
            <w:vMerge w:val="restart"/>
            <w:tcBorders>
              <w:top w:val="single" w:sz="8" w:space="0" w:color="auto"/>
              <w:left w:val="nil"/>
              <w:bottom w:val="double" w:sz="6" w:space="0" w:color="000000"/>
              <w:right w:val="single" w:sz="8" w:space="0" w:color="auto"/>
            </w:tcBorders>
            <w:shd w:val="clear" w:color="auto" w:fill="D9D9D9" w:themeFill="background1" w:themeFillShade="D9"/>
            <w:textDirection w:val="btLr"/>
            <w:vAlign w:val="bottom"/>
            <w:hideMark/>
          </w:tcPr>
          <w:p w:rsidR="00E254E2" w:rsidRPr="00A57B6E" w:rsidRDefault="00E254E2" w:rsidP="00E254E2">
            <w:pPr>
              <w:jc w:val="center"/>
              <w:rPr>
                <w:rFonts w:ascii="Calibri" w:hAnsi="Calibri" w:cs="Calibri"/>
                <w:b/>
                <w:sz w:val="16"/>
                <w:szCs w:val="16"/>
              </w:rPr>
            </w:pPr>
            <w:r w:rsidRPr="00A57B6E">
              <w:rPr>
                <w:rFonts w:ascii="Calibri" w:hAnsi="Calibri" w:cs="Calibri"/>
                <w:b/>
                <w:sz w:val="16"/>
                <w:szCs w:val="16"/>
              </w:rPr>
              <w:t>Footnotes</w:t>
            </w:r>
          </w:p>
        </w:tc>
      </w:tr>
      <w:tr w:rsidR="00E254E2" w:rsidRPr="00A57B6E" w:rsidTr="00E254E2">
        <w:trPr>
          <w:trHeight w:val="705"/>
        </w:trPr>
        <w:tc>
          <w:tcPr>
            <w:tcW w:w="5976" w:type="dxa"/>
            <w:gridSpan w:val="5"/>
            <w:tcBorders>
              <w:top w:val="nil"/>
              <w:left w:val="single" w:sz="8" w:space="0" w:color="auto"/>
              <w:bottom w:val="double" w:sz="6" w:space="0" w:color="auto"/>
              <w:right w:val="single" w:sz="4" w:space="0" w:color="000000"/>
            </w:tcBorders>
            <w:shd w:val="clear" w:color="auto" w:fill="D9D9D9" w:themeFill="background1" w:themeFillShade="D9"/>
            <w:noWrap/>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Burden Item</w:t>
            </w:r>
          </w:p>
        </w:tc>
        <w:tc>
          <w:tcPr>
            <w:tcW w:w="1333" w:type="dxa"/>
            <w:tcBorders>
              <w:top w:val="nil"/>
              <w:left w:val="nil"/>
              <w:bottom w:val="double" w:sz="6" w:space="0" w:color="auto"/>
              <w:right w:val="nil"/>
            </w:tcBorders>
            <w:shd w:val="clear" w:color="auto" w:fill="D9D9D9" w:themeFill="background1" w:themeFillShade="D9"/>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Number of Occurrences Per Year</w:t>
            </w:r>
          </w:p>
        </w:tc>
        <w:tc>
          <w:tcPr>
            <w:tcW w:w="1312" w:type="dxa"/>
            <w:tcBorders>
              <w:top w:val="nil"/>
              <w:left w:val="single" w:sz="4" w:space="0" w:color="000000"/>
              <w:bottom w:val="double" w:sz="6" w:space="0" w:color="auto"/>
              <w:right w:val="single" w:sz="4" w:space="0" w:color="auto"/>
            </w:tcBorders>
            <w:shd w:val="clear" w:color="auto" w:fill="D9D9D9" w:themeFill="background1" w:themeFillShade="D9"/>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EPA Hours Per Occurrence</w:t>
            </w:r>
          </w:p>
        </w:tc>
        <w:tc>
          <w:tcPr>
            <w:tcW w:w="1088" w:type="dxa"/>
            <w:tcBorders>
              <w:top w:val="nil"/>
              <w:left w:val="nil"/>
              <w:bottom w:val="double" w:sz="6" w:space="0" w:color="auto"/>
              <w:right w:val="single" w:sz="4" w:space="0" w:color="auto"/>
            </w:tcBorders>
            <w:shd w:val="clear" w:color="auto" w:fill="D9D9D9" w:themeFill="background1" w:themeFillShade="D9"/>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Tech Hours Per Year (C=AxB)</w:t>
            </w:r>
          </w:p>
        </w:tc>
        <w:tc>
          <w:tcPr>
            <w:tcW w:w="1510" w:type="dxa"/>
            <w:tcBorders>
              <w:top w:val="nil"/>
              <w:left w:val="nil"/>
              <w:bottom w:val="double" w:sz="6" w:space="0" w:color="auto"/>
              <w:right w:val="single" w:sz="4" w:space="0" w:color="auto"/>
            </w:tcBorders>
            <w:shd w:val="clear" w:color="auto" w:fill="D9D9D9" w:themeFill="background1" w:themeFillShade="D9"/>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Management Hours Per Year (D=Cx0.05)</w:t>
            </w:r>
          </w:p>
        </w:tc>
        <w:tc>
          <w:tcPr>
            <w:tcW w:w="941" w:type="dxa"/>
            <w:tcBorders>
              <w:top w:val="nil"/>
              <w:left w:val="nil"/>
              <w:bottom w:val="double" w:sz="6" w:space="0" w:color="auto"/>
              <w:right w:val="single" w:sz="4" w:space="0" w:color="auto"/>
            </w:tcBorders>
            <w:shd w:val="clear" w:color="auto" w:fill="D9D9D9" w:themeFill="background1" w:themeFillShade="D9"/>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Clerical Hours Per Year (E=Cx0.1)</w:t>
            </w:r>
          </w:p>
        </w:tc>
        <w:tc>
          <w:tcPr>
            <w:tcW w:w="795" w:type="dxa"/>
            <w:tcBorders>
              <w:top w:val="nil"/>
              <w:left w:val="nil"/>
              <w:bottom w:val="double" w:sz="6" w:space="0" w:color="auto"/>
              <w:right w:val="single" w:sz="4" w:space="0" w:color="auto"/>
            </w:tcBorders>
            <w:shd w:val="clear" w:color="auto" w:fill="D9D9D9" w:themeFill="background1" w:themeFillShade="D9"/>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EPA Cost Per Year (a,b)</w:t>
            </w:r>
          </w:p>
        </w:tc>
        <w:tc>
          <w:tcPr>
            <w:tcW w:w="423" w:type="dxa"/>
            <w:vMerge/>
            <w:tcBorders>
              <w:top w:val="single" w:sz="8" w:space="0" w:color="auto"/>
              <w:left w:val="nil"/>
              <w:bottom w:val="double" w:sz="6" w:space="0" w:color="000000"/>
              <w:right w:val="single" w:sz="8" w:space="0" w:color="auto"/>
            </w:tcBorders>
            <w:shd w:val="clear" w:color="auto" w:fill="D9D9D9" w:themeFill="background1" w:themeFillShade="D9"/>
            <w:vAlign w:val="center"/>
            <w:hideMark/>
          </w:tcPr>
          <w:p w:rsidR="00E254E2" w:rsidRPr="00A57B6E" w:rsidRDefault="00E254E2" w:rsidP="00E254E2">
            <w:pPr>
              <w:rPr>
                <w:rFonts w:ascii="Calibri" w:hAnsi="Calibri" w:cs="Calibri"/>
                <w:b/>
                <w:sz w:val="16"/>
                <w:szCs w:val="16"/>
              </w:rPr>
            </w:pPr>
          </w:p>
        </w:tc>
      </w:tr>
      <w:tr w:rsidR="00E254E2" w:rsidRPr="00A57B6E" w:rsidTr="00E254E2">
        <w:trPr>
          <w:trHeight w:val="240"/>
        </w:trPr>
        <w:tc>
          <w:tcPr>
            <w:tcW w:w="350" w:type="dxa"/>
            <w:tcBorders>
              <w:top w:val="nil"/>
              <w:left w:val="single" w:sz="8" w:space="0" w:color="auto"/>
              <w:bottom w:val="single" w:sz="4" w:space="0" w:color="000000"/>
              <w:right w:val="nil"/>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1.</w:t>
            </w:r>
          </w:p>
        </w:tc>
        <w:tc>
          <w:tcPr>
            <w:tcW w:w="5354" w:type="dxa"/>
            <w:gridSpan w:val="3"/>
            <w:tcBorders>
              <w:top w:val="nil"/>
              <w:left w:val="nil"/>
              <w:bottom w:val="single" w:sz="4" w:space="0" w:color="000000"/>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Applications</w:t>
            </w:r>
          </w:p>
        </w:tc>
        <w:tc>
          <w:tcPr>
            <w:tcW w:w="272" w:type="dxa"/>
            <w:tcBorders>
              <w:top w:val="nil"/>
              <w:left w:val="nil"/>
              <w:bottom w:val="single" w:sz="4" w:space="0" w:color="000000"/>
              <w:right w:val="single" w:sz="4" w:space="0" w:color="000000"/>
            </w:tcBorders>
            <w:shd w:val="clear" w:color="000000" w:fill="FFFFFF"/>
            <w:noWrap/>
            <w:vAlign w:val="bottom"/>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7402" w:type="dxa"/>
            <w:gridSpan w:val="7"/>
            <w:tcBorders>
              <w:top w:val="nil"/>
              <w:left w:val="nil"/>
              <w:bottom w:val="single" w:sz="4" w:space="0" w:color="auto"/>
              <w:right w:val="single" w:sz="8" w:space="0" w:color="000000"/>
            </w:tcBorders>
            <w:shd w:val="clear" w:color="000000" w:fill="FFFFFF"/>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not applicable</w:t>
            </w:r>
          </w:p>
        </w:tc>
      </w:tr>
      <w:tr w:rsidR="00E254E2" w:rsidRPr="00A57B6E" w:rsidTr="00E254E2">
        <w:trPr>
          <w:trHeight w:val="240"/>
        </w:trPr>
        <w:tc>
          <w:tcPr>
            <w:tcW w:w="350" w:type="dxa"/>
            <w:tcBorders>
              <w:top w:val="nil"/>
              <w:left w:val="single" w:sz="8" w:space="0" w:color="auto"/>
              <w:bottom w:val="nil"/>
              <w:right w:val="nil"/>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2.</w:t>
            </w:r>
          </w:p>
        </w:tc>
        <w:tc>
          <w:tcPr>
            <w:tcW w:w="5354" w:type="dxa"/>
            <w:gridSpan w:val="3"/>
            <w:tcBorders>
              <w:top w:val="nil"/>
              <w:left w:val="nil"/>
              <w:bottom w:val="nil"/>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Read and Understand Rule Requirements</w:t>
            </w:r>
          </w:p>
        </w:tc>
        <w:tc>
          <w:tcPr>
            <w:tcW w:w="272" w:type="dxa"/>
            <w:tcBorders>
              <w:top w:val="nil"/>
              <w:left w:val="nil"/>
              <w:bottom w:val="nil"/>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1333" w:type="dxa"/>
            <w:tcBorders>
              <w:top w:val="nil"/>
              <w:left w:val="single" w:sz="4" w:space="0" w:color="000000"/>
              <w:bottom w:val="single" w:sz="4" w:space="0" w:color="000000"/>
              <w:right w:val="single" w:sz="4"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0 </w:t>
            </w:r>
          </w:p>
        </w:tc>
        <w:tc>
          <w:tcPr>
            <w:tcW w:w="1312"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40</w:t>
            </w:r>
          </w:p>
        </w:tc>
        <w:tc>
          <w:tcPr>
            <w:tcW w:w="1088"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0</w:t>
            </w:r>
          </w:p>
        </w:tc>
        <w:tc>
          <w:tcPr>
            <w:tcW w:w="1510"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0</w:t>
            </w:r>
          </w:p>
        </w:tc>
        <w:tc>
          <w:tcPr>
            <w:tcW w:w="941"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0</w:t>
            </w:r>
          </w:p>
        </w:tc>
        <w:tc>
          <w:tcPr>
            <w:tcW w:w="795"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$0 </w:t>
            </w:r>
          </w:p>
        </w:tc>
        <w:tc>
          <w:tcPr>
            <w:tcW w:w="423" w:type="dxa"/>
            <w:tcBorders>
              <w:top w:val="nil"/>
              <w:left w:val="nil"/>
              <w:bottom w:val="single" w:sz="4" w:space="0" w:color="auto"/>
              <w:right w:val="single" w:sz="8"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a</w:t>
            </w:r>
          </w:p>
        </w:tc>
      </w:tr>
      <w:tr w:rsidR="00E254E2" w:rsidRPr="00A57B6E" w:rsidTr="00E254E2">
        <w:trPr>
          <w:trHeight w:val="240"/>
        </w:trPr>
        <w:tc>
          <w:tcPr>
            <w:tcW w:w="350" w:type="dxa"/>
            <w:tcBorders>
              <w:top w:val="single" w:sz="4" w:space="0" w:color="auto"/>
              <w:left w:val="single" w:sz="8" w:space="0" w:color="auto"/>
              <w:bottom w:val="single" w:sz="4" w:space="0" w:color="auto"/>
              <w:right w:val="nil"/>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3.</w:t>
            </w:r>
          </w:p>
        </w:tc>
        <w:tc>
          <w:tcPr>
            <w:tcW w:w="5354" w:type="dxa"/>
            <w:gridSpan w:val="3"/>
            <w:tcBorders>
              <w:top w:val="single" w:sz="4" w:space="0" w:color="auto"/>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Required Activities</w:t>
            </w:r>
          </w:p>
        </w:tc>
        <w:tc>
          <w:tcPr>
            <w:tcW w:w="272" w:type="dxa"/>
            <w:tcBorders>
              <w:top w:val="single" w:sz="4" w:space="0" w:color="auto"/>
              <w:left w:val="nil"/>
              <w:bottom w:val="single" w:sz="4" w:space="0" w:color="auto"/>
              <w:right w:val="single" w:sz="4" w:space="0" w:color="000000"/>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7402" w:type="dxa"/>
            <w:gridSpan w:val="7"/>
            <w:tcBorders>
              <w:top w:val="single" w:sz="4" w:space="0" w:color="auto"/>
              <w:left w:val="nil"/>
              <w:bottom w:val="single" w:sz="4" w:space="0" w:color="auto"/>
              <w:right w:val="single" w:sz="8"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w:t>
            </w:r>
          </w:p>
        </w:tc>
      </w:tr>
      <w:tr w:rsidR="00E254E2" w:rsidRPr="00A57B6E" w:rsidTr="00E254E2">
        <w:trPr>
          <w:trHeight w:val="240"/>
        </w:trPr>
        <w:tc>
          <w:tcPr>
            <w:tcW w:w="350" w:type="dxa"/>
            <w:tcBorders>
              <w:top w:val="nil"/>
              <w:left w:val="single" w:sz="8" w:space="0" w:color="auto"/>
              <w:bottom w:val="nil"/>
              <w:right w:val="nil"/>
            </w:tcBorders>
            <w:shd w:val="clear" w:color="000000" w:fill="FFFFFF"/>
            <w:noWrap/>
            <w:vAlign w:val="center"/>
            <w:hideMark/>
          </w:tcPr>
          <w:p w:rsidR="00E254E2" w:rsidRPr="00A57B6E" w:rsidRDefault="00E254E2" w:rsidP="00E254E2">
            <w:pPr>
              <w:rPr>
                <w:rFonts w:ascii="Arial" w:hAnsi="Arial" w:cs="Arial"/>
                <w:color w:val="0000FF"/>
                <w:sz w:val="16"/>
                <w:szCs w:val="16"/>
              </w:rPr>
            </w:pPr>
            <w:r w:rsidRPr="00A57B6E">
              <w:rPr>
                <w:rFonts w:ascii="Arial" w:hAnsi="Arial" w:cs="Arial"/>
                <w:color w:val="0000FF"/>
                <w:sz w:val="16"/>
                <w:szCs w:val="16"/>
              </w:rPr>
              <w:t> </w:t>
            </w:r>
          </w:p>
        </w:tc>
        <w:tc>
          <w:tcPr>
            <w:tcW w:w="379" w:type="dxa"/>
            <w:tcBorders>
              <w:top w:val="nil"/>
              <w:left w:val="nil"/>
              <w:bottom w:val="nil"/>
              <w:right w:val="nil"/>
            </w:tcBorders>
            <w:shd w:val="clear" w:color="000000" w:fill="FFFFFF"/>
            <w:noWrap/>
            <w:vAlign w:val="center"/>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A.</w:t>
            </w:r>
          </w:p>
        </w:tc>
        <w:tc>
          <w:tcPr>
            <w:tcW w:w="5247" w:type="dxa"/>
            <w:gridSpan w:val="3"/>
            <w:tcBorders>
              <w:top w:val="nil"/>
              <w:left w:val="nil"/>
              <w:bottom w:val="single" w:sz="4" w:space="0" w:color="000000"/>
              <w:right w:val="single" w:sz="4" w:space="0" w:color="000000"/>
            </w:tcBorders>
            <w:shd w:val="clear" w:color="000000" w:fill="FFFFFF"/>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Observe stack tests</w:t>
            </w:r>
          </w:p>
        </w:tc>
        <w:tc>
          <w:tcPr>
            <w:tcW w:w="1333" w:type="dxa"/>
            <w:tcBorders>
              <w:top w:val="nil"/>
              <w:left w:val="nil"/>
              <w:bottom w:val="nil"/>
              <w:right w:val="single" w:sz="4"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7 </w:t>
            </w:r>
          </w:p>
        </w:tc>
        <w:tc>
          <w:tcPr>
            <w:tcW w:w="1312" w:type="dxa"/>
            <w:tcBorders>
              <w:top w:val="nil"/>
              <w:left w:val="nil"/>
              <w:bottom w:val="nil"/>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48 </w:t>
            </w:r>
          </w:p>
        </w:tc>
        <w:tc>
          <w:tcPr>
            <w:tcW w:w="1088" w:type="dxa"/>
            <w:tcBorders>
              <w:top w:val="nil"/>
              <w:left w:val="nil"/>
              <w:bottom w:val="nil"/>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336</w:t>
            </w:r>
          </w:p>
        </w:tc>
        <w:tc>
          <w:tcPr>
            <w:tcW w:w="1510" w:type="dxa"/>
            <w:tcBorders>
              <w:top w:val="nil"/>
              <w:left w:val="nil"/>
              <w:bottom w:val="nil"/>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17</w:t>
            </w:r>
          </w:p>
        </w:tc>
        <w:tc>
          <w:tcPr>
            <w:tcW w:w="941" w:type="dxa"/>
            <w:tcBorders>
              <w:top w:val="nil"/>
              <w:left w:val="nil"/>
              <w:bottom w:val="nil"/>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34</w:t>
            </w:r>
          </w:p>
        </w:tc>
        <w:tc>
          <w:tcPr>
            <w:tcW w:w="795"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$17,412 </w:t>
            </w:r>
          </w:p>
        </w:tc>
        <w:tc>
          <w:tcPr>
            <w:tcW w:w="423" w:type="dxa"/>
            <w:tcBorders>
              <w:top w:val="nil"/>
              <w:left w:val="nil"/>
              <w:bottom w:val="single" w:sz="4" w:space="0" w:color="auto"/>
              <w:right w:val="single" w:sz="8"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b</w:t>
            </w:r>
          </w:p>
        </w:tc>
      </w:tr>
      <w:tr w:rsidR="00E254E2" w:rsidRPr="00A57B6E" w:rsidTr="00E254E2">
        <w:trPr>
          <w:trHeight w:val="240"/>
        </w:trPr>
        <w:tc>
          <w:tcPr>
            <w:tcW w:w="350" w:type="dxa"/>
            <w:tcBorders>
              <w:top w:val="single" w:sz="4" w:space="0" w:color="000000"/>
              <w:left w:val="single" w:sz="8" w:space="0" w:color="auto"/>
              <w:bottom w:val="single" w:sz="4" w:space="0" w:color="000000"/>
              <w:right w:val="nil"/>
            </w:tcBorders>
            <w:shd w:val="clear" w:color="000000" w:fill="FFFFFF"/>
            <w:noWrap/>
            <w:vAlign w:val="center"/>
            <w:hideMark/>
          </w:tcPr>
          <w:p w:rsidR="00E254E2" w:rsidRPr="00A57B6E" w:rsidRDefault="00E254E2" w:rsidP="00E254E2">
            <w:pPr>
              <w:rPr>
                <w:rFonts w:ascii="Arial" w:hAnsi="Arial" w:cs="Arial"/>
                <w:color w:val="0000FF"/>
                <w:sz w:val="16"/>
                <w:szCs w:val="16"/>
              </w:rPr>
            </w:pPr>
            <w:r w:rsidRPr="00A57B6E">
              <w:rPr>
                <w:rFonts w:ascii="Arial" w:hAnsi="Arial" w:cs="Arial"/>
                <w:color w:val="0000FF"/>
                <w:sz w:val="16"/>
                <w:szCs w:val="16"/>
              </w:rPr>
              <w:t> </w:t>
            </w:r>
          </w:p>
        </w:tc>
        <w:tc>
          <w:tcPr>
            <w:tcW w:w="379" w:type="dxa"/>
            <w:tcBorders>
              <w:top w:val="single" w:sz="4" w:space="0" w:color="000000"/>
              <w:left w:val="nil"/>
              <w:bottom w:val="single" w:sz="4" w:space="0" w:color="000000"/>
              <w:right w:val="nil"/>
            </w:tcBorders>
            <w:shd w:val="clear" w:color="000000" w:fill="FFFFFF"/>
            <w:noWrap/>
            <w:vAlign w:val="center"/>
            <w:hideMark/>
          </w:tcPr>
          <w:p w:rsidR="00E254E2" w:rsidRPr="00A57B6E" w:rsidRDefault="00E254E2" w:rsidP="00E254E2">
            <w:pPr>
              <w:jc w:val="right"/>
              <w:rPr>
                <w:rFonts w:ascii="Arial" w:hAnsi="Arial" w:cs="Arial"/>
                <w:color w:val="000000"/>
                <w:sz w:val="16"/>
                <w:szCs w:val="16"/>
              </w:rPr>
            </w:pPr>
            <w:r w:rsidRPr="00A57B6E">
              <w:rPr>
                <w:rFonts w:ascii="Arial" w:hAnsi="Arial" w:cs="Arial"/>
                <w:color w:val="000000"/>
                <w:sz w:val="16"/>
                <w:szCs w:val="16"/>
              </w:rPr>
              <w:t>B.</w:t>
            </w:r>
          </w:p>
        </w:tc>
        <w:tc>
          <w:tcPr>
            <w:tcW w:w="4975" w:type="dxa"/>
            <w:gridSpan w:val="2"/>
            <w:tcBorders>
              <w:top w:val="single" w:sz="4" w:space="0" w:color="000000"/>
              <w:left w:val="nil"/>
              <w:bottom w:val="single" w:sz="4" w:space="0" w:color="000000"/>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Excess emissions -- Enforcement Activities</w:t>
            </w:r>
          </w:p>
        </w:tc>
        <w:tc>
          <w:tcPr>
            <w:tcW w:w="272" w:type="dxa"/>
            <w:tcBorders>
              <w:top w:val="nil"/>
              <w:left w:val="nil"/>
              <w:bottom w:val="single" w:sz="4" w:space="0" w:color="000000"/>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3 </w:t>
            </w:r>
          </w:p>
        </w:tc>
        <w:tc>
          <w:tcPr>
            <w:tcW w:w="1312" w:type="dxa"/>
            <w:tcBorders>
              <w:top w:val="single" w:sz="4" w:space="0" w:color="000000"/>
              <w:left w:val="nil"/>
              <w:bottom w:val="nil"/>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24 </w:t>
            </w:r>
          </w:p>
        </w:tc>
        <w:tc>
          <w:tcPr>
            <w:tcW w:w="1088" w:type="dxa"/>
            <w:tcBorders>
              <w:top w:val="single" w:sz="4" w:space="0" w:color="000000"/>
              <w:left w:val="nil"/>
              <w:bottom w:val="nil"/>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72</w:t>
            </w:r>
          </w:p>
        </w:tc>
        <w:tc>
          <w:tcPr>
            <w:tcW w:w="1510" w:type="dxa"/>
            <w:tcBorders>
              <w:top w:val="single" w:sz="4" w:space="0" w:color="000000"/>
              <w:left w:val="nil"/>
              <w:bottom w:val="nil"/>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4</w:t>
            </w:r>
          </w:p>
        </w:tc>
        <w:tc>
          <w:tcPr>
            <w:tcW w:w="941" w:type="dxa"/>
            <w:tcBorders>
              <w:top w:val="single" w:sz="4" w:space="0" w:color="000000"/>
              <w:left w:val="nil"/>
              <w:bottom w:val="nil"/>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7</w:t>
            </w:r>
          </w:p>
        </w:tc>
        <w:tc>
          <w:tcPr>
            <w:tcW w:w="795"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$3,731 </w:t>
            </w:r>
          </w:p>
        </w:tc>
        <w:tc>
          <w:tcPr>
            <w:tcW w:w="423" w:type="dxa"/>
            <w:tcBorders>
              <w:top w:val="nil"/>
              <w:left w:val="nil"/>
              <w:bottom w:val="single" w:sz="4" w:space="0" w:color="auto"/>
              <w:right w:val="single" w:sz="8"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c</w:t>
            </w:r>
          </w:p>
        </w:tc>
      </w:tr>
      <w:tr w:rsidR="00E254E2" w:rsidRPr="00A57B6E" w:rsidTr="00E254E2">
        <w:trPr>
          <w:trHeight w:val="240"/>
        </w:trPr>
        <w:tc>
          <w:tcPr>
            <w:tcW w:w="350" w:type="dxa"/>
            <w:tcBorders>
              <w:top w:val="nil"/>
              <w:left w:val="single" w:sz="8" w:space="0" w:color="auto"/>
              <w:bottom w:val="single" w:sz="4" w:space="0" w:color="000000"/>
              <w:right w:val="nil"/>
            </w:tcBorders>
            <w:shd w:val="clear" w:color="000000" w:fill="FFFFFF"/>
            <w:noWrap/>
            <w:vAlign w:val="center"/>
            <w:hideMark/>
          </w:tcPr>
          <w:p w:rsidR="00E254E2" w:rsidRPr="00A57B6E" w:rsidRDefault="00E254E2" w:rsidP="00E254E2">
            <w:pPr>
              <w:rPr>
                <w:rFonts w:ascii="Arial" w:hAnsi="Arial" w:cs="Arial"/>
                <w:color w:val="0000FF"/>
                <w:sz w:val="16"/>
                <w:szCs w:val="16"/>
              </w:rPr>
            </w:pPr>
            <w:r w:rsidRPr="00A57B6E">
              <w:rPr>
                <w:rFonts w:ascii="Arial" w:hAnsi="Arial" w:cs="Arial"/>
                <w:color w:val="0000FF"/>
                <w:sz w:val="16"/>
                <w:szCs w:val="16"/>
              </w:rPr>
              <w:t> </w:t>
            </w:r>
          </w:p>
        </w:tc>
        <w:tc>
          <w:tcPr>
            <w:tcW w:w="379" w:type="dxa"/>
            <w:tcBorders>
              <w:top w:val="nil"/>
              <w:left w:val="nil"/>
              <w:bottom w:val="single" w:sz="4" w:space="0" w:color="000000"/>
              <w:right w:val="nil"/>
            </w:tcBorders>
            <w:shd w:val="clear" w:color="000000" w:fill="FFFFFF"/>
            <w:noWrap/>
            <w:vAlign w:val="center"/>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C.</w:t>
            </w:r>
          </w:p>
        </w:tc>
        <w:tc>
          <w:tcPr>
            <w:tcW w:w="4975" w:type="dxa"/>
            <w:gridSpan w:val="2"/>
            <w:tcBorders>
              <w:top w:val="nil"/>
              <w:left w:val="nil"/>
              <w:bottom w:val="single" w:sz="4" w:space="0" w:color="000000"/>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Create Information</w:t>
            </w:r>
          </w:p>
        </w:tc>
        <w:tc>
          <w:tcPr>
            <w:tcW w:w="272" w:type="dxa"/>
            <w:tcBorders>
              <w:top w:val="nil"/>
              <w:left w:val="nil"/>
              <w:bottom w:val="single" w:sz="4" w:space="0" w:color="000000"/>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7402" w:type="dxa"/>
            <w:gridSpan w:val="7"/>
            <w:tcBorders>
              <w:top w:val="single" w:sz="4" w:space="0" w:color="auto"/>
              <w:left w:val="single" w:sz="4" w:space="0" w:color="000000"/>
              <w:bottom w:val="single" w:sz="4" w:space="0" w:color="auto"/>
              <w:right w:val="single" w:sz="8"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not applicable</w:t>
            </w:r>
          </w:p>
        </w:tc>
      </w:tr>
      <w:tr w:rsidR="00E254E2" w:rsidRPr="00A57B6E" w:rsidTr="00E254E2">
        <w:trPr>
          <w:trHeight w:val="240"/>
        </w:trPr>
        <w:tc>
          <w:tcPr>
            <w:tcW w:w="350" w:type="dxa"/>
            <w:tcBorders>
              <w:top w:val="nil"/>
              <w:left w:val="single" w:sz="8" w:space="0" w:color="auto"/>
              <w:bottom w:val="nil"/>
              <w:right w:val="nil"/>
            </w:tcBorders>
            <w:shd w:val="clear" w:color="000000" w:fill="FFFFFF"/>
            <w:noWrap/>
            <w:vAlign w:val="center"/>
            <w:hideMark/>
          </w:tcPr>
          <w:p w:rsidR="00E254E2" w:rsidRPr="00A57B6E" w:rsidRDefault="00E254E2" w:rsidP="00E254E2">
            <w:pPr>
              <w:rPr>
                <w:rFonts w:ascii="Arial" w:hAnsi="Arial" w:cs="Arial"/>
                <w:color w:val="0000FF"/>
                <w:sz w:val="16"/>
                <w:szCs w:val="16"/>
              </w:rPr>
            </w:pPr>
            <w:r w:rsidRPr="00A57B6E">
              <w:rPr>
                <w:rFonts w:ascii="Arial" w:hAnsi="Arial" w:cs="Arial"/>
                <w:color w:val="0000FF"/>
                <w:sz w:val="16"/>
                <w:szCs w:val="16"/>
              </w:rPr>
              <w:t> </w:t>
            </w:r>
          </w:p>
        </w:tc>
        <w:tc>
          <w:tcPr>
            <w:tcW w:w="379" w:type="dxa"/>
            <w:tcBorders>
              <w:top w:val="nil"/>
              <w:left w:val="nil"/>
              <w:bottom w:val="nil"/>
              <w:right w:val="nil"/>
            </w:tcBorders>
            <w:shd w:val="clear" w:color="000000" w:fill="FFFFFF"/>
            <w:noWrap/>
            <w:vAlign w:val="center"/>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D.</w:t>
            </w:r>
          </w:p>
        </w:tc>
        <w:tc>
          <w:tcPr>
            <w:tcW w:w="4975" w:type="dxa"/>
            <w:gridSpan w:val="2"/>
            <w:tcBorders>
              <w:top w:val="single" w:sz="4" w:space="0" w:color="000000"/>
              <w:left w:val="nil"/>
              <w:bottom w:val="nil"/>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Gather Information</w:t>
            </w:r>
          </w:p>
        </w:tc>
        <w:tc>
          <w:tcPr>
            <w:tcW w:w="272" w:type="dxa"/>
            <w:tcBorders>
              <w:top w:val="nil"/>
              <w:left w:val="nil"/>
              <w:bottom w:val="nil"/>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7402" w:type="dxa"/>
            <w:gridSpan w:val="7"/>
            <w:tcBorders>
              <w:top w:val="single" w:sz="4" w:space="0" w:color="auto"/>
              <w:left w:val="single" w:sz="4" w:space="0" w:color="000000"/>
              <w:bottom w:val="nil"/>
              <w:right w:val="single" w:sz="8"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not applicable</w:t>
            </w:r>
          </w:p>
        </w:tc>
      </w:tr>
      <w:tr w:rsidR="00E254E2" w:rsidRPr="00A57B6E" w:rsidTr="00E254E2">
        <w:trPr>
          <w:trHeight w:val="240"/>
        </w:trPr>
        <w:tc>
          <w:tcPr>
            <w:tcW w:w="350" w:type="dxa"/>
            <w:tcBorders>
              <w:top w:val="single" w:sz="4" w:space="0" w:color="auto"/>
              <w:left w:val="single" w:sz="8" w:space="0" w:color="auto"/>
              <w:bottom w:val="single" w:sz="4" w:space="0" w:color="auto"/>
              <w:right w:val="nil"/>
            </w:tcBorders>
            <w:shd w:val="clear" w:color="000000" w:fill="FFFFFF"/>
            <w:noWrap/>
            <w:vAlign w:val="center"/>
            <w:hideMark/>
          </w:tcPr>
          <w:p w:rsidR="00E254E2" w:rsidRPr="00A57B6E" w:rsidRDefault="00E254E2" w:rsidP="00E254E2">
            <w:pPr>
              <w:rPr>
                <w:rFonts w:ascii="Arial" w:hAnsi="Arial" w:cs="Arial"/>
                <w:color w:val="0000FF"/>
                <w:sz w:val="16"/>
                <w:szCs w:val="16"/>
              </w:rPr>
            </w:pPr>
            <w:r w:rsidRPr="00A57B6E">
              <w:rPr>
                <w:rFonts w:ascii="Arial" w:hAnsi="Arial" w:cs="Arial"/>
                <w:color w:val="0000FF"/>
                <w:sz w:val="16"/>
                <w:szCs w:val="16"/>
              </w:rPr>
              <w:t> </w:t>
            </w:r>
          </w:p>
        </w:tc>
        <w:tc>
          <w:tcPr>
            <w:tcW w:w="379" w:type="dxa"/>
            <w:tcBorders>
              <w:top w:val="single" w:sz="4" w:space="0" w:color="auto"/>
              <w:left w:val="nil"/>
              <w:bottom w:val="single" w:sz="4" w:space="0" w:color="auto"/>
              <w:right w:val="nil"/>
            </w:tcBorders>
            <w:shd w:val="clear" w:color="000000" w:fill="FFFFFF"/>
            <w:noWrap/>
            <w:vAlign w:val="center"/>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E.</w:t>
            </w:r>
          </w:p>
        </w:tc>
        <w:tc>
          <w:tcPr>
            <w:tcW w:w="4975" w:type="dxa"/>
            <w:gridSpan w:val="2"/>
            <w:tcBorders>
              <w:top w:val="single" w:sz="4" w:space="0" w:color="auto"/>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Report Reviews</w:t>
            </w:r>
          </w:p>
        </w:tc>
        <w:tc>
          <w:tcPr>
            <w:tcW w:w="272" w:type="dxa"/>
            <w:tcBorders>
              <w:top w:val="single" w:sz="4" w:space="0" w:color="auto"/>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7402" w:type="dxa"/>
            <w:gridSpan w:val="7"/>
            <w:tcBorders>
              <w:top w:val="single" w:sz="4" w:space="0" w:color="auto"/>
              <w:left w:val="single" w:sz="4" w:space="0" w:color="000000"/>
              <w:bottom w:val="single" w:sz="4" w:space="0" w:color="auto"/>
              <w:right w:val="single" w:sz="8"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w:t>
            </w:r>
          </w:p>
        </w:tc>
      </w:tr>
      <w:tr w:rsidR="00E254E2" w:rsidRPr="00A57B6E" w:rsidTr="00E254E2">
        <w:trPr>
          <w:trHeight w:val="240"/>
        </w:trPr>
        <w:tc>
          <w:tcPr>
            <w:tcW w:w="350" w:type="dxa"/>
            <w:tcBorders>
              <w:top w:val="nil"/>
              <w:left w:val="single" w:sz="8" w:space="0" w:color="auto"/>
              <w:bottom w:val="single" w:sz="4" w:space="0" w:color="auto"/>
              <w:right w:val="nil"/>
            </w:tcBorders>
            <w:shd w:val="clear" w:color="000000" w:fill="FFFFFF"/>
            <w:noWrap/>
            <w:vAlign w:val="center"/>
            <w:hideMark/>
          </w:tcPr>
          <w:p w:rsidR="00E254E2" w:rsidRPr="00A57B6E" w:rsidRDefault="00E254E2" w:rsidP="00E254E2">
            <w:pPr>
              <w:rPr>
                <w:rFonts w:ascii="Arial" w:hAnsi="Arial" w:cs="Arial"/>
                <w:color w:val="0000FF"/>
                <w:sz w:val="16"/>
                <w:szCs w:val="16"/>
              </w:rPr>
            </w:pPr>
            <w:r w:rsidRPr="00A57B6E">
              <w:rPr>
                <w:rFonts w:ascii="Arial" w:hAnsi="Arial" w:cs="Arial"/>
                <w:color w:val="0000FF"/>
                <w:sz w:val="16"/>
                <w:szCs w:val="16"/>
              </w:rPr>
              <w:t> </w:t>
            </w:r>
          </w:p>
        </w:tc>
        <w:tc>
          <w:tcPr>
            <w:tcW w:w="379" w:type="dxa"/>
            <w:tcBorders>
              <w:top w:val="nil"/>
              <w:left w:val="nil"/>
              <w:bottom w:val="single" w:sz="4" w:space="0" w:color="auto"/>
              <w:right w:val="nil"/>
            </w:tcBorders>
            <w:shd w:val="clear" w:color="000000" w:fill="FFFFFF"/>
            <w:noWrap/>
            <w:vAlign w:val="center"/>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 </w:t>
            </w:r>
          </w:p>
        </w:tc>
        <w:tc>
          <w:tcPr>
            <w:tcW w:w="353" w:type="dxa"/>
            <w:tcBorders>
              <w:top w:val="nil"/>
              <w:left w:val="nil"/>
              <w:bottom w:val="single" w:sz="4" w:space="0" w:color="auto"/>
              <w:right w:val="nil"/>
            </w:tcBorders>
            <w:shd w:val="clear" w:color="000000" w:fill="FFFFFF"/>
            <w:noWrap/>
            <w:vAlign w:val="bottom"/>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1.</w:t>
            </w:r>
          </w:p>
        </w:tc>
        <w:tc>
          <w:tcPr>
            <w:tcW w:w="4622" w:type="dxa"/>
            <w:tcBorders>
              <w:top w:val="nil"/>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Review work practice SOP</w:t>
            </w:r>
          </w:p>
        </w:tc>
        <w:tc>
          <w:tcPr>
            <w:tcW w:w="272" w:type="dxa"/>
            <w:tcBorders>
              <w:top w:val="nil"/>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1333" w:type="dxa"/>
            <w:tcBorders>
              <w:top w:val="nil"/>
              <w:left w:val="single" w:sz="4" w:space="0" w:color="000000"/>
              <w:bottom w:val="single" w:sz="4" w:space="0" w:color="auto"/>
              <w:right w:val="single" w:sz="4"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0 </w:t>
            </w:r>
          </w:p>
        </w:tc>
        <w:tc>
          <w:tcPr>
            <w:tcW w:w="1312"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10 </w:t>
            </w:r>
          </w:p>
        </w:tc>
        <w:tc>
          <w:tcPr>
            <w:tcW w:w="1088"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0</w:t>
            </w:r>
          </w:p>
        </w:tc>
        <w:tc>
          <w:tcPr>
            <w:tcW w:w="1510"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0</w:t>
            </w:r>
          </w:p>
        </w:tc>
        <w:tc>
          <w:tcPr>
            <w:tcW w:w="941"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0</w:t>
            </w:r>
          </w:p>
        </w:tc>
        <w:tc>
          <w:tcPr>
            <w:tcW w:w="795"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$0 </w:t>
            </w:r>
          </w:p>
        </w:tc>
        <w:tc>
          <w:tcPr>
            <w:tcW w:w="423" w:type="dxa"/>
            <w:tcBorders>
              <w:top w:val="nil"/>
              <w:left w:val="nil"/>
              <w:bottom w:val="single" w:sz="4" w:space="0" w:color="auto"/>
              <w:right w:val="single" w:sz="8"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w:t>
            </w:r>
          </w:p>
        </w:tc>
      </w:tr>
      <w:tr w:rsidR="00E254E2" w:rsidRPr="00A57B6E" w:rsidTr="00E254E2">
        <w:trPr>
          <w:trHeight w:val="240"/>
        </w:trPr>
        <w:tc>
          <w:tcPr>
            <w:tcW w:w="350" w:type="dxa"/>
            <w:tcBorders>
              <w:top w:val="nil"/>
              <w:left w:val="single" w:sz="8" w:space="0" w:color="auto"/>
              <w:bottom w:val="single" w:sz="4" w:space="0" w:color="auto"/>
              <w:right w:val="nil"/>
            </w:tcBorders>
            <w:shd w:val="clear" w:color="000000" w:fill="FFFFFF"/>
            <w:noWrap/>
            <w:vAlign w:val="center"/>
            <w:hideMark/>
          </w:tcPr>
          <w:p w:rsidR="00E254E2" w:rsidRPr="00A57B6E" w:rsidRDefault="00E254E2" w:rsidP="00E254E2">
            <w:pPr>
              <w:rPr>
                <w:rFonts w:ascii="Arial" w:hAnsi="Arial" w:cs="Arial"/>
                <w:color w:val="0000FF"/>
                <w:sz w:val="16"/>
                <w:szCs w:val="16"/>
              </w:rPr>
            </w:pPr>
            <w:r w:rsidRPr="00A57B6E">
              <w:rPr>
                <w:rFonts w:ascii="Arial" w:hAnsi="Arial" w:cs="Arial"/>
                <w:color w:val="0000FF"/>
                <w:sz w:val="16"/>
                <w:szCs w:val="16"/>
              </w:rPr>
              <w:t> </w:t>
            </w:r>
          </w:p>
        </w:tc>
        <w:tc>
          <w:tcPr>
            <w:tcW w:w="379" w:type="dxa"/>
            <w:tcBorders>
              <w:top w:val="nil"/>
              <w:left w:val="nil"/>
              <w:bottom w:val="single" w:sz="4" w:space="0" w:color="auto"/>
              <w:right w:val="nil"/>
            </w:tcBorders>
            <w:shd w:val="clear" w:color="000000" w:fill="FFFFFF"/>
            <w:noWrap/>
            <w:vAlign w:val="center"/>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 </w:t>
            </w:r>
          </w:p>
        </w:tc>
        <w:tc>
          <w:tcPr>
            <w:tcW w:w="353" w:type="dxa"/>
            <w:tcBorders>
              <w:top w:val="nil"/>
              <w:left w:val="nil"/>
              <w:bottom w:val="single" w:sz="4" w:space="0" w:color="auto"/>
              <w:right w:val="nil"/>
            </w:tcBorders>
            <w:shd w:val="clear" w:color="000000" w:fill="FFFFFF"/>
            <w:noWrap/>
            <w:vAlign w:val="bottom"/>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2.</w:t>
            </w:r>
          </w:p>
        </w:tc>
        <w:tc>
          <w:tcPr>
            <w:tcW w:w="4622" w:type="dxa"/>
            <w:tcBorders>
              <w:top w:val="nil"/>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Review different presure monitoring report</w:t>
            </w:r>
          </w:p>
        </w:tc>
        <w:tc>
          <w:tcPr>
            <w:tcW w:w="272" w:type="dxa"/>
            <w:tcBorders>
              <w:top w:val="nil"/>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1333" w:type="dxa"/>
            <w:tcBorders>
              <w:top w:val="nil"/>
              <w:left w:val="single" w:sz="4" w:space="0" w:color="000000"/>
              <w:bottom w:val="single" w:sz="4" w:space="0" w:color="auto"/>
              <w:right w:val="single" w:sz="4"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16 </w:t>
            </w:r>
          </w:p>
        </w:tc>
        <w:tc>
          <w:tcPr>
            <w:tcW w:w="1312"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3 </w:t>
            </w:r>
          </w:p>
        </w:tc>
        <w:tc>
          <w:tcPr>
            <w:tcW w:w="1088"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48</w:t>
            </w:r>
          </w:p>
        </w:tc>
        <w:tc>
          <w:tcPr>
            <w:tcW w:w="1510"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2</w:t>
            </w:r>
          </w:p>
        </w:tc>
        <w:tc>
          <w:tcPr>
            <w:tcW w:w="941"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5</w:t>
            </w:r>
          </w:p>
        </w:tc>
        <w:tc>
          <w:tcPr>
            <w:tcW w:w="795"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$2,487 </w:t>
            </w:r>
          </w:p>
        </w:tc>
        <w:tc>
          <w:tcPr>
            <w:tcW w:w="423" w:type="dxa"/>
            <w:tcBorders>
              <w:top w:val="nil"/>
              <w:left w:val="nil"/>
              <w:bottom w:val="single" w:sz="4" w:space="0" w:color="auto"/>
              <w:right w:val="single" w:sz="8"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w:t>
            </w:r>
          </w:p>
        </w:tc>
      </w:tr>
      <w:tr w:rsidR="00E254E2" w:rsidRPr="00A57B6E" w:rsidTr="00E254E2">
        <w:trPr>
          <w:trHeight w:val="240"/>
        </w:trPr>
        <w:tc>
          <w:tcPr>
            <w:tcW w:w="350" w:type="dxa"/>
            <w:tcBorders>
              <w:top w:val="nil"/>
              <w:left w:val="single" w:sz="8" w:space="0" w:color="auto"/>
              <w:bottom w:val="single" w:sz="4" w:space="0" w:color="auto"/>
              <w:right w:val="nil"/>
            </w:tcBorders>
            <w:shd w:val="clear" w:color="000000" w:fill="FFFFFF"/>
            <w:noWrap/>
            <w:vAlign w:val="center"/>
            <w:hideMark/>
          </w:tcPr>
          <w:p w:rsidR="00E254E2" w:rsidRPr="00A57B6E" w:rsidRDefault="00E254E2" w:rsidP="00E254E2">
            <w:pPr>
              <w:rPr>
                <w:rFonts w:ascii="Arial" w:hAnsi="Arial" w:cs="Arial"/>
                <w:color w:val="0000FF"/>
                <w:sz w:val="16"/>
                <w:szCs w:val="16"/>
              </w:rPr>
            </w:pPr>
            <w:r w:rsidRPr="00A57B6E">
              <w:rPr>
                <w:rFonts w:ascii="Arial" w:hAnsi="Arial" w:cs="Arial"/>
                <w:color w:val="0000FF"/>
                <w:sz w:val="16"/>
                <w:szCs w:val="16"/>
              </w:rPr>
              <w:t> </w:t>
            </w:r>
          </w:p>
        </w:tc>
        <w:tc>
          <w:tcPr>
            <w:tcW w:w="379" w:type="dxa"/>
            <w:tcBorders>
              <w:top w:val="nil"/>
              <w:left w:val="nil"/>
              <w:bottom w:val="single" w:sz="4" w:space="0" w:color="auto"/>
              <w:right w:val="nil"/>
            </w:tcBorders>
            <w:shd w:val="clear" w:color="000000" w:fill="FFFFFF"/>
            <w:noWrap/>
            <w:vAlign w:val="center"/>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 </w:t>
            </w:r>
          </w:p>
        </w:tc>
        <w:tc>
          <w:tcPr>
            <w:tcW w:w="353" w:type="dxa"/>
            <w:tcBorders>
              <w:top w:val="nil"/>
              <w:left w:val="nil"/>
              <w:bottom w:val="single" w:sz="4" w:space="0" w:color="auto"/>
              <w:right w:val="nil"/>
            </w:tcBorders>
            <w:shd w:val="clear" w:color="000000" w:fill="FFFFFF"/>
            <w:noWrap/>
            <w:vAlign w:val="bottom"/>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3.</w:t>
            </w:r>
          </w:p>
        </w:tc>
        <w:tc>
          <w:tcPr>
            <w:tcW w:w="4622" w:type="dxa"/>
            <w:tcBorders>
              <w:top w:val="nil"/>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Review annual compliance report</w:t>
            </w:r>
          </w:p>
        </w:tc>
        <w:tc>
          <w:tcPr>
            <w:tcW w:w="272" w:type="dxa"/>
            <w:tcBorders>
              <w:top w:val="nil"/>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1333" w:type="dxa"/>
            <w:tcBorders>
              <w:top w:val="nil"/>
              <w:left w:val="single" w:sz="4" w:space="0" w:color="000000"/>
              <w:bottom w:val="single" w:sz="4" w:space="0" w:color="auto"/>
              <w:right w:val="single" w:sz="4"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16 </w:t>
            </w:r>
          </w:p>
        </w:tc>
        <w:tc>
          <w:tcPr>
            <w:tcW w:w="1312"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10 </w:t>
            </w:r>
          </w:p>
        </w:tc>
        <w:tc>
          <w:tcPr>
            <w:tcW w:w="1088"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160</w:t>
            </w:r>
          </w:p>
        </w:tc>
        <w:tc>
          <w:tcPr>
            <w:tcW w:w="1510"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8</w:t>
            </w:r>
          </w:p>
        </w:tc>
        <w:tc>
          <w:tcPr>
            <w:tcW w:w="941"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16</w:t>
            </w:r>
          </w:p>
        </w:tc>
        <w:tc>
          <w:tcPr>
            <w:tcW w:w="795"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$8,292 </w:t>
            </w:r>
          </w:p>
        </w:tc>
        <w:tc>
          <w:tcPr>
            <w:tcW w:w="423" w:type="dxa"/>
            <w:tcBorders>
              <w:top w:val="nil"/>
              <w:left w:val="nil"/>
              <w:bottom w:val="single" w:sz="4" w:space="0" w:color="auto"/>
              <w:right w:val="single" w:sz="8"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d</w:t>
            </w:r>
          </w:p>
        </w:tc>
      </w:tr>
      <w:tr w:rsidR="00E254E2" w:rsidRPr="00A57B6E" w:rsidTr="00E254E2">
        <w:trPr>
          <w:trHeight w:val="240"/>
        </w:trPr>
        <w:tc>
          <w:tcPr>
            <w:tcW w:w="350" w:type="dxa"/>
            <w:tcBorders>
              <w:top w:val="nil"/>
              <w:left w:val="single" w:sz="8" w:space="0" w:color="auto"/>
              <w:bottom w:val="single" w:sz="4" w:space="0" w:color="000000"/>
              <w:right w:val="nil"/>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w:t>
            </w:r>
          </w:p>
        </w:tc>
        <w:tc>
          <w:tcPr>
            <w:tcW w:w="379" w:type="dxa"/>
            <w:tcBorders>
              <w:top w:val="nil"/>
              <w:left w:val="nil"/>
              <w:bottom w:val="single" w:sz="4" w:space="0" w:color="auto"/>
              <w:right w:val="nil"/>
            </w:tcBorders>
            <w:shd w:val="clear" w:color="000000" w:fill="FFFFFF"/>
            <w:noWrap/>
            <w:vAlign w:val="center"/>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F.</w:t>
            </w:r>
          </w:p>
        </w:tc>
        <w:tc>
          <w:tcPr>
            <w:tcW w:w="4975" w:type="dxa"/>
            <w:gridSpan w:val="2"/>
            <w:tcBorders>
              <w:top w:val="single" w:sz="4" w:space="0" w:color="auto"/>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Prepare annual summary report</w:t>
            </w:r>
          </w:p>
        </w:tc>
        <w:tc>
          <w:tcPr>
            <w:tcW w:w="272" w:type="dxa"/>
            <w:tcBorders>
              <w:top w:val="nil"/>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1333" w:type="dxa"/>
            <w:tcBorders>
              <w:top w:val="nil"/>
              <w:left w:val="single" w:sz="4" w:space="0" w:color="000000"/>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1 </w:t>
            </w:r>
          </w:p>
        </w:tc>
        <w:tc>
          <w:tcPr>
            <w:tcW w:w="1312"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64</w:t>
            </w:r>
          </w:p>
        </w:tc>
        <w:tc>
          <w:tcPr>
            <w:tcW w:w="1088"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64</w:t>
            </w:r>
          </w:p>
        </w:tc>
        <w:tc>
          <w:tcPr>
            <w:tcW w:w="1510"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3</w:t>
            </w:r>
          </w:p>
        </w:tc>
        <w:tc>
          <w:tcPr>
            <w:tcW w:w="941"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6</w:t>
            </w:r>
          </w:p>
        </w:tc>
        <w:tc>
          <w:tcPr>
            <w:tcW w:w="795"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$3,317 </w:t>
            </w:r>
          </w:p>
        </w:tc>
        <w:tc>
          <w:tcPr>
            <w:tcW w:w="423" w:type="dxa"/>
            <w:tcBorders>
              <w:top w:val="nil"/>
              <w:left w:val="nil"/>
              <w:bottom w:val="single" w:sz="4" w:space="0" w:color="auto"/>
              <w:right w:val="single" w:sz="8"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e</w:t>
            </w:r>
          </w:p>
        </w:tc>
      </w:tr>
      <w:tr w:rsidR="00E254E2" w:rsidRPr="00A57B6E" w:rsidTr="00E254E2">
        <w:trPr>
          <w:trHeight w:val="240"/>
        </w:trPr>
        <w:tc>
          <w:tcPr>
            <w:tcW w:w="1082" w:type="dxa"/>
            <w:gridSpan w:val="3"/>
            <w:tcBorders>
              <w:top w:val="nil"/>
              <w:left w:val="single" w:sz="8" w:space="0" w:color="auto"/>
              <w:bottom w:val="single" w:sz="8" w:space="0" w:color="auto"/>
              <w:right w:val="nil"/>
            </w:tcBorders>
            <w:shd w:val="clear" w:color="000000" w:fill="FFFFFF"/>
            <w:noWrap/>
            <w:vAlign w:val="center"/>
            <w:hideMark/>
          </w:tcPr>
          <w:p w:rsidR="00E254E2" w:rsidRPr="0031273C" w:rsidRDefault="00E254E2" w:rsidP="00E254E2">
            <w:pPr>
              <w:rPr>
                <w:rFonts w:ascii="Arial" w:hAnsi="Arial" w:cs="Arial"/>
                <w:b/>
                <w:sz w:val="16"/>
                <w:szCs w:val="16"/>
              </w:rPr>
            </w:pPr>
            <w:r w:rsidRPr="00A57B6E">
              <w:rPr>
                <w:rFonts w:ascii="Arial" w:hAnsi="Arial" w:cs="Arial"/>
                <w:b/>
                <w:sz w:val="16"/>
                <w:szCs w:val="16"/>
              </w:rPr>
              <w:t> </w:t>
            </w:r>
          </w:p>
          <w:p w:rsidR="00E254E2" w:rsidRPr="00A57B6E" w:rsidRDefault="00E254E2" w:rsidP="00E254E2">
            <w:pPr>
              <w:rPr>
                <w:rFonts w:ascii="Arial" w:hAnsi="Arial" w:cs="Arial"/>
                <w:b/>
                <w:sz w:val="16"/>
                <w:szCs w:val="16"/>
              </w:rPr>
            </w:pPr>
            <w:r w:rsidRPr="00A57B6E">
              <w:rPr>
                <w:rFonts w:ascii="Arial" w:hAnsi="Arial" w:cs="Arial"/>
                <w:b/>
                <w:sz w:val="16"/>
                <w:szCs w:val="16"/>
              </w:rPr>
              <w:t>TOTAL</w:t>
            </w:r>
          </w:p>
        </w:tc>
        <w:tc>
          <w:tcPr>
            <w:tcW w:w="4622" w:type="dxa"/>
            <w:tcBorders>
              <w:top w:val="nil"/>
              <w:left w:val="nil"/>
              <w:bottom w:val="single" w:sz="8"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272" w:type="dxa"/>
            <w:tcBorders>
              <w:top w:val="nil"/>
              <w:left w:val="nil"/>
              <w:bottom w:val="single" w:sz="8"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1333" w:type="dxa"/>
            <w:tcBorders>
              <w:top w:val="nil"/>
              <w:left w:val="nil"/>
              <w:bottom w:val="single" w:sz="8" w:space="0" w:color="auto"/>
              <w:right w:val="nil"/>
            </w:tcBorders>
            <w:shd w:val="clear" w:color="000000" w:fill="FFFFFF"/>
            <w:noWrap/>
            <w:vAlign w:val="center"/>
            <w:hideMark/>
          </w:tcPr>
          <w:p w:rsidR="00E254E2" w:rsidRPr="00A57B6E" w:rsidRDefault="00E254E2" w:rsidP="00E254E2">
            <w:pPr>
              <w:jc w:val="center"/>
              <w:rPr>
                <w:rFonts w:ascii="Arial" w:hAnsi="Arial" w:cs="Arial"/>
                <w:color w:val="0000FF"/>
                <w:sz w:val="16"/>
                <w:szCs w:val="16"/>
              </w:rPr>
            </w:pPr>
            <w:r w:rsidRPr="00A57B6E">
              <w:rPr>
                <w:rFonts w:ascii="Arial" w:hAnsi="Arial" w:cs="Arial"/>
                <w:color w:val="0000FF"/>
                <w:sz w:val="16"/>
                <w:szCs w:val="16"/>
              </w:rPr>
              <w:t> </w:t>
            </w:r>
          </w:p>
        </w:tc>
        <w:tc>
          <w:tcPr>
            <w:tcW w:w="1312" w:type="dxa"/>
            <w:tcBorders>
              <w:top w:val="nil"/>
              <w:left w:val="nil"/>
              <w:bottom w:val="single" w:sz="8" w:space="0" w:color="auto"/>
              <w:right w:val="single" w:sz="4"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w:t>
            </w:r>
          </w:p>
        </w:tc>
        <w:tc>
          <w:tcPr>
            <w:tcW w:w="1088" w:type="dxa"/>
            <w:tcBorders>
              <w:top w:val="nil"/>
              <w:left w:val="nil"/>
              <w:bottom w:val="single" w:sz="8" w:space="0" w:color="auto"/>
              <w:right w:val="nil"/>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680</w:t>
            </w:r>
          </w:p>
        </w:tc>
        <w:tc>
          <w:tcPr>
            <w:tcW w:w="1510" w:type="dxa"/>
            <w:tcBorders>
              <w:top w:val="nil"/>
              <w:left w:val="single" w:sz="4" w:space="0" w:color="000000"/>
              <w:bottom w:val="single" w:sz="8" w:space="0" w:color="auto"/>
              <w:right w:val="nil"/>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34</w:t>
            </w:r>
          </w:p>
        </w:tc>
        <w:tc>
          <w:tcPr>
            <w:tcW w:w="941" w:type="dxa"/>
            <w:tcBorders>
              <w:top w:val="nil"/>
              <w:left w:val="single" w:sz="4" w:space="0" w:color="000000"/>
              <w:bottom w:val="single" w:sz="8" w:space="0" w:color="auto"/>
              <w:right w:val="nil"/>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68</w:t>
            </w:r>
          </w:p>
        </w:tc>
        <w:tc>
          <w:tcPr>
            <w:tcW w:w="795" w:type="dxa"/>
            <w:tcBorders>
              <w:top w:val="nil"/>
              <w:left w:val="single" w:sz="4" w:space="0" w:color="auto"/>
              <w:bottom w:val="single" w:sz="8"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$35,239 </w:t>
            </w:r>
          </w:p>
        </w:tc>
        <w:tc>
          <w:tcPr>
            <w:tcW w:w="423" w:type="dxa"/>
            <w:tcBorders>
              <w:top w:val="nil"/>
              <w:left w:val="nil"/>
              <w:bottom w:val="single" w:sz="8" w:space="0" w:color="auto"/>
              <w:right w:val="single" w:sz="8"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w:t>
            </w:r>
          </w:p>
        </w:tc>
      </w:tr>
      <w:tr w:rsidR="00E254E2" w:rsidRPr="00A57B6E" w:rsidTr="00E254E2">
        <w:trPr>
          <w:trHeight w:val="240"/>
        </w:trPr>
        <w:tc>
          <w:tcPr>
            <w:tcW w:w="350" w:type="dxa"/>
            <w:tcBorders>
              <w:top w:val="nil"/>
              <w:left w:val="nil"/>
              <w:bottom w:val="nil"/>
              <w:right w:val="nil"/>
            </w:tcBorders>
            <w:shd w:val="clear" w:color="000000" w:fill="FFFFFF"/>
            <w:noWrap/>
            <w:vAlign w:val="bottom"/>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379" w:type="dxa"/>
            <w:tcBorders>
              <w:top w:val="nil"/>
              <w:left w:val="nil"/>
              <w:bottom w:val="nil"/>
              <w:right w:val="nil"/>
            </w:tcBorders>
            <w:shd w:val="clear" w:color="000000" w:fill="FFFFFF"/>
            <w:noWrap/>
            <w:vAlign w:val="bottom"/>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353" w:type="dxa"/>
            <w:tcBorders>
              <w:top w:val="nil"/>
              <w:left w:val="nil"/>
              <w:bottom w:val="nil"/>
              <w:right w:val="nil"/>
            </w:tcBorders>
            <w:shd w:val="clear" w:color="000000" w:fill="FFFFFF"/>
            <w:noWrap/>
            <w:vAlign w:val="bottom"/>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4622" w:type="dxa"/>
            <w:tcBorders>
              <w:top w:val="nil"/>
              <w:left w:val="nil"/>
              <w:bottom w:val="nil"/>
              <w:right w:val="nil"/>
            </w:tcBorders>
            <w:shd w:val="clear" w:color="000000" w:fill="FFFFFF"/>
            <w:noWrap/>
            <w:vAlign w:val="bottom"/>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272" w:type="dxa"/>
            <w:tcBorders>
              <w:top w:val="nil"/>
              <w:left w:val="nil"/>
              <w:bottom w:val="nil"/>
              <w:right w:val="nil"/>
            </w:tcBorders>
            <w:shd w:val="clear" w:color="000000" w:fill="FFFFFF"/>
            <w:noWrap/>
            <w:vAlign w:val="bottom"/>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1333" w:type="dxa"/>
            <w:tcBorders>
              <w:top w:val="nil"/>
              <w:left w:val="nil"/>
              <w:bottom w:val="nil"/>
              <w:right w:val="nil"/>
            </w:tcBorders>
            <w:shd w:val="clear" w:color="000000" w:fill="FFFFFF"/>
            <w:noWrap/>
            <w:vAlign w:val="bottom"/>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1312" w:type="dxa"/>
            <w:tcBorders>
              <w:top w:val="nil"/>
              <w:left w:val="nil"/>
              <w:bottom w:val="nil"/>
              <w:right w:val="nil"/>
            </w:tcBorders>
            <w:shd w:val="clear" w:color="000000" w:fill="FFFFFF"/>
            <w:noWrap/>
            <w:vAlign w:val="bottom"/>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w:t>
            </w:r>
          </w:p>
        </w:tc>
        <w:tc>
          <w:tcPr>
            <w:tcW w:w="1088" w:type="dxa"/>
            <w:tcBorders>
              <w:top w:val="nil"/>
              <w:left w:val="nil"/>
              <w:bottom w:val="nil"/>
              <w:right w:val="nil"/>
            </w:tcBorders>
            <w:shd w:val="clear" w:color="000000" w:fill="FFFFFF"/>
            <w:noWrap/>
            <w:vAlign w:val="bottom"/>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 </w:t>
            </w:r>
          </w:p>
        </w:tc>
        <w:tc>
          <w:tcPr>
            <w:tcW w:w="1510" w:type="dxa"/>
            <w:tcBorders>
              <w:top w:val="nil"/>
              <w:left w:val="nil"/>
              <w:bottom w:val="nil"/>
              <w:right w:val="nil"/>
            </w:tcBorders>
            <w:shd w:val="clear" w:color="000000" w:fill="FFFFFF"/>
            <w:noWrap/>
            <w:vAlign w:val="bottom"/>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 </w:t>
            </w:r>
          </w:p>
        </w:tc>
        <w:tc>
          <w:tcPr>
            <w:tcW w:w="941" w:type="dxa"/>
            <w:tcBorders>
              <w:top w:val="nil"/>
              <w:left w:val="nil"/>
              <w:bottom w:val="nil"/>
              <w:right w:val="nil"/>
            </w:tcBorders>
            <w:shd w:val="clear" w:color="000000" w:fill="FFFFFF"/>
            <w:noWrap/>
            <w:vAlign w:val="bottom"/>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 </w:t>
            </w:r>
          </w:p>
        </w:tc>
        <w:tc>
          <w:tcPr>
            <w:tcW w:w="795" w:type="dxa"/>
            <w:tcBorders>
              <w:top w:val="nil"/>
              <w:left w:val="nil"/>
              <w:bottom w:val="nil"/>
              <w:right w:val="nil"/>
            </w:tcBorders>
            <w:shd w:val="clear" w:color="000000" w:fill="FFFFFF"/>
            <w:noWrap/>
            <w:vAlign w:val="bottom"/>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 </w:t>
            </w:r>
          </w:p>
        </w:tc>
        <w:tc>
          <w:tcPr>
            <w:tcW w:w="423" w:type="dxa"/>
            <w:tcBorders>
              <w:top w:val="nil"/>
              <w:left w:val="nil"/>
              <w:bottom w:val="nil"/>
              <w:right w:val="nil"/>
            </w:tcBorders>
            <w:shd w:val="clear" w:color="000000" w:fill="FFFFFF"/>
            <w:noWrap/>
            <w:vAlign w:val="bottom"/>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 </w:t>
            </w:r>
          </w:p>
        </w:tc>
      </w:tr>
    </w:tbl>
    <w:p w:rsidR="00E254E2" w:rsidRDefault="00E254E2" w:rsidP="00E254E2">
      <w:pPr>
        <w:jc w:val="center"/>
        <w:rPr>
          <w:bCs/>
          <w:sz w:val="18"/>
          <w:szCs w:val="18"/>
        </w:rPr>
      </w:pPr>
    </w:p>
    <w:p w:rsidR="00E254E2" w:rsidRPr="0031273C" w:rsidRDefault="00E254E2" w:rsidP="00E254E2">
      <w:pPr>
        <w:rPr>
          <w:b/>
          <w:bCs/>
          <w:sz w:val="18"/>
          <w:szCs w:val="18"/>
        </w:rPr>
      </w:pPr>
      <w:r w:rsidRPr="0031273C">
        <w:rPr>
          <w:b/>
          <w:bCs/>
          <w:sz w:val="18"/>
          <w:szCs w:val="18"/>
        </w:rPr>
        <w:t>FOOTNOTES</w:t>
      </w:r>
    </w:p>
    <w:p w:rsidR="00E254E2" w:rsidRPr="0031273C" w:rsidRDefault="00E254E2" w:rsidP="00E254E2">
      <w:pPr>
        <w:rPr>
          <w:bCs/>
          <w:sz w:val="18"/>
          <w:szCs w:val="18"/>
        </w:rPr>
      </w:pPr>
      <w:r w:rsidRPr="0031273C">
        <w:rPr>
          <w:bCs/>
          <w:sz w:val="18"/>
          <w:szCs w:val="18"/>
        </w:rPr>
        <w:t>a</w:t>
      </w:r>
      <w:r w:rsidRPr="0031273C">
        <w:rPr>
          <w:bCs/>
          <w:sz w:val="18"/>
          <w:szCs w:val="18"/>
        </w:rPr>
        <w:tab/>
        <w:t>Number of occurences is the number of states where affected sources will exist and each EPA Region (10 states + 10 EPA regions = 20 respondents).</w:t>
      </w:r>
    </w:p>
    <w:p w:rsidR="00E254E2" w:rsidRPr="0031273C" w:rsidRDefault="00E254E2" w:rsidP="00E254E2">
      <w:pPr>
        <w:rPr>
          <w:bCs/>
          <w:sz w:val="18"/>
          <w:szCs w:val="18"/>
        </w:rPr>
      </w:pPr>
      <w:r w:rsidRPr="0031273C">
        <w:rPr>
          <w:bCs/>
          <w:sz w:val="18"/>
          <w:szCs w:val="18"/>
        </w:rPr>
        <w:t>b</w:t>
      </w:r>
      <w:r w:rsidRPr="0031273C">
        <w:rPr>
          <w:bCs/>
          <w:sz w:val="18"/>
          <w:szCs w:val="18"/>
        </w:rPr>
        <w:tab/>
        <w:t>Assumes EPA personnel attend 20 percent of the stack tests.</w:t>
      </w:r>
    </w:p>
    <w:p w:rsidR="00E254E2" w:rsidRPr="0031273C" w:rsidRDefault="00E254E2" w:rsidP="00E254E2">
      <w:pPr>
        <w:rPr>
          <w:bCs/>
          <w:sz w:val="18"/>
          <w:szCs w:val="18"/>
        </w:rPr>
      </w:pPr>
      <w:r w:rsidRPr="0031273C">
        <w:rPr>
          <w:bCs/>
          <w:sz w:val="18"/>
          <w:szCs w:val="18"/>
        </w:rPr>
        <w:t>c</w:t>
      </w:r>
      <w:r w:rsidRPr="0031273C">
        <w:rPr>
          <w:bCs/>
          <w:sz w:val="18"/>
          <w:szCs w:val="18"/>
        </w:rPr>
        <w:tab/>
        <w:t>Assume 10 percent of the facilities will exceed emissions.</w:t>
      </w:r>
    </w:p>
    <w:p w:rsidR="00E254E2" w:rsidRPr="0031273C" w:rsidRDefault="00E254E2" w:rsidP="00E254E2">
      <w:pPr>
        <w:rPr>
          <w:bCs/>
          <w:sz w:val="18"/>
          <w:szCs w:val="18"/>
        </w:rPr>
      </w:pPr>
      <w:r w:rsidRPr="0031273C">
        <w:rPr>
          <w:bCs/>
          <w:sz w:val="18"/>
          <w:szCs w:val="18"/>
        </w:rPr>
        <w:t>d</w:t>
      </w:r>
      <w:r w:rsidRPr="0031273C">
        <w:rPr>
          <w:bCs/>
          <w:sz w:val="18"/>
          <w:szCs w:val="18"/>
        </w:rPr>
        <w:tab/>
        <w:t>Only hours to review new requirements.</w:t>
      </w:r>
    </w:p>
    <w:p w:rsidR="00E254E2" w:rsidRDefault="00E254E2" w:rsidP="00E254E2">
      <w:pPr>
        <w:rPr>
          <w:bCs/>
          <w:sz w:val="18"/>
          <w:szCs w:val="18"/>
        </w:rPr>
      </w:pPr>
      <w:r w:rsidRPr="0031273C">
        <w:rPr>
          <w:bCs/>
          <w:sz w:val="18"/>
          <w:szCs w:val="18"/>
        </w:rPr>
        <w:t>e</w:t>
      </w:r>
      <w:r w:rsidRPr="0031273C">
        <w:rPr>
          <w:bCs/>
          <w:sz w:val="18"/>
          <w:szCs w:val="18"/>
        </w:rPr>
        <w:tab/>
        <w:t>Using four hours per state to write annual summary report.</w:t>
      </w:r>
    </w:p>
    <w:p w:rsidR="00E254E2" w:rsidRDefault="00E254E2" w:rsidP="00E254E2">
      <w:pPr>
        <w:ind w:right="-90"/>
        <w:jc w:val="center"/>
        <w:rPr>
          <w:sz w:val="18"/>
          <w:szCs w:val="18"/>
        </w:rPr>
      </w:pPr>
      <w:r>
        <w:rPr>
          <w:sz w:val="18"/>
          <w:szCs w:val="18"/>
        </w:rPr>
        <w:br w:type="page"/>
      </w:r>
    </w:p>
    <w:tbl>
      <w:tblPr>
        <w:tblW w:w="13378" w:type="dxa"/>
        <w:tblInd w:w="91" w:type="dxa"/>
        <w:tblLook w:val="04A0"/>
      </w:tblPr>
      <w:tblGrid>
        <w:gridCol w:w="350"/>
        <w:gridCol w:w="379"/>
        <w:gridCol w:w="353"/>
        <w:gridCol w:w="4622"/>
        <w:gridCol w:w="272"/>
        <w:gridCol w:w="1333"/>
        <w:gridCol w:w="1312"/>
        <w:gridCol w:w="1088"/>
        <w:gridCol w:w="1510"/>
        <w:gridCol w:w="950"/>
        <w:gridCol w:w="795"/>
        <w:gridCol w:w="423"/>
      </w:tblGrid>
      <w:tr w:rsidR="00E254E2" w:rsidRPr="00A57B6E" w:rsidTr="00E254E2">
        <w:trPr>
          <w:trHeight w:val="735"/>
        </w:trPr>
        <w:tc>
          <w:tcPr>
            <w:tcW w:w="13378" w:type="dxa"/>
            <w:gridSpan w:val="12"/>
            <w:tcBorders>
              <w:top w:val="nil"/>
              <w:left w:val="nil"/>
              <w:bottom w:val="single" w:sz="8" w:space="0" w:color="auto"/>
              <w:right w:val="nil"/>
            </w:tcBorders>
            <w:shd w:val="clear" w:color="000000" w:fill="FFFFFF"/>
            <w:vAlign w:val="bottom"/>
            <w:hideMark/>
          </w:tcPr>
          <w:p w:rsidR="00E254E2" w:rsidRPr="00A57B6E" w:rsidRDefault="00E254E2" w:rsidP="007E1564">
            <w:pPr>
              <w:jc w:val="center"/>
              <w:rPr>
                <w:rFonts w:ascii="Arial" w:hAnsi="Arial" w:cs="Arial"/>
                <w:b/>
                <w:bCs/>
              </w:rPr>
            </w:pPr>
            <w:r w:rsidRPr="00A57B6E">
              <w:rPr>
                <w:rFonts w:ascii="Arial" w:hAnsi="Arial" w:cs="Arial"/>
                <w:b/>
                <w:bCs/>
              </w:rPr>
              <w:t xml:space="preserve">Table 7 - Annual Designated Administrator Burden and Cost of Recordkeeping and Reporting Requirements for the Secondary Lead Smelters NESHAP  - Year </w:t>
            </w:r>
            <w:r w:rsidR="007E1564">
              <w:rPr>
                <w:rFonts w:ascii="Arial" w:hAnsi="Arial" w:cs="Arial"/>
                <w:b/>
                <w:bCs/>
              </w:rPr>
              <w:t>3</w:t>
            </w:r>
            <w:r w:rsidRPr="00A57B6E">
              <w:rPr>
                <w:rFonts w:ascii="Arial" w:hAnsi="Arial" w:cs="Arial"/>
                <w:b/>
                <w:bCs/>
              </w:rPr>
              <w:t xml:space="preserve">    </w:t>
            </w:r>
          </w:p>
        </w:tc>
      </w:tr>
      <w:tr w:rsidR="00E254E2" w:rsidRPr="00A57B6E" w:rsidTr="00E254E2">
        <w:trPr>
          <w:trHeight w:val="300"/>
        </w:trPr>
        <w:tc>
          <w:tcPr>
            <w:tcW w:w="350" w:type="dxa"/>
            <w:tcBorders>
              <w:top w:val="single" w:sz="8" w:space="0" w:color="auto"/>
              <w:left w:val="single" w:sz="8" w:space="0" w:color="auto"/>
              <w:bottom w:val="nil"/>
              <w:right w:val="nil"/>
            </w:tcBorders>
            <w:shd w:val="clear" w:color="auto" w:fill="D9D9D9" w:themeFill="background1" w:themeFillShade="D9"/>
            <w:noWrap/>
            <w:vAlign w:val="bottom"/>
            <w:hideMark/>
          </w:tcPr>
          <w:p w:rsidR="00E254E2" w:rsidRPr="00A57B6E" w:rsidRDefault="00E254E2" w:rsidP="00E254E2">
            <w:pPr>
              <w:rPr>
                <w:rFonts w:ascii="Arial" w:hAnsi="Arial" w:cs="Arial"/>
                <w:b/>
                <w:sz w:val="16"/>
                <w:szCs w:val="16"/>
              </w:rPr>
            </w:pPr>
            <w:r w:rsidRPr="00A57B6E">
              <w:rPr>
                <w:rFonts w:ascii="Arial" w:hAnsi="Arial" w:cs="Arial"/>
                <w:b/>
                <w:sz w:val="16"/>
                <w:szCs w:val="16"/>
              </w:rPr>
              <w:t> </w:t>
            </w:r>
          </w:p>
        </w:tc>
        <w:tc>
          <w:tcPr>
            <w:tcW w:w="379" w:type="dxa"/>
            <w:tcBorders>
              <w:top w:val="single" w:sz="8" w:space="0" w:color="auto"/>
              <w:left w:val="nil"/>
              <w:bottom w:val="nil"/>
              <w:right w:val="nil"/>
            </w:tcBorders>
            <w:shd w:val="clear" w:color="auto" w:fill="D9D9D9" w:themeFill="background1" w:themeFillShade="D9"/>
            <w:noWrap/>
            <w:vAlign w:val="bottom"/>
            <w:hideMark/>
          </w:tcPr>
          <w:p w:rsidR="00E254E2" w:rsidRPr="00A57B6E" w:rsidRDefault="00E254E2" w:rsidP="00E254E2">
            <w:pPr>
              <w:rPr>
                <w:rFonts w:ascii="Arial" w:hAnsi="Arial" w:cs="Arial"/>
                <w:b/>
                <w:sz w:val="16"/>
                <w:szCs w:val="16"/>
              </w:rPr>
            </w:pPr>
            <w:r w:rsidRPr="00A57B6E">
              <w:rPr>
                <w:rFonts w:ascii="Arial" w:hAnsi="Arial" w:cs="Arial"/>
                <w:b/>
                <w:sz w:val="16"/>
                <w:szCs w:val="16"/>
              </w:rPr>
              <w:t> </w:t>
            </w:r>
          </w:p>
        </w:tc>
        <w:tc>
          <w:tcPr>
            <w:tcW w:w="353" w:type="dxa"/>
            <w:tcBorders>
              <w:top w:val="single" w:sz="8" w:space="0" w:color="auto"/>
              <w:left w:val="nil"/>
              <w:bottom w:val="nil"/>
              <w:right w:val="nil"/>
            </w:tcBorders>
            <w:shd w:val="clear" w:color="auto" w:fill="D9D9D9" w:themeFill="background1" w:themeFillShade="D9"/>
            <w:noWrap/>
            <w:vAlign w:val="bottom"/>
            <w:hideMark/>
          </w:tcPr>
          <w:p w:rsidR="00E254E2" w:rsidRPr="00A57B6E" w:rsidRDefault="00E254E2" w:rsidP="00E254E2">
            <w:pPr>
              <w:rPr>
                <w:rFonts w:ascii="Arial" w:hAnsi="Arial" w:cs="Arial"/>
                <w:b/>
                <w:sz w:val="16"/>
                <w:szCs w:val="16"/>
              </w:rPr>
            </w:pPr>
            <w:r w:rsidRPr="00A57B6E">
              <w:rPr>
                <w:rFonts w:ascii="Arial" w:hAnsi="Arial" w:cs="Arial"/>
                <w:b/>
                <w:sz w:val="16"/>
                <w:szCs w:val="16"/>
              </w:rPr>
              <w:t> </w:t>
            </w:r>
          </w:p>
        </w:tc>
        <w:tc>
          <w:tcPr>
            <w:tcW w:w="4622" w:type="dxa"/>
            <w:tcBorders>
              <w:top w:val="single" w:sz="8" w:space="0" w:color="auto"/>
              <w:left w:val="nil"/>
              <w:bottom w:val="nil"/>
              <w:right w:val="nil"/>
            </w:tcBorders>
            <w:shd w:val="clear" w:color="auto" w:fill="D9D9D9" w:themeFill="background1" w:themeFillShade="D9"/>
            <w:noWrap/>
            <w:vAlign w:val="bottom"/>
            <w:hideMark/>
          </w:tcPr>
          <w:p w:rsidR="00E254E2" w:rsidRPr="00A57B6E" w:rsidRDefault="00E254E2" w:rsidP="00E254E2">
            <w:pPr>
              <w:rPr>
                <w:rFonts w:ascii="Arial" w:hAnsi="Arial" w:cs="Arial"/>
                <w:b/>
                <w:sz w:val="16"/>
                <w:szCs w:val="16"/>
              </w:rPr>
            </w:pPr>
            <w:r w:rsidRPr="00A57B6E">
              <w:rPr>
                <w:rFonts w:ascii="Arial" w:hAnsi="Arial" w:cs="Arial"/>
                <w:b/>
                <w:sz w:val="16"/>
                <w:szCs w:val="16"/>
              </w:rPr>
              <w:t> </w:t>
            </w:r>
          </w:p>
        </w:tc>
        <w:tc>
          <w:tcPr>
            <w:tcW w:w="272" w:type="dxa"/>
            <w:tcBorders>
              <w:top w:val="single" w:sz="8" w:space="0" w:color="auto"/>
              <w:left w:val="nil"/>
              <w:bottom w:val="nil"/>
              <w:right w:val="nil"/>
            </w:tcBorders>
            <w:shd w:val="clear" w:color="auto" w:fill="D9D9D9" w:themeFill="background1" w:themeFillShade="D9"/>
            <w:noWrap/>
            <w:vAlign w:val="bottom"/>
            <w:hideMark/>
          </w:tcPr>
          <w:p w:rsidR="00E254E2" w:rsidRPr="00A57B6E" w:rsidRDefault="00E254E2" w:rsidP="00E254E2">
            <w:pPr>
              <w:rPr>
                <w:rFonts w:ascii="Arial" w:hAnsi="Arial" w:cs="Arial"/>
                <w:b/>
                <w:sz w:val="16"/>
                <w:szCs w:val="16"/>
              </w:rPr>
            </w:pPr>
            <w:r w:rsidRPr="00A57B6E">
              <w:rPr>
                <w:rFonts w:ascii="Arial" w:hAnsi="Arial" w:cs="Arial"/>
                <w:b/>
                <w:sz w:val="16"/>
                <w:szCs w:val="16"/>
              </w:rPr>
              <w:t> </w:t>
            </w:r>
          </w:p>
        </w:tc>
        <w:tc>
          <w:tcPr>
            <w:tcW w:w="1333" w:type="dxa"/>
            <w:tcBorders>
              <w:top w:val="single" w:sz="8" w:space="0" w:color="auto"/>
              <w:left w:val="single" w:sz="4" w:space="0" w:color="000000"/>
              <w:bottom w:val="single" w:sz="4" w:space="0" w:color="auto"/>
              <w:right w:val="nil"/>
            </w:tcBorders>
            <w:shd w:val="clear" w:color="auto" w:fill="D9D9D9" w:themeFill="background1" w:themeFillShade="D9"/>
            <w:noWrap/>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(A)</w:t>
            </w:r>
          </w:p>
        </w:tc>
        <w:tc>
          <w:tcPr>
            <w:tcW w:w="1312" w:type="dxa"/>
            <w:tcBorders>
              <w:top w:val="single" w:sz="8" w:space="0" w:color="auto"/>
              <w:left w:val="single" w:sz="4" w:space="0" w:color="000000"/>
              <w:bottom w:val="single" w:sz="4" w:space="0" w:color="auto"/>
              <w:right w:val="single" w:sz="4" w:space="0" w:color="auto"/>
            </w:tcBorders>
            <w:shd w:val="clear" w:color="auto" w:fill="D9D9D9" w:themeFill="background1" w:themeFillShade="D9"/>
            <w:noWrap/>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(B)</w:t>
            </w:r>
          </w:p>
        </w:tc>
        <w:tc>
          <w:tcPr>
            <w:tcW w:w="1088"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(C)</w:t>
            </w:r>
          </w:p>
        </w:tc>
        <w:tc>
          <w:tcPr>
            <w:tcW w:w="1510"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(D)</w:t>
            </w:r>
          </w:p>
        </w:tc>
        <w:tc>
          <w:tcPr>
            <w:tcW w:w="941"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(E)</w:t>
            </w:r>
          </w:p>
        </w:tc>
        <w:tc>
          <w:tcPr>
            <w:tcW w:w="795"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(F)</w:t>
            </w:r>
          </w:p>
        </w:tc>
        <w:tc>
          <w:tcPr>
            <w:tcW w:w="423" w:type="dxa"/>
            <w:vMerge w:val="restart"/>
            <w:tcBorders>
              <w:top w:val="single" w:sz="8" w:space="0" w:color="auto"/>
              <w:left w:val="nil"/>
              <w:bottom w:val="double" w:sz="6" w:space="0" w:color="000000"/>
              <w:right w:val="single" w:sz="8" w:space="0" w:color="auto"/>
            </w:tcBorders>
            <w:shd w:val="clear" w:color="auto" w:fill="D9D9D9" w:themeFill="background1" w:themeFillShade="D9"/>
            <w:textDirection w:val="btLr"/>
            <w:vAlign w:val="bottom"/>
            <w:hideMark/>
          </w:tcPr>
          <w:p w:rsidR="00E254E2" w:rsidRPr="00A57B6E" w:rsidRDefault="00E254E2" w:rsidP="00E254E2">
            <w:pPr>
              <w:jc w:val="center"/>
              <w:rPr>
                <w:rFonts w:ascii="Calibri" w:hAnsi="Calibri" w:cs="Calibri"/>
                <w:b/>
                <w:sz w:val="16"/>
                <w:szCs w:val="16"/>
              </w:rPr>
            </w:pPr>
            <w:r w:rsidRPr="00A57B6E">
              <w:rPr>
                <w:rFonts w:ascii="Calibri" w:hAnsi="Calibri" w:cs="Calibri"/>
                <w:b/>
                <w:sz w:val="16"/>
                <w:szCs w:val="16"/>
              </w:rPr>
              <w:t>Footnotes</w:t>
            </w:r>
          </w:p>
        </w:tc>
      </w:tr>
      <w:tr w:rsidR="00E254E2" w:rsidRPr="00A57B6E" w:rsidTr="00E254E2">
        <w:trPr>
          <w:trHeight w:val="705"/>
        </w:trPr>
        <w:tc>
          <w:tcPr>
            <w:tcW w:w="5976" w:type="dxa"/>
            <w:gridSpan w:val="5"/>
            <w:tcBorders>
              <w:top w:val="nil"/>
              <w:left w:val="single" w:sz="8" w:space="0" w:color="auto"/>
              <w:bottom w:val="double" w:sz="6" w:space="0" w:color="auto"/>
              <w:right w:val="single" w:sz="4" w:space="0" w:color="000000"/>
            </w:tcBorders>
            <w:shd w:val="clear" w:color="auto" w:fill="D9D9D9" w:themeFill="background1" w:themeFillShade="D9"/>
            <w:noWrap/>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Burden Item</w:t>
            </w:r>
          </w:p>
        </w:tc>
        <w:tc>
          <w:tcPr>
            <w:tcW w:w="1333" w:type="dxa"/>
            <w:tcBorders>
              <w:top w:val="nil"/>
              <w:left w:val="nil"/>
              <w:bottom w:val="double" w:sz="6" w:space="0" w:color="auto"/>
              <w:right w:val="nil"/>
            </w:tcBorders>
            <w:shd w:val="clear" w:color="auto" w:fill="D9D9D9" w:themeFill="background1" w:themeFillShade="D9"/>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Number of Occurrences Per Year</w:t>
            </w:r>
          </w:p>
        </w:tc>
        <w:tc>
          <w:tcPr>
            <w:tcW w:w="1312" w:type="dxa"/>
            <w:tcBorders>
              <w:top w:val="nil"/>
              <w:left w:val="single" w:sz="4" w:space="0" w:color="000000"/>
              <w:bottom w:val="double" w:sz="6" w:space="0" w:color="auto"/>
              <w:right w:val="single" w:sz="4" w:space="0" w:color="auto"/>
            </w:tcBorders>
            <w:shd w:val="clear" w:color="auto" w:fill="D9D9D9" w:themeFill="background1" w:themeFillShade="D9"/>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EPA Hours Per Occurrence</w:t>
            </w:r>
          </w:p>
        </w:tc>
        <w:tc>
          <w:tcPr>
            <w:tcW w:w="1088" w:type="dxa"/>
            <w:tcBorders>
              <w:top w:val="nil"/>
              <w:left w:val="nil"/>
              <w:bottom w:val="double" w:sz="6" w:space="0" w:color="auto"/>
              <w:right w:val="single" w:sz="4" w:space="0" w:color="auto"/>
            </w:tcBorders>
            <w:shd w:val="clear" w:color="auto" w:fill="D9D9D9" w:themeFill="background1" w:themeFillShade="D9"/>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Tech Hours Per Year (C=AxB)</w:t>
            </w:r>
          </w:p>
        </w:tc>
        <w:tc>
          <w:tcPr>
            <w:tcW w:w="1510" w:type="dxa"/>
            <w:tcBorders>
              <w:top w:val="nil"/>
              <w:left w:val="nil"/>
              <w:bottom w:val="double" w:sz="6" w:space="0" w:color="auto"/>
              <w:right w:val="single" w:sz="4" w:space="0" w:color="auto"/>
            </w:tcBorders>
            <w:shd w:val="clear" w:color="auto" w:fill="D9D9D9" w:themeFill="background1" w:themeFillShade="D9"/>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Management Hours Per Year (D=Cx0.05)</w:t>
            </w:r>
          </w:p>
        </w:tc>
        <w:tc>
          <w:tcPr>
            <w:tcW w:w="941" w:type="dxa"/>
            <w:tcBorders>
              <w:top w:val="nil"/>
              <w:left w:val="nil"/>
              <w:bottom w:val="double" w:sz="6" w:space="0" w:color="auto"/>
              <w:right w:val="single" w:sz="4" w:space="0" w:color="auto"/>
            </w:tcBorders>
            <w:shd w:val="clear" w:color="auto" w:fill="D9D9D9" w:themeFill="background1" w:themeFillShade="D9"/>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Clerical Hours Per Year (E=Cx0.1)</w:t>
            </w:r>
          </w:p>
        </w:tc>
        <w:tc>
          <w:tcPr>
            <w:tcW w:w="795" w:type="dxa"/>
            <w:tcBorders>
              <w:top w:val="nil"/>
              <w:left w:val="nil"/>
              <w:bottom w:val="double" w:sz="6" w:space="0" w:color="auto"/>
              <w:right w:val="single" w:sz="4" w:space="0" w:color="auto"/>
            </w:tcBorders>
            <w:shd w:val="clear" w:color="auto" w:fill="D9D9D9" w:themeFill="background1" w:themeFillShade="D9"/>
            <w:vAlign w:val="bottom"/>
            <w:hideMark/>
          </w:tcPr>
          <w:p w:rsidR="00E254E2" w:rsidRPr="00A57B6E" w:rsidRDefault="00E254E2" w:rsidP="00E254E2">
            <w:pPr>
              <w:jc w:val="center"/>
              <w:rPr>
                <w:rFonts w:ascii="Arial" w:hAnsi="Arial" w:cs="Arial"/>
                <w:b/>
                <w:sz w:val="16"/>
                <w:szCs w:val="16"/>
              </w:rPr>
            </w:pPr>
            <w:r w:rsidRPr="00A57B6E">
              <w:rPr>
                <w:rFonts w:ascii="Arial" w:hAnsi="Arial" w:cs="Arial"/>
                <w:b/>
                <w:sz w:val="16"/>
                <w:szCs w:val="16"/>
              </w:rPr>
              <w:t>EPA Cost Per Year (a,b)</w:t>
            </w:r>
          </w:p>
        </w:tc>
        <w:tc>
          <w:tcPr>
            <w:tcW w:w="423" w:type="dxa"/>
            <w:vMerge/>
            <w:tcBorders>
              <w:top w:val="single" w:sz="8" w:space="0" w:color="auto"/>
              <w:left w:val="nil"/>
              <w:bottom w:val="double" w:sz="6" w:space="0" w:color="000000"/>
              <w:right w:val="single" w:sz="8" w:space="0" w:color="auto"/>
            </w:tcBorders>
            <w:shd w:val="clear" w:color="auto" w:fill="D9D9D9" w:themeFill="background1" w:themeFillShade="D9"/>
            <w:vAlign w:val="center"/>
            <w:hideMark/>
          </w:tcPr>
          <w:p w:rsidR="00E254E2" w:rsidRPr="00A57B6E" w:rsidRDefault="00E254E2" w:rsidP="00E254E2">
            <w:pPr>
              <w:rPr>
                <w:rFonts w:ascii="Calibri" w:hAnsi="Calibri" w:cs="Calibri"/>
                <w:b/>
                <w:sz w:val="16"/>
                <w:szCs w:val="16"/>
              </w:rPr>
            </w:pPr>
          </w:p>
        </w:tc>
      </w:tr>
      <w:tr w:rsidR="00E254E2" w:rsidRPr="00A57B6E" w:rsidTr="00E254E2">
        <w:trPr>
          <w:trHeight w:val="240"/>
        </w:trPr>
        <w:tc>
          <w:tcPr>
            <w:tcW w:w="350" w:type="dxa"/>
            <w:tcBorders>
              <w:top w:val="nil"/>
              <w:left w:val="single" w:sz="8" w:space="0" w:color="auto"/>
              <w:bottom w:val="single" w:sz="4" w:space="0" w:color="000000"/>
              <w:right w:val="nil"/>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1.</w:t>
            </w:r>
          </w:p>
        </w:tc>
        <w:tc>
          <w:tcPr>
            <w:tcW w:w="5354" w:type="dxa"/>
            <w:gridSpan w:val="3"/>
            <w:tcBorders>
              <w:top w:val="nil"/>
              <w:left w:val="nil"/>
              <w:bottom w:val="single" w:sz="4" w:space="0" w:color="000000"/>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Applications</w:t>
            </w:r>
          </w:p>
        </w:tc>
        <w:tc>
          <w:tcPr>
            <w:tcW w:w="272" w:type="dxa"/>
            <w:tcBorders>
              <w:top w:val="nil"/>
              <w:left w:val="nil"/>
              <w:bottom w:val="single" w:sz="4" w:space="0" w:color="000000"/>
              <w:right w:val="single" w:sz="4" w:space="0" w:color="000000"/>
            </w:tcBorders>
            <w:shd w:val="clear" w:color="000000" w:fill="FFFFFF"/>
            <w:noWrap/>
            <w:vAlign w:val="bottom"/>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7402" w:type="dxa"/>
            <w:gridSpan w:val="7"/>
            <w:tcBorders>
              <w:top w:val="nil"/>
              <w:left w:val="nil"/>
              <w:bottom w:val="single" w:sz="4" w:space="0" w:color="auto"/>
              <w:right w:val="single" w:sz="8" w:space="0" w:color="000000"/>
            </w:tcBorders>
            <w:shd w:val="clear" w:color="000000" w:fill="FFFFFF"/>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not applicable</w:t>
            </w:r>
          </w:p>
        </w:tc>
      </w:tr>
      <w:tr w:rsidR="00E254E2" w:rsidRPr="00A57B6E" w:rsidTr="00E254E2">
        <w:trPr>
          <w:trHeight w:val="240"/>
        </w:trPr>
        <w:tc>
          <w:tcPr>
            <w:tcW w:w="350" w:type="dxa"/>
            <w:tcBorders>
              <w:top w:val="nil"/>
              <w:left w:val="single" w:sz="8" w:space="0" w:color="auto"/>
              <w:bottom w:val="nil"/>
              <w:right w:val="nil"/>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2.</w:t>
            </w:r>
          </w:p>
        </w:tc>
        <w:tc>
          <w:tcPr>
            <w:tcW w:w="5354" w:type="dxa"/>
            <w:gridSpan w:val="3"/>
            <w:tcBorders>
              <w:top w:val="nil"/>
              <w:left w:val="nil"/>
              <w:bottom w:val="nil"/>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Read and Understand Rule Requirements</w:t>
            </w:r>
          </w:p>
        </w:tc>
        <w:tc>
          <w:tcPr>
            <w:tcW w:w="272" w:type="dxa"/>
            <w:tcBorders>
              <w:top w:val="nil"/>
              <w:left w:val="nil"/>
              <w:bottom w:val="nil"/>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1333" w:type="dxa"/>
            <w:tcBorders>
              <w:top w:val="nil"/>
              <w:left w:val="single" w:sz="4" w:space="0" w:color="000000"/>
              <w:bottom w:val="single" w:sz="4" w:space="0" w:color="000000"/>
              <w:right w:val="single" w:sz="4"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0 </w:t>
            </w:r>
          </w:p>
        </w:tc>
        <w:tc>
          <w:tcPr>
            <w:tcW w:w="1312"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40</w:t>
            </w:r>
          </w:p>
        </w:tc>
        <w:tc>
          <w:tcPr>
            <w:tcW w:w="1088"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0</w:t>
            </w:r>
          </w:p>
        </w:tc>
        <w:tc>
          <w:tcPr>
            <w:tcW w:w="1510"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0</w:t>
            </w:r>
          </w:p>
        </w:tc>
        <w:tc>
          <w:tcPr>
            <w:tcW w:w="941"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0</w:t>
            </w:r>
          </w:p>
        </w:tc>
        <w:tc>
          <w:tcPr>
            <w:tcW w:w="795"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$0 </w:t>
            </w:r>
          </w:p>
        </w:tc>
        <w:tc>
          <w:tcPr>
            <w:tcW w:w="423" w:type="dxa"/>
            <w:tcBorders>
              <w:top w:val="nil"/>
              <w:left w:val="nil"/>
              <w:bottom w:val="single" w:sz="4" w:space="0" w:color="auto"/>
              <w:right w:val="single" w:sz="8"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a</w:t>
            </w:r>
          </w:p>
        </w:tc>
      </w:tr>
      <w:tr w:rsidR="00E254E2" w:rsidRPr="00A57B6E" w:rsidTr="00E254E2">
        <w:trPr>
          <w:trHeight w:val="240"/>
        </w:trPr>
        <w:tc>
          <w:tcPr>
            <w:tcW w:w="350" w:type="dxa"/>
            <w:tcBorders>
              <w:top w:val="single" w:sz="4" w:space="0" w:color="auto"/>
              <w:left w:val="single" w:sz="8" w:space="0" w:color="auto"/>
              <w:bottom w:val="single" w:sz="4" w:space="0" w:color="auto"/>
              <w:right w:val="nil"/>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3.</w:t>
            </w:r>
          </w:p>
        </w:tc>
        <w:tc>
          <w:tcPr>
            <w:tcW w:w="5354" w:type="dxa"/>
            <w:gridSpan w:val="3"/>
            <w:tcBorders>
              <w:top w:val="single" w:sz="4" w:space="0" w:color="auto"/>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Required Activities</w:t>
            </w:r>
          </w:p>
        </w:tc>
        <w:tc>
          <w:tcPr>
            <w:tcW w:w="272" w:type="dxa"/>
            <w:tcBorders>
              <w:top w:val="single" w:sz="4" w:space="0" w:color="auto"/>
              <w:left w:val="nil"/>
              <w:bottom w:val="single" w:sz="4" w:space="0" w:color="auto"/>
              <w:right w:val="single" w:sz="4" w:space="0" w:color="000000"/>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7402" w:type="dxa"/>
            <w:gridSpan w:val="7"/>
            <w:tcBorders>
              <w:top w:val="single" w:sz="4" w:space="0" w:color="auto"/>
              <w:left w:val="nil"/>
              <w:bottom w:val="single" w:sz="4" w:space="0" w:color="auto"/>
              <w:right w:val="single" w:sz="8"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w:t>
            </w:r>
          </w:p>
        </w:tc>
      </w:tr>
      <w:tr w:rsidR="00E254E2" w:rsidRPr="00A57B6E" w:rsidTr="00E254E2">
        <w:trPr>
          <w:trHeight w:val="240"/>
        </w:trPr>
        <w:tc>
          <w:tcPr>
            <w:tcW w:w="350" w:type="dxa"/>
            <w:tcBorders>
              <w:top w:val="nil"/>
              <w:left w:val="single" w:sz="8" w:space="0" w:color="auto"/>
              <w:bottom w:val="nil"/>
              <w:right w:val="nil"/>
            </w:tcBorders>
            <w:shd w:val="clear" w:color="000000" w:fill="FFFFFF"/>
            <w:noWrap/>
            <w:vAlign w:val="center"/>
            <w:hideMark/>
          </w:tcPr>
          <w:p w:rsidR="00E254E2" w:rsidRPr="00A57B6E" w:rsidRDefault="00E254E2" w:rsidP="00E254E2">
            <w:pPr>
              <w:rPr>
                <w:rFonts w:ascii="Arial" w:hAnsi="Arial" w:cs="Arial"/>
                <w:color w:val="0000FF"/>
                <w:sz w:val="16"/>
                <w:szCs w:val="16"/>
              </w:rPr>
            </w:pPr>
            <w:r w:rsidRPr="00A57B6E">
              <w:rPr>
                <w:rFonts w:ascii="Arial" w:hAnsi="Arial" w:cs="Arial"/>
                <w:color w:val="0000FF"/>
                <w:sz w:val="16"/>
                <w:szCs w:val="16"/>
              </w:rPr>
              <w:t> </w:t>
            </w:r>
          </w:p>
        </w:tc>
        <w:tc>
          <w:tcPr>
            <w:tcW w:w="379" w:type="dxa"/>
            <w:tcBorders>
              <w:top w:val="nil"/>
              <w:left w:val="nil"/>
              <w:bottom w:val="nil"/>
              <w:right w:val="nil"/>
            </w:tcBorders>
            <w:shd w:val="clear" w:color="000000" w:fill="FFFFFF"/>
            <w:noWrap/>
            <w:vAlign w:val="center"/>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A.</w:t>
            </w:r>
          </w:p>
        </w:tc>
        <w:tc>
          <w:tcPr>
            <w:tcW w:w="5247" w:type="dxa"/>
            <w:gridSpan w:val="3"/>
            <w:tcBorders>
              <w:top w:val="nil"/>
              <w:left w:val="nil"/>
              <w:bottom w:val="single" w:sz="4" w:space="0" w:color="000000"/>
              <w:right w:val="single" w:sz="4" w:space="0" w:color="000000"/>
            </w:tcBorders>
            <w:shd w:val="clear" w:color="000000" w:fill="FFFFFF"/>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Observe stack tests</w:t>
            </w:r>
          </w:p>
        </w:tc>
        <w:tc>
          <w:tcPr>
            <w:tcW w:w="1333" w:type="dxa"/>
            <w:tcBorders>
              <w:top w:val="nil"/>
              <w:left w:val="nil"/>
              <w:bottom w:val="nil"/>
              <w:right w:val="single" w:sz="4"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7 </w:t>
            </w:r>
          </w:p>
        </w:tc>
        <w:tc>
          <w:tcPr>
            <w:tcW w:w="1312" w:type="dxa"/>
            <w:tcBorders>
              <w:top w:val="nil"/>
              <w:left w:val="nil"/>
              <w:bottom w:val="nil"/>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48 </w:t>
            </w:r>
          </w:p>
        </w:tc>
        <w:tc>
          <w:tcPr>
            <w:tcW w:w="1088" w:type="dxa"/>
            <w:tcBorders>
              <w:top w:val="nil"/>
              <w:left w:val="nil"/>
              <w:bottom w:val="nil"/>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336</w:t>
            </w:r>
          </w:p>
        </w:tc>
        <w:tc>
          <w:tcPr>
            <w:tcW w:w="1510" w:type="dxa"/>
            <w:tcBorders>
              <w:top w:val="nil"/>
              <w:left w:val="nil"/>
              <w:bottom w:val="nil"/>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17</w:t>
            </w:r>
          </w:p>
        </w:tc>
        <w:tc>
          <w:tcPr>
            <w:tcW w:w="941" w:type="dxa"/>
            <w:tcBorders>
              <w:top w:val="nil"/>
              <w:left w:val="nil"/>
              <w:bottom w:val="nil"/>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34</w:t>
            </w:r>
          </w:p>
        </w:tc>
        <w:tc>
          <w:tcPr>
            <w:tcW w:w="795"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$17,412 </w:t>
            </w:r>
          </w:p>
        </w:tc>
        <w:tc>
          <w:tcPr>
            <w:tcW w:w="423" w:type="dxa"/>
            <w:tcBorders>
              <w:top w:val="nil"/>
              <w:left w:val="nil"/>
              <w:bottom w:val="single" w:sz="4" w:space="0" w:color="auto"/>
              <w:right w:val="single" w:sz="8"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b</w:t>
            </w:r>
          </w:p>
        </w:tc>
      </w:tr>
      <w:tr w:rsidR="00E254E2" w:rsidRPr="00A57B6E" w:rsidTr="00E254E2">
        <w:trPr>
          <w:trHeight w:val="240"/>
        </w:trPr>
        <w:tc>
          <w:tcPr>
            <w:tcW w:w="350" w:type="dxa"/>
            <w:tcBorders>
              <w:top w:val="single" w:sz="4" w:space="0" w:color="000000"/>
              <w:left w:val="single" w:sz="8" w:space="0" w:color="auto"/>
              <w:bottom w:val="single" w:sz="4" w:space="0" w:color="000000"/>
              <w:right w:val="nil"/>
            </w:tcBorders>
            <w:shd w:val="clear" w:color="000000" w:fill="FFFFFF"/>
            <w:noWrap/>
            <w:vAlign w:val="center"/>
            <w:hideMark/>
          </w:tcPr>
          <w:p w:rsidR="00E254E2" w:rsidRPr="00A57B6E" w:rsidRDefault="00E254E2" w:rsidP="00E254E2">
            <w:pPr>
              <w:rPr>
                <w:rFonts w:ascii="Arial" w:hAnsi="Arial" w:cs="Arial"/>
                <w:color w:val="0000FF"/>
                <w:sz w:val="16"/>
                <w:szCs w:val="16"/>
              </w:rPr>
            </w:pPr>
            <w:r w:rsidRPr="00A57B6E">
              <w:rPr>
                <w:rFonts w:ascii="Arial" w:hAnsi="Arial" w:cs="Arial"/>
                <w:color w:val="0000FF"/>
                <w:sz w:val="16"/>
                <w:szCs w:val="16"/>
              </w:rPr>
              <w:t> </w:t>
            </w:r>
          </w:p>
        </w:tc>
        <w:tc>
          <w:tcPr>
            <w:tcW w:w="379" w:type="dxa"/>
            <w:tcBorders>
              <w:top w:val="single" w:sz="4" w:space="0" w:color="000000"/>
              <w:left w:val="nil"/>
              <w:bottom w:val="single" w:sz="4" w:space="0" w:color="000000"/>
              <w:right w:val="nil"/>
            </w:tcBorders>
            <w:shd w:val="clear" w:color="000000" w:fill="FFFFFF"/>
            <w:noWrap/>
            <w:vAlign w:val="center"/>
            <w:hideMark/>
          </w:tcPr>
          <w:p w:rsidR="00E254E2" w:rsidRPr="00A57B6E" w:rsidRDefault="00E254E2" w:rsidP="00E254E2">
            <w:pPr>
              <w:jc w:val="right"/>
              <w:rPr>
                <w:rFonts w:ascii="Arial" w:hAnsi="Arial" w:cs="Arial"/>
                <w:color w:val="000000"/>
                <w:sz w:val="16"/>
                <w:szCs w:val="16"/>
              </w:rPr>
            </w:pPr>
            <w:r w:rsidRPr="00A57B6E">
              <w:rPr>
                <w:rFonts w:ascii="Arial" w:hAnsi="Arial" w:cs="Arial"/>
                <w:color w:val="000000"/>
                <w:sz w:val="16"/>
                <w:szCs w:val="16"/>
              </w:rPr>
              <w:t>B.</w:t>
            </w:r>
          </w:p>
        </w:tc>
        <w:tc>
          <w:tcPr>
            <w:tcW w:w="4975" w:type="dxa"/>
            <w:gridSpan w:val="2"/>
            <w:tcBorders>
              <w:top w:val="single" w:sz="4" w:space="0" w:color="000000"/>
              <w:left w:val="nil"/>
              <w:bottom w:val="single" w:sz="4" w:space="0" w:color="000000"/>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Excess emissions -- Enforcement Activities</w:t>
            </w:r>
          </w:p>
        </w:tc>
        <w:tc>
          <w:tcPr>
            <w:tcW w:w="272" w:type="dxa"/>
            <w:tcBorders>
              <w:top w:val="nil"/>
              <w:left w:val="nil"/>
              <w:bottom w:val="single" w:sz="4" w:space="0" w:color="000000"/>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1333"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3 </w:t>
            </w:r>
          </w:p>
        </w:tc>
        <w:tc>
          <w:tcPr>
            <w:tcW w:w="1312" w:type="dxa"/>
            <w:tcBorders>
              <w:top w:val="single" w:sz="4" w:space="0" w:color="000000"/>
              <w:left w:val="nil"/>
              <w:bottom w:val="nil"/>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24 </w:t>
            </w:r>
          </w:p>
        </w:tc>
        <w:tc>
          <w:tcPr>
            <w:tcW w:w="1088" w:type="dxa"/>
            <w:tcBorders>
              <w:top w:val="single" w:sz="4" w:space="0" w:color="000000"/>
              <w:left w:val="nil"/>
              <w:bottom w:val="nil"/>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72</w:t>
            </w:r>
          </w:p>
        </w:tc>
        <w:tc>
          <w:tcPr>
            <w:tcW w:w="1510" w:type="dxa"/>
            <w:tcBorders>
              <w:top w:val="single" w:sz="4" w:space="0" w:color="000000"/>
              <w:left w:val="nil"/>
              <w:bottom w:val="nil"/>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4</w:t>
            </w:r>
          </w:p>
        </w:tc>
        <w:tc>
          <w:tcPr>
            <w:tcW w:w="941" w:type="dxa"/>
            <w:tcBorders>
              <w:top w:val="single" w:sz="4" w:space="0" w:color="000000"/>
              <w:left w:val="nil"/>
              <w:bottom w:val="nil"/>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7</w:t>
            </w:r>
          </w:p>
        </w:tc>
        <w:tc>
          <w:tcPr>
            <w:tcW w:w="795"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$3,731 </w:t>
            </w:r>
          </w:p>
        </w:tc>
        <w:tc>
          <w:tcPr>
            <w:tcW w:w="423" w:type="dxa"/>
            <w:tcBorders>
              <w:top w:val="nil"/>
              <w:left w:val="nil"/>
              <w:bottom w:val="single" w:sz="4" w:space="0" w:color="auto"/>
              <w:right w:val="single" w:sz="8"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c</w:t>
            </w:r>
          </w:p>
        </w:tc>
      </w:tr>
      <w:tr w:rsidR="00E254E2" w:rsidRPr="00A57B6E" w:rsidTr="00E254E2">
        <w:trPr>
          <w:trHeight w:val="240"/>
        </w:trPr>
        <w:tc>
          <w:tcPr>
            <w:tcW w:w="350" w:type="dxa"/>
            <w:tcBorders>
              <w:top w:val="nil"/>
              <w:left w:val="single" w:sz="8" w:space="0" w:color="auto"/>
              <w:bottom w:val="single" w:sz="4" w:space="0" w:color="000000"/>
              <w:right w:val="nil"/>
            </w:tcBorders>
            <w:shd w:val="clear" w:color="000000" w:fill="FFFFFF"/>
            <w:noWrap/>
            <w:vAlign w:val="center"/>
            <w:hideMark/>
          </w:tcPr>
          <w:p w:rsidR="00E254E2" w:rsidRPr="00A57B6E" w:rsidRDefault="00E254E2" w:rsidP="00E254E2">
            <w:pPr>
              <w:rPr>
                <w:rFonts w:ascii="Arial" w:hAnsi="Arial" w:cs="Arial"/>
                <w:color w:val="0000FF"/>
                <w:sz w:val="16"/>
                <w:szCs w:val="16"/>
              </w:rPr>
            </w:pPr>
            <w:r w:rsidRPr="00A57B6E">
              <w:rPr>
                <w:rFonts w:ascii="Arial" w:hAnsi="Arial" w:cs="Arial"/>
                <w:color w:val="0000FF"/>
                <w:sz w:val="16"/>
                <w:szCs w:val="16"/>
              </w:rPr>
              <w:t> </w:t>
            </w:r>
          </w:p>
        </w:tc>
        <w:tc>
          <w:tcPr>
            <w:tcW w:w="379" w:type="dxa"/>
            <w:tcBorders>
              <w:top w:val="nil"/>
              <w:left w:val="nil"/>
              <w:bottom w:val="single" w:sz="4" w:space="0" w:color="000000"/>
              <w:right w:val="nil"/>
            </w:tcBorders>
            <w:shd w:val="clear" w:color="000000" w:fill="FFFFFF"/>
            <w:noWrap/>
            <w:vAlign w:val="center"/>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C.</w:t>
            </w:r>
          </w:p>
        </w:tc>
        <w:tc>
          <w:tcPr>
            <w:tcW w:w="4975" w:type="dxa"/>
            <w:gridSpan w:val="2"/>
            <w:tcBorders>
              <w:top w:val="nil"/>
              <w:left w:val="nil"/>
              <w:bottom w:val="single" w:sz="4" w:space="0" w:color="000000"/>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Create Information</w:t>
            </w:r>
          </w:p>
        </w:tc>
        <w:tc>
          <w:tcPr>
            <w:tcW w:w="272" w:type="dxa"/>
            <w:tcBorders>
              <w:top w:val="nil"/>
              <w:left w:val="nil"/>
              <w:bottom w:val="single" w:sz="4" w:space="0" w:color="000000"/>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7402" w:type="dxa"/>
            <w:gridSpan w:val="7"/>
            <w:tcBorders>
              <w:top w:val="single" w:sz="4" w:space="0" w:color="auto"/>
              <w:left w:val="single" w:sz="4" w:space="0" w:color="000000"/>
              <w:bottom w:val="single" w:sz="4" w:space="0" w:color="auto"/>
              <w:right w:val="single" w:sz="8"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not applicable</w:t>
            </w:r>
          </w:p>
        </w:tc>
      </w:tr>
      <w:tr w:rsidR="00E254E2" w:rsidRPr="00A57B6E" w:rsidTr="00E254E2">
        <w:trPr>
          <w:trHeight w:val="240"/>
        </w:trPr>
        <w:tc>
          <w:tcPr>
            <w:tcW w:w="350" w:type="dxa"/>
            <w:tcBorders>
              <w:top w:val="nil"/>
              <w:left w:val="single" w:sz="8" w:space="0" w:color="auto"/>
              <w:bottom w:val="nil"/>
              <w:right w:val="nil"/>
            </w:tcBorders>
            <w:shd w:val="clear" w:color="000000" w:fill="FFFFFF"/>
            <w:noWrap/>
            <w:vAlign w:val="center"/>
            <w:hideMark/>
          </w:tcPr>
          <w:p w:rsidR="00E254E2" w:rsidRPr="00A57B6E" w:rsidRDefault="00E254E2" w:rsidP="00E254E2">
            <w:pPr>
              <w:rPr>
                <w:rFonts w:ascii="Arial" w:hAnsi="Arial" w:cs="Arial"/>
                <w:color w:val="0000FF"/>
                <w:sz w:val="16"/>
                <w:szCs w:val="16"/>
              </w:rPr>
            </w:pPr>
            <w:r w:rsidRPr="00A57B6E">
              <w:rPr>
                <w:rFonts w:ascii="Arial" w:hAnsi="Arial" w:cs="Arial"/>
                <w:color w:val="0000FF"/>
                <w:sz w:val="16"/>
                <w:szCs w:val="16"/>
              </w:rPr>
              <w:t> </w:t>
            </w:r>
          </w:p>
        </w:tc>
        <w:tc>
          <w:tcPr>
            <w:tcW w:w="379" w:type="dxa"/>
            <w:tcBorders>
              <w:top w:val="nil"/>
              <w:left w:val="nil"/>
              <w:bottom w:val="nil"/>
              <w:right w:val="nil"/>
            </w:tcBorders>
            <w:shd w:val="clear" w:color="000000" w:fill="FFFFFF"/>
            <w:noWrap/>
            <w:vAlign w:val="center"/>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D.</w:t>
            </w:r>
          </w:p>
        </w:tc>
        <w:tc>
          <w:tcPr>
            <w:tcW w:w="4975" w:type="dxa"/>
            <w:gridSpan w:val="2"/>
            <w:tcBorders>
              <w:top w:val="single" w:sz="4" w:space="0" w:color="000000"/>
              <w:left w:val="nil"/>
              <w:bottom w:val="nil"/>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Gather Information</w:t>
            </w:r>
          </w:p>
        </w:tc>
        <w:tc>
          <w:tcPr>
            <w:tcW w:w="272" w:type="dxa"/>
            <w:tcBorders>
              <w:top w:val="nil"/>
              <w:left w:val="nil"/>
              <w:bottom w:val="nil"/>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7402" w:type="dxa"/>
            <w:gridSpan w:val="7"/>
            <w:tcBorders>
              <w:top w:val="single" w:sz="4" w:space="0" w:color="auto"/>
              <w:left w:val="single" w:sz="4" w:space="0" w:color="000000"/>
              <w:bottom w:val="nil"/>
              <w:right w:val="single" w:sz="8"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not applicable</w:t>
            </w:r>
          </w:p>
        </w:tc>
      </w:tr>
      <w:tr w:rsidR="00E254E2" w:rsidRPr="00A57B6E" w:rsidTr="00E254E2">
        <w:trPr>
          <w:trHeight w:val="240"/>
        </w:trPr>
        <w:tc>
          <w:tcPr>
            <w:tcW w:w="350" w:type="dxa"/>
            <w:tcBorders>
              <w:top w:val="single" w:sz="4" w:space="0" w:color="auto"/>
              <w:left w:val="single" w:sz="8" w:space="0" w:color="auto"/>
              <w:bottom w:val="single" w:sz="4" w:space="0" w:color="auto"/>
              <w:right w:val="nil"/>
            </w:tcBorders>
            <w:shd w:val="clear" w:color="000000" w:fill="FFFFFF"/>
            <w:noWrap/>
            <w:vAlign w:val="center"/>
            <w:hideMark/>
          </w:tcPr>
          <w:p w:rsidR="00E254E2" w:rsidRPr="00A57B6E" w:rsidRDefault="00E254E2" w:rsidP="00E254E2">
            <w:pPr>
              <w:rPr>
                <w:rFonts w:ascii="Arial" w:hAnsi="Arial" w:cs="Arial"/>
                <w:color w:val="0000FF"/>
                <w:sz w:val="16"/>
                <w:szCs w:val="16"/>
              </w:rPr>
            </w:pPr>
            <w:r w:rsidRPr="00A57B6E">
              <w:rPr>
                <w:rFonts w:ascii="Arial" w:hAnsi="Arial" w:cs="Arial"/>
                <w:color w:val="0000FF"/>
                <w:sz w:val="16"/>
                <w:szCs w:val="16"/>
              </w:rPr>
              <w:t> </w:t>
            </w:r>
          </w:p>
        </w:tc>
        <w:tc>
          <w:tcPr>
            <w:tcW w:w="379" w:type="dxa"/>
            <w:tcBorders>
              <w:top w:val="single" w:sz="4" w:space="0" w:color="auto"/>
              <w:left w:val="nil"/>
              <w:bottom w:val="single" w:sz="4" w:space="0" w:color="auto"/>
              <w:right w:val="nil"/>
            </w:tcBorders>
            <w:shd w:val="clear" w:color="000000" w:fill="FFFFFF"/>
            <w:noWrap/>
            <w:vAlign w:val="center"/>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E.</w:t>
            </w:r>
          </w:p>
        </w:tc>
        <w:tc>
          <w:tcPr>
            <w:tcW w:w="4975" w:type="dxa"/>
            <w:gridSpan w:val="2"/>
            <w:tcBorders>
              <w:top w:val="single" w:sz="4" w:space="0" w:color="auto"/>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Report Reviews</w:t>
            </w:r>
          </w:p>
        </w:tc>
        <w:tc>
          <w:tcPr>
            <w:tcW w:w="272" w:type="dxa"/>
            <w:tcBorders>
              <w:top w:val="single" w:sz="4" w:space="0" w:color="auto"/>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7402" w:type="dxa"/>
            <w:gridSpan w:val="7"/>
            <w:tcBorders>
              <w:top w:val="single" w:sz="4" w:space="0" w:color="auto"/>
              <w:left w:val="single" w:sz="4" w:space="0" w:color="000000"/>
              <w:bottom w:val="single" w:sz="4" w:space="0" w:color="auto"/>
              <w:right w:val="single" w:sz="8"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w:t>
            </w:r>
          </w:p>
        </w:tc>
      </w:tr>
      <w:tr w:rsidR="00E254E2" w:rsidRPr="00A57B6E" w:rsidTr="00E254E2">
        <w:trPr>
          <w:trHeight w:val="240"/>
        </w:trPr>
        <w:tc>
          <w:tcPr>
            <w:tcW w:w="350" w:type="dxa"/>
            <w:tcBorders>
              <w:top w:val="nil"/>
              <w:left w:val="single" w:sz="8" w:space="0" w:color="auto"/>
              <w:bottom w:val="single" w:sz="4" w:space="0" w:color="auto"/>
              <w:right w:val="nil"/>
            </w:tcBorders>
            <w:shd w:val="clear" w:color="000000" w:fill="FFFFFF"/>
            <w:noWrap/>
            <w:vAlign w:val="center"/>
            <w:hideMark/>
          </w:tcPr>
          <w:p w:rsidR="00E254E2" w:rsidRPr="00A57B6E" w:rsidRDefault="00E254E2" w:rsidP="00E254E2">
            <w:pPr>
              <w:rPr>
                <w:rFonts w:ascii="Arial" w:hAnsi="Arial" w:cs="Arial"/>
                <w:color w:val="0000FF"/>
                <w:sz w:val="16"/>
                <w:szCs w:val="16"/>
              </w:rPr>
            </w:pPr>
            <w:r w:rsidRPr="00A57B6E">
              <w:rPr>
                <w:rFonts w:ascii="Arial" w:hAnsi="Arial" w:cs="Arial"/>
                <w:color w:val="0000FF"/>
                <w:sz w:val="16"/>
                <w:szCs w:val="16"/>
              </w:rPr>
              <w:t> </w:t>
            </w:r>
          </w:p>
        </w:tc>
        <w:tc>
          <w:tcPr>
            <w:tcW w:w="379" w:type="dxa"/>
            <w:tcBorders>
              <w:top w:val="nil"/>
              <w:left w:val="nil"/>
              <w:bottom w:val="single" w:sz="4" w:space="0" w:color="auto"/>
              <w:right w:val="nil"/>
            </w:tcBorders>
            <w:shd w:val="clear" w:color="000000" w:fill="FFFFFF"/>
            <w:noWrap/>
            <w:vAlign w:val="center"/>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 </w:t>
            </w:r>
          </w:p>
        </w:tc>
        <w:tc>
          <w:tcPr>
            <w:tcW w:w="353" w:type="dxa"/>
            <w:tcBorders>
              <w:top w:val="nil"/>
              <w:left w:val="nil"/>
              <w:bottom w:val="single" w:sz="4" w:space="0" w:color="auto"/>
              <w:right w:val="nil"/>
            </w:tcBorders>
            <w:shd w:val="clear" w:color="000000" w:fill="FFFFFF"/>
            <w:noWrap/>
            <w:vAlign w:val="bottom"/>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1.</w:t>
            </w:r>
          </w:p>
        </w:tc>
        <w:tc>
          <w:tcPr>
            <w:tcW w:w="4622" w:type="dxa"/>
            <w:tcBorders>
              <w:top w:val="nil"/>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Review work practice SOP</w:t>
            </w:r>
          </w:p>
        </w:tc>
        <w:tc>
          <w:tcPr>
            <w:tcW w:w="272" w:type="dxa"/>
            <w:tcBorders>
              <w:top w:val="nil"/>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1333" w:type="dxa"/>
            <w:tcBorders>
              <w:top w:val="nil"/>
              <w:left w:val="single" w:sz="4" w:space="0" w:color="000000"/>
              <w:bottom w:val="single" w:sz="4" w:space="0" w:color="auto"/>
              <w:right w:val="single" w:sz="4"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0 </w:t>
            </w:r>
          </w:p>
        </w:tc>
        <w:tc>
          <w:tcPr>
            <w:tcW w:w="1312"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10 </w:t>
            </w:r>
          </w:p>
        </w:tc>
        <w:tc>
          <w:tcPr>
            <w:tcW w:w="1088"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0</w:t>
            </w:r>
          </w:p>
        </w:tc>
        <w:tc>
          <w:tcPr>
            <w:tcW w:w="1510"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0</w:t>
            </w:r>
          </w:p>
        </w:tc>
        <w:tc>
          <w:tcPr>
            <w:tcW w:w="941"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0</w:t>
            </w:r>
          </w:p>
        </w:tc>
        <w:tc>
          <w:tcPr>
            <w:tcW w:w="795"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$0 </w:t>
            </w:r>
          </w:p>
        </w:tc>
        <w:tc>
          <w:tcPr>
            <w:tcW w:w="423" w:type="dxa"/>
            <w:tcBorders>
              <w:top w:val="nil"/>
              <w:left w:val="nil"/>
              <w:bottom w:val="single" w:sz="4" w:space="0" w:color="auto"/>
              <w:right w:val="single" w:sz="8"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w:t>
            </w:r>
          </w:p>
        </w:tc>
      </w:tr>
      <w:tr w:rsidR="00E254E2" w:rsidRPr="00A57B6E" w:rsidTr="00E254E2">
        <w:trPr>
          <w:trHeight w:val="240"/>
        </w:trPr>
        <w:tc>
          <w:tcPr>
            <w:tcW w:w="350" w:type="dxa"/>
            <w:tcBorders>
              <w:top w:val="nil"/>
              <w:left w:val="single" w:sz="8" w:space="0" w:color="auto"/>
              <w:bottom w:val="single" w:sz="4" w:space="0" w:color="auto"/>
              <w:right w:val="nil"/>
            </w:tcBorders>
            <w:shd w:val="clear" w:color="000000" w:fill="FFFFFF"/>
            <w:noWrap/>
            <w:vAlign w:val="center"/>
            <w:hideMark/>
          </w:tcPr>
          <w:p w:rsidR="00E254E2" w:rsidRPr="00A57B6E" w:rsidRDefault="00E254E2" w:rsidP="00E254E2">
            <w:pPr>
              <w:rPr>
                <w:rFonts w:ascii="Arial" w:hAnsi="Arial" w:cs="Arial"/>
                <w:color w:val="0000FF"/>
                <w:sz w:val="16"/>
                <w:szCs w:val="16"/>
              </w:rPr>
            </w:pPr>
            <w:r w:rsidRPr="00A57B6E">
              <w:rPr>
                <w:rFonts w:ascii="Arial" w:hAnsi="Arial" w:cs="Arial"/>
                <w:color w:val="0000FF"/>
                <w:sz w:val="16"/>
                <w:szCs w:val="16"/>
              </w:rPr>
              <w:t> </w:t>
            </w:r>
          </w:p>
        </w:tc>
        <w:tc>
          <w:tcPr>
            <w:tcW w:w="379" w:type="dxa"/>
            <w:tcBorders>
              <w:top w:val="nil"/>
              <w:left w:val="nil"/>
              <w:bottom w:val="single" w:sz="4" w:space="0" w:color="auto"/>
              <w:right w:val="nil"/>
            </w:tcBorders>
            <w:shd w:val="clear" w:color="000000" w:fill="FFFFFF"/>
            <w:noWrap/>
            <w:vAlign w:val="center"/>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 </w:t>
            </w:r>
          </w:p>
        </w:tc>
        <w:tc>
          <w:tcPr>
            <w:tcW w:w="353" w:type="dxa"/>
            <w:tcBorders>
              <w:top w:val="nil"/>
              <w:left w:val="nil"/>
              <w:bottom w:val="single" w:sz="4" w:space="0" w:color="auto"/>
              <w:right w:val="nil"/>
            </w:tcBorders>
            <w:shd w:val="clear" w:color="000000" w:fill="FFFFFF"/>
            <w:noWrap/>
            <w:vAlign w:val="bottom"/>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2.</w:t>
            </w:r>
          </w:p>
        </w:tc>
        <w:tc>
          <w:tcPr>
            <w:tcW w:w="4622" w:type="dxa"/>
            <w:tcBorders>
              <w:top w:val="nil"/>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Review different presure monitoring report</w:t>
            </w:r>
          </w:p>
        </w:tc>
        <w:tc>
          <w:tcPr>
            <w:tcW w:w="272" w:type="dxa"/>
            <w:tcBorders>
              <w:top w:val="nil"/>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1333" w:type="dxa"/>
            <w:tcBorders>
              <w:top w:val="nil"/>
              <w:left w:val="single" w:sz="4" w:space="0" w:color="000000"/>
              <w:bottom w:val="single" w:sz="4" w:space="0" w:color="auto"/>
              <w:right w:val="single" w:sz="4"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16 </w:t>
            </w:r>
          </w:p>
        </w:tc>
        <w:tc>
          <w:tcPr>
            <w:tcW w:w="1312"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3 </w:t>
            </w:r>
          </w:p>
        </w:tc>
        <w:tc>
          <w:tcPr>
            <w:tcW w:w="1088"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48</w:t>
            </w:r>
          </w:p>
        </w:tc>
        <w:tc>
          <w:tcPr>
            <w:tcW w:w="1510"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2</w:t>
            </w:r>
          </w:p>
        </w:tc>
        <w:tc>
          <w:tcPr>
            <w:tcW w:w="941"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5</w:t>
            </w:r>
          </w:p>
        </w:tc>
        <w:tc>
          <w:tcPr>
            <w:tcW w:w="795"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$2,487 </w:t>
            </w:r>
          </w:p>
        </w:tc>
        <w:tc>
          <w:tcPr>
            <w:tcW w:w="423" w:type="dxa"/>
            <w:tcBorders>
              <w:top w:val="nil"/>
              <w:left w:val="nil"/>
              <w:bottom w:val="single" w:sz="4" w:space="0" w:color="auto"/>
              <w:right w:val="single" w:sz="8"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w:t>
            </w:r>
          </w:p>
        </w:tc>
      </w:tr>
      <w:tr w:rsidR="00E254E2" w:rsidRPr="00A57B6E" w:rsidTr="00E254E2">
        <w:trPr>
          <w:trHeight w:val="240"/>
        </w:trPr>
        <w:tc>
          <w:tcPr>
            <w:tcW w:w="350" w:type="dxa"/>
            <w:tcBorders>
              <w:top w:val="nil"/>
              <w:left w:val="single" w:sz="8" w:space="0" w:color="auto"/>
              <w:bottom w:val="single" w:sz="4" w:space="0" w:color="auto"/>
              <w:right w:val="nil"/>
            </w:tcBorders>
            <w:shd w:val="clear" w:color="000000" w:fill="FFFFFF"/>
            <w:noWrap/>
            <w:vAlign w:val="center"/>
            <w:hideMark/>
          </w:tcPr>
          <w:p w:rsidR="00E254E2" w:rsidRPr="00A57B6E" w:rsidRDefault="00E254E2" w:rsidP="00E254E2">
            <w:pPr>
              <w:rPr>
                <w:rFonts w:ascii="Arial" w:hAnsi="Arial" w:cs="Arial"/>
                <w:color w:val="0000FF"/>
                <w:sz w:val="16"/>
                <w:szCs w:val="16"/>
              </w:rPr>
            </w:pPr>
            <w:r w:rsidRPr="00A57B6E">
              <w:rPr>
                <w:rFonts w:ascii="Arial" w:hAnsi="Arial" w:cs="Arial"/>
                <w:color w:val="0000FF"/>
                <w:sz w:val="16"/>
                <w:szCs w:val="16"/>
              </w:rPr>
              <w:t> </w:t>
            </w:r>
          </w:p>
        </w:tc>
        <w:tc>
          <w:tcPr>
            <w:tcW w:w="379" w:type="dxa"/>
            <w:tcBorders>
              <w:top w:val="nil"/>
              <w:left w:val="nil"/>
              <w:bottom w:val="single" w:sz="4" w:space="0" w:color="auto"/>
              <w:right w:val="nil"/>
            </w:tcBorders>
            <w:shd w:val="clear" w:color="000000" w:fill="FFFFFF"/>
            <w:noWrap/>
            <w:vAlign w:val="center"/>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 </w:t>
            </w:r>
          </w:p>
        </w:tc>
        <w:tc>
          <w:tcPr>
            <w:tcW w:w="353" w:type="dxa"/>
            <w:tcBorders>
              <w:top w:val="nil"/>
              <w:left w:val="nil"/>
              <w:bottom w:val="single" w:sz="4" w:space="0" w:color="auto"/>
              <w:right w:val="nil"/>
            </w:tcBorders>
            <w:shd w:val="clear" w:color="000000" w:fill="FFFFFF"/>
            <w:noWrap/>
            <w:vAlign w:val="bottom"/>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3.</w:t>
            </w:r>
          </w:p>
        </w:tc>
        <w:tc>
          <w:tcPr>
            <w:tcW w:w="4622" w:type="dxa"/>
            <w:tcBorders>
              <w:top w:val="nil"/>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Review annual compliance report</w:t>
            </w:r>
          </w:p>
        </w:tc>
        <w:tc>
          <w:tcPr>
            <w:tcW w:w="272" w:type="dxa"/>
            <w:tcBorders>
              <w:top w:val="nil"/>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1333" w:type="dxa"/>
            <w:tcBorders>
              <w:top w:val="nil"/>
              <w:left w:val="single" w:sz="4" w:space="0" w:color="000000"/>
              <w:bottom w:val="single" w:sz="4" w:space="0" w:color="auto"/>
              <w:right w:val="single" w:sz="4"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16 </w:t>
            </w:r>
          </w:p>
        </w:tc>
        <w:tc>
          <w:tcPr>
            <w:tcW w:w="1312"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10 </w:t>
            </w:r>
          </w:p>
        </w:tc>
        <w:tc>
          <w:tcPr>
            <w:tcW w:w="1088"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160</w:t>
            </w:r>
          </w:p>
        </w:tc>
        <w:tc>
          <w:tcPr>
            <w:tcW w:w="1510"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8</w:t>
            </w:r>
          </w:p>
        </w:tc>
        <w:tc>
          <w:tcPr>
            <w:tcW w:w="941"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16</w:t>
            </w:r>
          </w:p>
        </w:tc>
        <w:tc>
          <w:tcPr>
            <w:tcW w:w="795"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$8,292 </w:t>
            </w:r>
          </w:p>
        </w:tc>
        <w:tc>
          <w:tcPr>
            <w:tcW w:w="423" w:type="dxa"/>
            <w:tcBorders>
              <w:top w:val="nil"/>
              <w:left w:val="nil"/>
              <w:bottom w:val="single" w:sz="4" w:space="0" w:color="auto"/>
              <w:right w:val="single" w:sz="8"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d</w:t>
            </w:r>
          </w:p>
        </w:tc>
      </w:tr>
      <w:tr w:rsidR="00E254E2" w:rsidRPr="00A57B6E" w:rsidTr="00E254E2">
        <w:trPr>
          <w:trHeight w:val="240"/>
        </w:trPr>
        <w:tc>
          <w:tcPr>
            <w:tcW w:w="350" w:type="dxa"/>
            <w:tcBorders>
              <w:top w:val="nil"/>
              <w:left w:val="single" w:sz="8" w:space="0" w:color="auto"/>
              <w:bottom w:val="single" w:sz="4" w:space="0" w:color="auto"/>
              <w:right w:val="nil"/>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w:t>
            </w:r>
          </w:p>
        </w:tc>
        <w:tc>
          <w:tcPr>
            <w:tcW w:w="379" w:type="dxa"/>
            <w:tcBorders>
              <w:top w:val="nil"/>
              <w:left w:val="nil"/>
              <w:bottom w:val="single" w:sz="4" w:space="0" w:color="auto"/>
              <w:right w:val="nil"/>
            </w:tcBorders>
            <w:shd w:val="clear" w:color="000000" w:fill="FFFFFF"/>
            <w:noWrap/>
            <w:vAlign w:val="center"/>
            <w:hideMark/>
          </w:tcPr>
          <w:p w:rsidR="00E254E2" w:rsidRPr="00A57B6E" w:rsidRDefault="00E254E2" w:rsidP="00E254E2">
            <w:pPr>
              <w:jc w:val="right"/>
              <w:rPr>
                <w:rFonts w:ascii="Arial" w:hAnsi="Arial" w:cs="Arial"/>
                <w:sz w:val="16"/>
                <w:szCs w:val="16"/>
              </w:rPr>
            </w:pPr>
            <w:r w:rsidRPr="00A57B6E">
              <w:rPr>
                <w:rFonts w:ascii="Arial" w:hAnsi="Arial" w:cs="Arial"/>
                <w:sz w:val="16"/>
                <w:szCs w:val="16"/>
              </w:rPr>
              <w:t>F.</w:t>
            </w:r>
          </w:p>
        </w:tc>
        <w:tc>
          <w:tcPr>
            <w:tcW w:w="4975" w:type="dxa"/>
            <w:gridSpan w:val="2"/>
            <w:tcBorders>
              <w:top w:val="single" w:sz="4" w:space="0" w:color="auto"/>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Prepare annual summary report</w:t>
            </w:r>
          </w:p>
        </w:tc>
        <w:tc>
          <w:tcPr>
            <w:tcW w:w="272" w:type="dxa"/>
            <w:tcBorders>
              <w:top w:val="nil"/>
              <w:left w:val="nil"/>
              <w:bottom w:val="single" w:sz="4"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1333" w:type="dxa"/>
            <w:tcBorders>
              <w:top w:val="nil"/>
              <w:left w:val="single" w:sz="4" w:space="0" w:color="000000"/>
              <w:bottom w:val="single" w:sz="4" w:space="0" w:color="auto"/>
              <w:right w:val="single" w:sz="4"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1 </w:t>
            </w:r>
          </w:p>
        </w:tc>
        <w:tc>
          <w:tcPr>
            <w:tcW w:w="1312"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64</w:t>
            </w:r>
          </w:p>
        </w:tc>
        <w:tc>
          <w:tcPr>
            <w:tcW w:w="1088"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64</w:t>
            </w:r>
          </w:p>
        </w:tc>
        <w:tc>
          <w:tcPr>
            <w:tcW w:w="1510"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3</w:t>
            </w:r>
          </w:p>
        </w:tc>
        <w:tc>
          <w:tcPr>
            <w:tcW w:w="941"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6</w:t>
            </w:r>
          </w:p>
        </w:tc>
        <w:tc>
          <w:tcPr>
            <w:tcW w:w="795" w:type="dxa"/>
            <w:tcBorders>
              <w:top w:val="nil"/>
              <w:left w:val="nil"/>
              <w:bottom w:val="single" w:sz="4"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$3,317 </w:t>
            </w:r>
          </w:p>
        </w:tc>
        <w:tc>
          <w:tcPr>
            <w:tcW w:w="423" w:type="dxa"/>
            <w:tcBorders>
              <w:top w:val="nil"/>
              <w:left w:val="nil"/>
              <w:bottom w:val="single" w:sz="4" w:space="0" w:color="auto"/>
              <w:right w:val="single" w:sz="8"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e</w:t>
            </w:r>
          </w:p>
        </w:tc>
      </w:tr>
      <w:tr w:rsidR="00E254E2" w:rsidRPr="00A57B6E" w:rsidTr="00E254E2">
        <w:trPr>
          <w:trHeight w:val="240"/>
        </w:trPr>
        <w:tc>
          <w:tcPr>
            <w:tcW w:w="1082" w:type="dxa"/>
            <w:gridSpan w:val="3"/>
            <w:tcBorders>
              <w:top w:val="nil"/>
              <w:left w:val="single" w:sz="8" w:space="0" w:color="auto"/>
              <w:bottom w:val="single" w:sz="8" w:space="0" w:color="auto"/>
              <w:right w:val="nil"/>
            </w:tcBorders>
            <w:shd w:val="clear" w:color="000000" w:fill="FFFFFF"/>
            <w:noWrap/>
            <w:vAlign w:val="center"/>
            <w:hideMark/>
          </w:tcPr>
          <w:p w:rsidR="00E254E2" w:rsidRPr="00A57B6E" w:rsidRDefault="00E254E2" w:rsidP="00E254E2">
            <w:pPr>
              <w:rPr>
                <w:rFonts w:ascii="Arial" w:hAnsi="Arial" w:cs="Arial"/>
                <w:b/>
                <w:sz w:val="16"/>
                <w:szCs w:val="16"/>
              </w:rPr>
            </w:pPr>
            <w:r w:rsidRPr="00A57B6E">
              <w:rPr>
                <w:rFonts w:ascii="Arial" w:hAnsi="Arial" w:cs="Arial"/>
                <w:b/>
                <w:sz w:val="16"/>
                <w:szCs w:val="16"/>
              </w:rPr>
              <w:t> </w:t>
            </w:r>
          </w:p>
          <w:p w:rsidR="00E254E2" w:rsidRPr="00A57B6E" w:rsidRDefault="00E254E2" w:rsidP="00E254E2">
            <w:pPr>
              <w:rPr>
                <w:rFonts w:ascii="Arial" w:hAnsi="Arial" w:cs="Arial"/>
                <w:b/>
                <w:sz w:val="16"/>
                <w:szCs w:val="16"/>
              </w:rPr>
            </w:pPr>
            <w:r w:rsidRPr="00A57B6E">
              <w:rPr>
                <w:rFonts w:ascii="Arial" w:hAnsi="Arial" w:cs="Arial"/>
                <w:b/>
                <w:sz w:val="16"/>
                <w:szCs w:val="16"/>
              </w:rPr>
              <w:t>TOTAL</w:t>
            </w:r>
          </w:p>
        </w:tc>
        <w:tc>
          <w:tcPr>
            <w:tcW w:w="4622" w:type="dxa"/>
            <w:tcBorders>
              <w:top w:val="nil"/>
              <w:left w:val="nil"/>
              <w:bottom w:val="single" w:sz="8"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272" w:type="dxa"/>
            <w:tcBorders>
              <w:top w:val="nil"/>
              <w:left w:val="nil"/>
              <w:bottom w:val="single" w:sz="8" w:space="0" w:color="auto"/>
              <w:right w:val="nil"/>
            </w:tcBorders>
            <w:shd w:val="clear" w:color="000000" w:fill="FFFFFF"/>
            <w:noWrap/>
            <w:vAlign w:val="center"/>
            <w:hideMark/>
          </w:tcPr>
          <w:p w:rsidR="00E254E2" w:rsidRPr="00A57B6E" w:rsidRDefault="00E254E2" w:rsidP="00E254E2">
            <w:pPr>
              <w:rPr>
                <w:rFonts w:ascii="Arial" w:hAnsi="Arial" w:cs="Arial"/>
                <w:sz w:val="16"/>
                <w:szCs w:val="16"/>
              </w:rPr>
            </w:pPr>
            <w:r w:rsidRPr="00A57B6E">
              <w:rPr>
                <w:rFonts w:ascii="Arial" w:hAnsi="Arial" w:cs="Arial"/>
                <w:sz w:val="16"/>
                <w:szCs w:val="16"/>
              </w:rPr>
              <w:t> </w:t>
            </w:r>
          </w:p>
        </w:tc>
        <w:tc>
          <w:tcPr>
            <w:tcW w:w="1333" w:type="dxa"/>
            <w:tcBorders>
              <w:top w:val="nil"/>
              <w:left w:val="nil"/>
              <w:bottom w:val="single" w:sz="8" w:space="0" w:color="auto"/>
              <w:right w:val="nil"/>
            </w:tcBorders>
            <w:shd w:val="clear" w:color="000000" w:fill="FFFFFF"/>
            <w:noWrap/>
            <w:vAlign w:val="center"/>
            <w:hideMark/>
          </w:tcPr>
          <w:p w:rsidR="00E254E2" w:rsidRPr="00A57B6E" w:rsidRDefault="00E254E2" w:rsidP="00E254E2">
            <w:pPr>
              <w:jc w:val="center"/>
              <w:rPr>
                <w:rFonts w:ascii="Arial" w:hAnsi="Arial" w:cs="Arial"/>
                <w:color w:val="0000FF"/>
                <w:sz w:val="16"/>
                <w:szCs w:val="16"/>
              </w:rPr>
            </w:pPr>
            <w:r w:rsidRPr="00A57B6E">
              <w:rPr>
                <w:rFonts w:ascii="Arial" w:hAnsi="Arial" w:cs="Arial"/>
                <w:color w:val="0000FF"/>
                <w:sz w:val="16"/>
                <w:szCs w:val="16"/>
              </w:rPr>
              <w:t> </w:t>
            </w:r>
          </w:p>
        </w:tc>
        <w:tc>
          <w:tcPr>
            <w:tcW w:w="1312" w:type="dxa"/>
            <w:tcBorders>
              <w:top w:val="nil"/>
              <w:left w:val="nil"/>
              <w:bottom w:val="single" w:sz="8" w:space="0" w:color="auto"/>
              <w:right w:val="single" w:sz="4" w:space="0" w:color="000000"/>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w:t>
            </w:r>
          </w:p>
        </w:tc>
        <w:tc>
          <w:tcPr>
            <w:tcW w:w="1088" w:type="dxa"/>
            <w:tcBorders>
              <w:top w:val="nil"/>
              <w:left w:val="nil"/>
              <w:bottom w:val="single" w:sz="8" w:space="0" w:color="auto"/>
              <w:right w:val="nil"/>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680</w:t>
            </w:r>
          </w:p>
        </w:tc>
        <w:tc>
          <w:tcPr>
            <w:tcW w:w="1510" w:type="dxa"/>
            <w:tcBorders>
              <w:top w:val="nil"/>
              <w:left w:val="single" w:sz="4" w:space="0" w:color="000000"/>
              <w:bottom w:val="single" w:sz="8" w:space="0" w:color="auto"/>
              <w:right w:val="nil"/>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34</w:t>
            </w:r>
          </w:p>
        </w:tc>
        <w:tc>
          <w:tcPr>
            <w:tcW w:w="941" w:type="dxa"/>
            <w:tcBorders>
              <w:top w:val="nil"/>
              <w:left w:val="single" w:sz="4" w:space="0" w:color="000000"/>
              <w:bottom w:val="single" w:sz="8" w:space="0" w:color="auto"/>
              <w:right w:val="nil"/>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68</w:t>
            </w:r>
          </w:p>
        </w:tc>
        <w:tc>
          <w:tcPr>
            <w:tcW w:w="795" w:type="dxa"/>
            <w:tcBorders>
              <w:top w:val="nil"/>
              <w:left w:val="single" w:sz="4" w:space="0" w:color="auto"/>
              <w:bottom w:val="single" w:sz="8" w:space="0" w:color="auto"/>
              <w:right w:val="single" w:sz="4"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xml:space="preserve">$35,239 </w:t>
            </w:r>
          </w:p>
        </w:tc>
        <w:tc>
          <w:tcPr>
            <w:tcW w:w="423" w:type="dxa"/>
            <w:tcBorders>
              <w:top w:val="nil"/>
              <w:left w:val="nil"/>
              <w:bottom w:val="single" w:sz="8" w:space="0" w:color="auto"/>
              <w:right w:val="single" w:sz="8" w:space="0" w:color="auto"/>
            </w:tcBorders>
            <w:shd w:val="clear" w:color="000000" w:fill="FFFFFF"/>
            <w:noWrap/>
            <w:vAlign w:val="center"/>
            <w:hideMark/>
          </w:tcPr>
          <w:p w:rsidR="00E254E2" w:rsidRPr="00A57B6E" w:rsidRDefault="00E254E2" w:rsidP="00E254E2">
            <w:pPr>
              <w:jc w:val="center"/>
              <w:rPr>
                <w:rFonts w:ascii="Arial" w:hAnsi="Arial" w:cs="Arial"/>
                <w:sz w:val="16"/>
                <w:szCs w:val="16"/>
              </w:rPr>
            </w:pPr>
            <w:r w:rsidRPr="00A57B6E">
              <w:rPr>
                <w:rFonts w:ascii="Arial" w:hAnsi="Arial" w:cs="Arial"/>
                <w:sz w:val="16"/>
                <w:szCs w:val="16"/>
              </w:rPr>
              <w:t> </w:t>
            </w:r>
          </w:p>
        </w:tc>
      </w:tr>
    </w:tbl>
    <w:p w:rsidR="00E254E2" w:rsidRDefault="00E254E2" w:rsidP="00E254E2">
      <w:pPr>
        <w:ind w:right="-90"/>
        <w:rPr>
          <w:sz w:val="18"/>
          <w:szCs w:val="18"/>
        </w:rPr>
      </w:pPr>
    </w:p>
    <w:p w:rsidR="00E254E2" w:rsidRPr="00A57B6E" w:rsidRDefault="00E254E2" w:rsidP="00E254E2">
      <w:pPr>
        <w:ind w:right="-90"/>
        <w:rPr>
          <w:b/>
          <w:sz w:val="18"/>
          <w:szCs w:val="18"/>
        </w:rPr>
      </w:pPr>
      <w:r w:rsidRPr="00A57B6E">
        <w:rPr>
          <w:b/>
          <w:sz w:val="18"/>
          <w:szCs w:val="18"/>
        </w:rPr>
        <w:t>FOOTNOTES</w:t>
      </w:r>
    </w:p>
    <w:p w:rsidR="00E254E2" w:rsidRPr="00A57B6E" w:rsidRDefault="00E254E2" w:rsidP="00E254E2">
      <w:pPr>
        <w:ind w:right="-90"/>
        <w:rPr>
          <w:sz w:val="18"/>
          <w:szCs w:val="18"/>
        </w:rPr>
      </w:pPr>
      <w:r w:rsidRPr="00A57B6E">
        <w:rPr>
          <w:sz w:val="18"/>
          <w:szCs w:val="18"/>
        </w:rPr>
        <w:t>a</w:t>
      </w:r>
      <w:r w:rsidRPr="00A57B6E">
        <w:rPr>
          <w:sz w:val="18"/>
          <w:szCs w:val="18"/>
        </w:rPr>
        <w:tab/>
        <w:t>Number of occurences is the number of states where affected sources will exist and each EPA Region (10 states + 10 EPA regions = 20 respondents).</w:t>
      </w:r>
    </w:p>
    <w:p w:rsidR="00E254E2" w:rsidRPr="00A57B6E" w:rsidRDefault="00E254E2" w:rsidP="00E254E2">
      <w:pPr>
        <w:ind w:right="-90"/>
        <w:rPr>
          <w:sz w:val="18"/>
          <w:szCs w:val="18"/>
        </w:rPr>
      </w:pPr>
      <w:r w:rsidRPr="00A57B6E">
        <w:rPr>
          <w:sz w:val="18"/>
          <w:szCs w:val="18"/>
        </w:rPr>
        <w:t>b</w:t>
      </w:r>
      <w:r w:rsidRPr="00A57B6E">
        <w:rPr>
          <w:sz w:val="18"/>
          <w:szCs w:val="18"/>
        </w:rPr>
        <w:tab/>
        <w:t>Assumes EPA personnel attend 20 percent of the stack tests.</w:t>
      </w:r>
    </w:p>
    <w:p w:rsidR="00E254E2" w:rsidRPr="00A57B6E" w:rsidRDefault="00E254E2" w:rsidP="00E254E2">
      <w:pPr>
        <w:ind w:right="-90"/>
        <w:rPr>
          <w:sz w:val="18"/>
          <w:szCs w:val="18"/>
        </w:rPr>
      </w:pPr>
      <w:r w:rsidRPr="00A57B6E">
        <w:rPr>
          <w:sz w:val="18"/>
          <w:szCs w:val="18"/>
        </w:rPr>
        <w:t>c</w:t>
      </w:r>
      <w:r w:rsidRPr="00A57B6E">
        <w:rPr>
          <w:sz w:val="18"/>
          <w:szCs w:val="18"/>
        </w:rPr>
        <w:tab/>
        <w:t>Assume 10 percent of the facilities will exceed emissions.</w:t>
      </w:r>
    </w:p>
    <w:p w:rsidR="00E254E2" w:rsidRPr="00A57B6E" w:rsidRDefault="00E254E2" w:rsidP="00E254E2">
      <w:pPr>
        <w:ind w:right="-90"/>
        <w:rPr>
          <w:sz w:val="18"/>
          <w:szCs w:val="18"/>
        </w:rPr>
      </w:pPr>
      <w:r w:rsidRPr="00A57B6E">
        <w:rPr>
          <w:sz w:val="18"/>
          <w:szCs w:val="18"/>
        </w:rPr>
        <w:t>d</w:t>
      </w:r>
      <w:r w:rsidRPr="00A57B6E">
        <w:rPr>
          <w:sz w:val="18"/>
          <w:szCs w:val="18"/>
        </w:rPr>
        <w:tab/>
        <w:t>Only hours to review new requirements.</w:t>
      </w:r>
    </w:p>
    <w:p w:rsidR="00E254E2" w:rsidRDefault="00E254E2" w:rsidP="00E254E2">
      <w:pPr>
        <w:ind w:right="-90"/>
        <w:rPr>
          <w:sz w:val="18"/>
          <w:szCs w:val="18"/>
        </w:rPr>
      </w:pPr>
      <w:r w:rsidRPr="00A57B6E">
        <w:rPr>
          <w:sz w:val="18"/>
          <w:szCs w:val="18"/>
        </w:rPr>
        <w:t>e</w:t>
      </w:r>
      <w:r w:rsidRPr="00A57B6E">
        <w:rPr>
          <w:sz w:val="18"/>
          <w:szCs w:val="18"/>
        </w:rPr>
        <w:tab/>
        <w:t>Using four hours per state to write annual summary report.</w:t>
      </w:r>
    </w:p>
    <w:p w:rsidR="00E254E2" w:rsidRDefault="00E254E2" w:rsidP="00E254E2">
      <w:pPr>
        <w:ind w:right="-90"/>
        <w:rPr>
          <w:sz w:val="18"/>
          <w:szCs w:val="18"/>
        </w:rPr>
      </w:pPr>
    </w:p>
    <w:p w:rsidR="00E254E2" w:rsidRDefault="00E254E2" w:rsidP="00E254E2">
      <w:pPr>
        <w:ind w:right="-90"/>
        <w:jc w:val="center"/>
        <w:rPr>
          <w:sz w:val="18"/>
          <w:szCs w:val="18"/>
        </w:rPr>
      </w:pPr>
      <w:r>
        <w:rPr>
          <w:sz w:val="18"/>
          <w:szCs w:val="18"/>
        </w:rPr>
        <w:br w:type="page"/>
      </w:r>
    </w:p>
    <w:tbl>
      <w:tblPr>
        <w:tblW w:w="5000" w:type="pct"/>
        <w:tblLook w:val="04A0"/>
      </w:tblPr>
      <w:tblGrid>
        <w:gridCol w:w="1177"/>
        <w:gridCol w:w="1513"/>
        <w:gridCol w:w="2380"/>
        <w:gridCol w:w="1834"/>
        <w:gridCol w:w="1687"/>
        <w:gridCol w:w="1610"/>
        <w:gridCol w:w="1312"/>
        <w:gridCol w:w="1663"/>
      </w:tblGrid>
      <w:tr w:rsidR="00E254E2" w:rsidRPr="00A57B6E" w:rsidTr="00E254E2">
        <w:trPr>
          <w:trHeight w:val="780"/>
        </w:trPr>
        <w:tc>
          <w:tcPr>
            <w:tcW w:w="5000" w:type="pct"/>
            <w:gridSpan w:val="8"/>
            <w:tcBorders>
              <w:top w:val="nil"/>
              <w:left w:val="nil"/>
              <w:bottom w:val="single" w:sz="8" w:space="0" w:color="auto"/>
              <w:right w:val="nil"/>
            </w:tcBorders>
            <w:shd w:val="clear" w:color="000000" w:fill="FFFFFF"/>
            <w:vAlign w:val="bottom"/>
            <w:hideMark/>
          </w:tcPr>
          <w:p w:rsidR="00E254E2" w:rsidRPr="00A57B6E" w:rsidRDefault="00E254E2" w:rsidP="00E254E2">
            <w:pPr>
              <w:jc w:val="center"/>
              <w:rPr>
                <w:rFonts w:ascii="Arial" w:hAnsi="Arial" w:cs="Arial"/>
                <w:b/>
                <w:bCs/>
              </w:rPr>
            </w:pPr>
            <w:r w:rsidRPr="00A57B6E">
              <w:rPr>
                <w:rFonts w:ascii="Arial" w:hAnsi="Arial" w:cs="Arial"/>
                <w:b/>
                <w:bCs/>
              </w:rPr>
              <w:t xml:space="preserve">Table 8 - Summary of Annual Designated Administrator Burden and Cost of Recordkeeping and Reporting Requirements for the Secondary Lead Smelters NESHAP  </w:t>
            </w:r>
          </w:p>
        </w:tc>
      </w:tr>
      <w:tr w:rsidR="00E254E2" w:rsidRPr="00A57B6E" w:rsidTr="00E254E2">
        <w:trPr>
          <w:trHeight w:val="690"/>
        </w:trPr>
        <w:tc>
          <w:tcPr>
            <w:tcW w:w="447" w:type="pct"/>
            <w:tcBorders>
              <w:top w:val="single" w:sz="8" w:space="0" w:color="auto"/>
              <w:left w:val="single" w:sz="8" w:space="0" w:color="auto"/>
              <w:bottom w:val="double" w:sz="6" w:space="0" w:color="auto"/>
              <w:right w:val="single" w:sz="4" w:space="0" w:color="auto"/>
            </w:tcBorders>
            <w:shd w:val="clear" w:color="000000" w:fill="D9D9D9" w:themeFill="background1" w:themeFillShade="D9"/>
            <w:noWrap/>
            <w:vAlign w:val="bottom"/>
            <w:hideMark/>
          </w:tcPr>
          <w:p w:rsidR="00E254E2" w:rsidRPr="00C549BC" w:rsidRDefault="00E254E2" w:rsidP="00E254E2">
            <w:pPr>
              <w:jc w:val="center"/>
              <w:rPr>
                <w:rFonts w:cs="Arial"/>
                <w:b/>
                <w:sz w:val="22"/>
              </w:rPr>
            </w:pPr>
            <w:r w:rsidRPr="00C549BC">
              <w:rPr>
                <w:rFonts w:cs="Arial"/>
                <w:b/>
                <w:sz w:val="22"/>
              </w:rPr>
              <w:t>Year</w:t>
            </w:r>
          </w:p>
        </w:tc>
        <w:tc>
          <w:tcPr>
            <w:tcW w:w="574" w:type="pct"/>
            <w:tcBorders>
              <w:top w:val="single" w:sz="8" w:space="0" w:color="auto"/>
              <w:left w:val="nil"/>
              <w:bottom w:val="double" w:sz="6" w:space="0" w:color="auto"/>
              <w:right w:val="single" w:sz="4" w:space="0" w:color="auto"/>
            </w:tcBorders>
            <w:shd w:val="clear" w:color="000000" w:fill="D9D9D9" w:themeFill="background1" w:themeFillShade="D9"/>
            <w:vAlign w:val="bottom"/>
            <w:hideMark/>
          </w:tcPr>
          <w:p w:rsidR="00E254E2" w:rsidRPr="00C549BC" w:rsidRDefault="00E254E2" w:rsidP="00E254E2">
            <w:pPr>
              <w:jc w:val="center"/>
              <w:rPr>
                <w:rFonts w:cs="Arial"/>
                <w:b/>
                <w:sz w:val="22"/>
              </w:rPr>
            </w:pPr>
            <w:r w:rsidRPr="00C549BC">
              <w:rPr>
                <w:rFonts w:cs="Arial"/>
                <w:b/>
                <w:sz w:val="22"/>
              </w:rPr>
              <w:t>Technical Hours</w:t>
            </w:r>
          </w:p>
        </w:tc>
        <w:tc>
          <w:tcPr>
            <w:tcW w:w="903" w:type="pct"/>
            <w:tcBorders>
              <w:top w:val="single" w:sz="8" w:space="0" w:color="auto"/>
              <w:left w:val="nil"/>
              <w:bottom w:val="double" w:sz="6" w:space="0" w:color="auto"/>
              <w:right w:val="single" w:sz="4" w:space="0" w:color="auto"/>
            </w:tcBorders>
            <w:shd w:val="clear" w:color="000000" w:fill="D9D9D9" w:themeFill="background1" w:themeFillShade="D9"/>
            <w:vAlign w:val="bottom"/>
            <w:hideMark/>
          </w:tcPr>
          <w:p w:rsidR="00E254E2" w:rsidRPr="00C549BC" w:rsidRDefault="00E254E2" w:rsidP="00E254E2">
            <w:pPr>
              <w:jc w:val="center"/>
              <w:rPr>
                <w:rFonts w:cs="Arial"/>
                <w:b/>
                <w:sz w:val="22"/>
              </w:rPr>
            </w:pPr>
            <w:r w:rsidRPr="00C549BC">
              <w:rPr>
                <w:rFonts w:cs="Arial"/>
                <w:b/>
                <w:sz w:val="22"/>
              </w:rPr>
              <w:t>Management Hours</w:t>
            </w:r>
          </w:p>
        </w:tc>
        <w:tc>
          <w:tcPr>
            <w:tcW w:w="696" w:type="pct"/>
            <w:tcBorders>
              <w:top w:val="single" w:sz="8" w:space="0" w:color="auto"/>
              <w:left w:val="nil"/>
              <w:bottom w:val="double" w:sz="6" w:space="0" w:color="auto"/>
              <w:right w:val="single" w:sz="4" w:space="0" w:color="auto"/>
            </w:tcBorders>
            <w:shd w:val="clear" w:color="000000" w:fill="D9D9D9" w:themeFill="background1" w:themeFillShade="D9"/>
            <w:vAlign w:val="bottom"/>
            <w:hideMark/>
          </w:tcPr>
          <w:p w:rsidR="00E254E2" w:rsidRPr="00C549BC" w:rsidRDefault="00E254E2" w:rsidP="00E254E2">
            <w:pPr>
              <w:jc w:val="center"/>
              <w:rPr>
                <w:rFonts w:cs="Arial"/>
                <w:b/>
                <w:sz w:val="22"/>
              </w:rPr>
            </w:pPr>
            <w:r w:rsidRPr="00C549BC">
              <w:rPr>
                <w:rFonts w:cs="Arial"/>
                <w:b/>
                <w:sz w:val="22"/>
              </w:rPr>
              <w:t>Clerical Hours</w:t>
            </w:r>
          </w:p>
        </w:tc>
        <w:tc>
          <w:tcPr>
            <w:tcW w:w="640" w:type="pct"/>
            <w:tcBorders>
              <w:top w:val="single" w:sz="8" w:space="0" w:color="auto"/>
              <w:left w:val="nil"/>
              <w:bottom w:val="double" w:sz="6" w:space="0" w:color="auto"/>
              <w:right w:val="single" w:sz="4" w:space="0" w:color="auto"/>
            </w:tcBorders>
            <w:shd w:val="clear" w:color="000000" w:fill="D9D9D9" w:themeFill="background1" w:themeFillShade="D9"/>
            <w:vAlign w:val="bottom"/>
            <w:hideMark/>
          </w:tcPr>
          <w:p w:rsidR="00E254E2" w:rsidRPr="00C549BC" w:rsidRDefault="00E254E2" w:rsidP="00E254E2">
            <w:pPr>
              <w:jc w:val="center"/>
              <w:rPr>
                <w:rFonts w:cs="Arial"/>
                <w:b/>
                <w:sz w:val="22"/>
              </w:rPr>
            </w:pPr>
            <w:r w:rsidRPr="00C549BC">
              <w:rPr>
                <w:rFonts w:cs="Arial"/>
                <w:b/>
                <w:sz w:val="22"/>
              </w:rPr>
              <w:t>Total Hours</w:t>
            </w:r>
          </w:p>
        </w:tc>
        <w:tc>
          <w:tcPr>
            <w:tcW w:w="611" w:type="pct"/>
            <w:tcBorders>
              <w:top w:val="single" w:sz="8" w:space="0" w:color="auto"/>
              <w:left w:val="nil"/>
              <w:bottom w:val="double" w:sz="6" w:space="0" w:color="auto"/>
              <w:right w:val="single" w:sz="4" w:space="0" w:color="auto"/>
            </w:tcBorders>
            <w:shd w:val="clear" w:color="000000" w:fill="D9D9D9" w:themeFill="background1" w:themeFillShade="D9"/>
            <w:vAlign w:val="bottom"/>
            <w:hideMark/>
          </w:tcPr>
          <w:p w:rsidR="00E254E2" w:rsidRPr="00C549BC" w:rsidRDefault="00E254E2" w:rsidP="00E254E2">
            <w:pPr>
              <w:jc w:val="center"/>
              <w:rPr>
                <w:rFonts w:cs="Arial"/>
                <w:b/>
                <w:sz w:val="22"/>
              </w:rPr>
            </w:pPr>
            <w:r w:rsidRPr="00C549BC">
              <w:rPr>
                <w:rFonts w:cs="Arial"/>
                <w:b/>
                <w:sz w:val="22"/>
              </w:rPr>
              <w:t>Labor Costs</w:t>
            </w:r>
          </w:p>
        </w:tc>
        <w:tc>
          <w:tcPr>
            <w:tcW w:w="498" w:type="pct"/>
            <w:tcBorders>
              <w:top w:val="single" w:sz="8" w:space="0" w:color="auto"/>
              <w:left w:val="nil"/>
              <w:bottom w:val="double" w:sz="6" w:space="0" w:color="auto"/>
              <w:right w:val="single" w:sz="4" w:space="0" w:color="auto"/>
            </w:tcBorders>
            <w:shd w:val="clear" w:color="000000" w:fill="D9D9D9" w:themeFill="background1" w:themeFillShade="D9"/>
            <w:vAlign w:val="bottom"/>
            <w:hideMark/>
          </w:tcPr>
          <w:p w:rsidR="00E254E2" w:rsidRPr="00C549BC" w:rsidRDefault="00E254E2" w:rsidP="00E254E2">
            <w:pPr>
              <w:jc w:val="center"/>
              <w:rPr>
                <w:rFonts w:cs="Arial"/>
                <w:b/>
                <w:sz w:val="22"/>
              </w:rPr>
            </w:pPr>
            <w:r w:rsidRPr="00C549BC">
              <w:rPr>
                <w:rFonts w:cs="Arial"/>
                <w:b/>
                <w:sz w:val="22"/>
              </w:rPr>
              <w:t>Non-Labor Costs</w:t>
            </w:r>
          </w:p>
        </w:tc>
        <w:tc>
          <w:tcPr>
            <w:tcW w:w="631" w:type="pct"/>
            <w:tcBorders>
              <w:top w:val="single" w:sz="8" w:space="0" w:color="auto"/>
              <w:left w:val="nil"/>
              <w:bottom w:val="double" w:sz="6" w:space="0" w:color="auto"/>
              <w:right w:val="single" w:sz="8" w:space="0" w:color="auto"/>
            </w:tcBorders>
            <w:shd w:val="clear" w:color="000000" w:fill="D9D9D9" w:themeFill="background1" w:themeFillShade="D9"/>
            <w:vAlign w:val="bottom"/>
            <w:hideMark/>
          </w:tcPr>
          <w:p w:rsidR="00E254E2" w:rsidRPr="00C549BC" w:rsidRDefault="00E254E2" w:rsidP="00E254E2">
            <w:pPr>
              <w:jc w:val="center"/>
              <w:rPr>
                <w:rFonts w:cs="Arial"/>
                <w:b/>
                <w:sz w:val="22"/>
              </w:rPr>
            </w:pPr>
            <w:r w:rsidRPr="00C549BC">
              <w:rPr>
                <w:rFonts w:cs="Arial"/>
                <w:b/>
                <w:sz w:val="22"/>
              </w:rPr>
              <w:t>Total Costs</w:t>
            </w:r>
          </w:p>
        </w:tc>
      </w:tr>
      <w:tr w:rsidR="00E254E2" w:rsidRPr="00A57B6E" w:rsidTr="00E254E2">
        <w:trPr>
          <w:trHeight w:val="315"/>
        </w:trPr>
        <w:tc>
          <w:tcPr>
            <w:tcW w:w="447"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 xml:space="preserve">1 </w:t>
            </w:r>
          </w:p>
        </w:tc>
        <w:tc>
          <w:tcPr>
            <w:tcW w:w="574" w:type="pct"/>
            <w:tcBorders>
              <w:top w:val="nil"/>
              <w:left w:val="nil"/>
              <w:bottom w:val="single" w:sz="4"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1,640</w:t>
            </w:r>
          </w:p>
        </w:tc>
        <w:tc>
          <w:tcPr>
            <w:tcW w:w="903" w:type="pct"/>
            <w:tcBorders>
              <w:top w:val="nil"/>
              <w:left w:val="nil"/>
              <w:bottom w:val="single" w:sz="4"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82</w:t>
            </w:r>
          </w:p>
        </w:tc>
        <w:tc>
          <w:tcPr>
            <w:tcW w:w="696" w:type="pct"/>
            <w:tcBorders>
              <w:top w:val="nil"/>
              <w:left w:val="nil"/>
              <w:bottom w:val="single" w:sz="4"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164</w:t>
            </w:r>
          </w:p>
        </w:tc>
        <w:tc>
          <w:tcPr>
            <w:tcW w:w="640" w:type="pct"/>
            <w:tcBorders>
              <w:top w:val="nil"/>
              <w:left w:val="nil"/>
              <w:bottom w:val="single" w:sz="4"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1,886</w:t>
            </w:r>
          </w:p>
        </w:tc>
        <w:tc>
          <w:tcPr>
            <w:tcW w:w="611" w:type="pct"/>
            <w:tcBorders>
              <w:top w:val="nil"/>
              <w:left w:val="nil"/>
              <w:bottom w:val="single" w:sz="4"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$84,989</w:t>
            </w:r>
          </w:p>
        </w:tc>
        <w:tc>
          <w:tcPr>
            <w:tcW w:w="498" w:type="pct"/>
            <w:tcBorders>
              <w:top w:val="nil"/>
              <w:left w:val="nil"/>
              <w:bottom w:val="single" w:sz="4"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$0</w:t>
            </w:r>
          </w:p>
        </w:tc>
        <w:tc>
          <w:tcPr>
            <w:tcW w:w="631" w:type="pct"/>
            <w:tcBorders>
              <w:top w:val="nil"/>
              <w:left w:val="nil"/>
              <w:bottom w:val="single" w:sz="4" w:space="0" w:color="auto"/>
              <w:right w:val="single" w:sz="8"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$84,989</w:t>
            </w:r>
          </w:p>
        </w:tc>
      </w:tr>
      <w:tr w:rsidR="00E254E2" w:rsidRPr="00A57B6E" w:rsidTr="00E254E2">
        <w:trPr>
          <w:trHeight w:val="300"/>
        </w:trPr>
        <w:tc>
          <w:tcPr>
            <w:tcW w:w="447"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 xml:space="preserve">2 </w:t>
            </w:r>
          </w:p>
        </w:tc>
        <w:tc>
          <w:tcPr>
            <w:tcW w:w="574" w:type="pct"/>
            <w:tcBorders>
              <w:top w:val="nil"/>
              <w:left w:val="nil"/>
              <w:bottom w:val="single" w:sz="4"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680</w:t>
            </w:r>
          </w:p>
        </w:tc>
        <w:tc>
          <w:tcPr>
            <w:tcW w:w="903" w:type="pct"/>
            <w:tcBorders>
              <w:top w:val="nil"/>
              <w:left w:val="nil"/>
              <w:bottom w:val="single" w:sz="4"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34</w:t>
            </w:r>
          </w:p>
        </w:tc>
        <w:tc>
          <w:tcPr>
            <w:tcW w:w="696" w:type="pct"/>
            <w:tcBorders>
              <w:top w:val="nil"/>
              <w:left w:val="nil"/>
              <w:bottom w:val="single" w:sz="4"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68</w:t>
            </w:r>
          </w:p>
        </w:tc>
        <w:tc>
          <w:tcPr>
            <w:tcW w:w="640" w:type="pct"/>
            <w:tcBorders>
              <w:top w:val="nil"/>
              <w:left w:val="nil"/>
              <w:bottom w:val="single" w:sz="4"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782</w:t>
            </w:r>
          </w:p>
        </w:tc>
        <w:tc>
          <w:tcPr>
            <w:tcW w:w="611" w:type="pct"/>
            <w:tcBorders>
              <w:top w:val="nil"/>
              <w:left w:val="nil"/>
              <w:bottom w:val="single" w:sz="4"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$35,239</w:t>
            </w:r>
          </w:p>
        </w:tc>
        <w:tc>
          <w:tcPr>
            <w:tcW w:w="498" w:type="pct"/>
            <w:tcBorders>
              <w:top w:val="nil"/>
              <w:left w:val="nil"/>
              <w:bottom w:val="single" w:sz="4"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$0</w:t>
            </w:r>
          </w:p>
        </w:tc>
        <w:tc>
          <w:tcPr>
            <w:tcW w:w="631" w:type="pct"/>
            <w:tcBorders>
              <w:top w:val="nil"/>
              <w:left w:val="nil"/>
              <w:bottom w:val="single" w:sz="4" w:space="0" w:color="auto"/>
              <w:right w:val="single" w:sz="8"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$35,239</w:t>
            </w:r>
          </w:p>
        </w:tc>
      </w:tr>
      <w:tr w:rsidR="00E254E2" w:rsidRPr="00A57B6E" w:rsidTr="00E254E2">
        <w:trPr>
          <w:trHeight w:val="315"/>
        </w:trPr>
        <w:tc>
          <w:tcPr>
            <w:tcW w:w="447" w:type="pct"/>
            <w:tcBorders>
              <w:top w:val="nil"/>
              <w:left w:val="single" w:sz="8" w:space="0" w:color="auto"/>
              <w:bottom w:val="double" w:sz="6"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 xml:space="preserve">3 </w:t>
            </w:r>
          </w:p>
        </w:tc>
        <w:tc>
          <w:tcPr>
            <w:tcW w:w="574" w:type="pct"/>
            <w:tcBorders>
              <w:top w:val="nil"/>
              <w:left w:val="nil"/>
              <w:bottom w:val="double" w:sz="6"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680</w:t>
            </w:r>
          </w:p>
        </w:tc>
        <w:tc>
          <w:tcPr>
            <w:tcW w:w="903" w:type="pct"/>
            <w:tcBorders>
              <w:top w:val="nil"/>
              <w:left w:val="nil"/>
              <w:bottom w:val="double" w:sz="6"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34</w:t>
            </w:r>
          </w:p>
        </w:tc>
        <w:tc>
          <w:tcPr>
            <w:tcW w:w="696" w:type="pct"/>
            <w:tcBorders>
              <w:top w:val="nil"/>
              <w:left w:val="nil"/>
              <w:bottom w:val="double" w:sz="6"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68</w:t>
            </w:r>
          </w:p>
        </w:tc>
        <w:tc>
          <w:tcPr>
            <w:tcW w:w="640" w:type="pct"/>
            <w:tcBorders>
              <w:top w:val="nil"/>
              <w:left w:val="nil"/>
              <w:bottom w:val="double" w:sz="6"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782</w:t>
            </w:r>
          </w:p>
        </w:tc>
        <w:tc>
          <w:tcPr>
            <w:tcW w:w="611" w:type="pct"/>
            <w:tcBorders>
              <w:top w:val="nil"/>
              <w:left w:val="nil"/>
              <w:bottom w:val="double" w:sz="6"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$35,239</w:t>
            </w:r>
          </w:p>
        </w:tc>
        <w:tc>
          <w:tcPr>
            <w:tcW w:w="498" w:type="pct"/>
            <w:tcBorders>
              <w:top w:val="nil"/>
              <w:left w:val="nil"/>
              <w:bottom w:val="double" w:sz="6"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$0</w:t>
            </w:r>
          </w:p>
        </w:tc>
        <w:tc>
          <w:tcPr>
            <w:tcW w:w="631" w:type="pct"/>
            <w:tcBorders>
              <w:top w:val="nil"/>
              <w:left w:val="nil"/>
              <w:bottom w:val="double" w:sz="6" w:space="0" w:color="auto"/>
              <w:right w:val="single" w:sz="8"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$35,239</w:t>
            </w:r>
          </w:p>
        </w:tc>
      </w:tr>
      <w:tr w:rsidR="00E254E2" w:rsidRPr="00A57B6E" w:rsidTr="00E254E2">
        <w:trPr>
          <w:trHeight w:val="315"/>
        </w:trPr>
        <w:tc>
          <w:tcPr>
            <w:tcW w:w="447" w:type="pct"/>
            <w:tcBorders>
              <w:top w:val="nil"/>
              <w:left w:val="single" w:sz="8" w:space="0" w:color="auto"/>
              <w:bottom w:val="single" w:sz="4"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Total</w:t>
            </w:r>
          </w:p>
        </w:tc>
        <w:tc>
          <w:tcPr>
            <w:tcW w:w="574" w:type="pct"/>
            <w:tcBorders>
              <w:top w:val="nil"/>
              <w:left w:val="nil"/>
              <w:bottom w:val="single" w:sz="4"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3,000</w:t>
            </w:r>
          </w:p>
        </w:tc>
        <w:tc>
          <w:tcPr>
            <w:tcW w:w="903" w:type="pct"/>
            <w:tcBorders>
              <w:top w:val="nil"/>
              <w:left w:val="nil"/>
              <w:bottom w:val="single" w:sz="4"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150</w:t>
            </w:r>
          </w:p>
        </w:tc>
        <w:tc>
          <w:tcPr>
            <w:tcW w:w="696" w:type="pct"/>
            <w:tcBorders>
              <w:top w:val="nil"/>
              <w:left w:val="nil"/>
              <w:bottom w:val="single" w:sz="4"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300</w:t>
            </w:r>
          </w:p>
        </w:tc>
        <w:tc>
          <w:tcPr>
            <w:tcW w:w="640" w:type="pct"/>
            <w:tcBorders>
              <w:top w:val="nil"/>
              <w:left w:val="nil"/>
              <w:bottom w:val="single" w:sz="4"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3,450</w:t>
            </w:r>
          </w:p>
        </w:tc>
        <w:tc>
          <w:tcPr>
            <w:tcW w:w="611" w:type="pct"/>
            <w:tcBorders>
              <w:top w:val="nil"/>
              <w:left w:val="nil"/>
              <w:bottom w:val="single" w:sz="4"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$155,467</w:t>
            </w:r>
          </w:p>
        </w:tc>
        <w:tc>
          <w:tcPr>
            <w:tcW w:w="498" w:type="pct"/>
            <w:tcBorders>
              <w:top w:val="nil"/>
              <w:left w:val="nil"/>
              <w:bottom w:val="single" w:sz="4"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$0</w:t>
            </w:r>
          </w:p>
        </w:tc>
        <w:tc>
          <w:tcPr>
            <w:tcW w:w="631" w:type="pct"/>
            <w:tcBorders>
              <w:top w:val="nil"/>
              <w:left w:val="nil"/>
              <w:bottom w:val="single" w:sz="4" w:space="0" w:color="auto"/>
              <w:right w:val="single" w:sz="8"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$155,467</w:t>
            </w:r>
          </w:p>
        </w:tc>
      </w:tr>
      <w:tr w:rsidR="00E254E2" w:rsidRPr="00A57B6E" w:rsidTr="00E254E2">
        <w:trPr>
          <w:trHeight w:val="315"/>
        </w:trPr>
        <w:tc>
          <w:tcPr>
            <w:tcW w:w="447" w:type="pct"/>
            <w:tcBorders>
              <w:top w:val="nil"/>
              <w:left w:val="single" w:sz="8" w:space="0" w:color="auto"/>
              <w:bottom w:val="single" w:sz="8"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Average</w:t>
            </w:r>
          </w:p>
        </w:tc>
        <w:tc>
          <w:tcPr>
            <w:tcW w:w="574" w:type="pct"/>
            <w:tcBorders>
              <w:top w:val="nil"/>
              <w:left w:val="nil"/>
              <w:bottom w:val="single" w:sz="8"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1,000</w:t>
            </w:r>
          </w:p>
        </w:tc>
        <w:tc>
          <w:tcPr>
            <w:tcW w:w="903" w:type="pct"/>
            <w:tcBorders>
              <w:top w:val="nil"/>
              <w:left w:val="nil"/>
              <w:bottom w:val="single" w:sz="8"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50</w:t>
            </w:r>
          </w:p>
        </w:tc>
        <w:tc>
          <w:tcPr>
            <w:tcW w:w="696" w:type="pct"/>
            <w:tcBorders>
              <w:top w:val="nil"/>
              <w:left w:val="nil"/>
              <w:bottom w:val="single" w:sz="8"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100</w:t>
            </w:r>
          </w:p>
        </w:tc>
        <w:tc>
          <w:tcPr>
            <w:tcW w:w="640" w:type="pct"/>
            <w:tcBorders>
              <w:top w:val="nil"/>
              <w:left w:val="nil"/>
              <w:bottom w:val="single" w:sz="8"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1,150</w:t>
            </w:r>
          </w:p>
        </w:tc>
        <w:tc>
          <w:tcPr>
            <w:tcW w:w="611" w:type="pct"/>
            <w:tcBorders>
              <w:top w:val="nil"/>
              <w:left w:val="nil"/>
              <w:bottom w:val="single" w:sz="8"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$51,822</w:t>
            </w:r>
          </w:p>
        </w:tc>
        <w:tc>
          <w:tcPr>
            <w:tcW w:w="498" w:type="pct"/>
            <w:tcBorders>
              <w:top w:val="nil"/>
              <w:left w:val="nil"/>
              <w:bottom w:val="single" w:sz="8" w:space="0" w:color="auto"/>
              <w:right w:val="single" w:sz="4"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$0</w:t>
            </w:r>
          </w:p>
        </w:tc>
        <w:tc>
          <w:tcPr>
            <w:tcW w:w="631" w:type="pct"/>
            <w:tcBorders>
              <w:top w:val="nil"/>
              <w:left w:val="nil"/>
              <w:bottom w:val="single" w:sz="8" w:space="0" w:color="auto"/>
              <w:right w:val="single" w:sz="8" w:space="0" w:color="auto"/>
            </w:tcBorders>
            <w:shd w:val="clear" w:color="000000" w:fill="FFFFFF"/>
            <w:noWrap/>
            <w:vAlign w:val="bottom"/>
            <w:hideMark/>
          </w:tcPr>
          <w:p w:rsidR="00E254E2" w:rsidRPr="00C549BC" w:rsidRDefault="00E254E2" w:rsidP="00E254E2">
            <w:pPr>
              <w:jc w:val="center"/>
              <w:rPr>
                <w:rFonts w:cs="Arial"/>
                <w:sz w:val="22"/>
              </w:rPr>
            </w:pPr>
            <w:r w:rsidRPr="00C549BC">
              <w:rPr>
                <w:rFonts w:cs="Arial"/>
                <w:sz w:val="22"/>
              </w:rPr>
              <w:t>$51,822</w:t>
            </w:r>
          </w:p>
        </w:tc>
      </w:tr>
    </w:tbl>
    <w:p w:rsidR="00E254E2" w:rsidRDefault="00E254E2" w:rsidP="00E254E2">
      <w:pPr>
        <w:ind w:right="-90"/>
        <w:jc w:val="center"/>
        <w:rPr>
          <w:sz w:val="18"/>
          <w:szCs w:val="18"/>
        </w:rPr>
      </w:pPr>
    </w:p>
    <w:p w:rsidR="00E254E2" w:rsidRDefault="00E254E2" w:rsidP="00E254E2">
      <w:pPr>
        <w:ind w:right="-90"/>
        <w:jc w:val="center"/>
        <w:rPr>
          <w:szCs w:val="18"/>
        </w:rPr>
      </w:pPr>
    </w:p>
    <w:p w:rsidR="00E254E2" w:rsidRDefault="00E254E2" w:rsidP="00E254E2">
      <w:pPr>
        <w:ind w:right="-90"/>
        <w:jc w:val="center"/>
        <w:rPr>
          <w:b/>
        </w:rPr>
      </w:pPr>
      <w:r>
        <w:rPr>
          <w:szCs w:val="18"/>
        </w:rPr>
        <w:br w:type="page"/>
      </w:r>
      <w:r w:rsidRPr="00B4111D">
        <w:rPr>
          <w:b/>
        </w:rPr>
        <w:lastRenderedPageBreak/>
        <w:t xml:space="preserve">ATTACHMENT </w:t>
      </w:r>
      <w:r>
        <w:rPr>
          <w:b/>
        </w:rPr>
        <w:t>2</w:t>
      </w:r>
      <w:r w:rsidRPr="00B4111D">
        <w:rPr>
          <w:b/>
        </w:rPr>
        <w:t>.  INFORMATION REQUIREMENTS--</w:t>
      </w:r>
      <w:r w:rsidRPr="00F64D9D">
        <w:rPr>
          <w:b/>
        </w:rPr>
        <w:t xml:space="preserve">--AMENDMENTS TO </w:t>
      </w:r>
      <w:r>
        <w:rPr>
          <w:b/>
        </w:rPr>
        <w:t>SECONDARY LEAD SMELTING</w:t>
      </w:r>
      <w:r w:rsidRPr="00F64D9D">
        <w:rPr>
          <w:b/>
        </w:rPr>
        <w:t xml:space="preserve"> NESHAP</w:t>
      </w:r>
    </w:p>
    <w:p w:rsidR="00E254E2" w:rsidRPr="006F602E" w:rsidRDefault="00E254E2" w:rsidP="00E254E2">
      <w:pPr>
        <w:ind w:right="-90"/>
        <w:jc w:val="center"/>
        <w:rPr>
          <w:sz w:val="18"/>
          <w:szCs w:val="18"/>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798"/>
        <w:gridCol w:w="3060"/>
        <w:gridCol w:w="2880"/>
        <w:gridCol w:w="2970"/>
      </w:tblGrid>
      <w:tr w:rsidR="00E254E2" w:rsidRPr="006A5C85" w:rsidTr="00E254E2">
        <w:tc>
          <w:tcPr>
            <w:tcW w:w="3798" w:type="dxa"/>
            <w:tcBorders>
              <w:top w:val="double" w:sz="4" w:space="0" w:color="auto"/>
              <w:bottom w:val="single" w:sz="4" w:space="0" w:color="auto"/>
            </w:tcBorders>
            <w:shd w:val="clear" w:color="auto" w:fill="D9D9D9" w:themeFill="background1" w:themeFillShade="D9"/>
            <w:vAlign w:val="bottom"/>
          </w:tcPr>
          <w:p w:rsidR="00E254E2" w:rsidRDefault="00E254E2" w:rsidP="00E254E2">
            <w:pPr>
              <w:ind w:right="-90"/>
              <w:jc w:val="center"/>
              <w:rPr>
                <w:b/>
              </w:rPr>
            </w:pPr>
          </w:p>
          <w:p w:rsidR="00E254E2" w:rsidRPr="006A5C85" w:rsidRDefault="00E254E2" w:rsidP="00E254E2">
            <w:pPr>
              <w:ind w:right="-90"/>
              <w:jc w:val="center"/>
              <w:rPr>
                <w:b/>
              </w:rPr>
            </w:pPr>
            <w:r w:rsidRPr="006A5C85">
              <w:rPr>
                <w:b/>
              </w:rPr>
              <w:t>Requirement</w:t>
            </w:r>
          </w:p>
        </w:tc>
        <w:tc>
          <w:tcPr>
            <w:tcW w:w="3060" w:type="dxa"/>
            <w:tcBorders>
              <w:top w:val="double" w:sz="4" w:space="0" w:color="auto"/>
              <w:bottom w:val="single" w:sz="4" w:space="0" w:color="auto"/>
            </w:tcBorders>
            <w:shd w:val="clear" w:color="auto" w:fill="D9D9D9" w:themeFill="background1" w:themeFillShade="D9"/>
            <w:vAlign w:val="bottom"/>
          </w:tcPr>
          <w:p w:rsidR="00E254E2" w:rsidRPr="006A5C85" w:rsidRDefault="00E254E2" w:rsidP="00E254E2">
            <w:pPr>
              <w:ind w:right="-90"/>
              <w:jc w:val="center"/>
              <w:rPr>
                <w:b/>
              </w:rPr>
            </w:pPr>
            <w:r w:rsidRPr="006A5C85">
              <w:rPr>
                <w:b/>
              </w:rPr>
              <w:t>Citation for existing sources</w:t>
            </w:r>
          </w:p>
        </w:tc>
        <w:tc>
          <w:tcPr>
            <w:tcW w:w="2880" w:type="dxa"/>
            <w:tcBorders>
              <w:top w:val="double" w:sz="4" w:space="0" w:color="auto"/>
              <w:bottom w:val="single" w:sz="4" w:space="0" w:color="auto"/>
            </w:tcBorders>
            <w:shd w:val="clear" w:color="auto" w:fill="D9D9D9" w:themeFill="background1" w:themeFillShade="D9"/>
            <w:vAlign w:val="bottom"/>
          </w:tcPr>
          <w:p w:rsidR="00E254E2" w:rsidRPr="006A5C85" w:rsidRDefault="00E254E2" w:rsidP="00E254E2">
            <w:pPr>
              <w:ind w:right="-90"/>
              <w:jc w:val="center"/>
              <w:rPr>
                <w:b/>
              </w:rPr>
            </w:pPr>
            <w:r w:rsidRPr="006A5C85">
              <w:rPr>
                <w:b/>
              </w:rPr>
              <w:t>Citation for new sources</w:t>
            </w:r>
          </w:p>
        </w:tc>
        <w:tc>
          <w:tcPr>
            <w:tcW w:w="2970" w:type="dxa"/>
            <w:tcBorders>
              <w:top w:val="double" w:sz="4" w:space="0" w:color="auto"/>
              <w:bottom w:val="single" w:sz="4" w:space="0" w:color="auto"/>
            </w:tcBorders>
            <w:shd w:val="clear" w:color="auto" w:fill="D9D9D9" w:themeFill="background1" w:themeFillShade="D9"/>
            <w:vAlign w:val="bottom"/>
          </w:tcPr>
          <w:p w:rsidR="00E254E2" w:rsidRPr="006A5C85" w:rsidRDefault="00E254E2" w:rsidP="00E254E2">
            <w:pPr>
              <w:ind w:right="-90"/>
              <w:jc w:val="center"/>
              <w:rPr>
                <w:b/>
              </w:rPr>
            </w:pPr>
            <w:r w:rsidRPr="006A5C85">
              <w:rPr>
                <w:b/>
              </w:rPr>
              <w:t>General Provisions citation</w:t>
            </w:r>
          </w:p>
        </w:tc>
      </w:tr>
      <w:tr w:rsidR="00E254E2" w:rsidRPr="006A5C85" w:rsidTr="00E254E2">
        <w:tc>
          <w:tcPr>
            <w:tcW w:w="3798" w:type="dxa"/>
            <w:tcBorders>
              <w:top w:val="single" w:sz="4" w:space="0" w:color="auto"/>
            </w:tcBorders>
          </w:tcPr>
          <w:p w:rsidR="00E254E2" w:rsidRPr="00944C9A" w:rsidRDefault="00E254E2" w:rsidP="00E254E2">
            <w:pPr>
              <w:ind w:right="-90"/>
            </w:pPr>
            <w:r w:rsidRPr="00944C9A">
              <w:t>Emission limits for vents</w:t>
            </w:r>
          </w:p>
        </w:tc>
        <w:tc>
          <w:tcPr>
            <w:tcW w:w="3060" w:type="dxa"/>
            <w:tcBorders>
              <w:top w:val="single" w:sz="4" w:space="0" w:color="auto"/>
            </w:tcBorders>
          </w:tcPr>
          <w:p w:rsidR="00E254E2" w:rsidRPr="006A5C85" w:rsidRDefault="00E254E2" w:rsidP="00E254E2">
            <w:pPr>
              <w:ind w:right="-90"/>
              <w:rPr>
                <w:bCs/>
              </w:rPr>
            </w:pPr>
            <w:r w:rsidRPr="00B870BB">
              <w:t>§63.54</w:t>
            </w:r>
            <w:r>
              <w:t>3</w:t>
            </w:r>
          </w:p>
        </w:tc>
        <w:tc>
          <w:tcPr>
            <w:tcW w:w="2880" w:type="dxa"/>
            <w:tcBorders>
              <w:top w:val="single" w:sz="4" w:space="0" w:color="auto"/>
            </w:tcBorders>
          </w:tcPr>
          <w:p w:rsidR="00E254E2" w:rsidRPr="006A5C85" w:rsidRDefault="00E254E2" w:rsidP="00E254E2">
            <w:pPr>
              <w:ind w:right="-90"/>
              <w:rPr>
                <w:bCs/>
              </w:rPr>
            </w:pPr>
            <w:r w:rsidRPr="00B870BB">
              <w:t>§63.54</w:t>
            </w:r>
            <w:r>
              <w:t>3</w:t>
            </w:r>
          </w:p>
        </w:tc>
        <w:tc>
          <w:tcPr>
            <w:tcW w:w="2970" w:type="dxa"/>
            <w:tcBorders>
              <w:top w:val="single" w:sz="4" w:space="0" w:color="auto"/>
            </w:tcBorders>
          </w:tcPr>
          <w:p w:rsidR="00E254E2" w:rsidRPr="006A5C85" w:rsidRDefault="00E254E2" w:rsidP="00E254E2">
            <w:pPr>
              <w:ind w:right="-90"/>
            </w:pPr>
          </w:p>
        </w:tc>
      </w:tr>
      <w:tr w:rsidR="00E254E2" w:rsidRPr="006A5C85" w:rsidTr="00E254E2">
        <w:tc>
          <w:tcPr>
            <w:tcW w:w="3798" w:type="dxa"/>
          </w:tcPr>
          <w:p w:rsidR="00E254E2" w:rsidRPr="00944C9A" w:rsidRDefault="00E254E2" w:rsidP="00E254E2">
            <w:pPr>
              <w:ind w:right="-90"/>
            </w:pPr>
            <w:r w:rsidRPr="00944C9A">
              <w:t xml:space="preserve">Standards for </w:t>
            </w:r>
            <w:r>
              <w:t>F</w:t>
            </w:r>
            <w:r w:rsidRPr="00944C9A">
              <w:t xml:space="preserve">ugitive </w:t>
            </w:r>
            <w:r>
              <w:t>E</w:t>
            </w:r>
            <w:r w:rsidRPr="00944C9A">
              <w:t>missions</w:t>
            </w:r>
          </w:p>
        </w:tc>
        <w:tc>
          <w:tcPr>
            <w:tcW w:w="3060" w:type="dxa"/>
          </w:tcPr>
          <w:p w:rsidR="00E254E2" w:rsidRPr="00B870BB" w:rsidRDefault="00E254E2" w:rsidP="00E254E2">
            <w:pPr>
              <w:ind w:right="-90"/>
            </w:pPr>
            <w:r w:rsidRPr="00B870BB">
              <w:t>§63.54</w:t>
            </w:r>
            <w:r>
              <w:t>5</w:t>
            </w:r>
          </w:p>
        </w:tc>
        <w:tc>
          <w:tcPr>
            <w:tcW w:w="2880" w:type="dxa"/>
          </w:tcPr>
          <w:p w:rsidR="00E254E2" w:rsidRPr="00B870BB" w:rsidRDefault="00E254E2" w:rsidP="00E254E2">
            <w:pPr>
              <w:ind w:right="-90"/>
            </w:pPr>
            <w:r w:rsidRPr="00B870BB">
              <w:t>§63.54</w:t>
            </w:r>
            <w:r>
              <w:t>5</w:t>
            </w:r>
          </w:p>
        </w:tc>
        <w:tc>
          <w:tcPr>
            <w:tcW w:w="2970" w:type="dxa"/>
          </w:tcPr>
          <w:p w:rsidR="00E254E2" w:rsidRPr="006A5C85" w:rsidRDefault="00E254E2" w:rsidP="00E254E2">
            <w:pPr>
              <w:ind w:right="-90"/>
            </w:pPr>
          </w:p>
        </w:tc>
      </w:tr>
      <w:tr w:rsidR="00E254E2" w:rsidRPr="006A5C85" w:rsidTr="00E254E2">
        <w:tc>
          <w:tcPr>
            <w:tcW w:w="3798" w:type="dxa"/>
          </w:tcPr>
          <w:p w:rsidR="00E254E2" w:rsidRPr="00944C9A" w:rsidRDefault="00E254E2" w:rsidP="00E254E2">
            <w:pPr>
              <w:ind w:right="-90"/>
            </w:pPr>
            <w:r w:rsidRPr="00944C9A">
              <w:t>Monitoring</w:t>
            </w:r>
          </w:p>
        </w:tc>
        <w:tc>
          <w:tcPr>
            <w:tcW w:w="3060" w:type="dxa"/>
          </w:tcPr>
          <w:p w:rsidR="00E254E2" w:rsidRPr="006A5C85" w:rsidRDefault="00E254E2" w:rsidP="00E254E2">
            <w:pPr>
              <w:ind w:right="-90"/>
            </w:pPr>
            <w:r w:rsidRPr="00B870BB">
              <w:t>§63.54</w:t>
            </w:r>
            <w:r>
              <w:t>8</w:t>
            </w:r>
          </w:p>
        </w:tc>
        <w:tc>
          <w:tcPr>
            <w:tcW w:w="2880" w:type="dxa"/>
          </w:tcPr>
          <w:p w:rsidR="00E254E2" w:rsidRPr="006A5C85" w:rsidRDefault="00E254E2" w:rsidP="00E254E2">
            <w:pPr>
              <w:ind w:right="-90"/>
            </w:pPr>
            <w:r w:rsidRPr="00B870BB">
              <w:t>§63.54</w:t>
            </w:r>
            <w:r>
              <w:t>8</w:t>
            </w:r>
          </w:p>
        </w:tc>
        <w:tc>
          <w:tcPr>
            <w:tcW w:w="2970" w:type="dxa"/>
          </w:tcPr>
          <w:p w:rsidR="00E254E2" w:rsidRPr="006A5C85" w:rsidRDefault="00E254E2" w:rsidP="00E254E2">
            <w:pPr>
              <w:ind w:right="-90"/>
            </w:pPr>
            <w:r w:rsidRPr="006A5C85">
              <w:t>N/A</w:t>
            </w:r>
          </w:p>
        </w:tc>
      </w:tr>
      <w:tr w:rsidR="00E254E2" w:rsidRPr="006A5C85" w:rsidTr="00E254E2">
        <w:tc>
          <w:tcPr>
            <w:tcW w:w="3798" w:type="dxa"/>
          </w:tcPr>
          <w:p w:rsidR="00E254E2" w:rsidRPr="00944C9A" w:rsidRDefault="00E254E2" w:rsidP="00E254E2">
            <w:pPr>
              <w:ind w:right="-90"/>
            </w:pPr>
            <w:r w:rsidRPr="00944C9A">
              <w:t>Notifications</w:t>
            </w:r>
          </w:p>
        </w:tc>
        <w:tc>
          <w:tcPr>
            <w:tcW w:w="3060" w:type="dxa"/>
          </w:tcPr>
          <w:p w:rsidR="00E254E2" w:rsidRPr="006A5C85" w:rsidRDefault="00E254E2" w:rsidP="00E254E2">
            <w:pPr>
              <w:ind w:right="-90"/>
            </w:pPr>
            <w:r w:rsidRPr="00B870BB">
              <w:t>§63.54</w:t>
            </w:r>
            <w:r>
              <w:t>9</w:t>
            </w:r>
          </w:p>
        </w:tc>
        <w:tc>
          <w:tcPr>
            <w:tcW w:w="2880" w:type="dxa"/>
          </w:tcPr>
          <w:p w:rsidR="00E254E2" w:rsidRPr="006A5C85" w:rsidRDefault="00E254E2" w:rsidP="00E254E2">
            <w:pPr>
              <w:ind w:right="-90"/>
            </w:pPr>
            <w:r w:rsidRPr="00B870BB">
              <w:t>§63.54</w:t>
            </w:r>
            <w:r>
              <w:t>9</w:t>
            </w:r>
          </w:p>
        </w:tc>
        <w:tc>
          <w:tcPr>
            <w:tcW w:w="2970" w:type="dxa"/>
          </w:tcPr>
          <w:p w:rsidR="00E254E2" w:rsidRPr="006A5C85" w:rsidRDefault="00E254E2" w:rsidP="00E254E2">
            <w:pPr>
              <w:ind w:right="-90"/>
            </w:pPr>
            <w:r>
              <w:t>63.9</w:t>
            </w:r>
          </w:p>
        </w:tc>
      </w:tr>
      <w:tr w:rsidR="00E254E2" w:rsidRPr="006A5C85" w:rsidTr="00E254E2">
        <w:tc>
          <w:tcPr>
            <w:tcW w:w="3798" w:type="dxa"/>
          </w:tcPr>
          <w:p w:rsidR="00E254E2" w:rsidRPr="00944C9A" w:rsidRDefault="00E254E2" w:rsidP="00E254E2">
            <w:pPr>
              <w:ind w:right="-90"/>
            </w:pPr>
            <w:r w:rsidRPr="00944C9A">
              <w:t>Recordkeeping and reporting requirements</w:t>
            </w:r>
          </w:p>
        </w:tc>
        <w:tc>
          <w:tcPr>
            <w:tcW w:w="3060" w:type="dxa"/>
          </w:tcPr>
          <w:p w:rsidR="00E254E2" w:rsidRPr="00B870BB" w:rsidRDefault="00E254E2" w:rsidP="00E254E2">
            <w:pPr>
              <w:ind w:right="-90"/>
            </w:pPr>
            <w:r w:rsidRPr="00B870BB">
              <w:t>§63.5</w:t>
            </w:r>
            <w:r>
              <w:t>50</w:t>
            </w:r>
          </w:p>
        </w:tc>
        <w:tc>
          <w:tcPr>
            <w:tcW w:w="2880" w:type="dxa"/>
          </w:tcPr>
          <w:p w:rsidR="00E254E2" w:rsidRPr="00B870BB" w:rsidRDefault="00E254E2" w:rsidP="00E254E2">
            <w:pPr>
              <w:ind w:right="-90"/>
            </w:pPr>
            <w:r w:rsidRPr="00B870BB">
              <w:t>§63.5</w:t>
            </w:r>
            <w:r>
              <w:t>50</w:t>
            </w:r>
          </w:p>
        </w:tc>
        <w:tc>
          <w:tcPr>
            <w:tcW w:w="2970" w:type="dxa"/>
          </w:tcPr>
          <w:p w:rsidR="00E254E2" w:rsidRDefault="00E254E2" w:rsidP="00E254E2">
            <w:pPr>
              <w:ind w:right="-90"/>
            </w:pPr>
          </w:p>
        </w:tc>
      </w:tr>
      <w:tr w:rsidR="00E254E2" w:rsidRPr="006A5C85" w:rsidTr="00E254E2">
        <w:tc>
          <w:tcPr>
            <w:tcW w:w="3798" w:type="dxa"/>
          </w:tcPr>
          <w:p w:rsidR="00E254E2" w:rsidRPr="00944C9A" w:rsidRDefault="00E254E2" w:rsidP="00E254E2">
            <w:pPr>
              <w:ind w:right="-90"/>
            </w:pPr>
            <w:r w:rsidRPr="00944C9A">
              <w:t>Reports of malfunctions that result in an exceedances of the standard for the purpose of affirmative defense</w:t>
            </w:r>
          </w:p>
        </w:tc>
        <w:tc>
          <w:tcPr>
            <w:tcW w:w="3060" w:type="dxa"/>
          </w:tcPr>
          <w:p w:rsidR="00E254E2" w:rsidRPr="006A5C85" w:rsidRDefault="00E254E2" w:rsidP="00E254E2">
            <w:pPr>
              <w:ind w:right="-90"/>
            </w:pPr>
            <w:r w:rsidRPr="00B870BB">
              <w:t>§63.5</w:t>
            </w:r>
            <w:r>
              <w:t>52</w:t>
            </w:r>
          </w:p>
        </w:tc>
        <w:tc>
          <w:tcPr>
            <w:tcW w:w="2880" w:type="dxa"/>
          </w:tcPr>
          <w:p w:rsidR="00E254E2" w:rsidRPr="006A5C85" w:rsidRDefault="00E254E2" w:rsidP="00E254E2">
            <w:pPr>
              <w:ind w:right="-90"/>
            </w:pPr>
            <w:r w:rsidRPr="00B870BB">
              <w:t>§63.5</w:t>
            </w:r>
            <w:r>
              <w:t>52</w:t>
            </w:r>
          </w:p>
        </w:tc>
        <w:tc>
          <w:tcPr>
            <w:tcW w:w="2970" w:type="dxa"/>
          </w:tcPr>
          <w:p w:rsidR="00E254E2" w:rsidRPr="006A5C85" w:rsidRDefault="00E254E2" w:rsidP="00E254E2">
            <w:pPr>
              <w:ind w:right="-90"/>
            </w:pPr>
          </w:p>
        </w:tc>
      </w:tr>
      <w:tr w:rsidR="00E254E2" w:rsidRPr="006A5C85" w:rsidTr="00E254E2">
        <w:tc>
          <w:tcPr>
            <w:tcW w:w="3798" w:type="dxa"/>
          </w:tcPr>
          <w:p w:rsidR="00E254E2" w:rsidRPr="00944C9A" w:rsidRDefault="00E254E2" w:rsidP="00E254E2">
            <w:pPr>
              <w:ind w:right="-90"/>
            </w:pPr>
            <w:r w:rsidRPr="00944C9A">
              <w:t>Records</w:t>
            </w:r>
          </w:p>
        </w:tc>
        <w:tc>
          <w:tcPr>
            <w:tcW w:w="3060" w:type="dxa"/>
          </w:tcPr>
          <w:p w:rsidR="00E254E2" w:rsidRPr="006A5C85" w:rsidRDefault="00E254E2" w:rsidP="00E254E2">
            <w:pPr>
              <w:ind w:right="-90"/>
            </w:pPr>
            <w:r w:rsidRPr="00B870BB">
              <w:t>§63.541</w:t>
            </w:r>
          </w:p>
        </w:tc>
        <w:tc>
          <w:tcPr>
            <w:tcW w:w="2880" w:type="dxa"/>
          </w:tcPr>
          <w:p w:rsidR="00E254E2" w:rsidRPr="006A5C85" w:rsidRDefault="00E254E2" w:rsidP="00E254E2">
            <w:pPr>
              <w:ind w:right="-90"/>
            </w:pPr>
            <w:r w:rsidRPr="00B870BB">
              <w:t>§63.541</w:t>
            </w:r>
          </w:p>
        </w:tc>
        <w:tc>
          <w:tcPr>
            <w:tcW w:w="2970" w:type="dxa"/>
          </w:tcPr>
          <w:p w:rsidR="00E254E2" w:rsidRPr="006A5C85" w:rsidRDefault="00E254E2" w:rsidP="00E254E2">
            <w:pPr>
              <w:ind w:right="-90"/>
            </w:pPr>
            <w:r>
              <w:t>63.10</w:t>
            </w:r>
          </w:p>
        </w:tc>
      </w:tr>
      <w:tr w:rsidR="00E254E2" w:rsidRPr="006A5C85" w:rsidTr="00E254E2">
        <w:tc>
          <w:tcPr>
            <w:tcW w:w="3798" w:type="dxa"/>
          </w:tcPr>
          <w:p w:rsidR="00E254E2" w:rsidRPr="00944C9A" w:rsidRDefault="00E254E2" w:rsidP="00E254E2">
            <w:pPr>
              <w:ind w:right="-90"/>
            </w:pPr>
            <w:r w:rsidRPr="00944C9A">
              <w:t>Reports</w:t>
            </w:r>
          </w:p>
        </w:tc>
        <w:tc>
          <w:tcPr>
            <w:tcW w:w="3060" w:type="dxa"/>
          </w:tcPr>
          <w:p w:rsidR="00E254E2" w:rsidRPr="006A5C85" w:rsidRDefault="00E254E2" w:rsidP="00E254E2">
            <w:pPr>
              <w:ind w:right="-90"/>
            </w:pPr>
            <w:r w:rsidRPr="00B870BB">
              <w:t>§63.541</w:t>
            </w:r>
          </w:p>
        </w:tc>
        <w:tc>
          <w:tcPr>
            <w:tcW w:w="2880" w:type="dxa"/>
          </w:tcPr>
          <w:p w:rsidR="00E254E2" w:rsidRPr="006A5C85" w:rsidRDefault="00E254E2" w:rsidP="00E254E2">
            <w:pPr>
              <w:ind w:right="-90"/>
            </w:pPr>
            <w:r w:rsidRPr="00B870BB">
              <w:t>§63.541</w:t>
            </w:r>
          </w:p>
        </w:tc>
        <w:tc>
          <w:tcPr>
            <w:tcW w:w="2970" w:type="dxa"/>
          </w:tcPr>
          <w:p w:rsidR="00E254E2" w:rsidRPr="006A5C85" w:rsidRDefault="00E254E2" w:rsidP="00E254E2">
            <w:pPr>
              <w:ind w:right="-90"/>
            </w:pPr>
            <w:r>
              <w:t>63.10</w:t>
            </w:r>
          </w:p>
        </w:tc>
      </w:tr>
    </w:tbl>
    <w:p w:rsidR="00E254E2" w:rsidRDefault="00E254E2" w:rsidP="00E254E2">
      <w:pPr>
        <w:ind w:right="-90"/>
        <w:jc w:val="center"/>
      </w:pPr>
      <w:r>
        <w:t xml:space="preserve"> </w:t>
      </w:r>
    </w:p>
    <w:p w:rsidR="00E254E2" w:rsidRPr="00E254E2" w:rsidRDefault="00E254E2" w:rsidP="00E254E2"/>
    <w:sectPr w:rsidR="00E254E2" w:rsidRPr="00E254E2" w:rsidSect="00E254E2">
      <w:pgSz w:w="15840" w:h="12240" w:orient="landscape" w:code="1"/>
      <w:pgMar w:top="144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074" w:rsidRDefault="00866074" w:rsidP="00536154">
      <w:r>
        <w:separator/>
      </w:r>
    </w:p>
  </w:endnote>
  <w:endnote w:type="continuationSeparator" w:id="0">
    <w:p w:rsidR="00866074" w:rsidRDefault="00866074" w:rsidP="00536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0" w:usb1="00000000" w:usb2="00000000" w:usb3="00000000" w:csb0="00000000" w:csb1="00000000"/>
  </w:font>
  <w:font w:name="Arial Bol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F24" w:rsidRDefault="00C12326">
    <w:pPr>
      <w:framePr w:wrap="notBeside" w:hAnchor="text" w:xAlign="center"/>
    </w:pPr>
    <w:fldSimple w:instr=" PAGE  ">
      <w:r w:rsidR="00D45DAB">
        <w:rPr>
          <w:noProof/>
        </w:rPr>
        <w:t>11</w:t>
      </w:r>
    </w:fldSimple>
  </w:p>
  <w:p w:rsidR="001B2F24" w:rsidRDefault="001B2F2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F24" w:rsidRDefault="00C12326" w:rsidP="00E254E2">
    <w:pPr>
      <w:framePr w:wrap="notBeside" w:hAnchor="text" w:xAlign="center"/>
    </w:pPr>
    <w:fldSimple w:instr=" PAGE  ">
      <w:r w:rsidR="001B2F24">
        <w:rPr>
          <w:noProof/>
        </w:rPr>
        <w:t>1</w:t>
      </w:r>
    </w:fldSimple>
  </w:p>
  <w:p w:rsidR="001B2F24" w:rsidRDefault="001B2F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074" w:rsidRDefault="00866074" w:rsidP="00536154">
      <w:r>
        <w:separator/>
      </w:r>
    </w:p>
  </w:footnote>
  <w:footnote w:type="continuationSeparator" w:id="0">
    <w:p w:rsidR="00866074" w:rsidRDefault="00866074" w:rsidP="00536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3641D50"/>
    <w:lvl w:ilvl="0">
      <w:start w:val="1"/>
      <w:numFmt w:val="decimal"/>
      <w:pStyle w:val="ListBullet"/>
      <w:lvlText w:val="%1."/>
      <w:lvlJc w:val="left"/>
      <w:pPr>
        <w:tabs>
          <w:tab w:val="num" w:pos="1800"/>
        </w:tabs>
        <w:ind w:left="1800" w:hanging="360"/>
      </w:pPr>
      <w:rPr>
        <w:rFonts w:cs="Times New Roman"/>
      </w:rPr>
    </w:lvl>
  </w:abstractNum>
  <w:abstractNum w:abstractNumId="1">
    <w:nsid w:val="FFFFFF7F"/>
    <w:multiLevelType w:val="singleLevel"/>
    <w:tmpl w:val="2DBA8128"/>
    <w:lvl w:ilvl="0">
      <w:start w:val="1"/>
      <w:numFmt w:val="decimal"/>
      <w:pStyle w:val="ListNumber2"/>
      <w:lvlText w:val="%1."/>
      <w:lvlJc w:val="left"/>
      <w:pPr>
        <w:tabs>
          <w:tab w:val="num" w:pos="720"/>
        </w:tabs>
        <w:ind w:left="720" w:hanging="360"/>
      </w:pPr>
      <w:rPr>
        <w:rFonts w:cs="Times New Roman"/>
      </w:rPr>
    </w:lvl>
  </w:abstractNum>
  <w:abstractNum w:abstractNumId="2">
    <w:nsid w:val="FFFFFF83"/>
    <w:multiLevelType w:val="singleLevel"/>
    <w:tmpl w:val="85126F20"/>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F90E0F06"/>
    <w:lvl w:ilvl="0">
      <w:start w:val="1"/>
      <w:numFmt w:val="decimal"/>
      <w:pStyle w:val="ListNumber"/>
      <w:lvlText w:val="%1."/>
      <w:lvlJc w:val="left"/>
      <w:pPr>
        <w:tabs>
          <w:tab w:val="num" w:pos="360"/>
        </w:tabs>
        <w:ind w:left="360" w:hanging="360"/>
      </w:pPr>
      <w:rPr>
        <w:rFonts w:cs="Times New Roman"/>
      </w:rPr>
    </w:lvl>
  </w:abstractNum>
  <w:abstractNum w:abstractNumId="4">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7C35A05"/>
    <w:multiLevelType w:val="hybridMultilevel"/>
    <w:tmpl w:val="333E3B0A"/>
    <w:lvl w:ilvl="0" w:tplc="6F3013BE">
      <w:start w:val="1"/>
      <w:numFmt w:val="bullet"/>
      <w:pStyle w:val="Bullet-last"/>
      <w:lvlText w:val=""/>
      <w:lvlJc w:val="left"/>
      <w:pPr>
        <w:ind w:left="360" w:hanging="360"/>
      </w:pPr>
      <w:rPr>
        <w:rFonts w:ascii="Symbol" w:hAnsi="Symbol" w:cs="Times New Roman" w:hint="default"/>
        <w:b w:val="0"/>
        <w:bCs w:val="0"/>
        <w:i w:val="0"/>
        <w:iCs w:val="0"/>
        <w:caps w:val="0"/>
        <w:strike w:val="0"/>
        <w:dstrike w:val="0"/>
        <w:outline w:val="0"/>
        <w:shadow w:val="0"/>
        <w:emboss w:val="0"/>
        <w:imprint w:val="0"/>
        <w:vanish w:val="0"/>
        <w:spacing w:val="0"/>
        <w:kern w:val="0"/>
        <w:position w:val="0"/>
        <w:sz w:val="24"/>
        <w:szCs w:val="24"/>
        <w:u w:val="none"/>
        <w:vertAlign w:val="baseline"/>
        <w:em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EC40526"/>
    <w:multiLevelType w:val="hybridMultilevel"/>
    <w:tmpl w:val="4496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A63915"/>
    <w:multiLevelType w:val="hybridMultilevel"/>
    <w:tmpl w:val="13FA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2868D2"/>
    <w:multiLevelType w:val="multilevel"/>
    <w:tmpl w:val="44968BE6"/>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7B078C4"/>
    <w:multiLevelType w:val="multilevel"/>
    <w:tmpl w:val="A3F6901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0">
    <w:nsid w:val="7DED342B"/>
    <w:multiLevelType w:val="multilevel"/>
    <w:tmpl w:val="2D4C2580"/>
    <w:lvl w:ilvl="0">
      <w:start w:val="1"/>
      <w:numFmt w:val="decimal"/>
      <w:pStyle w:val="Heading1"/>
      <w:lvlText w:val="%1.0"/>
      <w:lvlJc w:val="left"/>
      <w:pPr>
        <w:tabs>
          <w:tab w:val="num" w:pos="72"/>
        </w:tabs>
        <w:ind w:left="72" w:hanging="72"/>
      </w:pPr>
      <w:rPr>
        <w:rFonts w:ascii="Times New Roman Bold" w:hAnsi="Times New Roman Bold" w:cs="Times New Roman" w:hint="default"/>
        <w:b/>
        <w:i w:val="0"/>
        <w:caps/>
        <w:strike w:val="0"/>
        <w:dstrike w:val="0"/>
        <w:outline w:val="0"/>
        <w:shadow w:val="0"/>
        <w:emboss w:val="0"/>
        <w:imprint w:val="0"/>
        <w:vanish w:val="0"/>
        <w:color w:val="auto"/>
        <w:sz w:val="24"/>
        <w:vertAlign w:val="baseline"/>
      </w:rPr>
    </w:lvl>
    <w:lvl w:ilvl="1">
      <w:start w:val="1"/>
      <w:numFmt w:val="decimal"/>
      <w:lvlText w:val="%1.%2"/>
      <w:lvlJc w:val="left"/>
      <w:pPr>
        <w:tabs>
          <w:tab w:val="num" w:pos="720"/>
        </w:tabs>
        <w:ind w:left="720" w:hanging="720"/>
      </w:pPr>
      <w:rPr>
        <w:rFonts w:ascii="Times New Roman Bold" w:hAnsi="Times New Roman Bold" w:cs="Times New Roman" w:hint="default"/>
        <w:b/>
        <w:i w:val="0"/>
        <w:color w:val="auto"/>
        <w:sz w:val="24"/>
      </w:rPr>
    </w:lvl>
    <w:lvl w:ilvl="2">
      <w:start w:val="1"/>
      <w:numFmt w:val="decimal"/>
      <w:pStyle w:val="Heading3"/>
      <w:lvlText w:val="%1.%2.%3"/>
      <w:lvlJc w:val="left"/>
      <w:pPr>
        <w:tabs>
          <w:tab w:val="num" w:pos="720"/>
        </w:tabs>
        <w:ind w:left="720"/>
      </w:pPr>
      <w:rPr>
        <w:rFonts w:cs="Arial Bold" w:hint="default"/>
      </w:rPr>
    </w:lvl>
    <w:lvl w:ilvl="3">
      <w:start w:val="1"/>
      <w:numFmt w:val="decimal"/>
      <w:pStyle w:val="Heading4"/>
      <w:lvlText w:val="%1.%2.%3.%4"/>
      <w:lvlJc w:val="left"/>
      <w:pPr>
        <w:tabs>
          <w:tab w:val="num" w:pos="1800"/>
        </w:tabs>
        <w:ind w:left="720"/>
      </w:pPr>
      <w:rPr>
        <w:rFonts w:ascii="Times New Roman Bold" w:hAnsi="Times New Roman Bold" w:cs="Times New Roman" w:hint="default"/>
        <w:b/>
        <w:i w:val="0"/>
        <w:iCs w:val="0"/>
        <w:caps w:val="0"/>
        <w:smallCaps w:val="0"/>
        <w:strike w:val="0"/>
        <w:dstrike w:val="0"/>
        <w:outline w:val="0"/>
        <w:shadow w:val="0"/>
        <w:emboss w:val="0"/>
        <w:imprint w:val="0"/>
        <w:vanish w:val="0"/>
        <w:spacing w:val="0"/>
        <w:kern w:val="0"/>
        <w:position w:val="0"/>
        <w:sz w:val="24"/>
        <w:u w:val="none"/>
        <w:vertAlign w:val="baseline"/>
      </w:rPr>
    </w:lvl>
    <w:lvl w:ilvl="4">
      <w:start w:val="1"/>
      <w:numFmt w:val="decimal"/>
      <w:lvlText w:val="%1.%2.%3.%4.%5"/>
      <w:lvlJc w:val="left"/>
      <w:pPr>
        <w:tabs>
          <w:tab w:val="num" w:pos="1008"/>
        </w:tabs>
        <w:ind w:left="1008" w:hanging="1008"/>
      </w:pPr>
      <w:rPr>
        <w:rFonts w:cs="Arial Bold" w:hint="default"/>
      </w:rPr>
    </w:lvl>
    <w:lvl w:ilvl="5">
      <w:start w:val="1"/>
      <w:numFmt w:val="decimal"/>
      <w:lvlText w:val="%1.%2.%3.%4.%5.%6"/>
      <w:lvlJc w:val="left"/>
      <w:pPr>
        <w:tabs>
          <w:tab w:val="num" w:pos="1152"/>
        </w:tabs>
        <w:ind w:left="1152" w:hanging="1152"/>
      </w:pPr>
      <w:rPr>
        <w:rFonts w:cs="Arial Bold" w:hint="default"/>
      </w:rPr>
    </w:lvl>
    <w:lvl w:ilvl="6">
      <w:start w:val="1"/>
      <w:numFmt w:val="decimal"/>
      <w:lvlText w:val="%1.%2.%3.%4.%5.%6.%7"/>
      <w:lvlJc w:val="left"/>
      <w:pPr>
        <w:tabs>
          <w:tab w:val="num" w:pos="1296"/>
        </w:tabs>
        <w:ind w:left="1296" w:hanging="1296"/>
      </w:pPr>
      <w:rPr>
        <w:rFonts w:cs="Arial Bold" w:hint="default"/>
      </w:rPr>
    </w:lvl>
    <w:lvl w:ilvl="7">
      <w:start w:val="1"/>
      <w:numFmt w:val="decimal"/>
      <w:lvlText w:val="%1.%2.%3.%4.%5.%6.%7.%8"/>
      <w:lvlJc w:val="left"/>
      <w:pPr>
        <w:tabs>
          <w:tab w:val="num" w:pos="1440"/>
        </w:tabs>
        <w:ind w:left="1440" w:hanging="1440"/>
      </w:pPr>
      <w:rPr>
        <w:rFonts w:cs="Arial Bold" w:hint="default"/>
      </w:rPr>
    </w:lvl>
    <w:lvl w:ilvl="8">
      <w:start w:val="1"/>
      <w:numFmt w:val="decimal"/>
      <w:lvlText w:val="%1.%2.%3.%4.%5.%6.%7.%8.%9"/>
      <w:lvlJc w:val="left"/>
      <w:pPr>
        <w:tabs>
          <w:tab w:val="num" w:pos="1584"/>
        </w:tabs>
        <w:ind w:left="1584" w:hanging="1584"/>
      </w:pPr>
      <w:rPr>
        <w:rFonts w:cs="Arial Bold" w:hint="default"/>
      </w:rPr>
    </w:lvl>
  </w:abstractNum>
  <w:num w:numId="1">
    <w:abstractNumId w:val="3"/>
  </w:num>
  <w:num w:numId="2">
    <w:abstractNumId w:val="1"/>
  </w:num>
  <w:num w:numId="3">
    <w:abstractNumId w:val="0"/>
  </w:num>
  <w:num w:numId="4">
    <w:abstractNumId w:val="2"/>
  </w:num>
  <w:num w:numId="5">
    <w:abstractNumId w:val="10"/>
  </w:num>
  <w:num w:numId="6">
    <w:abstractNumId w:val="9"/>
  </w:num>
  <w:num w:numId="7">
    <w:abstractNumId w:val="5"/>
  </w:num>
  <w:num w:numId="8">
    <w:abstractNumId w:val="4"/>
  </w:num>
  <w:num w:numId="9">
    <w:abstractNumId w:val="7"/>
  </w:num>
  <w:num w:numId="10">
    <w:abstractNumId w:val="6"/>
  </w:num>
  <w:num w:numId="11">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1408"/>
  <w:stylePaneSortMethod w:val="0000"/>
  <w:doNotTrackMoves/>
  <w:defaultTabStop w:val="720"/>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A53"/>
    <w:rsid w:val="00000AFA"/>
    <w:rsid w:val="00001831"/>
    <w:rsid w:val="00013932"/>
    <w:rsid w:val="0001716B"/>
    <w:rsid w:val="0001741F"/>
    <w:rsid w:val="000235CF"/>
    <w:rsid w:val="000365DB"/>
    <w:rsid w:val="0005190D"/>
    <w:rsid w:val="00057CD5"/>
    <w:rsid w:val="00065660"/>
    <w:rsid w:val="000730B4"/>
    <w:rsid w:val="00082F83"/>
    <w:rsid w:val="000974F0"/>
    <w:rsid w:val="000A033D"/>
    <w:rsid w:val="000B4D06"/>
    <w:rsid w:val="000D6B4A"/>
    <w:rsid w:val="000E5941"/>
    <w:rsid w:val="000E66AF"/>
    <w:rsid w:val="000F1051"/>
    <w:rsid w:val="000F13A0"/>
    <w:rsid w:val="000F2E6C"/>
    <w:rsid w:val="0010185D"/>
    <w:rsid w:val="001108CB"/>
    <w:rsid w:val="00122498"/>
    <w:rsid w:val="00123865"/>
    <w:rsid w:val="00132A96"/>
    <w:rsid w:val="00134E6E"/>
    <w:rsid w:val="0015013D"/>
    <w:rsid w:val="001530B8"/>
    <w:rsid w:val="001536C8"/>
    <w:rsid w:val="0015573A"/>
    <w:rsid w:val="00174C3B"/>
    <w:rsid w:val="001825B4"/>
    <w:rsid w:val="0018261F"/>
    <w:rsid w:val="0018289D"/>
    <w:rsid w:val="001A69C1"/>
    <w:rsid w:val="001A7BFB"/>
    <w:rsid w:val="001B2F24"/>
    <w:rsid w:val="001B3A58"/>
    <w:rsid w:val="001C439F"/>
    <w:rsid w:val="001D189A"/>
    <w:rsid w:val="001D5695"/>
    <w:rsid w:val="001D67CA"/>
    <w:rsid w:val="00205A9B"/>
    <w:rsid w:val="0021497A"/>
    <w:rsid w:val="0022733B"/>
    <w:rsid w:val="00233192"/>
    <w:rsid w:val="00235F59"/>
    <w:rsid w:val="00243B9F"/>
    <w:rsid w:val="00245FE3"/>
    <w:rsid w:val="00251A0F"/>
    <w:rsid w:val="002559F6"/>
    <w:rsid w:val="00263DA2"/>
    <w:rsid w:val="00273F8C"/>
    <w:rsid w:val="00274FEF"/>
    <w:rsid w:val="00283FA8"/>
    <w:rsid w:val="00284CA9"/>
    <w:rsid w:val="002A5BAB"/>
    <w:rsid w:val="002A7A9F"/>
    <w:rsid w:val="002B04A0"/>
    <w:rsid w:val="002B2C38"/>
    <w:rsid w:val="002B56A5"/>
    <w:rsid w:val="002D6F5D"/>
    <w:rsid w:val="002E1778"/>
    <w:rsid w:val="002F0538"/>
    <w:rsid w:val="002F1F0B"/>
    <w:rsid w:val="002F5BAE"/>
    <w:rsid w:val="00300F59"/>
    <w:rsid w:val="00312274"/>
    <w:rsid w:val="0031486F"/>
    <w:rsid w:val="00320F1E"/>
    <w:rsid w:val="0032304D"/>
    <w:rsid w:val="003472F3"/>
    <w:rsid w:val="00354E07"/>
    <w:rsid w:val="0035570F"/>
    <w:rsid w:val="0036473C"/>
    <w:rsid w:val="0037337C"/>
    <w:rsid w:val="0038047D"/>
    <w:rsid w:val="00385A13"/>
    <w:rsid w:val="00391F3F"/>
    <w:rsid w:val="003A679A"/>
    <w:rsid w:val="003F24F8"/>
    <w:rsid w:val="004040CD"/>
    <w:rsid w:val="00417E59"/>
    <w:rsid w:val="00420DC4"/>
    <w:rsid w:val="0042319A"/>
    <w:rsid w:val="004350C9"/>
    <w:rsid w:val="004376E0"/>
    <w:rsid w:val="00441E28"/>
    <w:rsid w:val="004448AC"/>
    <w:rsid w:val="00454935"/>
    <w:rsid w:val="0045502D"/>
    <w:rsid w:val="00460526"/>
    <w:rsid w:val="00467A3E"/>
    <w:rsid w:val="0049272F"/>
    <w:rsid w:val="00493125"/>
    <w:rsid w:val="0049338A"/>
    <w:rsid w:val="00495DC6"/>
    <w:rsid w:val="004A1C65"/>
    <w:rsid w:val="004A3259"/>
    <w:rsid w:val="004A7168"/>
    <w:rsid w:val="004D6992"/>
    <w:rsid w:val="004E2605"/>
    <w:rsid w:val="004F21E5"/>
    <w:rsid w:val="004F5AC7"/>
    <w:rsid w:val="00500650"/>
    <w:rsid w:val="00502EC4"/>
    <w:rsid w:val="00507C7C"/>
    <w:rsid w:val="0051528A"/>
    <w:rsid w:val="00522A2C"/>
    <w:rsid w:val="00522DEB"/>
    <w:rsid w:val="00536154"/>
    <w:rsid w:val="005438D3"/>
    <w:rsid w:val="0054495C"/>
    <w:rsid w:val="00564CF9"/>
    <w:rsid w:val="00573BD1"/>
    <w:rsid w:val="005757B1"/>
    <w:rsid w:val="00582C5B"/>
    <w:rsid w:val="005843BB"/>
    <w:rsid w:val="005A4FDB"/>
    <w:rsid w:val="005A7093"/>
    <w:rsid w:val="005A7A8A"/>
    <w:rsid w:val="005B01D9"/>
    <w:rsid w:val="005B2879"/>
    <w:rsid w:val="005B4094"/>
    <w:rsid w:val="005B6476"/>
    <w:rsid w:val="005B668F"/>
    <w:rsid w:val="005C09DA"/>
    <w:rsid w:val="005C11C4"/>
    <w:rsid w:val="005C1A53"/>
    <w:rsid w:val="005C519F"/>
    <w:rsid w:val="005D0FD3"/>
    <w:rsid w:val="005E65C6"/>
    <w:rsid w:val="005F4199"/>
    <w:rsid w:val="005F7D0B"/>
    <w:rsid w:val="00600D8A"/>
    <w:rsid w:val="006062FC"/>
    <w:rsid w:val="00613973"/>
    <w:rsid w:val="00625233"/>
    <w:rsid w:val="00636809"/>
    <w:rsid w:val="00642F89"/>
    <w:rsid w:val="00643CF7"/>
    <w:rsid w:val="006440AE"/>
    <w:rsid w:val="00647866"/>
    <w:rsid w:val="00652905"/>
    <w:rsid w:val="0066490B"/>
    <w:rsid w:val="006661BE"/>
    <w:rsid w:val="0068163D"/>
    <w:rsid w:val="006A134C"/>
    <w:rsid w:val="006A7290"/>
    <w:rsid w:val="006B1E40"/>
    <w:rsid w:val="006B363B"/>
    <w:rsid w:val="006C345C"/>
    <w:rsid w:val="006D3A68"/>
    <w:rsid w:val="006F085F"/>
    <w:rsid w:val="006F15FB"/>
    <w:rsid w:val="006F1807"/>
    <w:rsid w:val="007018C5"/>
    <w:rsid w:val="00712CF7"/>
    <w:rsid w:val="0072122B"/>
    <w:rsid w:val="007249CF"/>
    <w:rsid w:val="00731206"/>
    <w:rsid w:val="007371EF"/>
    <w:rsid w:val="007451BC"/>
    <w:rsid w:val="0076199E"/>
    <w:rsid w:val="00776EB5"/>
    <w:rsid w:val="007774FA"/>
    <w:rsid w:val="00783D8A"/>
    <w:rsid w:val="00786FB7"/>
    <w:rsid w:val="00794992"/>
    <w:rsid w:val="00794B27"/>
    <w:rsid w:val="007A1A00"/>
    <w:rsid w:val="007A6567"/>
    <w:rsid w:val="007B42B7"/>
    <w:rsid w:val="007B7D75"/>
    <w:rsid w:val="007B7E34"/>
    <w:rsid w:val="007D35B7"/>
    <w:rsid w:val="007E1564"/>
    <w:rsid w:val="007E53C2"/>
    <w:rsid w:val="007E6786"/>
    <w:rsid w:val="007F1E65"/>
    <w:rsid w:val="007F7881"/>
    <w:rsid w:val="0080298F"/>
    <w:rsid w:val="00813518"/>
    <w:rsid w:val="00824B72"/>
    <w:rsid w:val="00835D6D"/>
    <w:rsid w:val="00841037"/>
    <w:rsid w:val="00842B7A"/>
    <w:rsid w:val="0084300B"/>
    <w:rsid w:val="00845094"/>
    <w:rsid w:val="008509DC"/>
    <w:rsid w:val="00852352"/>
    <w:rsid w:val="0085719E"/>
    <w:rsid w:val="00860F30"/>
    <w:rsid w:val="00861D15"/>
    <w:rsid w:val="00862509"/>
    <w:rsid w:val="00864959"/>
    <w:rsid w:val="00866074"/>
    <w:rsid w:val="008664C6"/>
    <w:rsid w:val="008760E8"/>
    <w:rsid w:val="00876384"/>
    <w:rsid w:val="008819D7"/>
    <w:rsid w:val="008878AF"/>
    <w:rsid w:val="00893326"/>
    <w:rsid w:val="008A41F2"/>
    <w:rsid w:val="008A469C"/>
    <w:rsid w:val="008B0111"/>
    <w:rsid w:val="008C0DD8"/>
    <w:rsid w:val="008C510F"/>
    <w:rsid w:val="008C699A"/>
    <w:rsid w:val="008D1836"/>
    <w:rsid w:val="008D7F0F"/>
    <w:rsid w:val="008F2D25"/>
    <w:rsid w:val="00910F25"/>
    <w:rsid w:val="00912935"/>
    <w:rsid w:val="00916969"/>
    <w:rsid w:val="00920B72"/>
    <w:rsid w:val="0092146A"/>
    <w:rsid w:val="009217CF"/>
    <w:rsid w:val="00921985"/>
    <w:rsid w:val="0092232D"/>
    <w:rsid w:val="00922D86"/>
    <w:rsid w:val="009323A1"/>
    <w:rsid w:val="00946346"/>
    <w:rsid w:val="009520A5"/>
    <w:rsid w:val="00957167"/>
    <w:rsid w:val="00960E5E"/>
    <w:rsid w:val="009719A6"/>
    <w:rsid w:val="00972A9D"/>
    <w:rsid w:val="00976483"/>
    <w:rsid w:val="00976B3B"/>
    <w:rsid w:val="009822D1"/>
    <w:rsid w:val="009858A9"/>
    <w:rsid w:val="00994D82"/>
    <w:rsid w:val="009D4EB8"/>
    <w:rsid w:val="009D778D"/>
    <w:rsid w:val="009E2BF4"/>
    <w:rsid w:val="009E31EB"/>
    <w:rsid w:val="009E5E4C"/>
    <w:rsid w:val="009F5D25"/>
    <w:rsid w:val="00A01F93"/>
    <w:rsid w:val="00A12CF2"/>
    <w:rsid w:val="00A21FCE"/>
    <w:rsid w:val="00A22273"/>
    <w:rsid w:val="00A22A93"/>
    <w:rsid w:val="00A3461D"/>
    <w:rsid w:val="00A37A0E"/>
    <w:rsid w:val="00A426E4"/>
    <w:rsid w:val="00A44197"/>
    <w:rsid w:val="00A52424"/>
    <w:rsid w:val="00A54003"/>
    <w:rsid w:val="00A556B6"/>
    <w:rsid w:val="00A64E4B"/>
    <w:rsid w:val="00A70B8B"/>
    <w:rsid w:val="00A777D8"/>
    <w:rsid w:val="00A77F1F"/>
    <w:rsid w:val="00A85CB8"/>
    <w:rsid w:val="00A85D61"/>
    <w:rsid w:val="00A9092D"/>
    <w:rsid w:val="00A93F91"/>
    <w:rsid w:val="00A9529B"/>
    <w:rsid w:val="00A964AA"/>
    <w:rsid w:val="00A97011"/>
    <w:rsid w:val="00AB0651"/>
    <w:rsid w:val="00AB7377"/>
    <w:rsid w:val="00AB7F16"/>
    <w:rsid w:val="00AC280F"/>
    <w:rsid w:val="00AC3240"/>
    <w:rsid w:val="00AD3CDC"/>
    <w:rsid w:val="00AE0485"/>
    <w:rsid w:val="00AE751A"/>
    <w:rsid w:val="00AF78BD"/>
    <w:rsid w:val="00B0021D"/>
    <w:rsid w:val="00B01321"/>
    <w:rsid w:val="00B07ADF"/>
    <w:rsid w:val="00B1091B"/>
    <w:rsid w:val="00B17CDF"/>
    <w:rsid w:val="00B26912"/>
    <w:rsid w:val="00B322D3"/>
    <w:rsid w:val="00B41302"/>
    <w:rsid w:val="00B43FC3"/>
    <w:rsid w:val="00B46F2B"/>
    <w:rsid w:val="00B52C9C"/>
    <w:rsid w:val="00B5754F"/>
    <w:rsid w:val="00B62A64"/>
    <w:rsid w:val="00B650E0"/>
    <w:rsid w:val="00B678F1"/>
    <w:rsid w:val="00B77462"/>
    <w:rsid w:val="00B801A6"/>
    <w:rsid w:val="00B87D20"/>
    <w:rsid w:val="00B906F1"/>
    <w:rsid w:val="00B90FB6"/>
    <w:rsid w:val="00B93AF8"/>
    <w:rsid w:val="00B94F1B"/>
    <w:rsid w:val="00BB763A"/>
    <w:rsid w:val="00BC0248"/>
    <w:rsid w:val="00BC34B1"/>
    <w:rsid w:val="00BC48A4"/>
    <w:rsid w:val="00BD2891"/>
    <w:rsid w:val="00BD425C"/>
    <w:rsid w:val="00C00BBD"/>
    <w:rsid w:val="00C033A3"/>
    <w:rsid w:val="00C0551A"/>
    <w:rsid w:val="00C07E1E"/>
    <w:rsid w:val="00C10736"/>
    <w:rsid w:val="00C12326"/>
    <w:rsid w:val="00C1357C"/>
    <w:rsid w:val="00C14259"/>
    <w:rsid w:val="00C148E1"/>
    <w:rsid w:val="00C14B23"/>
    <w:rsid w:val="00C2136C"/>
    <w:rsid w:val="00C301E2"/>
    <w:rsid w:val="00C47DCB"/>
    <w:rsid w:val="00C501CE"/>
    <w:rsid w:val="00C549BC"/>
    <w:rsid w:val="00C61036"/>
    <w:rsid w:val="00C73541"/>
    <w:rsid w:val="00C77144"/>
    <w:rsid w:val="00C82CD2"/>
    <w:rsid w:val="00C8451B"/>
    <w:rsid w:val="00C85EE5"/>
    <w:rsid w:val="00C86763"/>
    <w:rsid w:val="00C90490"/>
    <w:rsid w:val="00C93C68"/>
    <w:rsid w:val="00C94FCA"/>
    <w:rsid w:val="00C971D8"/>
    <w:rsid w:val="00CA6F1F"/>
    <w:rsid w:val="00CB5CA4"/>
    <w:rsid w:val="00CB6EE5"/>
    <w:rsid w:val="00CD2318"/>
    <w:rsid w:val="00CD5DB0"/>
    <w:rsid w:val="00CE4C13"/>
    <w:rsid w:val="00CF023C"/>
    <w:rsid w:val="00D07BD7"/>
    <w:rsid w:val="00D2253E"/>
    <w:rsid w:val="00D3335F"/>
    <w:rsid w:val="00D45DAB"/>
    <w:rsid w:val="00D46393"/>
    <w:rsid w:val="00D634F7"/>
    <w:rsid w:val="00D75B67"/>
    <w:rsid w:val="00D773A0"/>
    <w:rsid w:val="00D81AE2"/>
    <w:rsid w:val="00D9188A"/>
    <w:rsid w:val="00D924A4"/>
    <w:rsid w:val="00D96939"/>
    <w:rsid w:val="00DB06E8"/>
    <w:rsid w:val="00DB2DE3"/>
    <w:rsid w:val="00DC285B"/>
    <w:rsid w:val="00DC5CA5"/>
    <w:rsid w:val="00DD066D"/>
    <w:rsid w:val="00DE577D"/>
    <w:rsid w:val="00DF7983"/>
    <w:rsid w:val="00DF7E4C"/>
    <w:rsid w:val="00E02337"/>
    <w:rsid w:val="00E05EB2"/>
    <w:rsid w:val="00E12FCD"/>
    <w:rsid w:val="00E231DD"/>
    <w:rsid w:val="00E254E2"/>
    <w:rsid w:val="00E25612"/>
    <w:rsid w:val="00E303F5"/>
    <w:rsid w:val="00E3580A"/>
    <w:rsid w:val="00E3623E"/>
    <w:rsid w:val="00E44486"/>
    <w:rsid w:val="00E515CA"/>
    <w:rsid w:val="00E57BEC"/>
    <w:rsid w:val="00E64234"/>
    <w:rsid w:val="00E663AB"/>
    <w:rsid w:val="00E71C76"/>
    <w:rsid w:val="00E72858"/>
    <w:rsid w:val="00E7456E"/>
    <w:rsid w:val="00E762F0"/>
    <w:rsid w:val="00EA3491"/>
    <w:rsid w:val="00EC230D"/>
    <w:rsid w:val="00EC2DFC"/>
    <w:rsid w:val="00ED3537"/>
    <w:rsid w:val="00EE337B"/>
    <w:rsid w:val="00EE4165"/>
    <w:rsid w:val="00EE6AB5"/>
    <w:rsid w:val="00F050A1"/>
    <w:rsid w:val="00F112C6"/>
    <w:rsid w:val="00F15F99"/>
    <w:rsid w:val="00F4161B"/>
    <w:rsid w:val="00F422E0"/>
    <w:rsid w:val="00F52426"/>
    <w:rsid w:val="00F62737"/>
    <w:rsid w:val="00F632CA"/>
    <w:rsid w:val="00F67180"/>
    <w:rsid w:val="00F701F5"/>
    <w:rsid w:val="00F7318E"/>
    <w:rsid w:val="00F82737"/>
    <w:rsid w:val="00F836E9"/>
    <w:rsid w:val="00F840FA"/>
    <w:rsid w:val="00F869DA"/>
    <w:rsid w:val="00FA2BEE"/>
    <w:rsid w:val="00FA50C6"/>
    <w:rsid w:val="00FA5F8E"/>
    <w:rsid w:val="00FA60E1"/>
    <w:rsid w:val="00FB3367"/>
    <w:rsid w:val="00FB4390"/>
    <w:rsid w:val="00FC15AF"/>
    <w:rsid w:val="00FC5B26"/>
    <w:rsid w:val="00FE4A7B"/>
    <w:rsid w:val="00FE5413"/>
    <w:rsid w:val="00FE7673"/>
    <w:rsid w:val="00FF109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ti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uiPriority="35" w:qFormat="1"/>
    <w:lsdException w:name="footnote reference" w:uiPriority="0"/>
    <w:lsdException w:name="annotation reference" w:uiPriority="0"/>
    <w:lsdException w:name="page number" w:uiPriority="0"/>
    <w:lsdException w:name="endnote reference" w:locked="1" w:semiHidden="0" w:unhideWhenUsed="0"/>
    <w:lsdException w:name="endnote text" w:locked="1" w:semiHidden="0" w:unhideWhenUsed="0"/>
    <w:lsdException w:name="List Bullet 2"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FCE"/>
    <w:rPr>
      <w:rFonts w:ascii="Times New Roman" w:eastAsia="Times New Roman" w:hAnsi="Times New Roman"/>
      <w:sz w:val="24"/>
      <w:szCs w:val="24"/>
    </w:rPr>
  </w:style>
  <w:style w:type="paragraph" w:styleId="Heading1">
    <w:name w:val="heading 1"/>
    <w:basedOn w:val="Normal"/>
    <w:next w:val="Normal"/>
    <w:link w:val="Heading1Char1"/>
    <w:uiPriority w:val="99"/>
    <w:qFormat/>
    <w:locked/>
    <w:rsid w:val="009323A1"/>
    <w:pPr>
      <w:keepNext/>
      <w:numPr>
        <w:numId w:val="5"/>
      </w:numPr>
      <w:spacing w:before="240" w:after="60"/>
      <w:outlineLvl w:val="0"/>
    </w:pPr>
    <w:rPr>
      <w:rFonts w:ascii="Times New Roman Bold" w:hAnsi="Times New Roman Bold" w:cs="Arial"/>
      <w:b/>
      <w:bCs/>
      <w:caps/>
      <w:kern w:val="32"/>
      <w:szCs w:val="32"/>
    </w:rPr>
  </w:style>
  <w:style w:type="paragraph" w:styleId="Heading2">
    <w:name w:val="heading 2"/>
    <w:aliases w:val="Heading 2_ICR"/>
    <w:next w:val="Normal"/>
    <w:link w:val="Heading2Char"/>
    <w:uiPriority w:val="99"/>
    <w:qFormat/>
    <w:locked/>
    <w:rsid w:val="00A21FCE"/>
    <w:pPr>
      <w:keepNext/>
      <w:spacing w:before="240" w:after="120"/>
      <w:ind w:left="720" w:hanging="720"/>
      <w:outlineLvl w:val="1"/>
    </w:pPr>
    <w:rPr>
      <w:rFonts w:ascii="Times New Roman" w:eastAsia="Times New Roman" w:hAnsi="Times New Roman" w:cs="Arial"/>
      <w:b/>
      <w:bCs/>
      <w:iCs/>
      <w:sz w:val="24"/>
      <w:szCs w:val="28"/>
    </w:rPr>
  </w:style>
  <w:style w:type="paragraph" w:styleId="Heading3">
    <w:name w:val="heading 3"/>
    <w:basedOn w:val="Normal"/>
    <w:next w:val="Normal"/>
    <w:link w:val="Heading3Char"/>
    <w:uiPriority w:val="99"/>
    <w:qFormat/>
    <w:locked/>
    <w:rsid w:val="00CB5CA4"/>
    <w:pPr>
      <w:keepNext/>
      <w:numPr>
        <w:ilvl w:val="2"/>
        <w:numId w:val="5"/>
      </w:numPr>
      <w:spacing w:before="240" w:after="60"/>
      <w:ind w:left="0"/>
      <w:outlineLvl w:val="2"/>
    </w:pPr>
    <w:rPr>
      <w:rFonts w:cs="Arial"/>
      <w:b/>
      <w:bCs/>
      <w:szCs w:val="26"/>
    </w:rPr>
  </w:style>
  <w:style w:type="paragraph" w:styleId="Heading4">
    <w:name w:val="heading 4"/>
    <w:basedOn w:val="Normal"/>
    <w:next w:val="Normal"/>
    <w:link w:val="Heading4Char"/>
    <w:uiPriority w:val="99"/>
    <w:qFormat/>
    <w:locked/>
    <w:rsid w:val="0032304D"/>
    <w:pPr>
      <w:keepNext/>
      <w:numPr>
        <w:ilvl w:val="3"/>
        <w:numId w:val="5"/>
      </w:numPr>
      <w:spacing w:before="240" w:after="60"/>
      <w:outlineLvl w:val="3"/>
    </w:pPr>
    <w:rPr>
      <w:b/>
      <w:bCs/>
      <w:szCs w:val="28"/>
    </w:rPr>
  </w:style>
  <w:style w:type="paragraph" w:styleId="Heading5">
    <w:name w:val="heading 5"/>
    <w:aliases w:val="Heading 5_ICR"/>
    <w:next w:val="Normal"/>
    <w:link w:val="Heading5Char"/>
    <w:unhideWhenUsed/>
    <w:qFormat/>
    <w:locked/>
    <w:rsid w:val="00C549BC"/>
    <w:pPr>
      <w:spacing w:before="240" w:after="60"/>
      <w:outlineLvl w:val="4"/>
    </w:pPr>
    <w:rPr>
      <w:rFonts w:ascii="Times New Roman" w:eastAsia="Times New Roman" w:hAnsi="Times New Roman"/>
      <w:bCs/>
      <w:i/>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07C7C"/>
    <w:rPr>
      <w:rFonts w:ascii="Cambria" w:hAnsi="Cambria" w:cs="Times New Roman"/>
      <w:b/>
      <w:bCs/>
      <w:kern w:val="32"/>
      <w:sz w:val="32"/>
      <w:szCs w:val="32"/>
    </w:rPr>
  </w:style>
  <w:style w:type="character" w:customStyle="1" w:styleId="Heading2Char">
    <w:name w:val="Heading 2 Char"/>
    <w:aliases w:val="Heading 2_ICR Char"/>
    <w:basedOn w:val="DefaultParagraphFont"/>
    <w:link w:val="Heading2"/>
    <w:uiPriority w:val="99"/>
    <w:locked/>
    <w:rsid w:val="00A21FCE"/>
    <w:rPr>
      <w:rFonts w:ascii="Times New Roman" w:eastAsia="Times New Roman" w:hAnsi="Times New Roman" w:cs="Arial"/>
      <w:b/>
      <w:bCs/>
      <w:iCs/>
      <w:sz w:val="24"/>
      <w:szCs w:val="28"/>
      <w:lang w:val="en-US" w:eastAsia="en-US" w:bidi="ar-SA"/>
    </w:rPr>
  </w:style>
  <w:style w:type="character" w:customStyle="1" w:styleId="Heading3Char">
    <w:name w:val="Heading 3 Char"/>
    <w:basedOn w:val="DefaultParagraphFont"/>
    <w:link w:val="Heading3"/>
    <w:uiPriority w:val="99"/>
    <w:locked/>
    <w:rsid w:val="00CB5CA4"/>
    <w:rPr>
      <w:rFonts w:ascii="Times New Roman" w:eastAsia="Times New Roman" w:hAnsi="Times New Roman" w:cs="Arial"/>
      <w:b/>
      <w:bCs/>
      <w:sz w:val="24"/>
      <w:szCs w:val="26"/>
    </w:rPr>
  </w:style>
  <w:style w:type="character" w:customStyle="1" w:styleId="Heading4Char">
    <w:name w:val="Heading 4 Char"/>
    <w:basedOn w:val="DefaultParagraphFont"/>
    <w:link w:val="Heading4"/>
    <w:uiPriority w:val="99"/>
    <w:locked/>
    <w:rsid w:val="00507C7C"/>
    <w:rPr>
      <w:rFonts w:ascii="Times New Roman" w:eastAsia="Times New Roman" w:hAnsi="Times New Roman"/>
      <w:b/>
      <w:bCs/>
      <w:sz w:val="24"/>
      <w:szCs w:val="28"/>
    </w:rPr>
  </w:style>
  <w:style w:type="character" w:customStyle="1" w:styleId="Heading1Char1">
    <w:name w:val="Heading 1 Char1"/>
    <w:basedOn w:val="DefaultParagraphFont"/>
    <w:link w:val="Heading1"/>
    <w:uiPriority w:val="99"/>
    <w:locked/>
    <w:rsid w:val="009323A1"/>
    <w:rPr>
      <w:rFonts w:ascii="Times New Roman Bold" w:eastAsia="Times New Roman" w:hAnsi="Times New Roman Bold" w:cs="Arial"/>
      <w:b/>
      <w:bCs/>
      <w:caps/>
      <w:kern w:val="32"/>
      <w:sz w:val="24"/>
      <w:szCs w:val="32"/>
    </w:rPr>
  </w:style>
  <w:style w:type="paragraph" w:styleId="BalloonText">
    <w:name w:val="Balloon Text"/>
    <w:basedOn w:val="Normal"/>
    <w:link w:val="BalloonTextChar"/>
    <w:semiHidden/>
    <w:rsid w:val="005C1A5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1A53"/>
    <w:rPr>
      <w:rFonts w:ascii="Tahoma" w:hAnsi="Tahoma" w:cs="Tahoma"/>
      <w:sz w:val="16"/>
      <w:szCs w:val="16"/>
    </w:rPr>
  </w:style>
  <w:style w:type="paragraph" w:styleId="ListParagraph">
    <w:name w:val="List Paragraph"/>
    <w:basedOn w:val="Normal"/>
    <w:uiPriority w:val="34"/>
    <w:qFormat/>
    <w:rsid w:val="00F67180"/>
    <w:pPr>
      <w:ind w:left="720"/>
      <w:contextualSpacing/>
    </w:pPr>
  </w:style>
  <w:style w:type="character" w:customStyle="1" w:styleId="apple-style-span">
    <w:name w:val="apple-style-span"/>
    <w:basedOn w:val="DefaultParagraphFont"/>
    <w:uiPriority w:val="99"/>
    <w:semiHidden/>
    <w:rsid w:val="00F67180"/>
    <w:rPr>
      <w:rFonts w:cs="Times New Roman"/>
    </w:rPr>
  </w:style>
  <w:style w:type="character" w:styleId="Hyperlink">
    <w:name w:val="Hyperlink"/>
    <w:basedOn w:val="DefaultParagraphFont"/>
    <w:rsid w:val="007F1E65"/>
    <w:rPr>
      <w:rFonts w:cs="Times New Roman"/>
      <w:color w:val="0000FF"/>
      <w:u w:val="single"/>
    </w:rPr>
  </w:style>
  <w:style w:type="character" w:styleId="CommentReference">
    <w:name w:val="annotation reference"/>
    <w:basedOn w:val="DefaultParagraphFont"/>
    <w:semiHidden/>
    <w:rsid w:val="004040CD"/>
    <w:rPr>
      <w:rFonts w:cs="Times New Roman"/>
      <w:sz w:val="16"/>
      <w:szCs w:val="16"/>
    </w:rPr>
  </w:style>
  <w:style w:type="paragraph" w:styleId="CommentText">
    <w:name w:val="annotation text"/>
    <w:basedOn w:val="Normal"/>
    <w:link w:val="CommentTextChar"/>
    <w:semiHidden/>
    <w:rsid w:val="004040CD"/>
    <w:rPr>
      <w:sz w:val="20"/>
      <w:szCs w:val="20"/>
    </w:rPr>
  </w:style>
  <w:style w:type="character" w:customStyle="1" w:styleId="CommentTextChar">
    <w:name w:val="Comment Text Char"/>
    <w:basedOn w:val="DefaultParagraphFont"/>
    <w:link w:val="CommentText"/>
    <w:locked/>
    <w:rsid w:val="004040CD"/>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4040CD"/>
    <w:rPr>
      <w:b/>
      <w:bCs/>
    </w:rPr>
  </w:style>
  <w:style w:type="character" w:customStyle="1" w:styleId="CommentSubjectChar">
    <w:name w:val="Comment Subject Char"/>
    <w:basedOn w:val="CommentTextChar"/>
    <w:link w:val="CommentSubject"/>
    <w:uiPriority w:val="99"/>
    <w:semiHidden/>
    <w:locked/>
    <w:rsid w:val="004040CD"/>
    <w:rPr>
      <w:b/>
      <w:bCs/>
    </w:rPr>
  </w:style>
  <w:style w:type="paragraph" w:styleId="EndnoteText">
    <w:name w:val="endnote text"/>
    <w:basedOn w:val="Normal"/>
    <w:link w:val="EndnoteTextChar"/>
    <w:uiPriority w:val="99"/>
    <w:semiHidden/>
    <w:rsid w:val="009719A6"/>
    <w:rPr>
      <w:rFonts w:ascii="Courier New" w:hAnsi="Courier New" w:cs="Courier New"/>
      <w:sz w:val="20"/>
      <w:szCs w:val="20"/>
    </w:rPr>
  </w:style>
  <w:style w:type="character" w:customStyle="1" w:styleId="EndnoteTextChar">
    <w:name w:val="Endnote Text Char"/>
    <w:basedOn w:val="DefaultParagraphFont"/>
    <w:link w:val="EndnoteText"/>
    <w:uiPriority w:val="99"/>
    <w:semiHidden/>
    <w:locked/>
    <w:rsid w:val="009719A6"/>
    <w:rPr>
      <w:rFonts w:ascii="Courier New" w:hAnsi="Courier New" w:cs="Courier New"/>
      <w:sz w:val="20"/>
      <w:szCs w:val="20"/>
    </w:rPr>
  </w:style>
  <w:style w:type="character" w:styleId="EndnoteReference">
    <w:name w:val="endnote reference"/>
    <w:basedOn w:val="DefaultParagraphFont"/>
    <w:uiPriority w:val="99"/>
    <w:semiHidden/>
    <w:rsid w:val="009719A6"/>
    <w:rPr>
      <w:rFonts w:cs="Times New Roman"/>
      <w:vertAlign w:val="superscript"/>
    </w:rPr>
  </w:style>
  <w:style w:type="paragraph" w:styleId="FootnoteText">
    <w:name w:val="footnote text"/>
    <w:basedOn w:val="Normal"/>
    <w:link w:val="FootnoteTextChar"/>
    <w:rsid w:val="009719A6"/>
    <w:rPr>
      <w:sz w:val="20"/>
      <w:szCs w:val="20"/>
    </w:rPr>
  </w:style>
  <w:style w:type="character" w:customStyle="1" w:styleId="FootnoteTextChar">
    <w:name w:val="Footnote Text Char"/>
    <w:basedOn w:val="DefaultParagraphFont"/>
    <w:link w:val="FootnoteText"/>
    <w:uiPriority w:val="99"/>
    <w:locked/>
    <w:rsid w:val="009719A6"/>
    <w:rPr>
      <w:rFonts w:ascii="Times New Roman" w:hAnsi="Times New Roman" w:cs="Times New Roman"/>
      <w:sz w:val="20"/>
      <w:szCs w:val="20"/>
    </w:rPr>
  </w:style>
  <w:style w:type="character" w:styleId="FootnoteReference">
    <w:name w:val="footnote reference"/>
    <w:basedOn w:val="DefaultParagraphFont"/>
    <w:semiHidden/>
    <w:rsid w:val="009719A6"/>
    <w:rPr>
      <w:rFonts w:cs="Times New Roman"/>
      <w:vertAlign w:val="superscript"/>
    </w:rPr>
  </w:style>
  <w:style w:type="character" w:styleId="FollowedHyperlink">
    <w:name w:val="FollowedHyperlink"/>
    <w:basedOn w:val="DefaultParagraphFont"/>
    <w:rsid w:val="00DF7E4C"/>
    <w:rPr>
      <w:rFonts w:cs="Times New Roman"/>
      <w:color w:val="800080"/>
      <w:u w:val="single"/>
    </w:rPr>
  </w:style>
  <w:style w:type="paragraph" w:styleId="Revision">
    <w:name w:val="Revision"/>
    <w:hidden/>
    <w:uiPriority w:val="99"/>
    <w:semiHidden/>
    <w:rsid w:val="00C14B23"/>
    <w:rPr>
      <w:rFonts w:ascii="Times New Roman" w:eastAsia="Times New Roman" w:hAnsi="Times New Roman"/>
      <w:sz w:val="24"/>
      <w:szCs w:val="24"/>
    </w:rPr>
  </w:style>
  <w:style w:type="paragraph" w:styleId="BodyText">
    <w:name w:val="Body Text"/>
    <w:basedOn w:val="Normal"/>
    <w:link w:val="BodyTextChar"/>
    <w:uiPriority w:val="99"/>
    <w:rsid w:val="009323A1"/>
    <w:pPr>
      <w:spacing w:after="200" w:line="340" w:lineRule="exact"/>
      <w:ind w:firstLine="720"/>
    </w:pPr>
  </w:style>
  <w:style w:type="character" w:customStyle="1" w:styleId="BodyTextChar">
    <w:name w:val="Body Text Char"/>
    <w:basedOn w:val="DefaultParagraphFont"/>
    <w:link w:val="BodyText"/>
    <w:uiPriority w:val="99"/>
    <w:locked/>
    <w:rsid w:val="009323A1"/>
    <w:rPr>
      <w:rFonts w:ascii="Times New Roman" w:eastAsia="Times New Roman" w:hAnsi="Times New Roman"/>
      <w:sz w:val="24"/>
      <w:szCs w:val="24"/>
    </w:rPr>
  </w:style>
  <w:style w:type="paragraph" w:styleId="ListBullet">
    <w:name w:val="List Bullet"/>
    <w:basedOn w:val="Normal"/>
    <w:uiPriority w:val="99"/>
    <w:rsid w:val="00BC48A4"/>
    <w:pPr>
      <w:numPr>
        <w:numId w:val="3"/>
      </w:numPr>
      <w:tabs>
        <w:tab w:val="clear" w:pos="1800"/>
        <w:tab w:val="num" w:pos="1440"/>
      </w:tabs>
      <w:spacing w:before="60" w:after="60"/>
      <w:ind w:left="1440" w:hanging="720"/>
    </w:pPr>
  </w:style>
  <w:style w:type="paragraph" w:styleId="List">
    <w:name w:val="List"/>
    <w:basedOn w:val="Normal"/>
    <w:uiPriority w:val="99"/>
    <w:rsid w:val="002559F6"/>
    <w:pPr>
      <w:ind w:left="360" w:hanging="360"/>
    </w:pPr>
  </w:style>
  <w:style w:type="paragraph" w:customStyle="1" w:styleId="ListBullet-last">
    <w:name w:val="List Bullet-last"/>
    <w:basedOn w:val="ListBullet"/>
    <w:next w:val="ListBullet"/>
    <w:uiPriority w:val="99"/>
    <w:rsid w:val="002559F6"/>
    <w:pPr>
      <w:spacing w:after="120"/>
    </w:pPr>
  </w:style>
  <w:style w:type="paragraph" w:customStyle="1" w:styleId="TableBorderColor">
    <w:name w:val="Table Border Color"/>
    <w:basedOn w:val="Normal"/>
    <w:uiPriority w:val="99"/>
    <w:rsid w:val="00B650E0"/>
    <w:pPr>
      <w:shd w:val="clear" w:color="auto" w:fill="C0C0C0"/>
      <w:tabs>
        <w:tab w:val="left" w:pos="720"/>
      </w:tabs>
      <w:jc w:val="center"/>
    </w:pPr>
    <w:rPr>
      <w:rFonts w:cs="Courier New"/>
      <w:b/>
      <w:sz w:val="22"/>
      <w:szCs w:val="22"/>
    </w:rPr>
  </w:style>
  <w:style w:type="paragraph" w:customStyle="1" w:styleId="FigureTitle">
    <w:name w:val="Figure Title"/>
    <w:uiPriority w:val="99"/>
    <w:rsid w:val="00B17CDF"/>
    <w:pPr>
      <w:spacing w:before="60" w:after="120"/>
      <w:jc w:val="center"/>
    </w:pPr>
    <w:rPr>
      <w:rFonts w:ascii="Arial" w:eastAsia="Times New Roman" w:hAnsi="Arial"/>
      <w:b/>
    </w:rPr>
  </w:style>
  <w:style w:type="paragraph" w:customStyle="1" w:styleId="TableTitle">
    <w:name w:val="Table Title"/>
    <w:uiPriority w:val="99"/>
    <w:rsid w:val="004350C9"/>
    <w:pPr>
      <w:tabs>
        <w:tab w:val="left" w:pos="720"/>
      </w:tabs>
      <w:spacing w:before="120" w:after="60"/>
      <w:jc w:val="center"/>
    </w:pPr>
    <w:rPr>
      <w:rFonts w:ascii="Times New Roman Bold" w:eastAsia="Times New Roman" w:hAnsi="Times New Roman Bold" w:cs="Courier New"/>
      <w:b/>
      <w:sz w:val="24"/>
      <w:szCs w:val="24"/>
    </w:rPr>
  </w:style>
  <w:style w:type="character" w:styleId="PlaceholderText">
    <w:name w:val="Placeholder Text"/>
    <w:basedOn w:val="DefaultParagraphFont"/>
    <w:uiPriority w:val="99"/>
    <w:semiHidden/>
    <w:rsid w:val="0032304D"/>
    <w:rPr>
      <w:rFonts w:cs="Times New Roman"/>
      <w:color w:val="808080"/>
    </w:rPr>
  </w:style>
  <w:style w:type="paragraph" w:styleId="DocumentMap">
    <w:name w:val="Document Map"/>
    <w:basedOn w:val="Normal"/>
    <w:link w:val="DocumentMapChar"/>
    <w:uiPriority w:val="99"/>
    <w:semiHidden/>
    <w:rsid w:val="0032304D"/>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32304D"/>
    <w:rPr>
      <w:rFonts w:ascii="Tahoma" w:hAnsi="Tahoma" w:cs="Tahoma"/>
      <w:sz w:val="16"/>
      <w:szCs w:val="16"/>
      <w:lang w:val="en-US" w:eastAsia="en-US" w:bidi="ar-SA"/>
    </w:rPr>
  </w:style>
  <w:style w:type="paragraph" w:customStyle="1" w:styleId="EquationFormat">
    <w:name w:val="Equation Format"/>
    <w:uiPriority w:val="99"/>
    <w:rsid w:val="0032304D"/>
    <w:pPr>
      <w:keepLines/>
      <w:tabs>
        <w:tab w:val="center" w:pos="5040"/>
        <w:tab w:val="right" w:pos="9360"/>
      </w:tabs>
      <w:spacing w:line="360" w:lineRule="auto"/>
    </w:pPr>
    <w:rPr>
      <w:rFonts w:ascii="Times New Roman" w:eastAsia="Times New Roman" w:hAnsi="Times New Roman"/>
      <w:sz w:val="24"/>
      <w:szCs w:val="24"/>
    </w:rPr>
  </w:style>
  <w:style w:type="paragraph" w:styleId="Header">
    <w:name w:val="header"/>
    <w:basedOn w:val="Normal"/>
    <w:link w:val="HeaderChar"/>
    <w:rsid w:val="00B650E0"/>
    <w:pPr>
      <w:tabs>
        <w:tab w:val="center" w:pos="4320"/>
        <w:tab w:val="right" w:pos="8640"/>
      </w:tabs>
    </w:pPr>
  </w:style>
  <w:style w:type="character" w:customStyle="1" w:styleId="HeaderChar">
    <w:name w:val="Header Char"/>
    <w:basedOn w:val="DefaultParagraphFont"/>
    <w:link w:val="Header"/>
    <w:uiPriority w:val="99"/>
    <w:semiHidden/>
    <w:locked/>
    <w:rsid w:val="00507C7C"/>
    <w:rPr>
      <w:rFonts w:ascii="Times New Roman" w:hAnsi="Times New Roman" w:cs="Times New Roman"/>
      <w:sz w:val="24"/>
      <w:szCs w:val="24"/>
    </w:rPr>
  </w:style>
  <w:style w:type="paragraph" w:styleId="Footer">
    <w:name w:val="footer"/>
    <w:basedOn w:val="Normal"/>
    <w:link w:val="FooterChar"/>
    <w:rsid w:val="00B650E0"/>
    <w:pPr>
      <w:tabs>
        <w:tab w:val="center" w:pos="4320"/>
        <w:tab w:val="right" w:pos="8640"/>
      </w:tabs>
    </w:pPr>
  </w:style>
  <w:style w:type="character" w:customStyle="1" w:styleId="FooterChar">
    <w:name w:val="Footer Char"/>
    <w:basedOn w:val="DefaultParagraphFont"/>
    <w:link w:val="Footer"/>
    <w:uiPriority w:val="99"/>
    <w:locked/>
    <w:rsid w:val="00507C7C"/>
    <w:rPr>
      <w:rFonts w:ascii="Times New Roman" w:hAnsi="Times New Roman" w:cs="Times New Roman"/>
      <w:sz w:val="24"/>
      <w:szCs w:val="24"/>
    </w:rPr>
  </w:style>
  <w:style w:type="table" w:styleId="TableGrid">
    <w:name w:val="Table Grid"/>
    <w:basedOn w:val="TableNormal"/>
    <w:locked/>
    <w:rsid w:val="009323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locked/>
    <w:rsid w:val="009323A1"/>
    <w:pPr>
      <w:spacing w:after="200"/>
    </w:pPr>
    <w:rPr>
      <w:b/>
      <w:bCs/>
      <w:color w:val="4F81BD"/>
      <w:sz w:val="18"/>
      <w:szCs w:val="18"/>
    </w:rPr>
  </w:style>
  <w:style w:type="character" w:customStyle="1" w:styleId="Heading5Char">
    <w:name w:val="Heading 5 Char"/>
    <w:aliases w:val="Heading 5_ICR Char"/>
    <w:basedOn w:val="DefaultParagraphFont"/>
    <w:link w:val="Heading5"/>
    <w:rsid w:val="00C549BC"/>
    <w:rPr>
      <w:rFonts w:ascii="Times New Roman" w:eastAsia="Times New Roman" w:hAnsi="Times New Roman"/>
      <w:bCs/>
      <w:i/>
      <w:iCs/>
      <w:sz w:val="24"/>
      <w:szCs w:val="26"/>
      <w:lang w:val="en-US" w:eastAsia="en-US" w:bidi="ar-SA"/>
    </w:rPr>
  </w:style>
  <w:style w:type="paragraph" w:styleId="ListBullet2">
    <w:name w:val="List Bullet 2"/>
    <w:uiPriority w:val="99"/>
    <w:unhideWhenUsed/>
    <w:qFormat/>
    <w:rsid w:val="00B94F1B"/>
    <w:pPr>
      <w:numPr>
        <w:numId w:val="4"/>
      </w:numPr>
      <w:spacing w:before="200"/>
      <w:ind w:left="1080"/>
    </w:pPr>
    <w:rPr>
      <w:rFonts w:ascii="Times New Roman" w:eastAsia="Times New Roman" w:hAnsi="Times New Roman"/>
      <w:sz w:val="24"/>
      <w:szCs w:val="24"/>
    </w:rPr>
  </w:style>
  <w:style w:type="paragraph" w:customStyle="1" w:styleId="Bullet-last">
    <w:name w:val="Bullet-last"/>
    <w:qFormat/>
    <w:rsid w:val="00B94F1B"/>
    <w:pPr>
      <w:numPr>
        <w:numId w:val="7"/>
      </w:numPr>
      <w:spacing w:before="240" w:after="240"/>
      <w:ind w:left="1080"/>
    </w:pPr>
    <w:rPr>
      <w:rFonts w:ascii="Times New Roman" w:eastAsia="Times New Roman" w:hAnsi="Times New Roman"/>
      <w:sz w:val="24"/>
      <w:szCs w:val="24"/>
    </w:rPr>
  </w:style>
  <w:style w:type="paragraph" w:styleId="ListNumber">
    <w:name w:val="List Number"/>
    <w:basedOn w:val="Normal"/>
    <w:uiPriority w:val="99"/>
    <w:unhideWhenUsed/>
    <w:rsid w:val="00A54003"/>
    <w:pPr>
      <w:numPr>
        <w:numId w:val="1"/>
      </w:numPr>
      <w:spacing w:after="240"/>
      <w:ind w:left="720" w:hanging="720"/>
    </w:pPr>
  </w:style>
  <w:style w:type="paragraph" w:styleId="ListNumber2">
    <w:name w:val="List Number 2"/>
    <w:basedOn w:val="Normal"/>
    <w:uiPriority w:val="99"/>
    <w:unhideWhenUsed/>
    <w:rsid w:val="00893326"/>
    <w:pPr>
      <w:numPr>
        <w:numId w:val="2"/>
      </w:numPr>
      <w:contextualSpacing/>
    </w:pPr>
  </w:style>
  <w:style w:type="character" w:customStyle="1" w:styleId="SYSHYPERTEXT">
    <w:name w:val="SYS_HYPERTEXT"/>
    <w:rsid w:val="00E254E2"/>
    <w:rPr>
      <w:color w:val="0000FF"/>
      <w:u w:val="single"/>
    </w:rPr>
  </w:style>
  <w:style w:type="character" w:styleId="PageNumber">
    <w:name w:val="page number"/>
    <w:basedOn w:val="DefaultParagraphFont"/>
    <w:rsid w:val="00E254E2"/>
  </w:style>
  <w:style w:type="paragraph" w:customStyle="1" w:styleId="GHGPARAGRAPH">
    <w:name w:val="___GHG PARAGRAPH"/>
    <w:link w:val="GHGPARAGRAPHCharChar"/>
    <w:rsid w:val="00E254E2"/>
    <w:pPr>
      <w:spacing w:line="480" w:lineRule="auto"/>
      <w:ind w:firstLine="720"/>
    </w:pPr>
    <w:rPr>
      <w:rFonts w:ascii="Courier New" w:eastAsia="Times New Roman" w:hAnsi="Courier New" w:cs="Courier New"/>
      <w:bCs/>
      <w:sz w:val="24"/>
      <w:szCs w:val="24"/>
    </w:rPr>
  </w:style>
  <w:style w:type="character" w:customStyle="1" w:styleId="GHGPARAGRAPHCharChar">
    <w:name w:val="___GHG PARAGRAPH Char Char"/>
    <w:basedOn w:val="DefaultParagraphFont"/>
    <w:link w:val="GHGPARAGRAPH"/>
    <w:locked/>
    <w:rsid w:val="00E254E2"/>
    <w:rPr>
      <w:rFonts w:ascii="Courier New" w:eastAsia="Times New Roman" w:hAnsi="Courier New" w:cs="Courier New"/>
      <w:bCs/>
      <w:sz w:val="24"/>
      <w:szCs w:val="24"/>
      <w:lang w:val="en-US" w:eastAsia="en-US" w:bidi="ar-SA"/>
    </w:rPr>
  </w:style>
  <w:style w:type="paragraph" w:customStyle="1" w:styleId="tabsforequations">
    <w:name w:val="_tabs for equations"/>
    <w:link w:val="tabsforequationsChar"/>
    <w:rsid w:val="00E254E2"/>
    <w:pPr>
      <w:tabs>
        <w:tab w:val="left" w:pos="1440"/>
        <w:tab w:val="left" w:pos="1872"/>
        <w:tab w:val="left" w:pos="2592"/>
      </w:tabs>
      <w:spacing w:before="160" w:after="160"/>
      <w:ind w:left="1440" w:hanging="1440"/>
    </w:pPr>
    <w:rPr>
      <w:rFonts w:ascii="Courier New" w:eastAsia="Times New Roman" w:hAnsi="Courier New" w:cs="Courier New"/>
      <w:bCs/>
      <w:sz w:val="24"/>
      <w:szCs w:val="24"/>
    </w:rPr>
  </w:style>
  <w:style w:type="paragraph" w:customStyle="1" w:styleId="where">
    <w:name w:val="where"/>
    <w:basedOn w:val="Normal"/>
    <w:rsid w:val="00E254E2"/>
    <w:pPr>
      <w:spacing w:line="480" w:lineRule="auto"/>
    </w:pPr>
    <w:rPr>
      <w:rFonts w:ascii="Courier New" w:hAnsi="Courier New" w:cs="Courier New"/>
      <w:bCs/>
    </w:rPr>
  </w:style>
  <w:style w:type="character" w:customStyle="1" w:styleId="tabsforequationsChar">
    <w:name w:val="_tabs for equations Char"/>
    <w:basedOn w:val="DefaultParagraphFont"/>
    <w:link w:val="tabsforequations"/>
    <w:locked/>
    <w:rsid w:val="00E254E2"/>
    <w:rPr>
      <w:rFonts w:ascii="Courier New" w:eastAsia="Times New Roman" w:hAnsi="Courier New" w:cs="Courier New"/>
      <w:bCs/>
      <w:sz w:val="24"/>
      <w:szCs w:val="24"/>
      <w:lang w:val="en-US" w:eastAsia="en-US" w:bidi="ar-SA"/>
    </w:rPr>
  </w:style>
  <w:style w:type="paragraph" w:customStyle="1" w:styleId="GHGequation">
    <w:name w:val="_GHG equation"/>
    <w:basedOn w:val="Normal"/>
    <w:link w:val="GHGequationChar"/>
    <w:semiHidden/>
    <w:rsid w:val="00E254E2"/>
    <w:pPr>
      <w:tabs>
        <w:tab w:val="center" w:pos="4032"/>
        <w:tab w:val="right" w:pos="8640"/>
      </w:tabs>
      <w:spacing w:line="480" w:lineRule="auto"/>
    </w:pPr>
    <w:rPr>
      <w:rFonts w:ascii="Courier New" w:hAnsi="Courier New" w:cs="Courier New"/>
      <w:color w:val="000000"/>
    </w:rPr>
  </w:style>
  <w:style w:type="character" w:customStyle="1" w:styleId="GHGequationChar">
    <w:name w:val="_GHG equation Char"/>
    <w:basedOn w:val="DefaultParagraphFont"/>
    <w:link w:val="GHGequation"/>
    <w:semiHidden/>
    <w:locked/>
    <w:rsid w:val="00E254E2"/>
    <w:rPr>
      <w:rFonts w:ascii="Courier New" w:eastAsia="Times New Roman" w:hAnsi="Courier New" w:cs="Courier New"/>
      <w:color w:val="000000"/>
      <w:sz w:val="24"/>
      <w:szCs w:val="24"/>
    </w:rPr>
  </w:style>
  <w:style w:type="paragraph" w:customStyle="1" w:styleId="CM31">
    <w:name w:val="CM31"/>
    <w:basedOn w:val="Normal"/>
    <w:next w:val="Normal"/>
    <w:rsid w:val="00E254E2"/>
    <w:pPr>
      <w:widowControl w:val="0"/>
      <w:autoSpaceDE w:val="0"/>
      <w:autoSpaceDN w:val="0"/>
      <w:adjustRightInd w:val="0"/>
      <w:spacing w:after="155"/>
    </w:pPr>
    <w:rPr>
      <w:rFonts w:ascii="Melior" w:eastAsia="Calibri" w:hAnsi="Melior" w:cs="Melior"/>
    </w:rPr>
  </w:style>
  <w:style w:type="character" w:customStyle="1" w:styleId="heading6ICR">
    <w:name w:val="heading 6_ICR"/>
    <w:basedOn w:val="DefaultParagraphFont"/>
    <w:uiPriority w:val="1"/>
    <w:qFormat/>
    <w:rsid w:val="00D2253E"/>
    <w:rPr>
      <w:rFonts w:ascii="Times New Roman" w:hAnsi="Times New Roman"/>
      <w:i/>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pm.gov/oca/10tables/pdf/gs_h.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6596</Words>
  <Characters>37598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44106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MBurr</dc:creator>
  <cp:lastModifiedBy>ckerwin</cp:lastModifiedBy>
  <cp:revision>2</cp:revision>
  <cp:lastPrinted>2011-04-15T15:51:00Z</cp:lastPrinted>
  <dcterms:created xsi:type="dcterms:W3CDTF">2012-01-05T12:18:00Z</dcterms:created>
  <dcterms:modified xsi:type="dcterms:W3CDTF">2012-01-05T12:18:00Z</dcterms:modified>
</cp:coreProperties>
</file>