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F1A" w:rsidRPr="00C4396F" w:rsidRDefault="000A6466" w:rsidP="00A05F1A">
      <w:pPr>
        <w:jc w:val="center"/>
        <w:rPr>
          <w:rFonts w:ascii="Times New Roman" w:hAnsi="Times New Roman"/>
          <w:b/>
          <w:bCs/>
        </w:rPr>
      </w:pPr>
      <w:r w:rsidRPr="00C4396F">
        <w:rPr>
          <w:rFonts w:ascii="Times New Roman" w:hAnsi="Times New Roman"/>
          <w:b/>
          <w:bCs/>
          <w:lang w:val="en-CA"/>
        </w:rPr>
        <w:fldChar w:fldCharType="begin"/>
      </w:r>
      <w:r w:rsidR="00A05F1A" w:rsidRPr="00C4396F">
        <w:rPr>
          <w:rFonts w:ascii="Times New Roman" w:hAnsi="Times New Roman"/>
          <w:b/>
          <w:bCs/>
          <w:lang w:val="en-CA"/>
        </w:rPr>
        <w:instrText xml:space="preserve"> SEQ CHAPTER \h \r 1</w:instrText>
      </w:r>
      <w:r w:rsidRPr="00C4396F">
        <w:rPr>
          <w:rFonts w:ascii="Times New Roman" w:hAnsi="Times New Roman"/>
          <w:b/>
          <w:bCs/>
          <w:lang w:val="en-CA"/>
        </w:rPr>
        <w:fldChar w:fldCharType="end"/>
      </w:r>
      <w:r w:rsidR="00A05F1A" w:rsidRPr="00C4396F">
        <w:rPr>
          <w:rFonts w:ascii="Times New Roman" w:hAnsi="Times New Roman"/>
          <w:b/>
          <w:bCs/>
        </w:rPr>
        <w:t>Supporting Statement for the</w:t>
      </w:r>
    </w:p>
    <w:p w:rsidR="00A05F1A" w:rsidRPr="00C4396F" w:rsidRDefault="00A05F1A" w:rsidP="00A05F1A">
      <w:pPr>
        <w:jc w:val="center"/>
        <w:rPr>
          <w:rFonts w:ascii="Times New Roman" w:hAnsi="Times New Roman"/>
          <w:b/>
          <w:bCs/>
        </w:rPr>
      </w:pPr>
      <w:r w:rsidRPr="00C4396F">
        <w:rPr>
          <w:rFonts w:ascii="Times New Roman" w:hAnsi="Times New Roman"/>
          <w:b/>
          <w:bCs/>
        </w:rPr>
        <w:t>Recordkeeping and Disclosure Requirements in Connection with</w:t>
      </w:r>
    </w:p>
    <w:p w:rsidR="00823B0F" w:rsidRPr="00C4396F" w:rsidRDefault="00A05F1A" w:rsidP="00A05F1A">
      <w:pPr>
        <w:jc w:val="center"/>
        <w:rPr>
          <w:rFonts w:ascii="Times New Roman" w:hAnsi="Times New Roman"/>
          <w:b/>
          <w:bCs/>
        </w:rPr>
      </w:pPr>
      <w:r w:rsidRPr="00C4396F">
        <w:rPr>
          <w:rFonts w:ascii="Times New Roman" w:hAnsi="Times New Roman"/>
          <w:b/>
          <w:bCs/>
        </w:rPr>
        <w:t>Regulation E (Electronic Fund Transfer Act) (OMB No. 7100-0200)</w:t>
      </w:r>
    </w:p>
    <w:p w:rsidR="00823B0F" w:rsidRPr="00C4396F" w:rsidRDefault="00823B0F" w:rsidP="00A05F1A">
      <w:pPr>
        <w:jc w:val="center"/>
        <w:rPr>
          <w:rFonts w:ascii="Times New Roman" w:hAnsi="Times New Roman"/>
          <w:b/>
          <w:bCs/>
        </w:rPr>
      </w:pPr>
    </w:p>
    <w:p w:rsidR="00FA7C07" w:rsidRPr="00C4396F" w:rsidRDefault="003876BB" w:rsidP="00A05F1A">
      <w:pPr>
        <w:rPr>
          <w:rFonts w:ascii="Times New Roman" w:hAnsi="Times New Roman"/>
        </w:rPr>
      </w:pPr>
      <w:r w:rsidRPr="00C4396F">
        <w:rPr>
          <w:rFonts w:ascii="Times New Roman" w:hAnsi="Times New Roman"/>
          <w:b/>
        </w:rPr>
        <w:t>Summary</w:t>
      </w:r>
    </w:p>
    <w:p w:rsidR="00FA7C07" w:rsidRPr="00C4396F" w:rsidRDefault="00FA7C07" w:rsidP="00282F04">
      <w:pPr>
        <w:rPr>
          <w:rFonts w:ascii="Times New Roman" w:hAnsi="Times New Roman"/>
        </w:rPr>
      </w:pPr>
    </w:p>
    <w:p w:rsidR="00F72323" w:rsidRPr="00C4396F" w:rsidRDefault="00FA7C07" w:rsidP="00F72323">
      <w:pPr>
        <w:tabs>
          <w:tab w:val="left" w:pos="360"/>
        </w:tabs>
        <w:rPr>
          <w:rFonts w:ascii="Times New Roman" w:hAnsi="Times New Roman"/>
        </w:rPr>
      </w:pPr>
      <w:r w:rsidRPr="00C4396F">
        <w:rPr>
          <w:rFonts w:ascii="Times New Roman" w:hAnsi="Times New Roman"/>
        </w:rPr>
        <w:tab/>
      </w:r>
      <w:r w:rsidR="00A05F1A" w:rsidRPr="00C4396F">
        <w:rPr>
          <w:rFonts w:ascii="Times New Roman" w:hAnsi="Times New Roman"/>
        </w:rPr>
        <w:t>The Board of Governors of the Federal Reserve System, under delegated authority from the Office of Management and Budget (OMB), proposes to</w:t>
      </w:r>
      <w:r w:rsidR="001637CD" w:rsidRPr="00C4396F">
        <w:rPr>
          <w:rFonts w:ascii="Times New Roman" w:hAnsi="Times New Roman"/>
        </w:rPr>
        <w:t xml:space="preserve"> </w:t>
      </w:r>
      <w:r w:rsidR="00B703F9">
        <w:rPr>
          <w:rFonts w:ascii="Times New Roman" w:hAnsi="Times New Roman"/>
        </w:rPr>
        <w:t>extend</w:t>
      </w:r>
      <w:r w:rsidR="001637CD" w:rsidRPr="00C4396F">
        <w:rPr>
          <w:rFonts w:ascii="Times New Roman" w:hAnsi="Times New Roman"/>
        </w:rPr>
        <w:t>, with</w:t>
      </w:r>
      <w:r w:rsidR="00EB5616">
        <w:rPr>
          <w:rFonts w:ascii="Times New Roman" w:hAnsi="Times New Roman"/>
        </w:rPr>
        <w:t>out</w:t>
      </w:r>
      <w:r w:rsidR="001637CD" w:rsidRPr="00C4396F">
        <w:rPr>
          <w:rFonts w:ascii="Times New Roman" w:hAnsi="Times New Roman"/>
        </w:rPr>
        <w:t xml:space="preserve"> </w:t>
      </w:r>
      <w:r w:rsidR="00B703F9">
        <w:rPr>
          <w:rFonts w:ascii="Times New Roman" w:hAnsi="Times New Roman"/>
        </w:rPr>
        <w:t>revision</w:t>
      </w:r>
      <w:r w:rsidR="001637CD" w:rsidRPr="00C4396F">
        <w:rPr>
          <w:rFonts w:ascii="Times New Roman" w:hAnsi="Times New Roman"/>
        </w:rPr>
        <w:t xml:space="preserve">, the </w:t>
      </w:r>
      <w:r w:rsidR="00FF3E42" w:rsidRPr="00C4396F">
        <w:rPr>
          <w:rFonts w:ascii="Times New Roman" w:hAnsi="Times New Roman"/>
        </w:rPr>
        <w:t>r</w:t>
      </w:r>
      <w:r w:rsidR="003876BB" w:rsidRPr="00C4396F">
        <w:rPr>
          <w:rFonts w:ascii="Times New Roman" w:hAnsi="Times New Roman"/>
        </w:rPr>
        <w:t xml:space="preserve">ecordkeeping and </w:t>
      </w:r>
      <w:r w:rsidR="00FF3E42" w:rsidRPr="00C4396F">
        <w:rPr>
          <w:rFonts w:ascii="Times New Roman" w:hAnsi="Times New Roman"/>
        </w:rPr>
        <w:t>d</w:t>
      </w:r>
      <w:r w:rsidR="003876BB" w:rsidRPr="00C4396F">
        <w:rPr>
          <w:rFonts w:ascii="Times New Roman" w:hAnsi="Times New Roman"/>
        </w:rPr>
        <w:t xml:space="preserve">isclosure </w:t>
      </w:r>
      <w:r w:rsidR="00FF3E42" w:rsidRPr="00C4396F">
        <w:rPr>
          <w:rFonts w:ascii="Times New Roman" w:hAnsi="Times New Roman"/>
        </w:rPr>
        <w:t>r</w:t>
      </w:r>
      <w:r w:rsidR="003876BB" w:rsidRPr="00C4396F">
        <w:rPr>
          <w:rFonts w:ascii="Times New Roman" w:hAnsi="Times New Roman"/>
        </w:rPr>
        <w:t>equirements of Regulation E, which implements the Electronic Fund Transfer Act (EFTA)</w:t>
      </w:r>
      <w:r w:rsidR="0010730C" w:rsidRPr="00C4396F">
        <w:rPr>
          <w:rFonts w:ascii="Times New Roman" w:hAnsi="Times New Roman"/>
        </w:rPr>
        <w:t>.</w:t>
      </w:r>
      <w:r w:rsidR="003876BB" w:rsidRPr="00C4396F">
        <w:rPr>
          <w:rStyle w:val="FootnoteReference"/>
          <w:rFonts w:ascii="Times New Roman" w:hAnsi="Times New Roman"/>
          <w:vertAlign w:val="superscript"/>
        </w:rPr>
        <w:footnoteReference w:id="1"/>
      </w:r>
      <w:r w:rsidR="0010730C" w:rsidRPr="00C4396F">
        <w:rPr>
          <w:rFonts w:ascii="Times New Roman" w:hAnsi="Times New Roman"/>
        </w:rPr>
        <w:t xml:space="preserve">  </w:t>
      </w:r>
      <w:r w:rsidR="001637CD" w:rsidRPr="00C4396F">
        <w:rPr>
          <w:rFonts w:ascii="Times New Roman" w:hAnsi="Times New Roman"/>
        </w:rPr>
        <w:t>The Federal Reserve is required to renew these requirements every three years pursuant to the Paperwork Reduction Act of 1995 (PRA), which classifies regulations</w:t>
      </w:r>
      <w:r w:rsidR="00321AFF" w:rsidRPr="00C4396F">
        <w:rPr>
          <w:rFonts w:ascii="Times New Roman" w:hAnsi="Times New Roman"/>
        </w:rPr>
        <w:t>,</w:t>
      </w:r>
      <w:r w:rsidR="001637CD" w:rsidRPr="00C4396F">
        <w:rPr>
          <w:rFonts w:ascii="Times New Roman" w:hAnsi="Times New Roman"/>
        </w:rPr>
        <w:t xml:space="preserve"> such as Regulation E</w:t>
      </w:r>
      <w:r w:rsidR="00321AFF" w:rsidRPr="00C4396F">
        <w:rPr>
          <w:rFonts w:ascii="Times New Roman" w:hAnsi="Times New Roman"/>
        </w:rPr>
        <w:t>,</w:t>
      </w:r>
      <w:r w:rsidR="001637CD" w:rsidRPr="00C4396F">
        <w:rPr>
          <w:rFonts w:ascii="Times New Roman" w:hAnsi="Times New Roman"/>
        </w:rPr>
        <w:t xml:space="preserve"> as “required information collections.</w:t>
      </w:r>
      <w:r w:rsidR="00321AFF" w:rsidRPr="00C4396F">
        <w:rPr>
          <w:rFonts w:ascii="Times New Roman" w:hAnsi="Times New Roman"/>
        </w:rPr>
        <w:t>”</w:t>
      </w:r>
      <w:r w:rsidR="003876BB" w:rsidRPr="00C4396F">
        <w:rPr>
          <w:rStyle w:val="FootnoteReference"/>
          <w:rFonts w:ascii="Times New Roman" w:hAnsi="Times New Roman"/>
          <w:vertAlign w:val="superscript"/>
        </w:rPr>
        <w:footnoteReference w:id="2"/>
      </w:r>
      <w:r w:rsidR="00B2748D" w:rsidRPr="00C4396F">
        <w:rPr>
          <w:rFonts w:ascii="Times New Roman" w:hAnsi="Times New Roman"/>
        </w:rPr>
        <w:t xml:space="preserve">  </w:t>
      </w:r>
    </w:p>
    <w:p w:rsidR="00F72323" w:rsidRPr="00C4396F" w:rsidRDefault="00F72323" w:rsidP="00F72323">
      <w:pPr>
        <w:tabs>
          <w:tab w:val="left" w:pos="360"/>
        </w:tabs>
        <w:rPr>
          <w:rFonts w:ascii="Times New Roman" w:hAnsi="Times New Roman"/>
        </w:rPr>
      </w:pPr>
    </w:p>
    <w:p w:rsidR="00417C8B" w:rsidRPr="00C4396F" w:rsidRDefault="00F72323" w:rsidP="00417C8B">
      <w:pPr>
        <w:tabs>
          <w:tab w:val="left" w:pos="360"/>
        </w:tabs>
        <w:rPr>
          <w:rFonts w:ascii="Times New Roman" w:hAnsi="Times New Roman"/>
        </w:rPr>
      </w:pPr>
      <w:r w:rsidRPr="00C4396F">
        <w:rPr>
          <w:rFonts w:ascii="Times New Roman" w:hAnsi="Times New Roman"/>
        </w:rPr>
        <w:tab/>
      </w:r>
      <w:r w:rsidR="005B2D84" w:rsidRPr="00C4396F">
        <w:rPr>
          <w:rFonts w:ascii="Times New Roman" w:hAnsi="Times New Roman"/>
        </w:rPr>
        <w:t>T</w:t>
      </w:r>
      <w:r w:rsidR="003876BB" w:rsidRPr="00C4396F">
        <w:rPr>
          <w:rFonts w:ascii="Times New Roman" w:hAnsi="Times New Roman"/>
        </w:rPr>
        <w:t xml:space="preserve">he EFTA and Regulation E are designed to ensure adequate disclosure of basic terms, costs, and rights relating to electronic fund transfer (EFT) services </w:t>
      </w:r>
      <w:r w:rsidR="005221F8" w:rsidRPr="00C4396F">
        <w:rPr>
          <w:rFonts w:ascii="Times New Roman" w:hAnsi="Times New Roman"/>
        </w:rPr>
        <w:t>debiting or crediting a</w:t>
      </w:r>
      <w:r w:rsidR="003876BB" w:rsidRPr="00C4396F">
        <w:rPr>
          <w:rFonts w:ascii="Times New Roman" w:hAnsi="Times New Roman"/>
        </w:rPr>
        <w:t xml:space="preserve"> consumer</w:t>
      </w:r>
      <w:r w:rsidR="005221F8" w:rsidRPr="00C4396F">
        <w:rPr>
          <w:rFonts w:ascii="Times New Roman" w:hAnsi="Times New Roman"/>
        </w:rPr>
        <w:t>’</w:t>
      </w:r>
      <w:r w:rsidR="003876BB" w:rsidRPr="00C4396F">
        <w:rPr>
          <w:rFonts w:ascii="Times New Roman" w:hAnsi="Times New Roman"/>
        </w:rPr>
        <w:t>s</w:t>
      </w:r>
      <w:r w:rsidR="005221F8" w:rsidRPr="00C4396F">
        <w:rPr>
          <w:rFonts w:ascii="Times New Roman" w:hAnsi="Times New Roman"/>
        </w:rPr>
        <w:t xml:space="preserve"> account</w:t>
      </w:r>
      <w:r w:rsidR="003876BB" w:rsidRPr="00C4396F">
        <w:rPr>
          <w:rFonts w:ascii="Times New Roman" w:hAnsi="Times New Roman"/>
        </w:rPr>
        <w:t xml:space="preserve">.  </w:t>
      </w:r>
      <w:r w:rsidR="00A47499" w:rsidRPr="00C4396F">
        <w:rPr>
          <w:rFonts w:ascii="Times New Roman" w:hAnsi="Times New Roman"/>
        </w:rPr>
        <w:t>The disclosures required by the EFTA and Regulation E are</w:t>
      </w:r>
      <w:r w:rsidR="00B82BB0" w:rsidRPr="00C4396F">
        <w:rPr>
          <w:rFonts w:ascii="Times New Roman" w:hAnsi="Times New Roman"/>
        </w:rPr>
        <w:t xml:space="preserve"> </w:t>
      </w:r>
      <w:r w:rsidR="003876BB" w:rsidRPr="00C4396F">
        <w:rPr>
          <w:rFonts w:ascii="Times New Roman" w:hAnsi="Times New Roman"/>
        </w:rPr>
        <w:t xml:space="preserve">triggered by certain </w:t>
      </w:r>
      <w:r w:rsidR="00A47499" w:rsidRPr="00C4396F">
        <w:rPr>
          <w:rFonts w:ascii="Times New Roman" w:hAnsi="Times New Roman"/>
        </w:rPr>
        <w:t xml:space="preserve">specified </w:t>
      </w:r>
      <w:r w:rsidR="003876BB" w:rsidRPr="00C4396F">
        <w:rPr>
          <w:rFonts w:ascii="Times New Roman" w:hAnsi="Times New Roman"/>
        </w:rPr>
        <w:t>events</w:t>
      </w:r>
      <w:r w:rsidR="006878E2" w:rsidRPr="00C4396F">
        <w:rPr>
          <w:rFonts w:ascii="Times New Roman" w:hAnsi="Times New Roman"/>
        </w:rPr>
        <w:t xml:space="preserve">.  </w:t>
      </w:r>
      <w:r w:rsidR="00A47499" w:rsidRPr="00C4396F">
        <w:rPr>
          <w:rFonts w:ascii="Times New Roman" w:hAnsi="Times New Roman"/>
        </w:rPr>
        <w:t xml:space="preserve">The disclosures inform consumers about the terms of the electronic fund transfer service, activity on the account, potential liability for unauthorized transfers, and the process for resolving errors.  </w:t>
      </w:r>
      <w:r w:rsidR="003876BB" w:rsidRPr="00C4396F">
        <w:rPr>
          <w:rFonts w:ascii="Times New Roman" w:hAnsi="Times New Roman"/>
        </w:rPr>
        <w:t xml:space="preserve">To ease institutions’ burden and cost of complying with the disclosure requirements of Regulation E (particularly for small entities), the </w:t>
      </w:r>
      <w:r w:rsidR="00185B4D" w:rsidRPr="00C4396F">
        <w:rPr>
          <w:rFonts w:ascii="Times New Roman" w:hAnsi="Times New Roman"/>
        </w:rPr>
        <w:t>Board</w:t>
      </w:r>
      <w:r w:rsidR="003876BB" w:rsidRPr="00C4396F">
        <w:rPr>
          <w:rFonts w:ascii="Times New Roman" w:hAnsi="Times New Roman"/>
        </w:rPr>
        <w:t xml:space="preserve"> publishes model forms and disclosure clauses.</w:t>
      </w:r>
    </w:p>
    <w:p w:rsidR="00417C8B" w:rsidRPr="00C4396F" w:rsidRDefault="00417C8B" w:rsidP="00417C8B">
      <w:pPr>
        <w:tabs>
          <w:tab w:val="left" w:pos="360"/>
        </w:tabs>
        <w:rPr>
          <w:rFonts w:ascii="Times New Roman" w:hAnsi="Times New Roman"/>
        </w:rPr>
      </w:pPr>
    </w:p>
    <w:p w:rsidR="00E2526B" w:rsidRPr="00954801" w:rsidRDefault="00B2748D" w:rsidP="00206B08">
      <w:pPr>
        <w:widowControl/>
        <w:tabs>
          <w:tab w:val="left" w:pos="360"/>
        </w:tabs>
        <w:rPr>
          <w:rFonts w:ascii="Times New Roman" w:hAnsi="Times New Roman"/>
        </w:rPr>
      </w:pPr>
      <w:r w:rsidRPr="008A1815">
        <w:rPr>
          <w:rFonts w:ascii="Times New Roman" w:hAnsi="Times New Roman"/>
        </w:rPr>
        <w:tab/>
      </w:r>
      <w:r w:rsidR="00F93AA0" w:rsidRPr="008A1815">
        <w:rPr>
          <w:rFonts w:ascii="Times New Roman" w:hAnsi="Times New Roman"/>
        </w:rPr>
        <w:t xml:space="preserve">Regulation </w:t>
      </w:r>
      <w:r w:rsidR="00C52AD4" w:rsidRPr="008A1815">
        <w:rPr>
          <w:rFonts w:ascii="Times New Roman" w:hAnsi="Times New Roman"/>
        </w:rPr>
        <w:t>E applies to all</w:t>
      </w:r>
      <w:r w:rsidRPr="008A1815">
        <w:rPr>
          <w:rFonts w:ascii="Times New Roman" w:hAnsi="Times New Roman"/>
        </w:rPr>
        <w:t xml:space="preserve"> financial institutions, </w:t>
      </w:r>
      <w:r w:rsidR="003B34DD" w:rsidRPr="008A1815">
        <w:rPr>
          <w:rFonts w:ascii="Times New Roman" w:hAnsi="Times New Roman"/>
        </w:rPr>
        <w:t xml:space="preserve">not just </w:t>
      </w:r>
      <w:r w:rsidR="00FC4A0D" w:rsidRPr="008A1815">
        <w:rPr>
          <w:rFonts w:ascii="Times New Roman" w:hAnsi="Times New Roman"/>
        </w:rPr>
        <w:t>s</w:t>
      </w:r>
      <w:r w:rsidR="003B34DD" w:rsidRPr="008A1815">
        <w:rPr>
          <w:rFonts w:ascii="Times New Roman" w:hAnsi="Times New Roman"/>
        </w:rPr>
        <w:t>t</w:t>
      </w:r>
      <w:r w:rsidR="00C52AD4" w:rsidRPr="008A1815">
        <w:rPr>
          <w:rFonts w:ascii="Times New Roman" w:hAnsi="Times New Roman"/>
        </w:rPr>
        <w:t xml:space="preserve">ate </w:t>
      </w:r>
      <w:r w:rsidR="00FC4A0D" w:rsidRPr="008A1815">
        <w:rPr>
          <w:rFonts w:ascii="Times New Roman" w:hAnsi="Times New Roman"/>
        </w:rPr>
        <w:t>m</w:t>
      </w:r>
      <w:r w:rsidR="00C52AD4" w:rsidRPr="008A1815">
        <w:rPr>
          <w:rFonts w:ascii="Times New Roman" w:hAnsi="Times New Roman"/>
        </w:rPr>
        <w:t xml:space="preserve">ember </w:t>
      </w:r>
      <w:r w:rsidR="00FC4A0D" w:rsidRPr="008A1815">
        <w:rPr>
          <w:rFonts w:ascii="Times New Roman" w:hAnsi="Times New Roman"/>
        </w:rPr>
        <w:t>b</w:t>
      </w:r>
      <w:r w:rsidR="00C52AD4" w:rsidRPr="008A1815">
        <w:rPr>
          <w:rFonts w:ascii="Times New Roman" w:hAnsi="Times New Roman"/>
        </w:rPr>
        <w:t>anks</w:t>
      </w:r>
      <w:r w:rsidR="003B34DD" w:rsidRPr="008A1815">
        <w:rPr>
          <w:rFonts w:ascii="Times New Roman" w:hAnsi="Times New Roman"/>
        </w:rPr>
        <w:t xml:space="preserve"> (SMBs)</w:t>
      </w:r>
      <w:r w:rsidR="00C52AD4" w:rsidRPr="008A1815">
        <w:rPr>
          <w:rFonts w:ascii="Times New Roman" w:hAnsi="Times New Roman"/>
        </w:rPr>
        <w:t xml:space="preserve">.  </w:t>
      </w:r>
      <w:r w:rsidR="00321AFF" w:rsidRPr="008A1815">
        <w:rPr>
          <w:rFonts w:ascii="Times New Roman" w:hAnsi="Times New Roman"/>
        </w:rPr>
        <w:t xml:space="preserve">In addition, </w:t>
      </w:r>
      <w:r w:rsidR="004763D2" w:rsidRPr="008A1815">
        <w:rPr>
          <w:rFonts w:ascii="Times New Roman" w:hAnsi="Times New Roman"/>
        </w:rPr>
        <w:t xml:space="preserve">certain provisions in </w:t>
      </w:r>
      <w:r w:rsidR="00A47499" w:rsidRPr="008A1815">
        <w:rPr>
          <w:rFonts w:ascii="Times New Roman" w:hAnsi="Times New Roman"/>
        </w:rPr>
        <w:t>Regulation E appl</w:t>
      </w:r>
      <w:r w:rsidR="004763D2" w:rsidRPr="008A1815">
        <w:rPr>
          <w:rFonts w:ascii="Times New Roman" w:hAnsi="Times New Roman"/>
        </w:rPr>
        <w:t>y</w:t>
      </w:r>
      <w:r w:rsidR="00A47499" w:rsidRPr="008A1815">
        <w:rPr>
          <w:rFonts w:ascii="Times New Roman" w:hAnsi="Times New Roman"/>
        </w:rPr>
        <w:t xml:space="preserve"> to entities that are not financial</w:t>
      </w:r>
      <w:r w:rsidR="00A47499" w:rsidRPr="00C4396F">
        <w:rPr>
          <w:rFonts w:ascii="Times New Roman" w:hAnsi="Times New Roman"/>
        </w:rPr>
        <w:t xml:space="preserve"> institutions, </w:t>
      </w:r>
      <w:r w:rsidR="004763D2" w:rsidRPr="00C4396F">
        <w:rPr>
          <w:rFonts w:ascii="Times New Roman" w:hAnsi="Times New Roman"/>
        </w:rPr>
        <w:t xml:space="preserve">including those that act </w:t>
      </w:r>
      <w:r w:rsidR="00A47499" w:rsidRPr="00C4396F">
        <w:rPr>
          <w:rFonts w:ascii="Times New Roman" w:hAnsi="Times New Roman"/>
        </w:rPr>
        <w:t xml:space="preserve">as </w:t>
      </w:r>
      <w:r w:rsidR="004763D2" w:rsidRPr="00C4396F">
        <w:rPr>
          <w:rFonts w:ascii="Times New Roman" w:hAnsi="Times New Roman"/>
        </w:rPr>
        <w:t>service providers or</w:t>
      </w:r>
      <w:r w:rsidR="0043763F" w:rsidRPr="00C4396F">
        <w:rPr>
          <w:rFonts w:ascii="Times New Roman" w:hAnsi="Times New Roman"/>
        </w:rPr>
        <w:t xml:space="preserve"> automated teller machine (ATM) operators, as well as </w:t>
      </w:r>
      <w:r w:rsidR="00321AFF" w:rsidRPr="00C4396F">
        <w:rPr>
          <w:rFonts w:ascii="Times New Roman" w:hAnsi="Times New Roman"/>
        </w:rPr>
        <w:t xml:space="preserve">merchants </w:t>
      </w:r>
      <w:r w:rsidR="00371407" w:rsidRPr="00C4396F">
        <w:rPr>
          <w:rFonts w:ascii="Times New Roman" w:hAnsi="Times New Roman"/>
        </w:rPr>
        <w:t>and</w:t>
      </w:r>
      <w:r w:rsidR="00321AFF" w:rsidRPr="00C4396F">
        <w:rPr>
          <w:rFonts w:ascii="Times New Roman" w:hAnsi="Times New Roman"/>
        </w:rPr>
        <w:t xml:space="preserve"> </w:t>
      </w:r>
      <w:r w:rsidR="00373726" w:rsidRPr="00C4396F">
        <w:rPr>
          <w:rFonts w:ascii="Times New Roman" w:hAnsi="Times New Roman"/>
        </w:rPr>
        <w:t xml:space="preserve">other </w:t>
      </w:r>
      <w:r w:rsidR="00321AFF" w:rsidRPr="00C4396F">
        <w:rPr>
          <w:rFonts w:ascii="Times New Roman" w:hAnsi="Times New Roman"/>
        </w:rPr>
        <w:t>payees that engage in electronic check conversion (ECK) transactions</w:t>
      </w:r>
      <w:r w:rsidR="00B82BB0" w:rsidRPr="00C4396F">
        <w:rPr>
          <w:rFonts w:ascii="Times New Roman" w:hAnsi="Times New Roman"/>
        </w:rPr>
        <w:t xml:space="preserve">, </w:t>
      </w:r>
      <w:r w:rsidR="00A47499" w:rsidRPr="00C4396F">
        <w:rPr>
          <w:rFonts w:ascii="Times New Roman" w:hAnsi="Times New Roman"/>
        </w:rPr>
        <w:t>the electronic collection of</w:t>
      </w:r>
      <w:r w:rsidR="00371407" w:rsidRPr="00C4396F">
        <w:rPr>
          <w:rFonts w:ascii="Times New Roman" w:hAnsi="Times New Roman"/>
        </w:rPr>
        <w:t xml:space="preserve"> returned item fees</w:t>
      </w:r>
      <w:r w:rsidR="00B82BB0" w:rsidRPr="00C4396F">
        <w:rPr>
          <w:rFonts w:ascii="Times New Roman" w:hAnsi="Times New Roman"/>
        </w:rPr>
        <w:t>, or preauthorized transfers</w:t>
      </w:r>
      <w:r w:rsidR="00321AFF" w:rsidRPr="00C4396F">
        <w:rPr>
          <w:rFonts w:ascii="Times New Roman" w:hAnsi="Times New Roman"/>
        </w:rPr>
        <w:t xml:space="preserve">.  </w:t>
      </w:r>
      <w:r w:rsidR="00C52AD4" w:rsidRPr="00C4396F">
        <w:rPr>
          <w:rFonts w:ascii="Times New Roman" w:hAnsi="Times New Roman"/>
        </w:rPr>
        <w:t xml:space="preserve">The Federal Reserve accounts for the paperwork burden associated with Regulation E only for </w:t>
      </w:r>
      <w:r w:rsidR="00C52AD4" w:rsidRPr="00793485">
        <w:rPr>
          <w:rFonts w:ascii="Times New Roman" w:hAnsi="Times New Roman"/>
        </w:rPr>
        <w:t xml:space="preserve">the financial institutions it </w:t>
      </w:r>
      <w:r w:rsidR="004763D2" w:rsidRPr="00793485">
        <w:rPr>
          <w:rFonts w:ascii="Times New Roman" w:hAnsi="Times New Roman"/>
        </w:rPr>
        <w:t>supervises</w:t>
      </w:r>
      <w:r w:rsidR="00560696" w:rsidRPr="00793485">
        <w:rPr>
          <w:rStyle w:val="FootnoteReference"/>
          <w:rFonts w:ascii="Times New Roman" w:hAnsi="Times New Roman"/>
          <w:vertAlign w:val="superscript"/>
        </w:rPr>
        <w:footnoteReference w:id="3"/>
      </w:r>
      <w:r w:rsidR="004763D2" w:rsidRPr="00793485">
        <w:rPr>
          <w:rFonts w:ascii="Times New Roman" w:hAnsi="Times New Roman"/>
        </w:rPr>
        <w:t xml:space="preserve"> </w:t>
      </w:r>
      <w:r w:rsidR="00C52AD4" w:rsidRPr="00793485">
        <w:rPr>
          <w:rFonts w:ascii="Times New Roman" w:hAnsi="Times New Roman"/>
        </w:rPr>
        <w:t>and that meet the criteria set forth in the regulation.</w:t>
      </w:r>
      <w:r w:rsidR="00C8651F" w:rsidRPr="00793485">
        <w:rPr>
          <w:rFonts w:ascii="Times New Roman" w:hAnsi="Times New Roman"/>
        </w:rPr>
        <w:t xml:space="preserve">  </w:t>
      </w:r>
      <w:r w:rsidR="00F93AA0" w:rsidRPr="00793485">
        <w:rPr>
          <w:rFonts w:ascii="Times New Roman" w:hAnsi="Times New Roman"/>
        </w:rPr>
        <w:t xml:space="preserve">Other </w:t>
      </w:r>
      <w:r w:rsidR="00F93AA0" w:rsidRPr="00954801">
        <w:rPr>
          <w:rFonts w:ascii="Times New Roman" w:hAnsi="Times New Roman"/>
        </w:rPr>
        <w:lastRenderedPageBreak/>
        <w:t xml:space="preserve">federal agencies account for the paperwork burden imposed on the </w:t>
      </w:r>
      <w:r w:rsidR="00763CFE" w:rsidRPr="00954801">
        <w:rPr>
          <w:rFonts w:ascii="Times New Roman" w:hAnsi="Times New Roman"/>
        </w:rPr>
        <w:t>entities</w:t>
      </w:r>
      <w:r w:rsidR="00F93AA0" w:rsidRPr="00954801">
        <w:rPr>
          <w:rFonts w:ascii="Times New Roman" w:hAnsi="Times New Roman"/>
        </w:rPr>
        <w:t xml:space="preserve"> for which they have regulatory enforcement authority.</w:t>
      </w:r>
      <w:r w:rsidR="00E2526B" w:rsidRPr="00954801">
        <w:rPr>
          <w:rFonts w:ascii="Times New Roman" w:hAnsi="Times New Roman"/>
        </w:rPr>
        <w:t xml:space="preserve">  </w:t>
      </w:r>
      <w:r w:rsidR="00E2526B" w:rsidRPr="00954801">
        <w:rPr>
          <w:rFonts w:ascii="Times New Roman" w:hAnsi="Times New Roman"/>
          <w:color w:val="000000"/>
        </w:rPr>
        <w:t xml:space="preserve">The annual burden is estimated to be </w:t>
      </w:r>
      <w:r w:rsidR="00954801" w:rsidRPr="00954801">
        <w:rPr>
          <w:rFonts w:ascii="Times New Roman" w:hAnsi="Times New Roman"/>
          <w:color w:val="000000"/>
        </w:rPr>
        <w:t xml:space="preserve">62,725 </w:t>
      </w:r>
      <w:r w:rsidR="00E2526B" w:rsidRPr="00954801">
        <w:rPr>
          <w:rFonts w:ascii="Times New Roman" w:hAnsi="Times New Roman"/>
          <w:color w:val="000000"/>
        </w:rPr>
        <w:t xml:space="preserve">hours for </w:t>
      </w:r>
      <w:r w:rsidR="003D0F55" w:rsidRPr="00954801">
        <w:rPr>
          <w:rFonts w:ascii="Times New Roman" w:hAnsi="Times New Roman"/>
          <w:color w:val="000000"/>
        </w:rPr>
        <w:t>1,0</w:t>
      </w:r>
      <w:r w:rsidR="00954801" w:rsidRPr="00954801">
        <w:rPr>
          <w:rFonts w:ascii="Times New Roman" w:hAnsi="Times New Roman"/>
          <w:color w:val="000000"/>
        </w:rPr>
        <w:t>29</w:t>
      </w:r>
      <w:r w:rsidR="00E2526B" w:rsidRPr="00954801">
        <w:rPr>
          <w:rFonts w:ascii="Times New Roman" w:hAnsi="Times New Roman"/>
          <w:color w:val="000000"/>
        </w:rPr>
        <w:t xml:space="preserve"> Federal Reserve-supervised institutions that are deemed “respondents” for purposes of the </w:t>
      </w:r>
      <w:r w:rsidR="00601A6A">
        <w:rPr>
          <w:rFonts w:ascii="Times New Roman" w:hAnsi="Times New Roman"/>
          <w:color w:val="000000"/>
        </w:rPr>
        <w:t>PRA</w:t>
      </w:r>
      <w:r w:rsidR="00E2526B" w:rsidRPr="00954801">
        <w:rPr>
          <w:rFonts w:ascii="Times New Roman" w:hAnsi="Times New Roman"/>
          <w:color w:val="000000"/>
        </w:rPr>
        <w:t>.</w:t>
      </w:r>
    </w:p>
    <w:p w:rsidR="00954E94" w:rsidRPr="00954801" w:rsidRDefault="00954E94" w:rsidP="00282F04">
      <w:pPr>
        <w:rPr>
          <w:rFonts w:ascii="Times New Roman" w:hAnsi="Times New Roman"/>
          <w:b/>
        </w:rPr>
      </w:pPr>
    </w:p>
    <w:p w:rsidR="00754E0F" w:rsidRDefault="003876BB" w:rsidP="00282F04">
      <w:pPr>
        <w:rPr>
          <w:rFonts w:ascii="Times New Roman" w:hAnsi="Times New Roman"/>
          <w:b/>
        </w:rPr>
      </w:pPr>
      <w:r w:rsidRPr="002D40C7">
        <w:rPr>
          <w:rFonts w:ascii="Times New Roman" w:hAnsi="Times New Roman"/>
          <w:b/>
        </w:rPr>
        <w:t>Background and Justification</w:t>
      </w:r>
    </w:p>
    <w:p w:rsidR="00A703C1" w:rsidRPr="002D40C7" w:rsidRDefault="00A703C1" w:rsidP="00282F04">
      <w:pPr>
        <w:rPr>
          <w:rFonts w:ascii="Times New Roman" w:hAnsi="Times New Roman"/>
          <w:b/>
        </w:rPr>
      </w:pPr>
    </w:p>
    <w:p w:rsidR="00754E0F" w:rsidRPr="00C4396F" w:rsidRDefault="00754E0F" w:rsidP="00FA7C07">
      <w:pPr>
        <w:tabs>
          <w:tab w:val="left" w:pos="360"/>
        </w:tabs>
        <w:rPr>
          <w:rFonts w:ascii="Times New Roman" w:hAnsi="Times New Roman"/>
        </w:rPr>
      </w:pPr>
      <w:r w:rsidRPr="00C4396F">
        <w:rPr>
          <w:rFonts w:ascii="Times New Roman" w:hAnsi="Times New Roman"/>
        </w:rPr>
        <w:tab/>
      </w:r>
      <w:r w:rsidR="003876BB" w:rsidRPr="00C4396F">
        <w:rPr>
          <w:rFonts w:ascii="Times New Roman" w:hAnsi="Times New Roman"/>
        </w:rPr>
        <w:t>The EFTA and Regulation E require that institutions provide consumers of EFT services information about their rights, responsibilities, and liabilities as well as the costs</w:t>
      </w:r>
      <w:r w:rsidR="00185B4D" w:rsidRPr="00C4396F">
        <w:rPr>
          <w:rFonts w:ascii="Times New Roman" w:hAnsi="Times New Roman"/>
        </w:rPr>
        <w:t xml:space="preserve"> of the services</w:t>
      </w:r>
      <w:r w:rsidR="003876BB" w:rsidRPr="00C4396F">
        <w:rPr>
          <w:rFonts w:ascii="Times New Roman" w:hAnsi="Times New Roman"/>
        </w:rPr>
        <w:t xml:space="preserve">.  EFT services include </w:t>
      </w:r>
      <w:r w:rsidR="00185B4D" w:rsidRPr="00C4396F">
        <w:rPr>
          <w:rFonts w:ascii="Times New Roman" w:hAnsi="Times New Roman"/>
        </w:rPr>
        <w:t>ATM transfers</w:t>
      </w:r>
      <w:r w:rsidR="003876BB" w:rsidRPr="00C4396F">
        <w:rPr>
          <w:rFonts w:ascii="Times New Roman" w:hAnsi="Times New Roman"/>
        </w:rPr>
        <w:t>,</w:t>
      </w:r>
      <w:r w:rsidR="002263B7" w:rsidRPr="00C4396F">
        <w:rPr>
          <w:rFonts w:ascii="Times New Roman" w:hAnsi="Times New Roman"/>
        </w:rPr>
        <w:t xml:space="preserve"> debit card transactions,</w:t>
      </w:r>
      <w:r w:rsidR="003876BB" w:rsidRPr="00C4396F">
        <w:rPr>
          <w:rFonts w:ascii="Times New Roman" w:hAnsi="Times New Roman"/>
        </w:rPr>
        <w:t xml:space="preserve"> telephone bill payment, point-of-sale transfers, fund transfers initiated through the </w:t>
      </w:r>
      <w:r w:rsidR="00B82BB0" w:rsidRPr="00C4396F">
        <w:rPr>
          <w:rFonts w:ascii="Times New Roman" w:hAnsi="Times New Roman"/>
        </w:rPr>
        <w:t>I</w:t>
      </w:r>
      <w:r w:rsidR="003876BB" w:rsidRPr="00C4396F">
        <w:rPr>
          <w:rFonts w:ascii="Times New Roman" w:hAnsi="Times New Roman"/>
        </w:rPr>
        <w:t xml:space="preserve">nternet, and </w:t>
      </w:r>
      <w:r w:rsidR="000C4C46" w:rsidRPr="00C4396F">
        <w:rPr>
          <w:rFonts w:ascii="Times New Roman" w:hAnsi="Times New Roman"/>
        </w:rPr>
        <w:t>direct deposits</w:t>
      </w:r>
      <w:r w:rsidR="002263B7" w:rsidRPr="00C4396F">
        <w:rPr>
          <w:rFonts w:ascii="Times New Roman" w:hAnsi="Times New Roman"/>
        </w:rPr>
        <w:t xml:space="preserve"> to</w:t>
      </w:r>
      <w:r w:rsidR="000C4C46" w:rsidRPr="00C4396F">
        <w:rPr>
          <w:rFonts w:ascii="Times New Roman" w:hAnsi="Times New Roman"/>
        </w:rPr>
        <w:t xml:space="preserve"> or withdrawals of funds</w:t>
      </w:r>
      <w:r w:rsidR="003876BB" w:rsidRPr="00C4396F">
        <w:rPr>
          <w:rFonts w:ascii="Times New Roman" w:hAnsi="Times New Roman"/>
        </w:rPr>
        <w:t xml:space="preserve"> from a consumer</w:t>
      </w:r>
      <w:r w:rsidR="000C4C46" w:rsidRPr="00C4396F">
        <w:rPr>
          <w:rFonts w:ascii="Times New Roman" w:hAnsi="Times New Roman"/>
        </w:rPr>
        <w:t>’</w:t>
      </w:r>
      <w:r w:rsidR="003876BB" w:rsidRPr="00C4396F">
        <w:rPr>
          <w:rFonts w:ascii="Times New Roman" w:hAnsi="Times New Roman"/>
        </w:rPr>
        <w:t>s account</w:t>
      </w:r>
      <w:r w:rsidR="002263B7" w:rsidRPr="00C4396F">
        <w:rPr>
          <w:rFonts w:ascii="Times New Roman" w:hAnsi="Times New Roman"/>
        </w:rPr>
        <w:t xml:space="preserve"> that are electronically initiated</w:t>
      </w:r>
      <w:r w:rsidR="003876BB" w:rsidRPr="00C4396F">
        <w:rPr>
          <w:rFonts w:ascii="Times New Roman" w:hAnsi="Times New Roman"/>
        </w:rPr>
        <w:t xml:space="preserve">.  The act does not exempt small institutions, but it authorizes the </w:t>
      </w:r>
      <w:r w:rsidR="00185B4D" w:rsidRPr="00C4396F">
        <w:rPr>
          <w:rFonts w:ascii="Times New Roman" w:hAnsi="Times New Roman"/>
        </w:rPr>
        <w:t>Board</w:t>
      </w:r>
      <w:r w:rsidR="003876BB" w:rsidRPr="00C4396F">
        <w:rPr>
          <w:rFonts w:ascii="Times New Roman" w:hAnsi="Times New Roman"/>
        </w:rPr>
        <w:t xml:space="preserve"> to modify certain requirements to ease compliance burdens for small institutions where consistent with the purposes of the law.</w:t>
      </w:r>
    </w:p>
    <w:p w:rsidR="00754E0F" w:rsidRPr="00C4396F" w:rsidRDefault="00754E0F" w:rsidP="00282F04">
      <w:pPr>
        <w:ind w:firstLine="360"/>
        <w:rPr>
          <w:rFonts w:ascii="Times New Roman" w:hAnsi="Times New Roman"/>
        </w:rPr>
      </w:pPr>
      <w:r w:rsidRPr="00C4396F">
        <w:rPr>
          <w:rFonts w:ascii="Times New Roman" w:hAnsi="Times New Roman"/>
        </w:rPr>
        <w:tab/>
      </w:r>
    </w:p>
    <w:p w:rsidR="00A3597A" w:rsidRPr="00C4396F" w:rsidRDefault="00754E0F" w:rsidP="00A3597A">
      <w:pPr>
        <w:tabs>
          <w:tab w:val="left" w:pos="360"/>
        </w:tabs>
        <w:rPr>
          <w:rFonts w:ascii="Times New Roman" w:hAnsi="Times New Roman"/>
        </w:rPr>
      </w:pPr>
      <w:r w:rsidRPr="00C4396F">
        <w:rPr>
          <w:rFonts w:ascii="Times New Roman" w:hAnsi="Times New Roman"/>
        </w:rPr>
        <w:tab/>
      </w:r>
      <w:r w:rsidR="003876BB" w:rsidRPr="00C4396F">
        <w:rPr>
          <w:rFonts w:ascii="Times New Roman" w:hAnsi="Times New Roman"/>
        </w:rPr>
        <w:t xml:space="preserve">Using this authority, in 1982 the </w:t>
      </w:r>
      <w:r w:rsidR="00185B4D" w:rsidRPr="00C4396F">
        <w:rPr>
          <w:rFonts w:ascii="Times New Roman" w:hAnsi="Times New Roman"/>
        </w:rPr>
        <w:t>Board</w:t>
      </w:r>
      <w:r w:rsidR="003876BB" w:rsidRPr="00C4396F">
        <w:rPr>
          <w:rFonts w:ascii="Times New Roman" w:hAnsi="Times New Roman"/>
        </w:rPr>
        <w:t xml:space="preserve"> exempted from the requirements of the act preauthorized transfers to or from accounts at financial institutions with assets of $25 million or less.  The exemption was expanded </w:t>
      </w:r>
      <w:r w:rsidR="000C4C46" w:rsidRPr="00C4396F">
        <w:rPr>
          <w:rFonts w:ascii="Times New Roman" w:hAnsi="Times New Roman"/>
        </w:rPr>
        <w:t xml:space="preserve">in May 1996 </w:t>
      </w:r>
      <w:r w:rsidR="003876BB" w:rsidRPr="00C4396F">
        <w:rPr>
          <w:rFonts w:ascii="Times New Roman" w:hAnsi="Times New Roman"/>
        </w:rPr>
        <w:t>to institutions with assets of $100 million or less.  A</w:t>
      </w:r>
      <w:r w:rsidR="000C4C46" w:rsidRPr="00C4396F">
        <w:rPr>
          <w:rFonts w:ascii="Times New Roman" w:hAnsi="Times New Roman"/>
        </w:rPr>
        <w:t>n</w:t>
      </w:r>
      <w:r w:rsidR="003876BB" w:rsidRPr="00C4396F">
        <w:rPr>
          <w:rFonts w:ascii="Times New Roman" w:hAnsi="Times New Roman"/>
        </w:rPr>
        <w:t xml:space="preserve"> institution </w:t>
      </w:r>
      <w:r w:rsidR="000C4C46" w:rsidRPr="00C4396F">
        <w:rPr>
          <w:rFonts w:ascii="Times New Roman" w:hAnsi="Times New Roman"/>
        </w:rPr>
        <w:t xml:space="preserve">with assets of $100 million or less </w:t>
      </w:r>
      <w:r w:rsidR="003876BB" w:rsidRPr="00C4396F">
        <w:rPr>
          <w:rFonts w:ascii="Times New Roman" w:hAnsi="Times New Roman"/>
        </w:rPr>
        <w:t xml:space="preserve">that provides EFT services </w:t>
      </w:r>
      <w:r w:rsidR="002263B7" w:rsidRPr="00C4396F">
        <w:rPr>
          <w:rFonts w:ascii="Times New Roman" w:hAnsi="Times New Roman"/>
        </w:rPr>
        <w:t xml:space="preserve">other than </w:t>
      </w:r>
      <w:r w:rsidR="003876BB" w:rsidRPr="00C4396F">
        <w:rPr>
          <w:rFonts w:ascii="Times New Roman" w:hAnsi="Times New Roman"/>
        </w:rPr>
        <w:t>preauthorized transfers must</w:t>
      </w:r>
      <w:r w:rsidR="00226FC7" w:rsidRPr="00C4396F">
        <w:rPr>
          <w:rFonts w:ascii="Times New Roman" w:hAnsi="Times New Roman"/>
        </w:rPr>
        <w:t>, however,</w:t>
      </w:r>
      <w:r w:rsidR="003876BB" w:rsidRPr="00C4396F">
        <w:rPr>
          <w:rFonts w:ascii="Times New Roman" w:hAnsi="Times New Roman"/>
        </w:rPr>
        <w:t xml:space="preserve"> comply with the regulation for those other services.</w:t>
      </w:r>
    </w:p>
    <w:p w:rsidR="00EC3CCD" w:rsidRDefault="00EC3CCD" w:rsidP="00235F20">
      <w:pPr>
        <w:tabs>
          <w:tab w:val="left" w:pos="360"/>
        </w:tabs>
        <w:ind w:firstLine="360"/>
        <w:rPr>
          <w:rFonts w:ascii="Times New Roman" w:hAnsi="Times New Roman"/>
        </w:rPr>
      </w:pPr>
    </w:p>
    <w:p w:rsidR="00A82DC3" w:rsidRPr="0072673E" w:rsidRDefault="00A82DC3" w:rsidP="00A82DC3">
      <w:pPr>
        <w:tabs>
          <w:tab w:val="left" w:pos="360"/>
        </w:tabs>
        <w:rPr>
          <w:rFonts w:ascii="Times New Roman" w:hAnsi="Times New Roman"/>
        </w:rPr>
      </w:pPr>
      <w:r>
        <w:rPr>
          <w:rFonts w:ascii="Times New Roman" w:hAnsi="Times New Roman"/>
        </w:rPr>
        <w:tab/>
      </w:r>
      <w:r w:rsidR="00601A6A" w:rsidRPr="0072673E">
        <w:rPr>
          <w:rFonts w:ascii="Times New Roman" w:hAnsi="Times New Roman"/>
        </w:rPr>
        <w:t>Between January 2006 and November 2007 the Board published several final rules effecting the Regulation E requirements, most notably:</w:t>
      </w:r>
    </w:p>
    <w:p w:rsidR="00A82DC3" w:rsidRPr="0072673E" w:rsidRDefault="00A82DC3" w:rsidP="0072673E">
      <w:pPr>
        <w:pStyle w:val="ListParagraph"/>
        <w:numPr>
          <w:ilvl w:val="0"/>
          <w:numId w:val="26"/>
        </w:numPr>
      </w:pPr>
      <w:r w:rsidRPr="0072673E">
        <w:t>A</w:t>
      </w:r>
      <w:r w:rsidR="00C41C0F" w:rsidRPr="0072673E">
        <w:t xml:space="preserve"> January </w:t>
      </w:r>
      <w:r w:rsidR="00235F20" w:rsidRPr="0072673E">
        <w:t>2006</w:t>
      </w:r>
      <w:r w:rsidR="002263B7" w:rsidRPr="0072673E">
        <w:rPr>
          <w:rStyle w:val="FootnoteReference"/>
          <w:vertAlign w:val="superscript"/>
        </w:rPr>
        <w:footnoteReference w:id="4"/>
      </w:r>
      <w:r w:rsidR="00235F20" w:rsidRPr="0072673E">
        <w:t xml:space="preserve"> </w:t>
      </w:r>
      <w:r w:rsidRPr="0072673E">
        <w:t>final</w:t>
      </w:r>
      <w:r w:rsidR="00235F20" w:rsidRPr="0072673E">
        <w:t xml:space="preserve"> rule clarify</w:t>
      </w:r>
      <w:r w:rsidRPr="0072673E">
        <w:t>ing</w:t>
      </w:r>
      <w:r w:rsidR="00235F20" w:rsidRPr="0072673E">
        <w:t xml:space="preserve"> the responsibilities of parties involved</w:t>
      </w:r>
      <w:r w:rsidR="002263B7" w:rsidRPr="0072673E">
        <w:t xml:space="preserve"> in ECK</w:t>
      </w:r>
      <w:r w:rsidR="00235F20" w:rsidRPr="0072673E">
        <w:t xml:space="preserve"> transactions.  The final rule also clarified the disclosure obligations of ATM operators with respect to fees imposed by the ATM operator on a consumer.  </w:t>
      </w:r>
    </w:p>
    <w:p w:rsidR="00A82DC3" w:rsidRPr="0072673E" w:rsidRDefault="00A82DC3" w:rsidP="0072673E">
      <w:pPr>
        <w:pStyle w:val="ListParagraph"/>
        <w:numPr>
          <w:ilvl w:val="0"/>
          <w:numId w:val="26"/>
        </w:numPr>
        <w:tabs>
          <w:tab w:val="left" w:pos="360"/>
        </w:tabs>
      </w:pPr>
      <w:r w:rsidRPr="0072673E">
        <w:t>A</w:t>
      </w:r>
      <w:r w:rsidR="0072673E">
        <w:t>n</w:t>
      </w:r>
      <w:r w:rsidR="00986D5F" w:rsidRPr="0072673E">
        <w:t xml:space="preserve"> August 2006</w:t>
      </w:r>
      <w:r w:rsidR="002263B7" w:rsidRPr="0072673E">
        <w:rPr>
          <w:rStyle w:val="FootnoteReference"/>
          <w:vertAlign w:val="superscript"/>
        </w:rPr>
        <w:footnoteReference w:id="5"/>
      </w:r>
      <w:r w:rsidR="00986D5F" w:rsidRPr="0072673E">
        <w:t xml:space="preserve"> </w:t>
      </w:r>
      <w:r w:rsidRPr="0072673E">
        <w:t xml:space="preserve">final rule announcing that </w:t>
      </w:r>
      <w:r w:rsidR="00986D5F" w:rsidRPr="0072673E">
        <w:t xml:space="preserve">payroll card accounts became subject to Regulation E.  The Board’s rule </w:t>
      </w:r>
      <w:r w:rsidR="00C160D3" w:rsidRPr="0072673E">
        <w:t>granted</w:t>
      </w:r>
      <w:r w:rsidR="00986D5F" w:rsidRPr="0072673E">
        <w:t xml:space="preserve"> flexibility to financial institutions that must provide account transaction information to payroll card users. </w:t>
      </w:r>
      <w:r w:rsidR="00235F20" w:rsidRPr="0072673E">
        <w:t xml:space="preserve">   </w:t>
      </w:r>
    </w:p>
    <w:p w:rsidR="00F90B0C" w:rsidRPr="0072673E" w:rsidRDefault="00A82DC3" w:rsidP="0072673E">
      <w:pPr>
        <w:pStyle w:val="ListParagraph"/>
        <w:numPr>
          <w:ilvl w:val="0"/>
          <w:numId w:val="26"/>
        </w:numPr>
        <w:tabs>
          <w:tab w:val="left" w:pos="360"/>
        </w:tabs>
      </w:pPr>
      <w:r w:rsidRPr="0072673E">
        <w:t xml:space="preserve">A </w:t>
      </w:r>
      <w:r w:rsidR="00986D5F" w:rsidRPr="0072673E">
        <w:t>December 200</w:t>
      </w:r>
      <w:r w:rsidR="001946FA" w:rsidRPr="0072673E">
        <w:t>6</w:t>
      </w:r>
      <w:r w:rsidR="002263B7" w:rsidRPr="0072673E">
        <w:rPr>
          <w:rStyle w:val="FootnoteReference"/>
          <w:vertAlign w:val="superscript"/>
        </w:rPr>
        <w:footnoteReference w:id="6"/>
      </w:r>
      <w:r w:rsidR="00986D5F" w:rsidRPr="0072673E">
        <w:t xml:space="preserve"> final rule regarding consumer authorization requirements when a person, such as a merchant, seeks to electronically collect a fee for checks or other items returned unpaid.    </w:t>
      </w:r>
    </w:p>
    <w:p w:rsidR="00D9731E" w:rsidRPr="0072673E" w:rsidRDefault="00A82DC3" w:rsidP="0072673E">
      <w:pPr>
        <w:pStyle w:val="ListParagraph"/>
        <w:numPr>
          <w:ilvl w:val="0"/>
          <w:numId w:val="26"/>
        </w:numPr>
        <w:tabs>
          <w:tab w:val="left" w:pos="360"/>
        </w:tabs>
      </w:pPr>
      <w:r w:rsidRPr="0072673E">
        <w:t xml:space="preserve">A </w:t>
      </w:r>
      <w:r w:rsidR="00C52AD4" w:rsidRPr="0072673E">
        <w:t>July 2007</w:t>
      </w:r>
      <w:r w:rsidR="00775291" w:rsidRPr="0072673E">
        <w:rPr>
          <w:rStyle w:val="FootnoteReference"/>
          <w:vertAlign w:val="superscript"/>
        </w:rPr>
        <w:footnoteReference w:id="7"/>
      </w:r>
      <w:r w:rsidR="00C52AD4" w:rsidRPr="0072673E">
        <w:t xml:space="preserve"> </w:t>
      </w:r>
      <w:r w:rsidRPr="0072673E">
        <w:t xml:space="preserve">final rule </w:t>
      </w:r>
      <w:r w:rsidR="00775291" w:rsidRPr="0072673E">
        <w:t>eliminat</w:t>
      </w:r>
      <w:r w:rsidRPr="0072673E">
        <w:t>ing</w:t>
      </w:r>
      <w:r w:rsidR="00775291" w:rsidRPr="0072673E">
        <w:t xml:space="preserve"> the requirement to provide a receipt to consumers at point-of-sale (</w:t>
      </w:r>
      <w:smartTag w:uri="urn:schemas-microsoft-com:office:smarttags" w:element="stockticker">
        <w:r w:rsidR="00775291" w:rsidRPr="0072673E">
          <w:t>POS</w:t>
        </w:r>
      </w:smartTag>
      <w:r w:rsidR="00775291" w:rsidRPr="0072673E">
        <w:t>) and other electronic terminals for transactions of $15 or less</w:t>
      </w:r>
      <w:r w:rsidRPr="0072673E">
        <w:t xml:space="preserve">.  </w:t>
      </w:r>
    </w:p>
    <w:p w:rsidR="00D9731E" w:rsidRPr="0072673E" w:rsidRDefault="00A82DC3" w:rsidP="0072673E">
      <w:pPr>
        <w:pStyle w:val="ListParagraph"/>
        <w:numPr>
          <w:ilvl w:val="0"/>
          <w:numId w:val="26"/>
        </w:numPr>
        <w:tabs>
          <w:tab w:val="left" w:pos="360"/>
        </w:tabs>
      </w:pPr>
      <w:r w:rsidRPr="0072673E">
        <w:t xml:space="preserve">A </w:t>
      </w:r>
      <w:r w:rsidR="00D9731E" w:rsidRPr="0072673E">
        <w:t>November 2007</w:t>
      </w:r>
      <w:r w:rsidR="00226FC7" w:rsidRPr="0072673E">
        <w:rPr>
          <w:rStyle w:val="FootnoteReference"/>
          <w:vertAlign w:val="superscript"/>
        </w:rPr>
        <w:footnoteReference w:id="8"/>
      </w:r>
      <w:r w:rsidR="00D9731E" w:rsidRPr="0072673E">
        <w:t xml:space="preserve"> final rule </w:t>
      </w:r>
      <w:r w:rsidR="0072673E">
        <w:t>addressing</w:t>
      </w:r>
      <w:r w:rsidR="00D9731E" w:rsidRPr="0072673E">
        <w:t xml:space="preserve"> the delivery of electronic disclosures, consistent with the requirements of the Electronic Signatures in Global and Nat</w:t>
      </w:r>
      <w:r w:rsidR="0072673E">
        <w:t>ional Commerce Act (E-Sign Act)</w:t>
      </w:r>
      <w:r w:rsidR="006205ED" w:rsidRPr="0072673E">
        <w:t>.</w:t>
      </w:r>
      <w:r w:rsidR="0007384E" w:rsidRPr="0072673E">
        <w:t xml:space="preserve">  </w:t>
      </w:r>
    </w:p>
    <w:p w:rsidR="0032488B" w:rsidRPr="00C4396F" w:rsidRDefault="0032488B" w:rsidP="00D9731E">
      <w:pPr>
        <w:widowControl/>
        <w:tabs>
          <w:tab w:val="left" w:pos="360"/>
        </w:tabs>
        <w:rPr>
          <w:rFonts w:ascii="Times New Roman" w:hAnsi="Times New Roman"/>
        </w:rPr>
      </w:pPr>
    </w:p>
    <w:p w:rsidR="007C36DF" w:rsidRDefault="00B831E2" w:rsidP="007C36DF">
      <w:pPr>
        <w:widowControl/>
        <w:tabs>
          <w:tab w:val="left" w:pos="360"/>
        </w:tabs>
        <w:rPr>
          <w:rFonts w:ascii="Times New Roman" w:hAnsi="Times New Roman"/>
        </w:rPr>
      </w:pPr>
      <w:r w:rsidRPr="00C4396F">
        <w:rPr>
          <w:rFonts w:ascii="Times New Roman" w:hAnsi="Times New Roman"/>
        </w:rPr>
        <w:tab/>
        <w:t>In November 2009,</w:t>
      </w:r>
      <w:r w:rsidRPr="00C4396F">
        <w:rPr>
          <w:rStyle w:val="FootnoteReference"/>
          <w:rFonts w:ascii="Times New Roman" w:hAnsi="Times New Roman"/>
          <w:vertAlign w:val="superscript"/>
        </w:rPr>
        <w:footnoteReference w:id="9"/>
      </w:r>
      <w:r w:rsidRPr="00C4396F">
        <w:rPr>
          <w:rFonts w:ascii="Times New Roman" w:hAnsi="Times New Roman"/>
          <w:vertAlign w:val="superscript"/>
        </w:rPr>
        <w:t xml:space="preserve"> </w:t>
      </w:r>
      <w:r w:rsidRPr="00C4396F">
        <w:rPr>
          <w:rFonts w:ascii="Times New Roman" w:hAnsi="Times New Roman"/>
        </w:rPr>
        <w:t xml:space="preserve">a notice of final rulemaking was published in the </w:t>
      </w:r>
      <w:r w:rsidRPr="00C4396F">
        <w:rPr>
          <w:rFonts w:ascii="Times New Roman" w:hAnsi="Times New Roman"/>
          <w:i/>
        </w:rPr>
        <w:t>Federal Register</w:t>
      </w:r>
      <w:r w:rsidRPr="00C4396F">
        <w:rPr>
          <w:rFonts w:ascii="Times New Roman" w:hAnsi="Times New Roman"/>
        </w:rPr>
        <w:t xml:space="preserve">; the rule </w:t>
      </w:r>
      <w:r w:rsidR="0032488B" w:rsidRPr="00C4396F">
        <w:rPr>
          <w:rFonts w:ascii="Times New Roman" w:hAnsi="Times New Roman"/>
        </w:rPr>
        <w:t>was</w:t>
      </w:r>
      <w:r w:rsidRPr="00C4396F">
        <w:rPr>
          <w:rFonts w:ascii="Times New Roman" w:hAnsi="Times New Roman"/>
        </w:rPr>
        <w:t xml:space="preserve"> effective January 19, 2010, with a mandatory compliance date of July 1, 2010.  The final rule limits the ability of a financial institution to assess an overdraft fee for paying ATM and one-time debit card transactions that overdraw a consumer’s account, unless the consumer affirmatively consents, or opts in, to the institution’s payment of overdrafts for these transactions.</w:t>
      </w:r>
    </w:p>
    <w:p w:rsidR="007C36DF" w:rsidRDefault="007C36DF" w:rsidP="007C36DF">
      <w:pPr>
        <w:widowControl/>
        <w:tabs>
          <w:tab w:val="left" w:pos="360"/>
        </w:tabs>
        <w:rPr>
          <w:rFonts w:ascii="Times New Roman" w:hAnsi="Times New Roman"/>
        </w:rPr>
      </w:pPr>
    </w:p>
    <w:p w:rsidR="0032488B" w:rsidRPr="00C4396F" w:rsidRDefault="007C36DF" w:rsidP="007C36DF">
      <w:pPr>
        <w:widowControl/>
        <w:tabs>
          <w:tab w:val="left" w:pos="360"/>
        </w:tabs>
        <w:rPr>
          <w:rFonts w:ascii="Times New Roman" w:hAnsi="Times New Roman"/>
        </w:rPr>
      </w:pPr>
      <w:r>
        <w:rPr>
          <w:rFonts w:ascii="Times New Roman" w:hAnsi="Times New Roman"/>
        </w:rPr>
        <w:tab/>
      </w:r>
      <w:r w:rsidR="0032488B" w:rsidRPr="00C4396F">
        <w:rPr>
          <w:rFonts w:ascii="Times New Roman" w:hAnsi="Times New Roman"/>
        </w:rPr>
        <w:t>In April 2010,</w:t>
      </w:r>
      <w:r w:rsidR="0032488B" w:rsidRPr="00C4396F">
        <w:rPr>
          <w:rStyle w:val="FootnoteReference"/>
          <w:rFonts w:ascii="Times New Roman" w:hAnsi="Times New Roman"/>
          <w:vertAlign w:val="superscript"/>
        </w:rPr>
        <w:footnoteReference w:id="10"/>
      </w:r>
      <w:r w:rsidR="0032488B" w:rsidRPr="00C4396F">
        <w:rPr>
          <w:rFonts w:ascii="Times New Roman" w:hAnsi="Times New Roman"/>
          <w:vertAlign w:val="superscript"/>
        </w:rPr>
        <w:t xml:space="preserve"> </w:t>
      </w:r>
      <w:r w:rsidR="0032488B" w:rsidRPr="00C4396F">
        <w:rPr>
          <w:rFonts w:ascii="Times New Roman" w:hAnsi="Times New Roman"/>
        </w:rPr>
        <w:t xml:space="preserve">a notice of final rulemaking was published in the </w:t>
      </w:r>
      <w:r w:rsidR="0032488B" w:rsidRPr="00C4396F">
        <w:rPr>
          <w:rFonts w:ascii="Times New Roman" w:hAnsi="Times New Roman"/>
          <w:i/>
        </w:rPr>
        <w:t>Federal Register</w:t>
      </w:r>
      <w:r w:rsidR="0032488B" w:rsidRPr="00C4396F">
        <w:rPr>
          <w:rFonts w:ascii="Times New Roman" w:hAnsi="Times New Roman"/>
        </w:rPr>
        <w:t>; the rule was effective August 22, 2010.  The final rule restricts a person’s ability to impose dormancy, inactivity, or service fees for certain prepaid products, primarily gift cards. The final rule also, among other things, generally prohibits the sale or issuance of such products if they have an expiration date of less than five years. The amendments implement statutory requirements set forth in the Credit Card Accountability Responsibility and Disclosure Act of</w:t>
      </w:r>
    </w:p>
    <w:p w:rsidR="007C36DF" w:rsidRDefault="0032488B" w:rsidP="00D9731E">
      <w:pPr>
        <w:widowControl/>
        <w:tabs>
          <w:tab w:val="left" w:pos="360"/>
        </w:tabs>
        <w:rPr>
          <w:rFonts w:ascii="Times New Roman" w:hAnsi="Times New Roman"/>
        </w:rPr>
      </w:pPr>
      <w:r w:rsidRPr="00C4396F">
        <w:rPr>
          <w:rFonts w:ascii="Times New Roman" w:hAnsi="Times New Roman"/>
        </w:rPr>
        <w:t>2009.</w:t>
      </w:r>
    </w:p>
    <w:p w:rsidR="007C36DF" w:rsidRDefault="007C36DF" w:rsidP="00D9731E">
      <w:pPr>
        <w:widowControl/>
        <w:tabs>
          <w:tab w:val="left" w:pos="360"/>
        </w:tabs>
        <w:rPr>
          <w:rFonts w:ascii="Times New Roman" w:hAnsi="Times New Roman"/>
        </w:rPr>
      </w:pPr>
    </w:p>
    <w:p w:rsidR="00B703F9" w:rsidRPr="002D40C7" w:rsidRDefault="007C36DF" w:rsidP="00D9731E">
      <w:pPr>
        <w:widowControl/>
        <w:tabs>
          <w:tab w:val="left" w:pos="360"/>
        </w:tabs>
        <w:rPr>
          <w:rFonts w:ascii="Times New Roman" w:hAnsi="Times New Roman"/>
        </w:rPr>
      </w:pPr>
      <w:r w:rsidRPr="002D40C7">
        <w:rPr>
          <w:rFonts w:ascii="Times New Roman" w:hAnsi="Times New Roman"/>
        </w:rPr>
        <w:tab/>
      </w:r>
      <w:r w:rsidR="00B703F9" w:rsidRPr="002D40C7">
        <w:rPr>
          <w:rFonts w:ascii="Times New Roman" w:hAnsi="Times New Roman"/>
        </w:rPr>
        <w:t xml:space="preserve">On October 29, 2010, a notice of final rulemaking was published in the </w:t>
      </w:r>
      <w:r w:rsidR="00B703F9" w:rsidRPr="002D40C7">
        <w:rPr>
          <w:rFonts w:ascii="Times New Roman" w:hAnsi="Times New Roman"/>
          <w:i/>
        </w:rPr>
        <w:t>Federal Register</w:t>
      </w:r>
      <w:r w:rsidR="00B703F9" w:rsidRPr="002D40C7">
        <w:rPr>
          <w:rFonts w:ascii="Times New Roman" w:hAnsi="Times New Roman"/>
        </w:rPr>
        <w:t xml:space="preserve"> for public comment (75 FR 66644).  The amendments modified the effective date of certain disclosure requirements in the gift card provisions of the Credit Card Accountability Responsibility and Disclosure Act of 2009.  The final rule was effective November 29, 2010.</w:t>
      </w:r>
    </w:p>
    <w:p w:rsidR="00B703F9" w:rsidRPr="00C4396F" w:rsidRDefault="00B703F9" w:rsidP="00D9731E">
      <w:pPr>
        <w:widowControl/>
        <w:tabs>
          <w:tab w:val="left" w:pos="360"/>
        </w:tabs>
        <w:rPr>
          <w:rFonts w:ascii="Times New Roman" w:hAnsi="Times New Roman"/>
        </w:rPr>
      </w:pPr>
    </w:p>
    <w:p w:rsidR="003876BB" w:rsidRPr="00C4396F" w:rsidRDefault="003876BB" w:rsidP="00282F04">
      <w:pPr>
        <w:pStyle w:val="Heading7"/>
        <w:jc w:val="left"/>
        <w:rPr>
          <w:color w:val="auto"/>
        </w:rPr>
      </w:pPr>
      <w:r w:rsidRPr="00C4396F">
        <w:rPr>
          <w:color w:val="auto"/>
        </w:rPr>
        <w:t>Description of Information Collection</w:t>
      </w:r>
    </w:p>
    <w:p w:rsidR="003876BB" w:rsidRPr="00C4396F" w:rsidRDefault="003876BB" w:rsidP="00282F04">
      <w:pPr>
        <w:rPr>
          <w:rFonts w:ascii="Times New Roman" w:hAnsi="Times New Roman"/>
        </w:rPr>
      </w:pPr>
    </w:p>
    <w:p w:rsidR="00954E94" w:rsidRDefault="00FA7C07" w:rsidP="00836252">
      <w:pPr>
        <w:pStyle w:val="BodyText2"/>
        <w:tabs>
          <w:tab w:val="left" w:pos="0"/>
          <w:tab w:val="left" w:pos="360"/>
        </w:tabs>
        <w:rPr>
          <w:b/>
        </w:rPr>
      </w:pPr>
      <w:r w:rsidRPr="00C4396F">
        <w:rPr>
          <w:color w:val="auto"/>
        </w:rPr>
        <w:tab/>
      </w:r>
      <w:r w:rsidR="003876BB" w:rsidRPr="00C4396F">
        <w:rPr>
          <w:color w:val="auto"/>
        </w:rPr>
        <w:t xml:space="preserve">The disclosure requirements associated with Regulation E are described below.  No other federal law mandates these disclosures, although some states may have similar requirements. </w:t>
      </w:r>
    </w:p>
    <w:p w:rsidR="00935710" w:rsidRDefault="00935710" w:rsidP="00935710">
      <w:pPr>
        <w:widowControl/>
        <w:autoSpaceDE/>
        <w:autoSpaceDN/>
        <w:adjustRightInd/>
        <w:rPr>
          <w:rFonts w:ascii="Times New Roman" w:hAnsi="Times New Roman"/>
          <w:b/>
        </w:rPr>
      </w:pPr>
    </w:p>
    <w:p w:rsidR="00D77737" w:rsidRPr="00C4396F" w:rsidRDefault="00843A27" w:rsidP="00935710">
      <w:pPr>
        <w:widowControl/>
        <w:autoSpaceDE/>
        <w:autoSpaceDN/>
        <w:adjustRightInd/>
        <w:ind w:firstLine="720"/>
        <w:rPr>
          <w:rFonts w:ascii="Times New Roman" w:hAnsi="Times New Roman"/>
          <w:b/>
        </w:rPr>
      </w:pPr>
      <w:r w:rsidRPr="00C4396F">
        <w:rPr>
          <w:rFonts w:ascii="Times New Roman" w:hAnsi="Times New Roman"/>
          <w:b/>
        </w:rPr>
        <w:t>E</w:t>
      </w:r>
      <w:r w:rsidR="00D77737" w:rsidRPr="00C4396F">
        <w:rPr>
          <w:rFonts w:ascii="Times New Roman" w:hAnsi="Times New Roman"/>
          <w:b/>
        </w:rPr>
        <w:t xml:space="preserve">lectronic </w:t>
      </w:r>
      <w:r w:rsidRPr="00C4396F">
        <w:rPr>
          <w:rFonts w:ascii="Times New Roman" w:hAnsi="Times New Roman"/>
          <w:b/>
        </w:rPr>
        <w:t>C</w:t>
      </w:r>
      <w:r w:rsidR="00D77737" w:rsidRPr="00C4396F">
        <w:rPr>
          <w:rFonts w:ascii="Times New Roman" w:hAnsi="Times New Roman"/>
          <w:b/>
        </w:rPr>
        <w:t>ommunication</w:t>
      </w:r>
    </w:p>
    <w:p w:rsidR="001E754B" w:rsidRDefault="00D77737" w:rsidP="00A703C1">
      <w:pPr>
        <w:pStyle w:val="BodyText2"/>
        <w:widowControl/>
        <w:tabs>
          <w:tab w:val="left" w:pos="360"/>
        </w:tabs>
        <w:rPr>
          <w:color w:val="auto"/>
        </w:rPr>
      </w:pPr>
      <w:r w:rsidRPr="00C4396F">
        <w:rPr>
          <w:color w:val="auto"/>
        </w:rPr>
        <w:tab/>
      </w:r>
    </w:p>
    <w:p w:rsidR="00D77737" w:rsidRPr="00C4396F" w:rsidRDefault="001E754B" w:rsidP="00A703C1">
      <w:pPr>
        <w:pStyle w:val="BodyText2"/>
        <w:widowControl/>
        <w:tabs>
          <w:tab w:val="left" w:pos="360"/>
        </w:tabs>
        <w:rPr>
          <w:color w:val="auto"/>
        </w:rPr>
      </w:pPr>
      <w:r>
        <w:rPr>
          <w:color w:val="auto"/>
        </w:rPr>
        <w:tab/>
      </w:r>
      <w:r w:rsidR="00D77737" w:rsidRPr="00C4396F">
        <w:rPr>
          <w:color w:val="auto"/>
        </w:rPr>
        <w:t xml:space="preserve">A consumer may agree to </w:t>
      </w:r>
      <w:r w:rsidR="002F7548" w:rsidRPr="00C4396F">
        <w:rPr>
          <w:color w:val="auto"/>
        </w:rPr>
        <w:t>receive fro</w:t>
      </w:r>
      <w:r w:rsidR="00F41C29" w:rsidRPr="00C4396F">
        <w:rPr>
          <w:color w:val="auto"/>
        </w:rPr>
        <w:t>m a financial institution in</w:t>
      </w:r>
      <w:r w:rsidR="00D77737" w:rsidRPr="00C4396F">
        <w:rPr>
          <w:color w:val="auto"/>
        </w:rPr>
        <w:t xml:space="preserve"> electronic </w:t>
      </w:r>
      <w:r w:rsidR="00F41C29" w:rsidRPr="00C4396F">
        <w:rPr>
          <w:color w:val="auto"/>
        </w:rPr>
        <w:t xml:space="preserve">form </w:t>
      </w:r>
      <w:r w:rsidR="00D77737" w:rsidRPr="00C4396F">
        <w:rPr>
          <w:color w:val="auto"/>
        </w:rPr>
        <w:t xml:space="preserve">any disclosure that Regulation E requires be provided in writing, </w:t>
      </w:r>
      <w:r w:rsidR="006205ED" w:rsidRPr="00C4396F">
        <w:rPr>
          <w:color w:val="auto"/>
        </w:rPr>
        <w:t xml:space="preserve">subject to the consent </w:t>
      </w:r>
      <w:r w:rsidR="005221F8" w:rsidRPr="00C4396F">
        <w:rPr>
          <w:color w:val="auto"/>
        </w:rPr>
        <w:t xml:space="preserve">and other </w:t>
      </w:r>
      <w:r w:rsidR="006205ED" w:rsidRPr="00C4396F">
        <w:rPr>
          <w:color w:val="auto"/>
        </w:rPr>
        <w:t xml:space="preserve">requirements of the E-Sign Act, </w:t>
      </w:r>
      <w:r w:rsidR="00D77737" w:rsidRPr="00C4396F">
        <w:rPr>
          <w:color w:val="auto"/>
        </w:rPr>
        <w:t xml:space="preserve">so long as the disclosure complies with the regulation in all other respects.  In this memorandum, any reference to a mandatory written disclosure does not exclude the possibility that </w:t>
      </w:r>
      <w:r w:rsidR="00F41C29" w:rsidRPr="00C4396F">
        <w:rPr>
          <w:color w:val="auto"/>
        </w:rPr>
        <w:t>the</w:t>
      </w:r>
      <w:r w:rsidR="00D77737" w:rsidRPr="00C4396F">
        <w:rPr>
          <w:color w:val="auto"/>
        </w:rPr>
        <w:t xml:space="preserve"> consumer </w:t>
      </w:r>
      <w:r w:rsidR="00F41C29" w:rsidRPr="00C4396F">
        <w:rPr>
          <w:color w:val="auto"/>
        </w:rPr>
        <w:t xml:space="preserve">may </w:t>
      </w:r>
      <w:r w:rsidR="00D77737" w:rsidRPr="00C4396F">
        <w:rPr>
          <w:color w:val="auto"/>
        </w:rPr>
        <w:t xml:space="preserve">agree to </w:t>
      </w:r>
      <w:r w:rsidR="00F41C29" w:rsidRPr="00C4396F">
        <w:rPr>
          <w:color w:val="auto"/>
        </w:rPr>
        <w:t>receive the disclosure in</w:t>
      </w:r>
      <w:r w:rsidR="00D77737" w:rsidRPr="00C4396F">
        <w:rPr>
          <w:color w:val="auto"/>
        </w:rPr>
        <w:t xml:space="preserve"> electronic </w:t>
      </w:r>
      <w:r w:rsidR="00F41C29" w:rsidRPr="00C4396F">
        <w:rPr>
          <w:color w:val="auto"/>
        </w:rPr>
        <w:t>form</w:t>
      </w:r>
      <w:r w:rsidR="00D77737" w:rsidRPr="00C4396F">
        <w:rPr>
          <w:color w:val="auto"/>
        </w:rPr>
        <w:t>.</w:t>
      </w:r>
    </w:p>
    <w:p w:rsidR="00F517BA" w:rsidRDefault="00F517BA" w:rsidP="00F517BA">
      <w:pPr>
        <w:ind w:left="360"/>
        <w:rPr>
          <w:rFonts w:ascii="Times New Roman" w:hAnsi="Times New Roman"/>
          <w:b/>
        </w:rPr>
      </w:pPr>
    </w:p>
    <w:p w:rsidR="00935710" w:rsidRDefault="00935710">
      <w:pPr>
        <w:widowControl/>
        <w:autoSpaceDE/>
        <w:autoSpaceDN/>
        <w:adjustRightInd/>
        <w:rPr>
          <w:rFonts w:ascii="Times New Roman" w:hAnsi="Times New Roman"/>
          <w:b/>
        </w:rPr>
      </w:pPr>
      <w:r>
        <w:rPr>
          <w:rFonts w:ascii="Times New Roman" w:hAnsi="Times New Roman"/>
          <w:b/>
        </w:rPr>
        <w:br w:type="page"/>
      </w:r>
    </w:p>
    <w:p w:rsidR="00F517BA" w:rsidRPr="00C4396F" w:rsidRDefault="00F517BA" w:rsidP="00F517BA">
      <w:pPr>
        <w:ind w:left="360"/>
        <w:rPr>
          <w:rFonts w:ascii="Times New Roman" w:hAnsi="Times New Roman"/>
          <w:b/>
        </w:rPr>
      </w:pPr>
      <w:r w:rsidRPr="00C4396F">
        <w:rPr>
          <w:rFonts w:ascii="Times New Roman" w:hAnsi="Times New Roman"/>
          <w:b/>
        </w:rPr>
        <w:lastRenderedPageBreak/>
        <w:t>Disclosures Related to ECK Transactions and Collecting Returned Item Fees Electronically (Sections 205.3(a) and (b)(2))</w:t>
      </w:r>
      <w:r w:rsidRPr="00F517BA">
        <w:rPr>
          <w:rStyle w:val="FootnoteReference"/>
          <w:rFonts w:ascii="Times New Roman" w:hAnsi="Times New Roman"/>
          <w:b/>
          <w:vertAlign w:val="superscript"/>
        </w:rPr>
        <w:footnoteReference w:id="11"/>
      </w:r>
      <w:r w:rsidRPr="00F517BA">
        <w:rPr>
          <w:rFonts w:ascii="Times New Roman" w:hAnsi="Times New Roman"/>
          <w:b/>
          <w:vertAlign w:val="superscript"/>
        </w:rPr>
        <w:t xml:space="preserve"> </w:t>
      </w:r>
    </w:p>
    <w:p w:rsidR="00F517BA" w:rsidRPr="00C4396F" w:rsidRDefault="00F517BA" w:rsidP="00F517BA">
      <w:pPr>
        <w:rPr>
          <w:rFonts w:ascii="Times New Roman" w:hAnsi="Times New Roman"/>
        </w:rPr>
      </w:pPr>
    </w:p>
    <w:p w:rsidR="00F517BA" w:rsidRPr="00C4396F" w:rsidRDefault="00F517BA" w:rsidP="00F517BA">
      <w:pPr>
        <w:pStyle w:val="BodyText2"/>
        <w:tabs>
          <w:tab w:val="left" w:pos="360"/>
        </w:tabs>
        <w:rPr>
          <w:color w:val="auto"/>
        </w:rPr>
      </w:pPr>
      <w:r w:rsidRPr="00C4396F">
        <w:rPr>
          <w:color w:val="auto"/>
        </w:rPr>
        <w:tab/>
        <w:t xml:space="preserve">A merchant or other payee who initiates </w:t>
      </w:r>
      <w:proofErr w:type="spellStart"/>
      <w:r w:rsidRPr="00C4396F">
        <w:rPr>
          <w:color w:val="auto"/>
        </w:rPr>
        <w:t>an</w:t>
      </w:r>
      <w:proofErr w:type="spellEnd"/>
      <w:r w:rsidRPr="00C4396F">
        <w:rPr>
          <w:color w:val="auto"/>
        </w:rPr>
        <w:t xml:space="preserve"> ECK transaction must provide a notice that the transaction will or may be processed as an EFT.  For point-of-sale transfers, the notice must be posted in a prominent and conspicuous location, and a copy of the notice must be provided to the consumer at the time of the transaction.  A person initiating an EFT to collect a fee for the return of an EFT or a check that is unpaid must provide notice to the consumer stating that the person may electronically collect the fee and the dollar amount of the fee.  If the fee may vary due to the amount of the transaction or due to other factors, then an explanation of how the fee will be determined must be provided instead.  For returned item fees that may be collected electronically in connection with a point-of-sale transaction, the notice must be posted in a prominent and conspicuous location.  A copy of the notice must be provided to the consumer at the time of the transaction or mailed to the consumer’s address as soon as reasonably practicable after the person initiates the EFT to collect the fee.</w:t>
      </w:r>
    </w:p>
    <w:p w:rsidR="008B3A7C" w:rsidRPr="00C4396F" w:rsidRDefault="008B3A7C" w:rsidP="00FB72D6">
      <w:pPr>
        <w:tabs>
          <w:tab w:val="left" w:pos="360"/>
        </w:tabs>
        <w:ind w:firstLine="360"/>
        <w:rPr>
          <w:rFonts w:ascii="Times New Roman" w:hAnsi="Times New Roman"/>
          <w:b/>
        </w:rPr>
      </w:pPr>
    </w:p>
    <w:p w:rsidR="009F6CF0" w:rsidRPr="00C4396F" w:rsidRDefault="009F6CF0" w:rsidP="00FB72D6">
      <w:pPr>
        <w:tabs>
          <w:tab w:val="left" w:pos="360"/>
        </w:tabs>
        <w:ind w:firstLine="360"/>
        <w:rPr>
          <w:rFonts w:ascii="Times New Roman" w:hAnsi="Times New Roman"/>
        </w:rPr>
      </w:pPr>
      <w:r w:rsidRPr="00C4396F">
        <w:rPr>
          <w:rFonts w:ascii="Times New Roman" w:hAnsi="Times New Roman"/>
          <w:b/>
        </w:rPr>
        <w:t xml:space="preserve">Initial </w:t>
      </w:r>
      <w:r w:rsidR="00843A27" w:rsidRPr="00C4396F">
        <w:rPr>
          <w:rFonts w:ascii="Times New Roman" w:hAnsi="Times New Roman"/>
          <w:b/>
        </w:rPr>
        <w:t>D</w:t>
      </w:r>
      <w:r w:rsidRPr="00C4396F">
        <w:rPr>
          <w:rFonts w:ascii="Times New Roman" w:hAnsi="Times New Roman"/>
          <w:b/>
        </w:rPr>
        <w:t xml:space="preserve">isclosures and </w:t>
      </w:r>
      <w:r w:rsidR="00843A27" w:rsidRPr="00C4396F">
        <w:rPr>
          <w:rFonts w:ascii="Times New Roman" w:hAnsi="Times New Roman"/>
          <w:b/>
        </w:rPr>
        <w:t>C</w:t>
      </w:r>
      <w:r w:rsidRPr="00C4396F">
        <w:rPr>
          <w:rFonts w:ascii="Times New Roman" w:hAnsi="Times New Roman"/>
          <w:b/>
        </w:rPr>
        <w:t>hange-</w:t>
      </w:r>
      <w:r w:rsidR="00843A27" w:rsidRPr="00C4396F">
        <w:rPr>
          <w:rFonts w:ascii="Times New Roman" w:hAnsi="Times New Roman"/>
          <w:b/>
        </w:rPr>
        <w:t>I</w:t>
      </w:r>
      <w:r w:rsidRPr="00C4396F">
        <w:rPr>
          <w:rFonts w:ascii="Times New Roman" w:hAnsi="Times New Roman"/>
          <w:b/>
        </w:rPr>
        <w:t>n-</w:t>
      </w:r>
      <w:r w:rsidR="00843A27" w:rsidRPr="00C4396F">
        <w:rPr>
          <w:rFonts w:ascii="Times New Roman" w:hAnsi="Times New Roman"/>
          <w:b/>
        </w:rPr>
        <w:t>T</w:t>
      </w:r>
      <w:r w:rsidRPr="00C4396F">
        <w:rPr>
          <w:rFonts w:ascii="Times New Roman" w:hAnsi="Times New Roman"/>
          <w:b/>
        </w:rPr>
        <w:t>erms (</w:t>
      </w:r>
      <w:r w:rsidR="00843A27" w:rsidRPr="00C4396F">
        <w:rPr>
          <w:rFonts w:ascii="Times New Roman" w:hAnsi="Times New Roman"/>
          <w:b/>
        </w:rPr>
        <w:t>S</w:t>
      </w:r>
      <w:r w:rsidRPr="00C4396F">
        <w:rPr>
          <w:rFonts w:ascii="Times New Roman" w:hAnsi="Times New Roman"/>
          <w:b/>
        </w:rPr>
        <w:t>ections 205.7</w:t>
      </w:r>
      <w:r w:rsidR="007E0108" w:rsidRPr="00C4396F">
        <w:rPr>
          <w:rFonts w:ascii="Times New Roman" w:hAnsi="Times New Roman"/>
          <w:b/>
        </w:rPr>
        <w:t>(b),</w:t>
      </w:r>
      <w:r w:rsidRPr="00C4396F">
        <w:rPr>
          <w:rFonts w:ascii="Times New Roman" w:hAnsi="Times New Roman"/>
          <w:b/>
        </w:rPr>
        <w:t xml:space="preserve"> 205.8</w:t>
      </w:r>
      <w:r w:rsidR="007B7F3B" w:rsidRPr="00C4396F">
        <w:rPr>
          <w:rFonts w:ascii="Times New Roman" w:hAnsi="Times New Roman"/>
          <w:b/>
        </w:rPr>
        <w:t>(a)</w:t>
      </w:r>
      <w:r w:rsidR="007E0108" w:rsidRPr="00C4396F">
        <w:rPr>
          <w:rFonts w:ascii="Times New Roman" w:hAnsi="Times New Roman"/>
          <w:b/>
        </w:rPr>
        <w:t>, and 205.18(c)(1)</w:t>
      </w:r>
      <w:r w:rsidRPr="00C4396F">
        <w:rPr>
          <w:rFonts w:ascii="Times New Roman" w:hAnsi="Times New Roman"/>
          <w:b/>
        </w:rPr>
        <w:t>)</w:t>
      </w:r>
    </w:p>
    <w:p w:rsidR="009F6CF0" w:rsidRPr="00C4396F" w:rsidRDefault="009F6CF0" w:rsidP="00282F04">
      <w:pPr>
        <w:rPr>
          <w:rFonts w:ascii="Times New Roman" w:hAnsi="Times New Roman"/>
        </w:rPr>
      </w:pPr>
    </w:p>
    <w:p w:rsidR="002263B7" w:rsidRPr="00C4396F" w:rsidRDefault="009F6CF0" w:rsidP="002263B7">
      <w:pPr>
        <w:pStyle w:val="BodyText2"/>
        <w:tabs>
          <w:tab w:val="left" w:pos="360"/>
        </w:tabs>
        <w:rPr>
          <w:color w:val="auto"/>
        </w:rPr>
      </w:pPr>
      <w:r w:rsidRPr="00C4396F">
        <w:rPr>
          <w:color w:val="auto"/>
        </w:rPr>
        <w:tab/>
        <w:t>Institutions that offer EFT services must provide written disclosures to a consumer who contracts for those services.  The purpose of these disclosures is to provide consumers with information about the terms of the EFT services offered at the time of the initial agreement, and subsequently</w:t>
      </w:r>
      <w:r w:rsidR="00826560" w:rsidRPr="00C4396F">
        <w:rPr>
          <w:color w:val="auto"/>
        </w:rPr>
        <w:t>,</w:t>
      </w:r>
      <w:r w:rsidRPr="00C4396F">
        <w:rPr>
          <w:color w:val="auto"/>
        </w:rPr>
        <w:t xml:space="preserve"> in the event of changes in certain required disclosure terms.  </w:t>
      </w:r>
      <w:r w:rsidR="00826560" w:rsidRPr="00C4396F">
        <w:rPr>
          <w:color w:val="auto"/>
        </w:rPr>
        <w:t xml:space="preserve">Initial </w:t>
      </w:r>
      <w:r w:rsidRPr="00C4396F">
        <w:rPr>
          <w:color w:val="auto"/>
        </w:rPr>
        <w:t>disclosures include</w:t>
      </w:r>
      <w:r w:rsidR="00F41C29" w:rsidRPr="00C4396F">
        <w:rPr>
          <w:color w:val="auto"/>
        </w:rPr>
        <w:t>:</w:t>
      </w:r>
      <w:r w:rsidRPr="00C4396F">
        <w:rPr>
          <w:color w:val="auto"/>
        </w:rPr>
        <w:t xml:space="preserve"> information about the consumer</w:t>
      </w:r>
      <w:r w:rsidR="00826560" w:rsidRPr="00C4396F">
        <w:rPr>
          <w:color w:val="auto"/>
        </w:rPr>
        <w:t>’</w:t>
      </w:r>
      <w:r w:rsidRPr="00C4396F">
        <w:rPr>
          <w:color w:val="auto"/>
        </w:rPr>
        <w:t>s liability for unauthorized transfers</w:t>
      </w:r>
      <w:r w:rsidR="00F41C29" w:rsidRPr="00C4396F">
        <w:rPr>
          <w:color w:val="auto"/>
        </w:rPr>
        <w:t>;</w:t>
      </w:r>
      <w:r w:rsidRPr="00C4396F">
        <w:rPr>
          <w:color w:val="auto"/>
        </w:rPr>
        <w:t xml:space="preserve"> the type</w:t>
      </w:r>
      <w:r w:rsidR="00F41C29" w:rsidRPr="00C4396F">
        <w:rPr>
          <w:color w:val="auto"/>
        </w:rPr>
        <w:t>s</w:t>
      </w:r>
      <w:r w:rsidRPr="00C4396F">
        <w:rPr>
          <w:color w:val="auto"/>
        </w:rPr>
        <w:t xml:space="preserve"> of transfers available</w:t>
      </w:r>
      <w:r w:rsidR="00826560" w:rsidRPr="00C4396F">
        <w:rPr>
          <w:color w:val="auto"/>
        </w:rPr>
        <w:t xml:space="preserve"> and any limitations on the frequency and dollar amount of transfers</w:t>
      </w:r>
      <w:r w:rsidRPr="00C4396F">
        <w:rPr>
          <w:color w:val="auto"/>
        </w:rPr>
        <w:t xml:space="preserve">; </w:t>
      </w:r>
      <w:r w:rsidR="00826560" w:rsidRPr="00C4396F">
        <w:rPr>
          <w:color w:val="auto"/>
        </w:rPr>
        <w:t>any fees imposed by the financial institutions for EFTs or the right to make EFTs</w:t>
      </w:r>
      <w:r w:rsidR="00F41C29" w:rsidRPr="00C4396F">
        <w:rPr>
          <w:color w:val="auto"/>
        </w:rPr>
        <w:t>;</w:t>
      </w:r>
      <w:r w:rsidR="00826560" w:rsidRPr="00C4396F">
        <w:rPr>
          <w:color w:val="auto"/>
        </w:rPr>
        <w:t xml:space="preserve"> </w:t>
      </w:r>
      <w:r w:rsidRPr="00C4396F">
        <w:rPr>
          <w:color w:val="auto"/>
        </w:rPr>
        <w:t>a summary of the consumer</w:t>
      </w:r>
      <w:r w:rsidR="00826560" w:rsidRPr="00C4396F">
        <w:rPr>
          <w:color w:val="auto"/>
        </w:rPr>
        <w:t>’</w:t>
      </w:r>
      <w:r w:rsidRPr="00C4396F">
        <w:rPr>
          <w:color w:val="auto"/>
        </w:rPr>
        <w:t>s right to documentation of transfers and to stop payment of preauthorized transfers; and information on resolving errors on the account.</w:t>
      </w:r>
      <w:r w:rsidR="00826560" w:rsidRPr="00C4396F">
        <w:rPr>
          <w:color w:val="auto"/>
        </w:rPr>
        <w:t xml:space="preserve">  </w:t>
      </w:r>
      <w:r w:rsidRPr="00C4396F">
        <w:rPr>
          <w:color w:val="auto"/>
        </w:rPr>
        <w:t xml:space="preserve">The initial disclosures must be provided when a consumer contracts for EFT services or before the first electronic transfer involving the account is made.  </w:t>
      </w:r>
    </w:p>
    <w:p w:rsidR="002263B7" w:rsidRPr="00C4396F" w:rsidRDefault="002263B7" w:rsidP="002263B7">
      <w:pPr>
        <w:pStyle w:val="BodyText2"/>
        <w:tabs>
          <w:tab w:val="left" w:pos="360"/>
        </w:tabs>
        <w:rPr>
          <w:color w:val="auto"/>
        </w:rPr>
      </w:pPr>
    </w:p>
    <w:p w:rsidR="00981E05" w:rsidRPr="00C4396F" w:rsidRDefault="0010730C" w:rsidP="002263B7">
      <w:pPr>
        <w:pStyle w:val="BodyText2"/>
        <w:tabs>
          <w:tab w:val="left" w:pos="360"/>
        </w:tabs>
        <w:rPr>
          <w:color w:val="auto"/>
        </w:rPr>
      </w:pPr>
      <w:r w:rsidRPr="00C4396F">
        <w:rPr>
          <w:color w:val="auto"/>
        </w:rPr>
        <w:tab/>
      </w:r>
      <w:r w:rsidR="002263B7" w:rsidRPr="00C4396F">
        <w:rPr>
          <w:color w:val="auto"/>
        </w:rPr>
        <w:t>A change-in-terms notice is required if the change would result in increased liability for the consumer, increased fees, fewer types of available EFTs, or stricter limitations on the frequency or dollar amounts of transfers.  A</w:t>
      </w:r>
      <w:r w:rsidR="00826560" w:rsidRPr="00C4396F">
        <w:rPr>
          <w:color w:val="auto"/>
        </w:rPr>
        <w:t xml:space="preserve"> change-in-terms </w:t>
      </w:r>
      <w:r w:rsidR="009F6CF0" w:rsidRPr="00C4396F">
        <w:rPr>
          <w:color w:val="auto"/>
        </w:rPr>
        <w:t xml:space="preserve">notice must be </w:t>
      </w:r>
      <w:r w:rsidR="00826560" w:rsidRPr="00C4396F">
        <w:rPr>
          <w:color w:val="auto"/>
        </w:rPr>
        <w:t xml:space="preserve">mailed or delivered to the consumer at least 21 days before the effective date of the change in term or condition. </w:t>
      </w:r>
    </w:p>
    <w:p w:rsidR="00C75FBD" w:rsidRDefault="00981E05" w:rsidP="00981E05">
      <w:pPr>
        <w:pStyle w:val="BodyText2"/>
        <w:tabs>
          <w:tab w:val="left" w:pos="360"/>
        </w:tabs>
        <w:rPr>
          <w:color w:val="auto"/>
        </w:rPr>
      </w:pPr>
      <w:r w:rsidRPr="00C4396F">
        <w:rPr>
          <w:color w:val="auto"/>
        </w:rPr>
        <w:tab/>
      </w:r>
    </w:p>
    <w:p w:rsidR="00981E05" w:rsidRPr="00C4396F" w:rsidRDefault="00C75FBD" w:rsidP="00981E05">
      <w:pPr>
        <w:pStyle w:val="BodyText2"/>
        <w:tabs>
          <w:tab w:val="left" w:pos="360"/>
        </w:tabs>
        <w:rPr>
          <w:color w:val="auto"/>
        </w:rPr>
      </w:pPr>
      <w:r>
        <w:rPr>
          <w:color w:val="auto"/>
        </w:rPr>
        <w:tab/>
      </w:r>
      <w:r w:rsidR="00981E05" w:rsidRPr="00C4396F">
        <w:rPr>
          <w:color w:val="auto"/>
        </w:rPr>
        <w:t>A financial institution</w:t>
      </w:r>
      <w:r w:rsidR="00F047D9" w:rsidRPr="00C4396F">
        <w:rPr>
          <w:color w:val="auto"/>
        </w:rPr>
        <w:t>’s</w:t>
      </w:r>
      <w:r w:rsidR="00981E05" w:rsidRPr="00C4396F">
        <w:rPr>
          <w:color w:val="auto"/>
        </w:rPr>
        <w:t xml:space="preserve">  </w:t>
      </w:r>
      <w:r w:rsidR="0043267D" w:rsidRPr="00C4396F">
        <w:rPr>
          <w:color w:val="auto"/>
        </w:rPr>
        <w:t xml:space="preserve">initial </w:t>
      </w:r>
      <w:r w:rsidR="00981E05" w:rsidRPr="00C4396F">
        <w:rPr>
          <w:color w:val="auto"/>
        </w:rPr>
        <w:t>disclosure</w:t>
      </w:r>
      <w:r w:rsidR="0043267D" w:rsidRPr="00C4396F">
        <w:rPr>
          <w:color w:val="auto"/>
        </w:rPr>
        <w:t>s</w:t>
      </w:r>
      <w:r w:rsidR="00F047D9" w:rsidRPr="00C4396F">
        <w:rPr>
          <w:color w:val="auto"/>
        </w:rPr>
        <w:t>, if applicable</w:t>
      </w:r>
      <w:r w:rsidR="00981E05" w:rsidRPr="00C4396F">
        <w:rPr>
          <w:color w:val="auto"/>
        </w:rPr>
        <w:t xml:space="preserve"> </w:t>
      </w:r>
      <w:r w:rsidR="0043267D" w:rsidRPr="00C4396F">
        <w:rPr>
          <w:color w:val="auto"/>
        </w:rPr>
        <w:t>for payroll card accounts for which the financial institution will not be providing regular written periodic statements</w:t>
      </w:r>
      <w:r w:rsidR="00F047D9" w:rsidRPr="00C4396F">
        <w:rPr>
          <w:color w:val="auto"/>
        </w:rPr>
        <w:t>, must</w:t>
      </w:r>
      <w:r w:rsidR="0043267D" w:rsidRPr="00C4396F">
        <w:rPr>
          <w:color w:val="auto"/>
        </w:rPr>
        <w:t xml:space="preserve"> </w:t>
      </w:r>
      <w:r w:rsidR="00981E05" w:rsidRPr="00C4396F">
        <w:rPr>
          <w:color w:val="auto"/>
        </w:rPr>
        <w:t>disclos</w:t>
      </w:r>
      <w:r w:rsidR="00F047D9" w:rsidRPr="00C4396F">
        <w:rPr>
          <w:color w:val="auto"/>
        </w:rPr>
        <w:t>e</w:t>
      </w:r>
      <w:r w:rsidR="007B7F3B" w:rsidRPr="00C4396F">
        <w:rPr>
          <w:color w:val="auto"/>
        </w:rPr>
        <w:t>:</w:t>
      </w:r>
      <w:r w:rsidR="00981E05" w:rsidRPr="00C4396F">
        <w:rPr>
          <w:color w:val="auto"/>
        </w:rPr>
        <w:t xml:space="preserve"> a telephone number that the consumer may call to obtain the account balance</w:t>
      </w:r>
      <w:r w:rsidR="007B7F3B" w:rsidRPr="00C4396F">
        <w:rPr>
          <w:color w:val="auto"/>
        </w:rPr>
        <w:t>;</w:t>
      </w:r>
      <w:r w:rsidR="00981E05" w:rsidRPr="00C4396F">
        <w:rPr>
          <w:color w:val="auto"/>
        </w:rPr>
        <w:t xml:space="preserve"> the means by which the consumer can obtain an electronic account history, such as the address of an </w:t>
      </w:r>
      <w:r w:rsidR="00FC4A0D" w:rsidRPr="00C4396F">
        <w:rPr>
          <w:color w:val="auto"/>
        </w:rPr>
        <w:t>Internet w</w:t>
      </w:r>
      <w:r w:rsidR="00981E05" w:rsidRPr="00C4396F">
        <w:rPr>
          <w:color w:val="auto"/>
        </w:rPr>
        <w:t>eb site</w:t>
      </w:r>
      <w:r w:rsidR="007B7F3B" w:rsidRPr="00C4396F">
        <w:rPr>
          <w:color w:val="auto"/>
        </w:rPr>
        <w:t>;</w:t>
      </w:r>
      <w:r w:rsidR="00981E05" w:rsidRPr="00C4396F">
        <w:rPr>
          <w:color w:val="auto"/>
        </w:rPr>
        <w:t xml:space="preserve"> and a summary of the consumer's right to receive a written account history upon request (in place of the summary of the right to receive a periodic statement required by </w:t>
      </w:r>
      <w:r w:rsidR="001A4D45">
        <w:rPr>
          <w:color w:val="auto"/>
        </w:rPr>
        <w:t>S</w:t>
      </w:r>
      <w:r w:rsidR="00D863AC" w:rsidRPr="00C4396F">
        <w:rPr>
          <w:color w:val="auto"/>
        </w:rPr>
        <w:t>ection</w:t>
      </w:r>
      <w:r w:rsidR="0043267D" w:rsidRPr="00C4396F">
        <w:rPr>
          <w:color w:val="auto"/>
        </w:rPr>
        <w:t> </w:t>
      </w:r>
      <w:r w:rsidR="001A4D45">
        <w:rPr>
          <w:color w:val="auto"/>
        </w:rPr>
        <w:t xml:space="preserve"> </w:t>
      </w:r>
      <w:r w:rsidR="00981E05" w:rsidRPr="00C4396F">
        <w:rPr>
          <w:color w:val="auto"/>
        </w:rPr>
        <w:t>205.7(b)(6)), including a telephone number to call to request a history</w:t>
      </w:r>
      <w:r w:rsidR="0043267D" w:rsidRPr="00C4396F">
        <w:rPr>
          <w:color w:val="auto"/>
        </w:rPr>
        <w:t xml:space="preserve">.  In addition, the </w:t>
      </w:r>
      <w:r w:rsidR="0043267D" w:rsidRPr="00C4396F">
        <w:rPr>
          <w:color w:val="auto"/>
        </w:rPr>
        <w:lastRenderedPageBreak/>
        <w:t xml:space="preserve">disclosures must include an error resolution </w:t>
      </w:r>
      <w:r w:rsidR="00981E05" w:rsidRPr="00C4396F">
        <w:rPr>
          <w:color w:val="auto"/>
        </w:rPr>
        <w:t>notice substantially similar to the notice contained in paragraph A–7 (a) in appendix</w:t>
      </w:r>
      <w:r w:rsidR="00F615EA" w:rsidRPr="00C4396F">
        <w:rPr>
          <w:color w:val="auto"/>
        </w:rPr>
        <w:t xml:space="preserve"> A</w:t>
      </w:r>
      <w:r w:rsidR="00981E05" w:rsidRPr="00C4396F">
        <w:rPr>
          <w:color w:val="auto"/>
        </w:rPr>
        <w:t>.</w:t>
      </w:r>
    </w:p>
    <w:p w:rsidR="00981E05" w:rsidRPr="00C4396F" w:rsidRDefault="00981E05" w:rsidP="00FE295D">
      <w:pPr>
        <w:pStyle w:val="BodyText2"/>
        <w:tabs>
          <w:tab w:val="left" w:pos="360"/>
        </w:tabs>
        <w:rPr>
          <w:color w:val="auto"/>
        </w:rPr>
      </w:pPr>
    </w:p>
    <w:p w:rsidR="003876BB" w:rsidRPr="00C4396F" w:rsidRDefault="00D95675" w:rsidP="00282F04">
      <w:pPr>
        <w:tabs>
          <w:tab w:val="left" w:pos="360"/>
        </w:tabs>
        <w:rPr>
          <w:rFonts w:ascii="Times New Roman" w:hAnsi="Times New Roman"/>
        </w:rPr>
      </w:pPr>
      <w:r w:rsidRPr="00C4396F">
        <w:rPr>
          <w:rFonts w:ascii="Times New Roman" w:hAnsi="Times New Roman"/>
        </w:rPr>
        <w:tab/>
      </w:r>
      <w:r w:rsidR="005B2F58" w:rsidRPr="00C4396F">
        <w:rPr>
          <w:rFonts w:ascii="Times New Roman" w:hAnsi="Times New Roman"/>
          <w:b/>
        </w:rPr>
        <w:t>Terminal Receipts</w:t>
      </w:r>
      <w:r w:rsidR="003876BB" w:rsidRPr="00C4396F">
        <w:rPr>
          <w:rFonts w:ascii="Times New Roman" w:hAnsi="Times New Roman"/>
          <w:b/>
        </w:rPr>
        <w:t xml:space="preserve"> (</w:t>
      </w:r>
      <w:r w:rsidR="00843A27" w:rsidRPr="00C4396F">
        <w:rPr>
          <w:rFonts w:ascii="Times New Roman" w:hAnsi="Times New Roman"/>
          <w:b/>
        </w:rPr>
        <w:t>S</w:t>
      </w:r>
      <w:r w:rsidR="003876BB" w:rsidRPr="00C4396F">
        <w:rPr>
          <w:rFonts w:ascii="Times New Roman" w:hAnsi="Times New Roman"/>
          <w:b/>
        </w:rPr>
        <w:t>ections 205.9(a))</w:t>
      </w:r>
    </w:p>
    <w:p w:rsidR="003876BB" w:rsidRPr="00C4396F" w:rsidRDefault="003876BB" w:rsidP="00282F04">
      <w:pPr>
        <w:rPr>
          <w:rFonts w:ascii="Times New Roman" w:hAnsi="Times New Roman"/>
        </w:rPr>
      </w:pPr>
    </w:p>
    <w:p w:rsidR="005B2F58" w:rsidRPr="00C4396F" w:rsidRDefault="003876BB" w:rsidP="00282F04">
      <w:pPr>
        <w:tabs>
          <w:tab w:val="left" w:pos="360"/>
        </w:tabs>
        <w:rPr>
          <w:rFonts w:ascii="Times New Roman" w:hAnsi="Times New Roman"/>
          <w:i/>
        </w:rPr>
      </w:pPr>
      <w:r w:rsidRPr="00C4396F">
        <w:rPr>
          <w:rFonts w:ascii="Times New Roman" w:hAnsi="Times New Roman"/>
        </w:rPr>
        <w:tab/>
        <w:t xml:space="preserve">An institution offering an EFT service must provide </w:t>
      </w:r>
      <w:r w:rsidR="005B2F58" w:rsidRPr="00C4396F">
        <w:rPr>
          <w:rFonts w:ascii="Times New Roman" w:hAnsi="Times New Roman"/>
        </w:rPr>
        <w:t>a receipt</w:t>
      </w:r>
      <w:r w:rsidRPr="00C4396F">
        <w:rPr>
          <w:rFonts w:ascii="Times New Roman" w:hAnsi="Times New Roman"/>
        </w:rPr>
        <w:t xml:space="preserve"> each time a consumer initiates an </w:t>
      </w:r>
      <w:r w:rsidR="001E4218" w:rsidRPr="00C4396F">
        <w:rPr>
          <w:rFonts w:ascii="Times New Roman" w:hAnsi="Times New Roman"/>
        </w:rPr>
        <w:t xml:space="preserve">EFT of </w:t>
      </w:r>
      <w:r w:rsidR="00764047" w:rsidRPr="00C4396F">
        <w:rPr>
          <w:rFonts w:ascii="Times New Roman" w:hAnsi="Times New Roman"/>
        </w:rPr>
        <w:t xml:space="preserve">more </w:t>
      </w:r>
      <w:r w:rsidR="0043267D" w:rsidRPr="00C4396F">
        <w:rPr>
          <w:rFonts w:ascii="Times New Roman" w:hAnsi="Times New Roman"/>
        </w:rPr>
        <w:t xml:space="preserve">than $15 </w:t>
      </w:r>
      <w:r w:rsidRPr="00C4396F">
        <w:rPr>
          <w:rFonts w:ascii="Times New Roman" w:hAnsi="Times New Roman"/>
        </w:rPr>
        <w:t>at an electronic terminal (for example, an</w:t>
      </w:r>
      <w:r w:rsidR="009F020E" w:rsidRPr="00C4396F">
        <w:rPr>
          <w:rFonts w:ascii="Times New Roman" w:hAnsi="Times New Roman"/>
        </w:rPr>
        <w:t xml:space="preserve"> </w:t>
      </w:r>
      <w:r w:rsidR="009A5E2C" w:rsidRPr="00C4396F">
        <w:rPr>
          <w:rFonts w:ascii="Times New Roman" w:hAnsi="Times New Roman"/>
        </w:rPr>
        <w:t>ATM</w:t>
      </w:r>
      <w:r w:rsidRPr="00C4396F">
        <w:rPr>
          <w:rFonts w:ascii="Times New Roman" w:hAnsi="Times New Roman"/>
        </w:rPr>
        <w:t xml:space="preserve">).  </w:t>
      </w:r>
      <w:r w:rsidR="005B2F58" w:rsidRPr="00C4396F">
        <w:rPr>
          <w:rFonts w:ascii="Times New Roman" w:hAnsi="Times New Roman"/>
        </w:rPr>
        <w:t>Terminal receipts can</w:t>
      </w:r>
      <w:r w:rsidRPr="00C4396F">
        <w:rPr>
          <w:rFonts w:ascii="Times New Roman" w:hAnsi="Times New Roman"/>
        </w:rPr>
        <w:t xml:space="preserve"> provide documentation and proof of the transfer in the event of a later dispute.  The terminal receipt, which must be provided at the time of the transfer, must include the amount, date, and type of transfer, as well as other information identifying the transaction. </w:t>
      </w:r>
      <w:r w:rsidR="0043267D" w:rsidRPr="00C4396F">
        <w:rPr>
          <w:rFonts w:ascii="Times New Roman" w:hAnsi="Times New Roman"/>
        </w:rPr>
        <w:t xml:space="preserve"> </w:t>
      </w:r>
      <w:r w:rsidRPr="00C900D7">
        <w:rPr>
          <w:rFonts w:ascii="Times New Roman" w:hAnsi="Times New Roman"/>
          <w:i/>
        </w:rPr>
        <w:t>Because these disclosures are machine-generated and do not involve an employee of the institution, for purposes of the PRA</w:t>
      </w:r>
      <w:r w:rsidR="007B7F3B" w:rsidRPr="00C900D7">
        <w:rPr>
          <w:rFonts w:ascii="Times New Roman" w:hAnsi="Times New Roman"/>
          <w:i/>
        </w:rPr>
        <w:t>,</w:t>
      </w:r>
      <w:r w:rsidRPr="00C900D7">
        <w:rPr>
          <w:rFonts w:ascii="Times New Roman" w:hAnsi="Times New Roman"/>
          <w:i/>
        </w:rPr>
        <w:t xml:space="preserve"> burden associated with this requirement</w:t>
      </w:r>
      <w:r w:rsidR="007B7F3B" w:rsidRPr="00C900D7">
        <w:rPr>
          <w:rFonts w:ascii="Times New Roman" w:hAnsi="Times New Roman"/>
          <w:i/>
        </w:rPr>
        <w:t xml:space="preserve"> is</w:t>
      </w:r>
      <w:r w:rsidR="00B42DF4" w:rsidRPr="00C900D7">
        <w:rPr>
          <w:rFonts w:ascii="Times New Roman" w:hAnsi="Times New Roman"/>
          <w:i/>
        </w:rPr>
        <w:t xml:space="preserve"> negligible</w:t>
      </w:r>
      <w:r w:rsidRPr="00C900D7">
        <w:rPr>
          <w:rFonts w:ascii="Times New Roman" w:hAnsi="Times New Roman"/>
          <w:i/>
        </w:rPr>
        <w:t>.</w:t>
      </w:r>
    </w:p>
    <w:p w:rsidR="003876BB" w:rsidRPr="00C4396F" w:rsidRDefault="005B2F58" w:rsidP="00282F04">
      <w:pPr>
        <w:rPr>
          <w:rFonts w:ascii="Times New Roman" w:hAnsi="Times New Roman"/>
        </w:rPr>
      </w:pPr>
      <w:r w:rsidRPr="00C4396F">
        <w:rPr>
          <w:rFonts w:ascii="Times New Roman" w:hAnsi="Times New Roman"/>
          <w:b/>
        </w:rPr>
        <w:tab/>
      </w:r>
    </w:p>
    <w:p w:rsidR="003876BB" w:rsidRPr="00C4396F" w:rsidRDefault="003876BB" w:rsidP="00282F04">
      <w:pPr>
        <w:ind w:firstLine="360"/>
        <w:rPr>
          <w:rFonts w:ascii="Times New Roman" w:hAnsi="Times New Roman"/>
          <w:b/>
        </w:rPr>
      </w:pPr>
      <w:r w:rsidRPr="00C4396F">
        <w:rPr>
          <w:rFonts w:ascii="Times New Roman" w:hAnsi="Times New Roman"/>
          <w:b/>
        </w:rPr>
        <w:t xml:space="preserve">Periodic </w:t>
      </w:r>
      <w:r w:rsidR="00843A27" w:rsidRPr="00C4396F">
        <w:rPr>
          <w:rFonts w:ascii="Times New Roman" w:hAnsi="Times New Roman"/>
          <w:b/>
        </w:rPr>
        <w:t>S</w:t>
      </w:r>
      <w:r w:rsidR="00731073" w:rsidRPr="00C4396F">
        <w:rPr>
          <w:rFonts w:ascii="Times New Roman" w:hAnsi="Times New Roman"/>
          <w:b/>
        </w:rPr>
        <w:t xml:space="preserve">tatements </w:t>
      </w:r>
      <w:r w:rsidRPr="00C4396F">
        <w:rPr>
          <w:rFonts w:ascii="Times New Roman" w:hAnsi="Times New Roman"/>
          <w:b/>
        </w:rPr>
        <w:t>(</w:t>
      </w:r>
      <w:r w:rsidR="00843A27" w:rsidRPr="00C4396F">
        <w:rPr>
          <w:rFonts w:ascii="Times New Roman" w:hAnsi="Times New Roman"/>
          <w:b/>
        </w:rPr>
        <w:t>S</w:t>
      </w:r>
      <w:r w:rsidRPr="00C4396F">
        <w:rPr>
          <w:rFonts w:ascii="Times New Roman" w:hAnsi="Times New Roman"/>
          <w:b/>
        </w:rPr>
        <w:t>ection 205.</w:t>
      </w:r>
      <w:r w:rsidR="005B2F58" w:rsidRPr="00C4396F">
        <w:rPr>
          <w:rFonts w:ascii="Times New Roman" w:hAnsi="Times New Roman"/>
          <w:b/>
        </w:rPr>
        <w:t>9</w:t>
      </w:r>
      <w:r w:rsidRPr="00C4396F">
        <w:rPr>
          <w:rFonts w:ascii="Times New Roman" w:hAnsi="Times New Roman"/>
          <w:b/>
        </w:rPr>
        <w:t>(b)</w:t>
      </w:r>
      <w:r w:rsidR="007B7F3B" w:rsidRPr="00C4396F">
        <w:rPr>
          <w:rFonts w:ascii="Times New Roman" w:hAnsi="Times New Roman"/>
          <w:b/>
        </w:rPr>
        <w:t xml:space="preserve"> and 205.18(b)</w:t>
      </w:r>
      <w:r w:rsidRPr="00C4396F">
        <w:rPr>
          <w:rFonts w:ascii="Times New Roman" w:hAnsi="Times New Roman"/>
          <w:b/>
        </w:rPr>
        <w:t>)</w:t>
      </w:r>
    </w:p>
    <w:p w:rsidR="003876BB" w:rsidRPr="00C4396F" w:rsidRDefault="003876BB" w:rsidP="00282F04">
      <w:pPr>
        <w:rPr>
          <w:rFonts w:ascii="Times New Roman" w:hAnsi="Times New Roman"/>
        </w:rPr>
      </w:pPr>
    </w:p>
    <w:p w:rsidR="00327347" w:rsidRPr="00C4396F" w:rsidRDefault="003876BB" w:rsidP="00282F04">
      <w:pPr>
        <w:pStyle w:val="BodyText2"/>
        <w:tabs>
          <w:tab w:val="left" w:pos="360"/>
        </w:tabs>
        <w:rPr>
          <w:color w:val="auto"/>
        </w:rPr>
      </w:pPr>
      <w:r w:rsidRPr="00C4396F">
        <w:rPr>
          <w:color w:val="auto"/>
        </w:rPr>
        <w:tab/>
        <w:t>The purpose of the periodic disclosure requirement is to ensure prompt and accurate documentation of consumers</w:t>
      </w:r>
      <w:r w:rsidR="00477239" w:rsidRPr="00C4396F">
        <w:rPr>
          <w:color w:val="auto"/>
        </w:rPr>
        <w:t>’</w:t>
      </w:r>
      <w:r w:rsidRPr="00C4396F">
        <w:rPr>
          <w:color w:val="auto"/>
        </w:rPr>
        <w:t xml:space="preserve"> use of EFT services.  The disclosures must include</w:t>
      </w:r>
      <w:r w:rsidR="0043267D" w:rsidRPr="00C4396F">
        <w:rPr>
          <w:color w:val="auto"/>
        </w:rPr>
        <w:t>:</w:t>
      </w:r>
      <w:r w:rsidRPr="00C4396F">
        <w:rPr>
          <w:color w:val="auto"/>
        </w:rPr>
        <w:t xml:space="preserve"> transaction</w:t>
      </w:r>
      <w:r w:rsidR="00B93616" w:rsidRPr="00C4396F">
        <w:rPr>
          <w:color w:val="auto"/>
        </w:rPr>
        <w:t xml:space="preserve"> information for EFTs</w:t>
      </w:r>
      <w:r w:rsidRPr="00C4396F">
        <w:rPr>
          <w:color w:val="auto"/>
        </w:rPr>
        <w:t xml:space="preserve"> occurring during the </w:t>
      </w:r>
      <w:r w:rsidR="00C41C0F" w:rsidRPr="00C4396F">
        <w:rPr>
          <w:color w:val="auto"/>
        </w:rPr>
        <w:t xml:space="preserve">statement </w:t>
      </w:r>
      <w:r w:rsidRPr="00C4396F">
        <w:rPr>
          <w:color w:val="auto"/>
        </w:rPr>
        <w:t>period</w:t>
      </w:r>
      <w:r w:rsidR="0043267D" w:rsidRPr="00C4396F">
        <w:rPr>
          <w:color w:val="auto"/>
        </w:rPr>
        <w:t>;</w:t>
      </w:r>
      <w:r w:rsidRPr="00C4396F">
        <w:rPr>
          <w:color w:val="auto"/>
        </w:rPr>
        <w:t xml:space="preserve"> </w:t>
      </w:r>
      <w:r w:rsidR="00B93616" w:rsidRPr="00C4396F">
        <w:rPr>
          <w:color w:val="auto"/>
        </w:rPr>
        <w:t xml:space="preserve">fees </w:t>
      </w:r>
      <w:r w:rsidRPr="00C4396F">
        <w:rPr>
          <w:color w:val="auto"/>
        </w:rPr>
        <w:t xml:space="preserve">assessed </w:t>
      </w:r>
      <w:r w:rsidR="00B93616" w:rsidRPr="00C4396F">
        <w:rPr>
          <w:color w:val="auto"/>
        </w:rPr>
        <w:t xml:space="preserve">during the statement period </w:t>
      </w:r>
      <w:r w:rsidRPr="00C4396F">
        <w:rPr>
          <w:color w:val="auto"/>
        </w:rPr>
        <w:t xml:space="preserve">for </w:t>
      </w:r>
      <w:r w:rsidR="00B93616" w:rsidRPr="00C4396F">
        <w:rPr>
          <w:color w:val="auto"/>
        </w:rPr>
        <w:t xml:space="preserve">EFTs, the right to make transfers, </w:t>
      </w:r>
      <w:r w:rsidR="00F41C29" w:rsidRPr="00C4396F">
        <w:rPr>
          <w:color w:val="auto"/>
        </w:rPr>
        <w:t>or</w:t>
      </w:r>
      <w:r w:rsidRPr="00C4396F">
        <w:rPr>
          <w:color w:val="auto"/>
        </w:rPr>
        <w:t xml:space="preserve"> account maintenance</w:t>
      </w:r>
      <w:r w:rsidR="0043267D" w:rsidRPr="00C4396F">
        <w:rPr>
          <w:color w:val="auto"/>
        </w:rPr>
        <w:t>;</w:t>
      </w:r>
      <w:r w:rsidRPr="00C4396F">
        <w:rPr>
          <w:color w:val="auto"/>
        </w:rPr>
        <w:t xml:space="preserve"> opening and closing balances</w:t>
      </w:r>
      <w:r w:rsidR="0043267D" w:rsidRPr="00C4396F">
        <w:rPr>
          <w:color w:val="auto"/>
        </w:rPr>
        <w:t>;</w:t>
      </w:r>
      <w:r w:rsidRPr="00C4396F">
        <w:rPr>
          <w:color w:val="auto"/>
        </w:rPr>
        <w:t xml:space="preserve"> the address and telephone number for error inquiries</w:t>
      </w:r>
      <w:r w:rsidR="0043267D" w:rsidRPr="00C4396F">
        <w:rPr>
          <w:color w:val="auto"/>
        </w:rPr>
        <w:t>;</w:t>
      </w:r>
      <w:r w:rsidRPr="00C4396F">
        <w:rPr>
          <w:color w:val="auto"/>
        </w:rPr>
        <w:t xml:space="preserve"> and a telephone number for verification of </w:t>
      </w:r>
      <w:r w:rsidR="00B93616" w:rsidRPr="00C4396F">
        <w:rPr>
          <w:color w:val="auto"/>
        </w:rPr>
        <w:t>preauthorized transfers to the consumer’s account</w:t>
      </w:r>
      <w:r w:rsidRPr="00C4396F">
        <w:rPr>
          <w:color w:val="auto"/>
        </w:rPr>
        <w:t xml:space="preserve"> if the institution uses that option.  </w:t>
      </w:r>
      <w:r w:rsidR="00B93616" w:rsidRPr="00C4396F">
        <w:rPr>
          <w:color w:val="auto"/>
        </w:rPr>
        <w:t xml:space="preserve">Institutions are required to send a periodic statement for each monthly cycle in which an EFT has occurred and at least quarterly if no transfer has occurred.  </w:t>
      </w:r>
      <w:r w:rsidRPr="00C4396F">
        <w:rPr>
          <w:color w:val="auto"/>
        </w:rPr>
        <w:t xml:space="preserve">Modified requirements apply to passbook and certain other types of accounts.  </w:t>
      </w:r>
      <w:r w:rsidR="00327347" w:rsidRPr="00C4396F">
        <w:rPr>
          <w:color w:val="auto"/>
        </w:rPr>
        <w:t>Also, as an alternative to providing periodic statements for payroll card accounts, a financial institution may make account transaction information available to the consumer by telephone, electronically, and upon the consumer’s request, in writing.</w:t>
      </w:r>
      <w:r w:rsidR="00327347" w:rsidRPr="00C4396F">
        <w:rPr>
          <w:rStyle w:val="FootnoteReference"/>
          <w:color w:val="auto"/>
          <w:vertAlign w:val="superscript"/>
        </w:rPr>
        <w:footnoteReference w:id="12"/>
      </w:r>
    </w:p>
    <w:p w:rsidR="00327347" w:rsidRPr="00C4396F" w:rsidRDefault="00327347" w:rsidP="00282F04">
      <w:pPr>
        <w:pStyle w:val="BodyText2"/>
        <w:tabs>
          <w:tab w:val="left" w:pos="360"/>
        </w:tabs>
        <w:rPr>
          <w:color w:val="auto"/>
        </w:rPr>
      </w:pPr>
    </w:p>
    <w:p w:rsidR="003876BB" w:rsidRPr="00C4396F" w:rsidRDefault="0010730C" w:rsidP="00282F04">
      <w:pPr>
        <w:pStyle w:val="BodyText2"/>
        <w:tabs>
          <w:tab w:val="left" w:pos="360"/>
        </w:tabs>
        <w:rPr>
          <w:color w:val="auto"/>
        </w:rPr>
      </w:pPr>
      <w:r w:rsidRPr="00C4396F">
        <w:rPr>
          <w:color w:val="auto"/>
        </w:rPr>
        <w:tab/>
      </w:r>
      <w:r w:rsidR="003876BB" w:rsidRPr="00C4396F">
        <w:rPr>
          <w:color w:val="auto"/>
        </w:rPr>
        <w:t xml:space="preserve">Because periodic statements </w:t>
      </w:r>
      <w:r w:rsidR="00B93616" w:rsidRPr="00C4396F">
        <w:rPr>
          <w:color w:val="auto"/>
        </w:rPr>
        <w:t xml:space="preserve">required under Regulation E </w:t>
      </w:r>
      <w:r w:rsidR="003876BB" w:rsidRPr="00C4396F">
        <w:rPr>
          <w:color w:val="auto"/>
        </w:rPr>
        <w:t>are typically included with monthly checking and savings account statements</w:t>
      </w:r>
      <w:r w:rsidR="00B93616" w:rsidRPr="00C4396F">
        <w:rPr>
          <w:color w:val="auto"/>
        </w:rPr>
        <w:t xml:space="preserve"> provided under Regulation DD,</w:t>
      </w:r>
      <w:r w:rsidR="003876BB" w:rsidRPr="00C4396F">
        <w:rPr>
          <w:color w:val="auto"/>
        </w:rPr>
        <w:t xml:space="preserve"> the burden associated with this requirement for </w:t>
      </w:r>
      <w:r w:rsidR="003B34DD" w:rsidRPr="00C4396F">
        <w:rPr>
          <w:color w:val="auto"/>
        </w:rPr>
        <w:t>SMBs</w:t>
      </w:r>
      <w:r w:rsidR="003876BB" w:rsidRPr="00C4396F">
        <w:rPr>
          <w:color w:val="auto"/>
        </w:rPr>
        <w:t xml:space="preserve"> is accounted for in the estimate of the paperwork burden associated with Regulation DD</w:t>
      </w:r>
      <w:r w:rsidR="0043763F" w:rsidRPr="00C4396F">
        <w:rPr>
          <w:color w:val="auto"/>
        </w:rPr>
        <w:t>, and is therefore not accounted for in the Regulation E burden estimate</w:t>
      </w:r>
      <w:r w:rsidR="003876BB" w:rsidRPr="00C4396F">
        <w:rPr>
          <w:color w:val="auto"/>
        </w:rPr>
        <w:t>.</w:t>
      </w:r>
      <w:r w:rsidR="003876BB" w:rsidRPr="00C4396F">
        <w:rPr>
          <w:rStyle w:val="FootnoteReference"/>
          <w:color w:val="auto"/>
          <w:vertAlign w:val="superscript"/>
        </w:rPr>
        <w:footnoteReference w:id="13"/>
      </w:r>
      <w:r w:rsidR="003876BB" w:rsidRPr="00C4396F">
        <w:rPr>
          <w:color w:val="auto"/>
        </w:rPr>
        <w:t xml:space="preserve">  The burden associated with this requirement for financial institutions</w:t>
      </w:r>
      <w:r w:rsidR="0043763F" w:rsidRPr="00C4396F">
        <w:rPr>
          <w:color w:val="auto"/>
        </w:rPr>
        <w:t xml:space="preserve"> </w:t>
      </w:r>
      <w:r w:rsidR="00C160D3" w:rsidRPr="00C4396F">
        <w:rPr>
          <w:color w:val="auto"/>
        </w:rPr>
        <w:t>that are not subject to Regulation DD</w:t>
      </w:r>
      <w:r w:rsidR="003876BB" w:rsidRPr="00C4396F">
        <w:rPr>
          <w:color w:val="auto"/>
        </w:rPr>
        <w:t xml:space="preserve"> is addressed in the Estimate of Respondent Burden section of this memorandum.</w:t>
      </w:r>
    </w:p>
    <w:p w:rsidR="00591BC3" w:rsidRPr="00C4396F" w:rsidRDefault="00591BC3" w:rsidP="00327347">
      <w:pPr>
        <w:rPr>
          <w:rFonts w:ascii="Times New Roman" w:hAnsi="Times New Roman"/>
          <w:b/>
        </w:rPr>
      </w:pPr>
    </w:p>
    <w:p w:rsidR="005B2F58" w:rsidRPr="00C4396F" w:rsidRDefault="00986D5F" w:rsidP="00986D5F">
      <w:pPr>
        <w:keepNext/>
        <w:tabs>
          <w:tab w:val="left" w:pos="360"/>
        </w:tabs>
        <w:rPr>
          <w:rFonts w:ascii="Times New Roman" w:hAnsi="Times New Roman"/>
          <w:b/>
        </w:rPr>
      </w:pPr>
      <w:r w:rsidRPr="00C4396F">
        <w:rPr>
          <w:rFonts w:ascii="Times New Roman" w:hAnsi="Times New Roman"/>
          <w:b/>
        </w:rPr>
        <w:lastRenderedPageBreak/>
        <w:tab/>
      </w:r>
      <w:r w:rsidR="005B2F58" w:rsidRPr="00C4396F">
        <w:rPr>
          <w:rFonts w:ascii="Times New Roman" w:hAnsi="Times New Roman"/>
          <w:b/>
        </w:rPr>
        <w:t>Preauthorized Transfers (Section 205.10)</w:t>
      </w:r>
    </w:p>
    <w:p w:rsidR="005B2F58" w:rsidRPr="00C4396F" w:rsidRDefault="005B2F58" w:rsidP="00986D5F">
      <w:pPr>
        <w:keepNext/>
        <w:rPr>
          <w:rFonts w:ascii="Times New Roman" w:hAnsi="Times New Roman"/>
        </w:rPr>
      </w:pPr>
    </w:p>
    <w:p w:rsidR="00722DC1" w:rsidRPr="00C4396F" w:rsidRDefault="005B2F58" w:rsidP="005B2F58">
      <w:pPr>
        <w:tabs>
          <w:tab w:val="left" w:pos="360"/>
        </w:tabs>
        <w:rPr>
          <w:rFonts w:ascii="Times New Roman" w:hAnsi="Times New Roman"/>
        </w:rPr>
      </w:pPr>
      <w:r w:rsidRPr="00C4396F">
        <w:rPr>
          <w:rFonts w:ascii="Times New Roman" w:hAnsi="Times New Roman"/>
        </w:rPr>
        <w:tab/>
      </w:r>
      <w:r w:rsidR="00722DC1" w:rsidRPr="00C4396F">
        <w:rPr>
          <w:rFonts w:ascii="Times New Roman" w:hAnsi="Times New Roman"/>
        </w:rPr>
        <w:t>A preauthorized transfer is an EFT authorized in advance to recur at substantially regular intervals.  Preauthorized transfers from a consumer’s account may only be authorized by a writing signed or similarly authenticated by the consumer.</w:t>
      </w:r>
    </w:p>
    <w:p w:rsidR="00722DC1" w:rsidRPr="00C4396F" w:rsidRDefault="00722DC1" w:rsidP="005B2F58">
      <w:pPr>
        <w:tabs>
          <w:tab w:val="left" w:pos="360"/>
        </w:tabs>
        <w:rPr>
          <w:rFonts w:ascii="Times New Roman" w:hAnsi="Times New Roman"/>
        </w:rPr>
      </w:pPr>
    </w:p>
    <w:p w:rsidR="005B2F58" w:rsidRPr="00C4396F" w:rsidRDefault="00722DC1" w:rsidP="005B2F58">
      <w:pPr>
        <w:tabs>
          <w:tab w:val="left" w:pos="360"/>
        </w:tabs>
        <w:rPr>
          <w:rFonts w:ascii="Times New Roman" w:hAnsi="Times New Roman"/>
          <w:b/>
        </w:rPr>
      </w:pPr>
      <w:r w:rsidRPr="00C4396F">
        <w:rPr>
          <w:rFonts w:ascii="Times New Roman" w:hAnsi="Times New Roman"/>
        </w:rPr>
        <w:tab/>
      </w:r>
      <w:r w:rsidR="005B2F58" w:rsidRPr="00C4396F">
        <w:rPr>
          <w:rFonts w:ascii="Times New Roman" w:hAnsi="Times New Roman"/>
        </w:rPr>
        <w:t xml:space="preserve">For preauthorized transfers </w:t>
      </w:r>
      <w:r w:rsidR="005B2F58" w:rsidRPr="00C4396F">
        <w:rPr>
          <w:rFonts w:ascii="Times New Roman" w:hAnsi="Times New Roman"/>
          <w:i/>
        </w:rPr>
        <w:t>to</w:t>
      </w:r>
      <w:r w:rsidRPr="00C4396F">
        <w:rPr>
          <w:rFonts w:ascii="Times New Roman" w:hAnsi="Times New Roman"/>
        </w:rPr>
        <w:t xml:space="preserve"> the consumer’</w:t>
      </w:r>
      <w:r w:rsidR="005B2F58" w:rsidRPr="00C4396F">
        <w:rPr>
          <w:rFonts w:ascii="Times New Roman" w:hAnsi="Times New Roman"/>
        </w:rPr>
        <w:t xml:space="preserve">s account, the institution must provide </w:t>
      </w:r>
      <w:r w:rsidRPr="00C4396F">
        <w:rPr>
          <w:rFonts w:ascii="Times New Roman" w:hAnsi="Times New Roman"/>
        </w:rPr>
        <w:t xml:space="preserve">oral or written </w:t>
      </w:r>
      <w:r w:rsidR="005B2F58" w:rsidRPr="00C4396F">
        <w:rPr>
          <w:rFonts w:ascii="Times New Roman" w:hAnsi="Times New Roman"/>
        </w:rPr>
        <w:t xml:space="preserve">notice </w:t>
      </w:r>
      <w:r w:rsidRPr="00C4396F">
        <w:rPr>
          <w:rFonts w:ascii="Times New Roman" w:hAnsi="Times New Roman"/>
        </w:rPr>
        <w:t xml:space="preserve">of the transfer </w:t>
      </w:r>
      <w:r w:rsidR="00BB4B5F" w:rsidRPr="00C4396F">
        <w:rPr>
          <w:rFonts w:ascii="Times New Roman" w:hAnsi="Times New Roman"/>
        </w:rPr>
        <w:t xml:space="preserve">(positive notice) </w:t>
      </w:r>
      <w:r w:rsidRPr="00C4396F">
        <w:rPr>
          <w:rFonts w:ascii="Times New Roman" w:hAnsi="Times New Roman"/>
        </w:rPr>
        <w:t>or that the transfer did not occur</w:t>
      </w:r>
      <w:r w:rsidR="00BB4B5F" w:rsidRPr="00C4396F">
        <w:rPr>
          <w:rFonts w:ascii="Times New Roman" w:hAnsi="Times New Roman"/>
        </w:rPr>
        <w:t xml:space="preserve"> (negative notice)</w:t>
      </w:r>
      <w:r w:rsidRPr="00C4396F">
        <w:rPr>
          <w:rFonts w:ascii="Times New Roman" w:hAnsi="Times New Roman"/>
        </w:rPr>
        <w:t xml:space="preserve">.  In lieu of providing </w:t>
      </w:r>
      <w:r w:rsidR="00BB4B5F" w:rsidRPr="00C4396F">
        <w:rPr>
          <w:rFonts w:ascii="Times New Roman" w:hAnsi="Times New Roman"/>
        </w:rPr>
        <w:t xml:space="preserve">positive or negative </w:t>
      </w:r>
      <w:r w:rsidRPr="00C4396F">
        <w:rPr>
          <w:rFonts w:ascii="Times New Roman" w:hAnsi="Times New Roman"/>
        </w:rPr>
        <w:t>notice, the institution may</w:t>
      </w:r>
      <w:r w:rsidR="00EA54AA" w:rsidRPr="00C4396F">
        <w:rPr>
          <w:rFonts w:ascii="Times New Roman" w:hAnsi="Times New Roman"/>
        </w:rPr>
        <w:t>, and typically does,</w:t>
      </w:r>
      <w:r w:rsidRPr="00C4396F">
        <w:rPr>
          <w:rFonts w:ascii="Times New Roman" w:hAnsi="Times New Roman"/>
        </w:rPr>
        <w:t xml:space="preserve"> provide a readily available telephone number that the consumer can call to verify receipt of the deposit.  </w:t>
      </w:r>
      <w:r w:rsidRPr="00C900D7">
        <w:rPr>
          <w:rFonts w:ascii="Times New Roman" w:hAnsi="Times New Roman"/>
          <w:i/>
        </w:rPr>
        <w:t>If</w:t>
      </w:r>
      <w:r w:rsidR="005B2F58" w:rsidRPr="00C900D7">
        <w:rPr>
          <w:rFonts w:ascii="Times New Roman" w:hAnsi="Times New Roman"/>
          <w:i/>
        </w:rPr>
        <w:t xml:space="preserve"> positive notice is provided </w:t>
      </w:r>
      <w:r w:rsidRPr="00C900D7">
        <w:rPr>
          <w:rFonts w:ascii="Times New Roman" w:hAnsi="Times New Roman"/>
          <w:i/>
        </w:rPr>
        <w:t xml:space="preserve">to the consumer </w:t>
      </w:r>
      <w:r w:rsidR="005B2F58" w:rsidRPr="00C900D7">
        <w:rPr>
          <w:rFonts w:ascii="Times New Roman" w:hAnsi="Times New Roman"/>
          <w:i/>
        </w:rPr>
        <w:t>by the payor</w:t>
      </w:r>
      <w:r w:rsidR="00EA54AA" w:rsidRPr="00C900D7">
        <w:rPr>
          <w:rFonts w:ascii="Times New Roman" w:hAnsi="Times New Roman"/>
          <w:i/>
        </w:rPr>
        <w:t>, as in most cases</w:t>
      </w:r>
      <w:r w:rsidRPr="00C900D7">
        <w:rPr>
          <w:rFonts w:ascii="Times New Roman" w:hAnsi="Times New Roman"/>
          <w:i/>
        </w:rPr>
        <w:t>, the financial institution need not provide notice</w:t>
      </w:r>
      <w:r w:rsidR="005B2F58" w:rsidRPr="00C900D7">
        <w:rPr>
          <w:rFonts w:ascii="Times New Roman" w:hAnsi="Times New Roman"/>
          <w:i/>
        </w:rPr>
        <w:t>.  Therefore, the burden of this requirement is negligible.</w:t>
      </w:r>
    </w:p>
    <w:p w:rsidR="005B2F58" w:rsidRPr="00C4396F" w:rsidRDefault="005B2F58" w:rsidP="005B2F58">
      <w:pPr>
        <w:rPr>
          <w:rFonts w:ascii="Times New Roman" w:hAnsi="Times New Roman"/>
        </w:rPr>
      </w:pPr>
    </w:p>
    <w:p w:rsidR="005B2F58" w:rsidRPr="00B5222D" w:rsidRDefault="00722DC1" w:rsidP="005B2F58">
      <w:pPr>
        <w:ind w:firstLine="360"/>
        <w:rPr>
          <w:rFonts w:ascii="Times New Roman" w:hAnsi="Times New Roman"/>
        </w:rPr>
      </w:pPr>
      <w:r w:rsidRPr="00C4396F">
        <w:rPr>
          <w:rFonts w:ascii="Times New Roman" w:hAnsi="Times New Roman"/>
        </w:rPr>
        <w:t>For preauth</w:t>
      </w:r>
      <w:r w:rsidR="005B2F58" w:rsidRPr="00C4396F">
        <w:rPr>
          <w:rFonts w:ascii="Times New Roman" w:hAnsi="Times New Roman"/>
        </w:rPr>
        <w:t xml:space="preserve">orized transfers </w:t>
      </w:r>
      <w:r w:rsidR="005B2F58" w:rsidRPr="00C4396F">
        <w:rPr>
          <w:rFonts w:ascii="Times New Roman" w:hAnsi="Times New Roman"/>
          <w:i/>
        </w:rPr>
        <w:t>from</w:t>
      </w:r>
      <w:r w:rsidR="005B2F58" w:rsidRPr="00C4396F">
        <w:rPr>
          <w:rFonts w:ascii="Times New Roman" w:hAnsi="Times New Roman"/>
        </w:rPr>
        <w:t xml:space="preserve"> the </w:t>
      </w:r>
      <w:r w:rsidRPr="00C4396F">
        <w:rPr>
          <w:rFonts w:ascii="Times New Roman" w:hAnsi="Times New Roman"/>
        </w:rPr>
        <w:t xml:space="preserve">consumer’s </w:t>
      </w:r>
      <w:r w:rsidR="005B2F58" w:rsidRPr="00C4396F">
        <w:rPr>
          <w:rFonts w:ascii="Times New Roman" w:hAnsi="Times New Roman"/>
        </w:rPr>
        <w:t>account</w:t>
      </w:r>
      <w:r w:rsidR="00BB4B5F" w:rsidRPr="00C4396F">
        <w:rPr>
          <w:rFonts w:ascii="Times New Roman" w:hAnsi="Times New Roman"/>
        </w:rPr>
        <w:t xml:space="preserve">, </w:t>
      </w:r>
      <w:r w:rsidR="00477239" w:rsidRPr="00C4396F">
        <w:rPr>
          <w:rFonts w:ascii="Times New Roman" w:hAnsi="Times New Roman"/>
        </w:rPr>
        <w:t>if a payment will vary in amount from the previous transfer under the same authorization or from the preauthorized amount, either the institution or the payee must provide written notice to the consumer of the amount and date of the transfer</w:t>
      </w:r>
      <w:r w:rsidR="005B2F58" w:rsidRPr="00C4396F">
        <w:rPr>
          <w:rFonts w:ascii="Times New Roman" w:hAnsi="Times New Roman"/>
        </w:rPr>
        <w:t xml:space="preserve">. </w:t>
      </w:r>
      <w:r w:rsidR="00477239" w:rsidRPr="00C4396F">
        <w:rPr>
          <w:rFonts w:ascii="Times New Roman" w:hAnsi="Times New Roman"/>
        </w:rPr>
        <w:t xml:space="preserve"> Alternatively, the institution or the payee may give the consumer the option of receiving notice only when a transfer falls outside a specified range or only when a transfer differs from the most recent transfer by more than an agreed-upon amount.  </w:t>
      </w:r>
      <w:r w:rsidR="005B2F58" w:rsidRPr="00C900D7">
        <w:rPr>
          <w:rFonts w:ascii="Times New Roman" w:hAnsi="Times New Roman"/>
          <w:i/>
        </w:rPr>
        <w:t>Because in the vast majority of instances the payee, rather than the bank, satisfies this obligation, the burden on banks is negligible.</w:t>
      </w:r>
    </w:p>
    <w:p w:rsidR="005B2F58" w:rsidRPr="00B5222D" w:rsidRDefault="005B2F58" w:rsidP="00282F04">
      <w:pPr>
        <w:ind w:left="720"/>
        <w:rPr>
          <w:rFonts w:ascii="Times New Roman" w:hAnsi="Times New Roman"/>
        </w:rPr>
      </w:pPr>
    </w:p>
    <w:p w:rsidR="003876BB" w:rsidRPr="00B5222D" w:rsidRDefault="003876BB" w:rsidP="00B5222D">
      <w:pPr>
        <w:ind w:left="360"/>
        <w:rPr>
          <w:rFonts w:ascii="Times New Roman" w:hAnsi="Times New Roman"/>
          <w:b/>
        </w:rPr>
      </w:pPr>
      <w:r w:rsidRPr="00B5222D">
        <w:rPr>
          <w:rFonts w:ascii="Times New Roman" w:hAnsi="Times New Roman"/>
          <w:b/>
        </w:rPr>
        <w:t xml:space="preserve">Error </w:t>
      </w:r>
      <w:r w:rsidR="00091153" w:rsidRPr="00B5222D">
        <w:rPr>
          <w:rFonts w:ascii="Times New Roman" w:hAnsi="Times New Roman"/>
          <w:b/>
        </w:rPr>
        <w:t>r</w:t>
      </w:r>
      <w:r w:rsidRPr="00B5222D">
        <w:rPr>
          <w:rFonts w:ascii="Times New Roman" w:hAnsi="Times New Roman"/>
          <w:b/>
        </w:rPr>
        <w:t>esolution</w:t>
      </w:r>
      <w:r w:rsidR="00981E05" w:rsidRPr="00B5222D">
        <w:rPr>
          <w:rFonts w:ascii="Times New Roman" w:hAnsi="Times New Roman"/>
          <w:b/>
        </w:rPr>
        <w:t xml:space="preserve"> notice and </w:t>
      </w:r>
      <w:r w:rsidR="00B5222D" w:rsidRPr="00B5222D">
        <w:rPr>
          <w:rFonts w:ascii="Times New Roman" w:hAnsi="Times New Roman"/>
          <w:b/>
        </w:rPr>
        <w:t xml:space="preserve">Procedures for resolving errors </w:t>
      </w:r>
      <w:r w:rsidRPr="00B5222D">
        <w:rPr>
          <w:rFonts w:ascii="Times New Roman" w:hAnsi="Times New Roman"/>
          <w:b/>
        </w:rPr>
        <w:t>(</w:t>
      </w:r>
      <w:r w:rsidR="00843A27" w:rsidRPr="00B5222D">
        <w:rPr>
          <w:rFonts w:ascii="Times New Roman" w:hAnsi="Times New Roman"/>
          <w:b/>
        </w:rPr>
        <w:t>S</w:t>
      </w:r>
      <w:r w:rsidRPr="00B5222D">
        <w:rPr>
          <w:rFonts w:ascii="Times New Roman" w:hAnsi="Times New Roman"/>
          <w:b/>
        </w:rPr>
        <w:t>ections 205.8(b) and</w:t>
      </w:r>
      <w:r w:rsidR="00B5222D">
        <w:rPr>
          <w:rFonts w:ascii="Times New Roman" w:hAnsi="Times New Roman"/>
          <w:b/>
        </w:rPr>
        <w:t xml:space="preserve"> </w:t>
      </w:r>
      <w:r w:rsidRPr="00B5222D">
        <w:rPr>
          <w:rFonts w:ascii="Times New Roman" w:hAnsi="Times New Roman"/>
          <w:b/>
        </w:rPr>
        <w:t>205.11)</w:t>
      </w:r>
    </w:p>
    <w:p w:rsidR="003876BB" w:rsidRPr="00B5222D" w:rsidRDefault="003876BB" w:rsidP="00282F04">
      <w:pPr>
        <w:rPr>
          <w:rFonts w:ascii="Times New Roman" w:hAnsi="Times New Roman"/>
        </w:rPr>
      </w:pPr>
    </w:p>
    <w:p w:rsidR="00981E05" w:rsidRPr="00C4396F" w:rsidRDefault="007D2E2A" w:rsidP="0010730C">
      <w:pPr>
        <w:pStyle w:val="BodyText2"/>
        <w:widowControl/>
        <w:tabs>
          <w:tab w:val="left" w:pos="360"/>
        </w:tabs>
        <w:rPr>
          <w:color w:val="auto"/>
        </w:rPr>
      </w:pPr>
      <w:r w:rsidRPr="00B5222D">
        <w:rPr>
          <w:color w:val="auto"/>
        </w:rPr>
        <w:tab/>
      </w:r>
      <w:r w:rsidR="003876BB" w:rsidRPr="00B5222D">
        <w:rPr>
          <w:color w:val="auto"/>
        </w:rPr>
        <w:t xml:space="preserve">Institutions must notify consumers about their rights and responsibilities in connection with errors involving </w:t>
      </w:r>
      <w:r w:rsidR="009A5E2C" w:rsidRPr="00B5222D">
        <w:rPr>
          <w:color w:val="auto"/>
        </w:rPr>
        <w:t>EFTs</w:t>
      </w:r>
      <w:r w:rsidR="003876BB" w:rsidRPr="00B5222D">
        <w:rPr>
          <w:color w:val="auto"/>
        </w:rPr>
        <w:t xml:space="preserve"> by providing either a complete statement of error resolution rights each year or a shorter error resolution rights summary on or with each periodic statement. </w:t>
      </w:r>
      <w:r w:rsidR="003876BB" w:rsidRPr="00B5222D">
        <w:rPr>
          <w:b/>
          <w:color w:val="auto"/>
        </w:rPr>
        <w:t xml:space="preserve"> </w:t>
      </w:r>
      <w:r w:rsidR="00710C56" w:rsidRPr="00C900D7">
        <w:rPr>
          <w:i/>
          <w:color w:val="auto"/>
        </w:rPr>
        <w:t xml:space="preserve">Error resolution rights summaries are typically included with monthly checking and savings account statements provided under Regulation DD, therefore the Regulation E burden associated with this requirement for </w:t>
      </w:r>
      <w:r w:rsidR="00560696" w:rsidRPr="00C900D7">
        <w:rPr>
          <w:i/>
          <w:color w:val="auto"/>
        </w:rPr>
        <w:t xml:space="preserve">SMBs </w:t>
      </w:r>
      <w:r w:rsidR="00710C56" w:rsidRPr="00C900D7">
        <w:rPr>
          <w:i/>
          <w:color w:val="auto"/>
        </w:rPr>
        <w:t>is accounted for in the estimate of the paperwork burden under Regulation DD.</w:t>
      </w:r>
    </w:p>
    <w:p w:rsidR="00981E05" w:rsidRPr="00C4396F" w:rsidRDefault="00981E05" w:rsidP="00282F04">
      <w:pPr>
        <w:pStyle w:val="BodyText2"/>
        <w:tabs>
          <w:tab w:val="left" w:pos="360"/>
        </w:tabs>
        <w:rPr>
          <w:color w:val="auto"/>
        </w:rPr>
      </w:pPr>
    </w:p>
    <w:p w:rsidR="003876BB" w:rsidRPr="00C4396F" w:rsidRDefault="00981E05" w:rsidP="00282F04">
      <w:pPr>
        <w:pStyle w:val="BodyText2"/>
        <w:tabs>
          <w:tab w:val="left" w:pos="360"/>
        </w:tabs>
        <w:rPr>
          <w:color w:val="auto"/>
        </w:rPr>
      </w:pPr>
      <w:r w:rsidRPr="00C4396F">
        <w:rPr>
          <w:color w:val="auto"/>
        </w:rPr>
        <w:tab/>
      </w:r>
      <w:r w:rsidR="003876BB" w:rsidRPr="00C4396F">
        <w:rPr>
          <w:color w:val="auto"/>
        </w:rPr>
        <w:t xml:space="preserve">When a consumer </w:t>
      </w:r>
      <w:r w:rsidR="00FD6F45" w:rsidRPr="00C4396F">
        <w:rPr>
          <w:color w:val="auto"/>
        </w:rPr>
        <w:t>provides notice of</w:t>
      </w:r>
      <w:r w:rsidR="003876BB" w:rsidRPr="00C4396F">
        <w:rPr>
          <w:color w:val="auto"/>
        </w:rPr>
        <w:t xml:space="preserve"> an error, </w:t>
      </w:r>
      <w:r w:rsidR="00594548" w:rsidRPr="00C4396F">
        <w:rPr>
          <w:color w:val="auto"/>
        </w:rPr>
        <w:t>the institution must investigate and determine whether an error occurred.</w:t>
      </w:r>
      <w:r w:rsidR="005558F8" w:rsidRPr="00C4396F">
        <w:rPr>
          <w:rStyle w:val="FootnoteReference"/>
          <w:color w:val="auto"/>
          <w:vertAlign w:val="superscript"/>
        </w:rPr>
        <w:footnoteReference w:id="14"/>
      </w:r>
      <w:r w:rsidR="005558F8" w:rsidRPr="00C4396F">
        <w:rPr>
          <w:color w:val="auto"/>
        </w:rPr>
        <w:t xml:space="preserve">  </w:t>
      </w:r>
      <w:r w:rsidR="00C41C0F" w:rsidRPr="00C4396F">
        <w:rPr>
          <w:color w:val="auto"/>
        </w:rPr>
        <w:t>Generally, i</w:t>
      </w:r>
      <w:r w:rsidR="003876BB" w:rsidRPr="00C4396F">
        <w:rPr>
          <w:color w:val="auto"/>
        </w:rPr>
        <w:t xml:space="preserve">f the institution is unable to complete its investigation of the error within </w:t>
      </w:r>
      <w:r w:rsidR="00DB7ED9" w:rsidRPr="00C4396F">
        <w:rPr>
          <w:color w:val="auto"/>
        </w:rPr>
        <w:t>10</w:t>
      </w:r>
      <w:r w:rsidR="009A5E2C" w:rsidRPr="00C4396F">
        <w:rPr>
          <w:color w:val="auto"/>
        </w:rPr>
        <w:t xml:space="preserve"> </w:t>
      </w:r>
      <w:r w:rsidR="003876BB" w:rsidRPr="00C4396F">
        <w:rPr>
          <w:color w:val="auto"/>
        </w:rPr>
        <w:t xml:space="preserve">business days, it may take up to </w:t>
      </w:r>
      <w:r w:rsidR="00560696" w:rsidRPr="00C4396F">
        <w:rPr>
          <w:color w:val="auto"/>
        </w:rPr>
        <w:t>45</w:t>
      </w:r>
      <w:r w:rsidR="009A5E2C" w:rsidRPr="00C4396F">
        <w:rPr>
          <w:color w:val="auto"/>
        </w:rPr>
        <w:t xml:space="preserve"> </w:t>
      </w:r>
      <w:r w:rsidR="00FD6F45" w:rsidRPr="00C4396F">
        <w:rPr>
          <w:color w:val="auto"/>
        </w:rPr>
        <w:t xml:space="preserve">calendar </w:t>
      </w:r>
      <w:r w:rsidR="003876BB" w:rsidRPr="00C4396F">
        <w:rPr>
          <w:color w:val="auto"/>
        </w:rPr>
        <w:t xml:space="preserve">days provided it </w:t>
      </w:r>
      <w:r w:rsidR="00FD6F45" w:rsidRPr="00C4396F">
        <w:rPr>
          <w:color w:val="auto"/>
        </w:rPr>
        <w:t xml:space="preserve">provisionally </w:t>
      </w:r>
      <w:r w:rsidR="003876BB" w:rsidRPr="00C4396F">
        <w:rPr>
          <w:color w:val="auto"/>
        </w:rPr>
        <w:t>credits the disputed amount to the consumer</w:t>
      </w:r>
      <w:r w:rsidR="00FD6F45" w:rsidRPr="00C4396F">
        <w:rPr>
          <w:color w:val="auto"/>
        </w:rPr>
        <w:t>’</w:t>
      </w:r>
      <w:r w:rsidR="003876BB" w:rsidRPr="00C4396F">
        <w:rPr>
          <w:color w:val="auto"/>
        </w:rPr>
        <w:t xml:space="preserve">s account within the </w:t>
      </w:r>
      <w:r w:rsidR="00DB7ED9" w:rsidRPr="00C4396F">
        <w:rPr>
          <w:color w:val="auto"/>
        </w:rPr>
        <w:t>10</w:t>
      </w:r>
      <w:r w:rsidR="003876BB" w:rsidRPr="00C4396F">
        <w:rPr>
          <w:color w:val="auto"/>
        </w:rPr>
        <w:t xml:space="preserve"> business days</w:t>
      </w:r>
      <w:r w:rsidR="00594548" w:rsidRPr="00C4396F">
        <w:rPr>
          <w:color w:val="auto"/>
        </w:rPr>
        <w:t xml:space="preserve">, </w:t>
      </w:r>
      <w:r w:rsidR="003876BB" w:rsidRPr="00C4396F">
        <w:rPr>
          <w:color w:val="auto"/>
        </w:rPr>
        <w:t xml:space="preserve">notifies the consumer, orally or in writing, of the </w:t>
      </w:r>
      <w:r w:rsidR="00FD6F45" w:rsidRPr="00C4396F">
        <w:rPr>
          <w:color w:val="auto"/>
        </w:rPr>
        <w:t xml:space="preserve">provisional </w:t>
      </w:r>
      <w:r w:rsidR="003876BB" w:rsidRPr="00C4396F">
        <w:rPr>
          <w:color w:val="auto"/>
        </w:rPr>
        <w:t>crediting</w:t>
      </w:r>
      <w:r w:rsidR="00594548" w:rsidRPr="00C4396F">
        <w:rPr>
          <w:color w:val="auto"/>
        </w:rPr>
        <w:t>,</w:t>
      </w:r>
      <w:r w:rsidR="00FD6F45" w:rsidRPr="00C4396F">
        <w:rPr>
          <w:color w:val="auto"/>
        </w:rPr>
        <w:t xml:space="preserve"> and gives the consumer full use of the funds during the investigation</w:t>
      </w:r>
      <w:r w:rsidR="003876BB" w:rsidRPr="00C4396F">
        <w:rPr>
          <w:color w:val="auto"/>
        </w:rPr>
        <w:t xml:space="preserve">.  </w:t>
      </w:r>
      <w:r w:rsidR="00A669C5" w:rsidRPr="00C4396F">
        <w:rPr>
          <w:color w:val="auto"/>
        </w:rPr>
        <w:t>The institution must correct the error, if any</w:t>
      </w:r>
      <w:r w:rsidR="003876BB" w:rsidRPr="00C4396F">
        <w:rPr>
          <w:color w:val="auto"/>
        </w:rPr>
        <w:t xml:space="preserve">, </w:t>
      </w:r>
      <w:r w:rsidR="00A669C5" w:rsidRPr="00C4396F">
        <w:rPr>
          <w:color w:val="auto"/>
        </w:rPr>
        <w:t>report the results to the consumer</w:t>
      </w:r>
      <w:r w:rsidR="00BB4B5F" w:rsidRPr="00C4396F">
        <w:rPr>
          <w:color w:val="auto"/>
        </w:rPr>
        <w:t>,</w:t>
      </w:r>
      <w:r w:rsidR="00A669C5" w:rsidRPr="00C4396F">
        <w:rPr>
          <w:color w:val="auto"/>
        </w:rPr>
        <w:t xml:space="preserve"> and </w:t>
      </w:r>
      <w:r w:rsidR="003876BB" w:rsidRPr="00C4396F">
        <w:rPr>
          <w:color w:val="auto"/>
        </w:rPr>
        <w:t xml:space="preserve">notify the consumer that the </w:t>
      </w:r>
      <w:r w:rsidR="00F879B0" w:rsidRPr="00C4396F">
        <w:rPr>
          <w:color w:val="auto"/>
        </w:rPr>
        <w:t xml:space="preserve">provisional credit </w:t>
      </w:r>
      <w:r w:rsidR="003876BB" w:rsidRPr="00C4396F">
        <w:rPr>
          <w:color w:val="auto"/>
        </w:rPr>
        <w:t xml:space="preserve">has been made final or that it </w:t>
      </w:r>
      <w:r w:rsidR="003876BB" w:rsidRPr="00C4396F">
        <w:rPr>
          <w:color w:val="auto"/>
        </w:rPr>
        <w:lastRenderedPageBreak/>
        <w:t>has been debited, depending on the institution’s determination.  A correction notice may be included in the periodic statement if it is clearly identified</w:t>
      </w:r>
      <w:r w:rsidR="00F879B0" w:rsidRPr="00C4396F">
        <w:rPr>
          <w:color w:val="auto"/>
        </w:rPr>
        <w:t>,</w:t>
      </w:r>
      <w:r w:rsidR="003876BB" w:rsidRPr="00C4396F">
        <w:rPr>
          <w:color w:val="auto"/>
        </w:rPr>
        <w:t xml:space="preserve"> and the statement is mailed or delivered within the applicable time limit.</w:t>
      </w:r>
      <w:r w:rsidR="00327347" w:rsidRPr="00C4396F">
        <w:rPr>
          <w:color w:val="auto"/>
        </w:rPr>
        <w:t xml:space="preserve">  For payroll card accounts where the financial institution provides alternative disclosures to regular periodic statements, the timing </w:t>
      </w:r>
      <w:r w:rsidR="00831F78" w:rsidRPr="00C4396F">
        <w:rPr>
          <w:color w:val="auto"/>
        </w:rPr>
        <w:t xml:space="preserve">requirements </w:t>
      </w:r>
      <w:r w:rsidR="00327347" w:rsidRPr="00C4396F">
        <w:rPr>
          <w:color w:val="auto"/>
        </w:rPr>
        <w:t xml:space="preserve">for the error resolution procedures </w:t>
      </w:r>
      <w:r w:rsidR="00986D5F" w:rsidRPr="00C4396F">
        <w:rPr>
          <w:color w:val="auto"/>
        </w:rPr>
        <w:t>are</w:t>
      </w:r>
      <w:r w:rsidR="00327347" w:rsidRPr="00C4396F">
        <w:rPr>
          <w:color w:val="auto"/>
        </w:rPr>
        <w:t xml:space="preserve"> modified.</w:t>
      </w:r>
      <w:r w:rsidR="00311FC0" w:rsidRPr="00C4396F">
        <w:rPr>
          <w:rStyle w:val="FootnoteReference"/>
          <w:color w:val="auto"/>
          <w:vertAlign w:val="superscript"/>
        </w:rPr>
        <w:footnoteReference w:id="15"/>
      </w:r>
    </w:p>
    <w:p w:rsidR="00206F13" w:rsidRPr="00C4396F" w:rsidRDefault="00206F13" w:rsidP="00DB7ED9">
      <w:pPr>
        <w:tabs>
          <w:tab w:val="left" w:pos="360"/>
        </w:tabs>
        <w:ind w:firstLine="360"/>
        <w:rPr>
          <w:rFonts w:ascii="Times New Roman" w:hAnsi="Times New Roman"/>
          <w:b/>
        </w:rPr>
      </w:pPr>
    </w:p>
    <w:p w:rsidR="00570E72" w:rsidRPr="00C4396F" w:rsidRDefault="00570E72" w:rsidP="00DB7ED9">
      <w:pPr>
        <w:tabs>
          <w:tab w:val="left" w:pos="360"/>
        </w:tabs>
        <w:ind w:firstLine="360"/>
        <w:rPr>
          <w:rFonts w:ascii="Times New Roman" w:hAnsi="Times New Roman"/>
          <w:b/>
        </w:rPr>
      </w:pPr>
      <w:r w:rsidRPr="00C4396F">
        <w:rPr>
          <w:rFonts w:ascii="Times New Roman" w:hAnsi="Times New Roman"/>
          <w:b/>
        </w:rPr>
        <w:t>Disclosures at ATMs (Section 205.16(c))</w:t>
      </w:r>
    </w:p>
    <w:p w:rsidR="00570E72" w:rsidRPr="00C4396F" w:rsidRDefault="00570E72" w:rsidP="00570E72">
      <w:pPr>
        <w:tabs>
          <w:tab w:val="left" w:pos="360"/>
        </w:tabs>
        <w:rPr>
          <w:rFonts w:ascii="Times New Roman" w:hAnsi="Times New Roman"/>
          <w:b/>
        </w:rPr>
      </w:pPr>
    </w:p>
    <w:p w:rsidR="00673168" w:rsidRPr="00C4396F" w:rsidRDefault="00570E72" w:rsidP="00673168">
      <w:pPr>
        <w:tabs>
          <w:tab w:val="left" w:pos="360"/>
        </w:tabs>
        <w:rPr>
          <w:rFonts w:ascii="Times New Roman" w:hAnsi="Times New Roman"/>
          <w:i/>
        </w:rPr>
      </w:pPr>
      <w:r w:rsidRPr="00C4396F">
        <w:rPr>
          <w:rFonts w:ascii="Times New Roman" w:hAnsi="Times New Roman"/>
          <w:b/>
        </w:rPr>
        <w:tab/>
      </w:r>
      <w:r w:rsidR="006E143C" w:rsidRPr="00C4396F">
        <w:rPr>
          <w:rFonts w:ascii="Times New Roman" w:hAnsi="Times New Roman"/>
        </w:rPr>
        <w:t>An</w:t>
      </w:r>
      <w:r w:rsidRPr="00C4396F">
        <w:rPr>
          <w:rFonts w:ascii="Times New Roman" w:hAnsi="Times New Roman"/>
        </w:rPr>
        <w:t xml:space="preserve"> ATM operator </w:t>
      </w:r>
      <w:r w:rsidR="006E143C" w:rsidRPr="00C4396F">
        <w:rPr>
          <w:rFonts w:ascii="Times New Roman" w:hAnsi="Times New Roman"/>
        </w:rPr>
        <w:t xml:space="preserve">that imposes a fee on a consumer for initiating an EFT or balance inquiry </w:t>
      </w:r>
      <w:r w:rsidRPr="00C4396F">
        <w:rPr>
          <w:rFonts w:ascii="Times New Roman" w:hAnsi="Times New Roman"/>
        </w:rPr>
        <w:t>must</w:t>
      </w:r>
      <w:r w:rsidR="006E143C" w:rsidRPr="00C4396F">
        <w:rPr>
          <w:rFonts w:ascii="Times New Roman" w:hAnsi="Times New Roman"/>
        </w:rPr>
        <w:t>:</w:t>
      </w:r>
      <w:r w:rsidRPr="00C4396F">
        <w:rPr>
          <w:rFonts w:ascii="Times New Roman" w:hAnsi="Times New Roman"/>
        </w:rPr>
        <w:t xml:space="preserve"> </w:t>
      </w:r>
      <w:r w:rsidR="006E143C" w:rsidRPr="00C4396F">
        <w:rPr>
          <w:rFonts w:ascii="Times New Roman" w:hAnsi="Times New Roman"/>
        </w:rPr>
        <w:t>a) post</w:t>
      </w:r>
      <w:r w:rsidRPr="00C4396F">
        <w:rPr>
          <w:rFonts w:ascii="Times New Roman" w:hAnsi="Times New Roman"/>
        </w:rPr>
        <w:t xml:space="preserve"> </w:t>
      </w:r>
      <w:r w:rsidR="00BB4B5F" w:rsidRPr="00C4396F">
        <w:rPr>
          <w:rFonts w:ascii="Times New Roman" w:hAnsi="Times New Roman"/>
        </w:rPr>
        <w:t>a notice</w:t>
      </w:r>
      <w:r w:rsidRPr="00C4396F">
        <w:rPr>
          <w:rFonts w:ascii="Times New Roman" w:hAnsi="Times New Roman"/>
        </w:rPr>
        <w:t xml:space="preserve"> on or at the ATM</w:t>
      </w:r>
      <w:r w:rsidR="006E143C" w:rsidRPr="00C4396F">
        <w:rPr>
          <w:rFonts w:ascii="Times New Roman" w:hAnsi="Times New Roman"/>
        </w:rPr>
        <w:t xml:space="preserve"> that a fee will or may be imposed for EFT services or for a balance inquiry</w:t>
      </w:r>
      <w:r w:rsidRPr="00C4396F">
        <w:rPr>
          <w:rFonts w:ascii="Times New Roman" w:hAnsi="Times New Roman"/>
        </w:rPr>
        <w:t xml:space="preserve">, and b) provide </w:t>
      </w:r>
      <w:r w:rsidR="006E143C" w:rsidRPr="00C4396F">
        <w:rPr>
          <w:rFonts w:ascii="Times New Roman" w:hAnsi="Times New Roman"/>
        </w:rPr>
        <w:t xml:space="preserve">screen or paper notice </w:t>
      </w:r>
      <w:r w:rsidRPr="00C4396F">
        <w:rPr>
          <w:rFonts w:ascii="Times New Roman" w:hAnsi="Times New Roman"/>
        </w:rPr>
        <w:t xml:space="preserve">that an ATM fee will be imposed and the amount of the fee </w:t>
      </w:r>
      <w:r w:rsidR="006E143C" w:rsidRPr="00C4396F">
        <w:rPr>
          <w:rFonts w:ascii="Times New Roman" w:hAnsi="Times New Roman"/>
        </w:rPr>
        <w:t>before the consumer is committed to paying the fee</w:t>
      </w:r>
      <w:r w:rsidRPr="00C4396F">
        <w:rPr>
          <w:rFonts w:ascii="Times New Roman" w:hAnsi="Times New Roman"/>
        </w:rPr>
        <w:t>.</w:t>
      </w:r>
      <w:r w:rsidR="006E143C" w:rsidRPr="00C4396F">
        <w:rPr>
          <w:rFonts w:ascii="Times New Roman" w:hAnsi="Times New Roman"/>
        </w:rPr>
        <w:t xml:space="preserve">  </w:t>
      </w:r>
      <w:r w:rsidR="00673168" w:rsidRPr="00EC7CAB">
        <w:rPr>
          <w:rFonts w:ascii="Times New Roman" w:hAnsi="Times New Roman"/>
          <w:i/>
        </w:rPr>
        <w:t>Because these disclosures are machine-generated and involvement by an employee of the institution is minimal, for purposes of the PRA</w:t>
      </w:r>
      <w:r w:rsidR="007B7F3B" w:rsidRPr="00EC7CAB">
        <w:rPr>
          <w:rFonts w:ascii="Times New Roman" w:hAnsi="Times New Roman"/>
          <w:i/>
        </w:rPr>
        <w:t>,</w:t>
      </w:r>
      <w:r w:rsidR="00673168" w:rsidRPr="00EC7CAB">
        <w:rPr>
          <w:rFonts w:ascii="Times New Roman" w:hAnsi="Times New Roman"/>
          <w:i/>
        </w:rPr>
        <w:t xml:space="preserve"> burden associated with this requirement </w:t>
      </w:r>
      <w:r w:rsidR="007B7F3B" w:rsidRPr="00EC7CAB">
        <w:rPr>
          <w:rFonts w:ascii="Times New Roman" w:hAnsi="Times New Roman"/>
          <w:i/>
        </w:rPr>
        <w:t xml:space="preserve">is </w:t>
      </w:r>
      <w:r w:rsidR="00673168" w:rsidRPr="00EC7CAB">
        <w:rPr>
          <w:rFonts w:ascii="Times New Roman" w:hAnsi="Times New Roman"/>
          <w:i/>
        </w:rPr>
        <w:t>negligible.</w:t>
      </w:r>
    </w:p>
    <w:p w:rsidR="00EC7CAB" w:rsidRDefault="00EC7CAB" w:rsidP="004E7172">
      <w:pPr>
        <w:widowControl/>
        <w:ind w:firstLine="360"/>
        <w:rPr>
          <w:rFonts w:ascii="Times New Roman" w:hAnsi="Times New Roman"/>
          <w:b/>
        </w:rPr>
      </w:pPr>
    </w:p>
    <w:p w:rsidR="004E7172" w:rsidRPr="00C4396F" w:rsidRDefault="004E7172" w:rsidP="00B254A7">
      <w:pPr>
        <w:widowControl/>
        <w:ind w:left="360"/>
        <w:rPr>
          <w:rFonts w:ascii="Times New Roman" w:hAnsi="Times New Roman"/>
          <w:b/>
        </w:rPr>
      </w:pPr>
      <w:r w:rsidRPr="00C4396F">
        <w:rPr>
          <w:rFonts w:ascii="Times New Roman" w:hAnsi="Times New Roman"/>
          <w:b/>
        </w:rPr>
        <w:t>Disclosures related to loyalty, award, or promotional gift cards,</w:t>
      </w:r>
      <w:r w:rsidR="00B254A7">
        <w:rPr>
          <w:rFonts w:ascii="Times New Roman" w:hAnsi="Times New Roman"/>
          <w:b/>
        </w:rPr>
        <w:t xml:space="preserve"> </w:t>
      </w:r>
      <w:r w:rsidRPr="00C4396F">
        <w:rPr>
          <w:rFonts w:ascii="Times New Roman" w:hAnsi="Times New Roman"/>
          <w:b/>
        </w:rPr>
        <w:t>Section 205.20(a)(4)(iii)</w:t>
      </w:r>
      <w:r w:rsidR="00EC7CAB" w:rsidRPr="00EC7CAB">
        <w:rPr>
          <w:rStyle w:val="FootnoteReference"/>
          <w:rFonts w:ascii="Times New Roman" w:hAnsi="Times New Roman"/>
          <w:b/>
          <w:vertAlign w:val="superscript"/>
        </w:rPr>
        <w:footnoteReference w:id="16"/>
      </w:r>
    </w:p>
    <w:p w:rsidR="004E7172" w:rsidRPr="00C4396F" w:rsidRDefault="004E7172" w:rsidP="004E7172">
      <w:pPr>
        <w:widowControl/>
        <w:ind w:firstLine="360"/>
        <w:rPr>
          <w:rFonts w:ascii="Times New Roman" w:hAnsi="Times New Roman"/>
          <w:b/>
        </w:rPr>
      </w:pPr>
    </w:p>
    <w:p w:rsidR="004E7172" w:rsidRPr="00C4396F" w:rsidRDefault="004E7172" w:rsidP="004E7172">
      <w:pPr>
        <w:widowControl/>
        <w:ind w:firstLine="360"/>
        <w:rPr>
          <w:rFonts w:ascii="Times New Roman" w:hAnsi="Times New Roman"/>
          <w:b/>
        </w:rPr>
      </w:pPr>
      <w:r w:rsidRPr="00C4396F">
        <w:rPr>
          <w:rFonts w:ascii="Times New Roman" w:hAnsi="Times New Roman"/>
        </w:rPr>
        <w:t xml:space="preserve">Specifically, section 205.20(a)(4)(iii)(A) requires a loyalty, award, or promotional gift card to state on the card, code, or other device itself that it is issued for loyalty, award, or promotional purposes.  This statement must be on the front of the card, code, or other device to enable consumers to easily identify the type of card and avoid potential consumer confusion arising from the fact that a loyalty, award, or promotional gift card may otherwise look identical to a gift card that a consumer may purchase directly from a merchant.  In addition, disclosure of the expiration date for the underlying funds are to be stated on the front of a loyalty, award, or promotional gift card because such cards typically have shorter expiration dates than other certificates or cards subject to the rule.  </w:t>
      </w:r>
      <w:r w:rsidRPr="00C4396F">
        <w:rPr>
          <w:rFonts w:ascii="Times New Roman" w:hAnsi="Times New Roman"/>
          <w:u w:val="single"/>
        </w:rPr>
        <w:t>See</w:t>
      </w:r>
      <w:r w:rsidRPr="00C4396F">
        <w:rPr>
          <w:rFonts w:ascii="Times New Roman" w:hAnsi="Times New Roman"/>
        </w:rPr>
        <w:t xml:space="preserve"> section 205.20(a)(4)(iii)(B).  Where the card and funds expiration date are the same, a single disclosure regarding the expiration dates satisfies the requirement in section 205.20(a)(4)(iii)(B).</w:t>
      </w:r>
    </w:p>
    <w:p w:rsidR="003460FC" w:rsidRPr="004E7172" w:rsidRDefault="003460FC" w:rsidP="003460F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rPr>
      </w:pPr>
    </w:p>
    <w:p w:rsidR="00C663AE" w:rsidRPr="008B3A7C" w:rsidRDefault="008B3A7C" w:rsidP="0088284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8B3A7C">
        <w:rPr>
          <w:rFonts w:ascii="Times New Roman" w:hAnsi="Times New Roman"/>
          <w:b/>
        </w:rPr>
        <w:t>Requirements for gift cards and gift certificates</w:t>
      </w:r>
      <w:r w:rsidRPr="008B3A7C">
        <w:rPr>
          <w:rFonts w:ascii="Times New Roman" w:hAnsi="Times New Roman"/>
          <w:b/>
          <w:i/>
        </w:rPr>
        <w:t xml:space="preserve"> </w:t>
      </w:r>
      <w:r>
        <w:rPr>
          <w:rFonts w:ascii="Times New Roman" w:hAnsi="Times New Roman"/>
          <w:b/>
          <w:i/>
        </w:rPr>
        <w:t>Exclusions</w:t>
      </w:r>
      <w:r w:rsidR="00C663AE" w:rsidRPr="008B3A7C">
        <w:rPr>
          <w:rFonts w:ascii="Times New Roman" w:hAnsi="Times New Roman"/>
          <w:b/>
          <w:i/>
        </w:rPr>
        <w:t xml:space="preserve"> </w:t>
      </w:r>
      <w:r w:rsidR="0023439D" w:rsidRPr="008B3A7C">
        <w:rPr>
          <w:rFonts w:ascii="Times New Roman" w:hAnsi="Times New Roman"/>
          <w:b/>
        </w:rPr>
        <w:t>Section 205.20(b)(2)</w:t>
      </w:r>
    </w:p>
    <w:p w:rsidR="00206F13" w:rsidRPr="008B3A7C" w:rsidRDefault="00206F13" w:rsidP="00C663AE">
      <w:pPr>
        <w:widowControl/>
        <w:ind w:firstLine="360"/>
        <w:rPr>
          <w:rFonts w:ascii="Times New Roman" w:hAnsi="Times New Roman"/>
        </w:rPr>
      </w:pPr>
    </w:p>
    <w:p w:rsidR="00E30C6B" w:rsidRDefault="00206F13" w:rsidP="00954E94">
      <w:pPr>
        <w:widowControl/>
        <w:ind w:firstLine="360"/>
        <w:rPr>
          <w:rFonts w:ascii="Times New Roman" w:hAnsi="Times New Roman"/>
        </w:rPr>
      </w:pPr>
      <w:r w:rsidRPr="00C4396F">
        <w:rPr>
          <w:rFonts w:ascii="Times New Roman" w:hAnsi="Times New Roman"/>
        </w:rPr>
        <w:t>This Section i</w:t>
      </w:r>
      <w:r w:rsidR="0023439D" w:rsidRPr="00C4396F">
        <w:rPr>
          <w:rFonts w:ascii="Times New Roman" w:hAnsi="Times New Roman"/>
        </w:rPr>
        <w:t xml:space="preserve">mplements the exclusion for cards, codes, or other devices that are reloadable and not marketed or labeled as a gift card or gift certificate.  As noted in </w:t>
      </w:r>
      <w:r w:rsidR="001A4D45">
        <w:rPr>
          <w:rFonts w:ascii="Times New Roman" w:hAnsi="Times New Roman"/>
        </w:rPr>
        <w:t>section</w:t>
      </w:r>
      <w:r w:rsidR="0023439D" w:rsidRPr="00C4396F">
        <w:rPr>
          <w:rFonts w:ascii="Times New Roman" w:hAnsi="Times New Roman"/>
        </w:rPr>
        <w:t xml:space="preserve"> 205.20(b)(2)-4.i., institutions will qualify for this exclusion so long as they establish and maintain policies and procedures reasonably designed to avoid the marketing of a prepaid card not otherwise subject to the rule, such as a general-purpose reloadable card, as a gift card or gift certificate.</w:t>
      </w:r>
    </w:p>
    <w:p w:rsidR="00954E94" w:rsidRDefault="00954E94" w:rsidP="00954E94">
      <w:pPr>
        <w:widowControl/>
        <w:ind w:firstLine="360"/>
        <w:rPr>
          <w:rFonts w:ascii="Times New Roman" w:hAnsi="Times New Roman"/>
          <w:b/>
          <w:iCs/>
        </w:rPr>
      </w:pPr>
    </w:p>
    <w:p w:rsidR="00935710" w:rsidRDefault="00935710">
      <w:pPr>
        <w:widowControl/>
        <w:autoSpaceDE/>
        <w:autoSpaceDN/>
        <w:adjustRightInd/>
        <w:rPr>
          <w:rFonts w:ascii="Times New Roman" w:hAnsi="Times New Roman"/>
          <w:b/>
          <w:iCs/>
        </w:rPr>
      </w:pPr>
      <w:r>
        <w:rPr>
          <w:rFonts w:ascii="Times New Roman" w:hAnsi="Times New Roman"/>
          <w:b/>
          <w:iCs/>
        </w:rPr>
        <w:br w:type="page"/>
      </w:r>
    </w:p>
    <w:p w:rsidR="00206F13" w:rsidRPr="004E7172" w:rsidRDefault="004E7172" w:rsidP="004E7172">
      <w:pPr>
        <w:widowControl/>
        <w:ind w:left="360"/>
        <w:rPr>
          <w:rFonts w:ascii="Times New Roman" w:hAnsi="Times New Roman"/>
          <w:b/>
        </w:rPr>
      </w:pPr>
      <w:r w:rsidRPr="004E7172">
        <w:rPr>
          <w:rFonts w:ascii="Times New Roman" w:hAnsi="Times New Roman"/>
          <w:b/>
          <w:iCs/>
        </w:rPr>
        <w:lastRenderedPageBreak/>
        <w:t>Prohibition on sale of gift certificates or cards with expiration dates</w:t>
      </w:r>
      <w:r>
        <w:rPr>
          <w:rFonts w:ascii="Times New Roman" w:hAnsi="Times New Roman"/>
          <w:b/>
          <w:iCs/>
        </w:rPr>
        <w:t xml:space="preserve"> </w:t>
      </w:r>
      <w:r w:rsidR="00935710">
        <w:rPr>
          <w:rFonts w:ascii="Times New Roman" w:hAnsi="Times New Roman"/>
          <w:b/>
        </w:rPr>
        <w:t>Section 205.20(e)(1)</w:t>
      </w:r>
    </w:p>
    <w:p w:rsidR="00206F13" w:rsidRPr="00C4396F" w:rsidRDefault="00206F13" w:rsidP="0023439D">
      <w:pPr>
        <w:widowControl/>
        <w:ind w:firstLine="360"/>
        <w:rPr>
          <w:rFonts w:ascii="Times New Roman" w:hAnsi="Times New Roman"/>
        </w:rPr>
      </w:pPr>
    </w:p>
    <w:p w:rsidR="0023439D" w:rsidRPr="00C4396F" w:rsidRDefault="00206F13" w:rsidP="0023439D">
      <w:pPr>
        <w:widowControl/>
        <w:ind w:firstLine="360"/>
        <w:rPr>
          <w:rFonts w:ascii="Times New Roman" w:hAnsi="Times New Roman"/>
        </w:rPr>
      </w:pPr>
      <w:r w:rsidRPr="00C4396F">
        <w:rPr>
          <w:rFonts w:ascii="Times New Roman" w:hAnsi="Times New Roman"/>
        </w:rPr>
        <w:t>Institutions</w:t>
      </w:r>
      <w:r w:rsidR="0023439D" w:rsidRPr="00C4396F">
        <w:rPr>
          <w:rFonts w:ascii="Times New Roman" w:hAnsi="Times New Roman"/>
        </w:rPr>
        <w:t xml:space="preserve"> involved in issuing and selling certificates or cards are required to adopt policies and procedures to provide consumers with a reasonable opportuni</w:t>
      </w:r>
      <w:r w:rsidR="001F46F7">
        <w:rPr>
          <w:rFonts w:ascii="Times New Roman" w:hAnsi="Times New Roman"/>
        </w:rPr>
        <w:t xml:space="preserve">ty to purchase a certificate or </w:t>
      </w:r>
      <w:r w:rsidR="0023439D" w:rsidRPr="00C4396F">
        <w:rPr>
          <w:rFonts w:ascii="Times New Roman" w:hAnsi="Times New Roman"/>
        </w:rPr>
        <w:t>card with at least five years remaining until the certificate or card expiration date.</w:t>
      </w:r>
    </w:p>
    <w:p w:rsidR="0023439D" w:rsidRPr="00C4396F" w:rsidRDefault="0023439D" w:rsidP="0023439D">
      <w:pPr>
        <w:widowControl/>
        <w:ind w:firstLine="360"/>
        <w:rPr>
          <w:rFonts w:ascii="Times New Roman" w:hAnsi="Times New Roman"/>
        </w:rPr>
      </w:pPr>
    </w:p>
    <w:p w:rsidR="00C663AE" w:rsidRPr="00C4396F" w:rsidRDefault="00C663AE" w:rsidP="00C663AE">
      <w:pPr>
        <w:widowControl/>
        <w:ind w:left="360"/>
        <w:rPr>
          <w:rFonts w:ascii="Times New Roman" w:hAnsi="Times New Roman"/>
          <w:b/>
        </w:rPr>
      </w:pPr>
      <w:r w:rsidRPr="00C4396F">
        <w:rPr>
          <w:rFonts w:ascii="Times New Roman" w:hAnsi="Times New Roman"/>
          <w:b/>
        </w:rPr>
        <w:t xml:space="preserve">Disclosures related to certificate or card expiration and funds expiration </w:t>
      </w:r>
      <w:r w:rsidR="0023439D" w:rsidRPr="00C4396F">
        <w:rPr>
          <w:rFonts w:ascii="Times New Roman" w:hAnsi="Times New Roman"/>
          <w:b/>
        </w:rPr>
        <w:t>Section 205.20(e)(3)</w:t>
      </w:r>
    </w:p>
    <w:p w:rsidR="00C663AE" w:rsidRPr="00C4396F" w:rsidRDefault="00C663AE" w:rsidP="0023439D">
      <w:pPr>
        <w:widowControl/>
        <w:ind w:firstLine="360"/>
        <w:rPr>
          <w:rFonts w:ascii="Times New Roman" w:hAnsi="Times New Roman"/>
          <w:b/>
        </w:rPr>
      </w:pPr>
    </w:p>
    <w:p w:rsidR="002D40C7" w:rsidRDefault="00C663AE" w:rsidP="00E2526B">
      <w:pPr>
        <w:widowControl/>
        <w:ind w:firstLine="360"/>
        <w:rPr>
          <w:rFonts w:ascii="Times New Roman" w:hAnsi="Times New Roman"/>
          <w:b/>
          <w:iCs/>
        </w:rPr>
      </w:pPr>
      <w:r w:rsidRPr="00C4396F">
        <w:rPr>
          <w:rFonts w:ascii="Times New Roman" w:hAnsi="Times New Roman"/>
        </w:rPr>
        <w:t>T</w:t>
      </w:r>
      <w:r w:rsidR="0023439D" w:rsidRPr="00C4396F">
        <w:rPr>
          <w:rFonts w:ascii="Times New Roman" w:hAnsi="Times New Roman"/>
        </w:rPr>
        <w:t xml:space="preserve">hree disclosures must be stated on the certificate or card, as applicable: </w:t>
      </w:r>
      <w:r w:rsidR="00E1231D">
        <w:rPr>
          <w:rFonts w:ascii="Times New Roman" w:hAnsi="Times New Roman"/>
        </w:rPr>
        <w:t>(</w:t>
      </w:r>
      <w:r w:rsidR="0023439D" w:rsidRPr="00C4396F">
        <w:rPr>
          <w:rFonts w:ascii="Times New Roman" w:hAnsi="Times New Roman"/>
        </w:rPr>
        <w:t xml:space="preserve">1) the terms of expiration of the underlying funds or, if the underlying funds do not expire, that fact; </w:t>
      </w:r>
      <w:r w:rsidR="00E1231D">
        <w:rPr>
          <w:rFonts w:ascii="Times New Roman" w:hAnsi="Times New Roman"/>
        </w:rPr>
        <w:t>(</w:t>
      </w:r>
      <w:r w:rsidR="0023439D" w:rsidRPr="00C4396F">
        <w:rPr>
          <w:rFonts w:ascii="Times New Roman" w:hAnsi="Times New Roman"/>
        </w:rPr>
        <w:t xml:space="preserve">2)  a toll-free telephone number and, if one is maintained, a Web site that a consumer may use to obtain a replacement certificate or card after the certificate or card expires, if the underlying funds may be available; </w:t>
      </w:r>
      <w:r w:rsidR="00E1231D">
        <w:rPr>
          <w:rFonts w:ascii="Times New Roman" w:hAnsi="Times New Roman"/>
        </w:rPr>
        <w:t>and (</w:t>
      </w:r>
      <w:r w:rsidR="0023439D" w:rsidRPr="00C4396F">
        <w:rPr>
          <w:rFonts w:ascii="Times New Roman" w:hAnsi="Times New Roman"/>
        </w:rPr>
        <w:t>3)  a statement that the certificate or card expires, but the underlying funds either do not expire or expire later than the certificate or card, and that the consumer may contact the issuer for a replacement card.</w:t>
      </w:r>
      <w:r w:rsidR="005D5B14" w:rsidRPr="005D5B14">
        <w:rPr>
          <w:rFonts w:ascii="Times New Roman" w:hAnsi="Times New Roman"/>
          <w:b/>
          <w:iCs/>
        </w:rPr>
        <w:t xml:space="preserve"> </w:t>
      </w:r>
    </w:p>
    <w:p w:rsidR="00E2526B" w:rsidRDefault="00E2526B" w:rsidP="00E2526B">
      <w:pPr>
        <w:widowControl/>
        <w:ind w:firstLine="360"/>
        <w:rPr>
          <w:rFonts w:ascii="Times New Roman" w:hAnsi="Times New Roman"/>
          <w:b/>
        </w:rPr>
      </w:pPr>
    </w:p>
    <w:p w:rsidR="007C36DF" w:rsidRDefault="00F6799D" w:rsidP="007C36DF">
      <w:pPr>
        <w:widowControl/>
        <w:ind w:firstLine="360"/>
        <w:rPr>
          <w:rFonts w:ascii="Times New Roman" w:hAnsi="Times New Roman"/>
          <w:b/>
        </w:rPr>
      </w:pPr>
      <w:r w:rsidRPr="00C4396F">
        <w:rPr>
          <w:rFonts w:ascii="Times New Roman" w:hAnsi="Times New Roman"/>
          <w:b/>
        </w:rPr>
        <w:t>Additional Disclosures</w:t>
      </w:r>
      <w:r w:rsidR="00574CAE" w:rsidRPr="00C4396F">
        <w:rPr>
          <w:rFonts w:ascii="Times New Roman" w:hAnsi="Times New Roman"/>
          <w:b/>
        </w:rPr>
        <w:t xml:space="preserve"> </w:t>
      </w:r>
      <w:r w:rsidR="00574CAE" w:rsidRPr="00C4396F">
        <w:rPr>
          <w:rFonts w:ascii="Times New Roman" w:hAnsi="Times New Roman"/>
          <w:b/>
          <w:iCs/>
        </w:rPr>
        <w:t>Section 205.</w:t>
      </w:r>
      <w:r w:rsidR="00574CAE" w:rsidRPr="00C4396F">
        <w:rPr>
          <w:rFonts w:ascii="Times New Roman" w:hAnsi="Times New Roman"/>
          <w:b/>
        </w:rPr>
        <w:t>20(h)(2)</w:t>
      </w:r>
      <w:r w:rsidR="001F46F7" w:rsidRPr="001F46F7">
        <w:rPr>
          <w:rStyle w:val="FootnoteReference"/>
          <w:rFonts w:ascii="Times New Roman" w:hAnsi="Times New Roman"/>
          <w:b/>
          <w:vertAlign w:val="superscript"/>
        </w:rPr>
        <w:footnoteReference w:id="17"/>
      </w:r>
    </w:p>
    <w:p w:rsidR="007C36DF" w:rsidRDefault="007C36DF" w:rsidP="007C36DF">
      <w:pPr>
        <w:widowControl/>
        <w:ind w:firstLine="360"/>
        <w:rPr>
          <w:rFonts w:ascii="Times New Roman" w:hAnsi="Times New Roman"/>
          <w:b/>
        </w:rPr>
      </w:pPr>
    </w:p>
    <w:p w:rsidR="007C36DF" w:rsidRDefault="00F6799D" w:rsidP="007C36DF">
      <w:pPr>
        <w:widowControl/>
        <w:ind w:firstLine="360"/>
        <w:rPr>
          <w:rFonts w:ascii="Times New Roman" w:hAnsi="Times New Roman"/>
          <w:b/>
        </w:rPr>
      </w:pPr>
      <w:r w:rsidRPr="00C4396F">
        <w:rPr>
          <w:rFonts w:ascii="Times New Roman" w:hAnsi="Times New Roman"/>
        </w:rPr>
        <w:t>In order for an issuer to take</w:t>
      </w:r>
      <w:r w:rsidR="00574CAE" w:rsidRPr="00C4396F">
        <w:rPr>
          <w:rFonts w:ascii="Times New Roman" w:hAnsi="Times New Roman"/>
        </w:rPr>
        <w:t xml:space="preserve"> </w:t>
      </w:r>
      <w:r w:rsidRPr="00C4396F">
        <w:rPr>
          <w:rFonts w:ascii="Times New Roman" w:hAnsi="Times New Roman"/>
        </w:rPr>
        <w:t>advantage of the delayed effective date,</w:t>
      </w:r>
      <w:r w:rsidR="00574CAE" w:rsidRPr="00C4396F">
        <w:rPr>
          <w:rFonts w:ascii="Times New Roman" w:hAnsi="Times New Roman"/>
        </w:rPr>
        <w:t xml:space="preserve"> </w:t>
      </w:r>
      <w:r w:rsidRPr="00C4396F">
        <w:rPr>
          <w:rFonts w:ascii="Times New Roman" w:hAnsi="Times New Roman"/>
        </w:rPr>
        <w:t>the Gift Card Amendment requires that</w:t>
      </w:r>
      <w:r w:rsidR="00574CAE" w:rsidRPr="00C4396F">
        <w:rPr>
          <w:rFonts w:ascii="Times New Roman" w:hAnsi="Times New Roman"/>
        </w:rPr>
        <w:t xml:space="preserve"> </w:t>
      </w:r>
      <w:r w:rsidRPr="00C4396F">
        <w:rPr>
          <w:rFonts w:ascii="Times New Roman" w:hAnsi="Times New Roman"/>
        </w:rPr>
        <w:t>certain alternative disclosures be made</w:t>
      </w:r>
      <w:r w:rsidR="00574CAE" w:rsidRPr="00C4396F">
        <w:rPr>
          <w:rFonts w:ascii="Times New Roman" w:hAnsi="Times New Roman"/>
        </w:rPr>
        <w:t xml:space="preserve"> </w:t>
      </w:r>
      <w:r w:rsidRPr="00C4396F">
        <w:rPr>
          <w:rFonts w:ascii="Times New Roman" w:hAnsi="Times New Roman"/>
        </w:rPr>
        <w:t>to the consumer.</w:t>
      </w:r>
      <w:r w:rsidR="00574CAE" w:rsidRPr="00C4396F">
        <w:rPr>
          <w:rFonts w:ascii="Times New Roman" w:hAnsi="Times New Roman"/>
        </w:rPr>
        <w:t xml:space="preserve">  </w:t>
      </w:r>
      <w:r w:rsidRPr="00C4396F">
        <w:rPr>
          <w:rFonts w:ascii="Times New Roman" w:hAnsi="Times New Roman"/>
        </w:rPr>
        <w:t xml:space="preserve">Specifically, </w:t>
      </w:r>
      <w:r w:rsidR="00AF632F" w:rsidRPr="00C4396F">
        <w:rPr>
          <w:rFonts w:ascii="Times New Roman" w:hAnsi="Times New Roman"/>
        </w:rPr>
        <w:t>section</w:t>
      </w:r>
      <w:r w:rsidRPr="00C4396F">
        <w:rPr>
          <w:rFonts w:ascii="Times New Roman" w:hAnsi="Times New Roman"/>
        </w:rPr>
        <w:t xml:space="preserve"> 205.20(h)(2) provides that</w:t>
      </w:r>
      <w:r w:rsidR="00574CAE" w:rsidRPr="00C4396F">
        <w:rPr>
          <w:rFonts w:ascii="Times New Roman" w:hAnsi="Times New Roman"/>
        </w:rPr>
        <w:t xml:space="preserve"> </w:t>
      </w:r>
      <w:r w:rsidRPr="00C4396F">
        <w:rPr>
          <w:rFonts w:ascii="Times New Roman" w:hAnsi="Times New Roman"/>
        </w:rPr>
        <w:t>issuers relying on the delayed effective</w:t>
      </w:r>
      <w:r w:rsidR="00574CAE" w:rsidRPr="00C4396F">
        <w:rPr>
          <w:rFonts w:ascii="Times New Roman" w:hAnsi="Times New Roman"/>
        </w:rPr>
        <w:t xml:space="preserve"> </w:t>
      </w:r>
      <w:r w:rsidRPr="00C4396F">
        <w:rPr>
          <w:rFonts w:ascii="Times New Roman" w:hAnsi="Times New Roman"/>
        </w:rPr>
        <w:t xml:space="preserve">date in </w:t>
      </w:r>
      <w:r w:rsidR="00574CAE" w:rsidRPr="00C4396F">
        <w:rPr>
          <w:rFonts w:ascii="Times New Roman" w:hAnsi="Times New Roman"/>
        </w:rPr>
        <w:t>section</w:t>
      </w:r>
      <w:r w:rsidRPr="00C4396F">
        <w:rPr>
          <w:rFonts w:ascii="Times New Roman" w:hAnsi="Times New Roman"/>
        </w:rPr>
        <w:t xml:space="preserve"> 205.20(h)(1) must disclose</w:t>
      </w:r>
      <w:r w:rsidR="00574CAE" w:rsidRPr="00C4396F">
        <w:rPr>
          <w:rFonts w:ascii="Times New Roman" w:hAnsi="Times New Roman"/>
        </w:rPr>
        <w:t xml:space="preserve"> </w:t>
      </w:r>
      <w:r w:rsidRPr="00C4396F">
        <w:rPr>
          <w:rFonts w:ascii="Times New Roman" w:hAnsi="Times New Roman"/>
        </w:rPr>
        <w:t>through in-store signage, messages</w:t>
      </w:r>
      <w:r w:rsidR="00574CAE" w:rsidRPr="00C4396F">
        <w:rPr>
          <w:rFonts w:ascii="Times New Roman" w:hAnsi="Times New Roman"/>
        </w:rPr>
        <w:t xml:space="preserve"> </w:t>
      </w:r>
      <w:r w:rsidRPr="00C4396F">
        <w:rPr>
          <w:rFonts w:ascii="Times New Roman" w:hAnsi="Times New Roman"/>
        </w:rPr>
        <w:t>during customer service calls, Web sites,</w:t>
      </w:r>
      <w:r w:rsidR="00574CAE" w:rsidRPr="00C4396F">
        <w:rPr>
          <w:rFonts w:ascii="Times New Roman" w:hAnsi="Times New Roman"/>
        </w:rPr>
        <w:t xml:space="preserve"> </w:t>
      </w:r>
      <w:r w:rsidRPr="00C4396F">
        <w:rPr>
          <w:rFonts w:ascii="Times New Roman" w:hAnsi="Times New Roman"/>
        </w:rPr>
        <w:t>and general advertising, that: (i) The</w:t>
      </w:r>
      <w:r w:rsidR="00574CAE" w:rsidRPr="00C4396F">
        <w:rPr>
          <w:rFonts w:ascii="Times New Roman" w:hAnsi="Times New Roman"/>
        </w:rPr>
        <w:t xml:space="preserve"> </w:t>
      </w:r>
      <w:r w:rsidRPr="00C4396F">
        <w:rPr>
          <w:rFonts w:ascii="Times New Roman" w:hAnsi="Times New Roman"/>
        </w:rPr>
        <w:t>underlying funds of such certificate or</w:t>
      </w:r>
      <w:r w:rsidR="00574CAE" w:rsidRPr="00C4396F">
        <w:rPr>
          <w:rFonts w:ascii="Times New Roman" w:hAnsi="Times New Roman"/>
        </w:rPr>
        <w:t xml:space="preserve"> </w:t>
      </w:r>
      <w:r w:rsidRPr="00C4396F">
        <w:rPr>
          <w:rFonts w:ascii="Times New Roman" w:hAnsi="Times New Roman"/>
        </w:rPr>
        <w:t>card do not expire; (ii) consumers</w:t>
      </w:r>
      <w:r w:rsidR="00574CAE" w:rsidRPr="00C4396F">
        <w:rPr>
          <w:rFonts w:ascii="Times New Roman" w:hAnsi="Times New Roman"/>
        </w:rPr>
        <w:t xml:space="preserve"> </w:t>
      </w:r>
      <w:r w:rsidRPr="00C4396F">
        <w:rPr>
          <w:rFonts w:ascii="Times New Roman" w:hAnsi="Times New Roman"/>
        </w:rPr>
        <w:t>holding such certificate or card have a</w:t>
      </w:r>
      <w:r w:rsidR="00574CAE" w:rsidRPr="00C4396F">
        <w:rPr>
          <w:rFonts w:ascii="Times New Roman" w:hAnsi="Times New Roman"/>
        </w:rPr>
        <w:t xml:space="preserve"> </w:t>
      </w:r>
      <w:r w:rsidRPr="00C4396F">
        <w:rPr>
          <w:rFonts w:ascii="Times New Roman" w:hAnsi="Times New Roman"/>
        </w:rPr>
        <w:t>right to a free replacement certificate or</w:t>
      </w:r>
      <w:r w:rsidR="00574CAE" w:rsidRPr="00C4396F">
        <w:rPr>
          <w:rFonts w:ascii="Times New Roman" w:hAnsi="Times New Roman"/>
        </w:rPr>
        <w:t xml:space="preserve"> </w:t>
      </w:r>
      <w:r w:rsidRPr="00C4396F">
        <w:rPr>
          <w:rFonts w:ascii="Times New Roman" w:hAnsi="Times New Roman"/>
        </w:rPr>
        <w:t>card, accompanied by the packaging and</w:t>
      </w:r>
      <w:r w:rsidR="00574CAE" w:rsidRPr="00C4396F">
        <w:rPr>
          <w:rFonts w:ascii="Times New Roman" w:hAnsi="Times New Roman"/>
        </w:rPr>
        <w:t xml:space="preserve"> </w:t>
      </w:r>
      <w:r w:rsidRPr="00C4396F">
        <w:rPr>
          <w:rFonts w:ascii="Times New Roman" w:hAnsi="Times New Roman"/>
        </w:rPr>
        <w:t>materials typically associated with such</w:t>
      </w:r>
      <w:r w:rsidR="00574CAE" w:rsidRPr="00C4396F">
        <w:rPr>
          <w:rFonts w:ascii="Times New Roman" w:hAnsi="Times New Roman"/>
        </w:rPr>
        <w:t xml:space="preserve"> </w:t>
      </w:r>
      <w:r w:rsidRPr="00C4396F">
        <w:rPr>
          <w:rFonts w:ascii="Times New Roman" w:hAnsi="Times New Roman"/>
        </w:rPr>
        <w:t>certificate or card; and (iii) any</w:t>
      </w:r>
      <w:r w:rsidR="00574CAE" w:rsidRPr="00C4396F">
        <w:rPr>
          <w:rFonts w:ascii="Times New Roman" w:hAnsi="Times New Roman"/>
        </w:rPr>
        <w:t xml:space="preserve"> </w:t>
      </w:r>
      <w:r w:rsidRPr="00C4396F">
        <w:rPr>
          <w:rFonts w:ascii="Times New Roman" w:hAnsi="Times New Roman"/>
        </w:rPr>
        <w:t>dormancy, inactivity, or service fee for</w:t>
      </w:r>
      <w:r w:rsidR="00574CAE" w:rsidRPr="00C4396F">
        <w:rPr>
          <w:rFonts w:ascii="Times New Roman" w:hAnsi="Times New Roman"/>
        </w:rPr>
        <w:t xml:space="preserve"> </w:t>
      </w:r>
      <w:r w:rsidRPr="00C4396F">
        <w:rPr>
          <w:rFonts w:ascii="Times New Roman" w:hAnsi="Times New Roman"/>
        </w:rPr>
        <w:t>such certificate or card that might</w:t>
      </w:r>
      <w:r w:rsidR="00574CAE" w:rsidRPr="00C4396F">
        <w:rPr>
          <w:rFonts w:ascii="Times New Roman" w:hAnsi="Times New Roman"/>
        </w:rPr>
        <w:t xml:space="preserve"> </w:t>
      </w:r>
      <w:r w:rsidRPr="00C4396F">
        <w:rPr>
          <w:rFonts w:ascii="Times New Roman" w:hAnsi="Times New Roman"/>
        </w:rPr>
        <w:t>otherwise be charged will not be</w:t>
      </w:r>
      <w:r w:rsidR="00574CAE" w:rsidRPr="00C4396F">
        <w:rPr>
          <w:rFonts w:ascii="Times New Roman" w:hAnsi="Times New Roman"/>
        </w:rPr>
        <w:t xml:space="preserve"> </w:t>
      </w:r>
      <w:r w:rsidRPr="00C4396F">
        <w:rPr>
          <w:rFonts w:ascii="Times New Roman" w:hAnsi="Times New Roman"/>
        </w:rPr>
        <w:t>charged if such fees do not comply with</w:t>
      </w:r>
      <w:r w:rsidR="00574CAE" w:rsidRPr="00C4396F">
        <w:rPr>
          <w:rFonts w:ascii="Times New Roman" w:hAnsi="Times New Roman"/>
        </w:rPr>
        <w:t xml:space="preserve"> </w:t>
      </w:r>
      <w:r w:rsidRPr="00C4396F">
        <w:rPr>
          <w:rFonts w:ascii="Times New Roman" w:hAnsi="Times New Roman"/>
        </w:rPr>
        <w:t>Section 915 of the Electronic Fund</w:t>
      </w:r>
      <w:r w:rsidR="00574CAE" w:rsidRPr="00C4396F">
        <w:rPr>
          <w:rFonts w:ascii="Times New Roman" w:hAnsi="Times New Roman"/>
        </w:rPr>
        <w:t xml:space="preserve"> </w:t>
      </w:r>
      <w:r w:rsidRPr="00C4396F">
        <w:rPr>
          <w:rFonts w:ascii="Times New Roman" w:hAnsi="Times New Roman"/>
        </w:rPr>
        <w:t>Transfer Act.</w:t>
      </w:r>
      <w:r w:rsidR="00574CAE" w:rsidRPr="00C4396F">
        <w:rPr>
          <w:rFonts w:ascii="Times New Roman" w:hAnsi="Times New Roman"/>
        </w:rPr>
        <w:t xml:space="preserve">  Section </w:t>
      </w:r>
      <w:r w:rsidRPr="00C4396F">
        <w:rPr>
          <w:rFonts w:ascii="Times New Roman" w:hAnsi="Times New Roman"/>
        </w:rPr>
        <w:t>20(h)(3) Expiration of Disclosure</w:t>
      </w:r>
      <w:r w:rsidR="00574CAE" w:rsidRPr="00C4396F">
        <w:rPr>
          <w:rFonts w:ascii="Times New Roman" w:hAnsi="Times New Roman"/>
        </w:rPr>
        <w:t xml:space="preserve"> </w:t>
      </w:r>
      <w:r w:rsidRPr="00C4396F">
        <w:rPr>
          <w:rFonts w:ascii="Times New Roman" w:hAnsi="Times New Roman"/>
        </w:rPr>
        <w:t>Requirements</w:t>
      </w:r>
      <w:r w:rsidR="00574CAE" w:rsidRPr="00C4396F">
        <w:rPr>
          <w:rFonts w:ascii="Times New Roman" w:hAnsi="Times New Roman"/>
        </w:rPr>
        <w:t xml:space="preserve"> </w:t>
      </w:r>
      <w:r w:rsidRPr="00C4396F">
        <w:rPr>
          <w:rFonts w:ascii="Times New Roman" w:hAnsi="Times New Roman"/>
        </w:rPr>
        <w:t>The Gift Card Amendment requires</w:t>
      </w:r>
      <w:r w:rsidR="00574CAE" w:rsidRPr="00C4396F">
        <w:rPr>
          <w:rFonts w:ascii="Times New Roman" w:hAnsi="Times New Roman"/>
        </w:rPr>
        <w:t xml:space="preserve"> </w:t>
      </w:r>
      <w:r w:rsidRPr="00C4396F">
        <w:rPr>
          <w:rFonts w:ascii="Times New Roman" w:hAnsi="Times New Roman"/>
        </w:rPr>
        <w:t>the disclosures implemented in</w:t>
      </w:r>
      <w:r w:rsidR="00574CAE" w:rsidRPr="00C4396F">
        <w:rPr>
          <w:rFonts w:ascii="Times New Roman" w:hAnsi="Times New Roman"/>
        </w:rPr>
        <w:t xml:space="preserve"> section</w:t>
      </w:r>
      <w:r w:rsidRPr="00C4396F">
        <w:rPr>
          <w:rFonts w:ascii="Times New Roman" w:hAnsi="Times New Roman"/>
        </w:rPr>
        <w:t xml:space="preserve"> 205.20(h)(2) to be maintained until</w:t>
      </w:r>
      <w:r w:rsidR="00574CAE" w:rsidRPr="00C4396F">
        <w:rPr>
          <w:rFonts w:ascii="Times New Roman" w:hAnsi="Times New Roman"/>
        </w:rPr>
        <w:t xml:space="preserve"> </w:t>
      </w:r>
      <w:r w:rsidRPr="00C4396F">
        <w:rPr>
          <w:rFonts w:ascii="Times New Roman" w:hAnsi="Times New Roman"/>
        </w:rPr>
        <w:t>January 31, 2013.</w:t>
      </w:r>
    </w:p>
    <w:p w:rsidR="00C84E70" w:rsidRPr="00C84E70" w:rsidRDefault="00C84E70" w:rsidP="00C84E70">
      <w:pPr>
        <w:widowControl/>
        <w:rPr>
          <w:rFonts w:ascii="Times New Roman" w:hAnsi="Times New Roman"/>
          <w:b/>
          <w:color w:val="0000FF"/>
        </w:rPr>
      </w:pPr>
    </w:p>
    <w:p w:rsidR="003876BB" w:rsidRPr="00C4396F" w:rsidRDefault="003876BB" w:rsidP="00282F04">
      <w:pPr>
        <w:rPr>
          <w:rFonts w:ascii="Times New Roman" w:hAnsi="Times New Roman"/>
        </w:rPr>
      </w:pPr>
      <w:r w:rsidRPr="00C4396F">
        <w:rPr>
          <w:rFonts w:ascii="Times New Roman" w:hAnsi="Times New Roman"/>
          <w:b/>
        </w:rPr>
        <w:t>Time Schedule for Information Collection</w:t>
      </w:r>
    </w:p>
    <w:p w:rsidR="003876BB" w:rsidRPr="00C4396F" w:rsidRDefault="003876BB" w:rsidP="00282F04">
      <w:pPr>
        <w:rPr>
          <w:rFonts w:ascii="Times New Roman" w:hAnsi="Times New Roman"/>
        </w:rPr>
      </w:pPr>
    </w:p>
    <w:p w:rsidR="00E30C6B" w:rsidRDefault="00FB3704" w:rsidP="00954E94">
      <w:pPr>
        <w:pStyle w:val="BodyText2"/>
        <w:widowControl/>
        <w:tabs>
          <w:tab w:val="left" w:pos="360"/>
        </w:tabs>
        <w:rPr>
          <w:b/>
        </w:rPr>
      </w:pPr>
      <w:r w:rsidRPr="00C4396F">
        <w:rPr>
          <w:color w:val="auto"/>
        </w:rPr>
        <w:tab/>
      </w:r>
      <w:r w:rsidR="005A6D1F" w:rsidRPr="00C4396F">
        <w:rPr>
          <w:color w:val="auto"/>
        </w:rPr>
        <w:t xml:space="preserve">Information collection pursuant to Regulation E is triggered by specific events, and disclosures must be provided to consumers within the time periods established by the law and regulation.  There is no reporting form associated with the requirements of Regulation E; disclosures pertaining to a particular transaction or consumer account are not publicly available.  </w:t>
      </w:r>
      <w:r w:rsidR="00E30C6B">
        <w:rPr>
          <w:b/>
        </w:rPr>
        <w:br w:type="page"/>
      </w:r>
    </w:p>
    <w:p w:rsidR="008B1988" w:rsidRPr="00C4396F" w:rsidRDefault="008B1988" w:rsidP="00235B67">
      <w:pPr>
        <w:keepNext/>
        <w:rPr>
          <w:rFonts w:ascii="Times New Roman" w:hAnsi="Times New Roman"/>
        </w:rPr>
      </w:pPr>
      <w:r w:rsidRPr="00C4396F">
        <w:rPr>
          <w:rFonts w:ascii="Times New Roman" w:hAnsi="Times New Roman"/>
          <w:b/>
        </w:rPr>
        <w:lastRenderedPageBreak/>
        <w:t>Sensitive Questions</w:t>
      </w:r>
    </w:p>
    <w:p w:rsidR="008B1988" w:rsidRPr="00C4396F" w:rsidRDefault="008B1988" w:rsidP="00282F04">
      <w:pPr>
        <w:rPr>
          <w:rFonts w:ascii="Times New Roman" w:hAnsi="Times New Roman"/>
        </w:rPr>
      </w:pPr>
    </w:p>
    <w:p w:rsidR="00C70D5B" w:rsidRPr="00C4396F" w:rsidRDefault="008B1988" w:rsidP="00C70D5B">
      <w:pPr>
        <w:pStyle w:val="BodyText2"/>
        <w:tabs>
          <w:tab w:val="left" w:pos="360"/>
        </w:tabs>
        <w:rPr>
          <w:color w:val="auto"/>
        </w:rPr>
      </w:pPr>
      <w:r w:rsidRPr="00C4396F">
        <w:rPr>
          <w:color w:val="auto"/>
        </w:rPr>
        <w:tab/>
        <w:t>This information collection contains no questions of a sensitive nature, as defined by OMB guidelines.</w:t>
      </w:r>
    </w:p>
    <w:p w:rsidR="00C70D5B" w:rsidRPr="00C4396F" w:rsidRDefault="00C70D5B" w:rsidP="00C70D5B">
      <w:pPr>
        <w:pStyle w:val="BodyText2"/>
        <w:tabs>
          <w:tab w:val="left" w:pos="360"/>
        </w:tabs>
        <w:rPr>
          <w:color w:val="auto"/>
        </w:rPr>
      </w:pPr>
    </w:p>
    <w:p w:rsidR="00643AF7" w:rsidRPr="00FE5B27" w:rsidRDefault="00DB2B30" w:rsidP="00643AF7">
      <w:pPr>
        <w:pStyle w:val="BodyText2"/>
        <w:tabs>
          <w:tab w:val="left" w:pos="360"/>
        </w:tabs>
        <w:rPr>
          <w:b/>
          <w:bCs/>
          <w:color w:val="auto"/>
        </w:rPr>
      </w:pPr>
      <w:r w:rsidRPr="00FE5B27">
        <w:rPr>
          <w:b/>
          <w:bCs/>
          <w:color w:val="auto"/>
        </w:rPr>
        <w:t>Consultation Outside the Agency</w:t>
      </w:r>
      <w:r w:rsidR="00E61307" w:rsidRPr="00FE5B27">
        <w:rPr>
          <w:b/>
          <w:bCs/>
          <w:color w:val="auto"/>
        </w:rPr>
        <w:t xml:space="preserve"> and Discussion of Public Comments</w:t>
      </w:r>
    </w:p>
    <w:p w:rsidR="00643AF7" w:rsidRPr="00FE5B27" w:rsidRDefault="00643AF7" w:rsidP="00643AF7">
      <w:pPr>
        <w:pStyle w:val="BodyText2"/>
        <w:tabs>
          <w:tab w:val="left" w:pos="360"/>
        </w:tabs>
        <w:rPr>
          <w:b/>
          <w:bCs/>
          <w:color w:val="auto"/>
        </w:rPr>
      </w:pPr>
    </w:p>
    <w:p w:rsidR="004A7E33" w:rsidRPr="004A7E33" w:rsidRDefault="004A7E33" w:rsidP="004A7E33">
      <w:pPr>
        <w:tabs>
          <w:tab w:val="left" w:pos="360"/>
          <w:tab w:val="left" w:pos="900"/>
        </w:tabs>
        <w:rPr>
          <w:rFonts w:ascii="Times New Roman" w:hAnsi="Times New Roman"/>
        </w:rPr>
      </w:pPr>
      <w:r>
        <w:rPr>
          <w:rFonts w:ascii="Times New Roman" w:hAnsi="Times New Roman"/>
        </w:rPr>
        <w:tab/>
      </w:r>
      <w:r w:rsidRPr="004A7E33">
        <w:rPr>
          <w:rFonts w:ascii="Times New Roman" w:hAnsi="Times New Roman"/>
        </w:rPr>
        <w:t xml:space="preserve">On May 23, 2011, a notice of proposed rulemaking (NPRM) was published in the </w:t>
      </w:r>
      <w:r w:rsidRPr="004A7E33">
        <w:rPr>
          <w:rFonts w:ascii="Times New Roman" w:hAnsi="Times New Roman"/>
          <w:i/>
        </w:rPr>
        <w:t>Federal Register</w:t>
      </w:r>
      <w:r w:rsidRPr="004A7E33">
        <w:rPr>
          <w:rFonts w:ascii="Times New Roman" w:hAnsi="Times New Roman"/>
        </w:rPr>
        <w:t xml:space="preserve"> for public comment (76 FR 29902).</w:t>
      </w:r>
      <w:r w:rsidRPr="004A7E33">
        <w:rPr>
          <w:rStyle w:val="FootnoteReference"/>
          <w:rFonts w:ascii="Times New Roman" w:hAnsi="Times New Roman"/>
          <w:vertAlign w:val="superscript"/>
        </w:rPr>
        <w:footnoteReference w:id="18"/>
      </w:r>
      <w:r w:rsidRPr="004A7E33">
        <w:rPr>
          <w:rFonts w:ascii="Times New Roman" w:hAnsi="Times New Roman"/>
          <w:vertAlign w:val="superscript"/>
        </w:rPr>
        <w:t xml:space="preserve"> </w:t>
      </w:r>
      <w:r w:rsidRPr="004A7E33">
        <w:rPr>
          <w:rFonts w:ascii="Times New Roman" w:hAnsi="Times New Roman"/>
        </w:rPr>
        <w:t xml:space="preserve"> The proposal contained new protections for consumers who send remittance transfers to other consumers or entities in a foreign country by providing consumers with disclosures and error resolution rights.  The proposed amendments would implement statutory requirements set forth in the Dodd-Frank Wall Street Reform and Consumer Protection Act (DFA).  The comment period expired July 22, 2011.  The </w:t>
      </w:r>
      <w:r>
        <w:rPr>
          <w:rFonts w:ascii="Times New Roman" w:hAnsi="Times New Roman"/>
        </w:rPr>
        <w:t>Federal Reserve</w:t>
      </w:r>
      <w:r w:rsidRPr="004A7E33">
        <w:rPr>
          <w:rFonts w:ascii="Times New Roman" w:hAnsi="Times New Roman"/>
        </w:rPr>
        <w:t xml:space="preserve"> received 69 comment letters that, as stated in the notice, were transferred to the Consumer Financial Protection Bureau (CFPB) for completion of the rulemaking process.</w:t>
      </w:r>
      <w:r>
        <w:rPr>
          <w:rFonts w:ascii="Times New Roman" w:hAnsi="Times New Roman"/>
        </w:rPr>
        <w:t xml:space="preserve">  </w:t>
      </w:r>
      <w:r w:rsidRPr="004A7E33">
        <w:rPr>
          <w:rFonts w:ascii="Times New Roman" w:hAnsi="Times New Roman"/>
        </w:rPr>
        <w:t xml:space="preserve">Upon publication of the CFPB’s final rulemaking, any final changes would be incorporated into the </w:t>
      </w:r>
      <w:r>
        <w:rPr>
          <w:rFonts w:ascii="Times New Roman" w:hAnsi="Times New Roman"/>
        </w:rPr>
        <w:t>Federal Reserve’s</w:t>
      </w:r>
      <w:r w:rsidRPr="004A7E33">
        <w:rPr>
          <w:rFonts w:ascii="Times New Roman" w:hAnsi="Times New Roman"/>
        </w:rPr>
        <w:t xml:space="preserve"> Regulation E information collection, </w:t>
      </w:r>
      <w:r w:rsidRPr="004A7E33">
        <w:rPr>
          <w:rFonts w:ascii="Times New Roman" w:hAnsi="Times New Roman"/>
          <w:bCs/>
        </w:rPr>
        <w:t>as appropriate.</w:t>
      </w:r>
      <w:r w:rsidRPr="004A7E33">
        <w:rPr>
          <w:rFonts w:ascii="Times New Roman" w:hAnsi="Times New Roman"/>
        </w:rPr>
        <w:t xml:space="preserve">  </w:t>
      </w:r>
    </w:p>
    <w:p w:rsidR="004A7E33" w:rsidRPr="004A7E33" w:rsidRDefault="004A7E33" w:rsidP="004A7E33">
      <w:pPr>
        <w:tabs>
          <w:tab w:val="left" w:pos="360"/>
          <w:tab w:val="left" w:pos="900"/>
        </w:tabs>
        <w:rPr>
          <w:rFonts w:ascii="Times New Roman" w:hAnsi="Times New Roman"/>
        </w:rPr>
      </w:pPr>
      <w:r w:rsidRPr="004A7E33">
        <w:rPr>
          <w:rFonts w:ascii="Times New Roman" w:hAnsi="Times New Roman"/>
        </w:rPr>
        <w:tab/>
      </w:r>
    </w:p>
    <w:p w:rsidR="004A7E33" w:rsidRPr="004A7E33" w:rsidRDefault="004A7E33" w:rsidP="004A7E33">
      <w:pPr>
        <w:tabs>
          <w:tab w:val="left" w:pos="360"/>
          <w:tab w:val="left" w:pos="900"/>
        </w:tabs>
        <w:rPr>
          <w:rFonts w:ascii="Times New Roman" w:hAnsi="Times New Roman"/>
        </w:rPr>
      </w:pPr>
      <w:r w:rsidRPr="004A7E33">
        <w:rPr>
          <w:rFonts w:ascii="Times New Roman" w:hAnsi="Times New Roman"/>
        </w:rPr>
        <w:tab/>
        <w:t xml:space="preserve">In addition to the DFA amendments, the Federal Reserve proposed (in the NPRM) to extend for three years, without revision, the </w:t>
      </w:r>
      <w:r w:rsidRPr="00954801">
        <w:rPr>
          <w:rFonts w:ascii="Times New Roman" w:hAnsi="Times New Roman"/>
        </w:rPr>
        <w:t>current</w:t>
      </w:r>
      <w:r w:rsidRPr="004A7E33">
        <w:rPr>
          <w:rFonts w:ascii="Times New Roman" w:hAnsi="Times New Roman"/>
        </w:rPr>
        <w:t xml:space="preserve"> Regulation E information collection.  The Federal Reserve did not receive any comments on this part of the NPRM.   On </w:t>
      </w:r>
      <w:r w:rsidRPr="0003011D">
        <w:rPr>
          <w:rFonts w:ascii="Times New Roman" w:hAnsi="Times New Roman"/>
        </w:rPr>
        <w:t xml:space="preserve">January </w:t>
      </w:r>
      <w:r w:rsidR="0003011D">
        <w:rPr>
          <w:rFonts w:ascii="Times New Roman" w:hAnsi="Times New Roman"/>
        </w:rPr>
        <w:t>27</w:t>
      </w:r>
      <w:r w:rsidRPr="0003011D">
        <w:rPr>
          <w:rFonts w:ascii="Times New Roman" w:hAnsi="Times New Roman"/>
        </w:rPr>
        <w:t xml:space="preserve"> 2012,</w:t>
      </w:r>
      <w:r w:rsidRPr="004A7E33">
        <w:rPr>
          <w:rFonts w:ascii="Times New Roman" w:hAnsi="Times New Roman"/>
        </w:rPr>
        <w:t xml:space="preserve"> the Federal Reserve published a final notice in the </w:t>
      </w:r>
      <w:r w:rsidRPr="004A7E33">
        <w:rPr>
          <w:rFonts w:ascii="Times New Roman" w:hAnsi="Times New Roman"/>
          <w:i/>
        </w:rPr>
        <w:t>Federal Register</w:t>
      </w:r>
      <w:r w:rsidRPr="004A7E33">
        <w:rPr>
          <w:rFonts w:ascii="Times New Roman" w:hAnsi="Times New Roman"/>
        </w:rPr>
        <w:t xml:space="preserve"> </w:t>
      </w:r>
      <w:r w:rsidRPr="0003011D">
        <w:rPr>
          <w:rFonts w:ascii="Times New Roman" w:hAnsi="Times New Roman"/>
        </w:rPr>
        <w:t xml:space="preserve">(77 FR </w:t>
      </w:r>
      <w:r w:rsidR="0003011D">
        <w:rPr>
          <w:rFonts w:ascii="Times New Roman" w:hAnsi="Times New Roman"/>
        </w:rPr>
        <w:t>4322).</w:t>
      </w:r>
      <w:r w:rsidRPr="004A7E33">
        <w:rPr>
          <w:rFonts w:ascii="Times New Roman" w:hAnsi="Times New Roman"/>
        </w:rPr>
        <w:t xml:space="preserve">  </w:t>
      </w:r>
    </w:p>
    <w:p w:rsidR="00643AF7" w:rsidRPr="00FE5B27" w:rsidRDefault="00643AF7" w:rsidP="00643AF7">
      <w:pPr>
        <w:pStyle w:val="BodyText2"/>
        <w:tabs>
          <w:tab w:val="left" w:pos="360"/>
        </w:tabs>
        <w:rPr>
          <w:b/>
          <w:bCs/>
          <w:color w:val="auto"/>
        </w:rPr>
      </w:pPr>
    </w:p>
    <w:p w:rsidR="00DB2B30" w:rsidRPr="00C4396F" w:rsidRDefault="00DB2B30" w:rsidP="00DB2B30">
      <w:pPr>
        <w:rPr>
          <w:rFonts w:ascii="Times New Roman" w:hAnsi="Times New Roman"/>
        </w:rPr>
      </w:pPr>
      <w:r w:rsidRPr="00C4396F">
        <w:rPr>
          <w:rFonts w:ascii="Times New Roman" w:hAnsi="Times New Roman"/>
          <w:b/>
        </w:rPr>
        <w:t>Legal Status</w:t>
      </w:r>
      <w:r w:rsidRPr="00C4396F">
        <w:rPr>
          <w:rFonts w:ascii="Times New Roman" w:hAnsi="Times New Roman"/>
        </w:rPr>
        <w:t xml:space="preserve"> </w:t>
      </w:r>
    </w:p>
    <w:p w:rsidR="00DB2B30" w:rsidRPr="00C4396F" w:rsidRDefault="00DB2B30" w:rsidP="00DB2B30">
      <w:pPr>
        <w:rPr>
          <w:rFonts w:ascii="Times New Roman" w:hAnsi="Times New Roman"/>
        </w:rPr>
      </w:pPr>
    </w:p>
    <w:p w:rsidR="00DB2B30" w:rsidRPr="00C4396F" w:rsidRDefault="00DB2B30" w:rsidP="00DB2B30">
      <w:pPr>
        <w:widowControl/>
        <w:tabs>
          <w:tab w:val="left" w:pos="360"/>
        </w:tabs>
        <w:ind w:right="-90" w:firstLine="360"/>
        <w:rPr>
          <w:rFonts w:ascii="Times New Roman" w:hAnsi="Times New Roman"/>
        </w:rPr>
      </w:pPr>
      <w:r w:rsidRPr="00C4396F">
        <w:rPr>
          <w:rFonts w:ascii="Times New Roman" w:hAnsi="Times New Roman"/>
        </w:rPr>
        <w:t>The Board</w:t>
      </w:r>
      <w:r w:rsidR="005E0044" w:rsidRPr="00C4396F">
        <w:rPr>
          <w:rFonts w:ascii="Times New Roman" w:hAnsi="Times New Roman"/>
        </w:rPr>
        <w:t>’</w:t>
      </w:r>
      <w:r w:rsidRPr="00C4396F">
        <w:rPr>
          <w:rFonts w:ascii="Times New Roman" w:hAnsi="Times New Roman"/>
        </w:rPr>
        <w:t>s Legal Division has determined that the Electronic Fund Transfer Act (15 U</w:t>
      </w:r>
      <w:r w:rsidR="005E0044" w:rsidRPr="00C4396F">
        <w:rPr>
          <w:rFonts w:ascii="Times New Roman" w:hAnsi="Times New Roman"/>
        </w:rPr>
        <w:t>.</w:t>
      </w:r>
      <w:r w:rsidRPr="00C4396F">
        <w:rPr>
          <w:rFonts w:ascii="Times New Roman" w:hAnsi="Times New Roman"/>
        </w:rPr>
        <w:t>S</w:t>
      </w:r>
      <w:r w:rsidR="005E0044" w:rsidRPr="00C4396F">
        <w:rPr>
          <w:rFonts w:ascii="Times New Roman" w:hAnsi="Times New Roman"/>
        </w:rPr>
        <w:t>.</w:t>
      </w:r>
      <w:r w:rsidRPr="00C4396F">
        <w:rPr>
          <w:rFonts w:ascii="Times New Roman" w:hAnsi="Times New Roman"/>
        </w:rPr>
        <w:t>C</w:t>
      </w:r>
      <w:r w:rsidR="005E0044" w:rsidRPr="00C4396F">
        <w:rPr>
          <w:rFonts w:ascii="Times New Roman" w:hAnsi="Times New Roman"/>
        </w:rPr>
        <w:t xml:space="preserve">. </w:t>
      </w:r>
      <w:r w:rsidR="00EC7773">
        <w:rPr>
          <w:rFonts w:ascii="Times New Roman" w:hAnsi="Times New Roman"/>
        </w:rPr>
        <w:t>Section</w:t>
      </w:r>
      <w:r w:rsidR="005E0044" w:rsidRPr="00C4396F">
        <w:rPr>
          <w:rFonts w:ascii="Times New Roman" w:hAnsi="Times New Roman"/>
        </w:rPr>
        <w:t> </w:t>
      </w:r>
      <w:r w:rsidRPr="00C4396F">
        <w:rPr>
          <w:rFonts w:ascii="Times New Roman" w:hAnsi="Times New Roman"/>
        </w:rPr>
        <w:t>1693</w:t>
      </w:r>
      <w:r w:rsidR="007C5136">
        <w:rPr>
          <w:rFonts w:ascii="Times New Roman" w:hAnsi="Times New Roman"/>
        </w:rPr>
        <w:t>b(a)</w:t>
      </w:r>
      <w:r w:rsidRPr="00C4396F">
        <w:rPr>
          <w:rFonts w:ascii="Times New Roman" w:hAnsi="Times New Roman"/>
        </w:rPr>
        <w:t xml:space="preserve"> </w:t>
      </w:r>
      <w:r w:rsidRPr="00C4396F">
        <w:rPr>
          <w:rFonts w:ascii="Times New Roman" w:hAnsi="Times New Roman"/>
          <w:i/>
        </w:rPr>
        <w:t xml:space="preserve">et </w:t>
      </w:r>
      <w:proofErr w:type="spellStart"/>
      <w:r w:rsidRPr="00C4396F">
        <w:rPr>
          <w:rFonts w:ascii="Times New Roman" w:hAnsi="Times New Roman"/>
          <w:i/>
        </w:rPr>
        <w:t>seq</w:t>
      </w:r>
      <w:proofErr w:type="spellEnd"/>
      <w:r w:rsidRPr="00C4396F">
        <w:rPr>
          <w:rFonts w:ascii="Times New Roman" w:hAnsi="Times New Roman"/>
        </w:rPr>
        <w:t xml:space="preserve">), Title IX of the Consumer Credit Protection Act, authorizes the Federal Reserve to require the information collection.  Since the Federal Reserve does not collect any information, no issue of confidentiality arises.  However, the information, if made available to the Federal Reserve, may be protected from disclosure under exemptions (b)(4), (6), and (8) of the Freedom of Information Act (5 U.S.C. </w:t>
      </w:r>
      <w:r w:rsidR="00EC7773">
        <w:rPr>
          <w:rFonts w:ascii="Times New Roman" w:hAnsi="Times New Roman"/>
        </w:rPr>
        <w:t>Section</w:t>
      </w:r>
      <w:r w:rsidRPr="00C4396F">
        <w:rPr>
          <w:rFonts w:ascii="Times New Roman" w:hAnsi="Times New Roman"/>
        </w:rPr>
        <w:t xml:space="preserve"> 552 (b)(4), (6), and (8)).  The disclosures required by the rule and information about error allegations and their resolution are confidential between the institution and the consumer.  </w:t>
      </w:r>
    </w:p>
    <w:p w:rsidR="00A86472" w:rsidRPr="00C4396F" w:rsidRDefault="00A86472" w:rsidP="00282F04">
      <w:pPr>
        <w:rPr>
          <w:rFonts w:ascii="Times New Roman" w:hAnsi="Times New Roman"/>
          <w:b/>
        </w:rPr>
      </w:pPr>
    </w:p>
    <w:p w:rsidR="003876BB" w:rsidRPr="00C4396F" w:rsidRDefault="003876BB" w:rsidP="00282F04">
      <w:pPr>
        <w:rPr>
          <w:rFonts w:ascii="Times New Roman" w:hAnsi="Times New Roman"/>
        </w:rPr>
      </w:pPr>
      <w:r w:rsidRPr="00C4396F">
        <w:rPr>
          <w:rFonts w:ascii="Times New Roman" w:hAnsi="Times New Roman"/>
          <w:b/>
        </w:rPr>
        <w:t>Estimate of Respondent Burden</w:t>
      </w:r>
    </w:p>
    <w:p w:rsidR="003876BB" w:rsidRPr="00C4396F" w:rsidRDefault="003876BB" w:rsidP="00282F04">
      <w:pPr>
        <w:rPr>
          <w:rFonts w:ascii="Times New Roman" w:hAnsi="Times New Roman"/>
        </w:rPr>
      </w:pPr>
    </w:p>
    <w:p w:rsidR="000575ED" w:rsidRPr="00C4396F" w:rsidRDefault="003876BB" w:rsidP="00282F04">
      <w:pPr>
        <w:ind w:firstLine="360"/>
        <w:rPr>
          <w:rFonts w:ascii="Times New Roman" w:hAnsi="Times New Roman"/>
        </w:rPr>
      </w:pPr>
      <w:r w:rsidRPr="00C4396F">
        <w:rPr>
          <w:rFonts w:ascii="Times New Roman" w:hAnsi="Times New Roman"/>
        </w:rPr>
        <w:t xml:space="preserve">The total annual burden for this information collection is </w:t>
      </w:r>
      <w:r w:rsidR="006F25FE" w:rsidRPr="00C4396F">
        <w:rPr>
          <w:rFonts w:ascii="Times New Roman" w:hAnsi="Times New Roman"/>
        </w:rPr>
        <w:t xml:space="preserve">estimated to be </w:t>
      </w:r>
      <w:r w:rsidR="00954801">
        <w:rPr>
          <w:rFonts w:ascii="Times New Roman" w:hAnsi="Times New Roman"/>
          <w:color w:val="000000"/>
        </w:rPr>
        <w:t>62,725</w:t>
      </w:r>
      <w:r w:rsidR="00C0497B" w:rsidRPr="00E53B7C">
        <w:rPr>
          <w:rFonts w:ascii="Times New Roman" w:hAnsi="Times New Roman"/>
          <w:b/>
          <w:color w:val="000000"/>
        </w:rPr>
        <w:t xml:space="preserve"> </w:t>
      </w:r>
      <w:r w:rsidRPr="00E53B7C">
        <w:rPr>
          <w:rFonts w:ascii="Times New Roman" w:hAnsi="Times New Roman"/>
        </w:rPr>
        <w:t>hours</w:t>
      </w:r>
      <w:r w:rsidR="005E0044" w:rsidRPr="00C4396F">
        <w:rPr>
          <w:rFonts w:ascii="Times New Roman" w:hAnsi="Times New Roman"/>
        </w:rPr>
        <w:t xml:space="preserve"> </w:t>
      </w:r>
      <w:r w:rsidRPr="00C4396F">
        <w:rPr>
          <w:rFonts w:ascii="Times New Roman" w:hAnsi="Times New Roman"/>
        </w:rPr>
        <w:t xml:space="preserve">as shown in the table below.  The total number of respondents includes all institutions that have </w:t>
      </w:r>
      <w:r w:rsidR="007B4857" w:rsidRPr="00C4396F">
        <w:rPr>
          <w:rFonts w:ascii="Times New Roman" w:hAnsi="Times New Roman"/>
        </w:rPr>
        <w:t>EFTs</w:t>
      </w:r>
      <w:r w:rsidRPr="00C4396F">
        <w:rPr>
          <w:rFonts w:ascii="Times New Roman" w:hAnsi="Times New Roman"/>
        </w:rPr>
        <w:t xml:space="preserve"> other than preauthorized transfers.  </w:t>
      </w:r>
    </w:p>
    <w:p w:rsidR="004C5EF9" w:rsidRPr="00C4396F" w:rsidRDefault="004C5EF9" w:rsidP="004C5EF9">
      <w:pPr>
        <w:ind w:firstLine="360"/>
        <w:rPr>
          <w:rFonts w:ascii="Times New Roman" w:hAnsi="Times New Roman"/>
        </w:rPr>
      </w:pPr>
    </w:p>
    <w:p w:rsidR="004C5EF9" w:rsidRPr="00C4396F" w:rsidRDefault="004C5EF9" w:rsidP="004C5EF9">
      <w:pPr>
        <w:ind w:firstLine="360"/>
        <w:rPr>
          <w:rFonts w:ascii="Times New Roman" w:hAnsi="Times New Roman"/>
        </w:rPr>
      </w:pPr>
      <w:r w:rsidRPr="00C4396F">
        <w:rPr>
          <w:rFonts w:ascii="Times New Roman" w:hAnsi="Times New Roman"/>
        </w:rPr>
        <w:t>The bur</w:t>
      </w:r>
      <w:r w:rsidR="00B0076F" w:rsidRPr="00C4396F">
        <w:rPr>
          <w:rFonts w:ascii="Times New Roman" w:hAnsi="Times New Roman"/>
        </w:rPr>
        <w:t xml:space="preserve">den for the initial disclosures, change in terms notices, </w:t>
      </w:r>
      <w:r w:rsidRPr="00C4396F">
        <w:rPr>
          <w:rFonts w:ascii="Times New Roman" w:hAnsi="Times New Roman"/>
        </w:rPr>
        <w:t xml:space="preserve">and error resolution rules requirements </w:t>
      </w:r>
      <w:r w:rsidR="00814D9D" w:rsidRPr="00C4396F">
        <w:rPr>
          <w:rFonts w:ascii="Times New Roman" w:hAnsi="Times New Roman"/>
        </w:rPr>
        <w:t>applies</w:t>
      </w:r>
      <w:r w:rsidRPr="00C4396F">
        <w:rPr>
          <w:rFonts w:ascii="Times New Roman" w:hAnsi="Times New Roman"/>
        </w:rPr>
        <w:t xml:space="preserve"> to </w:t>
      </w:r>
      <w:r w:rsidR="00814D9D" w:rsidRPr="00C4396F">
        <w:rPr>
          <w:rFonts w:ascii="Times New Roman" w:hAnsi="Times New Roman"/>
        </w:rPr>
        <w:t xml:space="preserve">all </w:t>
      </w:r>
      <w:r w:rsidRPr="00C4396F">
        <w:rPr>
          <w:rFonts w:ascii="Times New Roman" w:hAnsi="Times New Roman"/>
        </w:rPr>
        <w:t xml:space="preserve">Regulation E respondents.  </w:t>
      </w:r>
      <w:r w:rsidR="00814D9D" w:rsidRPr="00C4396F">
        <w:rPr>
          <w:rFonts w:ascii="Times New Roman" w:hAnsi="Times New Roman"/>
        </w:rPr>
        <w:t>For t</w:t>
      </w:r>
      <w:r w:rsidRPr="00C4396F">
        <w:rPr>
          <w:rFonts w:ascii="Times New Roman" w:hAnsi="Times New Roman"/>
        </w:rPr>
        <w:t>he</w:t>
      </w:r>
      <w:r w:rsidR="00814D9D" w:rsidRPr="00C4396F">
        <w:rPr>
          <w:rFonts w:ascii="Times New Roman" w:hAnsi="Times New Roman"/>
        </w:rPr>
        <w:t xml:space="preserve"> </w:t>
      </w:r>
      <w:r w:rsidRPr="00C4396F">
        <w:rPr>
          <w:rFonts w:ascii="Times New Roman" w:hAnsi="Times New Roman"/>
        </w:rPr>
        <w:t>periodic disclosure requirements</w:t>
      </w:r>
      <w:r w:rsidR="007B7F3B" w:rsidRPr="00C4396F">
        <w:rPr>
          <w:rFonts w:ascii="Times New Roman" w:hAnsi="Times New Roman"/>
        </w:rPr>
        <w:t>,</w:t>
      </w:r>
      <w:r w:rsidRPr="00C4396F">
        <w:rPr>
          <w:rFonts w:ascii="Times New Roman" w:hAnsi="Times New Roman"/>
        </w:rPr>
        <w:t xml:space="preserve"> </w:t>
      </w:r>
      <w:r w:rsidR="00814D9D" w:rsidRPr="00C4396F">
        <w:rPr>
          <w:rFonts w:ascii="Times New Roman" w:hAnsi="Times New Roman"/>
        </w:rPr>
        <w:lastRenderedPageBreak/>
        <w:t xml:space="preserve">the burden </w:t>
      </w:r>
      <w:r w:rsidRPr="00C4396F">
        <w:rPr>
          <w:rFonts w:ascii="Times New Roman" w:hAnsi="Times New Roman"/>
        </w:rPr>
        <w:t xml:space="preserve">for </w:t>
      </w:r>
      <w:r w:rsidR="00734221" w:rsidRPr="00C4396F">
        <w:rPr>
          <w:rFonts w:ascii="Times New Roman" w:hAnsi="Times New Roman"/>
        </w:rPr>
        <w:t xml:space="preserve">SMBs </w:t>
      </w:r>
      <w:r w:rsidRPr="00C4396F">
        <w:rPr>
          <w:rFonts w:ascii="Times New Roman" w:hAnsi="Times New Roman"/>
        </w:rPr>
        <w:t xml:space="preserve">is accounted for in the estimate </w:t>
      </w:r>
      <w:r w:rsidR="00235BDD" w:rsidRPr="00C4396F">
        <w:rPr>
          <w:rFonts w:ascii="Times New Roman" w:hAnsi="Times New Roman"/>
        </w:rPr>
        <w:t xml:space="preserve">under </w:t>
      </w:r>
      <w:r w:rsidRPr="00C4396F">
        <w:rPr>
          <w:rFonts w:ascii="Times New Roman" w:hAnsi="Times New Roman"/>
        </w:rPr>
        <w:t>Regulation DD</w:t>
      </w:r>
      <w:r w:rsidR="005B0166" w:rsidRPr="00C4396F">
        <w:rPr>
          <w:rFonts w:ascii="Times New Roman" w:hAnsi="Times New Roman"/>
        </w:rPr>
        <w:t xml:space="preserve">.  </w:t>
      </w:r>
      <w:r w:rsidR="00752789" w:rsidRPr="00C4396F">
        <w:rPr>
          <w:rFonts w:ascii="Times New Roman" w:hAnsi="Times New Roman"/>
        </w:rPr>
        <w:t>However,</w:t>
      </w:r>
      <w:r w:rsidR="00814D9D" w:rsidRPr="00C4396F">
        <w:rPr>
          <w:rFonts w:ascii="Times New Roman" w:hAnsi="Times New Roman"/>
        </w:rPr>
        <w:t xml:space="preserve"> there are </w:t>
      </w:r>
      <w:r w:rsidR="00601EBE">
        <w:rPr>
          <w:rFonts w:ascii="Times New Roman" w:hAnsi="Times New Roman"/>
        </w:rPr>
        <w:t>221</w:t>
      </w:r>
      <w:r w:rsidR="00814D9D" w:rsidRPr="00C4396F">
        <w:rPr>
          <w:rFonts w:ascii="Times New Roman" w:hAnsi="Times New Roman"/>
        </w:rPr>
        <w:t xml:space="preserve"> Regulation E respondents</w:t>
      </w:r>
      <w:r w:rsidR="005D2B14" w:rsidRPr="00C4396F">
        <w:rPr>
          <w:rStyle w:val="FootnoteReference"/>
          <w:rFonts w:ascii="Times New Roman" w:hAnsi="Times New Roman"/>
          <w:vertAlign w:val="superscript"/>
        </w:rPr>
        <w:footnoteReference w:id="19"/>
      </w:r>
      <w:r w:rsidR="00814D9D" w:rsidRPr="00C4396F">
        <w:rPr>
          <w:rFonts w:ascii="Times New Roman" w:hAnsi="Times New Roman"/>
        </w:rPr>
        <w:t xml:space="preserve"> </w:t>
      </w:r>
      <w:r w:rsidR="00752789" w:rsidRPr="00C4396F">
        <w:rPr>
          <w:rFonts w:ascii="Times New Roman" w:hAnsi="Times New Roman"/>
        </w:rPr>
        <w:t xml:space="preserve">that are </w:t>
      </w:r>
      <w:r w:rsidR="00814D9D" w:rsidRPr="00C4396F">
        <w:rPr>
          <w:rFonts w:ascii="Times New Roman" w:hAnsi="Times New Roman"/>
        </w:rPr>
        <w:t xml:space="preserve">not </w:t>
      </w:r>
      <w:r w:rsidR="00752789" w:rsidRPr="00C4396F">
        <w:rPr>
          <w:rFonts w:ascii="Times New Roman" w:hAnsi="Times New Roman"/>
        </w:rPr>
        <w:t xml:space="preserve">included in the Regulation </w:t>
      </w:r>
      <w:r w:rsidR="00814D9D" w:rsidRPr="00C4396F">
        <w:rPr>
          <w:rFonts w:ascii="Times New Roman" w:hAnsi="Times New Roman"/>
        </w:rPr>
        <w:t>DD</w:t>
      </w:r>
      <w:r w:rsidR="00752789" w:rsidRPr="00C4396F">
        <w:rPr>
          <w:rFonts w:ascii="Times New Roman" w:hAnsi="Times New Roman"/>
        </w:rPr>
        <w:t xml:space="preserve"> burden estimate and are </w:t>
      </w:r>
      <w:r w:rsidR="00CE2A4D" w:rsidRPr="00C4396F">
        <w:rPr>
          <w:rFonts w:ascii="Times New Roman" w:hAnsi="Times New Roman"/>
        </w:rPr>
        <w:t xml:space="preserve">accounted for under </w:t>
      </w:r>
      <w:r w:rsidRPr="00C4396F">
        <w:rPr>
          <w:rFonts w:ascii="Times New Roman" w:hAnsi="Times New Roman"/>
        </w:rPr>
        <w:t>Regulation E</w:t>
      </w:r>
      <w:r w:rsidR="007B7F3B" w:rsidRPr="00C4396F">
        <w:rPr>
          <w:rFonts w:ascii="Times New Roman" w:hAnsi="Times New Roman"/>
        </w:rPr>
        <w:t xml:space="preserve"> for the periodic disclosure requirements</w:t>
      </w:r>
      <w:r w:rsidR="00752789" w:rsidRPr="00C4396F">
        <w:rPr>
          <w:rFonts w:ascii="Times New Roman" w:hAnsi="Times New Roman"/>
        </w:rPr>
        <w:t>, as shown in the table below</w:t>
      </w:r>
      <w:r w:rsidR="00CE2A4D" w:rsidRPr="00C4396F">
        <w:rPr>
          <w:rFonts w:ascii="Times New Roman" w:hAnsi="Times New Roman"/>
        </w:rPr>
        <w:t>.</w:t>
      </w:r>
    </w:p>
    <w:p w:rsidR="00E30C6B" w:rsidRDefault="00E30C6B" w:rsidP="00552D51">
      <w:pPr>
        <w:ind w:firstLine="360"/>
        <w:rPr>
          <w:rFonts w:ascii="Times New Roman" w:hAnsi="Times New Roman"/>
        </w:rPr>
      </w:pPr>
    </w:p>
    <w:p w:rsidR="005B7F95" w:rsidRPr="00552D51" w:rsidRDefault="005B7F95" w:rsidP="00552D51">
      <w:pPr>
        <w:ind w:firstLine="360"/>
        <w:rPr>
          <w:rFonts w:ascii="Times New Roman" w:hAnsi="Times New Roman"/>
        </w:rPr>
      </w:pPr>
      <w:r w:rsidRPr="00C4396F">
        <w:rPr>
          <w:rFonts w:ascii="Times New Roman" w:hAnsi="Times New Roman"/>
        </w:rPr>
        <w:t xml:space="preserve">Moreover, no burden for receipts or disclosures related to preauthorized transfers is shown below because that burden is believed to be negligible.  Receipts provided at electronic terminals are handled entirely by machine.  For preauthorized transfers to a consumer’s account, banks </w:t>
      </w:r>
      <w:r w:rsidRPr="00552D51">
        <w:rPr>
          <w:rFonts w:ascii="Times New Roman" w:hAnsi="Times New Roman"/>
        </w:rPr>
        <w:t xml:space="preserve">ordinarily provide a readily available telephone number that the consumer can call to verify receipt of the deposit.  Finally, for preauthorized transfers from a consumer’s account, the payee, rather than the bank, ordinarily discloses amounts to be transferred to the consumer.  </w:t>
      </w:r>
    </w:p>
    <w:p w:rsidR="005B7F95" w:rsidRPr="00552D51" w:rsidRDefault="005B7F95" w:rsidP="00552D51">
      <w:pPr>
        <w:ind w:firstLine="360"/>
        <w:rPr>
          <w:rFonts w:ascii="Times New Roman" w:hAnsi="Times New Roman"/>
        </w:rPr>
      </w:pPr>
    </w:p>
    <w:p w:rsidR="00470E0C" w:rsidRPr="00552D51" w:rsidRDefault="005B7F95" w:rsidP="00A703C1">
      <w:pPr>
        <w:ind w:firstLine="360"/>
        <w:rPr>
          <w:rFonts w:ascii="Times New Roman" w:hAnsi="Times New Roman"/>
        </w:rPr>
      </w:pPr>
      <w:r w:rsidRPr="00552D51">
        <w:rPr>
          <w:rFonts w:ascii="Times New Roman" w:hAnsi="Times New Roman"/>
        </w:rPr>
        <w:t>For purposes of the PRA, no paperwork burden is associated with the recordkeeping requirement of Regulation E.  Section 205.13(b) requires, “any person subject to the act and this part to retain evidence of compliance … for a period of not less than two years from the date the disclosures are required to be made or action is required to be taken,” but does not specify the kind of records that must be retained.</w:t>
      </w:r>
      <w:r w:rsidR="00E2526B" w:rsidRPr="00552D51">
        <w:rPr>
          <w:rFonts w:ascii="Times New Roman" w:hAnsi="Times New Roman"/>
        </w:rPr>
        <w:t xml:space="preserve">  </w:t>
      </w:r>
      <w:r w:rsidR="00CB018B" w:rsidRPr="00E53B7C">
        <w:rPr>
          <w:rFonts w:ascii="Times New Roman" w:hAnsi="Times New Roman"/>
        </w:rPr>
        <w:t xml:space="preserve">These recordkeeping and disclosure requirements represent </w:t>
      </w:r>
      <w:r w:rsidR="00E53B7C" w:rsidRPr="00E53B7C">
        <w:rPr>
          <w:rFonts w:ascii="Times New Roman" w:hAnsi="Times New Roman"/>
        </w:rPr>
        <w:t>less than 1</w:t>
      </w:r>
      <w:r w:rsidR="00CB018B" w:rsidRPr="00E53B7C">
        <w:rPr>
          <w:rFonts w:ascii="Times New Roman" w:hAnsi="Times New Roman"/>
        </w:rPr>
        <w:t xml:space="preserve"> percent of total Federal Reserve System burden.</w:t>
      </w:r>
    </w:p>
    <w:p w:rsidR="00552D51" w:rsidRPr="00552D51" w:rsidRDefault="00552D51" w:rsidP="00552D51">
      <w:pPr>
        <w:rPr>
          <w:rFonts w:ascii="Times New Roman" w:hAnsi="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945"/>
        <w:gridCol w:w="1420"/>
        <w:gridCol w:w="1404"/>
        <w:gridCol w:w="1403"/>
        <w:gridCol w:w="1404"/>
      </w:tblGrid>
      <w:tr w:rsidR="00552D51" w:rsidRPr="00954801" w:rsidTr="00A703C1">
        <w:tc>
          <w:tcPr>
            <w:tcW w:w="3958" w:type="dxa"/>
          </w:tcPr>
          <w:p w:rsidR="00552D51" w:rsidRPr="00935710" w:rsidRDefault="00552D51" w:rsidP="00552D51">
            <w:pPr>
              <w:rPr>
                <w:rFonts w:ascii="Times New Roman" w:hAnsi="Times New Roman"/>
                <w:sz w:val="22"/>
                <w:szCs w:val="22"/>
              </w:rPr>
            </w:pPr>
          </w:p>
        </w:tc>
        <w:tc>
          <w:tcPr>
            <w:tcW w:w="1404" w:type="dxa"/>
            <w:vAlign w:val="center"/>
          </w:tcPr>
          <w:p w:rsidR="00552D51" w:rsidRPr="00935710" w:rsidRDefault="00552D51" w:rsidP="00552D51">
            <w:pPr>
              <w:jc w:val="center"/>
              <w:rPr>
                <w:rFonts w:ascii="Times New Roman" w:hAnsi="Times New Roman"/>
                <w:i/>
                <w:sz w:val="22"/>
                <w:szCs w:val="22"/>
              </w:rPr>
            </w:pPr>
            <w:r w:rsidRPr="00935710">
              <w:rPr>
                <w:rFonts w:ascii="Times New Roman" w:hAnsi="Times New Roman"/>
                <w:i/>
                <w:sz w:val="22"/>
                <w:szCs w:val="22"/>
              </w:rPr>
              <w:t>Number</w:t>
            </w:r>
          </w:p>
          <w:p w:rsidR="00552D51" w:rsidRPr="00935710" w:rsidRDefault="00552D51" w:rsidP="00552D51">
            <w:pPr>
              <w:jc w:val="center"/>
              <w:rPr>
                <w:rFonts w:ascii="Times New Roman" w:hAnsi="Times New Roman"/>
                <w:i/>
                <w:sz w:val="22"/>
                <w:szCs w:val="22"/>
              </w:rPr>
            </w:pPr>
            <w:r w:rsidRPr="00935710">
              <w:rPr>
                <w:rFonts w:ascii="Times New Roman" w:hAnsi="Times New Roman"/>
                <w:i/>
                <w:sz w:val="22"/>
                <w:szCs w:val="22"/>
              </w:rPr>
              <w:t>of</w:t>
            </w:r>
          </w:p>
          <w:p w:rsidR="00552D51" w:rsidRPr="00935710" w:rsidRDefault="00552D51" w:rsidP="00552D51">
            <w:pPr>
              <w:jc w:val="center"/>
              <w:rPr>
                <w:rFonts w:ascii="Times New Roman" w:hAnsi="Times New Roman"/>
                <w:i/>
                <w:sz w:val="22"/>
                <w:szCs w:val="22"/>
              </w:rPr>
            </w:pPr>
            <w:r w:rsidRPr="00935710">
              <w:rPr>
                <w:rFonts w:ascii="Times New Roman" w:hAnsi="Times New Roman"/>
                <w:i/>
                <w:sz w:val="22"/>
                <w:szCs w:val="22"/>
              </w:rPr>
              <w:t>respondents</w:t>
            </w:r>
            <w:r w:rsidR="00601EBE" w:rsidRPr="00935710">
              <w:rPr>
                <w:rStyle w:val="FootnoteReference"/>
                <w:rFonts w:ascii="Times New Roman" w:hAnsi="Times New Roman"/>
                <w:i/>
                <w:sz w:val="22"/>
                <w:szCs w:val="22"/>
                <w:vertAlign w:val="superscript"/>
              </w:rPr>
              <w:footnoteReference w:id="20"/>
            </w:r>
          </w:p>
        </w:tc>
        <w:tc>
          <w:tcPr>
            <w:tcW w:w="1405" w:type="dxa"/>
            <w:vAlign w:val="center"/>
          </w:tcPr>
          <w:p w:rsidR="00552D51" w:rsidRPr="00935710" w:rsidRDefault="00552D51" w:rsidP="00552D51">
            <w:pPr>
              <w:jc w:val="center"/>
              <w:rPr>
                <w:rFonts w:ascii="Times New Roman" w:hAnsi="Times New Roman"/>
                <w:i/>
                <w:sz w:val="22"/>
                <w:szCs w:val="22"/>
              </w:rPr>
            </w:pPr>
            <w:r w:rsidRPr="00935710">
              <w:rPr>
                <w:rFonts w:ascii="Times New Roman" w:hAnsi="Times New Roman"/>
                <w:i/>
                <w:sz w:val="22"/>
                <w:szCs w:val="22"/>
              </w:rPr>
              <w:t>Estimated annual frequency</w:t>
            </w:r>
          </w:p>
        </w:tc>
        <w:tc>
          <w:tcPr>
            <w:tcW w:w="1404" w:type="dxa"/>
            <w:vAlign w:val="center"/>
          </w:tcPr>
          <w:p w:rsidR="00552D51" w:rsidRPr="00935710" w:rsidRDefault="00552D51" w:rsidP="00552D51">
            <w:pPr>
              <w:jc w:val="center"/>
              <w:rPr>
                <w:rFonts w:ascii="Times New Roman" w:hAnsi="Times New Roman"/>
                <w:i/>
                <w:sz w:val="22"/>
                <w:szCs w:val="22"/>
              </w:rPr>
            </w:pPr>
            <w:r w:rsidRPr="00935710">
              <w:rPr>
                <w:rFonts w:ascii="Times New Roman" w:hAnsi="Times New Roman"/>
                <w:i/>
                <w:sz w:val="22"/>
                <w:szCs w:val="22"/>
              </w:rPr>
              <w:t>Estimated average</w:t>
            </w:r>
          </w:p>
          <w:p w:rsidR="00552D51" w:rsidRPr="00935710" w:rsidRDefault="00552D51" w:rsidP="00552D51">
            <w:pPr>
              <w:jc w:val="center"/>
              <w:rPr>
                <w:rFonts w:ascii="Times New Roman" w:hAnsi="Times New Roman"/>
                <w:i/>
                <w:sz w:val="22"/>
                <w:szCs w:val="22"/>
              </w:rPr>
            </w:pPr>
            <w:r w:rsidRPr="00935710">
              <w:rPr>
                <w:rFonts w:ascii="Times New Roman" w:hAnsi="Times New Roman"/>
                <w:i/>
                <w:sz w:val="22"/>
                <w:szCs w:val="22"/>
              </w:rPr>
              <w:t>response</w:t>
            </w:r>
          </w:p>
          <w:p w:rsidR="00552D51" w:rsidRPr="00935710" w:rsidRDefault="00552D51" w:rsidP="00552D51">
            <w:pPr>
              <w:jc w:val="center"/>
              <w:rPr>
                <w:rFonts w:ascii="Times New Roman" w:hAnsi="Times New Roman"/>
                <w:i/>
                <w:sz w:val="22"/>
                <w:szCs w:val="22"/>
              </w:rPr>
            </w:pPr>
            <w:r w:rsidRPr="00935710">
              <w:rPr>
                <w:rFonts w:ascii="Times New Roman" w:hAnsi="Times New Roman"/>
                <w:i/>
                <w:sz w:val="22"/>
                <w:szCs w:val="22"/>
              </w:rPr>
              <w:t>time</w:t>
            </w:r>
          </w:p>
        </w:tc>
        <w:tc>
          <w:tcPr>
            <w:tcW w:w="1405" w:type="dxa"/>
            <w:vAlign w:val="center"/>
          </w:tcPr>
          <w:p w:rsidR="00552D51" w:rsidRPr="00935710" w:rsidRDefault="00552D51" w:rsidP="00552D51">
            <w:pPr>
              <w:jc w:val="center"/>
              <w:rPr>
                <w:rFonts w:ascii="Times New Roman" w:hAnsi="Times New Roman"/>
                <w:i/>
                <w:sz w:val="22"/>
                <w:szCs w:val="22"/>
              </w:rPr>
            </w:pPr>
            <w:r w:rsidRPr="00935710">
              <w:rPr>
                <w:rFonts w:ascii="Times New Roman" w:hAnsi="Times New Roman"/>
                <w:i/>
                <w:sz w:val="22"/>
                <w:szCs w:val="22"/>
              </w:rPr>
              <w:t>Estimated annual</w:t>
            </w:r>
          </w:p>
          <w:p w:rsidR="00552D51" w:rsidRPr="00935710" w:rsidRDefault="00552D51" w:rsidP="00552D51">
            <w:pPr>
              <w:jc w:val="center"/>
              <w:rPr>
                <w:rFonts w:ascii="Times New Roman" w:hAnsi="Times New Roman"/>
                <w:i/>
                <w:sz w:val="22"/>
                <w:szCs w:val="22"/>
              </w:rPr>
            </w:pPr>
            <w:r w:rsidRPr="00935710">
              <w:rPr>
                <w:rFonts w:ascii="Times New Roman" w:hAnsi="Times New Roman"/>
                <w:i/>
                <w:sz w:val="22"/>
                <w:szCs w:val="22"/>
              </w:rPr>
              <w:t>burden hours</w:t>
            </w:r>
          </w:p>
        </w:tc>
      </w:tr>
      <w:tr w:rsidR="00A703C1" w:rsidRPr="00954801" w:rsidTr="00A703C1">
        <w:trPr>
          <w:trHeight w:val="506"/>
        </w:trPr>
        <w:tc>
          <w:tcPr>
            <w:tcW w:w="3958" w:type="dxa"/>
            <w:vAlign w:val="bottom"/>
          </w:tcPr>
          <w:p w:rsidR="0072673E" w:rsidRPr="00935710" w:rsidRDefault="0072673E" w:rsidP="00A703C1">
            <w:pPr>
              <w:rPr>
                <w:rFonts w:ascii="Times New Roman" w:hAnsi="Times New Roman"/>
                <w:sz w:val="22"/>
                <w:szCs w:val="22"/>
              </w:rPr>
            </w:pPr>
          </w:p>
          <w:p w:rsidR="00A703C1" w:rsidRPr="00935710" w:rsidRDefault="00A703C1" w:rsidP="00A703C1">
            <w:pPr>
              <w:rPr>
                <w:rFonts w:ascii="Times New Roman" w:hAnsi="Times New Roman"/>
                <w:sz w:val="22"/>
                <w:szCs w:val="22"/>
              </w:rPr>
            </w:pPr>
            <w:r w:rsidRPr="00935710">
              <w:rPr>
                <w:rFonts w:ascii="Times New Roman" w:hAnsi="Times New Roman"/>
                <w:sz w:val="22"/>
                <w:szCs w:val="22"/>
              </w:rPr>
              <w:t xml:space="preserve">Initial disclosures </w:t>
            </w:r>
          </w:p>
          <w:p w:rsidR="0072673E" w:rsidRPr="00935710" w:rsidRDefault="00A703C1" w:rsidP="0072673E">
            <w:pPr>
              <w:rPr>
                <w:rFonts w:ascii="Times New Roman" w:hAnsi="Times New Roman"/>
                <w:sz w:val="22"/>
                <w:szCs w:val="22"/>
              </w:rPr>
            </w:pPr>
            <w:r w:rsidRPr="00935710">
              <w:rPr>
                <w:rFonts w:ascii="Times New Roman" w:hAnsi="Times New Roman"/>
                <w:sz w:val="22"/>
                <w:szCs w:val="22"/>
              </w:rPr>
              <w:t>(205.7(b) &amp; 205.18(c)(1))</w:t>
            </w:r>
          </w:p>
        </w:tc>
        <w:tc>
          <w:tcPr>
            <w:tcW w:w="1404" w:type="dxa"/>
            <w:vAlign w:val="bottom"/>
          </w:tcPr>
          <w:p w:rsidR="00A703C1" w:rsidRPr="00935710" w:rsidRDefault="005039D9" w:rsidP="0072673E">
            <w:pPr>
              <w:jc w:val="center"/>
              <w:rPr>
                <w:rFonts w:ascii="Times New Roman" w:hAnsi="Times New Roman"/>
                <w:sz w:val="22"/>
                <w:szCs w:val="22"/>
              </w:rPr>
            </w:pPr>
            <w:r w:rsidRPr="00935710">
              <w:rPr>
                <w:rFonts w:ascii="Times New Roman" w:hAnsi="Times New Roman"/>
                <w:sz w:val="22"/>
                <w:szCs w:val="22"/>
              </w:rPr>
              <w:t>1,0</w:t>
            </w:r>
            <w:r w:rsidR="00601EBE" w:rsidRPr="00935710">
              <w:rPr>
                <w:rFonts w:ascii="Times New Roman" w:hAnsi="Times New Roman"/>
                <w:sz w:val="22"/>
                <w:szCs w:val="22"/>
              </w:rPr>
              <w:t>29</w:t>
            </w:r>
          </w:p>
        </w:tc>
        <w:tc>
          <w:tcPr>
            <w:tcW w:w="1405" w:type="dxa"/>
            <w:vAlign w:val="bottom"/>
          </w:tcPr>
          <w:p w:rsidR="00A703C1" w:rsidRPr="00935710" w:rsidRDefault="00A703C1" w:rsidP="0072673E">
            <w:pPr>
              <w:jc w:val="center"/>
              <w:rPr>
                <w:rFonts w:ascii="Times New Roman" w:hAnsi="Times New Roman"/>
                <w:sz w:val="22"/>
                <w:szCs w:val="22"/>
              </w:rPr>
            </w:pPr>
            <w:r w:rsidRPr="00935710">
              <w:rPr>
                <w:rFonts w:ascii="Times New Roman" w:hAnsi="Times New Roman"/>
                <w:sz w:val="22"/>
                <w:szCs w:val="22"/>
              </w:rPr>
              <w:t>250</w:t>
            </w:r>
          </w:p>
        </w:tc>
        <w:tc>
          <w:tcPr>
            <w:tcW w:w="1404" w:type="dxa"/>
            <w:vAlign w:val="bottom"/>
          </w:tcPr>
          <w:p w:rsidR="00A703C1" w:rsidRPr="00935710" w:rsidRDefault="00A703C1" w:rsidP="0072673E">
            <w:pPr>
              <w:jc w:val="center"/>
              <w:rPr>
                <w:rFonts w:ascii="Times New Roman" w:hAnsi="Times New Roman"/>
                <w:sz w:val="22"/>
                <w:szCs w:val="22"/>
              </w:rPr>
            </w:pPr>
            <w:r w:rsidRPr="00935710">
              <w:rPr>
                <w:rFonts w:ascii="Times New Roman" w:hAnsi="Times New Roman"/>
                <w:sz w:val="22"/>
                <w:szCs w:val="22"/>
              </w:rPr>
              <w:t>1.5 minutes</w:t>
            </w:r>
          </w:p>
        </w:tc>
        <w:tc>
          <w:tcPr>
            <w:tcW w:w="1405" w:type="dxa"/>
            <w:vAlign w:val="bottom"/>
          </w:tcPr>
          <w:p w:rsidR="00A703C1" w:rsidRPr="00935710" w:rsidRDefault="00C0497B" w:rsidP="0072673E">
            <w:pPr>
              <w:jc w:val="right"/>
              <w:rPr>
                <w:rFonts w:ascii="Times New Roman" w:hAnsi="Times New Roman"/>
                <w:sz w:val="22"/>
                <w:szCs w:val="22"/>
              </w:rPr>
            </w:pPr>
            <w:r w:rsidRPr="00935710">
              <w:rPr>
                <w:rFonts w:ascii="Times New Roman" w:hAnsi="Times New Roman"/>
                <w:sz w:val="22"/>
                <w:szCs w:val="22"/>
              </w:rPr>
              <w:t>6,</w:t>
            </w:r>
            <w:r w:rsidR="001E25E8" w:rsidRPr="00935710">
              <w:rPr>
                <w:rFonts w:ascii="Times New Roman" w:hAnsi="Times New Roman"/>
                <w:sz w:val="22"/>
                <w:szCs w:val="22"/>
              </w:rPr>
              <w:t>431</w:t>
            </w:r>
          </w:p>
        </w:tc>
      </w:tr>
      <w:tr w:rsidR="00A703C1" w:rsidRPr="00954801" w:rsidTr="00A703C1">
        <w:trPr>
          <w:trHeight w:val="506"/>
        </w:trPr>
        <w:tc>
          <w:tcPr>
            <w:tcW w:w="3958" w:type="dxa"/>
            <w:vAlign w:val="bottom"/>
          </w:tcPr>
          <w:p w:rsidR="0072673E" w:rsidRPr="00935710" w:rsidRDefault="0072673E" w:rsidP="00A703C1">
            <w:pPr>
              <w:rPr>
                <w:rFonts w:ascii="Times New Roman" w:hAnsi="Times New Roman"/>
                <w:sz w:val="22"/>
                <w:szCs w:val="22"/>
              </w:rPr>
            </w:pPr>
          </w:p>
          <w:p w:rsidR="0072673E" w:rsidRPr="00935710" w:rsidRDefault="00A703C1" w:rsidP="00A703C1">
            <w:pPr>
              <w:rPr>
                <w:rFonts w:ascii="Times New Roman" w:hAnsi="Times New Roman"/>
                <w:sz w:val="22"/>
                <w:szCs w:val="22"/>
              </w:rPr>
            </w:pPr>
            <w:r w:rsidRPr="00935710">
              <w:rPr>
                <w:rFonts w:ascii="Times New Roman" w:hAnsi="Times New Roman"/>
                <w:sz w:val="22"/>
                <w:szCs w:val="22"/>
              </w:rPr>
              <w:t xml:space="preserve">Change-in-terms (205.8(a)) </w:t>
            </w:r>
          </w:p>
        </w:tc>
        <w:tc>
          <w:tcPr>
            <w:tcW w:w="1404" w:type="dxa"/>
            <w:vAlign w:val="bottom"/>
          </w:tcPr>
          <w:p w:rsidR="00A703C1" w:rsidRPr="00935710" w:rsidRDefault="005039D9" w:rsidP="00601EBE">
            <w:pPr>
              <w:jc w:val="center"/>
              <w:rPr>
                <w:rFonts w:ascii="Times New Roman" w:hAnsi="Times New Roman"/>
                <w:sz w:val="22"/>
                <w:szCs w:val="22"/>
              </w:rPr>
            </w:pPr>
            <w:r w:rsidRPr="00935710">
              <w:rPr>
                <w:rFonts w:ascii="Times New Roman" w:hAnsi="Times New Roman"/>
                <w:sz w:val="22"/>
                <w:szCs w:val="22"/>
              </w:rPr>
              <w:t>1,0</w:t>
            </w:r>
            <w:r w:rsidR="00601EBE" w:rsidRPr="00935710">
              <w:rPr>
                <w:rFonts w:ascii="Times New Roman" w:hAnsi="Times New Roman"/>
                <w:sz w:val="22"/>
                <w:szCs w:val="22"/>
              </w:rPr>
              <w:t>29</w:t>
            </w:r>
          </w:p>
        </w:tc>
        <w:tc>
          <w:tcPr>
            <w:tcW w:w="1405" w:type="dxa"/>
            <w:vAlign w:val="bottom"/>
          </w:tcPr>
          <w:p w:rsidR="00A703C1" w:rsidRPr="00935710" w:rsidRDefault="00A703C1" w:rsidP="00A703C1">
            <w:pPr>
              <w:jc w:val="center"/>
              <w:rPr>
                <w:rFonts w:ascii="Times New Roman" w:hAnsi="Times New Roman"/>
                <w:sz w:val="22"/>
                <w:szCs w:val="22"/>
              </w:rPr>
            </w:pPr>
            <w:r w:rsidRPr="00935710">
              <w:rPr>
                <w:rFonts w:ascii="Times New Roman" w:hAnsi="Times New Roman"/>
                <w:sz w:val="22"/>
                <w:szCs w:val="22"/>
              </w:rPr>
              <w:t>340</w:t>
            </w:r>
          </w:p>
        </w:tc>
        <w:tc>
          <w:tcPr>
            <w:tcW w:w="1404" w:type="dxa"/>
            <w:vAlign w:val="bottom"/>
          </w:tcPr>
          <w:p w:rsidR="00A703C1" w:rsidRPr="00935710" w:rsidRDefault="00A703C1" w:rsidP="00A703C1">
            <w:pPr>
              <w:jc w:val="right"/>
              <w:rPr>
                <w:rFonts w:ascii="Times New Roman" w:hAnsi="Times New Roman"/>
                <w:sz w:val="22"/>
                <w:szCs w:val="22"/>
              </w:rPr>
            </w:pPr>
            <w:r w:rsidRPr="00935710">
              <w:rPr>
                <w:rFonts w:ascii="Times New Roman" w:hAnsi="Times New Roman"/>
                <w:sz w:val="22"/>
                <w:szCs w:val="22"/>
              </w:rPr>
              <w:t>1 minute</w:t>
            </w:r>
          </w:p>
        </w:tc>
        <w:tc>
          <w:tcPr>
            <w:tcW w:w="1405" w:type="dxa"/>
            <w:vAlign w:val="bottom"/>
          </w:tcPr>
          <w:p w:rsidR="00A703C1" w:rsidRPr="00935710" w:rsidRDefault="001E25E8" w:rsidP="001E25E8">
            <w:pPr>
              <w:jc w:val="right"/>
              <w:rPr>
                <w:rFonts w:ascii="Times New Roman" w:hAnsi="Times New Roman"/>
                <w:sz w:val="22"/>
                <w:szCs w:val="22"/>
              </w:rPr>
            </w:pPr>
            <w:r w:rsidRPr="00935710">
              <w:rPr>
                <w:rFonts w:ascii="Times New Roman" w:hAnsi="Times New Roman"/>
                <w:sz w:val="22"/>
                <w:szCs w:val="22"/>
              </w:rPr>
              <w:t>5</w:t>
            </w:r>
            <w:r w:rsidR="00C0497B" w:rsidRPr="00935710">
              <w:rPr>
                <w:rFonts w:ascii="Times New Roman" w:hAnsi="Times New Roman"/>
                <w:sz w:val="22"/>
                <w:szCs w:val="22"/>
              </w:rPr>
              <w:t>,</w:t>
            </w:r>
            <w:r w:rsidRPr="00935710">
              <w:rPr>
                <w:rFonts w:ascii="Times New Roman" w:hAnsi="Times New Roman"/>
                <w:sz w:val="22"/>
                <w:szCs w:val="22"/>
              </w:rPr>
              <w:t>831</w:t>
            </w:r>
          </w:p>
        </w:tc>
      </w:tr>
      <w:tr w:rsidR="00A703C1" w:rsidRPr="00954801" w:rsidTr="00A703C1">
        <w:trPr>
          <w:trHeight w:val="506"/>
        </w:trPr>
        <w:tc>
          <w:tcPr>
            <w:tcW w:w="3958" w:type="dxa"/>
            <w:vAlign w:val="bottom"/>
          </w:tcPr>
          <w:p w:rsidR="0072673E" w:rsidRPr="00935710" w:rsidRDefault="0072673E" w:rsidP="00A703C1">
            <w:pPr>
              <w:rPr>
                <w:rFonts w:ascii="Times New Roman" w:hAnsi="Times New Roman"/>
                <w:sz w:val="22"/>
                <w:szCs w:val="22"/>
              </w:rPr>
            </w:pPr>
          </w:p>
          <w:p w:rsidR="00A703C1" w:rsidRPr="00935710" w:rsidRDefault="00A703C1" w:rsidP="00A703C1">
            <w:pPr>
              <w:rPr>
                <w:rFonts w:ascii="Times New Roman" w:hAnsi="Times New Roman"/>
                <w:sz w:val="22"/>
                <w:szCs w:val="22"/>
                <w:u w:val="single"/>
              </w:rPr>
            </w:pPr>
            <w:r w:rsidRPr="00935710">
              <w:rPr>
                <w:rFonts w:ascii="Times New Roman" w:hAnsi="Times New Roman"/>
                <w:sz w:val="22"/>
                <w:szCs w:val="22"/>
              </w:rPr>
              <w:t>Periodic statements (205.9(b)</w:t>
            </w:r>
            <w:r w:rsidR="0072673E" w:rsidRPr="00935710">
              <w:rPr>
                <w:rFonts w:ascii="Times New Roman" w:hAnsi="Times New Roman"/>
                <w:sz w:val="22"/>
                <w:szCs w:val="22"/>
              </w:rPr>
              <w:t xml:space="preserve"> &amp; 205.18(b)</w:t>
            </w:r>
            <w:r w:rsidRPr="00935710">
              <w:rPr>
                <w:rFonts w:ascii="Times New Roman" w:hAnsi="Times New Roman"/>
                <w:sz w:val="22"/>
                <w:szCs w:val="22"/>
              </w:rPr>
              <w:t>)</w:t>
            </w:r>
          </w:p>
        </w:tc>
        <w:tc>
          <w:tcPr>
            <w:tcW w:w="1404" w:type="dxa"/>
            <w:vAlign w:val="bottom"/>
          </w:tcPr>
          <w:p w:rsidR="00A703C1" w:rsidRPr="00935710" w:rsidRDefault="00601EBE" w:rsidP="00A703C1">
            <w:pPr>
              <w:jc w:val="center"/>
              <w:rPr>
                <w:rFonts w:ascii="Times New Roman" w:hAnsi="Times New Roman"/>
                <w:sz w:val="22"/>
                <w:szCs w:val="22"/>
              </w:rPr>
            </w:pPr>
            <w:r w:rsidRPr="00935710">
              <w:rPr>
                <w:rFonts w:ascii="Times New Roman" w:hAnsi="Times New Roman"/>
                <w:sz w:val="22"/>
                <w:szCs w:val="22"/>
              </w:rPr>
              <w:t>221</w:t>
            </w:r>
          </w:p>
        </w:tc>
        <w:tc>
          <w:tcPr>
            <w:tcW w:w="1405" w:type="dxa"/>
            <w:vAlign w:val="bottom"/>
          </w:tcPr>
          <w:p w:rsidR="00A703C1" w:rsidRPr="00935710" w:rsidRDefault="00A703C1" w:rsidP="00A703C1">
            <w:pPr>
              <w:jc w:val="center"/>
              <w:rPr>
                <w:rFonts w:ascii="Times New Roman" w:hAnsi="Times New Roman"/>
                <w:sz w:val="22"/>
                <w:szCs w:val="22"/>
              </w:rPr>
            </w:pPr>
            <w:r w:rsidRPr="00935710">
              <w:rPr>
                <w:rFonts w:ascii="Times New Roman" w:hAnsi="Times New Roman"/>
                <w:sz w:val="22"/>
                <w:szCs w:val="22"/>
              </w:rPr>
              <w:t>12</w:t>
            </w:r>
          </w:p>
        </w:tc>
        <w:tc>
          <w:tcPr>
            <w:tcW w:w="1404" w:type="dxa"/>
            <w:vAlign w:val="bottom"/>
          </w:tcPr>
          <w:p w:rsidR="00A703C1" w:rsidRPr="00935710" w:rsidRDefault="00A703C1" w:rsidP="00A703C1">
            <w:pPr>
              <w:jc w:val="right"/>
              <w:rPr>
                <w:rFonts w:ascii="Times New Roman" w:hAnsi="Times New Roman"/>
                <w:sz w:val="22"/>
                <w:szCs w:val="22"/>
              </w:rPr>
            </w:pPr>
            <w:r w:rsidRPr="00935710">
              <w:rPr>
                <w:rFonts w:ascii="Times New Roman" w:hAnsi="Times New Roman"/>
                <w:sz w:val="22"/>
                <w:szCs w:val="22"/>
              </w:rPr>
              <w:t>7 hours</w:t>
            </w:r>
          </w:p>
        </w:tc>
        <w:tc>
          <w:tcPr>
            <w:tcW w:w="1405" w:type="dxa"/>
            <w:vAlign w:val="bottom"/>
          </w:tcPr>
          <w:p w:rsidR="00A703C1" w:rsidRPr="00935710" w:rsidRDefault="001E25E8" w:rsidP="001E25E8">
            <w:pPr>
              <w:jc w:val="right"/>
              <w:rPr>
                <w:rFonts w:ascii="Times New Roman" w:hAnsi="Times New Roman"/>
                <w:sz w:val="22"/>
                <w:szCs w:val="22"/>
              </w:rPr>
            </w:pPr>
            <w:r w:rsidRPr="00935710">
              <w:rPr>
                <w:rFonts w:ascii="Times New Roman" w:hAnsi="Times New Roman"/>
                <w:sz w:val="22"/>
                <w:szCs w:val="22"/>
              </w:rPr>
              <w:t>18</w:t>
            </w:r>
            <w:r w:rsidR="00C0497B" w:rsidRPr="00935710">
              <w:rPr>
                <w:rFonts w:ascii="Times New Roman" w:hAnsi="Times New Roman"/>
                <w:sz w:val="22"/>
                <w:szCs w:val="22"/>
              </w:rPr>
              <w:t>,</w:t>
            </w:r>
            <w:r w:rsidRPr="00935710">
              <w:rPr>
                <w:rFonts w:ascii="Times New Roman" w:hAnsi="Times New Roman"/>
                <w:sz w:val="22"/>
                <w:szCs w:val="22"/>
              </w:rPr>
              <w:t>564</w:t>
            </w:r>
          </w:p>
        </w:tc>
      </w:tr>
      <w:tr w:rsidR="00A703C1" w:rsidRPr="00EA65BB" w:rsidTr="00A703C1">
        <w:trPr>
          <w:trHeight w:val="506"/>
        </w:trPr>
        <w:tc>
          <w:tcPr>
            <w:tcW w:w="3958" w:type="dxa"/>
            <w:vAlign w:val="bottom"/>
          </w:tcPr>
          <w:p w:rsidR="00A703C1" w:rsidRPr="00EA65BB" w:rsidRDefault="00A703C1" w:rsidP="00A703C1">
            <w:pPr>
              <w:rPr>
                <w:rFonts w:ascii="Times New Roman" w:hAnsi="Times New Roman"/>
                <w:sz w:val="22"/>
                <w:szCs w:val="22"/>
                <w:u w:val="single"/>
              </w:rPr>
            </w:pPr>
            <w:r w:rsidRPr="00EA65BB">
              <w:rPr>
                <w:rFonts w:ascii="Times New Roman" w:hAnsi="Times New Roman"/>
                <w:sz w:val="22"/>
                <w:szCs w:val="22"/>
              </w:rPr>
              <w:t xml:space="preserve">Error resolution </w:t>
            </w:r>
            <w:r w:rsidR="00EA65BB">
              <w:rPr>
                <w:rFonts w:ascii="Times New Roman" w:hAnsi="Times New Roman"/>
                <w:sz w:val="22"/>
                <w:szCs w:val="22"/>
              </w:rPr>
              <w:t>(</w:t>
            </w:r>
            <w:r w:rsidRPr="00EA65BB">
              <w:rPr>
                <w:rFonts w:ascii="Times New Roman" w:hAnsi="Times New Roman"/>
                <w:sz w:val="22"/>
                <w:szCs w:val="22"/>
              </w:rPr>
              <w:t>(</w:t>
            </w:r>
            <w:r w:rsidR="00EA65BB" w:rsidRPr="00EA65BB">
              <w:rPr>
                <w:rFonts w:ascii="Times New Roman" w:hAnsi="Times New Roman"/>
              </w:rPr>
              <w:t xml:space="preserve">205.8(b) &amp; </w:t>
            </w:r>
            <w:r w:rsidRPr="00EA65BB">
              <w:rPr>
                <w:rFonts w:ascii="Times New Roman" w:hAnsi="Times New Roman"/>
                <w:sz w:val="22"/>
                <w:szCs w:val="22"/>
              </w:rPr>
              <w:t>205.11)</w:t>
            </w:r>
            <w:r w:rsidR="00EA65BB">
              <w:rPr>
                <w:rFonts w:ascii="Times New Roman" w:hAnsi="Times New Roman"/>
                <w:sz w:val="22"/>
                <w:szCs w:val="22"/>
              </w:rPr>
              <w:t>)</w:t>
            </w:r>
          </w:p>
        </w:tc>
        <w:tc>
          <w:tcPr>
            <w:tcW w:w="1404" w:type="dxa"/>
            <w:vAlign w:val="bottom"/>
          </w:tcPr>
          <w:p w:rsidR="00A703C1" w:rsidRPr="00EA65BB" w:rsidRDefault="005039D9" w:rsidP="00601EBE">
            <w:pPr>
              <w:jc w:val="center"/>
              <w:rPr>
                <w:rFonts w:ascii="Times New Roman" w:hAnsi="Times New Roman"/>
                <w:sz w:val="22"/>
                <w:szCs w:val="22"/>
              </w:rPr>
            </w:pPr>
            <w:r w:rsidRPr="00EA65BB">
              <w:rPr>
                <w:rFonts w:ascii="Times New Roman" w:hAnsi="Times New Roman"/>
                <w:sz w:val="22"/>
                <w:szCs w:val="22"/>
              </w:rPr>
              <w:t>1,0</w:t>
            </w:r>
            <w:r w:rsidR="00601EBE" w:rsidRPr="00EA65BB">
              <w:rPr>
                <w:rFonts w:ascii="Times New Roman" w:hAnsi="Times New Roman"/>
                <w:sz w:val="22"/>
                <w:szCs w:val="22"/>
              </w:rPr>
              <w:t>29</w:t>
            </w:r>
          </w:p>
        </w:tc>
        <w:tc>
          <w:tcPr>
            <w:tcW w:w="1405" w:type="dxa"/>
            <w:vAlign w:val="bottom"/>
          </w:tcPr>
          <w:p w:rsidR="00A703C1" w:rsidRPr="00EA65BB" w:rsidRDefault="00A703C1" w:rsidP="00A703C1">
            <w:pPr>
              <w:jc w:val="center"/>
              <w:rPr>
                <w:rFonts w:ascii="Times New Roman" w:hAnsi="Times New Roman"/>
                <w:sz w:val="22"/>
                <w:szCs w:val="22"/>
              </w:rPr>
            </w:pPr>
            <w:r w:rsidRPr="00EA65BB">
              <w:rPr>
                <w:rFonts w:ascii="Times New Roman" w:hAnsi="Times New Roman"/>
                <w:sz w:val="22"/>
                <w:szCs w:val="22"/>
              </w:rPr>
              <w:t>30</w:t>
            </w:r>
          </w:p>
        </w:tc>
        <w:tc>
          <w:tcPr>
            <w:tcW w:w="1404" w:type="dxa"/>
            <w:vAlign w:val="bottom"/>
          </w:tcPr>
          <w:p w:rsidR="00A703C1" w:rsidRPr="00EA65BB" w:rsidRDefault="00A703C1" w:rsidP="00A703C1">
            <w:pPr>
              <w:jc w:val="right"/>
              <w:rPr>
                <w:rFonts w:ascii="Times New Roman" w:hAnsi="Times New Roman"/>
                <w:sz w:val="22"/>
                <w:szCs w:val="22"/>
              </w:rPr>
            </w:pPr>
            <w:r w:rsidRPr="00EA65BB">
              <w:rPr>
                <w:rFonts w:ascii="Times New Roman" w:hAnsi="Times New Roman"/>
                <w:sz w:val="22"/>
                <w:szCs w:val="22"/>
              </w:rPr>
              <w:t>30 minutes</w:t>
            </w:r>
          </w:p>
        </w:tc>
        <w:tc>
          <w:tcPr>
            <w:tcW w:w="1405" w:type="dxa"/>
            <w:vAlign w:val="bottom"/>
          </w:tcPr>
          <w:p w:rsidR="00A703C1" w:rsidRPr="00EA65BB" w:rsidRDefault="00C0497B" w:rsidP="001E25E8">
            <w:pPr>
              <w:jc w:val="right"/>
              <w:rPr>
                <w:rFonts w:ascii="Times New Roman" w:hAnsi="Times New Roman"/>
                <w:sz w:val="22"/>
                <w:szCs w:val="22"/>
              </w:rPr>
            </w:pPr>
            <w:r w:rsidRPr="00EA65BB">
              <w:rPr>
                <w:rFonts w:ascii="Times New Roman" w:hAnsi="Times New Roman"/>
                <w:sz w:val="22"/>
                <w:szCs w:val="22"/>
              </w:rPr>
              <w:t>15,</w:t>
            </w:r>
            <w:r w:rsidR="001E25E8" w:rsidRPr="00EA65BB">
              <w:rPr>
                <w:rFonts w:ascii="Times New Roman" w:hAnsi="Times New Roman"/>
                <w:sz w:val="22"/>
                <w:szCs w:val="22"/>
              </w:rPr>
              <w:t>435</w:t>
            </w:r>
          </w:p>
        </w:tc>
      </w:tr>
      <w:tr w:rsidR="00A703C1" w:rsidRPr="00954801" w:rsidTr="00A703C1">
        <w:trPr>
          <w:trHeight w:val="506"/>
        </w:trPr>
        <w:tc>
          <w:tcPr>
            <w:tcW w:w="3958" w:type="dxa"/>
            <w:vAlign w:val="bottom"/>
          </w:tcPr>
          <w:p w:rsidR="0072673E" w:rsidRPr="00935710" w:rsidRDefault="0072673E" w:rsidP="00A4552A">
            <w:pPr>
              <w:rPr>
                <w:rFonts w:ascii="Times New Roman" w:hAnsi="Times New Roman"/>
                <w:sz w:val="22"/>
                <w:szCs w:val="22"/>
              </w:rPr>
            </w:pPr>
          </w:p>
          <w:p w:rsidR="00A703C1" w:rsidRPr="00935710" w:rsidRDefault="00A4552A" w:rsidP="00A4552A">
            <w:pPr>
              <w:rPr>
                <w:rFonts w:ascii="Times New Roman" w:hAnsi="Times New Roman"/>
                <w:sz w:val="22"/>
                <w:szCs w:val="22"/>
              </w:rPr>
            </w:pPr>
            <w:r w:rsidRPr="00935710">
              <w:rPr>
                <w:rFonts w:ascii="Times New Roman" w:hAnsi="Times New Roman"/>
                <w:sz w:val="22"/>
                <w:szCs w:val="22"/>
              </w:rPr>
              <w:t>Gift Card</w:t>
            </w:r>
            <w:r w:rsidRPr="00935710">
              <w:rPr>
                <w:rFonts w:ascii="Times New Roman" w:hAnsi="Times New Roman"/>
                <w:b/>
                <w:sz w:val="22"/>
                <w:szCs w:val="22"/>
              </w:rPr>
              <w:t xml:space="preserve"> </w:t>
            </w:r>
            <w:r w:rsidRPr="00935710">
              <w:rPr>
                <w:rFonts w:ascii="Times New Roman" w:hAnsi="Times New Roman"/>
                <w:sz w:val="22"/>
                <w:szCs w:val="22"/>
                <w:u w:val="single"/>
              </w:rPr>
              <w:t>e</w:t>
            </w:r>
            <w:r w:rsidR="00A703C1" w:rsidRPr="00935710">
              <w:rPr>
                <w:rFonts w:ascii="Times New Roman" w:hAnsi="Times New Roman"/>
                <w:sz w:val="22"/>
                <w:szCs w:val="22"/>
                <w:u w:val="single"/>
              </w:rPr>
              <w:t>xclusion</w:t>
            </w:r>
            <w:r w:rsidR="00A703C1" w:rsidRPr="00935710">
              <w:rPr>
                <w:rFonts w:ascii="Times New Roman" w:hAnsi="Times New Roman"/>
                <w:sz w:val="22"/>
                <w:szCs w:val="22"/>
              </w:rPr>
              <w:t xml:space="preserve"> policies and procedures (205.20(b)(2)) </w:t>
            </w:r>
          </w:p>
        </w:tc>
        <w:tc>
          <w:tcPr>
            <w:tcW w:w="1404" w:type="dxa"/>
            <w:vAlign w:val="bottom"/>
          </w:tcPr>
          <w:p w:rsidR="00A703C1" w:rsidRPr="00935710" w:rsidRDefault="005039D9" w:rsidP="00601EBE">
            <w:pPr>
              <w:jc w:val="center"/>
              <w:rPr>
                <w:rFonts w:ascii="Times New Roman" w:hAnsi="Times New Roman"/>
                <w:sz w:val="22"/>
                <w:szCs w:val="22"/>
              </w:rPr>
            </w:pPr>
            <w:r w:rsidRPr="00935710">
              <w:rPr>
                <w:rFonts w:ascii="Times New Roman" w:hAnsi="Times New Roman"/>
                <w:sz w:val="22"/>
                <w:szCs w:val="22"/>
              </w:rPr>
              <w:t>1,0</w:t>
            </w:r>
            <w:r w:rsidR="00601EBE" w:rsidRPr="00935710">
              <w:rPr>
                <w:rFonts w:ascii="Times New Roman" w:hAnsi="Times New Roman"/>
                <w:sz w:val="22"/>
                <w:szCs w:val="22"/>
              </w:rPr>
              <w:t>29</w:t>
            </w:r>
          </w:p>
        </w:tc>
        <w:tc>
          <w:tcPr>
            <w:tcW w:w="1405" w:type="dxa"/>
            <w:vAlign w:val="bottom"/>
          </w:tcPr>
          <w:p w:rsidR="00A703C1" w:rsidRPr="00935710" w:rsidRDefault="00A703C1" w:rsidP="00A703C1">
            <w:pPr>
              <w:jc w:val="center"/>
              <w:rPr>
                <w:rFonts w:ascii="Times New Roman" w:hAnsi="Times New Roman"/>
                <w:sz w:val="22"/>
                <w:szCs w:val="22"/>
              </w:rPr>
            </w:pPr>
            <w:r w:rsidRPr="00935710">
              <w:rPr>
                <w:rFonts w:ascii="Times New Roman" w:hAnsi="Times New Roman"/>
                <w:sz w:val="22"/>
                <w:szCs w:val="22"/>
              </w:rPr>
              <w:t>1</w:t>
            </w:r>
          </w:p>
        </w:tc>
        <w:tc>
          <w:tcPr>
            <w:tcW w:w="1404" w:type="dxa"/>
            <w:vAlign w:val="bottom"/>
          </w:tcPr>
          <w:p w:rsidR="00A703C1" w:rsidRPr="00935710" w:rsidRDefault="00A703C1" w:rsidP="00A703C1">
            <w:pPr>
              <w:jc w:val="right"/>
              <w:rPr>
                <w:rFonts w:ascii="Times New Roman" w:hAnsi="Times New Roman"/>
                <w:sz w:val="22"/>
                <w:szCs w:val="22"/>
              </w:rPr>
            </w:pPr>
            <w:r w:rsidRPr="00935710">
              <w:rPr>
                <w:rFonts w:ascii="Times New Roman" w:hAnsi="Times New Roman"/>
                <w:sz w:val="22"/>
                <w:szCs w:val="22"/>
              </w:rPr>
              <w:t>8 hours</w:t>
            </w:r>
          </w:p>
        </w:tc>
        <w:tc>
          <w:tcPr>
            <w:tcW w:w="1405" w:type="dxa"/>
            <w:vAlign w:val="bottom"/>
          </w:tcPr>
          <w:p w:rsidR="00A703C1" w:rsidRPr="00935710" w:rsidRDefault="00C0497B" w:rsidP="001E25E8">
            <w:pPr>
              <w:jc w:val="right"/>
              <w:rPr>
                <w:rFonts w:ascii="Times New Roman" w:hAnsi="Times New Roman"/>
                <w:sz w:val="22"/>
                <w:szCs w:val="22"/>
              </w:rPr>
            </w:pPr>
            <w:r w:rsidRPr="00935710">
              <w:rPr>
                <w:rFonts w:ascii="Times New Roman" w:hAnsi="Times New Roman"/>
                <w:sz w:val="22"/>
                <w:szCs w:val="22"/>
              </w:rPr>
              <w:t>8,</w:t>
            </w:r>
            <w:r w:rsidR="001E25E8" w:rsidRPr="00935710">
              <w:rPr>
                <w:rFonts w:ascii="Times New Roman" w:hAnsi="Times New Roman"/>
                <w:sz w:val="22"/>
                <w:szCs w:val="22"/>
              </w:rPr>
              <w:t>232</w:t>
            </w:r>
          </w:p>
        </w:tc>
      </w:tr>
      <w:tr w:rsidR="00A703C1" w:rsidRPr="00954801" w:rsidTr="00A703C1">
        <w:trPr>
          <w:trHeight w:val="506"/>
        </w:trPr>
        <w:tc>
          <w:tcPr>
            <w:tcW w:w="3958" w:type="dxa"/>
            <w:vAlign w:val="bottom"/>
          </w:tcPr>
          <w:p w:rsidR="0072673E" w:rsidRPr="00935710" w:rsidRDefault="0072673E" w:rsidP="00F158E3">
            <w:pPr>
              <w:rPr>
                <w:rFonts w:ascii="Times New Roman" w:hAnsi="Times New Roman"/>
                <w:sz w:val="22"/>
                <w:szCs w:val="22"/>
              </w:rPr>
            </w:pPr>
          </w:p>
          <w:p w:rsidR="00A703C1" w:rsidRPr="00935710" w:rsidRDefault="00A4552A" w:rsidP="00F158E3">
            <w:pPr>
              <w:rPr>
                <w:rFonts w:ascii="Times New Roman" w:hAnsi="Times New Roman"/>
                <w:sz w:val="22"/>
                <w:szCs w:val="22"/>
              </w:rPr>
            </w:pPr>
            <w:r w:rsidRPr="00935710">
              <w:rPr>
                <w:rFonts w:ascii="Times New Roman" w:hAnsi="Times New Roman"/>
                <w:sz w:val="22"/>
                <w:szCs w:val="22"/>
              </w:rPr>
              <w:t>Gift Card</w:t>
            </w:r>
            <w:r w:rsidRPr="00935710">
              <w:rPr>
                <w:rFonts w:ascii="Times New Roman" w:hAnsi="Times New Roman"/>
                <w:b/>
                <w:sz w:val="22"/>
                <w:szCs w:val="22"/>
              </w:rPr>
              <w:t xml:space="preserve"> </w:t>
            </w:r>
            <w:r w:rsidR="00A703C1" w:rsidRPr="00935710">
              <w:rPr>
                <w:rFonts w:ascii="Times New Roman" w:hAnsi="Times New Roman"/>
                <w:sz w:val="22"/>
                <w:szCs w:val="22"/>
              </w:rPr>
              <w:t>Policy and procedures (205.20(e)(1)</w:t>
            </w:r>
            <w:r w:rsidR="0072673E" w:rsidRPr="00935710">
              <w:rPr>
                <w:rFonts w:ascii="Times New Roman" w:hAnsi="Times New Roman"/>
                <w:sz w:val="22"/>
                <w:szCs w:val="22"/>
              </w:rPr>
              <w:t>)</w:t>
            </w:r>
            <w:r w:rsidR="00A703C1" w:rsidRPr="00935710">
              <w:rPr>
                <w:rFonts w:ascii="Times New Roman" w:hAnsi="Times New Roman"/>
                <w:sz w:val="22"/>
                <w:szCs w:val="22"/>
              </w:rPr>
              <w:t xml:space="preserve"> </w:t>
            </w:r>
          </w:p>
        </w:tc>
        <w:tc>
          <w:tcPr>
            <w:tcW w:w="1404" w:type="dxa"/>
            <w:vAlign w:val="bottom"/>
          </w:tcPr>
          <w:p w:rsidR="00A703C1" w:rsidRPr="00935710" w:rsidRDefault="005039D9" w:rsidP="00601EBE">
            <w:pPr>
              <w:jc w:val="center"/>
              <w:rPr>
                <w:rFonts w:ascii="Times New Roman" w:hAnsi="Times New Roman"/>
                <w:sz w:val="22"/>
                <w:szCs w:val="22"/>
              </w:rPr>
            </w:pPr>
            <w:r w:rsidRPr="00935710">
              <w:rPr>
                <w:rFonts w:ascii="Times New Roman" w:hAnsi="Times New Roman"/>
                <w:sz w:val="22"/>
                <w:szCs w:val="22"/>
              </w:rPr>
              <w:t>1,0</w:t>
            </w:r>
            <w:r w:rsidR="00601EBE" w:rsidRPr="00935710">
              <w:rPr>
                <w:rFonts w:ascii="Times New Roman" w:hAnsi="Times New Roman"/>
                <w:sz w:val="22"/>
                <w:szCs w:val="22"/>
              </w:rPr>
              <w:t>29</w:t>
            </w:r>
          </w:p>
        </w:tc>
        <w:tc>
          <w:tcPr>
            <w:tcW w:w="1405" w:type="dxa"/>
            <w:vAlign w:val="bottom"/>
          </w:tcPr>
          <w:p w:rsidR="00A703C1" w:rsidRPr="00935710" w:rsidRDefault="00A703C1" w:rsidP="00A703C1">
            <w:pPr>
              <w:jc w:val="center"/>
              <w:rPr>
                <w:rFonts w:ascii="Times New Roman" w:hAnsi="Times New Roman"/>
                <w:sz w:val="22"/>
                <w:szCs w:val="22"/>
              </w:rPr>
            </w:pPr>
            <w:r w:rsidRPr="00935710">
              <w:rPr>
                <w:rFonts w:ascii="Times New Roman" w:hAnsi="Times New Roman"/>
                <w:sz w:val="22"/>
                <w:szCs w:val="22"/>
              </w:rPr>
              <w:t>1</w:t>
            </w:r>
          </w:p>
        </w:tc>
        <w:tc>
          <w:tcPr>
            <w:tcW w:w="1404" w:type="dxa"/>
            <w:vAlign w:val="bottom"/>
          </w:tcPr>
          <w:p w:rsidR="00A703C1" w:rsidRPr="00935710" w:rsidRDefault="00A703C1" w:rsidP="00A703C1">
            <w:pPr>
              <w:jc w:val="right"/>
              <w:rPr>
                <w:rFonts w:ascii="Times New Roman" w:hAnsi="Times New Roman"/>
                <w:sz w:val="22"/>
                <w:szCs w:val="22"/>
              </w:rPr>
            </w:pPr>
            <w:r w:rsidRPr="00935710">
              <w:rPr>
                <w:rFonts w:ascii="Times New Roman" w:hAnsi="Times New Roman"/>
                <w:sz w:val="22"/>
                <w:szCs w:val="22"/>
              </w:rPr>
              <w:t>8 hours</w:t>
            </w:r>
          </w:p>
        </w:tc>
        <w:tc>
          <w:tcPr>
            <w:tcW w:w="1405" w:type="dxa"/>
            <w:vAlign w:val="bottom"/>
          </w:tcPr>
          <w:p w:rsidR="00A703C1" w:rsidRPr="00935710" w:rsidRDefault="00C0497B" w:rsidP="001E25E8">
            <w:pPr>
              <w:jc w:val="right"/>
              <w:rPr>
                <w:rFonts w:ascii="Times New Roman" w:hAnsi="Times New Roman"/>
                <w:sz w:val="22"/>
                <w:szCs w:val="22"/>
                <w:u w:val="single"/>
              </w:rPr>
            </w:pPr>
            <w:r w:rsidRPr="00935710">
              <w:rPr>
                <w:rFonts w:ascii="Times New Roman" w:hAnsi="Times New Roman"/>
                <w:sz w:val="22"/>
                <w:szCs w:val="22"/>
                <w:u w:val="single"/>
              </w:rPr>
              <w:t>8,</w:t>
            </w:r>
            <w:r w:rsidR="001E25E8" w:rsidRPr="00935710">
              <w:rPr>
                <w:rFonts w:ascii="Times New Roman" w:hAnsi="Times New Roman"/>
                <w:sz w:val="22"/>
                <w:szCs w:val="22"/>
                <w:u w:val="single"/>
              </w:rPr>
              <w:t>232</w:t>
            </w:r>
          </w:p>
        </w:tc>
      </w:tr>
      <w:tr w:rsidR="00A703C1" w:rsidRPr="00954801" w:rsidTr="00A703C1">
        <w:trPr>
          <w:trHeight w:val="506"/>
        </w:trPr>
        <w:tc>
          <w:tcPr>
            <w:tcW w:w="3958" w:type="dxa"/>
            <w:vAlign w:val="bottom"/>
          </w:tcPr>
          <w:p w:rsidR="00A703C1" w:rsidRPr="00935710" w:rsidRDefault="00A703C1" w:rsidP="00A703C1">
            <w:pPr>
              <w:jc w:val="right"/>
              <w:rPr>
                <w:rFonts w:ascii="Times New Roman" w:hAnsi="Times New Roman"/>
                <w:i/>
                <w:sz w:val="22"/>
                <w:szCs w:val="22"/>
              </w:rPr>
            </w:pPr>
            <w:r w:rsidRPr="00935710">
              <w:rPr>
                <w:rFonts w:ascii="Times New Roman" w:hAnsi="Times New Roman"/>
                <w:i/>
                <w:sz w:val="22"/>
                <w:szCs w:val="22"/>
              </w:rPr>
              <w:t xml:space="preserve">Total </w:t>
            </w:r>
          </w:p>
        </w:tc>
        <w:tc>
          <w:tcPr>
            <w:tcW w:w="1404" w:type="dxa"/>
            <w:vAlign w:val="bottom"/>
          </w:tcPr>
          <w:p w:rsidR="00A703C1" w:rsidRPr="00935710" w:rsidRDefault="00A703C1" w:rsidP="00A703C1">
            <w:pPr>
              <w:rPr>
                <w:rFonts w:ascii="Times New Roman" w:hAnsi="Times New Roman"/>
                <w:sz w:val="22"/>
                <w:szCs w:val="22"/>
              </w:rPr>
            </w:pPr>
          </w:p>
        </w:tc>
        <w:tc>
          <w:tcPr>
            <w:tcW w:w="1405" w:type="dxa"/>
            <w:vAlign w:val="bottom"/>
          </w:tcPr>
          <w:p w:rsidR="00A703C1" w:rsidRPr="00935710" w:rsidRDefault="00A703C1" w:rsidP="00A703C1">
            <w:pPr>
              <w:rPr>
                <w:rFonts w:ascii="Times New Roman" w:hAnsi="Times New Roman"/>
                <w:sz w:val="22"/>
                <w:szCs w:val="22"/>
              </w:rPr>
            </w:pPr>
          </w:p>
        </w:tc>
        <w:tc>
          <w:tcPr>
            <w:tcW w:w="1404" w:type="dxa"/>
            <w:vAlign w:val="bottom"/>
          </w:tcPr>
          <w:p w:rsidR="00A703C1" w:rsidRPr="00935710" w:rsidRDefault="00A703C1" w:rsidP="00A703C1">
            <w:pPr>
              <w:rPr>
                <w:rFonts w:ascii="Times New Roman" w:hAnsi="Times New Roman"/>
                <w:sz w:val="22"/>
                <w:szCs w:val="22"/>
              </w:rPr>
            </w:pPr>
          </w:p>
        </w:tc>
        <w:tc>
          <w:tcPr>
            <w:tcW w:w="1405" w:type="dxa"/>
            <w:vAlign w:val="bottom"/>
          </w:tcPr>
          <w:p w:rsidR="00A703C1" w:rsidRPr="00935710" w:rsidRDefault="00C0497B" w:rsidP="001E25E8">
            <w:pPr>
              <w:jc w:val="right"/>
              <w:rPr>
                <w:rFonts w:ascii="Times New Roman" w:hAnsi="Times New Roman"/>
                <w:sz w:val="22"/>
                <w:szCs w:val="22"/>
              </w:rPr>
            </w:pPr>
            <w:r w:rsidRPr="00935710">
              <w:rPr>
                <w:rFonts w:ascii="Times New Roman" w:hAnsi="Times New Roman"/>
                <w:color w:val="000000"/>
                <w:sz w:val="22"/>
                <w:szCs w:val="22"/>
              </w:rPr>
              <w:t>6</w:t>
            </w:r>
            <w:r w:rsidR="001E25E8" w:rsidRPr="00935710">
              <w:rPr>
                <w:rFonts w:ascii="Times New Roman" w:hAnsi="Times New Roman"/>
                <w:color w:val="000000"/>
                <w:sz w:val="22"/>
                <w:szCs w:val="22"/>
              </w:rPr>
              <w:t>2</w:t>
            </w:r>
            <w:r w:rsidRPr="00935710">
              <w:rPr>
                <w:rFonts w:ascii="Times New Roman" w:hAnsi="Times New Roman"/>
                <w:color w:val="000000"/>
                <w:sz w:val="22"/>
                <w:szCs w:val="22"/>
              </w:rPr>
              <w:t>,</w:t>
            </w:r>
            <w:r w:rsidR="001E25E8" w:rsidRPr="00935710">
              <w:rPr>
                <w:rFonts w:ascii="Times New Roman" w:hAnsi="Times New Roman"/>
                <w:color w:val="000000"/>
                <w:sz w:val="22"/>
                <w:szCs w:val="22"/>
              </w:rPr>
              <w:t>725</w:t>
            </w:r>
          </w:p>
        </w:tc>
      </w:tr>
    </w:tbl>
    <w:p w:rsidR="00552D51" w:rsidRPr="00552D51" w:rsidRDefault="00552D51" w:rsidP="00552D51">
      <w:pPr>
        <w:rPr>
          <w:rFonts w:ascii="Times New Roman" w:hAnsi="Times New Roman"/>
        </w:rPr>
      </w:pPr>
    </w:p>
    <w:p w:rsidR="00C72942" w:rsidRPr="00552D51" w:rsidRDefault="00552D51" w:rsidP="00A003A9">
      <w:pPr>
        <w:widowControl/>
        <w:autoSpaceDE/>
        <w:autoSpaceDN/>
        <w:adjustRightInd/>
        <w:rPr>
          <w:rFonts w:ascii="Times New Roman" w:hAnsi="Times New Roman"/>
        </w:rPr>
      </w:pPr>
      <w:r w:rsidRPr="00E53B7C">
        <w:rPr>
          <w:rFonts w:ascii="Times New Roman" w:hAnsi="Times New Roman"/>
        </w:rPr>
        <w:t>T</w:t>
      </w:r>
      <w:r w:rsidR="008D37E7" w:rsidRPr="00E53B7C">
        <w:rPr>
          <w:rFonts w:ascii="Times New Roman" w:hAnsi="Times New Roman"/>
        </w:rPr>
        <w:t xml:space="preserve">he total annual cost to the public </w:t>
      </w:r>
      <w:r w:rsidR="0088284B" w:rsidRPr="00E53B7C">
        <w:rPr>
          <w:rFonts w:ascii="Times New Roman" w:hAnsi="Times New Roman"/>
        </w:rPr>
        <w:t>is estimated to</w:t>
      </w:r>
      <w:r w:rsidR="00DA35B6" w:rsidRPr="00E53B7C">
        <w:rPr>
          <w:rFonts w:ascii="Times New Roman" w:hAnsi="Times New Roman"/>
        </w:rPr>
        <w:t xml:space="preserve"> </w:t>
      </w:r>
      <w:r w:rsidRPr="00E53B7C">
        <w:rPr>
          <w:rFonts w:ascii="Times New Roman" w:hAnsi="Times New Roman"/>
        </w:rPr>
        <w:t>be</w:t>
      </w:r>
      <w:r w:rsidR="004B09F5" w:rsidRPr="00E53B7C">
        <w:rPr>
          <w:rFonts w:ascii="Times New Roman" w:hAnsi="Times New Roman"/>
        </w:rPr>
        <w:t xml:space="preserve"> $</w:t>
      </w:r>
      <w:r w:rsidR="00E53B7C" w:rsidRPr="00E53B7C">
        <w:rPr>
          <w:rFonts w:ascii="Times New Roman" w:hAnsi="Times New Roman"/>
        </w:rPr>
        <w:t>2</w:t>
      </w:r>
      <w:r w:rsidR="004B09F5" w:rsidRPr="00E53B7C">
        <w:rPr>
          <w:rFonts w:ascii="Times New Roman" w:hAnsi="Times New Roman"/>
        </w:rPr>
        <w:t>,</w:t>
      </w:r>
      <w:r w:rsidR="00954801">
        <w:rPr>
          <w:rFonts w:ascii="Times New Roman" w:hAnsi="Times New Roman"/>
        </w:rPr>
        <w:t>722,265</w:t>
      </w:r>
      <w:r w:rsidR="008D37E7" w:rsidRPr="00E53B7C">
        <w:rPr>
          <w:rFonts w:ascii="Times New Roman" w:hAnsi="Times New Roman"/>
        </w:rPr>
        <w:t>.</w:t>
      </w:r>
      <w:r w:rsidR="00C73398" w:rsidRPr="00E53B7C">
        <w:rPr>
          <w:rFonts w:ascii="Times New Roman" w:hAnsi="Times New Roman"/>
          <w:vertAlign w:val="superscript"/>
        </w:rPr>
        <w:footnoteReference w:id="21"/>
      </w:r>
      <w:r w:rsidR="00A1288C" w:rsidRPr="00552D51">
        <w:rPr>
          <w:rFonts w:ascii="Times New Roman" w:hAnsi="Times New Roman"/>
          <w:vertAlign w:val="superscript"/>
        </w:rPr>
        <w:t xml:space="preserve"> </w:t>
      </w:r>
      <w:r w:rsidR="00A1288C" w:rsidRPr="00552D51">
        <w:rPr>
          <w:rFonts w:ascii="Times New Roman" w:hAnsi="Times New Roman"/>
        </w:rPr>
        <w:t xml:space="preserve"> </w:t>
      </w:r>
    </w:p>
    <w:p w:rsidR="00935710" w:rsidRDefault="00935710" w:rsidP="00552D51">
      <w:pPr>
        <w:rPr>
          <w:rFonts w:ascii="Times New Roman" w:hAnsi="Times New Roman"/>
          <w:b/>
        </w:rPr>
      </w:pPr>
    </w:p>
    <w:p w:rsidR="00B148B0" w:rsidRPr="00552D51" w:rsidRDefault="00B148B0" w:rsidP="00552D51">
      <w:pPr>
        <w:rPr>
          <w:rFonts w:ascii="Times New Roman" w:hAnsi="Times New Roman"/>
        </w:rPr>
      </w:pPr>
      <w:r w:rsidRPr="00552D51">
        <w:rPr>
          <w:rFonts w:ascii="Times New Roman" w:hAnsi="Times New Roman"/>
          <w:b/>
        </w:rPr>
        <w:t>Estimate of Cost to the Federal Reserve System</w:t>
      </w:r>
    </w:p>
    <w:p w:rsidR="00136306" w:rsidRPr="00552D51" w:rsidRDefault="00136306" w:rsidP="00552D51">
      <w:pPr>
        <w:rPr>
          <w:rFonts w:ascii="Times New Roman" w:hAnsi="Times New Roman"/>
        </w:rPr>
      </w:pPr>
    </w:p>
    <w:p w:rsidR="00B148B0" w:rsidRPr="00552D51" w:rsidRDefault="00B148B0" w:rsidP="00552D51">
      <w:pPr>
        <w:ind w:firstLine="360"/>
        <w:rPr>
          <w:rFonts w:ascii="Times New Roman" w:hAnsi="Times New Roman"/>
        </w:rPr>
      </w:pPr>
      <w:r w:rsidRPr="00552D51">
        <w:rPr>
          <w:rFonts w:ascii="Times New Roman" w:hAnsi="Times New Roman"/>
        </w:rPr>
        <w:t>Since the Federal Reserve does not collect any information, the cost to the Federal Reserve System is negligible.</w:t>
      </w:r>
    </w:p>
    <w:p w:rsidR="00E30C6B" w:rsidRDefault="00E30C6B" w:rsidP="00552D51">
      <w:pPr>
        <w:tabs>
          <w:tab w:val="left" w:pos="360"/>
        </w:tabs>
        <w:rPr>
          <w:rFonts w:ascii="Times New Roman" w:hAnsi="Times New Roman"/>
          <w:b/>
        </w:rPr>
      </w:pPr>
    </w:p>
    <w:p w:rsidR="00035A55" w:rsidRPr="00552D51" w:rsidRDefault="008531A0" w:rsidP="00552D51">
      <w:pPr>
        <w:tabs>
          <w:tab w:val="left" w:pos="360"/>
        </w:tabs>
        <w:rPr>
          <w:rFonts w:ascii="Times New Roman" w:hAnsi="Times New Roman"/>
          <w:b/>
        </w:rPr>
      </w:pPr>
      <w:r w:rsidRPr="00552D51">
        <w:rPr>
          <w:rFonts w:ascii="Times New Roman" w:hAnsi="Times New Roman"/>
          <w:b/>
        </w:rPr>
        <w:t>Financial Industry Burden Averages</w:t>
      </w:r>
    </w:p>
    <w:p w:rsidR="00035A55" w:rsidRDefault="00035A55" w:rsidP="00035A55">
      <w:pPr>
        <w:tabs>
          <w:tab w:val="left" w:pos="360"/>
        </w:tabs>
        <w:rPr>
          <w:rFonts w:ascii="Times New Roman" w:hAnsi="Times New Roman"/>
          <w:b/>
        </w:rPr>
      </w:pPr>
    </w:p>
    <w:p w:rsidR="00C27CE6" w:rsidRPr="000603E9" w:rsidRDefault="00C27CE6" w:rsidP="00C27CE6">
      <w:pPr>
        <w:widowControl/>
        <w:ind w:firstLine="720"/>
        <w:rPr>
          <w:rFonts w:ascii="Times New Roman" w:eastAsia="Calibri" w:hAnsi="Times New Roman"/>
        </w:rPr>
      </w:pPr>
      <w:r w:rsidRPr="000603E9">
        <w:rPr>
          <w:rFonts w:ascii="Times New Roman" w:eastAsia="Calibri" w:hAnsi="Times New Roman"/>
        </w:rPr>
        <w:t>The other federal financial agencies: Office of the Comptroller of the Currency</w:t>
      </w:r>
    </w:p>
    <w:p w:rsidR="00C27CE6" w:rsidRPr="000603E9" w:rsidRDefault="00C27CE6" w:rsidP="00C27CE6">
      <w:pPr>
        <w:widowControl/>
        <w:rPr>
          <w:rFonts w:ascii="Times New Roman" w:hAnsi="Times New Roman"/>
        </w:rPr>
      </w:pPr>
      <w:r w:rsidRPr="000603E9">
        <w:rPr>
          <w:rFonts w:ascii="Times New Roman" w:eastAsia="Calibri" w:hAnsi="Times New Roman"/>
        </w:rPr>
        <w:t xml:space="preserve">(OCC), the Federal Deposit Insurance Corporation (FDIC), and the National Credit Union Administration (NCUA) are responsible for estimating and reporting to OMB the total paperwork burden for the </w:t>
      </w:r>
      <w:r w:rsidR="000603E9" w:rsidRPr="000603E9">
        <w:rPr>
          <w:rFonts w:ascii="Times New Roman" w:eastAsia="Calibri" w:hAnsi="Times New Roman"/>
        </w:rPr>
        <w:t>institutions</w:t>
      </w:r>
      <w:r w:rsidRPr="000603E9">
        <w:rPr>
          <w:rFonts w:ascii="Times New Roman" w:eastAsia="Calibri" w:hAnsi="Times New Roman"/>
        </w:rPr>
        <w:t xml:space="preserve"> for which they have primary administrative enforcement jurisdiction under </w:t>
      </w:r>
      <w:r w:rsidR="000603E9" w:rsidRPr="000603E9">
        <w:rPr>
          <w:rFonts w:ascii="Times New Roman" w:hAnsi="Times New Roman"/>
        </w:rPr>
        <w:t>Regulation E (12 CFR part 205)</w:t>
      </w:r>
      <w:r w:rsidRPr="000603E9">
        <w:rPr>
          <w:rFonts w:ascii="Times New Roman" w:eastAsia="Calibri" w:hAnsi="Times New Roman"/>
        </w:rPr>
        <w:t xml:space="preserve">.  These agencies are permitted, but are not required, to use the </w:t>
      </w:r>
      <w:r w:rsidRPr="000603E9">
        <w:rPr>
          <w:rFonts w:ascii="Times New Roman" w:hAnsi="Times New Roman"/>
        </w:rPr>
        <w:t>Federal Reserve</w:t>
      </w:r>
      <w:r w:rsidRPr="000603E9">
        <w:rPr>
          <w:rFonts w:ascii="Times New Roman" w:eastAsia="Calibri" w:hAnsi="Times New Roman"/>
        </w:rPr>
        <w:t xml:space="preserve">’s burden estimation methodology.  Using the </w:t>
      </w:r>
      <w:r w:rsidRPr="000603E9">
        <w:rPr>
          <w:rFonts w:ascii="Times New Roman" w:hAnsi="Times New Roman"/>
        </w:rPr>
        <w:t>Federal Reserve</w:t>
      </w:r>
      <w:r w:rsidRPr="000603E9">
        <w:rPr>
          <w:rFonts w:ascii="Times New Roman" w:eastAsia="Calibri" w:hAnsi="Times New Roman"/>
        </w:rPr>
        <w:t xml:space="preserve">’s method, the total current estimated annual burden for the approximately </w:t>
      </w:r>
      <w:r w:rsidRPr="00E53B7C">
        <w:rPr>
          <w:rFonts w:ascii="Times New Roman" w:eastAsia="Calibri" w:hAnsi="Times New Roman"/>
        </w:rPr>
        <w:t>1</w:t>
      </w:r>
      <w:r w:rsidR="000603E9" w:rsidRPr="00E53B7C">
        <w:rPr>
          <w:rFonts w:ascii="Times New Roman" w:eastAsia="Calibri" w:hAnsi="Times New Roman"/>
        </w:rPr>
        <w:t>5</w:t>
      </w:r>
      <w:r w:rsidRPr="00E53B7C">
        <w:rPr>
          <w:rFonts w:ascii="Times New Roman" w:eastAsia="Calibri" w:hAnsi="Times New Roman"/>
        </w:rPr>
        <w:t>,</w:t>
      </w:r>
      <w:r w:rsidR="000603E9" w:rsidRPr="00E53B7C">
        <w:rPr>
          <w:rFonts w:ascii="Times New Roman" w:eastAsia="Calibri" w:hAnsi="Times New Roman"/>
        </w:rPr>
        <w:t>000</w:t>
      </w:r>
      <w:r w:rsidRPr="00E53B7C">
        <w:rPr>
          <w:rFonts w:ascii="Times New Roman" w:eastAsia="Calibri" w:hAnsi="Times New Roman"/>
        </w:rPr>
        <w:t xml:space="preserve"> domestically chartered commercial banks, thrifts, and federal credit unions and U.S. branches and agencies of foreign banks supervised by the Federal Reserve, OCC, FDIC, and NCUA under </w:t>
      </w:r>
      <w:r w:rsidR="000603E9" w:rsidRPr="00E53B7C">
        <w:rPr>
          <w:rFonts w:ascii="Times New Roman" w:eastAsia="Calibri" w:hAnsi="Times New Roman"/>
        </w:rPr>
        <w:t>Regulation E</w:t>
      </w:r>
      <w:r w:rsidRPr="00E53B7C">
        <w:rPr>
          <w:rFonts w:ascii="Times New Roman" w:eastAsia="Calibri" w:hAnsi="Times New Roman"/>
        </w:rPr>
        <w:t xml:space="preserve"> would be approximately</w:t>
      </w:r>
      <w:r w:rsidRPr="00E30C6B">
        <w:rPr>
          <w:rFonts w:ascii="Times New Roman" w:eastAsia="Calibri" w:hAnsi="Times New Roman"/>
        </w:rPr>
        <w:t xml:space="preserve"> </w:t>
      </w:r>
      <w:r w:rsidR="00E30C6B">
        <w:rPr>
          <w:rFonts w:ascii="Times New Roman" w:eastAsia="Calibri" w:hAnsi="Times New Roman"/>
        </w:rPr>
        <w:t>946</w:t>
      </w:r>
      <w:r w:rsidRPr="00E30C6B">
        <w:rPr>
          <w:rFonts w:ascii="Times New Roman" w:eastAsia="Calibri" w:hAnsi="Times New Roman"/>
        </w:rPr>
        <w:t>,</w:t>
      </w:r>
      <w:r w:rsidR="00E30C6B">
        <w:rPr>
          <w:rFonts w:ascii="Times New Roman" w:eastAsia="Calibri" w:hAnsi="Times New Roman"/>
        </w:rPr>
        <w:t>116</w:t>
      </w:r>
      <w:r w:rsidRPr="00E30C6B">
        <w:rPr>
          <w:rFonts w:ascii="Times New Roman" w:eastAsia="Calibri" w:hAnsi="Times New Roman"/>
        </w:rPr>
        <w:t xml:space="preserve"> hours</w:t>
      </w:r>
      <w:r w:rsidRPr="000603E9">
        <w:rPr>
          <w:rFonts w:ascii="Times New Roman" w:eastAsia="Calibri" w:hAnsi="Times New Roman"/>
        </w:rPr>
        <w:t xml:space="preserve">.  The above estimates represent an average across all respondents; the </w:t>
      </w:r>
      <w:r w:rsidRPr="000603E9">
        <w:rPr>
          <w:rFonts w:ascii="Times New Roman" w:hAnsi="Times New Roman"/>
        </w:rPr>
        <w:t>Federal Reserve</w:t>
      </w:r>
      <w:r w:rsidRPr="000603E9">
        <w:rPr>
          <w:rFonts w:ascii="Times New Roman" w:eastAsia="Calibri" w:hAnsi="Times New Roman"/>
        </w:rPr>
        <w:t xml:space="preserve"> expects variations between institutions based on their size, complexity, and practices.</w:t>
      </w:r>
    </w:p>
    <w:p w:rsidR="00C27CE6" w:rsidRPr="000603E9" w:rsidRDefault="00C27CE6" w:rsidP="00035A55">
      <w:pPr>
        <w:tabs>
          <w:tab w:val="left" w:pos="360"/>
        </w:tabs>
        <w:rPr>
          <w:rFonts w:ascii="Times New Roman" w:hAnsi="Times New Roman"/>
          <w:b/>
        </w:rPr>
      </w:pPr>
    </w:p>
    <w:sectPr w:rsidR="00C27CE6" w:rsidRPr="000603E9" w:rsidSect="001E754B">
      <w:footerReference w:type="even" r:id="rId8"/>
      <w:footerReference w:type="default" r:id="rId9"/>
      <w:endnotePr>
        <w:numFmt w:val="decimal"/>
      </w:endnotePr>
      <w:pgSz w:w="12240" w:h="15840" w:code="1"/>
      <w:pgMar w:top="1530" w:right="1440" w:bottom="990" w:left="1440" w:header="720"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73E" w:rsidRDefault="0072673E">
      <w:r>
        <w:separator/>
      </w:r>
    </w:p>
  </w:endnote>
  <w:endnote w:type="continuationSeparator" w:id="0">
    <w:p w:rsidR="0072673E" w:rsidRDefault="007267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3E" w:rsidRDefault="000A6466" w:rsidP="000B374F">
    <w:pPr>
      <w:pStyle w:val="Footer"/>
      <w:framePr w:wrap="around" w:vAnchor="text" w:hAnchor="margin" w:xAlign="center" w:y="1"/>
      <w:rPr>
        <w:rStyle w:val="PageNumber"/>
      </w:rPr>
    </w:pPr>
    <w:r>
      <w:rPr>
        <w:rStyle w:val="PageNumber"/>
      </w:rPr>
      <w:fldChar w:fldCharType="begin"/>
    </w:r>
    <w:r w:rsidR="0072673E">
      <w:rPr>
        <w:rStyle w:val="PageNumber"/>
      </w:rPr>
      <w:instrText xml:space="preserve">PAGE  </w:instrText>
    </w:r>
    <w:r>
      <w:rPr>
        <w:rStyle w:val="PageNumber"/>
      </w:rPr>
      <w:fldChar w:fldCharType="end"/>
    </w:r>
  </w:p>
  <w:p w:rsidR="0072673E" w:rsidRDefault="0072673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3E" w:rsidRPr="00381029" w:rsidRDefault="0072673E">
    <w:pPr>
      <w:pStyle w:val="Footer"/>
      <w:ind w:right="360"/>
      <w:rPr>
        <w:rFonts w:ascii="Times New Roman" w:hAnsi="Times New Roman"/>
      </w:rPr>
    </w:pPr>
  </w:p>
  <w:p w:rsidR="0072673E" w:rsidRPr="00381029" w:rsidRDefault="000A6466" w:rsidP="00C975CA">
    <w:pPr>
      <w:pStyle w:val="Footer"/>
      <w:framePr w:wrap="around" w:vAnchor="text" w:hAnchor="page" w:x="6142" w:y="380"/>
      <w:rPr>
        <w:rStyle w:val="PageNumber"/>
        <w:rFonts w:ascii="Times New Roman" w:hAnsi="Times New Roman"/>
      </w:rPr>
    </w:pPr>
    <w:r w:rsidRPr="00381029">
      <w:rPr>
        <w:rStyle w:val="PageNumber"/>
        <w:rFonts w:ascii="Times New Roman" w:hAnsi="Times New Roman"/>
      </w:rPr>
      <w:fldChar w:fldCharType="begin"/>
    </w:r>
    <w:r w:rsidR="0072673E" w:rsidRPr="00381029">
      <w:rPr>
        <w:rStyle w:val="PageNumber"/>
        <w:rFonts w:ascii="Times New Roman" w:hAnsi="Times New Roman"/>
      </w:rPr>
      <w:instrText xml:space="preserve">PAGE  </w:instrText>
    </w:r>
    <w:r w:rsidRPr="00381029">
      <w:rPr>
        <w:rStyle w:val="PageNumber"/>
        <w:rFonts w:ascii="Times New Roman" w:hAnsi="Times New Roman"/>
      </w:rPr>
      <w:fldChar w:fldCharType="separate"/>
    </w:r>
    <w:r w:rsidR="00EA65BB">
      <w:rPr>
        <w:rStyle w:val="PageNumber"/>
        <w:rFonts w:ascii="Times New Roman" w:hAnsi="Times New Roman"/>
        <w:noProof/>
      </w:rPr>
      <w:t>11</w:t>
    </w:r>
    <w:r w:rsidRPr="00381029">
      <w:rPr>
        <w:rStyle w:val="PageNumber"/>
        <w:rFonts w:ascii="Times New Roman" w:hAnsi="Times New Roman"/>
      </w:rPr>
      <w:fldChar w:fldCharType="end"/>
    </w:r>
  </w:p>
  <w:p w:rsidR="0072673E" w:rsidRPr="00381029" w:rsidRDefault="0072673E">
    <w:pPr>
      <w:pStyle w:val="Footer"/>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73E" w:rsidRDefault="0072673E">
      <w:r>
        <w:separator/>
      </w:r>
    </w:p>
  </w:footnote>
  <w:footnote w:type="continuationSeparator" w:id="0">
    <w:p w:rsidR="0072673E" w:rsidRDefault="0072673E">
      <w:r>
        <w:continuationSeparator/>
      </w:r>
    </w:p>
  </w:footnote>
  <w:footnote w:id="1">
    <w:p w:rsidR="0072673E" w:rsidRPr="00954801" w:rsidRDefault="0072673E" w:rsidP="006968CD">
      <w:pPr>
        <w:pStyle w:val="FootnoteText"/>
        <w:rPr>
          <w:sz w:val="20"/>
        </w:rPr>
      </w:pPr>
      <w:r w:rsidRPr="00954801">
        <w:rPr>
          <w:rStyle w:val="FootnoteReference"/>
          <w:sz w:val="20"/>
          <w:vertAlign w:val="superscript"/>
        </w:rPr>
        <w:footnoteRef/>
      </w:r>
      <w:r w:rsidRPr="00954801">
        <w:rPr>
          <w:sz w:val="20"/>
        </w:rPr>
        <w:t xml:space="preserve">  The EFTA was enacted in 1978 and is codified at </w:t>
      </w:r>
      <w:r w:rsidRPr="00954801">
        <w:rPr>
          <w:color w:val="000000"/>
          <w:sz w:val="20"/>
        </w:rPr>
        <w:t xml:space="preserve">15 </w:t>
      </w:r>
      <w:smartTag w:uri="urn:schemas-microsoft-com:office:smarttags" w:element="stockticker">
        <w:r w:rsidRPr="00954801">
          <w:rPr>
            <w:color w:val="000000"/>
            <w:sz w:val="20"/>
          </w:rPr>
          <w:t>USC</w:t>
        </w:r>
      </w:smartTag>
      <w:r w:rsidRPr="00954801">
        <w:rPr>
          <w:color w:val="000000"/>
          <w:sz w:val="20"/>
        </w:rPr>
        <w:t xml:space="preserve"> Section 1693 </w:t>
      </w:r>
      <w:r w:rsidRPr="00954801">
        <w:rPr>
          <w:i/>
          <w:color w:val="000000"/>
          <w:sz w:val="20"/>
        </w:rPr>
        <w:t>et seq</w:t>
      </w:r>
      <w:r w:rsidRPr="00954801">
        <w:rPr>
          <w:color w:val="000000"/>
          <w:sz w:val="20"/>
        </w:rPr>
        <w:t>.</w:t>
      </w:r>
      <w:r w:rsidRPr="00954801">
        <w:rPr>
          <w:sz w:val="20"/>
        </w:rPr>
        <w:t xml:space="preserve">  Regulation E is located at 12 C.F.R. Part 205.</w:t>
      </w:r>
    </w:p>
  </w:footnote>
  <w:footnote w:id="2">
    <w:p w:rsidR="0072673E" w:rsidRPr="00954801" w:rsidRDefault="0072673E" w:rsidP="006968CD">
      <w:pPr>
        <w:pStyle w:val="FootnoteText"/>
        <w:rPr>
          <w:sz w:val="20"/>
        </w:rPr>
      </w:pPr>
      <w:r w:rsidRPr="00954801">
        <w:rPr>
          <w:rStyle w:val="FootnoteReference"/>
          <w:sz w:val="20"/>
          <w:vertAlign w:val="superscript"/>
        </w:rPr>
        <w:footnoteRef/>
      </w:r>
      <w:r w:rsidRPr="00954801">
        <w:rPr>
          <w:sz w:val="20"/>
        </w:rPr>
        <w:t xml:space="preserve">  44 U.S.C. Section 3501 </w:t>
      </w:r>
      <w:r w:rsidRPr="00954801">
        <w:rPr>
          <w:i/>
          <w:sz w:val="20"/>
        </w:rPr>
        <w:t>et seq</w:t>
      </w:r>
      <w:r w:rsidRPr="00954801">
        <w:rPr>
          <w:sz w:val="20"/>
        </w:rPr>
        <w:t>. The collection of information under Regulation E is assigned OMB No. 7100-0200 for purposes of the PRA.</w:t>
      </w:r>
    </w:p>
  </w:footnote>
  <w:footnote w:id="3">
    <w:p w:rsidR="0072673E" w:rsidRPr="00954801" w:rsidRDefault="0072673E" w:rsidP="00206B08">
      <w:pPr>
        <w:pStyle w:val="Heading5"/>
        <w:keepNext w:val="0"/>
        <w:ind w:left="0"/>
        <w:rPr>
          <w:rFonts w:ascii="Times New Roman" w:hAnsi="Times New Roman"/>
          <w:sz w:val="20"/>
          <w:szCs w:val="20"/>
        </w:rPr>
      </w:pPr>
      <w:r w:rsidRPr="00954801">
        <w:rPr>
          <w:rStyle w:val="FootnoteReference"/>
          <w:rFonts w:ascii="Times New Roman" w:hAnsi="Times New Roman"/>
          <w:sz w:val="20"/>
          <w:szCs w:val="20"/>
          <w:vertAlign w:val="superscript"/>
        </w:rPr>
        <w:footnoteRef/>
      </w:r>
      <w:r w:rsidRPr="00954801">
        <w:rPr>
          <w:rFonts w:ascii="Times New Roman" w:hAnsi="Times New Roman"/>
          <w:iCs/>
          <w:sz w:val="20"/>
          <w:szCs w:val="20"/>
        </w:rPr>
        <w:t xml:space="preserve">  </w:t>
      </w:r>
      <w:r w:rsidRPr="00954801">
        <w:rPr>
          <w:rFonts w:ascii="Times New Roman" w:hAnsi="Times New Roman"/>
          <w:sz w:val="20"/>
          <w:szCs w:val="20"/>
        </w:rPr>
        <w:t xml:space="preserve">Appendix B to Part 205—Federal Enforcement Agencies - </w:t>
      </w:r>
      <w:r w:rsidRPr="00954801">
        <w:rPr>
          <w:rFonts w:ascii="Times New Roman" w:hAnsi="Times New Roman"/>
          <w:iCs/>
          <w:sz w:val="20"/>
          <w:szCs w:val="20"/>
        </w:rPr>
        <w:t xml:space="preserve"> SMBs, branches and agencies of foreign banks (other than Federal branches, Federal agencies, and insured state branches of foreign banks), commercial lending companies owned or </w:t>
      </w:r>
      <w:r w:rsidRPr="00954801">
        <w:rPr>
          <w:rFonts w:ascii="Times New Roman" w:hAnsi="Times New Roman"/>
          <w:sz w:val="20"/>
          <w:szCs w:val="20"/>
        </w:rPr>
        <w:t xml:space="preserve">controlled by foreign banks, and Edge and agreement corporations, organizations operating under section 25 or 25(a) of the Federal Reserve Act.  </w:t>
      </w:r>
    </w:p>
    <w:p w:rsidR="0072673E" w:rsidRPr="00954801" w:rsidRDefault="0072673E" w:rsidP="00206B08">
      <w:pPr>
        <w:pStyle w:val="Heading5"/>
        <w:keepNext w:val="0"/>
        <w:ind w:left="0"/>
        <w:rPr>
          <w:rFonts w:ascii="Times New Roman" w:hAnsi="Times New Roman"/>
          <w:sz w:val="20"/>
          <w:szCs w:val="20"/>
        </w:rPr>
      </w:pPr>
    </w:p>
    <w:p w:rsidR="0072673E" w:rsidRPr="00954801" w:rsidRDefault="0072673E" w:rsidP="00206B08">
      <w:pPr>
        <w:pStyle w:val="Heading5"/>
        <w:keepNext w:val="0"/>
        <w:ind w:left="0"/>
        <w:rPr>
          <w:rFonts w:ascii="Times New Roman" w:hAnsi="Times New Roman"/>
          <w:sz w:val="20"/>
          <w:szCs w:val="20"/>
        </w:rPr>
      </w:pPr>
      <w:r w:rsidRPr="00954801">
        <w:rPr>
          <w:rFonts w:ascii="Times New Roman" w:hAnsi="Times New Roman"/>
          <w:sz w:val="20"/>
          <w:szCs w:val="20"/>
        </w:rPr>
        <w:t>The number of Federal Reserve-supervised institutions was obtained from numbers published in the Board of Governors of the Federal Reserve System 97</w:t>
      </w:r>
      <w:r w:rsidRPr="00954801">
        <w:rPr>
          <w:rFonts w:ascii="Times New Roman" w:hAnsi="Times New Roman"/>
          <w:sz w:val="20"/>
          <w:szCs w:val="20"/>
          <w:vertAlign w:val="superscript"/>
        </w:rPr>
        <w:t>th</w:t>
      </w:r>
      <w:r w:rsidRPr="00954801">
        <w:rPr>
          <w:rFonts w:ascii="Times New Roman" w:hAnsi="Times New Roman"/>
          <w:sz w:val="20"/>
          <w:szCs w:val="20"/>
        </w:rPr>
        <w:t xml:space="preserve"> Annual Report 2010:  829 </w:t>
      </w:r>
      <w:r w:rsidRPr="00954801">
        <w:rPr>
          <w:rFonts w:ascii="Times New Roman" w:hAnsi="Times New Roman"/>
          <w:iCs/>
          <w:sz w:val="20"/>
          <w:szCs w:val="20"/>
        </w:rPr>
        <w:t xml:space="preserve">SMBs, 205 Branches &amp; agencies of foreign banks, 2 </w:t>
      </w:r>
      <w:r w:rsidRPr="00954801">
        <w:rPr>
          <w:rFonts w:ascii="Times New Roman" w:hAnsi="Times New Roman"/>
          <w:sz w:val="20"/>
          <w:szCs w:val="20"/>
        </w:rPr>
        <w:t>Commercial lending companies, and 51 Edge and agreement corporations.</w:t>
      </w:r>
    </w:p>
    <w:p w:rsidR="0072673E" w:rsidRPr="00954801" w:rsidRDefault="000A6466" w:rsidP="00206B08">
      <w:pPr>
        <w:pStyle w:val="Heading5"/>
        <w:keepNext w:val="0"/>
        <w:ind w:left="0"/>
        <w:rPr>
          <w:rFonts w:ascii="Times New Roman" w:hAnsi="Times New Roman"/>
          <w:color w:val="0000FF"/>
          <w:sz w:val="20"/>
          <w:szCs w:val="20"/>
        </w:rPr>
      </w:pPr>
      <w:hyperlink r:id="rId1" w:anchor="1" w:history="1">
        <w:r w:rsidR="0072673E" w:rsidRPr="00954801">
          <w:rPr>
            <w:rStyle w:val="Hyperlink"/>
            <w:rFonts w:ascii="Times New Roman" w:hAnsi="Times New Roman"/>
            <w:sz w:val="20"/>
            <w:szCs w:val="20"/>
          </w:rPr>
          <w:t>www.federalreserve.gov/publications/annual-report/2010-banking-supervision-regulation.htm#1</w:t>
        </w:r>
      </w:hyperlink>
      <w:r w:rsidR="0072673E" w:rsidRPr="00954801">
        <w:rPr>
          <w:rFonts w:ascii="Times New Roman" w:hAnsi="Times New Roman"/>
          <w:color w:val="0000FF"/>
          <w:sz w:val="20"/>
          <w:szCs w:val="20"/>
        </w:rPr>
        <w:t xml:space="preserve"> </w:t>
      </w:r>
    </w:p>
    <w:p w:rsidR="0072673E" w:rsidRPr="00954801" w:rsidRDefault="0072673E" w:rsidP="00206B08">
      <w:pPr>
        <w:rPr>
          <w:rFonts w:ascii="Times New Roman" w:hAnsi="Times New Roman"/>
          <w:sz w:val="20"/>
          <w:szCs w:val="20"/>
        </w:rPr>
      </w:pPr>
    </w:p>
    <w:p w:rsidR="0072673E" w:rsidRPr="00954801" w:rsidRDefault="0072673E" w:rsidP="00206B08">
      <w:pPr>
        <w:rPr>
          <w:rFonts w:ascii="Times New Roman" w:hAnsi="Times New Roman"/>
          <w:sz w:val="20"/>
          <w:szCs w:val="20"/>
        </w:rPr>
      </w:pPr>
      <w:r w:rsidRPr="00954801">
        <w:rPr>
          <w:rFonts w:ascii="Times New Roman" w:hAnsi="Times New Roman"/>
          <w:sz w:val="20"/>
          <w:szCs w:val="20"/>
        </w:rPr>
        <w:t xml:space="preserve">Note – Institutions with total assets greater than $10 Billion are regulated by the Consumer Financial Protection Bureau (CFPB): </w:t>
      </w:r>
      <w:hyperlink r:id="rId2" w:history="1">
        <w:r w:rsidRPr="00954801">
          <w:rPr>
            <w:rStyle w:val="Hyperlink"/>
            <w:rFonts w:ascii="Times New Roman" w:hAnsi="Times New Roman"/>
            <w:sz w:val="20"/>
            <w:szCs w:val="20"/>
          </w:rPr>
          <w:t>www.consumerfinance.gov/</w:t>
        </w:r>
      </w:hyperlink>
      <w:r w:rsidRPr="00954801">
        <w:rPr>
          <w:rFonts w:ascii="Times New Roman" w:hAnsi="Times New Roman"/>
          <w:sz w:val="20"/>
          <w:szCs w:val="20"/>
        </w:rPr>
        <w:t xml:space="preserve">  Of the 829 SMBs</w:t>
      </w:r>
      <w:r>
        <w:rPr>
          <w:rFonts w:ascii="Times New Roman" w:hAnsi="Times New Roman"/>
          <w:sz w:val="20"/>
          <w:szCs w:val="20"/>
        </w:rPr>
        <w:t>,</w:t>
      </w:r>
      <w:r w:rsidRPr="00954801">
        <w:rPr>
          <w:rFonts w:ascii="Times New Roman" w:hAnsi="Times New Roman"/>
          <w:sz w:val="20"/>
          <w:szCs w:val="20"/>
        </w:rPr>
        <w:t xml:space="preserve"> 20 have total assets greater than $10 Billion resulting in 808 SMBs </w:t>
      </w:r>
      <w:r>
        <w:rPr>
          <w:rFonts w:ascii="Times New Roman" w:hAnsi="Times New Roman"/>
          <w:sz w:val="20"/>
          <w:szCs w:val="20"/>
        </w:rPr>
        <w:t xml:space="preserve">being </w:t>
      </w:r>
      <w:r w:rsidRPr="00954801">
        <w:rPr>
          <w:rFonts w:ascii="Times New Roman" w:hAnsi="Times New Roman"/>
          <w:sz w:val="20"/>
          <w:szCs w:val="20"/>
        </w:rPr>
        <w:t>supervised by the Federal Reserve</w:t>
      </w:r>
      <w:r>
        <w:rPr>
          <w:rFonts w:ascii="Times New Roman" w:hAnsi="Times New Roman"/>
          <w:sz w:val="20"/>
          <w:szCs w:val="20"/>
        </w:rPr>
        <w:t>.  O</w:t>
      </w:r>
      <w:r w:rsidRPr="00954801">
        <w:rPr>
          <w:rFonts w:ascii="Times New Roman" w:hAnsi="Times New Roman"/>
          <w:sz w:val="20"/>
          <w:szCs w:val="20"/>
        </w:rPr>
        <w:t xml:space="preserve">f the 205 </w:t>
      </w:r>
      <w:r w:rsidRPr="00954801">
        <w:rPr>
          <w:rFonts w:ascii="Times New Roman" w:hAnsi="Times New Roman"/>
          <w:iCs/>
          <w:sz w:val="20"/>
          <w:szCs w:val="20"/>
        </w:rPr>
        <w:t>Branches &amp; agencies of foreign banks</w:t>
      </w:r>
      <w:r>
        <w:rPr>
          <w:rFonts w:ascii="Times New Roman" w:hAnsi="Times New Roman"/>
          <w:iCs/>
          <w:sz w:val="20"/>
          <w:szCs w:val="20"/>
        </w:rPr>
        <w:t>,</w:t>
      </w:r>
      <w:r w:rsidRPr="00954801">
        <w:rPr>
          <w:rFonts w:ascii="Times New Roman" w:hAnsi="Times New Roman"/>
          <w:iCs/>
          <w:sz w:val="20"/>
          <w:szCs w:val="20"/>
        </w:rPr>
        <w:t xml:space="preserve"> 37</w:t>
      </w:r>
      <w:r w:rsidRPr="00954801">
        <w:rPr>
          <w:rFonts w:ascii="Times New Roman" w:hAnsi="Times New Roman"/>
          <w:sz w:val="20"/>
          <w:szCs w:val="20"/>
        </w:rPr>
        <w:t xml:space="preserve"> have total assets greater than $10 Billion resulting in 168 </w:t>
      </w:r>
      <w:r w:rsidRPr="00954801">
        <w:rPr>
          <w:rFonts w:ascii="Times New Roman" w:hAnsi="Times New Roman"/>
          <w:iCs/>
          <w:sz w:val="20"/>
          <w:szCs w:val="20"/>
        </w:rPr>
        <w:t xml:space="preserve">Branches &amp; agencies of foreign banks </w:t>
      </w:r>
      <w:r>
        <w:rPr>
          <w:rFonts w:ascii="Times New Roman" w:hAnsi="Times New Roman"/>
          <w:iCs/>
          <w:sz w:val="20"/>
          <w:szCs w:val="20"/>
        </w:rPr>
        <w:t xml:space="preserve">being </w:t>
      </w:r>
      <w:r w:rsidRPr="00954801">
        <w:rPr>
          <w:rFonts w:ascii="Times New Roman" w:hAnsi="Times New Roman"/>
          <w:sz w:val="20"/>
          <w:szCs w:val="20"/>
        </w:rPr>
        <w:t>supervised by the Federal Reserve.</w:t>
      </w:r>
    </w:p>
    <w:p w:rsidR="0072673E" w:rsidRPr="00003000" w:rsidRDefault="0072673E" w:rsidP="00206B08">
      <w:pPr>
        <w:pStyle w:val="Heading5"/>
        <w:ind w:left="0"/>
        <w:rPr>
          <w:rFonts w:ascii="Times New Roman" w:hAnsi="Times New Roman"/>
          <w:sz w:val="20"/>
          <w:szCs w:val="20"/>
        </w:rPr>
      </w:pPr>
    </w:p>
    <w:p w:rsidR="0072673E" w:rsidRDefault="0072673E" w:rsidP="00560696">
      <w:pPr>
        <w:pStyle w:val="FootnoteText"/>
      </w:pPr>
    </w:p>
  </w:footnote>
  <w:footnote w:id="4">
    <w:p w:rsidR="0072673E" w:rsidRPr="00493C92" w:rsidRDefault="0072673E">
      <w:pPr>
        <w:pStyle w:val="FootnoteText"/>
        <w:rPr>
          <w:sz w:val="20"/>
        </w:rPr>
      </w:pPr>
      <w:r w:rsidRPr="00493C92">
        <w:rPr>
          <w:rStyle w:val="FootnoteReference"/>
          <w:sz w:val="20"/>
          <w:vertAlign w:val="superscript"/>
        </w:rPr>
        <w:footnoteRef/>
      </w:r>
      <w:r>
        <w:rPr>
          <w:sz w:val="20"/>
        </w:rPr>
        <w:t xml:space="preserve">  71 FR 1638 (Jan. 10, 2006).  Compliance was mandatory January 1, 2007.</w:t>
      </w:r>
    </w:p>
  </w:footnote>
  <w:footnote w:id="5">
    <w:p w:rsidR="0072673E" w:rsidRPr="00493C92" w:rsidRDefault="0072673E">
      <w:pPr>
        <w:pStyle w:val="FootnoteText"/>
        <w:rPr>
          <w:sz w:val="20"/>
        </w:rPr>
      </w:pPr>
      <w:r w:rsidRPr="00493C92">
        <w:rPr>
          <w:rStyle w:val="FootnoteReference"/>
          <w:sz w:val="20"/>
          <w:vertAlign w:val="superscript"/>
        </w:rPr>
        <w:footnoteRef/>
      </w:r>
      <w:r>
        <w:rPr>
          <w:sz w:val="20"/>
        </w:rPr>
        <w:t xml:space="preserve">  71 FR 51437 (Aug. 30, 2006).  The rule became effective July 1, 2007.</w:t>
      </w:r>
    </w:p>
  </w:footnote>
  <w:footnote w:id="6">
    <w:p w:rsidR="0072673E" w:rsidRPr="00C41C0F" w:rsidRDefault="0072673E">
      <w:pPr>
        <w:pStyle w:val="FootnoteText"/>
        <w:rPr>
          <w:sz w:val="20"/>
        </w:rPr>
      </w:pPr>
      <w:r w:rsidRPr="00C41C0F">
        <w:rPr>
          <w:rStyle w:val="FootnoteReference"/>
          <w:sz w:val="20"/>
          <w:vertAlign w:val="superscript"/>
        </w:rPr>
        <w:footnoteRef/>
      </w:r>
      <w:r>
        <w:rPr>
          <w:sz w:val="20"/>
        </w:rPr>
        <w:t xml:space="preserve">  71 FR 69430 (Dec. 1, 2006).  </w:t>
      </w:r>
      <w:r w:rsidRPr="00A82DC3">
        <w:rPr>
          <w:sz w:val="20"/>
        </w:rPr>
        <w:t>The mandatory compliance date of the rule was January 1, 2007; however, certain provisions relating to the content of notices provided to consumers at point-of-sale had a delayed compliance date of January 1, 2008.</w:t>
      </w:r>
    </w:p>
  </w:footnote>
  <w:footnote w:id="7">
    <w:p w:rsidR="0072673E" w:rsidRPr="00D9731E" w:rsidRDefault="0072673E" w:rsidP="00A82DC3">
      <w:pPr>
        <w:widowControl/>
        <w:tabs>
          <w:tab w:val="left" w:pos="360"/>
        </w:tabs>
      </w:pPr>
      <w:r w:rsidRPr="00D9731E">
        <w:rPr>
          <w:rStyle w:val="FootnoteReference"/>
          <w:sz w:val="20"/>
          <w:vertAlign w:val="superscript"/>
        </w:rPr>
        <w:footnoteRef/>
      </w:r>
      <w:r>
        <w:rPr>
          <w:sz w:val="20"/>
        </w:rPr>
        <w:t xml:space="preserve"> </w:t>
      </w:r>
      <w:r w:rsidRPr="00A82DC3">
        <w:rPr>
          <w:rFonts w:ascii="Times New Roman" w:hAnsi="Times New Roman"/>
          <w:sz w:val="20"/>
        </w:rPr>
        <w:t>72 FR 36589 (July 5, 2007).</w:t>
      </w:r>
      <w:r>
        <w:rPr>
          <w:sz w:val="20"/>
        </w:rPr>
        <w:t xml:space="preserve"> </w:t>
      </w:r>
      <w:r w:rsidRPr="00A82DC3">
        <w:rPr>
          <w:rFonts w:ascii="Times New Roman" w:hAnsi="Times New Roman"/>
          <w:sz w:val="20"/>
          <w:szCs w:val="20"/>
        </w:rPr>
        <w:t>The rule became effective August 6, 2007.</w:t>
      </w:r>
    </w:p>
  </w:footnote>
  <w:footnote w:id="8">
    <w:p w:rsidR="0072673E" w:rsidRPr="00226FC7" w:rsidRDefault="0072673E">
      <w:pPr>
        <w:pStyle w:val="FootnoteText"/>
        <w:rPr>
          <w:sz w:val="20"/>
          <w:vertAlign w:val="superscript"/>
        </w:rPr>
      </w:pPr>
      <w:r w:rsidRPr="00226FC7">
        <w:rPr>
          <w:rStyle w:val="FootnoteReference"/>
          <w:sz w:val="20"/>
          <w:vertAlign w:val="superscript"/>
        </w:rPr>
        <w:footnoteRef/>
      </w:r>
      <w:r>
        <w:rPr>
          <w:color w:val="000000"/>
          <w:sz w:val="20"/>
        </w:rPr>
        <w:t xml:space="preserve">  </w:t>
      </w:r>
      <w:r w:rsidRPr="00226FC7">
        <w:rPr>
          <w:color w:val="000000"/>
          <w:sz w:val="20"/>
        </w:rPr>
        <w:t>72 FR 63452</w:t>
      </w:r>
      <w:r>
        <w:rPr>
          <w:color w:val="000000"/>
          <w:sz w:val="20"/>
        </w:rPr>
        <w:t xml:space="preserve"> (Nov. 9, 2007)</w:t>
      </w:r>
      <w:r w:rsidR="00935710">
        <w:rPr>
          <w:color w:val="000000"/>
          <w:sz w:val="20"/>
        </w:rPr>
        <w:t xml:space="preserve">.  </w:t>
      </w:r>
      <w:r w:rsidR="00935710" w:rsidRPr="006E697C">
        <w:rPr>
          <w:sz w:val="20"/>
        </w:rPr>
        <w:t>Section 205.17 was added by the 2001 interim final rule to address the general requirements for electronic communications. The Board delete</w:t>
      </w:r>
      <w:r w:rsidR="00935710">
        <w:rPr>
          <w:sz w:val="20"/>
        </w:rPr>
        <w:t>d</w:t>
      </w:r>
      <w:r w:rsidR="00935710" w:rsidRPr="006E697C">
        <w:rPr>
          <w:sz w:val="20"/>
        </w:rPr>
        <w:t xml:space="preserve"> </w:t>
      </w:r>
      <w:r w:rsidR="00935710">
        <w:rPr>
          <w:sz w:val="20"/>
        </w:rPr>
        <w:t>Section</w:t>
      </w:r>
      <w:r w:rsidR="00935710" w:rsidRPr="006E697C">
        <w:rPr>
          <w:sz w:val="20"/>
        </w:rPr>
        <w:t xml:space="preserve"> 205.17 from Regulation E and the accompanying sections of the staff commentary, reserving that section for future use.</w:t>
      </w:r>
    </w:p>
  </w:footnote>
  <w:footnote w:id="9">
    <w:p w:rsidR="0072673E" w:rsidRPr="00C4396F" w:rsidRDefault="0072673E">
      <w:pPr>
        <w:pStyle w:val="FootnoteText"/>
        <w:rPr>
          <w:sz w:val="20"/>
        </w:rPr>
      </w:pPr>
      <w:r w:rsidRPr="00C4396F">
        <w:rPr>
          <w:rStyle w:val="FootnoteReference"/>
          <w:sz w:val="20"/>
          <w:vertAlign w:val="superscript"/>
        </w:rPr>
        <w:footnoteRef/>
      </w:r>
      <w:r w:rsidRPr="00C4396F">
        <w:rPr>
          <w:sz w:val="20"/>
          <w:vertAlign w:val="superscript"/>
        </w:rPr>
        <w:t xml:space="preserve"> </w:t>
      </w:r>
      <w:r w:rsidRPr="00C4396F">
        <w:rPr>
          <w:sz w:val="20"/>
        </w:rPr>
        <w:t xml:space="preserve"> 74 FR 59033 (Nov. 17, 2009)</w:t>
      </w:r>
      <w:r w:rsidR="00935710">
        <w:rPr>
          <w:sz w:val="20"/>
        </w:rPr>
        <w:t xml:space="preserve">. </w:t>
      </w:r>
      <w:r>
        <w:rPr>
          <w:sz w:val="20"/>
        </w:rPr>
        <w:t xml:space="preserve"> </w:t>
      </w:r>
      <w:r w:rsidRPr="00F517BA">
        <w:rPr>
          <w:sz w:val="20"/>
        </w:rPr>
        <w:t>One-time burden update</w:t>
      </w:r>
      <w:r w:rsidR="00935710">
        <w:rPr>
          <w:sz w:val="20"/>
        </w:rPr>
        <w:t>,</w:t>
      </w:r>
      <w:r w:rsidRPr="00F517BA">
        <w:rPr>
          <w:sz w:val="20"/>
        </w:rPr>
        <w:t xml:space="preserve"> Docket No R-1</w:t>
      </w:r>
      <w:r>
        <w:rPr>
          <w:sz w:val="20"/>
        </w:rPr>
        <w:t>343.  Ongoing consumer burden is considered negligible.</w:t>
      </w:r>
    </w:p>
  </w:footnote>
  <w:footnote w:id="10">
    <w:p w:rsidR="0072673E" w:rsidRPr="00C4396F" w:rsidRDefault="0072673E" w:rsidP="0032488B">
      <w:pPr>
        <w:pStyle w:val="FootnoteText"/>
        <w:rPr>
          <w:sz w:val="20"/>
        </w:rPr>
      </w:pPr>
      <w:r w:rsidRPr="00C4396F">
        <w:rPr>
          <w:rStyle w:val="FootnoteReference"/>
          <w:sz w:val="20"/>
          <w:vertAlign w:val="superscript"/>
        </w:rPr>
        <w:footnoteRef/>
      </w:r>
      <w:r w:rsidRPr="00C4396F">
        <w:rPr>
          <w:sz w:val="20"/>
          <w:vertAlign w:val="superscript"/>
        </w:rPr>
        <w:t xml:space="preserve"> </w:t>
      </w:r>
      <w:r w:rsidRPr="00C4396F">
        <w:rPr>
          <w:sz w:val="20"/>
        </w:rPr>
        <w:t xml:space="preserve"> 75 FR 16580 (April 1, 2010)</w:t>
      </w:r>
      <w:r w:rsidR="00935710">
        <w:rPr>
          <w:sz w:val="20"/>
        </w:rPr>
        <w:t>.</w:t>
      </w:r>
      <w:r>
        <w:rPr>
          <w:sz w:val="20"/>
        </w:rPr>
        <w:t xml:space="preserve"> </w:t>
      </w:r>
      <w:r w:rsidRPr="00F517BA">
        <w:rPr>
          <w:sz w:val="20"/>
        </w:rPr>
        <w:t>One-time burden update, Docket No R-</w:t>
      </w:r>
      <w:r>
        <w:rPr>
          <w:sz w:val="20"/>
        </w:rPr>
        <w:t>1377</w:t>
      </w:r>
      <w:r w:rsidR="00935710">
        <w:rPr>
          <w:sz w:val="20"/>
        </w:rPr>
        <w:t>.</w:t>
      </w:r>
    </w:p>
  </w:footnote>
  <w:footnote w:id="11">
    <w:p w:rsidR="0072673E" w:rsidRPr="00F517BA" w:rsidRDefault="0072673E">
      <w:pPr>
        <w:pStyle w:val="FootnoteText"/>
        <w:rPr>
          <w:sz w:val="20"/>
        </w:rPr>
      </w:pPr>
      <w:r w:rsidRPr="00F517BA">
        <w:rPr>
          <w:rStyle w:val="FootnoteReference"/>
          <w:sz w:val="20"/>
          <w:vertAlign w:val="superscript"/>
        </w:rPr>
        <w:footnoteRef/>
      </w:r>
      <w:r w:rsidRPr="00F517BA">
        <w:rPr>
          <w:sz w:val="20"/>
        </w:rPr>
        <w:t xml:space="preserve"> One-time burden update, Docket No R-1234</w:t>
      </w:r>
    </w:p>
  </w:footnote>
  <w:footnote w:id="12">
    <w:p w:rsidR="0072673E" w:rsidRPr="00327347" w:rsidRDefault="0072673E">
      <w:pPr>
        <w:pStyle w:val="FootnoteText"/>
        <w:rPr>
          <w:sz w:val="20"/>
        </w:rPr>
      </w:pPr>
      <w:r w:rsidRPr="00327347">
        <w:rPr>
          <w:rStyle w:val="FootnoteReference"/>
          <w:sz w:val="20"/>
          <w:vertAlign w:val="superscript"/>
        </w:rPr>
        <w:footnoteRef/>
      </w:r>
      <w:r>
        <w:rPr>
          <w:sz w:val="20"/>
        </w:rPr>
        <w:t xml:space="preserve">  12 </w:t>
      </w:r>
      <w:smartTag w:uri="urn:schemas-microsoft-com:office:smarttags" w:element="stockticker">
        <w:r>
          <w:rPr>
            <w:sz w:val="20"/>
          </w:rPr>
          <w:t>CFR</w:t>
        </w:r>
      </w:smartTag>
      <w:r>
        <w:rPr>
          <w:sz w:val="20"/>
        </w:rPr>
        <w:t xml:space="preserve"> Section 205.18(b)</w:t>
      </w:r>
    </w:p>
  </w:footnote>
  <w:footnote w:id="13">
    <w:p w:rsidR="0072673E" w:rsidRPr="00767696" w:rsidRDefault="0072673E" w:rsidP="006968CD">
      <w:pPr>
        <w:pStyle w:val="FootnoteText"/>
        <w:rPr>
          <w:sz w:val="20"/>
        </w:rPr>
      </w:pPr>
      <w:r w:rsidRPr="00767696">
        <w:rPr>
          <w:rStyle w:val="FootnoteReference"/>
          <w:sz w:val="20"/>
          <w:vertAlign w:val="superscript"/>
        </w:rPr>
        <w:footnoteRef/>
      </w:r>
      <w:r>
        <w:rPr>
          <w:sz w:val="20"/>
        </w:rPr>
        <w:t xml:space="preserve">  </w:t>
      </w:r>
      <w:r w:rsidRPr="00767696">
        <w:rPr>
          <w:sz w:val="20"/>
        </w:rPr>
        <w:t>Regulation DD (OMB No. 7100-0271) applies to all depository institutions, except credit unions, that offer deposit accounts to residents (including resident aliens) of any state as defined in section 230.2(r).  Accounts held in an institution located in a state are covered, even if funds are transferred periodically to a location outside the United States.  Accounts held in an institution located outside the United States are not covered, even if held by a U.S. resident.</w:t>
      </w:r>
    </w:p>
  </w:footnote>
  <w:footnote w:id="14">
    <w:p w:rsidR="0072673E" w:rsidRPr="005558F8" w:rsidRDefault="0072673E">
      <w:pPr>
        <w:pStyle w:val="FootnoteText"/>
        <w:rPr>
          <w:sz w:val="20"/>
        </w:rPr>
      </w:pPr>
      <w:r w:rsidRPr="00B1092D">
        <w:rPr>
          <w:rStyle w:val="FootnoteReference"/>
          <w:sz w:val="20"/>
          <w:vertAlign w:val="superscript"/>
        </w:rPr>
        <w:footnoteRef/>
      </w:r>
      <w:r>
        <w:rPr>
          <w:sz w:val="20"/>
        </w:rPr>
        <w:t xml:space="preserve">  A consumer’s potential liability for an unauthorized transfer depends on when the consumer notifies the financial institution of the loss or theft of an access device or of the unauthorized transfer.  </w:t>
      </w:r>
      <w:r w:rsidRPr="00B1092D">
        <w:rPr>
          <w:sz w:val="20"/>
          <w:u w:val="single"/>
        </w:rPr>
        <w:t>See</w:t>
      </w:r>
      <w:r>
        <w:rPr>
          <w:sz w:val="20"/>
        </w:rPr>
        <w:t xml:space="preserve"> 12 </w:t>
      </w:r>
      <w:smartTag w:uri="urn:schemas-microsoft-com:office:smarttags" w:element="stockticker">
        <w:r>
          <w:rPr>
            <w:sz w:val="20"/>
          </w:rPr>
          <w:t>CFR</w:t>
        </w:r>
      </w:smartTag>
      <w:r>
        <w:rPr>
          <w:sz w:val="20"/>
        </w:rPr>
        <w:t xml:space="preserve"> Section 205.6.  These benchmarks are modified for financial institutions providing alternative disclosures to periodic statements for payroll card accounts.  </w:t>
      </w:r>
      <w:r w:rsidRPr="0036717E">
        <w:rPr>
          <w:sz w:val="20"/>
          <w:u w:val="single"/>
        </w:rPr>
        <w:t>See</w:t>
      </w:r>
      <w:r>
        <w:rPr>
          <w:sz w:val="20"/>
        </w:rPr>
        <w:t xml:space="preserve"> 12 </w:t>
      </w:r>
      <w:smartTag w:uri="urn:schemas-microsoft-com:office:smarttags" w:element="stockticker">
        <w:r>
          <w:rPr>
            <w:sz w:val="20"/>
          </w:rPr>
          <w:t>CFR</w:t>
        </w:r>
      </w:smartTag>
      <w:r>
        <w:rPr>
          <w:sz w:val="20"/>
        </w:rPr>
        <w:t xml:space="preserve"> Section 205.18(c).</w:t>
      </w:r>
    </w:p>
  </w:footnote>
  <w:footnote w:id="15">
    <w:p w:rsidR="0072673E" w:rsidRPr="00311FC0" w:rsidRDefault="0072673E">
      <w:pPr>
        <w:pStyle w:val="FootnoteText"/>
        <w:rPr>
          <w:rStyle w:val="FootnoteReference"/>
          <w:color w:val="000000"/>
          <w:sz w:val="20"/>
        </w:rPr>
      </w:pPr>
      <w:r w:rsidRPr="00311FC0">
        <w:rPr>
          <w:rStyle w:val="FootnoteReference"/>
          <w:color w:val="000000"/>
          <w:sz w:val="20"/>
          <w:vertAlign w:val="superscript"/>
        </w:rPr>
        <w:footnoteRef/>
      </w:r>
      <w:r>
        <w:rPr>
          <w:color w:val="000000"/>
          <w:sz w:val="20"/>
        </w:rPr>
        <w:t xml:space="preserve">  12 </w:t>
      </w:r>
      <w:smartTag w:uri="urn:schemas-microsoft-com:office:smarttags" w:element="stockticker">
        <w:r>
          <w:rPr>
            <w:color w:val="000000"/>
            <w:sz w:val="20"/>
          </w:rPr>
          <w:t>CFR</w:t>
        </w:r>
      </w:smartTag>
      <w:r>
        <w:rPr>
          <w:color w:val="000000"/>
          <w:sz w:val="20"/>
        </w:rPr>
        <w:t xml:space="preserve"> Section 205.18(c)</w:t>
      </w:r>
    </w:p>
  </w:footnote>
  <w:footnote w:id="16">
    <w:p w:rsidR="0072673E" w:rsidRPr="00EC7CAB" w:rsidRDefault="0072673E">
      <w:pPr>
        <w:pStyle w:val="FootnoteText"/>
        <w:rPr>
          <w:sz w:val="20"/>
        </w:rPr>
      </w:pPr>
      <w:r w:rsidRPr="00EC7CAB">
        <w:rPr>
          <w:rStyle w:val="FootnoteReference"/>
          <w:sz w:val="20"/>
          <w:vertAlign w:val="superscript"/>
        </w:rPr>
        <w:footnoteRef/>
      </w:r>
      <w:r>
        <w:rPr>
          <w:sz w:val="20"/>
          <w:vertAlign w:val="superscript"/>
        </w:rPr>
        <w:t xml:space="preserve">   </w:t>
      </w:r>
      <w:r w:rsidRPr="0072673E">
        <w:rPr>
          <w:sz w:val="20"/>
        </w:rPr>
        <w:t>The o</w:t>
      </w:r>
      <w:r w:rsidRPr="00EC7CAB">
        <w:rPr>
          <w:sz w:val="20"/>
        </w:rPr>
        <w:t>ne-time burden update</w:t>
      </w:r>
      <w:r>
        <w:rPr>
          <w:sz w:val="20"/>
        </w:rPr>
        <w:t xml:space="preserve"> (</w:t>
      </w:r>
      <w:r w:rsidRPr="00EC7CAB">
        <w:rPr>
          <w:sz w:val="20"/>
        </w:rPr>
        <w:t>Docket No R-</w:t>
      </w:r>
      <w:r>
        <w:rPr>
          <w:sz w:val="20"/>
        </w:rPr>
        <w:t>1377) was for sections:205.20(a)(4)(iii) and 205.20(e)(3).</w:t>
      </w:r>
    </w:p>
  </w:footnote>
  <w:footnote w:id="17">
    <w:p w:rsidR="0072673E" w:rsidRPr="001F46F7" w:rsidRDefault="0072673E">
      <w:pPr>
        <w:pStyle w:val="FootnoteText"/>
        <w:rPr>
          <w:sz w:val="20"/>
        </w:rPr>
      </w:pPr>
      <w:r w:rsidRPr="001F46F7">
        <w:rPr>
          <w:rStyle w:val="FootnoteReference"/>
          <w:sz w:val="20"/>
          <w:vertAlign w:val="superscript"/>
        </w:rPr>
        <w:footnoteRef/>
      </w:r>
      <w:r w:rsidRPr="001F46F7">
        <w:rPr>
          <w:sz w:val="20"/>
          <w:vertAlign w:val="superscript"/>
        </w:rPr>
        <w:t xml:space="preserve"> </w:t>
      </w:r>
      <w:r w:rsidRPr="001F46F7">
        <w:rPr>
          <w:sz w:val="20"/>
        </w:rPr>
        <w:t>One-time burden update, Docket No R-1377</w:t>
      </w:r>
    </w:p>
  </w:footnote>
  <w:footnote w:id="18">
    <w:p w:rsidR="0072673E" w:rsidRPr="005C6058" w:rsidRDefault="0072673E" w:rsidP="004A7E33">
      <w:pPr>
        <w:pStyle w:val="FootnoteText"/>
        <w:rPr>
          <w:sz w:val="20"/>
        </w:rPr>
      </w:pPr>
      <w:r w:rsidRPr="005B6428">
        <w:rPr>
          <w:rStyle w:val="FootnoteReference"/>
          <w:sz w:val="20"/>
          <w:vertAlign w:val="superscript"/>
        </w:rPr>
        <w:footnoteRef/>
      </w:r>
      <w:r w:rsidRPr="005B6428">
        <w:rPr>
          <w:sz w:val="20"/>
          <w:vertAlign w:val="superscript"/>
        </w:rPr>
        <w:t xml:space="preserve"> </w:t>
      </w:r>
      <w:r>
        <w:rPr>
          <w:sz w:val="20"/>
        </w:rPr>
        <w:t xml:space="preserve"> </w:t>
      </w:r>
      <w:r w:rsidRPr="005C6058">
        <w:rPr>
          <w:sz w:val="20"/>
        </w:rPr>
        <w:t>Docket No. R-1419</w:t>
      </w:r>
      <w:r>
        <w:rPr>
          <w:sz w:val="20"/>
        </w:rPr>
        <w:t>.</w:t>
      </w:r>
    </w:p>
  </w:footnote>
  <w:footnote w:id="19">
    <w:p w:rsidR="0072673E" w:rsidRPr="00954801" w:rsidRDefault="0072673E">
      <w:pPr>
        <w:pStyle w:val="FootnoteText"/>
        <w:rPr>
          <w:sz w:val="20"/>
        </w:rPr>
      </w:pPr>
      <w:r w:rsidRPr="00954801">
        <w:rPr>
          <w:rStyle w:val="FootnoteReference"/>
          <w:sz w:val="20"/>
          <w:vertAlign w:val="superscript"/>
        </w:rPr>
        <w:footnoteRef/>
      </w:r>
      <w:r w:rsidRPr="00954801">
        <w:rPr>
          <w:sz w:val="20"/>
        </w:rPr>
        <w:t xml:space="preserve">  The 258 Federal Reserve-supervised Regulation E respondents that are not SMBs are comprised of: </w:t>
      </w:r>
      <w:r w:rsidRPr="00954801">
        <w:rPr>
          <w:iCs/>
          <w:sz w:val="20"/>
        </w:rPr>
        <w:t xml:space="preserve">205 Branches &amp; agencies of foreign banks, 2 </w:t>
      </w:r>
      <w:r w:rsidRPr="00954801">
        <w:rPr>
          <w:sz w:val="20"/>
        </w:rPr>
        <w:t>Commercial lending companies, and 51 Edge and agreement corporations.  Federal Reserve staff believes that these respondents do not typically provide periodic statements under Regulation DD.</w:t>
      </w:r>
    </w:p>
  </w:footnote>
  <w:footnote w:id="20">
    <w:p w:rsidR="0072673E" w:rsidRPr="00954801" w:rsidRDefault="0072673E">
      <w:pPr>
        <w:pStyle w:val="FootnoteText"/>
        <w:rPr>
          <w:sz w:val="20"/>
        </w:rPr>
      </w:pPr>
      <w:r w:rsidRPr="00954801">
        <w:rPr>
          <w:rStyle w:val="FootnoteReference"/>
          <w:sz w:val="20"/>
          <w:vertAlign w:val="superscript"/>
        </w:rPr>
        <w:footnoteRef/>
      </w:r>
      <w:r>
        <w:rPr>
          <w:sz w:val="20"/>
        </w:rPr>
        <w:t xml:space="preserve">  </w:t>
      </w:r>
      <w:r w:rsidRPr="00954801">
        <w:rPr>
          <w:sz w:val="20"/>
        </w:rPr>
        <w:t xml:space="preserve">Of the 1,029 respondents, 434 are considered small entities as defined by the Small Business Administration (i.e., entities with less than $175 million in total assets) </w:t>
      </w:r>
      <w:hyperlink r:id="rId3" w:history="1">
        <w:r w:rsidRPr="00954801">
          <w:rPr>
            <w:rStyle w:val="Hyperlink"/>
            <w:sz w:val="20"/>
          </w:rPr>
          <w:t>www.sba.gov/content/table-small-business-size-standards</w:t>
        </w:r>
      </w:hyperlink>
      <w:r w:rsidRPr="00954801">
        <w:rPr>
          <w:sz w:val="20"/>
          <w:u w:val="single"/>
        </w:rPr>
        <w:t xml:space="preserve"> </w:t>
      </w:r>
    </w:p>
  </w:footnote>
  <w:footnote w:id="21">
    <w:p w:rsidR="0072673E" w:rsidRPr="00AB460B" w:rsidRDefault="0072673E" w:rsidP="00DC0557">
      <w:pPr>
        <w:pStyle w:val="FootnoteText"/>
        <w:rPr>
          <w:sz w:val="20"/>
        </w:rPr>
      </w:pPr>
      <w:r w:rsidRPr="00954801">
        <w:rPr>
          <w:rStyle w:val="FootnoteReference"/>
          <w:sz w:val="20"/>
          <w:vertAlign w:val="superscript"/>
        </w:rPr>
        <w:footnoteRef/>
      </w:r>
      <w:r w:rsidRPr="00954801">
        <w:rPr>
          <w:sz w:val="20"/>
        </w:rPr>
        <w:t xml:space="preserve">  Total cost to the public was estimated using the following formula: percent of staff time, multiplied by annual burden hours, multiplied by hourly rate (30% Office &amp; Administrative Support @ $16, 45% Financial Managers @</w:t>
      </w:r>
      <w:r w:rsidRPr="00AB460B">
        <w:rPr>
          <w:sz w:val="20"/>
        </w:rPr>
        <w:t xml:space="preserve"> $50, 15% Legal Counsel @ $54, and 10% Chief Executives @ $80).  Hourly rate for each occupational group are the median hourly wages (rounded up) from the Bureau of Labor and Statistics (BLS), Occupational Employment and Wages 2010, </w:t>
      </w:r>
      <w:hyperlink r:id="rId4" w:history="1">
        <w:r w:rsidRPr="00AB460B">
          <w:rPr>
            <w:rStyle w:val="Hyperlink"/>
            <w:sz w:val="20"/>
          </w:rPr>
          <w:t>www.bls.gov/news.release/ocwage.nr0.htm</w:t>
        </w:r>
      </w:hyperlink>
      <w:r w:rsidRPr="00AB460B">
        <w:rPr>
          <w:sz w:val="20"/>
        </w:rPr>
        <w:t xml:space="preserve">   Occupations are defined using the BLS Occupational Classification System,  </w:t>
      </w:r>
      <w:hyperlink r:id="rId5" w:history="1">
        <w:r w:rsidRPr="00AB460B">
          <w:rPr>
            <w:rStyle w:val="Hyperlink"/>
            <w:sz w:val="20"/>
          </w:rPr>
          <w:t>www.bls.gov/soc/</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626A8C"/>
    <w:lvl w:ilvl="0">
      <w:start w:val="1"/>
      <w:numFmt w:val="decimal"/>
      <w:lvlText w:val="%1."/>
      <w:lvlJc w:val="left"/>
      <w:pPr>
        <w:tabs>
          <w:tab w:val="num" w:pos="1800"/>
        </w:tabs>
        <w:ind w:left="1800" w:hanging="360"/>
      </w:pPr>
    </w:lvl>
  </w:abstractNum>
  <w:abstractNum w:abstractNumId="1">
    <w:nsid w:val="FFFFFF7D"/>
    <w:multiLevelType w:val="singleLevel"/>
    <w:tmpl w:val="E99ECEF4"/>
    <w:lvl w:ilvl="0">
      <w:start w:val="1"/>
      <w:numFmt w:val="decimal"/>
      <w:lvlText w:val="%1."/>
      <w:lvlJc w:val="left"/>
      <w:pPr>
        <w:tabs>
          <w:tab w:val="num" w:pos="1440"/>
        </w:tabs>
        <w:ind w:left="1440" w:hanging="360"/>
      </w:pPr>
    </w:lvl>
  </w:abstractNum>
  <w:abstractNum w:abstractNumId="2">
    <w:nsid w:val="FFFFFF7E"/>
    <w:multiLevelType w:val="singleLevel"/>
    <w:tmpl w:val="CA743A46"/>
    <w:lvl w:ilvl="0">
      <w:start w:val="1"/>
      <w:numFmt w:val="decimal"/>
      <w:lvlText w:val="%1."/>
      <w:lvlJc w:val="left"/>
      <w:pPr>
        <w:tabs>
          <w:tab w:val="num" w:pos="1080"/>
        </w:tabs>
        <w:ind w:left="1080" w:hanging="360"/>
      </w:pPr>
    </w:lvl>
  </w:abstractNum>
  <w:abstractNum w:abstractNumId="3">
    <w:nsid w:val="FFFFFF7F"/>
    <w:multiLevelType w:val="singleLevel"/>
    <w:tmpl w:val="7CFE9DAE"/>
    <w:lvl w:ilvl="0">
      <w:start w:val="1"/>
      <w:numFmt w:val="decimal"/>
      <w:lvlText w:val="%1."/>
      <w:lvlJc w:val="left"/>
      <w:pPr>
        <w:tabs>
          <w:tab w:val="num" w:pos="720"/>
        </w:tabs>
        <w:ind w:left="720" w:hanging="360"/>
      </w:pPr>
    </w:lvl>
  </w:abstractNum>
  <w:abstractNum w:abstractNumId="4">
    <w:nsid w:val="FFFFFF80"/>
    <w:multiLevelType w:val="singleLevel"/>
    <w:tmpl w:val="156663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4C9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FE472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6000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EC0B4B8"/>
    <w:lvl w:ilvl="0">
      <w:start w:val="1"/>
      <w:numFmt w:val="decimal"/>
      <w:lvlText w:val="%1."/>
      <w:lvlJc w:val="left"/>
      <w:pPr>
        <w:tabs>
          <w:tab w:val="num" w:pos="360"/>
        </w:tabs>
        <w:ind w:left="360" w:hanging="360"/>
      </w:pPr>
    </w:lvl>
  </w:abstractNum>
  <w:abstractNum w:abstractNumId="9">
    <w:nsid w:val="FFFFFF89"/>
    <w:multiLevelType w:val="singleLevel"/>
    <w:tmpl w:val="F31AEC8A"/>
    <w:lvl w:ilvl="0">
      <w:start w:val="1"/>
      <w:numFmt w:val="bullet"/>
      <w:lvlText w:val=""/>
      <w:lvlJc w:val="left"/>
      <w:pPr>
        <w:tabs>
          <w:tab w:val="num" w:pos="360"/>
        </w:tabs>
        <w:ind w:left="360" w:hanging="360"/>
      </w:pPr>
      <w:rPr>
        <w:rFonts w:ascii="Symbol" w:hAnsi="Symbol" w:hint="default"/>
      </w:rPr>
    </w:lvl>
  </w:abstractNum>
  <w:abstractNum w:abstractNumId="10">
    <w:nsid w:val="0D715361"/>
    <w:multiLevelType w:val="hybridMultilevel"/>
    <w:tmpl w:val="E48A1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19E7AD5"/>
    <w:multiLevelType w:val="hybridMultilevel"/>
    <w:tmpl w:val="0CAA5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42A39A7"/>
    <w:multiLevelType w:val="hybridMultilevel"/>
    <w:tmpl w:val="09A8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59385A"/>
    <w:multiLevelType w:val="hybridMultilevel"/>
    <w:tmpl w:val="06E01866"/>
    <w:lvl w:ilvl="0" w:tplc="02F6CE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nsid w:val="1CD54711"/>
    <w:multiLevelType w:val="hybridMultilevel"/>
    <w:tmpl w:val="D31092CA"/>
    <w:lvl w:ilvl="0" w:tplc="F18882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F30770"/>
    <w:multiLevelType w:val="hybridMultilevel"/>
    <w:tmpl w:val="0F8E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9A6016"/>
    <w:multiLevelType w:val="hybridMultilevel"/>
    <w:tmpl w:val="09A8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1600D"/>
    <w:multiLevelType w:val="hybridMultilevel"/>
    <w:tmpl w:val="59FC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97411C"/>
    <w:multiLevelType w:val="hybridMultilevel"/>
    <w:tmpl w:val="4072CCF4"/>
    <w:lvl w:ilvl="0" w:tplc="FEE08B86">
      <w:start w:val="1"/>
      <w:numFmt w:val="bullet"/>
      <w:lvlText w:val=""/>
      <w:lvlJc w:val="left"/>
      <w:pPr>
        <w:tabs>
          <w:tab w:val="num" w:pos="720"/>
        </w:tabs>
        <w:ind w:left="720" w:hanging="360"/>
      </w:pPr>
      <w:rPr>
        <w:rFonts w:ascii="Symbol" w:hAnsi="Symbol" w:hint="default"/>
      </w:rPr>
    </w:lvl>
    <w:lvl w:ilvl="1" w:tplc="3DDA20D2" w:tentative="1">
      <w:start w:val="1"/>
      <w:numFmt w:val="bullet"/>
      <w:lvlText w:val="o"/>
      <w:lvlJc w:val="left"/>
      <w:pPr>
        <w:tabs>
          <w:tab w:val="num" w:pos="1440"/>
        </w:tabs>
        <w:ind w:left="1440" w:hanging="360"/>
      </w:pPr>
      <w:rPr>
        <w:rFonts w:ascii="Courier New" w:hAnsi="Courier New" w:hint="default"/>
      </w:rPr>
    </w:lvl>
    <w:lvl w:ilvl="2" w:tplc="9A9E46EC" w:tentative="1">
      <w:start w:val="1"/>
      <w:numFmt w:val="bullet"/>
      <w:lvlText w:val=""/>
      <w:lvlJc w:val="left"/>
      <w:pPr>
        <w:tabs>
          <w:tab w:val="num" w:pos="2160"/>
        </w:tabs>
        <w:ind w:left="2160" w:hanging="360"/>
      </w:pPr>
      <w:rPr>
        <w:rFonts w:ascii="Wingdings" w:hAnsi="Wingdings" w:hint="default"/>
      </w:rPr>
    </w:lvl>
    <w:lvl w:ilvl="3" w:tplc="63A649D2" w:tentative="1">
      <w:start w:val="1"/>
      <w:numFmt w:val="bullet"/>
      <w:lvlText w:val=""/>
      <w:lvlJc w:val="left"/>
      <w:pPr>
        <w:tabs>
          <w:tab w:val="num" w:pos="2880"/>
        </w:tabs>
        <w:ind w:left="2880" w:hanging="360"/>
      </w:pPr>
      <w:rPr>
        <w:rFonts w:ascii="Symbol" w:hAnsi="Symbol" w:hint="default"/>
      </w:rPr>
    </w:lvl>
    <w:lvl w:ilvl="4" w:tplc="49D288A8" w:tentative="1">
      <w:start w:val="1"/>
      <w:numFmt w:val="bullet"/>
      <w:lvlText w:val="o"/>
      <w:lvlJc w:val="left"/>
      <w:pPr>
        <w:tabs>
          <w:tab w:val="num" w:pos="3600"/>
        </w:tabs>
        <w:ind w:left="3600" w:hanging="360"/>
      </w:pPr>
      <w:rPr>
        <w:rFonts w:ascii="Courier New" w:hAnsi="Courier New" w:hint="default"/>
      </w:rPr>
    </w:lvl>
    <w:lvl w:ilvl="5" w:tplc="FA16E748" w:tentative="1">
      <w:start w:val="1"/>
      <w:numFmt w:val="bullet"/>
      <w:lvlText w:val=""/>
      <w:lvlJc w:val="left"/>
      <w:pPr>
        <w:tabs>
          <w:tab w:val="num" w:pos="4320"/>
        </w:tabs>
        <w:ind w:left="4320" w:hanging="360"/>
      </w:pPr>
      <w:rPr>
        <w:rFonts w:ascii="Wingdings" w:hAnsi="Wingdings" w:hint="default"/>
      </w:rPr>
    </w:lvl>
    <w:lvl w:ilvl="6" w:tplc="3D567376" w:tentative="1">
      <w:start w:val="1"/>
      <w:numFmt w:val="bullet"/>
      <w:lvlText w:val=""/>
      <w:lvlJc w:val="left"/>
      <w:pPr>
        <w:tabs>
          <w:tab w:val="num" w:pos="5040"/>
        </w:tabs>
        <w:ind w:left="5040" w:hanging="360"/>
      </w:pPr>
      <w:rPr>
        <w:rFonts w:ascii="Symbol" w:hAnsi="Symbol" w:hint="default"/>
      </w:rPr>
    </w:lvl>
    <w:lvl w:ilvl="7" w:tplc="E1C6F11A" w:tentative="1">
      <w:start w:val="1"/>
      <w:numFmt w:val="bullet"/>
      <w:lvlText w:val="o"/>
      <w:lvlJc w:val="left"/>
      <w:pPr>
        <w:tabs>
          <w:tab w:val="num" w:pos="5760"/>
        </w:tabs>
        <w:ind w:left="5760" w:hanging="360"/>
      </w:pPr>
      <w:rPr>
        <w:rFonts w:ascii="Courier New" w:hAnsi="Courier New" w:hint="default"/>
      </w:rPr>
    </w:lvl>
    <w:lvl w:ilvl="8" w:tplc="18B2AEAC" w:tentative="1">
      <w:start w:val="1"/>
      <w:numFmt w:val="bullet"/>
      <w:lvlText w:val=""/>
      <w:lvlJc w:val="left"/>
      <w:pPr>
        <w:tabs>
          <w:tab w:val="num" w:pos="6480"/>
        </w:tabs>
        <w:ind w:left="6480" w:hanging="360"/>
      </w:pPr>
      <w:rPr>
        <w:rFonts w:ascii="Wingdings" w:hAnsi="Wingdings" w:hint="default"/>
      </w:rPr>
    </w:lvl>
  </w:abstractNum>
  <w:abstractNum w:abstractNumId="19">
    <w:nsid w:val="5590489C"/>
    <w:multiLevelType w:val="hybridMultilevel"/>
    <w:tmpl w:val="8572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7C1ACF"/>
    <w:multiLevelType w:val="hybridMultilevel"/>
    <w:tmpl w:val="466CF0E0"/>
    <w:lvl w:ilvl="0" w:tplc="84367C72">
      <w:start w:val="1"/>
      <w:numFmt w:val="bullet"/>
      <w:lvlText w:val=""/>
      <w:lvlJc w:val="left"/>
      <w:pPr>
        <w:tabs>
          <w:tab w:val="num" w:pos="720"/>
        </w:tabs>
        <w:ind w:left="720" w:hanging="360"/>
      </w:pPr>
      <w:rPr>
        <w:rFonts w:ascii="Symbol" w:hAnsi="Symbol" w:hint="default"/>
      </w:rPr>
    </w:lvl>
    <w:lvl w:ilvl="1" w:tplc="9D926B54" w:tentative="1">
      <w:start w:val="1"/>
      <w:numFmt w:val="bullet"/>
      <w:lvlText w:val="o"/>
      <w:lvlJc w:val="left"/>
      <w:pPr>
        <w:tabs>
          <w:tab w:val="num" w:pos="1440"/>
        </w:tabs>
        <w:ind w:left="1440" w:hanging="360"/>
      </w:pPr>
      <w:rPr>
        <w:rFonts w:ascii="Courier New" w:hAnsi="Courier New" w:hint="default"/>
      </w:rPr>
    </w:lvl>
    <w:lvl w:ilvl="2" w:tplc="E8B624D8" w:tentative="1">
      <w:start w:val="1"/>
      <w:numFmt w:val="bullet"/>
      <w:lvlText w:val=""/>
      <w:lvlJc w:val="left"/>
      <w:pPr>
        <w:tabs>
          <w:tab w:val="num" w:pos="2160"/>
        </w:tabs>
        <w:ind w:left="2160" w:hanging="360"/>
      </w:pPr>
      <w:rPr>
        <w:rFonts w:ascii="Wingdings" w:hAnsi="Wingdings" w:hint="default"/>
      </w:rPr>
    </w:lvl>
    <w:lvl w:ilvl="3" w:tplc="E4784B2A" w:tentative="1">
      <w:start w:val="1"/>
      <w:numFmt w:val="bullet"/>
      <w:lvlText w:val=""/>
      <w:lvlJc w:val="left"/>
      <w:pPr>
        <w:tabs>
          <w:tab w:val="num" w:pos="2880"/>
        </w:tabs>
        <w:ind w:left="2880" w:hanging="360"/>
      </w:pPr>
      <w:rPr>
        <w:rFonts w:ascii="Symbol" w:hAnsi="Symbol" w:hint="default"/>
      </w:rPr>
    </w:lvl>
    <w:lvl w:ilvl="4" w:tplc="144894C6" w:tentative="1">
      <w:start w:val="1"/>
      <w:numFmt w:val="bullet"/>
      <w:lvlText w:val="o"/>
      <w:lvlJc w:val="left"/>
      <w:pPr>
        <w:tabs>
          <w:tab w:val="num" w:pos="3600"/>
        </w:tabs>
        <w:ind w:left="3600" w:hanging="360"/>
      </w:pPr>
      <w:rPr>
        <w:rFonts w:ascii="Courier New" w:hAnsi="Courier New" w:hint="default"/>
      </w:rPr>
    </w:lvl>
    <w:lvl w:ilvl="5" w:tplc="FF027C66" w:tentative="1">
      <w:start w:val="1"/>
      <w:numFmt w:val="bullet"/>
      <w:lvlText w:val=""/>
      <w:lvlJc w:val="left"/>
      <w:pPr>
        <w:tabs>
          <w:tab w:val="num" w:pos="4320"/>
        </w:tabs>
        <w:ind w:left="4320" w:hanging="360"/>
      </w:pPr>
      <w:rPr>
        <w:rFonts w:ascii="Wingdings" w:hAnsi="Wingdings" w:hint="default"/>
      </w:rPr>
    </w:lvl>
    <w:lvl w:ilvl="6" w:tplc="DC10F45C" w:tentative="1">
      <w:start w:val="1"/>
      <w:numFmt w:val="bullet"/>
      <w:lvlText w:val=""/>
      <w:lvlJc w:val="left"/>
      <w:pPr>
        <w:tabs>
          <w:tab w:val="num" w:pos="5040"/>
        </w:tabs>
        <w:ind w:left="5040" w:hanging="360"/>
      </w:pPr>
      <w:rPr>
        <w:rFonts w:ascii="Symbol" w:hAnsi="Symbol" w:hint="default"/>
      </w:rPr>
    </w:lvl>
    <w:lvl w:ilvl="7" w:tplc="04A0F1F0" w:tentative="1">
      <w:start w:val="1"/>
      <w:numFmt w:val="bullet"/>
      <w:lvlText w:val="o"/>
      <w:lvlJc w:val="left"/>
      <w:pPr>
        <w:tabs>
          <w:tab w:val="num" w:pos="5760"/>
        </w:tabs>
        <w:ind w:left="5760" w:hanging="360"/>
      </w:pPr>
      <w:rPr>
        <w:rFonts w:ascii="Courier New" w:hAnsi="Courier New" w:hint="default"/>
      </w:rPr>
    </w:lvl>
    <w:lvl w:ilvl="8" w:tplc="2AFEDCEA" w:tentative="1">
      <w:start w:val="1"/>
      <w:numFmt w:val="bullet"/>
      <w:lvlText w:val=""/>
      <w:lvlJc w:val="left"/>
      <w:pPr>
        <w:tabs>
          <w:tab w:val="num" w:pos="6480"/>
        </w:tabs>
        <w:ind w:left="6480" w:hanging="360"/>
      </w:pPr>
      <w:rPr>
        <w:rFonts w:ascii="Wingdings" w:hAnsi="Wingdings" w:hint="default"/>
      </w:rPr>
    </w:lvl>
  </w:abstractNum>
  <w:abstractNum w:abstractNumId="21">
    <w:nsid w:val="5E3F6B37"/>
    <w:multiLevelType w:val="hybridMultilevel"/>
    <w:tmpl w:val="F8EC1674"/>
    <w:lvl w:ilvl="0" w:tplc="F9E2EAD6">
      <w:start w:val="1"/>
      <w:numFmt w:val="bullet"/>
      <w:lvlText w:val=""/>
      <w:lvlJc w:val="left"/>
      <w:pPr>
        <w:tabs>
          <w:tab w:val="num" w:pos="720"/>
        </w:tabs>
        <w:ind w:left="720" w:hanging="360"/>
      </w:pPr>
      <w:rPr>
        <w:rFonts w:ascii="Symbol" w:hAnsi="Symbol" w:hint="default"/>
      </w:rPr>
    </w:lvl>
    <w:lvl w:ilvl="1" w:tplc="A46E9786" w:tentative="1">
      <w:start w:val="1"/>
      <w:numFmt w:val="bullet"/>
      <w:lvlText w:val="o"/>
      <w:lvlJc w:val="left"/>
      <w:pPr>
        <w:tabs>
          <w:tab w:val="num" w:pos="1440"/>
        </w:tabs>
        <w:ind w:left="1440" w:hanging="360"/>
      </w:pPr>
      <w:rPr>
        <w:rFonts w:ascii="Courier New" w:hAnsi="Courier New" w:hint="default"/>
      </w:rPr>
    </w:lvl>
    <w:lvl w:ilvl="2" w:tplc="54F48BD4" w:tentative="1">
      <w:start w:val="1"/>
      <w:numFmt w:val="bullet"/>
      <w:lvlText w:val=""/>
      <w:lvlJc w:val="left"/>
      <w:pPr>
        <w:tabs>
          <w:tab w:val="num" w:pos="2160"/>
        </w:tabs>
        <w:ind w:left="2160" w:hanging="360"/>
      </w:pPr>
      <w:rPr>
        <w:rFonts w:ascii="Wingdings" w:hAnsi="Wingdings" w:hint="default"/>
      </w:rPr>
    </w:lvl>
    <w:lvl w:ilvl="3" w:tplc="EA6AA632" w:tentative="1">
      <w:start w:val="1"/>
      <w:numFmt w:val="bullet"/>
      <w:lvlText w:val=""/>
      <w:lvlJc w:val="left"/>
      <w:pPr>
        <w:tabs>
          <w:tab w:val="num" w:pos="2880"/>
        </w:tabs>
        <w:ind w:left="2880" w:hanging="360"/>
      </w:pPr>
      <w:rPr>
        <w:rFonts w:ascii="Symbol" w:hAnsi="Symbol" w:hint="default"/>
      </w:rPr>
    </w:lvl>
    <w:lvl w:ilvl="4" w:tplc="80280E9C" w:tentative="1">
      <w:start w:val="1"/>
      <w:numFmt w:val="bullet"/>
      <w:lvlText w:val="o"/>
      <w:lvlJc w:val="left"/>
      <w:pPr>
        <w:tabs>
          <w:tab w:val="num" w:pos="3600"/>
        </w:tabs>
        <w:ind w:left="3600" w:hanging="360"/>
      </w:pPr>
      <w:rPr>
        <w:rFonts w:ascii="Courier New" w:hAnsi="Courier New" w:hint="default"/>
      </w:rPr>
    </w:lvl>
    <w:lvl w:ilvl="5" w:tplc="B84CB9DC" w:tentative="1">
      <w:start w:val="1"/>
      <w:numFmt w:val="bullet"/>
      <w:lvlText w:val=""/>
      <w:lvlJc w:val="left"/>
      <w:pPr>
        <w:tabs>
          <w:tab w:val="num" w:pos="4320"/>
        </w:tabs>
        <w:ind w:left="4320" w:hanging="360"/>
      </w:pPr>
      <w:rPr>
        <w:rFonts w:ascii="Wingdings" w:hAnsi="Wingdings" w:hint="default"/>
      </w:rPr>
    </w:lvl>
    <w:lvl w:ilvl="6" w:tplc="BAFC0D7A" w:tentative="1">
      <w:start w:val="1"/>
      <w:numFmt w:val="bullet"/>
      <w:lvlText w:val=""/>
      <w:lvlJc w:val="left"/>
      <w:pPr>
        <w:tabs>
          <w:tab w:val="num" w:pos="5040"/>
        </w:tabs>
        <w:ind w:left="5040" w:hanging="360"/>
      </w:pPr>
      <w:rPr>
        <w:rFonts w:ascii="Symbol" w:hAnsi="Symbol" w:hint="default"/>
      </w:rPr>
    </w:lvl>
    <w:lvl w:ilvl="7" w:tplc="5ACA5BAC" w:tentative="1">
      <w:start w:val="1"/>
      <w:numFmt w:val="bullet"/>
      <w:lvlText w:val="o"/>
      <w:lvlJc w:val="left"/>
      <w:pPr>
        <w:tabs>
          <w:tab w:val="num" w:pos="5760"/>
        </w:tabs>
        <w:ind w:left="5760" w:hanging="360"/>
      </w:pPr>
      <w:rPr>
        <w:rFonts w:ascii="Courier New" w:hAnsi="Courier New" w:hint="default"/>
      </w:rPr>
    </w:lvl>
    <w:lvl w:ilvl="8" w:tplc="3168D676" w:tentative="1">
      <w:start w:val="1"/>
      <w:numFmt w:val="bullet"/>
      <w:lvlText w:val=""/>
      <w:lvlJc w:val="left"/>
      <w:pPr>
        <w:tabs>
          <w:tab w:val="num" w:pos="6480"/>
        </w:tabs>
        <w:ind w:left="6480" w:hanging="360"/>
      </w:pPr>
      <w:rPr>
        <w:rFonts w:ascii="Wingdings" w:hAnsi="Wingdings" w:hint="default"/>
      </w:rPr>
    </w:lvl>
  </w:abstractNum>
  <w:abstractNum w:abstractNumId="22">
    <w:nsid w:val="61FB21CB"/>
    <w:multiLevelType w:val="hybridMultilevel"/>
    <w:tmpl w:val="5D28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717C2"/>
    <w:multiLevelType w:val="hybridMultilevel"/>
    <w:tmpl w:val="F01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34429B"/>
    <w:multiLevelType w:val="hybridMultilevel"/>
    <w:tmpl w:val="CA30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3153C6"/>
    <w:multiLevelType w:val="hybridMultilevel"/>
    <w:tmpl w:val="5710795C"/>
    <w:lvl w:ilvl="0" w:tplc="F18882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8"/>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5"/>
  </w:num>
  <w:num w:numId="17">
    <w:abstractNumId w:val="22"/>
  </w:num>
  <w:num w:numId="18">
    <w:abstractNumId w:val="12"/>
  </w:num>
  <w:num w:numId="19">
    <w:abstractNumId w:val="16"/>
  </w:num>
  <w:num w:numId="20">
    <w:abstractNumId w:val="10"/>
  </w:num>
  <w:num w:numId="21">
    <w:abstractNumId w:val="17"/>
  </w:num>
  <w:num w:numId="22">
    <w:abstractNumId w:val="23"/>
  </w:num>
  <w:num w:numId="23">
    <w:abstractNumId w:val="15"/>
  </w:num>
  <w:num w:numId="24">
    <w:abstractNumId w:val="11"/>
  </w:num>
  <w:num w:numId="25">
    <w:abstractNumId w:val="19"/>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1F08"/>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9697"/>
  </w:hdrShapeDefaults>
  <w:footnotePr>
    <w:footnote w:id="-1"/>
    <w:footnote w:id="0"/>
  </w:footnotePr>
  <w:endnotePr>
    <w:numFmt w:val="decimal"/>
    <w:endnote w:id="-1"/>
    <w:endnote w:id="0"/>
  </w:endnotePr>
  <w:compat/>
  <w:rsids>
    <w:rsidRoot w:val="00FC577D"/>
    <w:rsid w:val="00001E8D"/>
    <w:rsid w:val="00003000"/>
    <w:rsid w:val="000043A5"/>
    <w:rsid w:val="000160EC"/>
    <w:rsid w:val="000173BC"/>
    <w:rsid w:val="00020ACC"/>
    <w:rsid w:val="0003011D"/>
    <w:rsid w:val="000336EB"/>
    <w:rsid w:val="000346EC"/>
    <w:rsid w:val="0003524E"/>
    <w:rsid w:val="00035A55"/>
    <w:rsid w:val="00037C25"/>
    <w:rsid w:val="00052202"/>
    <w:rsid w:val="00052D4D"/>
    <w:rsid w:val="000575ED"/>
    <w:rsid w:val="000603E9"/>
    <w:rsid w:val="00062AE0"/>
    <w:rsid w:val="00063838"/>
    <w:rsid w:val="00065945"/>
    <w:rsid w:val="000679C5"/>
    <w:rsid w:val="00070168"/>
    <w:rsid w:val="00071AF7"/>
    <w:rsid w:val="00071F34"/>
    <w:rsid w:val="00072F31"/>
    <w:rsid w:val="00073404"/>
    <w:rsid w:val="0007384E"/>
    <w:rsid w:val="00085EDD"/>
    <w:rsid w:val="00090ACD"/>
    <w:rsid w:val="00090E51"/>
    <w:rsid w:val="00091153"/>
    <w:rsid w:val="000929DC"/>
    <w:rsid w:val="00097E99"/>
    <w:rsid w:val="000A0766"/>
    <w:rsid w:val="000A16E6"/>
    <w:rsid w:val="000A4D42"/>
    <w:rsid w:val="000A5B06"/>
    <w:rsid w:val="000A6466"/>
    <w:rsid w:val="000B374F"/>
    <w:rsid w:val="000B4F69"/>
    <w:rsid w:val="000C1AFA"/>
    <w:rsid w:val="000C3427"/>
    <w:rsid w:val="000C4C46"/>
    <w:rsid w:val="000D0D7B"/>
    <w:rsid w:val="000D3569"/>
    <w:rsid w:val="000D6EE3"/>
    <w:rsid w:val="000D7A65"/>
    <w:rsid w:val="000E14F0"/>
    <w:rsid w:val="000E2206"/>
    <w:rsid w:val="000E322D"/>
    <w:rsid w:val="000E3B5A"/>
    <w:rsid w:val="000F3B2B"/>
    <w:rsid w:val="000F7EDB"/>
    <w:rsid w:val="00106E4E"/>
    <w:rsid w:val="0010730C"/>
    <w:rsid w:val="001133BF"/>
    <w:rsid w:val="001139F2"/>
    <w:rsid w:val="00113E49"/>
    <w:rsid w:val="0011450F"/>
    <w:rsid w:val="001145E2"/>
    <w:rsid w:val="00116D13"/>
    <w:rsid w:val="00120142"/>
    <w:rsid w:val="001207BF"/>
    <w:rsid w:val="00121106"/>
    <w:rsid w:val="001212C5"/>
    <w:rsid w:val="00121E9C"/>
    <w:rsid w:val="00123CF4"/>
    <w:rsid w:val="00127701"/>
    <w:rsid w:val="00127780"/>
    <w:rsid w:val="00130930"/>
    <w:rsid w:val="00130970"/>
    <w:rsid w:val="00132197"/>
    <w:rsid w:val="00133429"/>
    <w:rsid w:val="001348EE"/>
    <w:rsid w:val="00134CB3"/>
    <w:rsid w:val="00136306"/>
    <w:rsid w:val="001412F5"/>
    <w:rsid w:val="0014456C"/>
    <w:rsid w:val="00145CBE"/>
    <w:rsid w:val="00151BCA"/>
    <w:rsid w:val="001553D6"/>
    <w:rsid w:val="00160434"/>
    <w:rsid w:val="001604D8"/>
    <w:rsid w:val="0016340C"/>
    <w:rsid w:val="001637CD"/>
    <w:rsid w:val="00174552"/>
    <w:rsid w:val="001770F5"/>
    <w:rsid w:val="0017756A"/>
    <w:rsid w:val="00181582"/>
    <w:rsid w:val="00181DCA"/>
    <w:rsid w:val="00184A87"/>
    <w:rsid w:val="00185B4D"/>
    <w:rsid w:val="00191CAC"/>
    <w:rsid w:val="001946FA"/>
    <w:rsid w:val="001A05A7"/>
    <w:rsid w:val="001A4D45"/>
    <w:rsid w:val="001A5E2B"/>
    <w:rsid w:val="001A7E2C"/>
    <w:rsid w:val="001B212C"/>
    <w:rsid w:val="001B2A94"/>
    <w:rsid w:val="001B2BB9"/>
    <w:rsid w:val="001B541B"/>
    <w:rsid w:val="001B6C42"/>
    <w:rsid w:val="001C04B7"/>
    <w:rsid w:val="001C5ADD"/>
    <w:rsid w:val="001D1962"/>
    <w:rsid w:val="001D3E1F"/>
    <w:rsid w:val="001D53E7"/>
    <w:rsid w:val="001E1975"/>
    <w:rsid w:val="001E25E8"/>
    <w:rsid w:val="001E3854"/>
    <w:rsid w:val="001E4218"/>
    <w:rsid w:val="001E4EAD"/>
    <w:rsid w:val="001E50F1"/>
    <w:rsid w:val="001E522F"/>
    <w:rsid w:val="001E754B"/>
    <w:rsid w:val="001F28C9"/>
    <w:rsid w:val="001F3002"/>
    <w:rsid w:val="001F38F1"/>
    <w:rsid w:val="001F434D"/>
    <w:rsid w:val="001F46F7"/>
    <w:rsid w:val="001F7631"/>
    <w:rsid w:val="001F7C72"/>
    <w:rsid w:val="00206B08"/>
    <w:rsid w:val="00206F13"/>
    <w:rsid w:val="00211BF8"/>
    <w:rsid w:val="0021542C"/>
    <w:rsid w:val="00217ADF"/>
    <w:rsid w:val="00217EE3"/>
    <w:rsid w:val="002263B7"/>
    <w:rsid w:val="00226FC7"/>
    <w:rsid w:val="00227CD9"/>
    <w:rsid w:val="00231D32"/>
    <w:rsid w:val="0023439D"/>
    <w:rsid w:val="00235B67"/>
    <w:rsid w:val="00235BDD"/>
    <w:rsid w:val="00235F20"/>
    <w:rsid w:val="00236405"/>
    <w:rsid w:val="00240A74"/>
    <w:rsid w:val="00242338"/>
    <w:rsid w:val="00243ADB"/>
    <w:rsid w:val="00245157"/>
    <w:rsid w:val="00255716"/>
    <w:rsid w:val="002558ED"/>
    <w:rsid w:val="00257E36"/>
    <w:rsid w:val="00262697"/>
    <w:rsid w:val="00264967"/>
    <w:rsid w:val="00265045"/>
    <w:rsid w:val="0026579D"/>
    <w:rsid w:val="00272D42"/>
    <w:rsid w:val="0027475B"/>
    <w:rsid w:val="00274859"/>
    <w:rsid w:val="00281BB8"/>
    <w:rsid w:val="00282F04"/>
    <w:rsid w:val="00284820"/>
    <w:rsid w:val="002856DD"/>
    <w:rsid w:val="0028656D"/>
    <w:rsid w:val="00291433"/>
    <w:rsid w:val="00293EC8"/>
    <w:rsid w:val="00294A1C"/>
    <w:rsid w:val="00295A72"/>
    <w:rsid w:val="002970CA"/>
    <w:rsid w:val="00297111"/>
    <w:rsid w:val="002974F8"/>
    <w:rsid w:val="002A1B9A"/>
    <w:rsid w:val="002A3BA0"/>
    <w:rsid w:val="002B032A"/>
    <w:rsid w:val="002B53C4"/>
    <w:rsid w:val="002B7F76"/>
    <w:rsid w:val="002D40C7"/>
    <w:rsid w:val="002E14BD"/>
    <w:rsid w:val="002E392A"/>
    <w:rsid w:val="002E5072"/>
    <w:rsid w:val="002E5E10"/>
    <w:rsid w:val="002E76D0"/>
    <w:rsid w:val="002F0490"/>
    <w:rsid w:val="002F30C2"/>
    <w:rsid w:val="002F318A"/>
    <w:rsid w:val="002F3D67"/>
    <w:rsid w:val="002F7548"/>
    <w:rsid w:val="00301D56"/>
    <w:rsid w:val="00301DED"/>
    <w:rsid w:val="00302547"/>
    <w:rsid w:val="00303DD5"/>
    <w:rsid w:val="003057B7"/>
    <w:rsid w:val="00306542"/>
    <w:rsid w:val="00310D0B"/>
    <w:rsid w:val="00311FC0"/>
    <w:rsid w:val="003131B4"/>
    <w:rsid w:val="00314A54"/>
    <w:rsid w:val="00316840"/>
    <w:rsid w:val="00321AFF"/>
    <w:rsid w:val="00322D91"/>
    <w:rsid w:val="0032488B"/>
    <w:rsid w:val="00326458"/>
    <w:rsid w:val="00326704"/>
    <w:rsid w:val="00326B7C"/>
    <w:rsid w:val="00327347"/>
    <w:rsid w:val="00330F06"/>
    <w:rsid w:val="00331A46"/>
    <w:rsid w:val="003321E8"/>
    <w:rsid w:val="00337570"/>
    <w:rsid w:val="0033770E"/>
    <w:rsid w:val="00337824"/>
    <w:rsid w:val="003442A3"/>
    <w:rsid w:val="003447CC"/>
    <w:rsid w:val="00344A5A"/>
    <w:rsid w:val="003460FC"/>
    <w:rsid w:val="00346B8F"/>
    <w:rsid w:val="0035094A"/>
    <w:rsid w:val="00352D60"/>
    <w:rsid w:val="0035608F"/>
    <w:rsid w:val="00364E2A"/>
    <w:rsid w:val="003666F9"/>
    <w:rsid w:val="0036717E"/>
    <w:rsid w:val="0037013F"/>
    <w:rsid w:val="00371407"/>
    <w:rsid w:val="00373726"/>
    <w:rsid w:val="00380E5A"/>
    <w:rsid w:val="00381029"/>
    <w:rsid w:val="00382C55"/>
    <w:rsid w:val="0038412A"/>
    <w:rsid w:val="00384296"/>
    <w:rsid w:val="00385205"/>
    <w:rsid w:val="003855D3"/>
    <w:rsid w:val="003876BB"/>
    <w:rsid w:val="0038777F"/>
    <w:rsid w:val="00392EBF"/>
    <w:rsid w:val="003934D3"/>
    <w:rsid w:val="0039461B"/>
    <w:rsid w:val="00397623"/>
    <w:rsid w:val="003A3408"/>
    <w:rsid w:val="003A4697"/>
    <w:rsid w:val="003A7F7B"/>
    <w:rsid w:val="003B26E1"/>
    <w:rsid w:val="003B34DD"/>
    <w:rsid w:val="003C17BD"/>
    <w:rsid w:val="003D0F55"/>
    <w:rsid w:val="003D14E3"/>
    <w:rsid w:val="003D6003"/>
    <w:rsid w:val="003D6225"/>
    <w:rsid w:val="003D7F7C"/>
    <w:rsid w:val="003E0074"/>
    <w:rsid w:val="003E20B8"/>
    <w:rsid w:val="003E2EB2"/>
    <w:rsid w:val="003F04FA"/>
    <w:rsid w:val="003F4709"/>
    <w:rsid w:val="003F5461"/>
    <w:rsid w:val="003F66B8"/>
    <w:rsid w:val="003F7BB4"/>
    <w:rsid w:val="003F7DAA"/>
    <w:rsid w:val="004022EF"/>
    <w:rsid w:val="00402F24"/>
    <w:rsid w:val="00404DAD"/>
    <w:rsid w:val="00405379"/>
    <w:rsid w:val="0040642D"/>
    <w:rsid w:val="0040747B"/>
    <w:rsid w:val="0041028D"/>
    <w:rsid w:val="00412407"/>
    <w:rsid w:val="00413005"/>
    <w:rsid w:val="00415F03"/>
    <w:rsid w:val="004160B0"/>
    <w:rsid w:val="00417C8B"/>
    <w:rsid w:val="004202E7"/>
    <w:rsid w:val="004212C7"/>
    <w:rsid w:val="00422370"/>
    <w:rsid w:val="00426B71"/>
    <w:rsid w:val="00427424"/>
    <w:rsid w:val="0043267D"/>
    <w:rsid w:val="00436438"/>
    <w:rsid w:val="0043763F"/>
    <w:rsid w:val="00450B5C"/>
    <w:rsid w:val="00450E7B"/>
    <w:rsid w:val="0045314B"/>
    <w:rsid w:val="004609BD"/>
    <w:rsid w:val="00460FA1"/>
    <w:rsid w:val="00461B92"/>
    <w:rsid w:val="004636B8"/>
    <w:rsid w:val="00464834"/>
    <w:rsid w:val="004663A6"/>
    <w:rsid w:val="00467BF1"/>
    <w:rsid w:val="00470E0C"/>
    <w:rsid w:val="004713E9"/>
    <w:rsid w:val="0047584C"/>
    <w:rsid w:val="004763D2"/>
    <w:rsid w:val="00477239"/>
    <w:rsid w:val="004805CC"/>
    <w:rsid w:val="00487BDA"/>
    <w:rsid w:val="0049252E"/>
    <w:rsid w:val="00492695"/>
    <w:rsid w:val="004937DE"/>
    <w:rsid w:val="00493C92"/>
    <w:rsid w:val="004A0798"/>
    <w:rsid w:val="004A0EE4"/>
    <w:rsid w:val="004A1DD6"/>
    <w:rsid w:val="004A1DE4"/>
    <w:rsid w:val="004A2348"/>
    <w:rsid w:val="004A5A2E"/>
    <w:rsid w:val="004A7E33"/>
    <w:rsid w:val="004B09F5"/>
    <w:rsid w:val="004B0A2B"/>
    <w:rsid w:val="004B37EB"/>
    <w:rsid w:val="004B475E"/>
    <w:rsid w:val="004B4A3E"/>
    <w:rsid w:val="004B66FF"/>
    <w:rsid w:val="004C085E"/>
    <w:rsid w:val="004C0868"/>
    <w:rsid w:val="004C0DFD"/>
    <w:rsid w:val="004C14BC"/>
    <w:rsid w:val="004C34EA"/>
    <w:rsid w:val="004C5EF9"/>
    <w:rsid w:val="004C7535"/>
    <w:rsid w:val="004D0E06"/>
    <w:rsid w:val="004E09E4"/>
    <w:rsid w:val="004E0D67"/>
    <w:rsid w:val="004E1CE5"/>
    <w:rsid w:val="004E2E21"/>
    <w:rsid w:val="004E30B1"/>
    <w:rsid w:val="004E37D1"/>
    <w:rsid w:val="004E4CAB"/>
    <w:rsid w:val="004E7172"/>
    <w:rsid w:val="004F786A"/>
    <w:rsid w:val="004F7BC2"/>
    <w:rsid w:val="005005F3"/>
    <w:rsid w:val="005012C7"/>
    <w:rsid w:val="00502895"/>
    <w:rsid w:val="005039D9"/>
    <w:rsid w:val="0050685B"/>
    <w:rsid w:val="00507DBE"/>
    <w:rsid w:val="00511B4C"/>
    <w:rsid w:val="00514B77"/>
    <w:rsid w:val="005221F8"/>
    <w:rsid w:val="005228FA"/>
    <w:rsid w:val="00523F43"/>
    <w:rsid w:val="00524666"/>
    <w:rsid w:val="00527826"/>
    <w:rsid w:val="00530D17"/>
    <w:rsid w:val="005377C4"/>
    <w:rsid w:val="00543EF7"/>
    <w:rsid w:val="005511F9"/>
    <w:rsid w:val="00552D51"/>
    <w:rsid w:val="00553248"/>
    <w:rsid w:val="00555760"/>
    <w:rsid w:val="005558F8"/>
    <w:rsid w:val="0055596D"/>
    <w:rsid w:val="00560696"/>
    <w:rsid w:val="00561C67"/>
    <w:rsid w:val="00563213"/>
    <w:rsid w:val="00564DD1"/>
    <w:rsid w:val="00566651"/>
    <w:rsid w:val="00570E72"/>
    <w:rsid w:val="005739DD"/>
    <w:rsid w:val="00574CAE"/>
    <w:rsid w:val="005807E1"/>
    <w:rsid w:val="00591BC3"/>
    <w:rsid w:val="0059214D"/>
    <w:rsid w:val="00592C21"/>
    <w:rsid w:val="00592E22"/>
    <w:rsid w:val="00594548"/>
    <w:rsid w:val="00594F27"/>
    <w:rsid w:val="0059594C"/>
    <w:rsid w:val="00595FC0"/>
    <w:rsid w:val="005A0D56"/>
    <w:rsid w:val="005A2159"/>
    <w:rsid w:val="005A5407"/>
    <w:rsid w:val="005A6D1F"/>
    <w:rsid w:val="005B0166"/>
    <w:rsid w:val="005B1916"/>
    <w:rsid w:val="005B1AEA"/>
    <w:rsid w:val="005B23DB"/>
    <w:rsid w:val="005B2D84"/>
    <w:rsid w:val="005B2F58"/>
    <w:rsid w:val="005B6428"/>
    <w:rsid w:val="005B7F95"/>
    <w:rsid w:val="005C55F9"/>
    <w:rsid w:val="005C5AFB"/>
    <w:rsid w:val="005C660C"/>
    <w:rsid w:val="005D0D01"/>
    <w:rsid w:val="005D2B14"/>
    <w:rsid w:val="005D404F"/>
    <w:rsid w:val="005D5B14"/>
    <w:rsid w:val="005D7D3A"/>
    <w:rsid w:val="005E0044"/>
    <w:rsid w:val="005E11C9"/>
    <w:rsid w:val="005E1FA9"/>
    <w:rsid w:val="005E214C"/>
    <w:rsid w:val="005E3746"/>
    <w:rsid w:val="005E40EC"/>
    <w:rsid w:val="005E4E66"/>
    <w:rsid w:val="005E68CE"/>
    <w:rsid w:val="005F254D"/>
    <w:rsid w:val="005F6580"/>
    <w:rsid w:val="00601A6A"/>
    <w:rsid w:val="00601EBE"/>
    <w:rsid w:val="00603045"/>
    <w:rsid w:val="00605FFA"/>
    <w:rsid w:val="00606C43"/>
    <w:rsid w:val="0061044B"/>
    <w:rsid w:val="0061211D"/>
    <w:rsid w:val="0061249D"/>
    <w:rsid w:val="006205ED"/>
    <w:rsid w:val="006214A1"/>
    <w:rsid w:val="00624D96"/>
    <w:rsid w:val="00634C58"/>
    <w:rsid w:val="00635315"/>
    <w:rsid w:val="00636D52"/>
    <w:rsid w:val="0064116A"/>
    <w:rsid w:val="00643AF7"/>
    <w:rsid w:val="00646EF7"/>
    <w:rsid w:val="00651E12"/>
    <w:rsid w:val="00656798"/>
    <w:rsid w:val="00663265"/>
    <w:rsid w:val="00663DD8"/>
    <w:rsid w:val="0066792C"/>
    <w:rsid w:val="00673168"/>
    <w:rsid w:val="006740A6"/>
    <w:rsid w:val="00674471"/>
    <w:rsid w:val="00674B2E"/>
    <w:rsid w:val="0067515A"/>
    <w:rsid w:val="006754DE"/>
    <w:rsid w:val="00677355"/>
    <w:rsid w:val="0068061C"/>
    <w:rsid w:val="00684645"/>
    <w:rsid w:val="0068497A"/>
    <w:rsid w:val="006878E2"/>
    <w:rsid w:val="00694802"/>
    <w:rsid w:val="006968CD"/>
    <w:rsid w:val="00696A62"/>
    <w:rsid w:val="006970CA"/>
    <w:rsid w:val="006A24A3"/>
    <w:rsid w:val="006B2787"/>
    <w:rsid w:val="006C0BCA"/>
    <w:rsid w:val="006D110A"/>
    <w:rsid w:val="006D1462"/>
    <w:rsid w:val="006D6731"/>
    <w:rsid w:val="006D7CFA"/>
    <w:rsid w:val="006E143C"/>
    <w:rsid w:val="006E228F"/>
    <w:rsid w:val="006E3BB7"/>
    <w:rsid w:val="006E584D"/>
    <w:rsid w:val="006E621F"/>
    <w:rsid w:val="006E697C"/>
    <w:rsid w:val="006E712A"/>
    <w:rsid w:val="006F25FE"/>
    <w:rsid w:val="00700A30"/>
    <w:rsid w:val="00704651"/>
    <w:rsid w:val="00707258"/>
    <w:rsid w:val="00710771"/>
    <w:rsid w:val="00710C56"/>
    <w:rsid w:val="0071470F"/>
    <w:rsid w:val="007174BE"/>
    <w:rsid w:val="00720617"/>
    <w:rsid w:val="00720EF0"/>
    <w:rsid w:val="00722026"/>
    <w:rsid w:val="00722DC1"/>
    <w:rsid w:val="00724687"/>
    <w:rsid w:val="00724A3F"/>
    <w:rsid w:val="00725D58"/>
    <w:rsid w:val="0072673E"/>
    <w:rsid w:val="007270E9"/>
    <w:rsid w:val="00731073"/>
    <w:rsid w:val="007311FA"/>
    <w:rsid w:val="00732907"/>
    <w:rsid w:val="00733067"/>
    <w:rsid w:val="00734065"/>
    <w:rsid w:val="00734221"/>
    <w:rsid w:val="007373D3"/>
    <w:rsid w:val="00740376"/>
    <w:rsid w:val="007474B8"/>
    <w:rsid w:val="00752789"/>
    <w:rsid w:val="00752FB5"/>
    <w:rsid w:val="00754E0F"/>
    <w:rsid w:val="0075544B"/>
    <w:rsid w:val="0075642F"/>
    <w:rsid w:val="007611D8"/>
    <w:rsid w:val="007616FF"/>
    <w:rsid w:val="00762846"/>
    <w:rsid w:val="00763CFE"/>
    <w:rsid w:val="00764047"/>
    <w:rsid w:val="00767696"/>
    <w:rsid w:val="00775053"/>
    <w:rsid w:val="00775291"/>
    <w:rsid w:val="007767B6"/>
    <w:rsid w:val="0078046F"/>
    <w:rsid w:val="00780F3A"/>
    <w:rsid w:val="00784DEE"/>
    <w:rsid w:val="00786BF7"/>
    <w:rsid w:val="007908A3"/>
    <w:rsid w:val="0079220A"/>
    <w:rsid w:val="00793485"/>
    <w:rsid w:val="00793DF1"/>
    <w:rsid w:val="00794819"/>
    <w:rsid w:val="007960B1"/>
    <w:rsid w:val="007A0E9A"/>
    <w:rsid w:val="007A4A82"/>
    <w:rsid w:val="007A63B5"/>
    <w:rsid w:val="007A7637"/>
    <w:rsid w:val="007B1DFC"/>
    <w:rsid w:val="007B29DA"/>
    <w:rsid w:val="007B3790"/>
    <w:rsid w:val="007B4857"/>
    <w:rsid w:val="007B4BFB"/>
    <w:rsid w:val="007B527E"/>
    <w:rsid w:val="007B7F3B"/>
    <w:rsid w:val="007C36DF"/>
    <w:rsid w:val="007C5136"/>
    <w:rsid w:val="007D13CE"/>
    <w:rsid w:val="007D14EF"/>
    <w:rsid w:val="007D2E2A"/>
    <w:rsid w:val="007E0108"/>
    <w:rsid w:val="007E0543"/>
    <w:rsid w:val="007E5690"/>
    <w:rsid w:val="007F0586"/>
    <w:rsid w:val="007F15DA"/>
    <w:rsid w:val="007F62A8"/>
    <w:rsid w:val="008019DB"/>
    <w:rsid w:val="00802E33"/>
    <w:rsid w:val="00802EA9"/>
    <w:rsid w:val="0080494A"/>
    <w:rsid w:val="00807F98"/>
    <w:rsid w:val="00810891"/>
    <w:rsid w:val="00810E5C"/>
    <w:rsid w:val="00814D9D"/>
    <w:rsid w:val="00823969"/>
    <w:rsid w:val="00823B0F"/>
    <w:rsid w:val="00826560"/>
    <w:rsid w:val="00831F78"/>
    <w:rsid w:val="00834C4D"/>
    <w:rsid w:val="00836252"/>
    <w:rsid w:val="008422D8"/>
    <w:rsid w:val="00843A27"/>
    <w:rsid w:val="00844229"/>
    <w:rsid w:val="008456BB"/>
    <w:rsid w:val="00850BD8"/>
    <w:rsid w:val="008523BD"/>
    <w:rsid w:val="008531A0"/>
    <w:rsid w:val="00853375"/>
    <w:rsid w:val="008545DE"/>
    <w:rsid w:val="00863388"/>
    <w:rsid w:val="008647C5"/>
    <w:rsid w:val="00865AD9"/>
    <w:rsid w:val="0086658A"/>
    <w:rsid w:val="008738ED"/>
    <w:rsid w:val="00873DB5"/>
    <w:rsid w:val="00874D95"/>
    <w:rsid w:val="00877EA0"/>
    <w:rsid w:val="0088284B"/>
    <w:rsid w:val="00882F6B"/>
    <w:rsid w:val="008852A1"/>
    <w:rsid w:val="008904D9"/>
    <w:rsid w:val="00892BCC"/>
    <w:rsid w:val="008A1815"/>
    <w:rsid w:val="008A33F7"/>
    <w:rsid w:val="008A63A2"/>
    <w:rsid w:val="008B1988"/>
    <w:rsid w:val="008B2117"/>
    <w:rsid w:val="008B273A"/>
    <w:rsid w:val="008B383A"/>
    <w:rsid w:val="008B3A7C"/>
    <w:rsid w:val="008B3BBE"/>
    <w:rsid w:val="008B47BD"/>
    <w:rsid w:val="008B485D"/>
    <w:rsid w:val="008B74A7"/>
    <w:rsid w:val="008C0444"/>
    <w:rsid w:val="008C2330"/>
    <w:rsid w:val="008C4319"/>
    <w:rsid w:val="008C44F6"/>
    <w:rsid w:val="008C4762"/>
    <w:rsid w:val="008C4A54"/>
    <w:rsid w:val="008C5208"/>
    <w:rsid w:val="008C593F"/>
    <w:rsid w:val="008D2C66"/>
    <w:rsid w:val="008D37E7"/>
    <w:rsid w:val="008D5A62"/>
    <w:rsid w:val="008E1CB2"/>
    <w:rsid w:val="008E2BC2"/>
    <w:rsid w:val="008E3918"/>
    <w:rsid w:val="008E6FDB"/>
    <w:rsid w:val="008F03B9"/>
    <w:rsid w:val="008F5167"/>
    <w:rsid w:val="008F53D1"/>
    <w:rsid w:val="00900743"/>
    <w:rsid w:val="00906FC3"/>
    <w:rsid w:val="00910169"/>
    <w:rsid w:val="00913A97"/>
    <w:rsid w:val="00916D78"/>
    <w:rsid w:val="0092695E"/>
    <w:rsid w:val="009318AD"/>
    <w:rsid w:val="00935710"/>
    <w:rsid w:val="009428B5"/>
    <w:rsid w:val="00945447"/>
    <w:rsid w:val="00954801"/>
    <w:rsid w:val="00954E94"/>
    <w:rsid w:val="00956917"/>
    <w:rsid w:val="00957492"/>
    <w:rsid w:val="009606BF"/>
    <w:rsid w:val="00964096"/>
    <w:rsid w:val="00967E16"/>
    <w:rsid w:val="00967EDC"/>
    <w:rsid w:val="009747B4"/>
    <w:rsid w:val="00977FDB"/>
    <w:rsid w:val="00980EB8"/>
    <w:rsid w:val="009812FB"/>
    <w:rsid w:val="00981E05"/>
    <w:rsid w:val="009821D2"/>
    <w:rsid w:val="009853A1"/>
    <w:rsid w:val="009869CD"/>
    <w:rsid w:val="00986D5F"/>
    <w:rsid w:val="00990378"/>
    <w:rsid w:val="00992159"/>
    <w:rsid w:val="0099410A"/>
    <w:rsid w:val="00996174"/>
    <w:rsid w:val="00996243"/>
    <w:rsid w:val="00997827"/>
    <w:rsid w:val="00997982"/>
    <w:rsid w:val="009A5E2C"/>
    <w:rsid w:val="009A6189"/>
    <w:rsid w:val="009A68B0"/>
    <w:rsid w:val="009B381B"/>
    <w:rsid w:val="009B4E87"/>
    <w:rsid w:val="009C579C"/>
    <w:rsid w:val="009C67B6"/>
    <w:rsid w:val="009C68ED"/>
    <w:rsid w:val="009D378A"/>
    <w:rsid w:val="009D4DDF"/>
    <w:rsid w:val="009E3FCC"/>
    <w:rsid w:val="009E4481"/>
    <w:rsid w:val="009E4981"/>
    <w:rsid w:val="009F020E"/>
    <w:rsid w:val="009F13C8"/>
    <w:rsid w:val="009F1C2B"/>
    <w:rsid w:val="009F5301"/>
    <w:rsid w:val="009F6CF0"/>
    <w:rsid w:val="009F7890"/>
    <w:rsid w:val="00A003A9"/>
    <w:rsid w:val="00A00601"/>
    <w:rsid w:val="00A02C22"/>
    <w:rsid w:val="00A05F1A"/>
    <w:rsid w:val="00A06BC1"/>
    <w:rsid w:val="00A10790"/>
    <w:rsid w:val="00A122D4"/>
    <w:rsid w:val="00A1236C"/>
    <w:rsid w:val="00A1288C"/>
    <w:rsid w:val="00A13AB9"/>
    <w:rsid w:val="00A143E8"/>
    <w:rsid w:val="00A1524A"/>
    <w:rsid w:val="00A17423"/>
    <w:rsid w:val="00A20B48"/>
    <w:rsid w:val="00A25A6E"/>
    <w:rsid w:val="00A26B91"/>
    <w:rsid w:val="00A32732"/>
    <w:rsid w:val="00A32FD6"/>
    <w:rsid w:val="00A345E9"/>
    <w:rsid w:val="00A3597A"/>
    <w:rsid w:val="00A40956"/>
    <w:rsid w:val="00A44B80"/>
    <w:rsid w:val="00A4552A"/>
    <w:rsid w:val="00A460DE"/>
    <w:rsid w:val="00A47499"/>
    <w:rsid w:val="00A50A41"/>
    <w:rsid w:val="00A55CF8"/>
    <w:rsid w:val="00A57165"/>
    <w:rsid w:val="00A579A2"/>
    <w:rsid w:val="00A6115C"/>
    <w:rsid w:val="00A657AB"/>
    <w:rsid w:val="00A6590C"/>
    <w:rsid w:val="00A669C5"/>
    <w:rsid w:val="00A679DA"/>
    <w:rsid w:val="00A703C1"/>
    <w:rsid w:val="00A72366"/>
    <w:rsid w:val="00A74EB5"/>
    <w:rsid w:val="00A767DC"/>
    <w:rsid w:val="00A76FD6"/>
    <w:rsid w:val="00A80261"/>
    <w:rsid w:val="00A80EF7"/>
    <w:rsid w:val="00A82DC3"/>
    <w:rsid w:val="00A85E65"/>
    <w:rsid w:val="00A86472"/>
    <w:rsid w:val="00A913C8"/>
    <w:rsid w:val="00A9760D"/>
    <w:rsid w:val="00A97C32"/>
    <w:rsid w:val="00AA068B"/>
    <w:rsid w:val="00AA2BFB"/>
    <w:rsid w:val="00AA43FC"/>
    <w:rsid w:val="00AA5BBD"/>
    <w:rsid w:val="00AB460B"/>
    <w:rsid w:val="00AB4F58"/>
    <w:rsid w:val="00AB71B4"/>
    <w:rsid w:val="00AC0BF9"/>
    <w:rsid w:val="00AC7A0A"/>
    <w:rsid w:val="00AD79FA"/>
    <w:rsid w:val="00AE0A64"/>
    <w:rsid w:val="00AE17FA"/>
    <w:rsid w:val="00AE59CC"/>
    <w:rsid w:val="00AF00D4"/>
    <w:rsid w:val="00AF0647"/>
    <w:rsid w:val="00AF0807"/>
    <w:rsid w:val="00AF632F"/>
    <w:rsid w:val="00AF6E34"/>
    <w:rsid w:val="00B0076F"/>
    <w:rsid w:val="00B00F7E"/>
    <w:rsid w:val="00B01411"/>
    <w:rsid w:val="00B07F8A"/>
    <w:rsid w:val="00B1092D"/>
    <w:rsid w:val="00B148B0"/>
    <w:rsid w:val="00B2027F"/>
    <w:rsid w:val="00B232AB"/>
    <w:rsid w:val="00B25120"/>
    <w:rsid w:val="00B254A7"/>
    <w:rsid w:val="00B270E5"/>
    <w:rsid w:val="00B2748D"/>
    <w:rsid w:val="00B279D5"/>
    <w:rsid w:val="00B3016A"/>
    <w:rsid w:val="00B31AA2"/>
    <w:rsid w:val="00B35FD1"/>
    <w:rsid w:val="00B42DF4"/>
    <w:rsid w:val="00B45F25"/>
    <w:rsid w:val="00B51CC4"/>
    <w:rsid w:val="00B5222D"/>
    <w:rsid w:val="00B67353"/>
    <w:rsid w:val="00B703F9"/>
    <w:rsid w:val="00B75248"/>
    <w:rsid w:val="00B80E66"/>
    <w:rsid w:val="00B81146"/>
    <w:rsid w:val="00B82BB0"/>
    <w:rsid w:val="00B831E2"/>
    <w:rsid w:val="00B849C7"/>
    <w:rsid w:val="00B84BFF"/>
    <w:rsid w:val="00B9180E"/>
    <w:rsid w:val="00B92D84"/>
    <w:rsid w:val="00B93616"/>
    <w:rsid w:val="00BA2BA8"/>
    <w:rsid w:val="00BB25B9"/>
    <w:rsid w:val="00BB47CD"/>
    <w:rsid w:val="00BB4B5F"/>
    <w:rsid w:val="00BB4D7E"/>
    <w:rsid w:val="00BB5546"/>
    <w:rsid w:val="00BB7462"/>
    <w:rsid w:val="00BC144F"/>
    <w:rsid w:val="00BC24AF"/>
    <w:rsid w:val="00BC3596"/>
    <w:rsid w:val="00BC36B9"/>
    <w:rsid w:val="00BC6338"/>
    <w:rsid w:val="00BD1851"/>
    <w:rsid w:val="00BE3A9A"/>
    <w:rsid w:val="00BF669B"/>
    <w:rsid w:val="00C0497B"/>
    <w:rsid w:val="00C04FCB"/>
    <w:rsid w:val="00C13725"/>
    <w:rsid w:val="00C1377B"/>
    <w:rsid w:val="00C14012"/>
    <w:rsid w:val="00C160D3"/>
    <w:rsid w:val="00C1624A"/>
    <w:rsid w:val="00C23E96"/>
    <w:rsid w:val="00C261AE"/>
    <w:rsid w:val="00C27CE6"/>
    <w:rsid w:val="00C3077D"/>
    <w:rsid w:val="00C34F23"/>
    <w:rsid w:val="00C371E4"/>
    <w:rsid w:val="00C3725D"/>
    <w:rsid w:val="00C375F6"/>
    <w:rsid w:val="00C37B1A"/>
    <w:rsid w:val="00C40D9C"/>
    <w:rsid w:val="00C41C0F"/>
    <w:rsid w:val="00C4396F"/>
    <w:rsid w:val="00C44C56"/>
    <w:rsid w:val="00C52AD4"/>
    <w:rsid w:val="00C5525F"/>
    <w:rsid w:val="00C60134"/>
    <w:rsid w:val="00C603BB"/>
    <w:rsid w:val="00C614D3"/>
    <w:rsid w:val="00C63CE1"/>
    <w:rsid w:val="00C65A03"/>
    <w:rsid w:val="00C663AE"/>
    <w:rsid w:val="00C6726C"/>
    <w:rsid w:val="00C70D5B"/>
    <w:rsid w:val="00C72942"/>
    <w:rsid w:val="00C73398"/>
    <w:rsid w:val="00C740AA"/>
    <w:rsid w:val="00C754E7"/>
    <w:rsid w:val="00C75B57"/>
    <w:rsid w:val="00C75FBD"/>
    <w:rsid w:val="00C7683F"/>
    <w:rsid w:val="00C815C0"/>
    <w:rsid w:val="00C82C7D"/>
    <w:rsid w:val="00C83619"/>
    <w:rsid w:val="00C84E70"/>
    <w:rsid w:val="00C8651F"/>
    <w:rsid w:val="00C900D7"/>
    <w:rsid w:val="00C9043C"/>
    <w:rsid w:val="00C91ED3"/>
    <w:rsid w:val="00C931A8"/>
    <w:rsid w:val="00C93BCA"/>
    <w:rsid w:val="00C943E9"/>
    <w:rsid w:val="00C9572B"/>
    <w:rsid w:val="00C9681B"/>
    <w:rsid w:val="00C9759F"/>
    <w:rsid w:val="00C975CA"/>
    <w:rsid w:val="00CA6E23"/>
    <w:rsid w:val="00CB018B"/>
    <w:rsid w:val="00CB0A70"/>
    <w:rsid w:val="00CB59D6"/>
    <w:rsid w:val="00CB710B"/>
    <w:rsid w:val="00CB7A1A"/>
    <w:rsid w:val="00CC5B1A"/>
    <w:rsid w:val="00CC6154"/>
    <w:rsid w:val="00CC7C94"/>
    <w:rsid w:val="00CD2D55"/>
    <w:rsid w:val="00CD38D5"/>
    <w:rsid w:val="00CD3A1C"/>
    <w:rsid w:val="00CD61F6"/>
    <w:rsid w:val="00CE16BC"/>
    <w:rsid w:val="00CE2A4D"/>
    <w:rsid w:val="00CF05FB"/>
    <w:rsid w:val="00CF26D2"/>
    <w:rsid w:val="00D06EB0"/>
    <w:rsid w:val="00D13474"/>
    <w:rsid w:val="00D17E71"/>
    <w:rsid w:val="00D21E85"/>
    <w:rsid w:val="00D23732"/>
    <w:rsid w:val="00D2450B"/>
    <w:rsid w:val="00D27292"/>
    <w:rsid w:val="00D35DBD"/>
    <w:rsid w:val="00D40276"/>
    <w:rsid w:val="00D40D1D"/>
    <w:rsid w:val="00D42FF9"/>
    <w:rsid w:val="00D47CEF"/>
    <w:rsid w:val="00D51B1D"/>
    <w:rsid w:val="00D52C57"/>
    <w:rsid w:val="00D55C1F"/>
    <w:rsid w:val="00D62215"/>
    <w:rsid w:val="00D731B8"/>
    <w:rsid w:val="00D77737"/>
    <w:rsid w:val="00D77C7D"/>
    <w:rsid w:val="00D77F64"/>
    <w:rsid w:val="00D863AC"/>
    <w:rsid w:val="00D9095B"/>
    <w:rsid w:val="00D91DBD"/>
    <w:rsid w:val="00D927A0"/>
    <w:rsid w:val="00D946C1"/>
    <w:rsid w:val="00D95675"/>
    <w:rsid w:val="00D9731E"/>
    <w:rsid w:val="00DA0F65"/>
    <w:rsid w:val="00DA1CC7"/>
    <w:rsid w:val="00DA3175"/>
    <w:rsid w:val="00DA35B6"/>
    <w:rsid w:val="00DA388C"/>
    <w:rsid w:val="00DB27D2"/>
    <w:rsid w:val="00DB2B30"/>
    <w:rsid w:val="00DB459F"/>
    <w:rsid w:val="00DB5F58"/>
    <w:rsid w:val="00DB63E3"/>
    <w:rsid w:val="00DB7ED9"/>
    <w:rsid w:val="00DC0557"/>
    <w:rsid w:val="00DC0D85"/>
    <w:rsid w:val="00DC2CAF"/>
    <w:rsid w:val="00DC3AB1"/>
    <w:rsid w:val="00DC4BCD"/>
    <w:rsid w:val="00DC5033"/>
    <w:rsid w:val="00DD15C7"/>
    <w:rsid w:val="00DD2C7A"/>
    <w:rsid w:val="00DD7B03"/>
    <w:rsid w:val="00DE520F"/>
    <w:rsid w:val="00DF0643"/>
    <w:rsid w:val="00DF1759"/>
    <w:rsid w:val="00DF4B08"/>
    <w:rsid w:val="00E022A2"/>
    <w:rsid w:val="00E022EA"/>
    <w:rsid w:val="00E041E3"/>
    <w:rsid w:val="00E07CCC"/>
    <w:rsid w:val="00E11182"/>
    <w:rsid w:val="00E1231D"/>
    <w:rsid w:val="00E17C9C"/>
    <w:rsid w:val="00E20737"/>
    <w:rsid w:val="00E20FD2"/>
    <w:rsid w:val="00E2526B"/>
    <w:rsid w:val="00E26C1F"/>
    <w:rsid w:val="00E27004"/>
    <w:rsid w:val="00E30C6B"/>
    <w:rsid w:val="00E32027"/>
    <w:rsid w:val="00E402A4"/>
    <w:rsid w:val="00E44AEC"/>
    <w:rsid w:val="00E52E67"/>
    <w:rsid w:val="00E5306D"/>
    <w:rsid w:val="00E53B7C"/>
    <w:rsid w:val="00E56BA0"/>
    <w:rsid w:val="00E60425"/>
    <w:rsid w:val="00E6082A"/>
    <w:rsid w:val="00E61307"/>
    <w:rsid w:val="00E61329"/>
    <w:rsid w:val="00E65A1F"/>
    <w:rsid w:val="00E66C73"/>
    <w:rsid w:val="00E66E39"/>
    <w:rsid w:val="00E70DDA"/>
    <w:rsid w:val="00E71E83"/>
    <w:rsid w:val="00E7219E"/>
    <w:rsid w:val="00E730FF"/>
    <w:rsid w:val="00E739FD"/>
    <w:rsid w:val="00E760D0"/>
    <w:rsid w:val="00E83A89"/>
    <w:rsid w:val="00E83BE5"/>
    <w:rsid w:val="00E85354"/>
    <w:rsid w:val="00E909CB"/>
    <w:rsid w:val="00E90FC8"/>
    <w:rsid w:val="00E9212D"/>
    <w:rsid w:val="00EA09F0"/>
    <w:rsid w:val="00EA203B"/>
    <w:rsid w:val="00EA2484"/>
    <w:rsid w:val="00EA54AA"/>
    <w:rsid w:val="00EA65BB"/>
    <w:rsid w:val="00EA6A48"/>
    <w:rsid w:val="00EB0442"/>
    <w:rsid w:val="00EB2FF3"/>
    <w:rsid w:val="00EB3403"/>
    <w:rsid w:val="00EB5616"/>
    <w:rsid w:val="00EB5A28"/>
    <w:rsid w:val="00EC3B5D"/>
    <w:rsid w:val="00EC3CCD"/>
    <w:rsid w:val="00EC6B95"/>
    <w:rsid w:val="00EC7773"/>
    <w:rsid w:val="00EC7C5D"/>
    <w:rsid w:val="00EC7CAB"/>
    <w:rsid w:val="00EE3436"/>
    <w:rsid w:val="00EE4912"/>
    <w:rsid w:val="00EE57B0"/>
    <w:rsid w:val="00EE78A6"/>
    <w:rsid w:val="00EF04FF"/>
    <w:rsid w:val="00EF2163"/>
    <w:rsid w:val="00EF2C17"/>
    <w:rsid w:val="00EF786A"/>
    <w:rsid w:val="00EF7A28"/>
    <w:rsid w:val="00F024C0"/>
    <w:rsid w:val="00F04092"/>
    <w:rsid w:val="00F047D9"/>
    <w:rsid w:val="00F113B3"/>
    <w:rsid w:val="00F11FF7"/>
    <w:rsid w:val="00F120EB"/>
    <w:rsid w:val="00F158E3"/>
    <w:rsid w:val="00F17953"/>
    <w:rsid w:val="00F200AD"/>
    <w:rsid w:val="00F20A35"/>
    <w:rsid w:val="00F21311"/>
    <w:rsid w:val="00F22206"/>
    <w:rsid w:val="00F2704F"/>
    <w:rsid w:val="00F328EE"/>
    <w:rsid w:val="00F35574"/>
    <w:rsid w:val="00F417B1"/>
    <w:rsid w:val="00F41C29"/>
    <w:rsid w:val="00F4440F"/>
    <w:rsid w:val="00F46898"/>
    <w:rsid w:val="00F517BA"/>
    <w:rsid w:val="00F53612"/>
    <w:rsid w:val="00F5399B"/>
    <w:rsid w:val="00F57C4F"/>
    <w:rsid w:val="00F615EA"/>
    <w:rsid w:val="00F626A8"/>
    <w:rsid w:val="00F6527A"/>
    <w:rsid w:val="00F6799D"/>
    <w:rsid w:val="00F72323"/>
    <w:rsid w:val="00F749C3"/>
    <w:rsid w:val="00F75D2A"/>
    <w:rsid w:val="00F8380A"/>
    <w:rsid w:val="00F879B0"/>
    <w:rsid w:val="00F90190"/>
    <w:rsid w:val="00F906BC"/>
    <w:rsid w:val="00F90B0C"/>
    <w:rsid w:val="00F91395"/>
    <w:rsid w:val="00F93AA0"/>
    <w:rsid w:val="00FA0451"/>
    <w:rsid w:val="00FA1910"/>
    <w:rsid w:val="00FA2654"/>
    <w:rsid w:val="00FA4E7A"/>
    <w:rsid w:val="00FA6215"/>
    <w:rsid w:val="00FA6632"/>
    <w:rsid w:val="00FA711C"/>
    <w:rsid w:val="00FA7C07"/>
    <w:rsid w:val="00FB05EB"/>
    <w:rsid w:val="00FB08B0"/>
    <w:rsid w:val="00FB18AF"/>
    <w:rsid w:val="00FB3704"/>
    <w:rsid w:val="00FB570E"/>
    <w:rsid w:val="00FB5C5B"/>
    <w:rsid w:val="00FB72D6"/>
    <w:rsid w:val="00FC1CC2"/>
    <w:rsid w:val="00FC2CA0"/>
    <w:rsid w:val="00FC4A0D"/>
    <w:rsid w:val="00FC577D"/>
    <w:rsid w:val="00FD60B2"/>
    <w:rsid w:val="00FD62D7"/>
    <w:rsid w:val="00FD6523"/>
    <w:rsid w:val="00FD6F45"/>
    <w:rsid w:val="00FE295D"/>
    <w:rsid w:val="00FE52F4"/>
    <w:rsid w:val="00FE53CE"/>
    <w:rsid w:val="00FE5B27"/>
    <w:rsid w:val="00FE5CE0"/>
    <w:rsid w:val="00FF0BA3"/>
    <w:rsid w:val="00FF2E9C"/>
    <w:rsid w:val="00FF3E42"/>
    <w:rsid w:val="00FF41AE"/>
    <w:rsid w:val="00FF421B"/>
    <w:rsid w:val="00FF5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E5"/>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62AE0"/>
    <w:pPr>
      <w:keepNext/>
      <w:widowControl/>
      <w:ind w:firstLine="360"/>
      <w:outlineLvl w:val="0"/>
    </w:pPr>
    <w:rPr>
      <w:rFonts w:ascii="Times" w:hAnsi="Times" w:cs="Times"/>
    </w:rPr>
  </w:style>
  <w:style w:type="paragraph" w:styleId="Heading2">
    <w:name w:val="heading 2"/>
    <w:basedOn w:val="Normal"/>
    <w:next w:val="Normal"/>
    <w:qFormat/>
    <w:rsid w:val="00062AE0"/>
    <w:pPr>
      <w:keepNext/>
      <w:widowControl/>
      <w:outlineLvl w:val="1"/>
    </w:pPr>
    <w:rPr>
      <w:rFonts w:ascii="Times" w:hAnsi="Times"/>
    </w:rPr>
  </w:style>
  <w:style w:type="paragraph" w:styleId="Heading3">
    <w:name w:val="heading 3"/>
    <w:basedOn w:val="Normal"/>
    <w:next w:val="Normal"/>
    <w:qFormat/>
    <w:rsid w:val="00062AE0"/>
    <w:pPr>
      <w:keepNext/>
      <w:widowControl/>
      <w:ind w:firstLine="360"/>
      <w:outlineLvl w:val="2"/>
    </w:pPr>
    <w:rPr>
      <w:rFonts w:ascii="Times" w:hAnsi="Times"/>
      <w:b/>
      <w:bCs/>
      <w:u w:val="single"/>
    </w:rPr>
  </w:style>
  <w:style w:type="paragraph" w:styleId="Heading4">
    <w:name w:val="heading 4"/>
    <w:basedOn w:val="Normal"/>
    <w:next w:val="Normal"/>
    <w:qFormat/>
    <w:rsid w:val="00062AE0"/>
    <w:pPr>
      <w:keepNext/>
      <w:widowControl/>
      <w:ind w:left="360"/>
      <w:outlineLvl w:val="3"/>
    </w:pPr>
    <w:rPr>
      <w:rFonts w:ascii="Times" w:hAnsi="Times"/>
      <w:b/>
      <w:bCs/>
      <w:u w:val="single"/>
    </w:rPr>
  </w:style>
  <w:style w:type="paragraph" w:styleId="Heading5">
    <w:name w:val="heading 5"/>
    <w:basedOn w:val="Normal"/>
    <w:next w:val="Normal"/>
    <w:link w:val="Heading5Char"/>
    <w:uiPriority w:val="9"/>
    <w:qFormat/>
    <w:rsid w:val="00062AE0"/>
    <w:pPr>
      <w:keepNext/>
      <w:widowControl/>
      <w:ind w:left="360"/>
      <w:outlineLvl w:val="4"/>
    </w:pPr>
    <w:rPr>
      <w:rFonts w:ascii="Times" w:hAnsi="Times"/>
    </w:rPr>
  </w:style>
  <w:style w:type="paragraph" w:styleId="Heading6">
    <w:name w:val="heading 6"/>
    <w:basedOn w:val="Normal"/>
    <w:next w:val="Normal"/>
    <w:qFormat/>
    <w:rsid w:val="00062AE0"/>
    <w:pPr>
      <w:keepNext/>
      <w:widowControl/>
      <w:jc w:val="center"/>
      <w:outlineLvl w:val="5"/>
    </w:pPr>
    <w:rPr>
      <w:rFonts w:ascii="Times New Roman" w:hAnsi="Times New Roman"/>
    </w:rPr>
  </w:style>
  <w:style w:type="paragraph" w:styleId="Heading7">
    <w:name w:val="heading 7"/>
    <w:basedOn w:val="Normal"/>
    <w:next w:val="Normal"/>
    <w:qFormat/>
    <w:rsid w:val="00062AE0"/>
    <w:pPr>
      <w:keepNext/>
      <w:jc w:val="both"/>
      <w:outlineLvl w:val="6"/>
    </w:pPr>
    <w:rPr>
      <w:rFonts w:ascii="Times New Roman" w:hAnsi="Times New Roman"/>
      <w:b/>
      <w:bCs/>
      <w:color w:val="000000"/>
    </w:rPr>
  </w:style>
  <w:style w:type="paragraph" w:styleId="Heading8">
    <w:name w:val="heading 8"/>
    <w:basedOn w:val="Normal"/>
    <w:next w:val="Normal"/>
    <w:qFormat/>
    <w:rsid w:val="00062AE0"/>
    <w:pPr>
      <w:keepNext/>
      <w:tabs>
        <w:tab w:val="left" w:pos="-1440"/>
        <w:tab w:val="left" w:pos="-720"/>
        <w:tab w:val="left" w:pos="311"/>
        <w:tab w:val="left" w:pos="401"/>
        <w:tab w:val="left" w:pos="720"/>
        <w:tab w:val="left" w:pos="1440"/>
        <w:tab w:val="left" w:pos="2160"/>
        <w:tab w:val="left" w:pos="2880"/>
      </w:tabs>
      <w:spacing w:before="163"/>
      <w:ind w:left="401"/>
      <w:outlineLvl w:val="7"/>
    </w:pPr>
    <w:rPr>
      <w:rFonts w:ascii="Times New Roman" w:hAnsi="Times New Roman"/>
      <w:color w:val="000000"/>
    </w:rPr>
  </w:style>
  <w:style w:type="paragraph" w:styleId="Heading9">
    <w:name w:val="heading 9"/>
    <w:basedOn w:val="Normal"/>
    <w:next w:val="Normal"/>
    <w:qFormat/>
    <w:rsid w:val="00062AE0"/>
    <w:pPr>
      <w:keepNext/>
      <w:tabs>
        <w:tab w:val="left" w:pos="-1440"/>
        <w:tab w:val="left" w:pos="-720"/>
        <w:tab w:val="left" w:pos="0"/>
        <w:tab w:val="left" w:pos="240"/>
        <w:tab w:val="left" w:pos="720"/>
        <w:tab w:val="left" w:pos="1440"/>
        <w:tab w:val="left" w:pos="2160"/>
        <w:tab w:val="left" w:pos="2880"/>
      </w:tabs>
      <w:spacing w:before="163"/>
      <w:outlineLvl w:val="8"/>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62AE0"/>
  </w:style>
  <w:style w:type="paragraph" w:styleId="Header">
    <w:name w:val="header"/>
    <w:basedOn w:val="Normal"/>
    <w:link w:val="HeaderChar"/>
    <w:uiPriority w:val="99"/>
    <w:rsid w:val="00062AE0"/>
    <w:pPr>
      <w:tabs>
        <w:tab w:val="center" w:pos="4320"/>
        <w:tab w:val="right" w:pos="8640"/>
      </w:tabs>
    </w:pPr>
  </w:style>
  <w:style w:type="paragraph" w:styleId="Footer">
    <w:name w:val="footer"/>
    <w:basedOn w:val="Normal"/>
    <w:link w:val="FooterChar"/>
    <w:uiPriority w:val="99"/>
    <w:rsid w:val="00062AE0"/>
    <w:pPr>
      <w:tabs>
        <w:tab w:val="center" w:pos="4320"/>
        <w:tab w:val="right" w:pos="8640"/>
      </w:tabs>
    </w:pPr>
  </w:style>
  <w:style w:type="paragraph" w:styleId="BodyTextIndent">
    <w:name w:val="Body Text Indent"/>
    <w:basedOn w:val="Normal"/>
    <w:link w:val="BodyTextIndentChar"/>
    <w:rsid w:val="00062AE0"/>
    <w:pPr>
      <w:widowControl/>
      <w:ind w:firstLine="360"/>
    </w:pPr>
    <w:rPr>
      <w:rFonts w:ascii="Times" w:hAnsi="Times" w:cs="Times"/>
    </w:rPr>
  </w:style>
  <w:style w:type="character" w:styleId="Hyperlink">
    <w:name w:val="Hyperlink"/>
    <w:basedOn w:val="DefaultParagraphFont"/>
    <w:rsid w:val="00062AE0"/>
    <w:rPr>
      <w:color w:val="0000FF"/>
      <w:u w:val="single"/>
    </w:rPr>
  </w:style>
  <w:style w:type="character" w:styleId="PageNumber">
    <w:name w:val="page number"/>
    <w:basedOn w:val="DefaultParagraphFont"/>
    <w:rsid w:val="00062AE0"/>
  </w:style>
  <w:style w:type="paragraph" w:styleId="FootnoteText">
    <w:name w:val="footnote text"/>
    <w:aliases w:val="Footnote Text Char1,Footnote Text Char Char,Footnote Text Char"/>
    <w:basedOn w:val="Normal"/>
    <w:link w:val="FootnoteTextChar2"/>
    <w:rsid w:val="00062AE0"/>
    <w:pPr>
      <w:widowControl/>
      <w:autoSpaceDE/>
      <w:autoSpaceDN/>
      <w:adjustRightInd/>
    </w:pPr>
    <w:rPr>
      <w:rFonts w:ascii="Times New Roman" w:hAnsi="Times New Roman"/>
      <w:snapToGrid w:val="0"/>
      <w:szCs w:val="20"/>
    </w:rPr>
  </w:style>
  <w:style w:type="paragraph" w:styleId="BodyTextIndent2">
    <w:name w:val="Body Text Indent 2"/>
    <w:basedOn w:val="Normal"/>
    <w:link w:val="BodyTextIndent2Char"/>
    <w:uiPriority w:val="99"/>
    <w:rsid w:val="00062AE0"/>
    <w:pPr>
      <w:ind w:firstLine="720"/>
      <w:jc w:val="both"/>
    </w:pPr>
    <w:rPr>
      <w:rFonts w:ascii="Times New Roman" w:hAnsi="Times New Roman"/>
    </w:rPr>
  </w:style>
  <w:style w:type="paragraph" w:styleId="BodyText">
    <w:name w:val="Body Text"/>
    <w:basedOn w:val="Normal"/>
    <w:rsid w:val="00062AE0"/>
    <w:pPr>
      <w:widowControl/>
      <w:autoSpaceDE/>
      <w:autoSpaceDN/>
      <w:adjustRightInd/>
      <w:jc w:val="both"/>
    </w:pPr>
    <w:rPr>
      <w:rFonts w:ascii="Times" w:hAnsi="Times"/>
      <w:snapToGrid w:val="0"/>
      <w:color w:val="000000"/>
    </w:rPr>
  </w:style>
  <w:style w:type="paragraph" w:styleId="BodyTextIndent3">
    <w:name w:val="Body Text Indent 3"/>
    <w:basedOn w:val="Normal"/>
    <w:rsid w:val="00062AE0"/>
    <w:pPr>
      <w:ind w:firstLine="720"/>
      <w:jc w:val="both"/>
    </w:pPr>
    <w:rPr>
      <w:rFonts w:ascii="Times New Roman" w:hAnsi="Times New Roman"/>
      <w:color w:val="000000"/>
    </w:rPr>
  </w:style>
  <w:style w:type="paragraph" w:styleId="BodyText2">
    <w:name w:val="Body Text 2"/>
    <w:basedOn w:val="Normal"/>
    <w:rsid w:val="00062AE0"/>
    <w:rPr>
      <w:rFonts w:ascii="Times New Roman" w:hAnsi="Times New Roman"/>
      <w:color w:val="000000"/>
    </w:rPr>
  </w:style>
  <w:style w:type="paragraph" w:styleId="BalloonText">
    <w:name w:val="Balloon Text"/>
    <w:basedOn w:val="Normal"/>
    <w:semiHidden/>
    <w:rsid w:val="00FF3E42"/>
    <w:rPr>
      <w:rFonts w:ascii="Tahoma" w:hAnsi="Tahoma" w:cs="Tahoma"/>
      <w:sz w:val="16"/>
      <w:szCs w:val="16"/>
    </w:rPr>
  </w:style>
  <w:style w:type="character" w:styleId="FollowedHyperlink">
    <w:name w:val="FollowedHyperlink"/>
    <w:basedOn w:val="DefaultParagraphFont"/>
    <w:rsid w:val="00090ACD"/>
    <w:rPr>
      <w:color w:val="FF8040"/>
      <w:u w:val="single"/>
    </w:rPr>
  </w:style>
  <w:style w:type="table" w:styleId="TableGrid">
    <w:name w:val="Table Grid"/>
    <w:basedOn w:val="TableNormal"/>
    <w:rsid w:val="00E6082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1637CD"/>
    <w:rPr>
      <w:rFonts w:ascii="Courier" w:hAnsi="Courier"/>
      <w:szCs w:val="24"/>
    </w:rPr>
  </w:style>
  <w:style w:type="character" w:customStyle="1" w:styleId="FooterChar">
    <w:name w:val="Footer Char"/>
    <w:basedOn w:val="DefaultParagraphFont"/>
    <w:link w:val="Footer"/>
    <w:uiPriority w:val="99"/>
    <w:rsid w:val="00767696"/>
    <w:rPr>
      <w:rFonts w:ascii="Courier" w:hAnsi="Courier"/>
      <w:sz w:val="24"/>
      <w:szCs w:val="24"/>
    </w:rPr>
  </w:style>
  <w:style w:type="character" w:styleId="CommentReference">
    <w:name w:val="annotation reference"/>
    <w:basedOn w:val="DefaultParagraphFont"/>
    <w:uiPriority w:val="99"/>
    <w:semiHidden/>
    <w:rsid w:val="00371407"/>
    <w:rPr>
      <w:sz w:val="16"/>
      <w:szCs w:val="16"/>
    </w:rPr>
  </w:style>
  <w:style w:type="paragraph" w:styleId="CommentText">
    <w:name w:val="annotation text"/>
    <w:basedOn w:val="Normal"/>
    <w:link w:val="CommentTextChar"/>
    <w:uiPriority w:val="99"/>
    <w:semiHidden/>
    <w:rsid w:val="00371407"/>
    <w:rPr>
      <w:sz w:val="20"/>
      <w:szCs w:val="20"/>
    </w:rPr>
  </w:style>
  <w:style w:type="paragraph" w:styleId="CommentSubject">
    <w:name w:val="annotation subject"/>
    <w:basedOn w:val="CommentText"/>
    <w:next w:val="CommentText"/>
    <w:semiHidden/>
    <w:rsid w:val="00371407"/>
    <w:rPr>
      <w:b/>
      <w:bCs/>
    </w:rPr>
  </w:style>
  <w:style w:type="paragraph" w:customStyle="1" w:styleId="CharCharChar">
    <w:name w:val="Char Char Char"/>
    <w:basedOn w:val="Normal"/>
    <w:rsid w:val="00530D17"/>
    <w:pPr>
      <w:widowControl/>
      <w:autoSpaceDE/>
      <w:autoSpaceDN/>
      <w:adjustRightInd/>
      <w:spacing w:after="160" w:line="240" w:lineRule="exact"/>
    </w:pPr>
    <w:rPr>
      <w:rFonts w:ascii="Tahoma" w:hAnsi="Tahoma"/>
      <w:sz w:val="20"/>
      <w:szCs w:val="20"/>
    </w:rPr>
  </w:style>
  <w:style w:type="character" w:customStyle="1" w:styleId="FootnoteTextChar2">
    <w:name w:val="Footnote Text Char2"/>
    <w:aliases w:val="Footnote Text Char1 Char,Footnote Text Char Char Char,Footnote Text Char Char1"/>
    <w:basedOn w:val="DefaultParagraphFont"/>
    <w:link w:val="FootnoteText"/>
    <w:locked/>
    <w:rsid w:val="0041028D"/>
    <w:rPr>
      <w:snapToGrid w:val="0"/>
      <w:sz w:val="24"/>
      <w:lang w:val="en-US" w:eastAsia="en-US" w:bidi="ar-SA"/>
    </w:rPr>
  </w:style>
  <w:style w:type="character" w:customStyle="1" w:styleId="documentbody1">
    <w:name w:val="documentbody1"/>
    <w:basedOn w:val="DefaultParagraphFont"/>
    <w:rsid w:val="008B2117"/>
    <w:rPr>
      <w:rFonts w:ascii="Verdana" w:hAnsi="Verdana" w:hint="default"/>
      <w:sz w:val="19"/>
      <w:szCs w:val="19"/>
    </w:rPr>
  </w:style>
  <w:style w:type="character" w:customStyle="1" w:styleId="BodyTextIndent2Char">
    <w:name w:val="Body Text Indent 2 Char"/>
    <w:basedOn w:val="DefaultParagraphFont"/>
    <w:link w:val="BodyTextIndent2"/>
    <w:uiPriority w:val="99"/>
    <w:rsid w:val="008B2117"/>
    <w:rPr>
      <w:sz w:val="24"/>
      <w:szCs w:val="24"/>
    </w:rPr>
  </w:style>
  <w:style w:type="paragraph" w:styleId="ListParagraph">
    <w:name w:val="List Paragraph"/>
    <w:basedOn w:val="Normal"/>
    <w:uiPriority w:val="34"/>
    <w:qFormat/>
    <w:rsid w:val="0099410A"/>
    <w:pPr>
      <w:widowControl/>
      <w:autoSpaceDE/>
      <w:autoSpaceDN/>
      <w:adjustRightInd/>
      <w:ind w:left="720"/>
      <w:contextualSpacing/>
    </w:pPr>
    <w:rPr>
      <w:rFonts w:ascii="Times New Roman" w:hAnsi="Times New Roman"/>
    </w:rPr>
  </w:style>
  <w:style w:type="character" w:customStyle="1" w:styleId="BodyTextIndentChar">
    <w:name w:val="Body Text Indent Char"/>
    <w:basedOn w:val="DefaultParagraphFont"/>
    <w:link w:val="BodyTextIndent"/>
    <w:rsid w:val="00793485"/>
    <w:rPr>
      <w:rFonts w:ascii="Times" w:hAnsi="Times" w:cs="Times"/>
      <w:sz w:val="24"/>
      <w:szCs w:val="24"/>
    </w:rPr>
  </w:style>
  <w:style w:type="character" w:customStyle="1" w:styleId="CommentTextChar">
    <w:name w:val="Comment Text Char"/>
    <w:basedOn w:val="DefaultParagraphFont"/>
    <w:link w:val="CommentText"/>
    <w:uiPriority w:val="99"/>
    <w:semiHidden/>
    <w:rsid w:val="00CB018B"/>
    <w:rPr>
      <w:rFonts w:ascii="Courier" w:hAnsi="Courier"/>
    </w:rPr>
  </w:style>
  <w:style w:type="character" w:customStyle="1" w:styleId="Heading5Char">
    <w:name w:val="Heading 5 Char"/>
    <w:basedOn w:val="DefaultParagraphFont"/>
    <w:link w:val="Heading5"/>
    <w:uiPriority w:val="9"/>
    <w:rsid w:val="0017756A"/>
    <w:rPr>
      <w:rFonts w:ascii="Times" w:hAnsi="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sba.gov/content/table-small-business-size-standards" TargetMode="External"/><Relationship Id="rId2" Type="http://schemas.openxmlformats.org/officeDocument/2006/relationships/hyperlink" Target="http://www.consumerfinance.gov/" TargetMode="External"/><Relationship Id="rId1" Type="http://schemas.openxmlformats.org/officeDocument/2006/relationships/hyperlink" Target="http://www.federalreserve.gov/publications/annual-report/2010-banking-supervision-regulation.htm" TargetMode="External"/><Relationship Id="rId5" Type="http://schemas.openxmlformats.org/officeDocument/2006/relationships/hyperlink" Target="http://www.bls.gov/soc/" TargetMode="External"/><Relationship Id="rId4"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FC31F-C023-472C-A83D-69A07866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4027</Words>
  <Characters>22656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for the </vt:lpstr>
    </vt:vector>
  </TitlesOfParts>
  <Company>FRB</Company>
  <LinksUpToDate>false</LinksUpToDate>
  <CharactersWithSpaces>26630</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dc:title>
  <dc:subject/>
  <dc:creator>m1mel00</dc:creator>
  <cp:keywords/>
  <dc:description/>
  <cp:lastModifiedBy>m1jas00</cp:lastModifiedBy>
  <cp:revision>3</cp:revision>
  <cp:lastPrinted>2012-01-27T13:33:00Z</cp:lastPrinted>
  <dcterms:created xsi:type="dcterms:W3CDTF">2012-01-31T19:41:00Z</dcterms:created>
  <dcterms:modified xsi:type="dcterms:W3CDTF">2012-01-31T19:51:00Z</dcterms:modified>
</cp:coreProperties>
</file>