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200" w:type="dxa"/>
        <w:tblInd w:w="2988" w:type="dxa"/>
        <w:tblLook w:val="0000"/>
      </w:tblPr>
      <w:tblGrid>
        <w:gridCol w:w="900"/>
        <w:gridCol w:w="3420"/>
        <w:gridCol w:w="270"/>
        <w:gridCol w:w="2610"/>
      </w:tblGrid>
      <w:tr w:rsidR="00F7352D">
        <w:trPr>
          <w:cantSplit/>
          <w:trHeight w:val="114"/>
        </w:trPr>
        <w:tc>
          <w:tcPr>
            <w:tcW w:w="900" w:type="dxa"/>
          </w:tcPr>
          <w:p w:rsidR="00F7352D" w:rsidRDefault="00F7352D">
            <w:pPr>
              <w:ind w:left="630"/>
              <w:rPr>
                <w:sz w:val="22"/>
              </w:rPr>
            </w:pPr>
          </w:p>
        </w:tc>
        <w:tc>
          <w:tcPr>
            <w:tcW w:w="3420" w:type="dxa"/>
          </w:tcPr>
          <w:p w:rsidR="00F7352D" w:rsidRDefault="00F7352D">
            <w:pPr>
              <w:ind w:left="630"/>
              <w:jc w:val="right"/>
              <w:rPr>
                <w:b/>
                <w:bCs/>
                <w:sz w:val="22"/>
              </w:rPr>
            </w:pPr>
            <w:r>
              <w:rPr>
                <w:b/>
                <w:bCs/>
                <w:sz w:val="22"/>
              </w:rPr>
              <w:t>File Code:</w:t>
            </w:r>
          </w:p>
        </w:tc>
        <w:tc>
          <w:tcPr>
            <w:tcW w:w="270" w:type="dxa"/>
          </w:tcPr>
          <w:p w:rsidR="00F7352D" w:rsidRDefault="00F7352D">
            <w:pPr>
              <w:ind w:left="630"/>
              <w:rPr>
                <w:sz w:val="22"/>
              </w:rPr>
            </w:pPr>
          </w:p>
        </w:tc>
        <w:tc>
          <w:tcPr>
            <w:tcW w:w="2610" w:type="dxa"/>
          </w:tcPr>
          <w:p w:rsidR="00F7352D" w:rsidRDefault="00F7352D">
            <w:pPr>
              <w:ind w:left="162"/>
              <w:rPr>
                <w:sz w:val="22"/>
              </w:rPr>
            </w:pPr>
            <w:r>
              <w:rPr>
                <w:sz w:val="22"/>
              </w:rPr>
              <w:t>5162</w:t>
            </w:r>
          </w:p>
        </w:tc>
      </w:tr>
      <w:tr w:rsidR="00F7352D">
        <w:trPr>
          <w:cantSplit/>
          <w:trHeight w:val="113"/>
        </w:trPr>
        <w:tc>
          <w:tcPr>
            <w:tcW w:w="900" w:type="dxa"/>
          </w:tcPr>
          <w:p w:rsidR="00F7352D" w:rsidRDefault="00F7352D">
            <w:pPr>
              <w:ind w:left="630"/>
              <w:rPr>
                <w:sz w:val="22"/>
              </w:rPr>
            </w:pPr>
          </w:p>
        </w:tc>
        <w:tc>
          <w:tcPr>
            <w:tcW w:w="3420" w:type="dxa"/>
          </w:tcPr>
          <w:p w:rsidR="00F7352D" w:rsidRDefault="00F7352D">
            <w:pPr>
              <w:ind w:left="630"/>
              <w:jc w:val="right"/>
              <w:rPr>
                <w:b/>
                <w:bCs/>
                <w:sz w:val="22"/>
              </w:rPr>
            </w:pPr>
            <w:r>
              <w:rPr>
                <w:b/>
                <w:bCs/>
                <w:sz w:val="22"/>
              </w:rPr>
              <w:t>Date:</w:t>
            </w:r>
          </w:p>
        </w:tc>
        <w:tc>
          <w:tcPr>
            <w:tcW w:w="270" w:type="dxa"/>
          </w:tcPr>
          <w:p w:rsidR="00F7352D" w:rsidRDefault="00F7352D">
            <w:pPr>
              <w:ind w:left="630"/>
              <w:rPr>
                <w:sz w:val="22"/>
              </w:rPr>
            </w:pPr>
          </w:p>
        </w:tc>
        <w:tc>
          <w:tcPr>
            <w:tcW w:w="2610" w:type="dxa"/>
          </w:tcPr>
          <w:p w:rsidR="00F7352D" w:rsidRDefault="0053339F" w:rsidP="0039708B">
            <w:pPr>
              <w:ind w:left="162"/>
              <w:rPr>
                <w:sz w:val="22"/>
              </w:rPr>
            </w:pPr>
            <w:r>
              <w:rPr>
                <w:sz w:val="22"/>
              </w:rPr>
              <w:t>February 1</w:t>
            </w:r>
            <w:r w:rsidR="0039708B">
              <w:rPr>
                <w:sz w:val="22"/>
              </w:rPr>
              <w:t>6</w:t>
            </w:r>
            <w:r>
              <w:rPr>
                <w:sz w:val="22"/>
              </w:rPr>
              <w:t>, 2012</w:t>
            </w:r>
          </w:p>
        </w:tc>
      </w:tr>
    </w:tbl>
    <w:p w:rsidR="00F7352D" w:rsidRDefault="00F7352D">
      <w:pPr>
        <w:ind w:left="630"/>
        <w:rPr>
          <w:sz w:val="22"/>
        </w:rPr>
      </w:pPr>
    </w:p>
    <w:p w:rsidR="00F7352D" w:rsidRDefault="00F7352D">
      <w:pPr>
        <w:ind w:left="630"/>
        <w:rPr>
          <w:sz w:val="22"/>
        </w:rPr>
      </w:pPr>
    </w:p>
    <w:p w:rsidR="00134DB0" w:rsidRDefault="008A759D">
      <w:pPr>
        <w:ind w:left="630"/>
        <w:rPr>
          <w:sz w:val="22"/>
        </w:rPr>
      </w:pPr>
      <w:r>
        <w:rPr>
          <w:sz w:val="22"/>
        </w:rPr>
        <w:t>Dr. Michael Payne</w:t>
      </w:r>
    </w:p>
    <w:p w:rsidR="008A759D" w:rsidRDefault="008A759D">
      <w:pPr>
        <w:ind w:left="630"/>
        <w:rPr>
          <w:sz w:val="22"/>
        </w:rPr>
      </w:pPr>
      <w:r>
        <w:rPr>
          <w:sz w:val="22"/>
        </w:rPr>
        <w:t>Western Institute for Food Safety and Security (WIFSS)</w:t>
      </w:r>
    </w:p>
    <w:p w:rsidR="008A759D" w:rsidRDefault="008A759D">
      <w:pPr>
        <w:ind w:left="630"/>
        <w:rPr>
          <w:sz w:val="22"/>
        </w:rPr>
      </w:pPr>
      <w:r>
        <w:rPr>
          <w:sz w:val="22"/>
        </w:rPr>
        <w:t>University of California – School of Veterinary Medicine</w:t>
      </w:r>
    </w:p>
    <w:p w:rsidR="008A759D" w:rsidRDefault="008A759D">
      <w:pPr>
        <w:ind w:left="630"/>
        <w:rPr>
          <w:sz w:val="22"/>
        </w:rPr>
      </w:pPr>
    </w:p>
    <w:p w:rsidR="00427FBE" w:rsidRDefault="00427FBE" w:rsidP="00427FBE">
      <w:pPr>
        <w:ind w:left="1440"/>
        <w:rPr>
          <w:sz w:val="22"/>
        </w:rPr>
      </w:pPr>
      <w:r>
        <w:rPr>
          <w:sz w:val="22"/>
        </w:rPr>
        <w:t>Sent via email mpayne@ucdavis.edu</w:t>
      </w:r>
    </w:p>
    <w:p w:rsidR="00F7352D" w:rsidRDefault="00F7352D">
      <w:pPr>
        <w:ind w:left="630"/>
        <w:rPr>
          <w:sz w:val="22"/>
        </w:rPr>
      </w:pPr>
    </w:p>
    <w:p w:rsidR="008A759D" w:rsidRDefault="008A759D">
      <w:pPr>
        <w:ind w:left="630"/>
        <w:rPr>
          <w:sz w:val="22"/>
        </w:rPr>
      </w:pPr>
    </w:p>
    <w:p w:rsidR="008A759D" w:rsidRDefault="008A759D">
      <w:pPr>
        <w:ind w:left="630"/>
        <w:rPr>
          <w:sz w:val="22"/>
        </w:rPr>
      </w:pPr>
      <w:r>
        <w:rPr>
          <w:sz w:val="22"/>
        </w:rPr>
        <w:t>Dear Dr. Payne:</w:t>
      </w:r>
    </w:p>
    <w:p w:rsidR="008A759D" w:rsidRDefault="008A759D">
      <w:pPr>
        <w:ind w:left="630"/>
        <w:rPr>
          <w:sz w:val="22"/>
        </w:rPr>
      </w:pPr>
    </w:p>
    <w:p w:rsidR="008A759D" w:rsidRDefault="008A759D">
      <w:pPr>
        <w:ind w:left="630"/>
        <w:rPr>
          <w:sz w:val="22"/>
        </w:rPr>
      </w:pPr>
      <w:r>
        <w:rPr>
          <w:sz w:val="22"/>
        </w:rPr>
        <w:t>I am responding to your comment about our Federal Register Notice on the Qualified Product List for Wildland fire Chemicals; OMB Control Number 0596-0182.</w:t>
      </w:r>
    </w:p>
    <w:p w:rsidR="008A759D" w:rsidRDefault="008A759D">
      <w:pPr>
        <w:ind w:left="630"/>
        <w:rPr>
          <w:sz w:val="22"/>
        </w:rPr>
      </w:pPr>
    </w:p>
    <w:p w:rsidR="008A759D" w:rsidRDefault="008A759D">
      <w:pPr>
        <w:ind w:left="630"/>
        <w:rPr>
          <w:sz w:val="22"/>
        </w:rPr>
      </w:pPr>
      <w:r>
        <w:rPr>
          <w:sz w:val="22"/>
        </w:rPr>
        <w:t>I work for the Wildland Fire Chemical Systems (WFCS) program within the USDA Forest Service.  I believe there is some misunderstanding about the scope and intent of our data collection which I would like to correct.</w:t>
      </w:r>
    </w:p>
    <w:p w:rsidR="008A759D" w:rsidRDefault="008A759D">
      <w:pPr>
        <w:ind w:left="630"/>
        <w:rPr>
          <w:sz w:val="22"/>
        </w:rPr>
      </w:pPr>
    </w:p>
    <w:p w:rsidR="008A759D" w:rsidRDefault="008A759D">
      <w:pPr>
        <w:ind w:left="630"/>
        <w:rPr>
          <w:sz w:val="22"/>
        </w:rPr>
      </w:pPr>
      <w:r>
        <w:rPr>
          <w:sz w:val="22"/>
        </w:rPr>
        <w:t xml:space="preserve">Our program is charged with developing specifications for the evaluation of wildland fire chemicals (long-term retardants, class </w:t>
      </w:r>
      <w:proofErr w:type="gramStart"/>
      <w:r>
        <w:rPr>
          <w:sz w:val="22"/>
        </w:rPr>
        <w:t>A</w:t>
      </w:r>
      <w:proofErr w:type="gramEnd"/>
      <w:r>
        <w:rPr>
          <w:sz w:val="22"/>
        </w:rPr>
        <w:t xml:space="preserve"> foams, and water enhancers) used by wildland fire agencies as part of their firefighting operations, maintaining the Qualified Products List (QPL), and conduct</w:t>
      </w:r>
      <w:r w:rsidR="004F3C0E">
        <w:rPr>
          <w:sz w:val="22"/>
        </w:rPr>
        <w:t>ing</w:t>
      </w:r>
      <w:r>
        <w:rPr>
          <w:sz w:val="22"/>
        </w:rPr>
        <w:t xml:space="preserve"> the laboratory evaluations for suppliers of candidate products who like to have their products listed</w:t>
      </w:r>
      <w:r w:rsidR="004F3C0E">
        <w:rPr>
          <w:sz w:val="22"/>
        </w:rPr>
        <w:t>.  This work is all performed under the guidance of the Fire Chemicals Board made up of representatives of the fire operations communities from federal and state agencies</w:t>
      </w:r>
      <w:r>
        <w:rPr>
          <w:sz w:val="22"/>
        </w:rPr>
        <w:t xml:space="preserve"> </w:t>
      </w:r>
      <w:r w:rsidR="004F3C0E">
        <w:rPr>
          <w:sz w:val="22"/>
        </w:rPr>
        <w:t>with wildland fire operations mandates.</w:t>
      </w:r>
    </w:p>
    <w:p w:rsidR="004F3C0E" w:rsidRDefault="004F3C0E">
      <w:pPr>
        <w:ind w:left="630"/>
        <w:rPr>
          <w:sz w:val="22"/>
        </w:rPr>
      </w:pPr>
    </w:p>
    <w:p w:rsidR="0031357A" w:rsidRDefault="004F3C0E" w:rsidP="0031357A">
      <w:pPr>
        <w:ind w:left="630"/>
        <w:rPr>
          <w:sz w:val="22"/>
        </w:rPr>
      </w:pPr>
      <w:r>
        <w:rPr>
          <w:sz w:val="22"/>
        </w:rPr>
        <w:t xml:space="preserve">When a supplier proposes a new product, they must provide our program with a confidential disclosure sheet which provides very specific information about the makeup of their product.  </w:t>
      </w:r>
      <w:r w:rsidR="0031357A">
        <w:rPr>
          <w:sz w:val="22"/>
        </w:rPr>
        <w:t xml:space="preserve">We ask these questions of each submitter one time as part of the initial evaluation of their product.  The product must remain the same or a new evaluation is required.  </w:t>
      </w:r>
    </w:p>
    <w:p w:rsidR="00B3535A" w:rsidRDefault="00B3535A">
      <w:pPr>
        <w:ind w:left="630"/>
        <w:rPr>
          <w:sz w:val="22"/>
        </w:rPr>
      </w:pPr>
    </w:p>
    <w:p w:rsidR="004F3C0E" w:rsidRDefault="004F3C0E">
      <w:pPr>
        <w:ind w:left="630"/>
        <w:rPr>
          <w:sz w:val="22"/>
        </w:rPr>
      </w:pPr>
      <w:r>
        <w:rPr>
          <w:sz w:val="22"/>
        </w:rPr>
        <w:t xml:space="preserve">They must also provide copies of the material safety data sheets (MSDSs) for the product and every component of the product.  This information is reviewed for compliance with section 2.2 through 2.4 of our specifications.  Copies of the three specifications can be found on our web site at </w:t>
      </w:r>
      <w:hyperlink r:id="rId7" w:history="1">
        <w:r w:rsidRPr="00B434E2">
          <w:rPr>
            <w:rStyle w:val="Hyperlink"/>
            <w:sz w:val="22"/>
          </w:rPr>
          <w:t>www.fs.fed.us/rm/fire</w:t>
        </w:r>
      </w:hyperlink>
      <w:r>
        <w:rPr>
          <w:sz w:val="22"/>
        </w:rPr>
        <w:t xml:space="preserve">; select the “Wildland Fire Chemicals” tab; and then select a product type from the first section of the page.  The agencies have developed a short list of ingredients that will not be accepted.  There are also several categories and lists of chemicals such as Extremely Hazardous Substances (EHS), and known or suspect carcinogens that are reviewed to minimize hazards to workers, members of the general public, and the environment.  These are </w:t>
      </w:r>
      <w:r w:rsidR="00B3535A">
        <w:rPr>
          <w:sz w:val="22"/>
        </w:rPr>
        <w:t>cross referenced with the confidential disclosure sheets and if found, additional testing and analysis may be required or the submission returned to the supplier with our statement of reasons.</w:t>
      </w:r>
      <w:r>
        <w:rPr>
          <w:sz w:val="22"/>
        </w:rPr>
        <w:t xml:space="preserve"> </w:t>
      </w:r>
    </w:p>
    <w:p w:rsidR="00B3535A" w:rsidRDefault="00B3535A">
      <w:pPr>
        <w:ind w:left="630"/>
        <w:rPr>
          <w:sz w:val="22"/>
        </w:rPr>
      </w:pPr>
    </w:p>
    <w:p w:rsidR="00B3535A" w:rsidRDefault="00B3535A">
      <w:pPr>
        <w:ind w:left="630"/>
        <w:rPr>
          <w:sz w:val="22"/>
        </w:rPr>
      </w:pPr>
      <w:r>
        <w:rPr>
          <w:sz w:val="22"/>
        </w:rPr>
        <w:t xml:space="preserve">During the product evaluation mammalian toxicity, aquatic toxicity, and biodegradability tests are performed on the product.  These tests have pass/fail points and the product evaluation stops if any of these points are exceeded.  Otherwise the evaluation proceeds.  </w:t>
      </w:r>
    </w:p>
    <w:p w:rsidR="00B3535A" w:rsidRDefault="00B3535A">
      <w:pPr>
        <w:ind w:left="630"/>
        <w:rPr>
          <w:sz w:val="22"/>
        </w:rPr>
      </w:pPr>
    </w:p>
    <w:p w:rsidR="00B3535A" w:rsidRDefault="00B3535A">
      <w:pPr>
        <w:rPr>
          <w:sz w:val="22"/>
        </w:rPr>
      </w:pPr>
      <w:r>
        <w:rPr>
          <w:sz w:val="22"/>
        </w:rPr>
        <w:br w:type="page"/>
      </w:r>
    </w:p>
    <w:p w:rsidR="00B3535A" w:rsidRDefault="00B3535A" w:rsidP="00B3535A">
      <w:pPr>
        <w:tabs>
          <w:tab w:val="right" w:pos="9810"/>
        </w:tabs>
        <w:ind w:left="630"/>
        <w:rPr>
          <w:sz w:val="22"/>
        </w:rPr>
      </w:pPr>
      <w:r>
        <w:rPr>
          <w:sz w:val="22"/>
        </w:rPr>
        <w:lastRenderedPageBreak/>
        <w:t>M. Payne – Page 2</w:t>
      </w:r>
      <w:r>
        <w:rPr>
          <w:sz w:val="22"/>
        </w:rPr>
        <w:tab/>
        <w:t>DRAFT – February 7, 2012</w:t>
      </w:r>
    </w:p>
    <w:p w:rsidR="00B3535A" w:rsidRDefault="00B3535A">
      <w:pPr>
        <w:ind w:left="630"/>
        <w:rPr>
          <w:sz w:val="22"/>
        </w:rPr>
      </w:pPr>
    </w:p>
    <w:p w:rsidR="0031357A" w:rsidRDefault="0031357A">
      <w:pPr>
        <w:ind w:left="630"/>
        <w:rPr>
          <w:sz w:val="22"/>
        </w:rPr>
      </w:pPr>
    </w:p>
    <w:p w:rsidR="0031357A" w:rsidRDefault="0031357A">
      <w:pPr>
        <w:ind w:left="630"/>
        <w:rPr>
          <w:sz w:val="22"/>
        </w:rPr>
      </w:pPr>
    </w:p>
    <w:p w:rsidR="0031357A" w:rsidRDefault="0031357A">
      <w:pPr>
        <w:ind w:left="630"/>
        <w:rPr>
          <w:sz w:val="22"/>
        </w:rPr>
      </w:pPr>
    </w:p>
    <w:p w:rsidR="0031357A" w:rsidRDefault="0031357A" w:rsidP="0031357A">
      <w:pPr>
        <w:ind w:left="630"/>
        <w:rPr>
          <w:sz w:val="22"/>
        </w:rPr>
      </w:pPr>
      <w:r>
        <w:rPr>
          <w:sz w:val="22"/>
        </w:rPr>
        <w:t>Risk assessments of the risk to human health and the environment are conducted in accordance with US Environmental Protection Agency (EPA) protocols and findings documented to assist wildland fire managers in selecting products appropriate for their unique environments.</w:t>
      </w:r>
    </w:p>
    <w:p w:rsidR="00B3535A" w:rsidRDefault="00B3535A">
      <w:pPr>
        <w:ind w:left="630"/>
        <w:rPr>
          <w:sz w:val="22"/>
        </w:rPr>
      </w:pPr>
    </w:p>
    <w:p w:rsidR="0031357A" w:rsidRDefault="0031357A" w:rsidP="0031357A">
      <w:pPr>
        <w:ind w:left="630"/>
        <w:rPr>
          <w:sz w:val="22"/>
        </w:rPr>
      </w:pPr>
      <w:r>
        <w:rPr>
          <w:sz w:val="22"/>
        </w:rPr>
        <w:t>All of this work constitutes one portion of the evaluation.   Other parts of the evaluation examines the performance of the product with regard to other characteristics pertinent to the use of the products are completed prior to a product being placed on the QPL.</w:t>
      </w:r>
    </w:p>
    <w:p w:rsidR="0031357A" w:rsidRDefault="0031357A" w:rsidP="0031357A">
      <w:pPr>
        <w:ind w:left="630"/>
        <w:rPr>
          <w:sz w:val="22"/>
        </w:rPr>
      </w:pPr>
    </w:p>
    <w:p w:rsidR="00B3535A" w:rsidRDefault="0031357A">
      <w:pPr>
        <w:ind w:left="630"/>
        <w:rPr>
          <w:sz w:val="22"/>
        </w:rPr>
      </w:pPr>
      <w:r>
        <w:rPr>
          <w:sz w:val="22"/>
        </w:rPr>
        <w:t xml:space="preserve">It takes 18 to 24 months to complete the evaluation and list a product on the QPL.  </w:t>
      </w:r>
      <w:r w:rsidR="00B3535A">
        <w:rPr>
          <w:sz w:val="22"/>
        </w:rPr>
        <w:t>All of these steps are taken to minimize the hazards associated with a very hazardous job performed by all firefighters.</w:t>
      </w:r>
    </w:p>
    <w:p w:rsidR="00B3535A" w:rsidRDefault="00B3535A">
      <w:pPr>
        <w:ind w:left="630"/>
        <w:rPr>
          <w:sz w:val="22"/>
        </w:rPr>
      </w:pPr>
    </w:p>
    <w:p w:rsidR="00F7352D" w:rsidRDefault="0031357A">
      <w:pPr>
        <w:ind w:left="630"/>
        <w:rPr>
          <w:sz w:val="22"/>
        </w:rPr>
      </w:pPr>
      <w:r>
        <w:rPr>
          <w:sz w:val="22"/>
        </w:rPr>
        <w:t xml:space="preserve">I hope that I have addressed your comments.  </w:t>
      </w:r>
      <w:r w:rsidR="00F7352D">
        <w:rPr>
          <w:sz w:val="22"/>
        </w:rPr>
        <w:t xml:space="preserve">If you have any questions related to this work, please contact me at the address shown above, by phone at 406-329-4819, or email at cjohnson12@fs.fed.us or contact </w:t>
      </w:r>
      <w:r>
        <w:rPr>
          <w:sz w:val="22"/>
        </w:rPr>
        <w:t>our Program Leader, Shirley Zylstra</w:t>
      </w:r>
      <w:r w:rsidR="00F7352D">
        <w:rPr>
          <w:sz w:val="22"/>
        </w:rPr>
        <w:t xml:space="preserve"> at the same address or by phone at 406-</w:t>
      </w:r>
      <w:r>
        <w:rPr>
          <w:sz w:val="22"/>
        </w:rPr>
        <w:t>329-4859</w:t>
      </w:r>
      <w:r w:rsidR="00F7352D">
        <w:rPr>
          <w:sz w:val="22"/>
        </w:rPr>
        <w:t xml:space="preserve">, or email at </w:t>
      </w:r>
      <w:r>
        <w:rPr>
          <w:sz w:val="22"/>
        </w:rPr>
        <w:t>szylstra</w:t>
      </w:r>
      <w:r w:rsidR="00F7352D">
        <w:rPr>
          <w:sz w:val="22"/>
        </w:rPr>
        <w:t>@fs.fed.us.</w:t>
      </w:r>
    </w:p>
    <w:p w:rsidR="00F7352D" w:rsidRDefault="00F7352D">
      <w:pPr>
        <w:ind w:left="630"/>
        <w:rPr>
          <w:sz w:val="22"/>
        </w:rPr>
      </w:pPr>
    </w:p>
    <w:p w:rsidR="00F7352D" w:rsidRDefault="00F7352D">
      <w:pPr>
        <w:ind w:left="630"/>
        <w:rPr>
          <w:sz w:val="22"/>
        </w:rPr>
      </w:pPr>
      <w:r>
        <w:rPr>
          <w:sz w:val="22"/>
        </w:rPr>
        <w:t>Sincerely,</w:t>
      </w:r>
    </w:p>
    <w:p w:rsidR="00F7352D" w:rsidRDefault="00F7352D">
      <w:pPr>
        <w:ind w:left="630"/>
        <w:rPr>
          <w:sz w:val="22"/>
        </w:rPr>
      </w:pPr>
    </w:p>
    <w:p w:rsidR="00F7352D" w:rsidRDefault="00F7352D">
      <w:pPr>
        <w:ind w:left="630"/>
        <w:rPr>
          <w:rFonts w:ascii="Lucida Calligraphy" w:hAnsi="Lucida Calligraphy"/>
          <w:b/>
          <w:bCs/>
          <w:i/>
          <w:iCs/>
        </w:rPr>
      </w:pPr>
      <w:r>
        <w:rPr>
          <w:rFonts w:ascii="Lucida Calligraphy" w:hAnsi="Lucida Calligraphy"/>
          <w:b/>
          <w:bCs/>
          <w:i/>
          <w:iCs/>
        </w:rPr>
        <w:t>Cecilia Johnson</w:t>
      </w:r>
    </w:p>
    <w:p w:rsidR="00F7352D" w:rsidRDefault="00F7352D">
      <w:pPr>
        <w:ind w:left="630"/>
        <w:rPr>
          <w:sz w:val="22"/>
        </w:rPr>
      </w:pPr>
    </w:p>
    <w:p w:rsidR="00F7352D" w:rsidRDefault="00F7352D">
      <w:pPr>
        <w:ind w:left="630"/>
        <w:rPr>
          <w:sz w:val="22"/>
        </w:rPr>
      </w:pPr>
      <w:r>
        <w:rPr>
          <w:sz w:val="22"/>
        </w:rPr>
        <w:t>CECILIA W. JOHNSON</w:t>
      </w:r>
    </w:p>
    <w:p w:rsidR="00F7352D" w:rsidRDefault="009039A3">
      <w:pPr>
        <w:ind w:left="630"/>
        <w:rPr>
          <w:sz w:val="22"/>
        </w:rPr>
      </w:pPr>
      <w:r>
        <w:rPr>
          <w:sz w:val="22"/>
        </w:rPr>
        <w:t>Fire Chemicals Technical Specialist</w:t>
      </w:r>
    </w:p>
    <w:p w:rsidR="00F7352D" w:rsidRDefault="00F7352D">
      <w:pPr>
        <w:ind w:left="630"/>
        <w:rPr>
          <w:sz w:val="22"/>
        </w:rPr>
      </w:pPr>
      <w:r>
        <w:rPr>
          <w:sz w:val="22"/>
        </w:rPr>
        <w:t>Wildland Fire Chemical Systems</w:t>
      </w:r>
    </w:p>
    <w:p w:rsidR="00F7352D" w:rsidRDefault="00F7352D">
      <w:pPr>
        <w:ind w:left="630"/>
        <w:rPr>
          <w:sz w:val="22"/>
        </w:rPr>
      </w:pPr>
    </w:p>
    <w:p w:rsidR="00F7352D" w:rsidRDefault="00F7352D">
      <w:pPr>
        <w:ind w:left="630"/>
        <w:rPr>
          <w:sz w:val="22"/>
        </w:rPr>
      </w:pPr>
    </w:p>
    <w:p w:rsidR="00F7352D" w:rsidRDefault="00F7352D" w:rsidP="00FE576F">
      <w:pPr>
        <w:tabs>
          <w:tab w:val="left" w:pos="1260"/>
        </w:tabs>
        <w:ind w:left="630"/>
        <w:rPr>
          <w:sz w:val="22"/>
        </w:rPr>
      </w:pPr>
      <w:r>
        <w:rPr>
          <w:sz w:val="22"/>
        </w:rPr>
        <w:t>CC:</w:t>
      </w:r>
      <w:r>
        <w:rPr>
          <w:sz w:val="22"/>
        </w:rPr>
        <w:tab/>
      </w:r>
      <w:proofErr w:type="spellStart"/>
      <w:r w:rsidR="009039A3">
        <w:rPr>
          <w:sz w:val="22"/>
        </w:rPr>
        <w:t>S.Zylstra</w:t>
      </w:r>
      <w:proofErr w:type="spellEnd"/>
    </w:p>
    <w:p w:rsidR="0053339F" w:rsidRDefault="0053339F" w:rsidP="00FE576F">
      <w:pPr>
        <w:tabs>
          <w:tab w:val="left" w:pos="1260"/>
        </w:tabs>
        <w:ind w:left="630"/>
        <w:rPr>
          <w:sz w:val="22"/>
        </w:rPr>
      </w:pPr>
      <w:r>
        <w:rPr>
          <w:sz w:val="22"/>
        </w:rPr>
        <w:tab/>
      </w:r>
      <w:proofErr w:type="spellStart"/>
      <w:r>
        <w:rPr>
          <w:sz w:val="22"/>
        </w:rPr>
        <w:t>L.Anderson</w:t>
      </w:r>
      <w:proofErr w:type="spellEnd"/>
    </w:p>
    <w:p w:rsidR="009039A3" w:rsidRDefault="009039A3" w:rsidP="00FE576F">
      <w:pPr>
        <w:tabs>
          <w:tab w:val="left" w:pos="1260"/>
        </w:tabs>
        <w:ind w:left="630"/>
        <w:rPr>
          <w:sz w:val="22"/>
        </w:rPr>
      </w:pPr>
      <w:r>
        <w:rPr>
          <w:sz w:val="22"/>
        </w:rPr>
        <w:tab/>
      </w:r>
      <w:proofErr w:type="spellStart"/>
      <w:r>
        <w:rPr>
          <w:sz w:val="22"/>
        </w:rPr>
        <w:t>W.Cota</w:t>
      </w:r>
      <w:proofErr w:type="spellEnd"/>
    </w:p>
    <w:sectPr w:rsidR="009039A3" w:rsidSect="005845AD">
      <w:footerReference w:type="default" r:id="rId8"/>
      <w:headerReference w:type="first" r:id="rId9"/>
      <w:footerReference w:type="first" r:id="rId10"/>
      <w:pgSz w:w="12240" w:h="15840" w:code="1"/>
      <w:pgMar w:top="720" w:right="1440" w:bottom="1080" w:left="86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99F" w:rsidRDefault="00FF299F">
      <w:r>
        <w:separator/>
      </w:r>
    </w:p>
  </w:endnote>
  <w:endnote w:type="continuationSeparator" w:id="0">
    <w:p w:rsidR="00FF299F" w:rsidRDefault="00FF299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630" w:type="dxa"/>
      <w:tblLook w:val="0000"/>
    </w:tblPr>
    <w:tblGrid>
      <w:gridCol w:w="918"/>
      <w:gridCol w:w="5490"/>
      <w:gridCol w:w="1890"/>
      <w:gridCol w:w="630"/>
    </w:tblGrid>
    <w:tr w:rsidR="00F7352D">
      <w:tc>
        <w:tcPr>
          <w:tcW w:w="918" w:type="dxa"/>
        </w:tcPr>
        <w:p w:rsidR="00F7352D" w:rsidRDefault="00F7352D"/>
      </w:tc>
      <w:tc>
        <w:tcPr>
          <w:tcW w:w="5490" w:type="dxa"/>
          <w:vAlign w:val="bottom"/>
        </w:tcPr>
        <w:p w:rsidR="00F7352D" w:rsidRDefault="00F7352D">
          <w:pPr>
            <w:pStyle w:val="Heading2"/>
          </w:pPr>
        </w:p>
      </w:tc>
      <w:tc>
        <w:tcPr>
          <w:tcW w:w="1890" w:type="dxa"/>
          <w:vAlign w:val="bottom"/>
        </w:tcPr>
        <w:p w:rsidR="00F7352D" w:rsidRDefault="00F7352D">
          <w:pPr>
            <w:jc w:val="right"/>
          </w:pPr>
        </w:p>
      </w:tc>
      <w:tc>
        <w:tcPr>
          <w:tcW w:w="630" w:type="dxa"/>
          <w:vAlign w:val="bottom"/>
        </w:tcPr>
        <w:p w:rsidR="00F7352D" w:rsidRDefault="00F7352D">
          <w:pPr>
            <w:jc w:val="right"/>
          </w:pPr>
        </w:p>
      </w:tc>
    </w:tr>
  </w:tbl>
  <w:p w:rsidR="00F7352D" w:rsidRDefault="00F735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630" w:type="dxa"/>
      <w:tblLook w:val="0000"/>
    </w:tblPr>
    <w:tblGrid>
      <w:gridCol w:w="918"/>
      <w:gridCol w:w="5490"/>
      <w:gridCol w:w="2340"/>
      <w:gridCol w:w="546"/>
    </w:tblGrid>
    <w:tr w:rsidR="00F7352D" w:rsidTr="00600D9B">
      <w:tc>
        <w:tcPr>
          <w:tcW w:w="918" w:type="dxa"/>
        </w:tcPr>
        <w:p w:rsidR="00F7352D" w:rsidRDefault="009039A3">
          <w:r>
            <w:rPr>
              <w:noProof/>
            </w:rPr>
            <w:drawing>
              <wp:inline distT="0" distB="0" distL="0" distR="0">
                <wp:extent cx="247650" cy="247650"/>
                <wp:effectExtent l="19050" t="0" r="0" b="0"/>
                <wp:docPr id="2" name="Picture 2" descr="FS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 Shield"/>
                        <pic:cNvPicPr>
                          <a:picLocks noChangeAspect="1" noChangeArrowheads="1"/>
                        </pic:cNvPicPr>
                      </pic:nvPicPr>
                      <pic:blipFill>
                        <a:blip r:embed="rId1"/>
                        <a:srcRect/>
                        <a:stretch>
                          <a:fillRect/>
                        </a:stretch>
                      </pic:blipFill>
                      <pic:spPr bwMode="auto">
                        <a:xfrm>
                          <a:off x="0" y="0"/>
                          <a:ext cx="247650" cy="247650"/>
                        </a:xfrm>
                        <a:prstGeom prst="rect">
                          <a:avLst/>
                        </a:prstGeom>
                        <a:noFill/>
                        <a:ln w="9525">
                          <a:noFill/>
                          <a:miter lim="800000"/>
                          <a:headEnd/>
                          <a:tailEnd/>
                        </a:ln>
                      </pic:spPr>
                    </pic:pic>
                  </a:graphicData>
                </a:graphic>
              </wp:inline>
            </w:drawing>
          </w:r>
        </w:p>
      </w:tc>
      <w:tc>
        <w:tcPr>
          <w:tcW w:w="5490" w:type="dxa"/>
          <w:vAlign w:val="bottom"/>
        </w:tcPr>
        <w:p w:rsidR="00F7352D" w:rsidRDefault="00F7352D">
          <w:pPr>
            <w:pStyle w:val="Heading2"/>
          </w:pPr>
          <w:r>
            <w:t>Caring for the Land and Serving People</w:t>
          </w:r>
        </w:p>
      </w:tc>
      <w:tc>
        <w:tcPr>
          <w:tcW w:w="2340" w:type="dxa"/>
          <w:vAlign w:val="bottom"/>
        </w:tcPr>
        <w:p w:rsidR="00F7352D" w:rsidRDefault="00F7352D">
          <w:pPr>
            <w:jc w:val="right"/>
          </w:pPr>
          <w:r>
            <w:rPr>
              <w:sz w:val="12"/>
            </w:rPr>
            <w:t>Printed on Recycled Paper</w:t>
          </w:r>
        </w:p>
      </w:tc>
      <w:tc>
        <w:tcPr>
          <w:tcW w:w="540" w:type="dxa"/>
          <w:vAlign w:val="bottom"/>
        </w:tcPr>
        <w:p w:rsidR="00F7352D" w:rsidRDefault="009039A3">
          <w:pPr>
            <w:jc w:val="right"/>
          </w:pPr>
          <w:r>
            <w:rPr>
              <w:noProof/>
            </w:rPr>
            <w:drawing>
              <wp:inline distT="0" distB="0" distL="0" distR="0">
                <wp:extent cx="200025" cy="200025"/>
                <wp:effectExtent l="0" t="0" r="9525" b="0"/>
                <wp:docPr id="3" name="Picture 3" descr="Recycle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ycleClipArt"/>
                        <pic:cNvPicPr>
                          <a:picLocks noChangeAspect="1" noChangeArrowheads="1"/>
                        </pic:cNvPicPr>
                      </pic:nvPicPr>
                      <pic:blipFill>
                        <a:blip r:embed="rId2"/>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r>
  </w:tbl>
  <w:p w:rsidR="00F7352D" w:rsidRPr="0003644A" w:rsidRDefault="00F7352D">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99F" w:rsidRDefault="00FF299F">
      <w:r>
        <w:separator/>
      </w:r>
    </w:p>
  </w:footnote>
  <w:footnote w:type="continuationSeparator" w:id="0">
    <w:p w:rsidR="00FF299F" w:rsidRDefault="00FF29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28" w:type="dxa"/>
      <w:tblInd w:w="378" w:type="dxa"/>
      <w:tblBorders>
        <w:bottom w:val="single" w:sz="4" w:space="0" w:color="auto"/>
        <w:insideH w:val="single" w:sz="4" w:space="0" w:color="auto"/>
      </w:tblBorders>
      <w:tblLook w:val="0000"/>
    </w:tblPr>
    <w:tblGrid>
      <w:gridCol w:w="1352"/>
      <w:gridCol w:w="2118"/>
      <w:gridCol w:w="1377"/>
      <w:gridCol w:w="2371"/>
      <w:gridCol w:w="2610"/>
    </w:tblGrid>
    <w:tr w:rsidR="00F7352D">
      <w:trPr>
        <w:cantSplit/>
      </w:trPr>
      <w:tc>
        <w:tcPr>
          <w:tcW w:w="1352" w:type="dxa"/>
        </w:tcPr>
        <w:p w:rsidR="00F7352D" w:rsidRDefault="009039A3">
          <w:pPr>
            <w:pStyle w:val="Header"/>
            <w:tabs>
              <w:tab w:val="clear" w:pos="4320"/>
              <w:tab w:val="clear" w:pos="8640"/>
            </w:tabs>
          </w:pPr>
          <w:r>
            <w:rPr>
              <w:noProof/>
            </w:rPr>
            <w:drawing>
              <wp:inline distT="0" distB="0" distL="0" distR="0">
                <wp:extent cx="457200" cy="457200"/>
                <wp:effectExtent l="19050" t="0" r="0" b="0"/>
                <wp:docPr id="1" name="Picture 1" descr="USD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Seal"/>
                        <pic:cNvPicPr>
                          <a:picLocks noChangeAspect="1" noChangeArrowheads="1"/>
                        </pic:cNvPicPr>
                      </pic:nvPicPr>
                      <pic:blipFill>
                        <a:blip r:embed="rId1"/>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2118" w:type="dxa"/>
        </w:tcPr>
        <w:p w:rsidR="00F7352D" w:rsidRDefault="00F7352D">
          <w:pPr>
            <w:rPr>
              <w:b/>
            </w:rPr>
          </w:pPr>
          <w:smartTag w:uri="urn:schemas-microsoft-com:office:smarttags" w:element="place">
            <w:smartTag w:uri="urn:schemas-microsoft-com:office:smarttags" w:element="country-region">
              <w:r>
                <w:rPr>
                  <w:b/>
                </w:rPr>
                <w:t>United States</w:t>
              </w:r>
            </w:smartTag>
          </w:smartTag>
        </w:p>
        <w:p w:rsidR="00F7352D" w:rsidRDefault="00F7352D">
          <w:pPr>
            <w:rPr>
              <w:b/>
            </w:rPr>
          </w:pPr>
          <w:r>
            <w:rPr>
              <w:b/>
            </w:rPr>
            <w:t>Department of</w:t>
          </w:r>
        </w:p>
        <w:p w:rsidR="00F7352D" w:rsidRDefault="00F7352D">
          <w:r>
            <w:rPr>
              <w:b/>
            </w:rPr>
            <w:t>Agriculture</w:t>
          </w:r>
        </w:p>
      </w:tc>
      <w:tc>
        <w:tcPr>
          <w:tcW w:w="1377" w:type="dxa"/>
        </w:tcPr>
        <w:p w:rsidR="00F7352D" w:rsidRDefault="00F7352D">
          <w:pPr>
            <w:rPr>
              <w:b/>
              <w:bCs/>
            </w:rPr>
          </w:pPr>
          <w:smartTag w:uri="urn:schemas-microsoft-com:office:smarttags" w:element="place">
            <w:r>
              <w:rPr>
                <w:b/>
                <w:bCs/>
              </w:rPr>
              <w:t>Forest</w:t>
            </w:r>
          </w:smartTag>
        </w:p>
        <w:p w:rsidR="00F7352D" w:rsidRDefault="00F7352D">
          <w:r>
            <w:rPr>
              <w:b/>
              <w:bCs/>
            </w:rPr>
            <w:t>Service</w:t>
          </w:r>
        </w:p>
      </w:tc>
      <w:tc>
        <w:tcPr>
          <w:tcW w:w="2371" w:type="dxa"/>
        </w:tcPr>
        <w:p w:rsidR="00F7352D" w:rsidRDefault="00F7352D">
          <w:pPr>
            <w:rPr>
              <w:b/>
              <w:bCs/>
            </w:rPr>
          </w:pPr>
          <w:smartTag w:uri="urn:schemas-microsoft-com:office:smarttags" w:element="place">
            <w:smartTag w:uri="urn:schemas-microsoft-com:office:smarttags" w:element="City">
              <w:r>
                <w:rPr>
                  <w:b/>
                  <w:bCs/>
                </w:rPr>
                <w:t>Missoula</w:t>
              </w:r>
            </w:smartTag>
          </w:smartTag>
          <w:r>
            <w:rPr>
              <w:b/>
              <w:bCs/>
            </w:rPr>
            <w:t xml:space="preserve"> Technology &amp;</w:t>
          </w:r>
        </w:p>
        <w:p w:rsidR="00F7352D" w:rsidRDefault="00F7352D">
          <w:pPr>
            <w:rPr>
              <w:b/>
              <w:bCs/>
            </w:rPr>
          </w:pPr>
          <w:r>
            <w:rPr>
              <w:b/>
              <w:bCs/>
            </w:rPr>
            <w:t xml:space="preserve">    </w:t>
          </w:r>
          <w:smartTag w:uri="urn:schemas-microsoft-com:office:smarttags" w:element="place">
            <w:smartTag w:uri="urn:schemas-microsoft-com:office:smarttags" w:element="PlaceName">
              <w:r>
                <w:rPr>
                  <w:b/>
                  <w:bCs/>
                </w:rPr>
                <w:t>Development</w:t>
              </w:r>
            </w:smartTag>
            <w:r>
              <w:rPr>
                <w:b/>
                <w:bCs/>
              </w:rPr>
              <w:t xml:space="preserve"> </w:t>
            </w:r>
            <w:smartTag w:uri="urn:schemas-microsoft-com:office:smarttags" w:element="PlaceType">
              <w:r>
                <w:rPr>
                  <w:b/>
                  <w:bCs/>
                </w:rPr>
                <w:t>Center</w:t>
              </w:r>
            </w:smartTag>
          </w:smartTag>
        </w:p>
      </w:tc>
      <w:tc>
        <w:tcPr>
          <w:tcW w:w="2610" w:type="dxa"/>
        </w:tcPr>
        <w:p w:rsidR="00F7352D" w:rsidRDefault="00F7352D">
          <w:pPr>
            <w:jc w:val="right"/>
            <w:rPr>
              <w:b/>
              <w:bCs/>
            </w:rPr>
          </w:pPr>
          <w:r>
            <w:rPr>
              <w:b/>
              <w:bCs/>
            </w:rPr>
            <w:t>5785 Highway 10 West</w:t>
          </w:r>
        </w:p>
        <w:p w:rsidR="00F7352D" w:rsidRDefault="00F7352D">
          <w:pPr>
            <w:jc w:val="right"/>
            <w:rPr>
              <w:b/>
              <w:bCs/>
            </w:rPr>
          </w:pPr>
          <w:smartTag w:uri="urn:schemas-microsoft-com:office:smarttags" w:element="place">
            <w:smartTag w:uri="urn:schemas-microsoft-com:office:smarttags" w:element="City">
              <w:r>
                <w:rPr>
                  <w:b/>
                  <w:bCs/>
                </w:rPr>
                <w:t>Missoula</w:t>
              </w:r>
            </w:smartTag>
            <w:r>
              <w:rPr>
                <w:b/>
                <w:bCs/>
              </w:rPr>
              <w:t xml:space="preserve">, </w:t>
            </w:r>
            <w:smartTag w:uri="urn:schemas-microsoft-com:office:smarttags" w:element="State">
              <w:r>
                <w:rPr>
                  <w:b/>
                  <w:bCs/>
                </w:rPr>
                <w:t>MT</w:t>
              </w:r>
            </w:smartTag>
            <w:r>
              <w:rPr>
                <w:b/>
                <w:bCs/>
              </w:rPr>
              <w:t xml:space="preserve">   </w:t>
            </w:r>
            <w:smartTag w:uri="urn:schemas-microsoft-com:office:smarttags" w:element="PostalCode">
              <w:r>
                <w:rPr>
                  <w:b/>
                  <w:bCs/>
                </w:rPr>
                <w:t>59808</w:t>
              </w:r>
            </w:smartTag>
          </w:smartTag>
        </w:p>
      </w:tc>
    </w:tr>
  </w:tbl>
  <w:p w:rsidR="00F7352D" w:rsidRDefault="00F735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A294E"/>
    <w:multiLevelType w:val="hybridMultilevel"/>
    <w:tmpl w:val="C144EC70"/>
    <w:lvl w:ilvl="0" w:tplc="04090005">
      <w:start w:val="1"/>
      <w:numFmt w:val="bullet"/>
      <w:lvlText w:val=""/>
      <w:lvlJc w:val="left"/>
      <w:pPr>
        <w:tabs>
          <w:tab w:val="num" w:pos="1350"/>
        </w:tabs>
        <w:ind w:left="1350" w:hanging="360"/>
      </w:pPr>
      <w:rPr>
        <w:rFonts w:ascii="Wingdings" w:hAnsi="Wingdings"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
    <w:nsid w:val="708153A5"/>
    <w:multiLevelType w:val="hybridMultilevel"/>
    <w:tmpl w:val="60FE6B08"/>
    <w:lvl w:ilvl="0" w:tplc="04090005">
      <w:start w:val="1"/>
      <w:numFmt w:val="bullet"/>
      <w:lvlText w:val=""/>
      <w:lvlJc w:val="left"/>
      <w:pPr>
        <w:tabs>
          <w:tab w:val="num" w:pos="1350"/>
        </w:tabs>
        <w:ind w:left="1350" w:hanging="360"/>
      </w:pPr>
      <w:rPr>
        <w:rFonts w:ascii="Wingdings" w:hAnsi="Wingdings"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efaultTabStop w:val="720"/>
  <w:displayHorizontalDrawingGridEvery w:val="0"/>
  <w:displayVerticalDrawingGridEvery w:val="0"/>
  <w:doNotUseMarginsForDrawingGridOrigin/>
  <w:doNotShadeFormData/>
  <w:noPunctuationKerning/>
  <w:characterSpacingControl w:val="doNotCompress"/>
  <w:hdrShapeDefaults>
    <o:shapedefaults v:ext="edit" spidmax="12290"/>
  </w:hdrShapeDefaults>
  <w:footnotePr>
    <w:footnote w:id="-1"/>
    <w:footnote w:id="0"/>
  </w:footnotePr>
  <w:endnotePr>
    <w:endnote w:id="-1"/>
    <w:endnote w:id="0"/>
  </w:endnotePr>
  <w:compat/>
  <w:rsids>
    <w:rsidRoot w:val="00A83D61"/>
    <w:rsid w:val="000176A6"/>
    <w:rsid w:val="0003644A"/>
    <w:rsid w:val="00134DB0"/>
    <w:rsid w:val="00167E50"/>
    <w:rsid w:val="0031357A"/>
    <w:rsid w:val="0039708B"/>
    <w:rsid w:val="003D622F"/>
    <w:rsid w:val="00427FBE"/>
    <w:rsid w:val="004F3C0E"/>
    <w:rsid w:val="0053339F"/>
    <w:rsid w:val="005845AD"/>
    <w:rsid w:val="00600D9B"/>
    <w:rsid w:val="00671A5A"/>
    <w:rsid w:val="008567B5"/>
    <w:rsid w:val="008A759D"/>
    <w:rsid w:val="009039A3"/>
    <w:rsid w:val="00912121"/>
    <w:rsid w:val="00A83D61"/>
    <w:rsid w:val="00B3535A"/>
    <w:rsid w:val="00B76270"/>
    <w:rsid w:val="00B9761A"/>
    <w:rsid w:val="00F7352D"/>
    <w:rsid w:val="00FE576F"/>
    <w:rsid w:val="00FF2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5AD"/>
  </w:style>
  <w:style w:type="paragraph" w:styleId="Heading1">
    <w:name w:val="heading 1"/>
    <w:basedOn w:val="Normal"/>
    <w:next w:val="Normal"/>
    <w:qFormat/>
    <w:rsid w:val="005845AD"/>
    <w:pPr>
      <w:keepNext/>
      <w:outlineLvl w:val="0"/>
    </w:pPr>
    <w:rPr>
      <w:b/>
    </w:rPr>
  </w:style>
  <w:style w:type="paragraph" w:styleId="Heading2">
    <w:name w:val="heading 2"/>
    <w:basedOn w:val="Normal"/>
    <w:next w:val="Normal"/>
    <w:qFormat/>
    <w:rsid w:val="005845AD"/>
    <w:pPr>
      <w:keepNext/>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45AD"/>
    <w:pPr>
      <w:tabs>
        <w:tab w:val="center" w:pos="4320"/>
        <w:tab w:val="right" w:pos="8640"/>
      </w:tabs>
    </w:pPr>
  </w:style>
  <w:style w:type="paragraph" w:styleId="Footer">
    <w:name w:val="footer"/>
    <w:basedOn w:val="Normal"/>
    <w:rsid w:val="005845AD"/>
    <w:pPr>
      <w:tabs>
        <w:tab w:val="center" w:pos="4320"/>
        <w:tab w:val="right" w:pos="8640"/>
      </w:tabs>
    </w:pPr>
  </w:style>
  <w:style w:type="paragraph" w:customStyle="1" w:styleId="Cell">
    <w:name w:val="Cell"/>
    <w:basedOn w:val="Normal"/>
    <w:rsid w:val="005845AD"/>
    <w:pPr>
      <w:widowControl w:val="0"/>
      <w:autoSpaceDE w:val="0"/>
      <w:autoSpaceDN w:val="0"/>
    </w:pPr>
    <w:rPr>
      <w:noProof/>
      <w:color w:val="000000"/>
      <w:szCs w:val="24"/>
    </w:rPr>
  </w:style>
  <w:style w:type="paragraph" w:customStyle="1" w:styleId="Paragraph">
    <w:name w:val="Paragraph"/>
    <w:basedOn w:val="Normal"/>
    <w:rsid w:val="005845AD"/>
    <w:pPr>
      <w:widowControl w:val="0"/>
      <w:autoSpaceDE w:val="0"/>
      <w:autoSpaceDN w:val="0"/>
      <w:spacing w:after="172"/>
    </w:pPr>
    <w:rPr>
      <w:noProof/>
      <w:color w:val="000000"/>
      <w:szCs w:val="24"/>
    </w:rPr>
  </w:style>
  <w:style w:type="paragraph" w:styleId="Signature">
    <w:name w:val="Signature"/>
    <w:basedOn w:val="Normal"/>
    <w:rsid w:val="005845AD"/>
    <w:pPr>
      <w:widowControl w:val="0"/>
      <w:autoSpaceDE w:val="0"/>
      <w:autoSpaceDN w:val="0"/>
    </w:pPr>
    <w:rPr>
      <w:noProof/>
      <w:color w:val="000000"/>
      <w:szCs w:val="24"/>
    </w:rPr>
  </w:style>
  <w:style w:type="paragraph" w:styleId="BodyTextIndent">
    <w:name w:val="Body Text Indent"/>
    <w:basedOn w:val="Normal"/>
    <w:rsid w:val="005845AD"/>
    <w:pPr>
      <w:ind w:left="630"/>
    </w:pPr>
    <w:rPr>
      <w:sz w:val="22"/>
    </w:rPr>
  </w:style>
  <w:style w:type="paragraph" w:styleId="BalloonText">
    <w:name w:val="Balloon Text"/>
    <w:basedOn w:val="Normal"/>
    <w:semiHidden/>
    <w:rsid w:val="00B76270"/>
    <w:rPr>
      <w:rFonts w:ascii="Tahoma" w:hAnsi="Tahoma" w:cs="Tahoma"/>
      <w:sz w:val="16"/>
      <w:szCs w:val="16"/>
    </w:rPr>
  </w:style>
  <w:style w:type="character" w:styleId="Hyperlink">
    <w:name w:val="Hyperlink"/>
    <w:basedOn w:val="DefaultParagraphFont"/>
    <w:rsid w:val="004F3C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s.fed.us/rm/fi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File Code:</vt:lpstr>
    </vt:vector>
  </TitlesOfParts>
  <Company>USDA FOREST SERVICE</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Code:</dc:title>
  <dc:subject/>
  <dc:creator>USDA FOREST SERVICE</dc:creator>
  <cp:keywords/>
  <cp:lastModifiedBy>cjohnson12</cp:lastModifiedBy>
  <cp:revision>6</cp:revision>
  <cp:lastPrinted>2009-02-24T16:45:00Z</cp:lastPrinted>
  <dcterms:created xsi:type="dcterms:W3CDTF">2012-02-07T23:31:00Z</dcterms:created>
  <dcterms:modified xsi:type="dcterms:W3CDTF">2012-02-16T16:00:00Z</dcterms:modified>
</cp:coreProperties>
</file>