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86" w:rsidRDefault="008C7F86">
      <w:pPr>
        <w:widowControl/>
        <w:tabs>
          <w:tab w:val="center" w:pos="4680"/>
        </w:tabs>
        <w:rPr>
          <w:rFonts w:ascii="Times New Roman" w:hAnsi="Times New Roman"/>
        </w:rPr>
      </w:pPr>
      <w:r>
        <w:rPr>
          <w:rFonts w:ascii="Times New Roman" w:hAnsi="Times New Roman"/>
        </w:rPr>
        <w:tab/>
      </w:r>
      <w:r>
        <w:rPr>
          <w:rFonts w:ascii="Times New Roman" w:hAnsi="Times New Roman"/>
          <w:b/>
          <w:bCs/>
        </w:rPr>
        <w:t xml:space="preserve">Supporting Statement </w:t>
      </w:r>
      <w:r w:rsidR="0026173F">
        <w:rPr>
          <w:rFonts w:ascii="Times New Roman" w:hAnsi="Times New Roman"/>
          <w:b/>
          <w:bCs/>
        </w:rPr>
        <w:t xml:space="preserve">Part A </w:t>
      </w:r>
      <w:r>
        <w:rPr>
          <w:rFonts w:ascii="Times New Roman" w:hAnsi="Times New Roman"/>
          <w:b/>
          <w:bCs/>
        </w:rPr>
        <w:t>for Paperwork Reduction Act Submission</w:t>
      </w:r>
    </w:p>
    <w:p w:rsidR="008C7F86" w:rsidRDefault="008C7F86">
      <w:pPr>
        <w:widowControl/>
        <w:rPr>
          <w:rFonts w:ascii="Times New Roman" w:hAnsi="Times New Roman"/>
        </w:rPr>
      </w:pPr>
    </w:p>
    <w:p w:rsidR="008C7F86" w:rsidRDefault="008C7F86">
      <w:pPr>
        <w:widowControl/>
        <w:rPr>
          <w:rFonts w:ascii="Times New Roman" w:hAnsi="Times New Roman"/>
          <w:b/>
          <w:bCs/>
        </w:rPr>
      </w:pPr>
    </w:p>
    <w:p w:rsidR="008C7F86" w:rsidRDefault="008C7F86">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p>
    <w:p w:rsidR="008C7F86" w:rsidRDefault="008C7F86">
      <w:pPr>
        <w:widowControl/>
        <w:rPr>
          <w:rFonts w:ascii="Times New Roman" w:hAnsi="Times New Roman"/>
        </w:rPr>
      </w:pPr>
    </w:p>
    <w:p w:rsidR="008C7F86" w:rsidRDefault="008C7F86">
      <w:pPr>
        <w:widowControl/>
        <w:rPr>
          <w:rFonts w:ascii="Times New Roman" w:hAnsi="Times New Roman"/>
        </w:rPr>
      </w:pPr>
      <w:r>
        <w:rPr>
          <w:rFonts w:ascii="Times New Roman" w:hAnsi="Times New Roman"/>
          <w:b/>
          <w:bCs/>
        </w:rPr>
        <w:t>TITLE:</w:t>
      </w:r>
      <w:r>
        <w:rPr>
          <w:rFonts w:ascii="Times New Roman" w:hAnsi="Times New Roman"/>
        </w:rPr>
        <w:tab/>
        <w:t>Survey of Nonparticipating Sin</w:t>
      </w:r>
      <w:r w:rsidR="00DC6995">
        <w:rPr>
          <w:rFonts w:ascii="Times New Roman" w:hAnsi="Times New Roman"/>
        </w:rPr>
        <w:t>gle Premium Group Annuity Rates</w:t>
      </w:r>
    </w:p>
    <w:p w:rsidR="008C7F86" w:rsidRDefault="008C7F86">
      <w:pPr>
        <w:widowControl/>
        <w:rPr>
          <w:rFonts w:ascii="Times New Roman" w:hAnsi="Times New Roman"/>
        </w:rPr>
      </w:pPr>
    </w:p>
    <w:p w:rsidR="008C7F86" w:rsidRDefault="008C7F86">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 xml:space="preserve">Request for regular review and extension of currently approved collection (OMB control number 1212-0030; expires </w:t>
      </w:r>
      <w:r w:rsidR="00311A57">
        <w:rPr>
          <w:rFonts w:ascii="Times New Roman" w:hAnsi="Times New Roman"/>
        </w:rPr>
        <w:t>March 31, 20</w:t>
      </w:r>
      <w:r w:rsidR="00E36574">
        <w:rPr>
          <w:rFonts w:ascii="Times New Roman" w:hAnsi="Times New Roman"/>
        </w:rPr>
        <w:t>12</w:t>
      </w:r>
      <w:r w:rsidR="00DC6995">
        <w:rPr>
          <w:rFonts w:ascii="Times New Roman" w:hAnsi="Times New Roman"/>
        </w:rPr>
        <w:t>)</w:t>
      </w:r>
    </w:p>
    <w:p w:rsidR="008C7F86" w:rsidRDefault="008C7F86">
      <w:pPr>
        <w:widowControl/>
        <w:rPr>
          <w:rFonts w:ascii="Times New Roman" w:hAnsi="Times New Roman"/>
        </w:rPr>
      </w:pPr>
    </w:p>
    <w:p w:rsidR="008C7F86" w:rsidRDefault="008C7F86">
      <w:pPr>
        <w:widowControl/>
        <w:rPr>
          <w:rFonts w:ascii="Times New Roman" w:hAnsi="Times New Roman"/>
        </w:rPr>
      </w:pPr>
      <w:r>
        <w:rPr>
          <w:rFonts w:ascii="Times New Roman" w:hAnsi="Times New Roman"/>
          <w:b/>
          <w:bCs/>
        </w:rPr>
        <w:t>CONTACT:</w:t>
      </w:r>
      <w:r>
        <w:rPr>
          <w:rFonts w:ascii="Times New Roman" w:hAnsi="Times New Roman"/>
        </w:rPr>
        <w:tab/>
      </w:r>
      <w:r w:rsidR="001A0FEA">
        <w:rPr>
          <w:rFonts w:ascii="Times New Roman" w:hAnsi="Times New Roman"/>
        </w:rPr>
        <w:t>Catherine B. Klion</w:t>
      </w:r>
      <w:r>
        <w:rPr>
          <w:rFonts w:ascii="Times New Roman" w:hAnsi="Times New Roman"/>
        </w:rPr>
        <w:t xml:space="preserve"> or Thomas H. Gabriel (</w:t>
      </w:r>
      <w:r w:rsidR="00311A57">
        <w:rPr>
          <w:rFonts w:ascii="Times New Roman" w:hAnsi="Times New Roman"/>
        </w:rPr>
        <w:t xml:space="preserve">202 </w:t>
      </w:r>
      <w:r>
        <w:rPr>
          <w:rFonts w:ascii="Times New Roman" w:hAnsi="Times New Roman"/>
        </w:rPr>
        <w:t>326-4024)</w:t>
      </w:r>
    </w:p>
    <w:p w:rsidR="008C7F86" w:rsidRDefault="008C7F86">
      <w:pPr>
        <w:widowControl/>
        <w:rPr>
          <w:rFonts w:ascii="Times New Roman" w:hAnsi="Times New Roman"/>
        </w:rPr>
      </w:pPr>
    </w:p>
    <w:p w:rsidR="008C7F86" w:rsidRDefault="008C7F86">
      <w:pPr>
        <w:widowControl/>
        <w:rPr>
          <w:rFonts w:ascii="Times New Roman" w:hAnsi="Times New Roman"/>
        </w:rPr>
      </w:pPr>
    </w:p>
    <w:p w:rsidR="008C7F86" w:rsidRDefault="008C7F86">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The Pension Benefit Guaranty Corporation's regulations prescribe actuarial valuation methods and assumptions (including interest rate assumptions) to be used in determining the actuarial present value of benefits under single</w:t>
      </w:r>
      <w:r w:rsidR="0035022B">
        <w:rPr>
          <w:rFonts w:ascii="Times New Roman" w:hAnsi="Times New Roman"/>
        </w:rPr>
        <w:t>-</w:t>
      </w:r>
      <w:r>
        <w:rPr>
          <w:rFonts w:ascii="Times New Roman" w:hAnsi="Times New Roman"/>
        </w:rPr>
        <w:t xml:space="preserve">employer plans that terminate (29 CFR Part 4044) and under multiemployer plans that undergo a mass withdrawal of contributing employers (29 CFR Part 4281).  Each month </w:t>
      </w:r>
      <w:r w:rsidR="00111DB5">
        <w:rPr>
          <w:rFonts w:ascii="Times New Roman" w:hAnsi="Times New Roman"/>
        </w:rPr>
        <w:t>PBGC</w:t>
      </w:r>
      <w:r>
        <w:rPr>
          <w:rFonts w:ascii="Times New Roman" w:hAnsi="Times New Roman"/>
        </w:rPr>
        <w:t xml:space="preserve"> publishes the interest rates to be used under those regulations for plans terminating or undergoing mass wit</w:t>
      </w:r>
      <w:r w:rsidR="00DC6995">
        <w:rPr>
          <w:rFonts w:ascii="Times New Roman" w:hAnsi="Times New Roman"/>
        </w:rPr>
        <w:t>hdrawal during the next month.</w:t>
      </w:r>
    </w:p>
    <w:p w:rsidR="008C7F86" w:rsidRDefault="008C7F86">
      <w:pPr>
        <w:widowControl/>
        <w:spacing w:line="480" w:lineRule="auto"/>
        <w:ind w:firstLine="720"/>
        <w:rPr>
          <w:rFonts w:ascii="Times New Roman" w:hAnsi="Times New Roman"/>
        </w:rPr>
      </w:pPr>
      <w:r>
        <w:rPr>
          <w:rFonts w:ascii="Times New Roman" w:hAnsi="Times New Roman"/>
        </w:rPr>
        <w:t xml:space="preserve">The interest rates are intended to reflect current conditions in the annuity markets.  To determine these interest rates, pricing data </w:t>
      </w:r>
      <w:r w:rsidR="00A2396C">
        <w:rPr>
          <w:rFonts w:ascii="Times New Roman" w:hAnsi="Times New Roman"/>
        </w:rPr>
        <w:t xml:space="preserve">is obtained </w:t>
      </w:r>
      <w:r>
        <w:rPr>
          <w:rFonts w:ascii="Times New Roman" w:hAnsi="Times New Roman"/>
        </w:rPr>
        <w:t xml:space="preserve">from insurance companies that </w:t>
      </w:r>
      <w:r w:rsidR="002B0A69">
        <w:rPr>
          <w:rFonts w:ascii="Times New Roman" w:hAnsi="Times New Roman"/>
        </w:rPr>
        <w:t xml:space="preserve">provide single premium annuities </w:t>
      </w:r>
      <w:r>
        <w:rPr>
          <w:rFonts w:ascii="Times New Roman" w:hAnsi="Times New Roman"/>
        </w:rPr>
        <w:t xml:space="preserve">through a quarterly "Survey of Nonparticipating Single Premium Group Annuity Rates."  (The survey is supplemented periodically with questions to determine the mortality and loading assumptions on which the annuity rates are based.  The response time for these supplemental questions is considered negligible in relation to the response time for the basic rate survey questions.)  The survey is sent out by the American Council of Life Insurers </w:t>
      </w:r>
      <w:r>
        <w:rPr>
          <w:rFonts w:ascii="Times New Roman" w:hAnsi="Times New Roman"/>
        </w:rPr>
        <w:lastRenderedPageBreak/>
        <w:t>(ACLI)</w:t>
      </w:r>
      <w:r w:rsidR="00A2396C">
        <w:rPr>
          <w:rFonts w:ascii="Times New Roman" w:hAnsi="Times New Roman"/>
        </w:rPr>
        <w:t xml:space="preserve">, and survey forms are returned to </w:t>
      </w:r>
      <w:r w:rsidR="00BE15D3">
        <w:rPr>
          <w:rFonts w:ascii="Times New Roman" w:hAnsi="Times New Roman"/>
        </w:rPr>
        <w:t xml:space="preserve">the </w:t>
      </w:r>
      <w:r w:rsidR="00A2396C">
        <w:rPr>
          <w:rFonts w:ascii="Times New Roman" w:hAnsi="Times New Roman"/>
        </w:rPr>
        <w:t>ACLI</w:t>
      </w:r>
      <w:r w:rsidR="00177925">
        <w:rPr>
          <w:rFonts w:ascii="Times New Roman" w:hAnsi="Times New Roman"/>
        </w:rPr>
        <w:t>.  The</w:t>
      </w:r>
      <w:r w:rsidR="00A2396C">
        <w:rPr>
          <w:rFonts w:ascii="Times New Roman" w:hAnsi="Times New Roman"/>
        </w:rPr>
        <w:t xml:space="preserve"> ACLI</w:t>
      </w:r>
      <w:r w:rsidR="00BE15D3">
        <w:rPr>
          <w:rFonts w:ascii="Times New Roman" w:hAnsi="Times New Roman"/>
        </w:rPr>
        <w:t xml:space="preserve"> then forwards the survey forms to PBGC</w:t>
      </w:r>
      <w:r w:rsidR="00FA31D9">
        <w:rPr>
          <w:rFonts w:ascii="Times New Roman" w:hAnsi="Times New Roman"/>
        </w:rPr>
        <w:t xml:space="preserve">. </w:t>
      </w:r>
    </w:p>
    <w:p w:rsidR="008C7F86" w:rsidRDefault="008C7F86">
      <w:pPr>
        <w:widowControl/>
        <w:spacing w:line="480" w:lineRule="auto"/>
        <w:ind w:firstLine="720"/>
        <w:rPr>
          <w:rFonts w:ascii="Times New Roman" w:hAnsi="Times New Roman"/>
        </w:rPr>
      </w:pPr>
      <w:r>
        <w:rPr>
          <w:rFonts w:ascii="Times New Roman" w:hAnsi="Times New Roman"/>
        </w:rPr>
        <w:t xml:space="preserve">2.  </w:t>
      </w:r>
      <w:r>
        <w:rPr>
          <w:rFonts w:ascii="Times New Roman" w:hAnsi="Times New Roman"/>
          <w:u w:val="single"/>
        </w:rPr>
        <w:t>Use of information</w:t>
      </w:r>
      <w:r>
        <w:rPr>
          <w:rFonts w:ascii="Times New Roman" w:hAnsi="Times New Roman"/>
        </w:rPr>
        <w:t xml:space="preserve">.  </w:t>
      </w:r>
      <w:r w:rsidR="00302F28">
        <w:rPr>
          <w:rFonts w:ascii="Times New Roman" w:hAnsi="Times New Roman"/>
        </w:rPr>
        <w:t>PBGC uses the</w:t>
      </w:r>
      <w:r>
        <w:rPr>
          <w:rFonts w:ascii="Times New Roman" w:hAnsi="Times New Roman"/>
        </w:rPr>
        <w:t xml:space="preserve"> </w:t>
      </w:r>
      <w:r w:rsidR="008F3E62">
        <w:rPr>
          <w:rFonts w:ascii="Times New Roman" w:hAnsi="Times New Roman"/>
        </w:rPr>
        <w:t xml:space="preserve">survey </w:t>
      </w:r>
      <w:r>
        <w:rPr>
          <w:rFonts w:ascii="Times New Roman" w:hAnsi="Times New Roman"/>
        </w:rPr>
        <w:t xml:space="preserve">information in determining the interest rate assumptions that it prescribes under its regulations on the valuation of benefits under pension plans that are terminating or that have undergone a mass withdrawal of contributing employers (29 CFR Parts 4044 and 4281).  </w:t>
      </w:r>
      <w:r w:rsidR="00302F28">
        <w:rPr>
          <w:rFonts w:ascii="Times New Roman" w:hAnsi="Times New Roman"/>
        </w:rPr>
        <w:t>PBGC also uses t</w:t>
      </w:r>
      <w:r>
        <w:rPr>
          <w:rFonts w:ascii="Times New Roman" w:hAnsi="Times New Roman"/>
        </w:rPr>
        <w:t xml:space="preserve">he information in determining the interest rates it uses to value benefits payable </w:t>
      </w:r>
      <w:r w:rsidR="00F5535D">
        <w:rPr>
          <w:rFonts w:ascii="Times New Roman" w:hAnsi="Times New Roman"/>
        </w:rPr>
        <w:t>to participants</w:t>
      </w:r>
      <w:r>
        <w:rPr>
          <w:rFonts w:ascii="Times New Roman" w:hAnsi="Times New Roman"/>
        </w:rPr>
        <w:t xml:space="preserve"> and beneficiaries in PBGC</w:t>
      </w:r>
      <w:r>
        <w:rPr>
          <w:rFonts w:ascii="Times New Roman" w:hAnsi="Times New Roman"/>
        </w:rPr>
        <w:noBreakHyphen/>
        <w:t xml:space="preserve">trusteed plans for purposes of </w:t>
      </w:r>
      <w:r w:rsidR="00111DB5">
        <w:rPr>
          <w:rFonts w:ascii="Times New Roman" w:hAnsi="Times New Roman"/>
        </w:rPr>
        <w:t>PBGC</w:t>
      </w:r>
      <w:r>
        <w:rPr>
          <w:rFonts w:ascii="Times New Roman" w:hAnsi="Times New Roman"/>
        </w:rPr>
        <w:t>’s financial statements.  If the survey</w:t>
      </w:r>
      <w:r w:rsidR="00205B37">
        <w:rPr>
          <w:rFonts w:ascii="Times New Roman" w:hAnsi="Times New Roman"/>
        </w:rPr>
        <w:t>s</w:t>
      </w:r>
      <w:r>
        <w:rPr>
          <w:rFonts w:ascii="Times New Roman" w:hAnsi="Times New Roman"/>
        </w:rPr>
        <w:t xml:space="preserve"> </w:t>
      </w:r>
      <w:r w:rsidR="00205B37">
        <w:rPr>
          <w:rFonts w:ascii="Times New Roman" w:hAnsi="Times New Roman"/>
        </w:rPr>
        <w:t xml:space="preserve">were </w:t>
      </w:r>
      <w:r>
        <w:rPr>
          <w:rFonts w:ascii="Times New Roman" w:hAnsi="Times New Roman"/>
        </w:rPr>
        <w:t xml:space="preserve">not conducted, </w:t>
      </w:r>
      <w:r w:rsidR="00111DB5">
        <w:rPr>
          <w:rFonts w:ascii="Times New Roman" w:hAnsi="Times New Roman"/>
        </w:rPr>
        <w:t>PBGC</w:t>
      </w:r>
      <w:r>
        <w:rPr>
          <w:rFonts w:ascii="Times New Roman" w:hAnsi="Times New Roman"/>
        </w:rPr>
        <w:t xml:space="preserve"> would have to set these valuation rates without appropriate data on current con</w:t>
      </w:r>
      <w:r w:rsidR="00DC6995">
        <w:rPr>
          <w:rFonts w:ascii="Times New Roman" w:hAnsi="Times New Roman"/>
        </w:rPr>
        <w:t>ditions in the annuity market.</w:t>
      </w:r>
    </w:p>
    <w:p w:rsidR="008C7F86" w:rsidRDefault="008C7F86">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No consideration has been given to the use of improved information technology to reduce burden.  The number of respondents surveyed is too low to warrant the use of high technology.</w:t>
      </w:r>
    </w:p>
    <w:p w:rsidR="00311A57" w:rsidRDefault="008C7F86">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The information gathered by the ACLI also goes to the Internal Revenue Service.  One copy of the form goes to </w:t>
      </w:r>
      <w:r w:rsidR="00111DB5">
        <w:rPr>
          <w:rFonts w:ascii="Times New Roman" w:hAnsi="Times New Roman"/>
        </w:rPr>
        <w:t>PBGC</w:t>
      </w:r>
      <w:r>
        <w:rPr>
          <w:rFonts w:ascii="Times New Roman" w:hAnsi="Times New Roman"/>
        </w:rPr>
        <w:t>, and a second copy, with certain additional information, goes to the IRS.</w:t>
      </w:r>
      <w:r w:rsidR="00176722">
        <w:rPr>
          <w:rFonts w:ascii="Times New Roman" w:hAnsi="Times New Roman"/>
        </w:rPr>
        <w:t xml:space="preserve"> </w:t>
      </w:r>
      <w:r>
        <w:rPr>
          <w:rFonts w:ascii="Times New Roman" w:hAnsi="Times New Roman"/>
        </w:rPr>
        <w:t xml:space="preserve">The procedure </w:t>
      </w:r>
      <w:r w:rsidR="00617A92">
        <w:rPr>
          <w:rFonts w:ascii="Times New Roman" w:hAnsi="Times New Roman"/>
        </w:rPr>
        <w:t xml:space="preserve">is the </w:t>
      </w:r>
      <w:r>
        <w:rPr>
          <w:rFonts w:ascii="Times New Roman" w:hAnsi="Times New Roman"/>
        </w:rPr>
        <w:t xml:space="preserve">result </w:t>
      </w:r>
      <w:r w:rsidR="00617A92">
        <w:rPr>
          <w:rFonts w:ascii="Times New Roman" w:hAnsi="Times New Roman"/>
        </w:rPr>
        <w:t>o</w:t>
      </w:r>
      <w:r>
        <w:rPr>
          <w:rFonts w:ascii="Times New Roman" w:hAnsi="Times New Roman"/>
        </w:rPr>
        <w:t xml:space="preserve">f conferences between respondents and representatives of </w:t>
      </w:r>
      <w:r w:rsidR="00111DB5">
        <w:rPr>
          <w:rFonts w:ascii="Times New Roman" w:hAnsi="Times New Roman"/>
        </w:rPr>
        <w:t>PBGC</w:t>
      </w:r>
      <w:r>
        <w:rPr>
          <w:rFonts w:ascii="Times New Roman" w:hAnsi="Times New Roman"/>
        </w:rPr>
        <w:t xml:space="preserve"> and the IRS</w:t>
      </w:r>
      <w:r w:rsidR="00617A92">
        <w:rPr>
          <w:rFonts w:ascii="Times New Roman" w:hAnsi="Times New Roman"/>
        </w:rPr>
        <w:t>; it</w:t>
      </w:r>
      <w:r>
        <w:rPr>
          <w:rFonts w:ascii="Times New Roman" w:hAnsi="Times New Roman"/>
        </w:rPr>
        <w:t xml:space="preserve"> reflects respondents' preference to submit data separately to the two agencies.  </w:t>
      </w:r>
    </w:p>
    <w:p w:rsidR="008C7F86" w:rsidRDefault="008C7F86">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Inapplicable.</w:t>
      </w:r>
    </w:p>
    <w:p w:rsidR="008C7F86" w:rsidRDefault="008C7F86">
      <w:pPr>
        <w:widowControl/>
        <w:spacing w:line="480" w:lineRule="auto"/>
        <w:ind w:firstLine="720"/>
        <w:rPr>
          <w:rFonts w:ascii="Times New Roman" w:hAnsi="Times New Roman"/>
        </w:rPr>
      </w:pPr>
      <w:r>
        <w:rPr>
          <w:rFonts w:ascii="Times New Roman" w:hAnsi="Times New Roman"/>
        </w:rPr>
        <w:lastRenderedPageBreak/>
        <w:t xml:space="preserve">6.  </w:t>
      </w:r>
      <w:r>
        <w:rPr>
          <w:rFonts w:ascii="Times New Roman" w:hAnsi="Times New Roman"/>
          <w:u w:val="single"/>
        </w:rPr>
        <w:t>Consequence of reduced collection</w:t>
      </w:r>
      <w:r>
        <w:rPr>
          <w:rFonts w:ascii="Times New Roman" w:hAnsi="Times New Roman"/>
        </w:rPr>
        <w:t>.  If the survey w</w:t>
      </w:r>
      <w:r w:rsidR="00176722">
        <w:rPr>
          <w:rFonts w:ascii="Times New Roman" w:hAnsi="Times New Roman"/>
        </w:rPr>
        <w:t>as</w:t>
      </w:r>
      <w:r>
        <w:rPr>
          <w:rFonts w:ascii="Times New Roman" w:hAnsi="Times New Roman"/>
        </w:rPr>
        <w:t xml:space="preserve"> conducted less frequently, </w:t>
      </w:r>
      <w:r w:rsidR="00111DB5">
        <w:rPr>
          <w:rFonts w:ascii="Times New Roman" w:hAnsi="Times New Roman"/>
        </w:rPr>
        <w:t>PBGC</w:t>
      </w:r>
      <w:r>
        <w:rPr>
          <w:rFonts w:ascii="Times New Roman" w:hAnsi="Times New Roman"/>
        </w:rPr>
        <w:t>'s rates could not be as responsive as they now are to changes in conditions in the annuity market and thus would not as closely reflect cur</w:t>
      </w:r>
      <w:r w:rsidR="00DC6995">
        <w:rPr>
          <w:rFonts w:ascii="Times New Roman" w:hAnsi="Times New Roman"/>
        </w:rPr>
        <w:t>rent conditions in that market.</w:t>
      </w:r>
    </w:p>
    <w:p w:rsidR="00DC6995" w:rsidRDefault="008C7F86" w:rsidP="00311A57">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Consistency with guidelines</w:t>
      </w:r>
      <w:r>
        <w:rPr>
          <w:rFonts w:ascii="Times New Roman" w:hAnsi="Times New Roman"/>
        </w:rPr>
        <w:t>.  The collection of information is conducted in a manner consistent with the guidel</w:t>
      </w:r>
      <w:r w:rsidR="00DC6995">
        <w:rPr>
          <w:rFonts w:ascii="Times New Roman" w:hAnsi="Times New Roman"/>
        </w:rPr>
        <w:t>ines in 5 CFR § 1320.5(d)(2).</w:t>
      </w:r>
    </w:p>
    <w:p w:rsidR="008C7F86" w:rsidRDefault="008C7F86" w:rsidP="00311A57">
      <w:pPr>
        <w:widowControl/>
        <w:spacing w:line="480" w:lineRule="auto"/>
        <w:ind w:firstLine="720"/>
        <w:rPr>
          <w:rFonts w:ascii="Times New Roman" w:hAnsi="Times New Roman"/>
        </w:rPr>
      </w:pPr>
      <w:r>
        <w:rPr>
          <w:rFonts w:ascii="Times New Roman" w:hAnsi="Times New Roman"/>
        </w:rPr>
        <w:t xml:space="preserve">8.  </w:t>
      </w:r>
      <w:r>
        <w:rPr>
          <w:rFonts w:ascii="Times New Roman" w:hAnsi="Times New Roman"/>
          <w:u w:val="single"/>
        </w:rPr>
        <w:t>Outside input</w:t>
      </w:r>
      <w:r>
        <w:rPr>
          <w:rFonts w:ascii="Times New Roman" w:hAnsi="Times New Roman"/>
        </w:rPr>
        <w:t xml:space="preserve">.  The </w:t>
      </w:r>
      <w:r w:rsidR="00177925">
        <w:rPr>
          <w:rFonts w:ascii="Times New Roman" w:hAnsi="Times New Roman"/>
        </w:rPr>
        <w:t xml:space="preserve">ACLI distributes the </w:t>
      </w:r>
      <w:r>
        <w:rPr>
          <w:rFonts w:ascii="Times New Roman" w:hAnsi="Times New Roman"/>
        </w:rPr>
        <w:t xml:space="preserve">survey </w:t>
      </w:r>
      <w:r w:rsidR="00177925">
        <w:rPr>
          <w:rFonts w:ascii="Times New Roman" w:hAnsi="Times New Roman"/>
        </w:rPr>
        <w:t xml:space="preserve">forms to </w:t>
      </w:r>
      <w:r>
        <w:rPr>
          <w:rFonts w:ascii="Times New Roman" w:hAnsi="Times New Roman"/>
        </w:rPr>
        <w:t xml:space="preserve">insurance companies </w:t>
      </w:r>
      <w:r w:rsidR="00177925">
        <w:rPr>
          <w:rFonts w:ascii="Times New Roman" w:hAnsi="Times New Roman"/>
        </w:rPr>
        <w:t>most, or all, of which are members of the ACLI.  Participation in the quarterly surveys</w:t>
      </w:r>
      <w:r w:rsidR="004235D6">
        <w:rPr>
          <w:rFonts w:ascii="Times New Roman" w:hAnsi="Times New Roman"/>
        </w:rPr>
        <w:t xml:space="preserve"> is voluntary</w:t>
      </w:r>
      <w:r w:rsidR="00F5535D">
        <w:rPr>
          <w:rFonts w:ascii="Times New Roman" w:hAnsi="Times New Roman"/>
        </w:rPr>
        <w:t xml:space="preserve">. </w:t>
      </w:r>
      <w:r w:rsidR="00176722">
        <w:rPr>
          <w:rFonts w:ascii="Times New Roman" w:hAnsi="Times New Roman"/>
        </w:rPr>
        <w:t xml:space="preserve"> </w:t>
      </w:r>
      <w:r w:rsidR="00F5535D">
        <w:rPr>
          <w:rFonts w:ascii="Times New Roman" w:hAnsi="Times New Roman"/>
        </w:rPr>
        <w:t>The ACLI, in consultation with PBGC, prepared t</w:t>
      </w:r>
      <w:r>
        <w:rPr>
          <w:rFonts w:ascii="Times New Roman" w:hAnsi="Times New Roman"/>
        </w:rPr>
        <w:t>he survey forms and instructions</w:t>
      </w:r>
      <w:r w:rsidR="00F5535D">
        <w:rPr>
          <w:rFonts w:ascii="Times New Roman" w:hAnsi="Times New Roman"/>
        </w:rPr>
        <w:t xml:space="preserve">; they </w:t>
      </w:r>
      <w:r>
        <w:rPr>
          <w:rFonts w:ascii="Times New Roman" w:hAnsi="Times New Roman"/>
        </w:rPr>
        <w:t xml:space="preserve">reflect input from </w:t>
      </w:r>
      <w:r w:rsidR="00111DB5">
        <w:rPr>
          <w:rFonts w:ascii="Times New Roman" w:hAnsi="Times New Roman"/>
        </w:rPr>
        <w:t>PBGC</w:t>
      </w:r>
      <w:r>
        <w:rPr>
          <w:rFonts w:ascii="Times New Roman" w:hAnsi="Times New Roman"/>
        </w:rPr>
        <w:t>, the ACLI, and insurance company respondents.</w:t>
      </w:r>
    </w:p>
    <w:p w:rsidR="008C7F86" w:rsidRDefault="008C7F86">
      <w:pPr>
        <w:widowControl/>
        <w:spacing w:line="480" w:lineRule="auto"/>
        <w:ind w:firstLine="720"/>
        <w:rPr>
          <w:rFonts w:ascii="Times New Roman" w:hAnsi="Times New Roman"/>
        </w:rPr>
      </w:pPr>
      <w:r>
        <w:rPr>
          <w:rFonts w:ascii="Times New Roman" w:hAnsi="Times New Roman"/>
        </w:rPr>
        <w:t xml:space="preserve">On </w:t>
      </w:r>
      <w:r w:rsidR="00641E95">
        <w:rPr>
          <w:rFonts w:ascii="Times New Roman" w:hAnsi="Times New Roman"/>
        </w:rPr>
        <w:t>October 24</w:t>
      </w:r>
      <w:r w:rsidR="00F74367">
        <w:rPr>
          <w:rFonts w:ascii="Times New Roman" w:hAnsi="Times New Roman"/>
        </w:rPr>
        <w:t>, 201</w:t>
      </w:r>
      <w:r w:rsidR="00641E95">
        <w:rPr>
          <w:rFonts w:ascii="Times New Roman" w:hAnsi="Times New Roman"/>
        </w:rPr>
        <w:t>1</w:t>
      </w:r>
      <w:r>
        <w:rPr>
          <w:rFonts w:ascii="Times New Roman" w:hAnsi="Times New Roman"/>
        </w:rPr>
        <w:t xml:space="preserve"> (at 7</w:t>
      </w:r>
      <w:r w:rsidR="00641E95">
        <w:rPr>
          <w:rFonts w:ascii="Times New Roman" w:hAnsi="Times New Roman"/>
        </w:rPr>
        <w:t>6</w:t>
      </w:r>
      <w:r>
        <w:rPr>
          <w:rFonts w:ascii="Times New Roman" w:hAnsi="Times New Roman"/>
        </w:rPr>
        <w:t xml:space="preserve"> FR </w:t>
      </w:r>
      <w:r w:rsidR="00641E95">
        <w:rPr>
          <w:rFonts w:ascii="Times New Roman" w:hAnsi="Times New Roman"/>
        </w:rPr>
        <w:t>65755</w:t>
      </w:r>
      <w:r>
        <w:rPr>
          <w:rFonts w:ascii="Times New Roman" w:hAnsi="Times New Roman"/>
        </w:rPr>
        <w:t xml:space="preserve">), PBGC published a Federal Register notice informing the public of its intent to seek extension of OMB approval of this collection of information and soliciting public comment on the collection of information.  </w:t>
      </w:r>
      <w:r w:rsidR="00176722">
        <w:rPr>
          <w:rFonts w:ascii="Times New Roman" w:hAnsi="Times New Roman"/>
        </w:rPr>
        <w:t>PBGC received n</w:t>
      </w:r>
      <w:r>
        <w:rPr>
          <w:rFonts w:ascii="Times New Roman" w:hAnsi="Times New Roman"/>
        </w:rPr>
        <w:t>o comments.</w:t>
      </w:r>
    </w:p>
    <w:p w:rsidR="008C7F86" w:rsidRDefault="008C7F86">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 to respondents</w:t>
      </w:r>
      <w:r>
        <w:rPr>
          <w:rFonts w:ascii="Times New Roman" w:hAnsi="Times New Roman"/>
        </w:rPr>
        <w:t xml:space="preserve">.  PBGC provides no payments or gifts to </w:t>
      </w:r>
      <w:r w:rsidR="004235D6">
        <w:rPr>
          <w:rFonts w:ascii="Times New Roman" w:hAnsi="Times New Roman"/>
        </w:rPr>
        <w:t xml:space="preserve">the </w:t>
      </w:r>
      <w:r>
        <w:rPr>
          <w:rFonts w:ascii="Times New Roman" w:hAnsi="Times New Roman"/>
        </w:rPr>
        <w:t>ACLI or respondents in connection with this collection of information.</w:t>
      </w:r>
    </w:p>
    <w:p w:rsidR="008C7F86" w:rsidRDefault="008C7F86">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Respondents are assured of the anonymity of their responses, and the survey instructions state that the information provided will be used only for the purpose of setting actuarial assumptions for valuing pension plan benefits.  In addition, </w:t>
      </w:r>
      <w:r w:rsidR="00535897">
        <w:rPr>
          <w:rFonts w:ascii="Times New Roman" w:hAnsi="Times New Roman"/>
        </w:rPr>
        <w:t xml:space="preserve">ACLI conducts the survey </w:t>
      </w:r>
      <w:r>
        <w:rPr>
          <w:rFonts w:ascii="Times New Roman" w:hAnsi="Times New Roman"/>
        </w:rPr>
        <w:t xml:space="preserve">in such a manner that neither the ACLI nor PBGC knows which </w:t>
      </w:r>
      <w:r w:rsidR="004235D6">
        <w:rPr>
          <w:rFonts w:ascii="Times New Roman" w:hAnsi="Times New Roman"/>
        </w:rPr>
        <w:t xml:space="preserve">insurance companies have provided </w:t>
      </w:r>
      <w:r>
        <w:rPr>
          <w:rFonts w:ascii="Times New Roman" w:hAnsi="Times New Roman"/>
        </w:rPr>
        <w:t>which responses.  PBGC regards the information gathered through the survey as confidential under 5</w:t>
      </w:r>
      <w:r w:rsidR="00F36DD2">
        <w:rPr>
          <w:rFonts w:ascii="Times New Roman" w:hAnsi="Times New Roman"/>
        </w:rPr>
        <w:t xml:space="preserve"> </w:t>
      </w:r>
      <w:r>
        <w:rPr>
          <w:rFonts w:ascii="Times New Roman" w:hAnsi="Times New Roman"/>
        </w:rPr>
        <w:t>U</w:t>
      </w:r>
      <w:r w:rsidR="00753372">
        <w:rPr>
          <w:rFonts w:ascii="Times New Roman" w:hAnsi="Times New Roman"/>
        </w:rPr>
        <w:t>.</w:t>
      </w:r>
      <w:r>
        <w:rPr>
          <w:rFonts w:ascii="Times New Roman" w:hAnsi="Times New Roman"/>
        </w:rPr>
        <w:t>S</w:t>
      </w:r>
      <w:r w:rsidR="00753372">
        <w:rPr>
          <w:rFonts w:ascii="Times New Roman" w:hAnsi="Times New Roman"/>
        </w:rPr>
        <w:t>.</w:t>
      </w:r>
      <w:r>
        <w:rPr>
          <w:rFonts w:ascii="Times New Roman" w:hAnsi="Times New Roman"/>
        </w:rPr>
        <w:t>C</w:t>
      </w:r>
      <w:r w:rsidR="00753372">
        <w:rPr>
          <w:rFonts w:ascii="Times New Roman" w:hAnsi="Times New Roman"/>
        </w:rPr>
        <w:t>.</w:t>
      </w:r>
      <w:r>
        <w:rPr>
          <w:rFonts w:ascii="Times New Roman" w:hAnsi="Times New Roman"/>
        </w:rPr>
        <w:t xml:space="preserve"> </w:t>
      </w:r>
      <w:r w:rsidR="001A0FEA">
        <w:rPr>
          <w:rFonts w:ascii="Times New Roman" w:hAnsi="Times New Roman"/>
        </w:rPr>
        <w:t>section </w:t>
      </w:r>
      <w:r>
        <w:rPr>
          <w:rFonts w:ascii="Times New Roman" w:hAnsi="Times New Roman"/>
        </w:rPr>
        <w:t xml:space="preserve">552(b)(4) and 29 CFR </w:t>
      </w:r>
      <w:r w:rsidR="001A0FEA">
        <w:rPr>
          <w:rFonts w:ascii="Times New Roman" w:hAnsi="Times New Roman"/>
        </w:rPr>
        <w:t xml:space="preserve">§ </w:t>
      </w:r>
      <w:r>
        <w:rPr>
          <w:rFonts w:ascii="Times New Roman" w:hAnsi="Times New Roman"/>
        </w:rPr>
        <w:t>4901.21(b)(2), and believes that public disclosure of the information would make it difficult or impossible for PBGC to continue collecting the information and would thus impair the effectiveness of its program for setting actuarial assumptions for valuing pension plans.</w:t>
      </w:r>
    </w:p>
    <w:p w:rsidR="008C7F86" w:rsidRDefault="008C7F86">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Personal questions</w:t>
      </w:r>
      <w:r>
        <w:rPr>
          <w:rFonts w:ascii="Times New Roman" w:hAnsi="Times New Roman"/>
        </w:rPr>
        <w:t>.  The collection of information does not call for submission of information of a sensitive or private nature.</w:t>
      </w:r>
    </w:p>
    <w:p w:rsidR="008C7F86" w:rsidRDefault="008C7F86">
      <w:pPr>
        <w:widowControl/>
        <w:spacing w:line="480" w:lineRule="auto"/>
        <w:ind w:firstLine="720"/>
        <w:rPr>
          <w:rFonts w:ascii="Times New Roman" w:hAnsi="Times New Roman"/>
        </w:rPr>
      </w:pPr>
      <w:r>
        <w:rPr>
          <w:rFonts w:ascii="Times New Roman" w:hAnsi="Times New Roman"/>
        </w:rPr>
        <w:t xml:space="preserve">12.  </w:t>
      </w:r>
      <w:r>
        <w:rPr>
          <w:rFonts w:ascii="Times New Roman" w:hAnsi="Times New Roman"/>
          <w:u w:val="single"/>
        </w:rPr>
        <w:t>Hour burden on the public</w:t>
      </w:r>
      <w:r>
        <w:rPr>
          <w:rFonts w:ascii="Times New Roman" w:hAnsi="Times New Roman"/>
        </w:rPr>
        <w:t xml:space="preserve">.  Based on experience, PBGC </w:t>
      </w:r>
      <w:r w:rsidR="00205B37">
        <w:rPr>
          <w:rFonts w:ascii="Times New Roman" w:hAnsi="Times New Roman"/>
        </w:rPr>
        <w:t xml:space="preserve">expects </w:t>
      </w:r>
      <w:r>
        <w:rPr>
          <w:rFonts w:ascii="Times New Roman" w:hAnsi="Times New Roman"/>
        </w:rPr>
        <w:t xml:space="preserve">that </w:t>
      </w:r>
      <w:r w:rsidR="00205B37">
        <w:rPr>
          <w:rFonts w:ascii="Times New Roman" w:hAnsi="Times New Roman"/>
        </w:rPr>
        <w:t xml:space="preserve">over the next three years, </w:t>
      </w:r>
      <w:r>
        <w:rPr>
          <w:rFonts w:ascii="Times New Roman" w:hAnsi="Times New Roman"/>
        </w:rPr>
        <w:t xml:space="preserve">the ACLI will send the survey to about 22 insurance companies each quarter and that about </w:t>
      </w:r>
      <w:r w:rsidR="00535897">
        <w:rPr>
          <w:rFonts w:ascii="Times New Roman" w:hAnsi="Times New Roman"/>
        </w:rPr>
        <w:t>six</w:t>
      </w:r>
      <w:r>
        <w:rPr>
          <w:rFonts w:ascii="Times New Roman" w:hAnsi="Times New Roman"/>
        </w:rPr>
        <w:t xml:space="preserve"> insurance companies will complete and return the survey each quarter.  PBGC estimates </w:t>
      </w:r>
      <w:r w:rsidR="003C3B1C">
        <w:rPr>
          <w:rFonts w:ascii="Times New Roman" w:hAnsi="Times New Roman"/>
        </w:rPr>
        <w:t xml:space="preserve">that it will take ½ hour for each of </w:t>
      </w:r>
      <w:r w:rsidR="00F951C9">
        <w:rPr>
          <w:rFonts w:ascii="Times New Roman" w:hAnsi="Times New Roman"/>
        </w:rPr>
        <w:t xml:space="preserve">the </w:t>
      </w:r>
      <w:r w:rsidR="00535897">
        <w:rPr>
          <w:rFonts w:ascii="Times New Roman" w:hAnsi="Times New Roman"/>
        </w:rPr>
        <w:t>respondent</w:t>
      </w:r>
      <w:r w:rsidR="003C3B1C">
        <w:rPr>
          <w:rFonts w:ascii="Times New Roman" w:hAnsi="Times New Roman"/>
        </w:rPr>
        <w:t>s</w:t>
      </w:r>
      <w:r w:rsidR="00141A0F">
        <w:rPr>
          <w:rFonts w:ascii="Times New Roman" w:hAnsi="Times New Roman"/>
        </w:rPr>
        <w:t xml:space="preserve"> </w:t>
      </w:r>
      <w:r>
        <w:rPr>
          <w:rFonts w:ascii="Times New Roman" w:hAnsi="Times New Roman"/>
        </w:rPr>
        <w:t xml:space="preserve">to </w:t>
      </w:r>
      <w:r w:rsidR="00141A0F">
        <w:rPr>
          <w:rFonts w:ascii="Times New Roman" w:hAnsi="Times New Roman"/>
        </w:rPr>
        <w:t xml:space="preserve">respond to each </w:t>
      </w:r>
      <w:r w:rsidR="00F951C9">
        <w:rPr>
          <w:rFonts w:ascii="Times New Roman" w:hAnsi="Times New Roman"/>
        </w:rPr>
        <w:t xml:space="preserve">quarterly </w:t>
      </w:r>
      <w:r>
        <w:rPr>
          <w:rFonts w:ascii="Times New Roman" w:hAnsi="Times New Roman"/>
        </w:rPr>
        <w:t>survey</w:t>
      </w:r>
      <w:r w:rsidR="00F951C9">
        <w:rPr>
          <w:rFonts w:ascii="Times New Roman" w:hAnsi="Times New Roman"/>
        </w:rPr>
        <w:t>, or</w:t>
      </w:r>
      <w:r w:rsidR="003755C3">
        <w:rPr>
          <w:rFonts w:ascii="Times New Roman" w:hAnsi="Times New Roman"/>
        </w:rPr>
        <w:t xml:space="preserve"> </w:t>
      </w:r>
      <w:r w:rsidR="00141A0F">
        <w:rPr>
          <w:rFonts w:ascii="Times New Roman" w:hAnsi="Times New Roman"/>
        </w:rPr>
        <w:t>1</w:t>
      </w:r>
      <w:r w:rsidR="00DC21BB">
        <w:rPr>
          <w:rFonts w:ascii="Times New Roman" w:hAnsi="Times New Roman"/>
        </w:rPr>
        <w:t>2</w:t>
      </w:r>
      <w:r w:rsidR="00141A0F">
        <w:rPr>
          <w:rFonts w:ascii="Times New Roman" w:hAnsi="Times New Roman"/>
        </w:rPr>
        <w:t xml:space="preserve"> hours per year</w:t>
      </w:r>
      <w:r w:rsidR="003755C3">
        <w:rPr>
          <w:rFonts w:ascii="Times New Roman" w:hAnsi="Times New Roman"/>
        </w:rPr>
        <w:t xml:space="preserve"> (</w:t>
      </w:r>
      <w:r w:rsidR="00535897">
        <w:rPr>
          <w:rFonts w:ascii="Times New Roman" w:hAnsi="Times New Roman"/>
        </w:rPr>
        <w:t xml:space="preserve">6 </w:t>
      </w:r>
      <w:r w:rsidR="00615757">
        <w:rPr>
          <w:rFonts w:ascii="Times New Roman" w:hAnsi="Times New Roman"/>
        </w:rPr>
        <w:t xml:space="preserve">surveys </w:t>
      </w:r>
      <w:r w:rsidR="00141A0F">
        <w:rPr>
          <w:rFonts w:ascii="Times New Roman" w:hAnsi="Times New Roman"/>
        </w:rPr>
        <w:t>x</w:t>
      </w:r>
      <w:r w:rsidR="00615757">
        <w:rPr>
          <w:rFonts w:ascii="Times New Roman" w:hAnsi="Times New Roman"/>
        </w:rPr>
        <w:t xml:space="preserve"> </w:t>
      </w:r>
      <w:r w:rsidR="00141A0F">
        <w:rPr>
          <w:rFonts w:ascii="Times New Roman" w:hAnsi="Times New Roman"/>
        </w:rPr>
        <w:t>.</w:t>
      </w:r>
      <w:r w:rsidR="00DC21BB">
        <w:rPr>
          <w:rFonts w:ascii="Times New Roman" w:hAnsi="Times New Roman"/>
        </w:rPr>
        <w:t>50</w:t>
      </w:r>
      <w:r w:rsidR="00141A0F">
        <w:rPr>
          <w:rFonts w:ascii="Times New Roman" w:hAnsi="Times New Roman"/>
        </w:rPr>
        <w:t xml:space="preserve"> hour </w:t>
      </w:r>
      <w:r w:rsidR="00615757">
        <w:rPr>
          <w:rFonts w:ascii="Times New Roman" w:hAnsi="Times New Roman"/>
        </w:rPr>
        <w:t>x 4 quarters</w:t>
      </w:r>
      <w:r w:rsidR="003755C3">
        <w:rPr>
          <w:rFonts w:ascii="Times New Roman" w:hAnsi="Times New Roman"/>
        </w:rPr>
        <w:t>)</w:t>
      </w:r>
      <w:r>
        <w:rPr>
          <w:rFonts w:ascii="Times New Roman" w:hAnsi="Times New Roman"/>
        </w:rPr>
        <w:t>.</w:t>
      </w:r>
    </w:p>
    <w:p w:rsidR="008C7F86" w:rsidRDefault="008C7F86">
      <w:pPr>
        <w:widowControl/>
        <w:spacing w:line="480" w:lineRule="auto"/>
        <w:ind w:firstLine="720"/>
        <w:rPr>
          <w:rFonts w:ascii="Times New Roman" w:hAnsi="Times New Roman"/>
        </w:rPr>
      </w:pPr>
      <w:r>
        <w:rPr>
          <w:rFonts w:ascii="Times New Roman" w:hAnsi="Times New Roman"/>
        </w:rPr>
        <w:t xml:space="preserve">Accordingly, </w:t>
      </w:r>
      <w:r w:rsidR="00111DB5">
        <w:rPr>
          <w:rFonts w:ascii="Times New Roman" w:hAnsi="Times New Roman"/>
        </w:rPr>
        <w:t>PBGC</w:t>
      </w:r>
      <w:r>
        <w:rPr>
          <w:rFonts w:ascii="Times New Roman" w:hAnsi="Times New Roman"/>
        </w:rPr>
        <w:t xml:space="preserve"> estimates that the annual hour</w:t>
      </w:r>
      <w:r w:rsidR="00615757">
        <w:rPr>
          <w:rFonts w:ascii="Times New Roman" w:hAnsi="Times New Roman"/>
        </w:rPr>
        <w:t>ly</w:t>
      </w:r>
      <w:r>
        <w:rPr>
          <w:rFonts w:ascii="Times New Roman" w:hAnsi="Times New Roman"/>
        </w:rPr>
        <w:t xml:space="preserve"> burden of this collection of information </w:t>
      </w:r>
      <w:r w:rsidR="00205B37">
        <w:rPr>
          <w:rFonts w:ascii="Times New Roman" w:hAnsi="Times New Roman"/>
        </w:rPr>
        <w:t xml:space="preserve">will be </w:t>
      </w:r>
      <w:r w:rsidR="00DC21BB">
        <w:rPr>
          <w:rFonts w:ascii="Times New Roman" w:hAnsi="Times New Roman"/>
        </w:rPr>
        <w:t>12</w:t>
      </w:r>
      <w:r>
        <w:rPr>
          <w:rFonts w:ascii="Times New Roman" w:hAnsi="Times New Roman"/>
        </w:rPr>
        <w:t xml:space="preserve"> hours.  </w:t>
      </w:r>
    </w:p>
    <w:p w:rsidR="0076159E" w:rsidRDefault="0076159E" w:rsidP="0076159E">
      <w:pPr>
        <w:widowControl/>
        <w:spacing w:line="480" w:lineRule="auto"/>
        <w:ind w:firstLine="720"/>
        <w:rPr>
          <w:rFonts w:ascii="Times New Roman" w:hAnsi="Times New Roman"/>
        </w:rPr>
      </w:pPr>
      <w:r>
        <w:rPr>
          <w:rFonts w:ascii="Times New Roman" w:hAnsi="Times New Roman"/>
        </w:rPr>
        <w:t xml:space="preserve">13.  </w:t>
      </w:r>
      <w:r>
        <w:rPr>
          <w:rFonts w:ascii="Times New Roman" w:hAnsi="Times New Roman"/>
          <w:u w:val="single"/>
        </w:rPr>
        <w:t>Cost burden on the public</w:t>
      </w:r>
      <w:r>
        <w:rPr>
          <w:rFonts w:ascii="Times New Roman" w:hAnsi="Times New Roman"/>
        </w:rPr>
        <w:t xml:space="preserve">.  </w:t>
      </w:r>
      <w:r w:rsidR="003A02DA">
        <w:rPr>
          <w:rFonts w:ascii="Times New Roman" w:hAnsi="Times New Roman"/>
        </w:rPr>
        <w:t xml:space="preserve">PBGC estimates that the hourly cost of the insurance company employees (typically interns or actuarial students) is $30 and the estimated cost burden </w:t>
      </w:r>
      <w:r w:rsidR="00205B37">
        <w:rPr>
          <w:rFonts w:ascii="Times New Roman" w:hAnsi="Times New Roman"/>
        </w:rPr>
        <w:t xml:space="preserve">will be </w:t>
      </w:r>
      <w:r w:rsidR="003A02DA">
        <w:rPr>
          <w:rFonts w:ascii="Times New Roman" w:hAnsi="Times New Roman"/>
        </w:rPr>
        <w:t>$360 ($30 x 12 hours).</w:t>
      </w:r>
    </w:p>
    <w:p w:rsidR="008C7F86" w:rsidRDefault="008C7F86">
      <w:pPr>
        <w:widowControl/>
        <w:spacing w:line="480" w:lineRule="auto"/>
        <w:ind w:firstLine="720"/>
        <w:rPr>
          <w:rFonts w:ascii="Times New Roman" w:hAnsi="Times New Roman"/>
        </w:rPr>
      </w:pPr>
      <w:r>
        <w:rPr>
          <w:rFonts w:ascii="Times New Roman" w:hAnsi="Times New Roman"/>
        </w:rPr>
        <w:t xml:space="preserve">14.  </w:t>
      </w:r>
      <w:r>
        <w:rPr>
          <w:rFonts w:ascii="Times New Roman" w:hAnsi="Times New Roman"/>
          <w:u w:val="single"/>
        </w:rPr>
        <w:t>Cost to the government</w:t>
      </w:r>
      <w:r>
        <w:rPr>
          <w:rFonts w:ascii="Times New Roman" w:hAnsi="Times New Roman"/>
        </w:rPr>
        <w:t xml:space="preserve">.  </w:t>
      </w:r>
      <w:r w:rsidR="003C3B1C">
        <w:rPr>
          <w:rFonts w:ascii="Times New Roman" w:hAnsi="Times New Roman"/>
        </w:rPr>
        <w:t xml:space="preserve">ACLI prepares the forms and distributes them to respondents.  </w:t>
      </w:r>
      <w:r w:rsidR="00830612">
        <w:rPr>
          <w:rFonts w:ascii="Times New Roman" w:hAnsi="Times New Roman"/>
        </w:rPr>
        <w:t xml:space="preserve">PBGC incurs some </w:t>
      </w:r>
      <w:r>
        <w:rPr>
          <w:rFonts w:ascii="Times New Roman" w:hAnsi="Times New Roman"/>
        </w:rPr>
        <w:t xml:space="preserve">expense in analyzing the survey responses, but it cannot be accounted for separately from the cost of determining </w:t>
      </w:r>
      <w:r w:rsidR="00111DB5">
        <w:rPr>
          <w:rFonts w:ascii="Times New Roman" w:hAnsi="Times New Roman"/>
        </w:rPr>
        <w:t>PBGC</w:t>
      </w:r>
      <w:r>
        <w:rPr>
          <w:rFonts w:ascii="Times New Roman" w:hAnsi="Times New Roman"/>
        </w:rPr>
        <w:t xml:space="preserve"> interest rates which would have to be done whether the survey were conducted or not.</w:t>
      </w:r>
    </w:p>
    <w:p w:rsidR="00DF4E52" w:rsidRDefault="008C7F86">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Explanation of burden changes</w:t>
      </w:r>
      <w:r>
        <w:rPr>
          <w:rFonts w:ascii="Times New Roman" w:hAnsi="Times New Roman"/>
        </w:rPr>
        <w:t xml:space="preserve">.  The </w:t>
      </w:r>
      <w:r w:rsidR="00205B37">
        <w:rPr>
          <w:rFonts w:ascii="Times New Roman" w:hAnsi="Times New Roman"/>
        </w:rPr>
        <w:t xml:space="preserve">changes in the hour and </w:t>
      </w:r>
      <w:r>
        <w:rPr>
          <w:rFonts w:ascii="Times New Roman" w:hAnsi="Times New Roman"/>
        </w:rPr>
        <w:t>cost burden</w:t>
      </w:r>
      <w:r w:rsidR="00205B37">
        <w:rPr>
          <w:rFonts w:ascii="Times New Roman" w:hAnsi="Times New Roman"/>
        </w:rPr>
        <w:t>s on the public</w:t>
      </w:r>
      <w:r>
        <w:rPr>
          <w:rFonts w:ascii="Times New Roman" w:hAnsi="Times New Roman"/>
        </w:rPr>
        <w:t xml:space="preserve"> reflect</w:t>
      </w:r>
      <w:r w:rsidR="00DC6995">
        <w:rPr>
          <w:rFonts w:ascii="Times New Roman" w:hAnsi="Times New Roman"/>
        </w:rPr>
        <w:t xml:space="preserve"> revised estimates </w:t>
      </w:r>
      <w:r w:rsidR="00205B37">
        <w:rPr>
          <w:rFonts w:ascii="Times New Roman" w:hAnsi="Times New Roman"/>
        </w:rPr>
        <w:t xml:space="preserve">of </w:t>
      </w:r>
      <w:r w:rsidR="00DC6995">
        <w:rPr>
          <w:rFonts w:ascii="Times New Roman" w:hAnsi="Times New Roman"/>
        </w:rPr>
        <w:t xml:space="preserve">the </w:t>
      </w:r>
      <w:r w:rsidR="00205B37">
        <w:rPr>
          <w:rFonts w:ascii="Times New Roman" w:hAnsi="Times New Roman"/>
        </w:rPr>
        <w:t xml:space="preserve">amount of </w:t>
      </w:r>
      <w:r w:rsidR="00C944A3">
        <w:rPr>
          <w:rFonts w:ascii="Times New Roman" w:hAnsi="Times New Roman"/>
        </w:rPr>
        <w:t>time</w:t>
      </w:r>
      <w:r w:rsidR="00205B37">
        <w:rPr>
          <w:rFonts w:ascii="Times New Roman" w:hAnsi="Times New Roman"/>
        </w:rPr>
        <w:t xml:space="preserve"> to respond to the survey</w:t>
      </w:r>
      <w:r w:rsidR="00C944A3">
        <w:rPr>
          <w:rFonts w:ascii="Times New Roman" w:hAnsi="Times New Roman"/>
        </w:rPr>
        <w:t xml:space="preserve"> and the </w:t>
      </w:r>
      <w:r w:rsidR="00D070F5">
        <w:rPr>
          <w:rFonts w:ascii="Times New Roman" w:hAnsi="Times New Roman"/>
        </w:rPr>
        <w:t xml:space="preserve">hourly </w:t>
      </w:r>
      <w:r w:rsidR="00DC6995">
        <w:rPr>
          <w:rFonts w:ascii="Times New Roman" w:hAnsi="Times New Roman"/>
        </w:rPr>
        <w:t xml:space="preserve">labor </w:t>
      </w:r>
      <w:r w:rsidR="00D070F5">
        <w:rPr>
          <w:rFonts w:ascii="Times New Roman" w:hAnsi="Times New Roman"/>
        </w:rPr>
        <w:t>cost</w:t>
      </w:r>
      <w:r w:rsidR="00DC6995">
        <w:rPr>
          <w:rFonts w:ascii="Times New Roman" w:hAnsi="Times New Roman"/>
        </w:rPr>
        <w:t>s</w:t>
      </w:r>
      <w:r w:rsidR="00D070F5">
        <w:rPr>
          <w:rFonts w:ascii="Times New Roman" w:hAnsi="Times New Roman"/>
        </w:rPr>
        <w:t xml:space="preserve"> of the </w:t>
      </w:r>
      <w:r w:rsidR="00DC6995">
        <w:rPr>
          <w:rFonts w:ascii="Times New Roman" w:hAnsi="Times New Roman"/>
        </w:rPr>
        <w:t xml:space="preserve">employees who </w:t>
      </w:r>
      <w:r w:rsidR="00205B37">
        <w:rPr>
          <w:rFonts w:ascii="Times New Roman" w:hAnsi="Times New Roman"/>
        </w:rPr>
        <w:t xml:space="preserve">respond to </w:t>
      </w:r>
      <w:r w:rsidR="00DC6995">
        <w:rPr>
          <w:rFonts w:ascii="Times New Roman" w:hAnsi="Times New Roman"/>
        </w:rPr>
        <w:t>the survey</w:t>
      </w:r>
      <w:r w:rsidR="00830612">
        <w:rPr>
          <w:rFonts w:ascii="Times New Roman" w:hAnsi="Times New Roman"/>
        </w:rPr>
        <w:t xml:space="preserve"> for the insurance company respondents</w:t>
      </w:r>
      <w:r>
        <w:rPr>
          <w:rFonts w:ascii="Times New Roman" w:hAnsi="Times New Roman"/>
        </w:rPr>
        <w:t>.</w:t>
      </w:r>
    </w:p>
    <w:p w:rsidR="008C7F86" w:rsidRDefault="008C7F86">
      <w:pPr>
        <w:widowControl/>
        <w:spacing w:line="480" w:lineRule="auto"/>
        <w:ind w:firstLine="720"/>
        <w:rPr>
          <w:rFonts w:ascii="Times New Roman" w:hAnsi="Times New Roman"/>
        </w:rPr>
      </w:pPr>
      <w:r>
        <w:rPr>
          <w:rFonts w:ascii="Times New Roman" w:hAnsi="Times New Roman"/>
        </w:rPr>
        <w:t xml:space="preserve">  16.  </w:t>
      </w:r>
      <w:r>
        <w:rPr>
          <w:rFonts w:ascii="Times New Roman" w:hAnsi="Times New Roman"/>
          <w:u w:val="single"/>
        </w:rPr>
        <w:t>Publication plans</w:t>
      </w:r>
      <w:r>
        <w:rPr>
          <w:rFonts w:ascii="Times New Roman" w:hAnsi="Times New Roman"/>
        </w:rPr>
        <w:t xml:space="preserve">.  </w:t>
      </w:r>
      <w:r w:rsidR="00111DB5">
        <w:rPr>
          <w:rFonts w:ascii="Times New Roman" w:hAnsi="Times New Roman"/>
        </w:rPr>
        <w:t>PBGC</w:t>
      </w:r>
      <w:r>
        <w:rPr>
          <w:rFonts w:ascii="Times New Roman" w:hAnsi="Times New Roman"/>
        </w:rPr>
        <w:t xml:space="preserve"> does not intend to publish the results of this collection of information.</w:t>
      </w:r>
    </w:p>
    <w:p w:rsidR="008C7F86" w:rsidRDefault="008C7F86">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not display the expiration date for OMB approval of this information collection.</w:t>
      </w:r>
    </w:p>
    <w:p w:rsidR="004C6D42" w:rsidRDefault="008C7F86" w:rsidP="00C944A3">
      <w:pPr>
        <w:widowControl/>
        <w:spacing w:line="480" w:lineRule="auto"/>
        <w:ind w:firstLine="720"/>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p>
    <w:sectPr w:rsidR="004C6D42" w:rsidSect="008C7F86">
      <w:headerReference w:type="default" r:id="rId6"/>
      <w:footerReference w:type="even" r:id="rId7"/>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7B" w:rsidRDefault="002C707B">
      <w:r>
        <w:separator/>
      </w:r>
    </w:p>
  </w:endnote>
  <w:endnote w:type="continuationSeparator" w:id="0">
    <w:p w:rsidR="002C707B" w:rsidRDefault="002C707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7B" w:rsidRDefault="002C707B"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07B" w:rsidRDefault="002C707B" w:rsidP="00CF04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7B" w:rsidRDefault="002C707B"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4FF">
      <w:rPr>
        <w:rStyle w:val="PageNumber"/>
        <w:noProof/>
      </w:rPr>
      <w:t>5</w:t>
    </w:r>
    <w:r>
      <w:rPr>
        <w:rStyle w:val="PageNumber"/>
      </w:rPr>
      <w:fldChar w:fldCharType="end"/>
    </w:r>
  </w:p>
  <w:p w:rsidR="002C707B" w:rsidRDefault="002C707B" w:rsidP="00CF04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7B" w:rsidRDefault="002C707B">
      <w:r>
        <w:separator/>
      </w:r>
    </w:p>
  </w:footnote>
  <w:footnote w:type="continuationSeparator" w:id="0">
    <w:p w:rsidR="002C707B" w:rsidRDefault="002C7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7B" w:rsidRDefault="002C707B">
    <w:pPr>
      <w:framePr w:w="9361" w:wrap="notBeside" w:vAnchor="text" w:hAnchor="text" w:x="1" w:y="1"/>
      <w:jc w:val="center"/>
    </w:pPr>
  </w:p>
  <w:p w:rsidR="002C707B" w:rsidRDefault="002C707B"/>
  <w:p w:rsidR="002C707B" w:rsidRDefault="002C707B"/>
  <w:p w:rsidR="002C707B" w:rsidRDefault="002C707B">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C7F86"/>
    <w:rsid w:val="00012601"/>
    <w:rsid w:val="0003494C"/>
    <w:rsid w:val="000C7E24"/>
    <w:rsid w:val="001043F4"/>
    <w:rsid w:val="00111DB5"/>
    <w:rsid w:val="00112A9B"/>
    <w:rsid w:val="00141A0F"/>
    <w:rsid w:val="00145C19"/>
    <w:rsid w:val="00176722"/>
    <w:rsid w:val="00177925"/>
    <w:rsid w:val="001A0FEA"/>
    <w:rsid w:val="001E6699"/>
    <w:rsid w:val="00205B37"/>
    <w:rsid w:val="00241661"/>
    <w:rsid w:val="0026173F"/>
    <w:rsid w:val="0027579D"/>
    <w:rsid w:val="002B0A69"/>
    <w:rsid w:val="002C707B"/>
    <w:rsid w:val="00302F28"/>
    <w:rsid w:val="00303B88"/>
    <w:rsid w:val="00311A57"/>
    <w:rsid w:val="003216F2"/>
    <w:rsid w:val="0035022B"/>
    <w:rsid w:val="00367C44"/>
    <w:rsid w:val="003755C3"/>
    <w:rsid w:val="0038021B"/>
    <w:rsid w:val="003A02DA"/>
    <w:rsid w:val="003C3B1C"/>
    <w:rsid w:val="003E69E7"/>
    <w:rsid w:val="00415E34"/>
    <w:rsid w:val="004235D6"/>
    <w:rsid w:val="00461BE4"/>
    <w:rsid w:val="00464C3A"/>
    <w:rsid w:val="00492EFF"/>
    <w:rsid w:val="004C24FE"/>
    <w:rsid w:val="004C6D42"/>
    <w:rsid w:val="004D223E"/>
    <w:rsid w:val="004F6FFF"/>
    <w:rsid w:val="00535897"/>
    <w:rsid w:val="005E2D0C"/>
    <w:rsid w:val="005F6499"/>
    <w:rsid w:val="00615757"/>
    <w:rsid w:val="00617A92"/>
    <w:rsid w:val="00641E95"/>
    <w:rsid w:val="00753372"/>
    <w:rsid w:val="0076159E"/>
    <w:rsid w:val="00781AC8"/>
    <w:rsid w:val="00830612"/>
    <w:rsid w:val="00846EF4"/>
    <w:rsid w:val="008831CE"/>
    <w:rsid w:val="008C7F86"/>
    <w:rsid w:val="008F3E62"/>
    <w:rsid w:val="008F5CB9"/>
    <w:rsid w:val="009459F4"/>
    <w:rsid w:val="00A2396C"/>
    <w:rsid w:val="00A26846"/>
    <w:rsid w:val="00AA177E"/>
    <w:rsid w:val="00AE3938"/>
    <w:rsid w:val="00B52AFD"/>
    <w:rsid w:val="00B92165"/>
    <w:rsid w:val="00BE15D3"/>
    <w:rsid w:val="00C02B6D"/>
    <w:rsid w:val="00C35239"/>
    <w:rsid w:val="00C944A3"/>
    <w:rsid w:val="00CF04D0"/>
    <w:rsid w:val="00D070F5"/>
    <w:rsid w:val="00D45CF7"/>
    <w:rsid w:val="00D71001"/>
    <w:rsid w:val="00D85E17"/>
    <w:rsid w:val="00D97E15"/>
    <w:rsid w:val="00DC21BB"/>
    <w:rsid w:val="00DC6995"/>
    <w:rsid w:val="00DF1119"/>
    <w:rsid w:val="00DF4E52"/>
    <w:rsid w:val="00E1647E"/>
    <w:rsid w:val="00E36574"/>
    <w:rsid w:val="00E91548"/>
    <w:rsid w:val="00EF0915"/>
    <w:rsid w:val="00F36DD2"/>
    <w:rsid w:val="00F5535D"/>
    <w:rsid w:val="00F74367"/>
    <w:rsid w:val="00F90DB2"/>
    <w:rsid w:val="00F951C9"/>
    <w:rsid w:val="00FA31D9"/>
    <w:rsid w:val="00FC0852"/>
    <w:rsid w:val="00FD387E"/>
    <w:rsid w:val="00FD44FF"/>
    <w:rsid w:val="00FF6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semiHidden/>
    <w:rsid w:val="00BE15D3"/>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rsid w:val="00CF04D0"/>
    <w:pPr>
      <w:tabs>
        <w:tab w:val="center" w:pos="4320"/>
        <w:tab w:val="right" w:pos="8640"/>
      </w:tabs>
    </w:pPr>
  </w:style>
  <w:style w:type="character" w:styleId="PageNumber">
    <w:name w:val="page number"/>
    <w:basedOn w:val="DefaultParagraphFont"/>
    <w:rsid w:val="00CF04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1054</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I:\regulatory\RM\Paperwork\ACLI_30\Rollover</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I:\regulatory\RM\Paperwork\ACLI_30\Rollover</dc:title>
  <dc:subject/>
  <dc:creator>Jo Amato Burns</dc:creator>
  <cp:keywords/>
  <dc:description/>
  <cp:lastModifiedBy>Tom Gabriel</cp:lastModifiedBy>
  <cp:revision>2</cp:revision>
  <dcterms:created xsi:type="dcterms:W3CDTF">2012-02-22T21:53:00Z</dcterms:created>
  <dcterms:modified xsi:type="dcterms:W3CDTF">2012-02-22T21:53:00Z</dcterms:modified>
</cp:coreProperties>
</file>