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emf" ContentType="image/x-emf"/>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89D" w:rsidRPr="002B7386" w:rsidRDefault="009F3595" w:rsidP="00986CA0">
      <w:pPr>
        <w:spacing w:after="0"/>
      </w:pPr>
      <w:r w:rsidRPr="002B7386">
        <w:t xml:space="preserve"> </w:t>
      </w:r>
      <w:r w:rsidR="009F789D" w:rsidRPr="002B7386">
        <w:t>[</w:t>
      </w:r>
      <w:proofErr w:type="gramStart"/>
      <w:r w:rsidR="009F789D" w:rsidRPr="002B7386">
        <w:t>insert</w:t>
      </w:r>
      <w:proofErr w:type="gramEnd"/>
      <w:r w:rsidR="009F789D" w:rsidRPr="002B7386">
        <w:t xml:space="preserve"> date]</w:t>
      </w:r>
    </w:p>
    <w:p w:rsidR="009F789D" w:rsidRPr="002B7386" w:rsidRDefault="004C5849" w:rsidP="00442777">
      <w:pPr>
        <w:pStyle w:val="Heading1"/>
        <w:spacing w:before="240" w:after="120"/>
        <w:ind w:left="720" w:hanging="720"/>
      </w:pPr>
      <w:r>
        <w:t>Introduction and Purpose</w:t>
      </w:r>
    </w:p>
    <w:p w:rsidR="004C5849" w:rsidRDefault="009F789D" w:rsidP="004C5849">
      <w:pPr>
        <w:jc w:val="both"/>
      </w:pPr>
      <w:r w:rsidRPr="002B7386">
        <w:t>The Small Business Jobs Act of 2010 (Pub.</w:t>
      </w:r>
      <w:r w:rsidR="00173DC6">
        <w:t xml:space="preserve"> </w:t>
      </w:r>
      <w:r w:rsidRPr="002B7386">
        <w:t xml:space="preserve"> L. 111-240</w:t>
      </w:r>
      <w:proofErr w:type="gramStart"/>
      <w:r w:rsidRPr="002B7386">
        <w:t>)(</w:t>
      </w:r>
      <w:proofErr w:type="gramEnd"/>
      <w:r w:rsidRPr="002B7386">
        <w:t xml:space="preserve">the Act) created the State Small Business Credit Initiative (SSBCI) to </w:t>
      </w:r>
      <w:r w:rsidR="004D2EA5" w:rsidRPr="002B7386">
        <w:t xml:space="preserve">support </w:t>
      </w:r>
      <w:r w:rsidR="00BF7A51">
        <w:t xml:space="preserve"> S</w:t>
      </w:r>
      <w:r w:rsidRPr="002B7386">
        <w:t xml:space="preserve">tate programs that </w:t>
      </w:r>
      <w:r w:rsidR="004D2EA5" w:rsidRPr="002B7386">
        <w:t xml:space="preserve">provide </w:t>
      </w:r>
      <w:r w:rsidRPr="002B7386">
        <w:t>lending to, and investment in, small businesses.  The SSBCI program builds on new and</w:t>
      </w:r>
      <w:bookmarkStart w:id="0" w:name="_GoBack"/>
      <w:bookmarkEnd w:id="0"/>
      <w:r w:rsidRPr="002B7386">
        <w:t xml:space="preserve"> existing models for state small business programs, including Capital Access Programs (CAPs), loan participation</w:t>
      </w:r>
      <w:r w:rsidR="0047322C">
        <w:t xml:space="preserve"> programs</w:t>
      </w:r>
      <w:r w:rsidRPr="002B7386">
        <w:t>, loan guarantee</w:t>
      </w:r>
      <w:r w:rsidR="0047322C">
        <w:t xml:space="preserve"> programs</w:t>
      </w:r>
      <w:r w:rsidRPr="002B7386">
        <w:t>, collateral support</w:t>
      </w:r>
      <w:r w:rsidR="0047322C">
        <w:t xml:space="preserve"> programs</w:t>
      </w:r>
      <w:r w:rsidRPr="002B7386">
        <w:t xml:space="preserve">, and </w:t>
      </w:r>
      <w:r w:rsidR="0047322C">
        <w:t xml:space="preserve">state-run </w:t>
      </w:r>
      <w:r w:rsidRPr="002B7386">
        <w:t xml:space="preserve">venture capital programs.  </w:t>
      </w:r>
    </w:p>
    <w:p w:rsidR="004C5849" w:rsidRDefault="00416AE5" w:rsidP="004C5849">
      <w:pPr>
        <w:jc w:val="both"/>
      </w:pPr>
      <w:r w:rsidRPr="002B7386">
        <w:t xml:space="preserve">The purpose of this document is to set forth national standards for </w:t>
      </w:r>
      <w:r w:rsidR="0058454C" w:rsidRPr="002B7386">
        <w:t xml:space="preserve">the </w:t>
      </w:r>
      <w:r w:rsidRPr="002B7386">
        <w:t xml:space="preserve">compliance and oversight responsibilities </w:t>
      </w:r>
      <w:r w:rsidR="0058454C" w:rsidRPr="002B7386">
        <w:t>of</w:t>
      </w:r>
      <w:r w:rsidR="004C5849">
        <w:t xml:space="preserve"> </w:t>
      </w:r>
      <w:r w:rsidR="004C5849" w:rsidRPr="002B7386">
        <w:t xml:space="preserve">states, territories, the District of Columbia, and municipalities </w:t>
      </w:r>
      <w:r w:rsidR="00301C36">
        <w:t xml:space="preserve">that </w:t>
      </w:r>
      <w:proofErr w:type="gramStart"/>
      <w:r w:rsidR="00301C36">
        <w:t>have been approved</w:t>
      </w:r>
      <w:proofErr w:type="gramEnd"/>
      <w:r w:rsidR="00301C36">
        <w:t xml:space="preserve"> to participate in the SSBCI</w:t>
      </w:r>
      <w:r w:rsidR="00301C36" w:rsidRPr="002B7386">
        <w:t xml:space="preserve"> </w:t>
      </w:r>
      <w:r w:rsidR="004C5849" w:rsidRPr="002B7386">
        <w:t>(herein referred to as Participating States)</w:t>
      </w:r>
      <w:r w:rsidRPr="002B7386">
        <w:t xml:space="preserve">.  </w:t>
      </w:r>
      <w:r w:rsidR="00BF7A51" w:rsidRPr="002B7386">
        <w:t>Section 3009(a</w:t>
      </w:r>
      <w:proofErr w:type="gramStart"/>
      <w:r w:rsidR="00BF7A51" w:rsidRPr="002B7386">
        <w:t>)(</w:t>
      </w:r>
      <w:proofErr w:type="gramEnd"/>
      <w:r w:rsidR="00BF7A51" w:rsidRPr="002B7386">
        <w:t xml:space="preserve">2) of the Act </w:t>
      </w:r>
      <w:r w:rsidR="008257FA">
        <w:t>requires</w:t>
      </w:r>
      <w:r w:rsidR="00BF7A51" w:rsidRPr="002B7386">
        <w:t xml:space="preserve"> the Secretary of the U.S. Department of the Treasury (Treasury) to establish minimum national standards for Approved State Programs</w:t>
      </w:r>
      <w:r w:rsidR="00BF7A51" w:rsidRPr="002B7386">
        <w:rPr>
          <w:rStyle w:val="FootnoteReference"/>
          <w:rFonts w:cs="Calibri"/>
        </w:rPr>
        <w:footnoteReference w:id="1"/>
      </w:r>
      <w:r w:rsidR="00BF7A51" w:rsidRPr="002B7386">
        <w:t xml:space="preserve">. </w:t>
      </w:r>
      <w:r w:rsidR="00173DC6">
        <w:t xml:space="preserve"> </w:t>
      </w:r>
      <w:r w:rsidR="00BF7A51" w:rsidRPr="002B7386">
        <w:t>Section 3004(b</w:t>
      </w:r>
      <w:proofErr w:type="gramStart"/>
      <w:r w:rsidR="00BF7A51" w:rsidRPr="002B7386">
        <w:t>)(</w:t>
      </w:r>
      <w:proofErr w:type="gramEnd"/>
      <w:r w:rsidR="00BF7A51" w:rsidRPr="002B7386">
        <w:t xml:space="preserve">4)(B) of the Act and Section 4.6 of the Allocation Agreement require that all Participating States comply with these national standards. </w:t>
      </w:r>
      <w:r w:rsidR="004C5849">
        <w:t xml:space="preserve"> </w:t>
      </w:r>
      <w:r w:rsidR="00BF7A51" w:rsidRPr="002B7386">
        <w:t xml:space="preserve">Treasury has identified compliance and oversight as important areas for the establishment of national standards. </w:t>
      </w:r>
      <w:r w:rsidR="00173DC6">
        <w:t xml:space="preserve"> </w:t>
      </w:r>
    </w:p>
    <w:p w:rsidR="00BD58F5" w:rsidRDefault="00BF7A51" w:rsidP="004C5849">
      <w:pPr>
        <w:jc w:val="both"/>
      </w:pPr>
      <w:r w:rsidRPr="002B7386">
        <w:t>These</w:t>
      </w:r>
      <w:r w:rsidR="000F5641" w:rsidRPr="002B7386">
        <w:t xml:space="preserve"> national compliance standards are a complement to, but not a substitute for, the requirements set forth in the Act, </w:t>
      </w:r>
      <w:r w:rsidR="00AC7D83">
        <w:t>the</w:t>
      </w:r>
      <w:r w:rsidR="00AC7D83" w:rsidRPr="002B7386">
        <w:t xml:space="preserve"> </w:t>
      </w:r>
      <w:r w:rsidR="000F5641" w:rsidRPr="002B7386">
        <w:t>Allocation Agreement</w:t>
      </w:r>
      <w:r w:rsidR="00301C36">
        <w:t>, and the</w:t>
      </w:r>
      <w:r w:rsidR="00301C36" w:rsidRPr="00301C36">
        <w:t xml:space="preserve"> </w:t>
      </w:r>
      <w:r w:rsidR="00301C36" w:rsidRPr="002B7386">
        <w:t>SSBCI Policy Guidelines</w:t>
      </w:r>
      <w:r w:rsidR="000F5641" w:rsidRPr="002B7386">
        <w:t xml:space="preserve">.  </w:t>
      </w:r>
      <w:r>
        <w:t>Notwithstanding the recommended best practices that this document sets forth, e</w:t>
      </w:r>
      <w:r w:rsidR="000F5641" w:rsidRPr="002B7386">
        <w:t>ach Participating State retains responsibility for ensuring compliance with the Act, the Allocation Agreement</w:t>
      </w:r>
      <w:r w:rsidR="00AC7D83">
        <w:t xml:space="preserve"> (</w:t>
      </w:r>
      <w:r w:rsidR="004C5849">
        <w:t>including</w:t>
      </w:r>
      <w:r w:rsidR="00AC7D83">
        <w:t xml:space="preserve"> all related documents incorporated by reference in Section 8.2)</w:t>
      </w:r>
      <w:r w:rsidR="00301C36" w:rsidRPr="00301C36">
        <w:t xml:space="preserve"> </w:t>
      </w:r>
      <w:r w:rsidR="00301C36">
        <w:t>,</w:t>
      </w:r>
      <w:r w:rsidR="00301C36" w:rsidRPr="00301C36">
        <w:t xml:space="preserve"> </w:t>
      </w:r>
      <w:r w:rsidR="00301C36">
        <w:t xml:space="preserve">and </w:t>
      </w:r>
      <w:r w:rsidR="00301C36" w:rsidRPr="002B7386">
        <w:t>the SSBCI Policy Guidelines</w:t>
      </w:r>
      <w:r w:rsidR="00AC7D83">
        <w:t>.</w:t>
      </w:r>
    </w:p>
    <w:p w:rsidR="00C85472" w:rsidRPr="002B7386" w:rsidRDefault="00C85472" w:rsidP="004C5849">
      <w:pPr>
        <w:spacing w:after="120"/>
        <w:jc w:val="both"/>
      </w:pPr>
      <w:r w:rsidRPr="002B7386">
        <w:t>The first section</w:t>
      </w:r>
      <w:r w:rsidR="004D2EA5" w:rsidRPr="002B7386">
        <w:t xml:space="preserve"> of this document</w:t>
      </w:r>
      <w:r w:rsidRPr="002B7386">
        <w:t xml:space="preserve">, </w:t>
      </w:r>
      <w:r w:rsidRPr="002B7386">
        <w:rPr>
          <w:i/>
        </w:rPr>
        <w:t>Recommended Framework for Identifying, Monitoring, and Managing Compliance and Oversight Risks</w:t>
      </w:r>
      <w:r w:rsidRPr="002B7386">
        <w:t xml:space="preserve">, provides Treasury’s recommended approach for </w:t>
      </w:r>
      <w:proofErr w:type="gramStart"/>
      <w:r w:rsidRPr="002B7386">
        <w:t>designing</w:t>
      </w:r>
      <w:proofErr w:type="gramEnd"/>
      <w:r w:rsidRPr="002B7386">
        <w:t xml:space="preserve"> and implementing a</w:t>
      </w:r>
      <w:r w:rsidR="00A53632" w:rsidRPr="002B7386">
        <w:t xml:space="preserve"> </w:t>
      </w:r>
      <w:r w:rsidRPr="002B7386">
        <w:t xml:space="preserve">comprehensive compliance and oversight system.  This recommended framework </w:t>
      </w:r>
      <w:proofErr w:type="gramStart"/>
      <w:r w:rsidR="004D2EA5" w:rsidRPr="002B7386">
        <w:t>is buil</w:t>
      </w:r>
      <w:r w:rsidR="0058454C" w:rsidRPr="002B7386">
        <w:t>t</w:t>
      </w:r>
      <w:proofErr w:type="gramEnd"/>
      <w:r w:rsidR="004D2EA5" w:rsidRPr="002B7386">
        <w:t xml:space="preserve"> upon the following</w:t>
      </w:r>
      <w:r w:rsidR="002D3074">
        <w:t xml:space="preserve"> six</w:t>
      </w:r>
      <w:r w:rsidR="004D2EA5" w:rsidRPr="002B7386">
        <w:t xml:space="preserve"> key elements</w:t>
      </w:r>
      <w:r w:rsidRPr="002B7386">
        <w:t>:</w:t>
      </w:r>
    </w:p>
    <w:p w:rsidR="00E7572A" w:rsidRDefault="00BF7A51" w:rsidP="009F3595">
      <w:pPr>
        <w:pStyle w:val="ListParagraph"/>
        <w:numPr>
          <w:ilvl w:val="0"/>
          <w:numId w:val="21"/>
        </w:numPr>
        <w:spacing w:before="120" w:after="120"/>
        <w:contextualSpacing w:val="0"/>
      </w:pPr>
      <w:r w:rsidRPr="002B7386">
        <w:t>Centraliz</w:t>
      </w:r>
      <w:r>
        <w:t xml:space="preserve">ing the </w:t>
      </w:r>
      <w:r w:rsidR="004D2EA5" w:rsidRPr="002B7386">
        <w:t>coordination of compliance and oversight</w:t>
      </w:r>
      <w:r w:rsidR="00C85472" w:rsidRPr="002B7386">
        <w:t>;</w:t>
      </w:r>
    </w:p>
    <w:p w:rsidR="00E7572A" w:rsidRDefault="00BF7A51" w:rsidP="009F3595">
      <w:pPr>
        <w:pStyle w:val="ListParagraph"/>
        <w:numPr>
          <w:ilvl w:val="0"/>
          <w:numId w:val="21"/>
        </w:numPr>
        <w:spacing w:after="120"/>
        <w:contextualSpacing w:val="0"/>
      </w:pPr>
      <w:r w:rsidRPr="002B7386">
        <w:t>Identif</w:t>
      </w:r>
      <w:r>
        <w:t>ying</w:t>
      </w:r>
      <w:r w:rsidRPr="002B7386">
        <w:t xml:space="preserve"> </w:t>
      </w:r>
      <w:r w:rsidR="0058454C" w:rsidRPr="002B7386">
        <w:t>key</w:t>
      </w:r>
      <w:r w:rsidR="004D2EA5" w:rsidRPr="002B7386">
        <w:t xml:space="preserve"> </w:t>
      </w:r>
      <w:r w:rsidR="00C85472" w:rsidRPr="002B7386">
        <w:t>compliance and oversight risks;</w:t>
      </w:r>
    </w:p>
    <w:p w:rsidR="00E7572A" w:rsidRDefault="004D2EA5" w:rsidP="009F3595">
      <w:pPr>
        <w:pStyle w:val="ListParagraph"/>
        <w:numPr>
          <w:ilvl w:val="0"/>
          <w:numId w:val="21"/>
        </w:numPr>
        <w:spacing w:after="120"/>
        <w:contextualSpacing w:val="0"/>
      </w:pPr>
      <w:r w:rsidRPr="002B7386">
        <w:t>Assess</w:t>
      </w:r>
      <w:r w:rsidR="00BF7A51">
        <w:t>ing</w:t>
      </w:r>
      <w:r w:rsidR="00173DC6">
        <w:t xml:space="preserve"> </w:t>
      </w:r>
      <w:r w:rsidR="00C85472" w:rsidRPr="002B7386">
        <w:t>the likelihood and severity of these risks;</w:t>
      </w:r>
    </w:p>
    <w:p w:rsidR="00E7572A" w:rsidRDefault="00BF7A51" w:rsidP="009F3595">
      <w:pPr>
        <w:pStyle w:val="ListParagraph"/>
        <w:numPr>
          <w:ilvl w:val="0"/>
          <w:numId w:val="21"/>
        </w:numPr>
        <w:spacing w:after="120"/>
        <w:contextualSpacing w:val="0"/>
      </w:pPr>
      <w:r w:rsidRPr="002B7386">
        <w:t>Develop</w:t>
      </w:r>
      <w:r>
        <w:t>ing</w:t>
      </w:r>
      <w:r w:rsidRPr="002B7386">
        <w:t xml:space="preserve"> </w:t>
      </w:r>
      <w:r w:rsidR="00C85472" w:rsidRPr="002B7386">
        <w:t xml:space="preserve">a </w:t>
      </w:r>
      <w:r w:rsidR="009F1A9C" w:rsidRPr="002B7386">
        <w:t xml:space="preserve">risk monitoring and mitigation plan; </w:t>
      </w:r>
    </w:p>
    <w:p w:rsidR="00E7572A" w:rsidRDefault="00C85472" w:rsidP="009F3595">
      <w:pPr>
        <w:pStyle w:val="ListParagraph"/>
        <w:numPr>
          <w:ilvl w:val="0"/>
          <w:numId w:val="21"/>
        </w:numPr>
        <w:spacing w:after="120"/>
        <w:contextualSpacing w:val="0"/>
      </w:pPr>
      <w:r w:rsidRPr="002B7386">
        <w:t>Conducting periodic testing; and</w:t>
      </w:r>
    </w:p>
    <w:p w:rsidR="00E7572A" w:rsidRDefault="00C85472" w:rsidP="009F3595">
      <w:pPr>
        <w:pStyle w:val="ListParagraph"/>
        <w:numPr>
          <w:ilvl w:val="0"/>
          <w:numId w:val="21"/>
        </w:numPr>
        <w:spacing w:after="240"/>
        <w:contextualSpacing w:val="0"/>
      </w:pPr>
      <w:r w:rsidRPr="002B7386">
        <w:t xml:space="preserve">Taking corrective actions as needed. </w:t>
      </w:r>
    </w:p>
    <w:p w:rsidR="00AC7D83" w:rsidRPr="002B7386" w:rsidRDefault="00C85472" w:rsidP="004C5849">
      <w:r w:rsidRPr="002B7386">
        <w:t xml:space="preserve">The second section, </w:t>
      </w:r>
      <w:r w:rsidR="0058454C" w:rsidRPr="002B7386">
        <w:rPr>
          <w:i/>
        </w:rPr>
        <w:t xml:space="preserve">Treasury </w:t>
      </w:r>
      <w:r w:rsidRPr="002B7386">
        <w:rPr>
          <w:i/>
        </w:rPr>
        <w:t xml:space="preserve">Guidance on Key Compliance and Oversight Risks, </w:t>
      </w:r>
      <w:r w:rsidR="000F5641" w:rsidRPr="002B7386">
        <w:t>provides further guidance on the</w:t>
      </w:r>
      <w:r w:rsidR="0058454C" w:rsidRPr="002B7386">
        <w:t xml:space="preserve"> mitigation of </w:t>
      </w:r>
      <w:r w:rsidR="00BA1EF7" w:rsidRPr="002B7386">
        <w:t>11</w:t>
      </w:r>
      <w:r w:rsidR="000F5641" w:rsidRPr="002B7386">
        <w:t xml:space="preserve"> specific risk</w:t>
      </w:r>
      <w:r w:rsidR="004E2D49" w:rsidRPr="002B7386">
        <w:t>s.</w:t>
      </w:r>
      <w:r w:rsidR="003E2F47" w:rsidRPr="002B7386">
        <w:t xml:space="preserve">  Treasury </w:t>
      </w:r>
      <w:r w:rsidR="00FE696D">
        <w:t xml:space="preserve">identified </w:t>
      </w:r>
      <w:r w:rsidR="003E2F47" w:rsidRPr="002B7386">
        <w:t xml:space="preserve">these </w:t>
      </w:r>
      <w:r w:rsidR="00BA1EF7" w:rsidRPr="002B7386">
        <w:t>11</w:t>
      </w:r>
      <w:r w:rsidR="003E2F47" w:rsidRPr="002B7386">
        <w:t xml:space="preserve"> risks </w:t>
      </w:r>
      <w:r w:rsidR="004E2D49" w:rsidRPr="002B7386">
        <w:t xml:space="preserve">based on its assessment of </w:t>
      </w:r>
      <w:r w:rsidR="00BD58F5" w:rsidRPr="00C76151">
        <w:rPr>
          <w:rFonts w:asciiTheme="minorHAnsi" w:hAnsiTheme="minorHAnsi" w:cstheme="minorHAnsi"/>
        </w:rPr>
        <w:t>the relative impact and likelihood of</w:t>
      </w:r>
      <w:r w:rsidR="00BD58F5" w:rsidRPr="00BD58F5">
        <w:rPr>
          <w:rFonts w:asciiTheme="minorHAnsi" w:hAnsiTheme="minorHAnsi" w:cstheme="minorHAnsi"/>
        </w:rPr>
        <w:t xml:space="preserve"> each risk, as well as a review of technical </w:t>
      </w:r>
      <w:r w:rsidR="00BD58F5" w:rsidRPr="00BD58F5">
        <w:rPr>
          <w:rFonts w:asciiTheme="minorHAnsi" w:hAnsiTheme="minorHAnsi" w:cstheme="minorHAnsi"/>
        </w:rPr>
        <w:lastRenderedPageBreak/>
        <w:t>assistance requests</w:t>
      </w:r>
      <w:r w:rsidR="004E2D49" w:rsidRPr="002B7386">
        <w:t xml:space="preserve"> from Participating States to determine which compliance and oversight responsibilities required further explication.</w:t>
      </w:r>
      <w:r w:rsidR="000F5641" w:rsidRPr="002B7386">
        <w:t xml:space="preserve">  For each of these </w:t>
      </w:r>
      <w:r w:rsidR="00FC3ADD" w:rsidRPr="002B7386">
        <w:t>risks</w:t>
      </w:r>
      <w:r w:rsidR="000F5641" w:rsidRPr="002B7386">
        <w:t>, Treasury</w:t>
      </w:r>
      <w:r w:rsidR="002D3074">
        <w:t xml:space="preserve"> provides</w:t>
      </w:r>
      <w:r w:rsidR="000F5641" w:rsidRPr="002B7386">
        <w:t>:</w:t>
      </w:r>
    </w:p>
    <w:p w:rsidR="00E7572A" w:rsidRDefault="007C6591" w:rsidP="004C5849">
      <w:pPr>
        <w:pStyle w:val="ListParagraph"/>
        <w:numPr>
          <w:ilvl w:val="0"/>
          <w:numId w:val="22"/>
        </w:numPr>
        <w:spacing w:after="120"/>
        <w:contextualSpacing w:val="0"/>
      </w:pPr>
      <w:r w:rsidRPr="002B7386">
        <w:rPr>
          <w:rFonts w:eastAsia="Times New Roman"/>
        </w:rPr>
        <w:t>A</w:t>
      </w:r>
      <w:r w:rsidR="00C85472" w:rsidRPr="002B7386">
        <w:rPr>
          <w:rFonts w:eastAsia="Times New Roman"/>
        </w:rPr>
        <w:t xml:space="preserve"> cross reference to the </w:t>
      </w:r>
      <w:r w:rsidR="004D2EA5" w:rsidRPr="002B7386">
        <w:rPr>
          <w:rFonts w:eastAsia="Times New Roman"/>
        </w:rPr>
        <w:t xml:space="preserve">related </w:t>
      </w:r>
      <w:r w:rsidR="00C85472" w:rsidRPr="002B7386">
        <w:rPr>
          <w:rFonts w:eastAsia="Times New Roman"/>
        </w:rPr>
        <w:t xml:space="preserve">duty </w:t>
      </w:r>
      <w:r w:rsidR="000F5641" w:rsidRPr="002B7386">
        <w:rPr>
          <w:rFonts w:eastAsia="Times New Roman"/>
        </w:rPr>
        <w:t xml:space="preserve">imposed on Participating States by the </w:t>
      </w:r>
      <w:r w:rsidR="0058454C" w:rsidRPr="002B7386">
        <w:rPr>
          <w:rFonts w:eastAsia="Times New Roman"/>
        </w:rPr>
        <w:t xml:space="preserve">Act, the </w:t>
      </w:r>
      <w:r w:rsidR="000F5641" w:rsidRPr="002B7386">
        <w:rPr>
          <w:rFonts w:eastAsia="Times New Roman"/>
        </w:rPr>
        <w:t>Allocation Agreement</w:t>
      </w:r>
      <w:r w:rsidR="004D2EA5" w:rsidRPr="002B7386">
        <w:rPr>
          <w:rFonts w:eastAsia="Times New Roman"/>
        </w:rPr>
        <w:t>,</w:t>
      </w:r>
      <w:r w:rsidR="000F5641" w:rsidRPr="002B7386">
        <w:rPr>
          <w:rFonts w:eastAsia="Times New Roman"/>
        </w:rPr>
        <w:t xml:space="preserve"> or SSBCI Policy Guidelines</w:t>
      </w:r>
      <w:r w:rsidRPr="002B7386">
        <w:rPr>
          <w:rFonts w:eastAsia="Times New Roman"/>
        </w:rPr>
        <w:t xml:space="preserve">, </w:t>
      </w:r>
      <w:r w:rsidR="004D2EA5" w:rsidRPr="002B7386">
        <w:rPr>
          <w:rFonts w:eastAsia="Times New Roman"/>
        </w:rPr>
        <w:t xml:space="preserve">as </w:t>
      </w:r>
      <w:r w:rsidRPr="002B7386">
        <w:rPr>
          <w:rFonts w:eastAsia="Times New Roman"/>
        </w:rPr>
        <w:t>applicable</w:t>
      </w:r>
      <w:r w:rsidR="00C85472" w:rsidRPr="002B7386">
        <w:rPr>
          <w:rFonts w:eastAsia="Times New Roman"/>
        </w:rPr>
        <w:t>;</w:t>
      </w:r>
    </w:p>
    <w:p w:rsidR="00E7572A" w:rsidRDefault="000F5641" w:rsidP="004C5849">
      <w:pPr>
        <w:pStyle w:val="ListParagraph"/>
        <w:numPr>
          <w:ilvl w:val="0"/>
          <w:numId w:val="22"/>
        </w:numPr>
        <w:spacing w:after="120"/>
        <w:contextualSpacing w:val="0"/>
      </w:pPr>
      <w:r w:rsidRPr="002B7386">
        <w:rPr>
          <w:rFonts w:eastAsia="Times New Roman"/>
        </w:rPr>
        <w:t xml:space="preserve">Treasury’s </w:t>
      </w:r>
      <w:r w:rsidR="00173DC6">
        <w:rPr>
          <w:rFonts w:eastAsia="Times New Roman"/>
        </w:rPr>
        <w:t>guidance related</w:t>
      </w:r>
      <w:r w:rsidR="00173DC6" w:rsidRPr="002B7386">
        <w:rPr>
          <w:rFonts w:eastAsia="Times New Roman"/>
        </w:rPr>
        <w:t xml:space="preserve"> </w:t>
      </w:r>
      <w:r w:rsidR="00173DC6">
        <w:rPr>
          <w:rFonts w:eastAsia="Times New Roman"/>
        </w:rPr>
        <w:t xml:space="preserve"> to </w:t>
      </w:r>
      <w:r w:rsidRPr="002B7386">
        <w:rPr>
          <w:rFonts w:eastAsia="Times New Roman"/>
        </w:rPr>
        <w:t xml:space="preserve">any </w:t>
      </w:r>
      <w:r w:rsidR="00173DC6">
        <w:rPr>
          <w:rFonts w:eastAsia="Times New Roman"/>
        </w:rPr>
        <w:t>such duty</w:t>
      </w:r>
      <w:r w:rsidR="007C6591" w:rsidRPr="002B7386">
        <w:rPr>
          <w:rFonts w:eastAsia="Times New Roman"/>
        </w:rPr>
        <w:t xml:space="preserve">, </w:t>
      </w:r>
      <w:r w:rsidR="004D2EA5" w:rsidRPr="002B7386">
        <w:rPr>
          <w:rFonts w:eastAsia="Times New Roman"/>
        </w:rPr>
        <w:t xml:space="preserve">as </w:t>
      </w:r>
      <w:r w:rsidR="007C6591" w:rsidRPr="002B7386">
        <w:rPr>
          <w:rFonts w:eastAsia="Times New Roman"/>
        </w:rPr>
        <w:t>applicable</w:t>
      </w:r>
      <w:r w:rsidRPr="002B7386">
        <w:rPr>
          <w:rFonts w:eastAsia="Times New Roman"/>
        </w:rPr>
        <w:t>; and</w:t>
      </w:r>
      <w:r w:rsidR="00AC7D83">
        <w:rPr>
          <w:rFonts w:eastAsia="Times New Roman"/>
        </w:rPr>
        <w:t>,</w:t>
      </w:r>
    </w:p>
    <w:p w:rsidR="00E7572A" w:rsidRDefault="004D2EA5" w:rsidP="009F3595">
      <w:pPr>
        <w:pStyle w:val="ListParagraph"/>
        <w:numPr>
          <w:ilvl w:val="0"/>
          <w:numId w:val="22"/>
        </w:numPr>
        <w:spacing w:before="120" w:after="240"/>
        <w:contextualSpacing w:val="0"/>
      </w:pPr>
      <w:proofErr w:type="gramStart"/>
      <w:r w:rsidRPr="002B7386">
        <w:t>Treasury’s</w:t>
      </w:r>
      <w:proofErr w:type="gramEnd"/>
      <w:r w:rsidRPr="002B7386">
        <w:t xml:space="preserve"> suggested </w:t>
      </w:r>
      <w:r w:rsidR="0058454C" w:rsidRPr="002B7386">
        <w:t xml:space="preserve">best practices for </w:t>
      </w:r>
      <w:r w:rsidRPr="002B7386">
        <w:t>risk mitigation</w:t>
      </w:r>
      <w:r w:rsidR="0058454C" w:rsidRPr="002B7386">
        <w:t>.</w:t>
      </w:r>
    </w:p>
    <w:p w:rsidR="00C86224" w:rsidRPr="002C0731" w:rsidRDefault="00C86224" w:rsidP="002D3074">
      <w:pPr>
        <w:spacing w:before="120"/>
        <w:jc w:val="both"/>
        <w:rPr>
          <w:b/>
        </w:rPr>
      </w:pPr>
      <w:r w:rsidRPr="002C0731">
        <w:rPr>
          <w:rStyle w:val="Strong"/>
          <w:b w:val="0"/>
        </w:rPr>
        <w:t xml:space="preserve">The Treasury Inspector General </w:t>
      </w:r>
      <w:proofErr w:type="gramStart"/>
      <w:r w:rsidRPr="002C0731">
        <w:rPr>
          <w:rStyle w:val="Strong"/>
          <w:b w:val="0"/>
        </w:rPr>
        <w:t>is authorized</w:t>
      </w:r>
      <w:proofErr w:type="gramEnd"/>
      <w:r w:rsidRPr="002C0731">
        <w:rPr>
          <w:rStyle w:val="Strong"/>
          <w:b w:val="0"/>
        </w:rPr>
        <w:t xml:space="preserve"> to review Participating States’ compliance with SSBCI program requirements and prohibitions in conjunction with the recommendations and best practices set forth in this document in order to identify any intentional or reckless misuse of funds.</w:t>
      </w:r>
      <w:r w:rsidR="005C32C2" w:rsidRPr="002C0731">
        <w:rPr>
          <w:b/>
        </w:rPr>
        <w:t xml:space="preserve"> </w:t>
      </w:r>
    </w:p>
    <w:p w:rsidR="007C020E" w:rsidRPr="002B7386" w:rsidRDefault="007C020E" w:rsidP="002D3074">
      <w:pPr>
        <w:spacing w:after="0"/>
        <w:jc w:val="both"/>
        <w:rPr>
          <w:rFonts w:cs="Calibri"/>
        </w:rPr>
      </w:pPr>
      <w:r w:rsidRPr="002B7386">
        <w:rPr>
          <w:rFonts w:cs="Calibri"/>
        </w:rPr>
        <w:t xml:space="preserve">Please note that the contents of these standards </w:t>
      </w:r>
      <w:proofErr w:type="gramStart"/>
      <w:r w:rsidRPr="002B7386">
        <w:rPr>
          <w:rFonts w:cs="Calibri"/>
        </w:rPr>
        <w:t>may be updated</w:t>
      </w:r>
      <w:proofErr w:type="gramEnd"/>
      <w:r w:rsidRPr="002B7386">
        <w:rPr>
          <w:rFonts w:cs="Calibri"/>
        </w:rPr>
        <w:t xml:space="preserve"> periodically to reflect newly available guidance or information.  When and if these standards </w:t>
      </w:r>
      <w:proofErr w:type="gramStart"/>
      <w:r w:rsidRPr="002B7386">
        <w:rPr>
          <w:rFonts w:cs="Calibri"/>
        </w:rPr>
        <w:t>are updated</w:t>
      </w:r>
      <w:proofErr w:type="gramEnd"/>
      <w:r w:rsidRPr="002B7386">
        <w:rPr>
          <w:rFonts w:cs="Calibri"/>
        </w:rPr>
        <w:t xml:space="preserve">, Treasury will </w:t>
      </w:r>
      <w:r w:rsidR="009643BE" w:rsidRPr="002B7386">
        <w:rPr>
          <w:rFonts w:cs="Calibri"/>
        </w:rPr>
        <w:t>publish a Notice of Availability in the Federal Register and notify</w:t>
      </w:r>
      <w:r w:rsidRPr="002B7386">
        <w:rPr>
          <w:rFonts w:cs="Calibri"/>
        </w:rPr>
        <w:t xml:space="preserve"> the Participating States’ Authorized Official and Point of Contact</w:t>
      </w:r>
      <w:r w:rsidR="009643BE" w:rsidRPr="002B7386">
        <w:rPr>
          <w:rFonts w:cs="Calibri"/>
        </w:rPr>
        <w:t xml:space="preserve"> via e-mail</w:t>
      </w:r>
      <w:r w:rsidRPr="002B7386">
        <w:rPr>
          <w:rFonts w:cs="Calibri"/>
        </w:rPr>
        <w:t>.  Participating States may also visit the U.S. Department of Treasury’s SSBCI website (</w:t>
      </w:r>
      <w:hyperlink r:id="rId8" w:history="1">
        <w:r w:rsidRPr="002B7386">
          <w:rPr>
            <w:rStyle w:val="Hyperlink"/>
            <w:rFonts w:cs="Calibri"/>
          </w:rPr>
          <w:t>http://www.treasury.gov/ssbci</w:t>
        </w:r>
      </w:hyperlink>
      <w:r w:rsidRPr="002B7386">
        <w:rPr>
          <w:rFonts w:cs="Calibri"/>
        </w:rPr>
        <w:t>) to review and download the latest version.</w:t>
      </w:r>
    </w:p>
    <w:p w:rsidR="00B04F78" w:rsidRDefault="00EE37AB">
      <w:pPr>
        <w:spacing w:after="0"/>
        <w:sectPr w:rsidR="00B04F78" w:rsidSect="00442777">
          <w:headerReference w:type="default" r:id="rId9"/>
          <w:footerReference w:type="default" r:id="rId10"/>
          <w:headerReference w:type="first" r:id="rId11"/>
          <w:pgSz w:w="12240" w:h="15840"/>
          <w:pgMar w:top="1440" w:right="1800" w:bottom="1440" w:left="1800" w:header="720" w:footer="720" w:gutter="0"/>
          <w:cols w:space="720"/>
          <w:titlePg/>
          <w:docGrid w:linePitch="360"/>
        </w:sectPr>
      </w:pPr>
      <w:r>
        <w:br w:type="page"/>
      </w:r>
    </w:p>
    <w:p w:rsidR="00EE7824" w:rsidRPr="002B7386" w:rsidRDefault="00EE7824" w:rsidP="009F3595">
      <w:pPr>
        <w:pStyle w:val="Heading1"/>
      </w:pPr>
      <w:r w:rsidRPr="002B7386">
        <w:lastRenderedPageBreak/>
        <w:t xml:space="preserve">Recommended </w:t>
      </w:r>
      <w:r w:rsidR="000B7D6A" w:rsidRPr="002B7386">
        <w:t xml:space="preserve">Framework </w:t>
      </w:r>
      <w:r w:rsidRPr="002B7386">
        <w:t>for Identifying, Monitoring, and Managing Compliance and Oversight Risks</w:t>
      </w:r>
    </w:p>
    <w:p w:rsidR="00BD58F5" w:rsidRPr="00BD58F5" w:rsidRDefault="00BD58F5" w:rsidP="00D13A40">
      <w:pPr>
        <w:pStyle w:val="Heading3"/>
      </w:pPr>
      <w:r w:rsidRPr="00BD58F5">
        <w:t xml:space="preserve">Centralize Coordination of Compliance and Oversight </w:t>
      </w:r>
    </w:p>
    <w:p w:rsidR="00EE7824" w:rsidRPr="002B7386" w:rsidRDefault="00EE7824" w:rsidP="002D3074">
      <w:pPr>
        <w:jc w:val="both"/>
      </w:pPr>
      <w:r w:rsidRPr="002B7386">
        <w:t xml:space="preserve">Treasury recommends that each Participating State designate a single employee as the individual responsible for managing </w:t>
      </w:r>
      <w:r w:rsidR="002C0731">
        <w:t xml:space="preserve">the </w:t>
      </w:r>
      <w:r w:rsidRPr="002B7386">
        <w:t xml:space="preserve">day-to-day compliance activities for the Participating State’s Approved State Programs.  This individual should be an employee whose responsibilities span all </w:t>
      </w:r>
      <w:r w:rsidR="00430869" w:rsidRPr="002B7386">
        <w:t>SSBCI</w:t>
      </w:r>
      <w:r w:rsidR="002C0731">
        <w:t xml:space="preserve"> related</w:t>
      </w:r>
      <w:r w:rsidR="00430869" w:rsidRPr="002B7386">
        <w:t xml:space="preserve"> </w:t>
      </w:r>
      <w:r w:rsidRPr="002B7386">
        <w:t>compliance activities</w:t>
      </w:r>
      <w:r w:rsidR="00ED05B9">
        <w:t xml:space="preserve"> and</w:t>
      </w:r>
      <w:r w:rsidR="000C4DAC" w:rsidRPr="002B7386">
        <w:t xml:space="preserve"> </w:t>
      </w:r>
      <w:r w:rsidRPr="002B7386">
        <w:t xml:space="preserve">may be </w:t>
      </w:r>
      <w:r w:rsidR="00430869" w:rsidRPr="002B7386">
        <w:t xml:space="preserve">someone other than </w:t>
      </w:r>
      <w:r w:rsidRPr="002B7386">
        <w:t>the</w:t>
      </w:r>
      <w:r w:rsidR="000C4DAC" w:rsidRPr="002B7386">
        <w:t xml:space="preserve"> </w:t>
      </w:r>
      <w:r w:rsidR="00B230B5">
        <w:t xml:space="preserve">Participating </w:t>
      </w:r>
      <w:r w:rsidR="00AB139C">
        <w:t>S</w:t>
      </w:r>
      <w:r w:rsidR="00AB139C" w:rsidRPr="002B7386">
        <w:t xml:space="preserve">tate’s </w:t>
      </w:r>
      <w:r w:rsidRPr="002B7386">
        <w:t>Authorized Representative</w:t>
      </w:r>
      <w:r w:rsidR="000C4DAC" w:rsidRPr="002B7386">
        <w:t>.</w:t>
      </w:r>
      <w:r w:rsidR="000C4DAC" w:rsidRPr="002B7386" w:rsidDel="000C4DAC">
        <w:t xml:space="preserve"> </w:t>
      </w:r>
      <w:r w:rsidRPr="002B7386">
        <w:t xml:space="preserve"> This individual should coordinate </w:t>
      </w:r>
      <w:r w:rsidR="009643BE" w:rsidRPr="002B7386">
        <w:t>all of the activities listed in this section.</w:t>
      </w:r>
      <w:r w:rsidR="00F42D89">
        <w:t xml:space="preserve">  Depending on the size and scope of a Participating State’s Approved State Programs, </w:t>
      </w:r>
      <w:proofErr w:type="gramStart"/>
      <w:r w:rsidR="00F42D89">
        <w:t>this function may be performed by an individual on a less than full time basis</w:t>
      </w:r>
      <w:proofErr w:type="gramEnd"/>
      <w:r w:rsidR="00F42D89">
        <w:t>.</w:t>
      </w:r>
    </w:p>
    <w:p w:rsidR="00391C98" w:rsidRPr="002B7386" w:rsidRDefault="00F51593" w:rsidP="00D13A40">
      <w:pPr>
        <w:pStyle w:val="Heading3"/>
      </w:pPr>
      <w:r w:rsidRPr="002B7386">
        <w:t>Identif</w:t>
      </w:r>
      <w:r w:rsidR="004C5849">
        <w:t>y</w:t>
      </w:r>
      <w:r w:rsidRPr="002B7386">
        <w:t xml:space="preserve"> </w:t>
      </w:r>
      <w:r w:rsidR="0058454C" w:rsidRPr="002B7386">
        <w:t xml:space="preserve">Key </w:t>
      </w:r>
      <w:r w:rsidR="00D26C8D" w:rsidRPr="002B7386">
        <w:t xml:space="preserve">Compliance and Oversight </w:t>
      </w:r>
      <w:r w:rsidR="000B7D6A" w:rsidRPr="002B7386">
        <w:t>Risk</w:t>
      </w:r>
      <w:r w:rsidR="004D2EA5" w:rsidRPr="002B7386">
        <w:t>s</w:t>
      </w:r>
    </w:p>
    <w:p w:rsidR="005C312B" w:rsidRPr="002B7386" w:rsidRDefault="005C312B" w:rsidP="002D3074">
      <w:pPr>
        <w:jc w:val="both"/>
      </w:pPr>
      <w:r w:rsidRPr="002B7386">
        <w:t xml:space="preserve">Treasury </w:t>
      </w:r>
      <w:r w:rsidR="00B230B5">
        <w:t xml:space="preserve">has </w:t>
      </w:r>
      <w:r w:rsidR="00AB139C">
        <w:t>identified</w:t>
      </w:r>
      <w:r w:rsidRPr="002B7386">
        <w:t xml:space="preserve"> the following </w:t>
      </w:r>
      <w:r w:rsidR="00FE696D">
        <w:t xml:space="preserve">11 </w:t>
      </w:r>
      <w:r w:rsidR="00CE6FE8" w:rsidRPr="002B7386">
        <w:t>high-</w:t>
      </w:r>
      <w:r w:rsidR="00C76151">
        <w:t>potential</w:t>
      </w:r>
      <w:r w:rsidR="00CE6FE8" w:rsidRPr="002B7386">
        <w:t xml:space="preserve"> </w:t>
      </w:r>
      <w:r w:rsidR="00CD3B5C" w:rsidRPr="002B7386">
        <w:t>risk</w:t>
      </w:r>
      <w:r w:rsidR="004D2EA5" w:rsidRPr="002B7386">
        <w:t>s</w:t>
      </w:r>
      <w:r w:rsidR="00CE6FE8" w:rsidRPr="002B7386">
        <w:t xml:space="preserve"> </w:t>
      </w:r>
      <w:r w:rsidR="00C76151">
        <w:t xml:space="preserve">for </w:t>
      </w:r>
      <w:r w:rsidR="0047322C">
        <w:t>most</w:t>
      </w:r>
      <w:r w:rsidR="0047322C" w:rsidRPr="002B7386">
        <w:t xml:space="preserve"> </w:t>
      </w:r>
      <w:r w:rsidRPr="002B7386">
        <w:t>Approved State Prog</w:t>
      </w:r>
      <w:r w:rsidR="00D26C8D" w:rsidRPr="002B7386">
        <w:t>r</w:t>
      </w:r>
      <w:r w:rsidRPr="002B7386">
        <w:t>ams:</w:t>
      </w:r>
    </w:p>
    <w:p w:rsidR="005C312B" w:rsidRPr="006E7A68" w:rsidRDefault="005C312B" w:rsidP="002D3074">
      <w:pPr>
        <w:pStyle w:val="ListParagraph"/>
        <w:numPr>
          <w:ilvl w:val="0"/>
          <w:numId w:val="19"/>
        </w:numPr>
        <w:spacing w:after="120"/>
        <w:contextualSpacing w:val="0"/>
        <w:rPr>
          <w:rFonts w:eastAsia="Times New Roman"/>
        </w:rPr>
      </w:pPr>
      <w:r w:rsidRPr="006E7A68">
        <w:rPr>
          <w:rFonts w:eastAsia="Times New Roman"/>
        </w:rPr>
        <w:t>I</w:t>
      </w:r>
      <w:r w:rsidR="00B510C5" w:rsidRPr="006E7A68">
        <w:rPr>
          <w:rFonts w:eastAsia="Times New Roman"/>
        </w:rPr>
        <w:t>nadequate Borrower and Investee Certifications</w:t>
      </w:r>
      <w:r w:rsidRPr="006E7A68">
        <w:rPr>
          <w:rFonts w:eastAsia="Times New Roman"/>
        </w:rPr>
        <w:t>;</w:t>
      </w:r>
    </w:p>
    <w:p w:rsidR="005C312B" w:rsidRPr="006E7A68" w:rsidRDefault="002C0731" w:rsidP="004A1F39">
      <w:pPr>
        <w:pStyle w:val="ListParagraph"/>
        <w:numPr>
          <w:ilvl w:val="0"/>
          <w:numId w:val="19"/>
        </w:numPr>
        <w:spacing w:after="120"/>
        <w:contextualSpacing w:val="0"/>
        <w:rPr>
          <w:rFonts w:eastAsia="Times New Roman"/>
        </w:rPr>
      </w:pPr>
      <w:r>
        <w:rPr>
          <w:rFonts w:eastAsia="Times New Roman"/>
        </w:rPr>
        <w:t>Inadequate Lender/</w:t>
      </w:r>
      <w:r w:rsidR="00B510C5" w:rsidRPr="006E7A68">
        <w:rPr>
          <w:rFonts w:eastAsia="Times New Roman"/>
        </w:rPr>
        <w:t>Investor</w:t>
      </w:r>
      <w:r>
        <w:rPr>
          <w:rStyle w:val="FootnoteReference"/>
          <w:rFonts w:eastAsia="Times New Roman"/>
        </w:rPr>
        <w:footnoteReference w:id="2"/>
      </w:r>
      <w:r w:rsidR="00B510C5" w:rsidRPr="006E7A68">
        <w:rPr>
          <w:rFonts w:eastAsia="Times New Roman"/>
        </w:rPr>
        <w:t xml:space="preserve"> Certifications</w:t>
      </w:r>
      <w:r w:rsidR="005C312B" w:rsidRPr="006E7A68">
        <w:rPr>
          <w:rFonts w:eastAsia="Times New Roman"/>
        </w:rPr>
        <w:t>;</w:t>
      </w:r>
    </w:p>
    <w:p w:rsidR="005C312B" w:rsidRPr="006E7A68" w:rsidRDefault="005C312B" w:rsidP="004A1F39">
      <w:pPr>
        <w:pStyle w:val="ListParagraph"/>
        <w:numPr>
          <w:ilvl w:val="0"/>
          <w:numId w:val="19"/>
        </w:numPr>
        <w:spacing w:after="120"/>
        <w:contextualSpacing w:val="0"/>
        <w:rPr>
          <w:rFonts w:eastAsia="Times New Roman"/>
        </w:rPr>
      </w:pPr>
      <w:r w:rsidRPr="006E7A68">
        <w:rPr>
          <w:rFonts w:eastAsia="Times New Roman"/>
        </w:rPr>
        <w:t xml:space="preserve">Inadequate Lender/Investor </w:t>
      </w:r>
      <w:r w:rsidR="00014B73" w:rsidRPr="006E7A68">
        <w:rPr>
          <w:rFonts w:eastAsia="Times New Roman"/>
        </w:rPr>
        <w:t>Adherence to Requirements</w:t>
      </w:r>
      <w:r w:rsidRPr="006E7A68">
        <w:rPr>
          <w:rFonts w:eastAsia="Times New Roman"/>
        </w:rPr>
        <w:t>;</w:t>
      </w:r>
    </w:p>
    <w:p w:rsidR="005C312B" w:rsidRPr="006E7A68" w:rsidRDefault="005C312B" w:rsidP="004A1F39">
      <w:pPr>
        <w:pStyle w:val="ListParagraph"/>
        <w:numPr>
          <w:ilvl w:val="0"/>
          <w:numId w:val="19"/>
        </w:numPr>
        <w:spacing w:after="120"/>
        <w:contextualSpacing w:val="0"/>
        <w:rPr>
          <w:rFonts w:eastAsia="Times New Roman"/>
        </w:rPr>
      </w:pPr>
      <w:r w:rsidRPr="006E7A68">
        <w:rPr>
          <w:rFonts w:eastAsia="Times New Roman"/>
        </w:rPr>
        <w:t>Inadequate Over</w:t>
      </w:r>
      <w:r w:rsidR="003C10BA" w:rsidRPr="006E7A68">
        <w:rPr>
          <w:rFonts w:eastAsia="Times New Roman"/>
        </w:rPr>
        <w:t xml:space="preserve">sight of </w:t>
      </w:r>
      <w:r w:rsidR="00E75605">
        <w:rPr>
          <w:rFonts w:eastAsia="Times New Roman"/>
        </w:rPr>
        <w:t>Administering entit</w:t>
      </w:r>
      <w:r w:rsidR="003C10BA" w:rsidRPr="006E7A68">
        <w:rPr>
          <w:rFonts w:eastAsia="Times New Roman"/>
        </w:rPr>
        <w:t>ies</w:t>
      </w:r>
      <w:r w:rsidR="00014B73" w:rsidRPr="006E7A68">
        <w:rPr>
          <w:rFonts w:eastAsia="Times New Roman"/>
        </w:rPr>
        <w:t xml:space="preserve"> and Other Entities Included in Annex 1 of the Allocation Agreement</w:t>
      </w:r>
      <w:r w:rsidR="003C10BA" w:rsidRPr="006E7A68">
        <w:rPr>
          <w:rFonts w:eastAsia="Times New Roman"/>
        </w:rPr>
        <w:t xml:space="preserve"> (if applicable)</w:t>
      </w:r>
      <w:r w:rsidRPr="006E7A68">
        <w:rPr>
          <w:rFonts w:eastAsia="Times New Roman"/>
        </w:rPr>
        <w:t>;</w:t>
      </w:r>
    </w:p>
    <w:p w:rsidR="005C312B" w:rsidRPr="006E7A68" w:rsidRDefault="005C312B" w:rsidP="004A1F39">
      <w:pPr>
        <w:pStyle w:val="ListParagraph"/>
        <w:numPr>
          <w:ilvl w:val="0"/>
          <w:numId w:val="19"/>
        </w:numPr>
        <w:spacing w:after="120"/>
        <w:contextualSpacing w:val="0"/>
        <w:rPr>
          <w:rFonts w:eastAsia="Times New Roman"/>
        </w:rPr>
      </w:pPr>
      <w:r w:rsidRPr="006E7A68">
        <w:rPr>
          <w:rFonts w:eastAsia="Times New Roman"/>
        </w:rPr>
        <w:t>Failure to Submit Timely and Accurate SSBCI Quarterly and Annual Reports;</w:t>
      </w:r>
    </w:p>
    <w:p w:rsidR="005C312B" w:rsidRPr="006E7A68" w:rsidRDefault="005C312B" w:rsidP="004A1F39">
      <w:pPr>
        <w:pStyle w:val="ListParagraph"/>
        <w:numPr>
          <w:ilvl w:val="0"/>
          <w:numId w:val="19"/>
        </w:numPr>
        <w:spacing w:after="120"/>
        <w:contextualSpacing w:val="0"/>
        <w:rPr>
          <w:rFonts w:eastAsia="Times New Roman"/>
        </w:rPr>
      </w:pPr>
      <w:r w:rsidRPr="006E7A68">
        <w:rPr>
          <w:rFonts w:eastAsia="Times New Roman"/>
        </w:rPr>
        <w:t>Inadequate Control and Retention of Records;</w:t>
      </w:r>
    </w:p>
    <w:p w:rsidR="005C312B" w:rsidRPr="006E7A68" w:rsidRDefault="005C312B" w:rsidP="004A1F39">
      <w:pPr>
        <w:pStyle w:val="ListParagraph"/>
        <w:numPr>
          <w:ilvl w:val="0"/>
          <w:numId w:val="19"/>
        </w:numPr>
        <w:spacing w:after="120"/>
        <w:contextualSpacing w:val="0"/>
        <w:rPr>
          <w:rFonts w:eastAsia="Times New Roman"/>
        </w:rPr>
      </w:pPr>
      <w:r w:rsidRPr="006E7A68">
        <w:rPr>
          <w:rFonts w:eastAsia="Times New Roman"/>
        </w:rPr>
        <w:t>Inadequate Documentation of Subsequent Private Financing;</w:t>
      </w:r>
    </w:p>
    <w:p w:rsidR="00A71A16" w:rsidRPr="006E7A68" w:rsidRDefault="00A71A16" w:rsidP="004A1F39">
      <w:pPr>
        <w:pStyle w:val="ListParagraph"/>
        <w:numPr>
          <w:ilvl w:val="0"/>
          <w:numId w:val="19"/>
        </w:numPr>
        <w:spacing w:after="120"/>
        <w:contextualSpacing w:val="0"/>
        <w:rPr>
          <w:rFonts w:eastAsia="Times New Roman"/>
        </w:rPr>
      </w:pPr>
      <w:r w:rsidRPr="006E7A68">
        <w:rPr>
          <w:rFonts w:eastAsia="Times New Roman"/>
        </w:rPr>
        <w:t>Improper Usage of, and Accounting for, Allocated Funds;</w:t>
      </w:r>
    </w:p>
    <w:p w:rsidR="005C312B" w:rsidRPr="006E7A68" w:rsidRDefault="005C312B" w:rsidP="004A1F39">
      <w:pPr>
        <w:pStyle w:val="ListParagraph"/>
        <w:numPr>
          <w:ilvl w:val="0"/>
          <w:numId w:val="19"/>
        </w:numPr>
        <w:spacing w:after="120"/>
        <w:contextualSpacing w:val="0"/>
        <w:rPr>
          <w:rFonts w:eastAsia="Times New Roman"/>
        </w:rPr>
      </w:pPr>
      <w:r w:rsidRPr="006E7A68">
        <w:rPr>
          <w:rFonts w:eastAsia="Times New Roman"/>
        </w:rPr>
        <w:t>Fraud, Waste, and Abuse</w:t>
      </w:r>
      <w:r w:rsidR="00D26C8D" w:rsidRPr="006E7A68">
        <w:rPr>
          <w:rFonts w:eastAsia="Times New Roman"/>
        </w:rPr>
        <w:t xml:space="preserve">; </w:t>
      </w:r>
    </w:p>
    <w:p w:rsidR="005C312B" w:rsidRPr="006E7A68" w:rsidRDefault="005C312B" w:rsidP="004A1F39">
      <w:pPr>
        <w:pStyle w:val="ListParagraph"/>
        <w:numPr>
          <w:ilvl w:val="0"/>
          <w:numId w:val="19"/>
        </w:numPr>
        <w:spacing w:after="120"/>
        <w:contextualSpacing w:val="0"/>
        <w:rPr>
          <w:rFonts w:eastAsia="Times New Roman"/>
        </w:rPr>
      </w:pPr>
      <w:r w:rsidRPr="006E7A68">
        <w:rPr>
          <w:rFonts w:eastAsia="Times New Roman"/>
        </w:rPr>
        <w:t>Conflicts of I</w:t>
      </w:r>
      <w:r w:rsidR="00D26C8D" w:rsidRPr="006E7A68">
        <w:rPr>
          <w:rFonts w:eastAsia="Times New Roman"/>
        </w:rPr>
        <w:t>nterest;</w:t>
      </w:r>
    </w:p>
    <w:p w:rsidR="005C312B" w:rsidRPr="006E7A68" w:rsidRDefault="003C10BA" w:rsidP="002D3074">
      <w:pPr>
        <w:pStyle w:val="ListParagraph"/>
        <w:numPr>
          <w:ilvl w:val="0"/>
          <w:numId w:val="19"/>
        </w:numPr>
        <w:spacing w:after="240"/>
        <w:contextualSpacing w:val="0"/>
        <w:rPr>
          <w:rFonts w:eastAsia="Times New Roman"/>
        </w:rPr>
      </w:pPr>
      <w:r w:rsidRPr="006E7A68">
        <w:rPr>
          <w:rFonts w:eastAsia="Times New Roman"/>
        </w:rPr>
        <w:t xml:space="preserve">[For municipalities only] </w:t>
      </w:r>
      <w:r w:rsidR="00ED05B9" w:rsidRPr="006E7A68">
        <w:rPr>
          <w:rFonts w:eastAsia="Times New Roman"/>
        </w:rPr>
        <w:t>Lack of Adequate Justification for</w:t>
      </w:r>
      <w:r w:rsidRPr="006E7A68">
        <w:rPr>
          <w:rFonts w:eastAsia="Times New Roman"/>
        </w:rPr>
        <w:t xml:space="preserve"> Loans or Investments Made </w:t>
      </w:r>
      <w:r w:rsidR="004E20FD">
        <w:rPr>
          <w:rFonts w:eastAsia="Times New Roman"/>
        </w:rPr>
        <w:t>O</w:t>
      </w:r>
      <w:r w:rsidRPr="006E7A68">
        <w:rPr>
          <w:rFonts w:eastAsia="Times New Roman"/>
        </w:rPr>
        <w:t>utside of Municipal B</w:t>
      </w:r>
      <w:r w:rsidR="00D26C8D" w:rsidRPr="006E7A68">
        <w:rPr>
          <w:rFonts w:eastAsia="Times New Roman"/>
        </w:rPr>
        <w:t>oundaries.</w:t>
      </w:r>
    </w:p>
    <w:p w:rsidR="003C10BA" w:rsidRPr="002B7386" w:rsidRDefault="00D26C8D" w:rsidP="002D3074">
      <w:pPr>
        <w:jc w:val="both"/>
      </w:pPr>
      <w:r w:rsidRPr="002B7386">
        <w:t>Treasury recommends that</w:t>
      </w:r>
      <w:r w:rsidR="003C10BA" w:rsidRPr="002B7386">
        <w:t xml:space="preserve"> Participating States actively monitor, mitigate, and manage </w:t>
      </w:r>
      <w:r w:rsidR="009F1A9C" w:rsidRPr="002B7386">
        <w:t xml:space="preserve">these specific </w:t>
      </w:r>
      <w:r w:rsidR="000B7D6A" w:rsidRPr="002B7386">
        <w:t>risk</w:t>
      </w:r>
      <w:r w:rsidR="003C10BA" w:rsidRPr="002B7386">
        <w:t>s</w:t>
      </w:r>
      <w:r w:rsidR="009F1A9C" w:rsidRPr="002B7386">
        <w:t xml:space="preserve"> as well as any other identified</w:t>
      </w:r>
      <w:r w:rsidR="002C0731">
        <w:t xml:space="preserve"> risks</w:t>
      </w:r>
      <w:r w:rsidR="009F1A9C" w:rsidRPr="002B7386">
        <w:t xml:space="preserve"> that are unique to the design of a particular Approved State Program</w:t>
      </w:r>
      <w:r w:rsidR="003C10BA" w:rsidRPr="002B7386">
        <w:t xml:space="preserve">. </w:t>
      </w:r>
    </w:p>
    <w:p w:rsidR="00BD58F5" w:rsidRDefault="00BD58F5" w:rsidP="00ED05B9">
      <w:pPr>
        <w:pStyle w:val="Heading3"/>
      </w:pPr>
      <w:r w:rsidRPr="00BD58F5">
        <w:t>Assess the Likelihood and Severity of Key Compliance and Oversight Risks</w:t>
      </w:r>
    </w:p>
    <w:p w:rsidR="00F51593" w:rsidRPr="002B7386" w:rsidRDefault="00CE6FE8" w:rsidP="002D3074">
      <w:pPr>
        <w:jc w:val="both"/>
      </w:pPr>
      <w:r w:rsidRPr="002B7386">
        <w:t>E</w:t>
      </w:r>
      <w:r w:rsidR="003C10BA" w:rsidRPr="002B7386">
        <w:t xml:space="preserve">ach Participating State should assess </w:t>
      </w:r>
      <w:r w:rsidR="005C312B" w:rsidRPr="002B7386">
        <w:t xml:space="preserve">the likelihood and impact of each </w:t>
      </w:r>
      <w:r w:rsidR="0058454C" w:rsidRPr="002B7386">
        <w:t>key compliance and oversight</w:t>
      </w:r>
      <w:r w:rsidRPr="002B7386">
        <w:t xml:space="preserve"> </w:t>
      </w:r>
      <w:r w:rsidR="005C312B" w:rsidRPr="002B7386">
        <w:t>risk</w:t>
      </w:r>
      <w:r w:rsidRPr="002B7386">
        <w:t xml:space="preserve"> </w:t>
      </w:r>
      <w:r w:rsidR="00B230B5">
        <w:t xml:space="preserve">(see above) </w:t>
      </w:r>
      <w:r w:rsidR="005D2398" w:rsidRPr="002B7386">
        <w:t xml:space="preserve">as well as for each program- or state-specific risks </w:t>
      </w:r>
      <w:r w:rsidRPr="002B7386">
        <w:t>identified</w:t>
      </w:r>
      <w:r w:rsidR="005C312B" w:rsidRPr="002B7386">
        <w:t xml:space="preserve">.  </w:t>
      </w:r>
      <w:r w:rsidR="00515FB7" w:rsidRPr="002B7386">
        <w:t>Often</w:t>
      </w:r>
      <w:r w:rsidR="005C312B" w:rsidRPr="002B7386">
        <w:t xml:space="preserve">, </w:t>
      </w:r>
      <w:r w:rsidR="005C312B" w:rsidRPr="002B7386">
        <w:lastRenderedPageBreak/>
        <w:t xml:space="preserve">this may result in a three-tiered rating of ”high”, ”medium”, or “low.” </w:t>
      </w:r>
      <w:r w:rsidR="000952CA">
        <w:t xml:space="preserve"> </w:t>
      </w:r>
      <w:r w:rsidR="005C312B" w:rsidRPr="002B7386">
        <w:t>To determine the risk rating, the Participating State should make a</w:t>
      </w:r>
      <w:r w:rsidR="005D2398" w:rsidRPr="002B7386">
        <w:t xml:space="preserve">n informed </w:t>
      </w:r>
      <w:r w:rsidR="005C312B" w:rsidRPr="002B7386">
        <w:t xml:space="preserve">judgment about the likelihood and </w:t>
      </w:r>
      <w:r w:rsidR="00062029">
        <w:t>impact</w:t>
      </w:r>
      <w:r w:rsidR="00062029" w:rsidRPr="002B7386">
        <w:t xml:space="preserve"> </w:t>
      </w:r>
      <w:r w:rsidR="005C312B" w:rsidRPr="002B7386">
        <w:t>of non-compliance</w:t>
      </w:r>
      <w:r w:rsidR="005D2398" w:rsidRPr="002B7386">
        <w:t xml:space="preserve"> by considering</w:t>
      </w:r>
      <w:r w:rsidR="005C312B" w:rsidRPr="002B7386">
        <w:t xml:space="preserve"> </w:t>
      </w:r>
      <w:r w:rsidR="002C0731">
        <w:t>whether</w:t>
      </w:r>
      <w:r w:rsidR="005C312B" w:rsidRPr="002B7386">
        <w:t xml:space="preserve"> vulnerabilities exist that may result in instances of non-compliance with SSBCI requirements.  Participating States should also consider how risks </w:t>
      </w:r>
      <w:r w:rsidR="000952CA" w:rsidRPr="002B7386">
        <w:t>might</w:t>
      </w:r>
      <w:r w:rsidR="005C312B" w:rsidRPr="002B7386">
        <w:t xml:space="preserve"> arise throughout the chain of authorizations, certifications, and approvals among the Participating State’s implementing entity (including employees and board members, if applicable), </w:t>
      </w:r>
      <w:r w:rsidR="009F1A9C" w:rsidRPr="002B7386">
        <w:t xml:space="preserve">any </w:t>
      </w:r>
      <w:r w:rsidR="00E75605">
        <w:t>administering</w:t>
      </w:r>
      <w:r w:rsidR="005C312B" w:rsidRPr="002B7386">
        <w:t xml:space="preserve"> entities, </w:t>
      </w:r>
      <w:r w:rsidR="00B04F78">
        <w:t>lender</w:t>
      </w:r>
      <w:r w:rsidR="0058454C" w:rsidRPr="002B7386">
        <w:t xml:space="preserve">s or </w:t>
      </w:r>
      <w:r w:rsidR="004E2D49" w:rsidRPr="002B7386">
        <w:t>investor</w:t>
      </w:r>
      <w:r w:rsidR="0058454C" w:rsidRPr="002B7386">
        <w:t>s</w:t>
      </w:r>
      <w:r w:rsidR="005C312B" w:rsidRPr="002B7386">
        <w:t xml:space="preserve">, and </w:t>
      </w:r>
      <w:r w:rsidR="003B740D">
        <w:t xml:space="preserve">small business </w:t>
      </w:r>
      <w:r w:rsidR="005C312B" w:rsidRPr="002B7386">
        <w:t xml:space="preserve">borrowers/investees. </w:t>
      </w:r>
    </w:p>
    <w:p w:rsidR="00F51593" w:rsidRPr="002B7386" w:rsidRDefault="00F51593" w:rsidP="002D3074">
      <w:pPr>
        <w:jc w:val="both"/>
      </w:pPr>
      <w:r w:rsidRPr="002B7386">
        <w:t xml:space="preserve"> </w:t>
      </w:r>
      <w:r w:rsidR="00635BE8" w:rsidRPr="002B7386">
        <w:t>A</w:t>
      </w:r>
      <w:r w:rsidRPr="002B7386">
        <w:t>n important part of this</w:t>
      </w:r>
      <w:r w:rsidR="003D61D8" w:rsidRPr="002B7386">
        <w:t xml:space="preserve"> recommended</w:t>
      </w:r>
      <w:r w:rsidRPr="002B7386">
        <w:t xml:space="preserve"> risk assessment consists of reviewing all available internal or external audits of the implementing entity, Approved State Program(s), or </w:t>
      </w:r>
      <w:r w:rsidR="00E75605">
        <w:t>administering entit</w:t>
      </w:r>
      <w:r w:rsidRPr="002B7386">
        <w:t>ies identified in Annex 1 of the Allocation Agreement</w:t>
      </w:r>
      <w:r w:rsidR="000952CA" w:rsidRPr="002B7386">
        <w:t>.</w:t>
      </w:r>
      <w:r w:rsidR="000952CA">
        <w:t xml:space="preserve">  </w:t>
      </w:r>
      <w:r w:rsidRPr="002B7386">
        <w:t xml:space="preserve">If the Approved State Program’s audit, or the audit of the entity </w:t>
      </w:r>
      <w:r w:rsidR="00E75605">
        <w:t>administering</w:t>
      </w:r>
      <w:r w:rsidRPr="002B7386">
        <w:t xml:space="preserve"> a particular Approved State Program, contains findings, material weaknesses, or significant deficiencies, the risk rating </w:t>
      </w:r>
      <w:proofErr w:type="gramStart"/>
      <w:r w:rsidR="007C6591" w:rsidRPr="002B7386">
        <w:t>should</w:t>
      </w:r>
      <w:r w:rsidR="00515FB7" w:rsidRPr="002B7386">
        <w:t xml:space="preserve"> </w:t>
      </w:r>
      <w:r w:rsidRPr="002B7386">
        <w:t>be adjusted</w:t>
      </w:r>
      <w:proofErr w:type="gramEnd"/>
      <w:r w:rsidRPr="002B7386">
        <w:t xml:space="preserve"> accordingly, particularly if the finding, material weakness, or significant deficiency pertains to a</w:t>
      </w:r>
      <w:r w:rsidR="0047322C">
        <w:t>n identified</w:t>
      </w:r>
      <w:r w:rsidRPr="002B7386">
        <w:t xml:space="preserve"> risk category.</w:t>
      </w:r>
      <w:r w:rsidR="000952CA">
        <w:t xml:space="preserve"> </w:t>
      </w:r>
      <w:r w:rsidRPr="002B7386">
        <w:t xml:space="preserve"> Participating States should </w:t>
      </w:r>
      <w:r w:rsidR="004E2D49" w:rsidRPr="002B7386">
        <w:t>also promptly</w:t>
      </w:r>
      <w:r w:rsidRPr="002B7386">
        <w:t xml:space="preserve"> develop, monitor, and implement a corrective action plan</w:t>
      </w:r>
      <w:r w:rsidR="004E2D49" w:rsidRPr="002B7386">
        <w:t xml:space="preserve">.  </w:t>
      </w:r>
      <w:r w:rsidRPr="002B7386">
        <w:t>Treasury encourages Participating States to provide Treasury with copy of any audit containing findings, material weaknesses, or significant deficiencies</w:t>
      </w:r>
      <w:r w:rsidR="004E2D49" w:rsidRPr="002B7386">
        <w:t>, as well as a copy of the management response.</w:t>
      </w:r>
    </w:p>
    <w:p w:rsidR="00BD58F5" w:rsidRDefault="00BD58F5" w:rsidP="006E7A68">
      <w:pPr>
        <w:pStyle w:val="Heading3"/>
      </w:pPr>
      <w:r w:rsidRPr="00BD58F5">
        <w:t xml:space="preserve">Develop a Risk Monitoring and Mitigation Plan </w:t>
      </w:r>
    </w:p>
    <w:p w:rsidR="00F97358" w:rsidRPr="002B7386" w:rsidRDefault="008C19ED" w:rsidP="002C0731">
      <w:pPr>
        <w:jc w:val="both"/>
      </w:pPr>
      <w:r w:rsidRPr="002B7386">
        <w:t xml:space="preserve">Treasury recommends that each Participating State </w:t>
      </w:r>
      <w:r w:rsidR="003D61D8" w:rsidRPr="002B7386">
        <w:t>document its</w:t>
      </w:r>
      <w:r w:rsidR="00AC36B0" w:rsidRPr="002B7386">
        <w:t xml:space="preserve"> </w:t>
      </w:r>
      <w:r w:rsidRPr="002B7386">
        <w:t>plan and detailed procedures</w:t>
      </w:r>
      <w:r w:rsidR="00F97358" w:rsidRPr="002B7386">
        <w:t xml:space="preserve"> for monitoring, mitigating, and managing compliance and oversight risks</w:t>
      </w:r>
      <w:r w:rsidRPr="002B7386">
        <w:t xml:space="preserve">.  </w:t>
      </w:r>
      <w:r w:rsidR="0014160F" w:rsidRPr="002B7386">
        <w:t xml:space="preserve">One effective way for Participating States to organize this document would be in a matrix; however, other approaches that </w:t>
      </w:r>
      <w:r w:rsidR="009F1A9C" w:rsidRPr="002B7386">
        <w:t>trace</w:t>
      </w:r>
      <w:r w:rsidR="0014160F" w:rsidRPr="002B7386">
        <w:t xml:space="preserve"> the relationship between each risk and the associated control objectives, control activities, and testing protocols may be equally effective.  </w:t>
      </w:r>
      <w:r w:rsidR="006562D8" w:rsidRPr="002B7386">
        <w:t xml:space="preserve">The </w:t>
      </w:r>
      <w:r w:rsidRPr="002B7386">
        <w:t xml:space="preserve">matrix (or an equivalent document) should include the </w:t>
      </w:r>
      <w:r w:rsidR="00FC3ADD" w:rsidRPr="002B7386">
        <w:t xml:space="preserve">11 </w:t>
      </w:r>
      <w:r w:rsidRPr="002B7386">
        <w:t>risk</w:t>
      </w:r>
      <w:r w:rsidR="0058454C" w:rsidRPr="002B7386">
        <w:t>s</w:t>
      </w:r>
      <w:r w:rsidRPr="002B7386">
        <w:t xml:space="preserve"> that Treasury </w:t>
      </w:r>
      <w:r w:rsidR="003B740D">
        <w:t xml:space="preserve">identified </w:t>
      </w:r>
      <w:r w:rsidR="00B230B5">
        <w:t>as generally applicable</w:t>
      </w:r>
      <w:r w:rsidRPr="002B7386">
        <w:t xml:space="preserve"> to all Approved State Programs, as well as any additional risk</w:t>
      </w:r>
      <w:r w:rsidR="0058454C" w:rsidRPr="002B7386">
        <w:t>s</w:t>
      </w:r>
      <w:r w:rsidRPr="002B7386">
        <w:t xml:space="preserve"> that the Participating State believes are necessary to address s</w:t>
      </w:r>
      <w:r w:rsidR="00F97358" w:rsidRPr="002B7386">
        <w:t>tate- or program-specific risks, and a rating for each risk</w:t>
      </w:r>
      <w:r w:rsidR="007F227C" w:rsidRPr="002B7386">
        <w:t xml:space="preserve">, as discussed </w:t>
      </w:r>
      <w:proofErr w:type="gramStart"/>
      <w:r w:rsidR="007F227C" w:rsidRPr="002B7386">
        <w:t>above</w:t>
      </w:r>
      <w:proofErr w:type="gramEnd"/>
      <w:r w:rsidR="00F97358" w:rsidRPr="002B7386">
        <w:t>.</w:t>
      </w:r>
      <w:r w:rsidRPr="002B7386">
        <w:t xml:space="preserve">  </w:t>
      </w:r>
    </w:p>
    <w:p w:rsidR="008C19ED" w:rsidRPr="002B7386" w:rsidRDefault="008C19ED" w:rsidP="002C0731">
      <w:pPr>
        <w:jc w:val="both"/>
      </w:pPr>
      <w:r w:rsidRPr="002B7386">
        <w:t xml:space="preserve">For each risk, </w:t>
      </w:r>
      <w:r w:rsidR="003D61D8" w:rsidRPr="002B7386">
        <w:t xml:space="preserve">Treasury recommends that the </w:t>
      </w:r>
      <w:r w:rsidR="00635BE8" w:rsidRPr="002B7386">
        <w:t>P</w:t>
      </w:r>
      <w:r w:rsidRPr="002B7386">
        <w:t>ar</w:t>
      </w:r>
      <w:r w:rsidR="00F97358" w:rsidRPr="002B7386">
        <w:t xml:space="preserve">ticipating State </w:t>
      </w:r>
      <w:r w:rsidR="003D61D8" w:rsidRPr="002B7386">
        <w:t xml:space="preserve">document </w:t>
      </w:r>
      <w:r w:rsidR="00F97358" w:rsidRPr="002B7386">
        <w:t>a specific plan for monitoring, mitigating, and managing risk by:</w:t>
      </w:r>
    </w:p>
    <w:p w:rsidR="008C19ED" w:rsidRPr="002B7386" w:rsidRDefault="00CD3B5C" w:rsidP="00E75605">
      <w:pPr>
        <w:pStyle w:val="ListParagraph"/>
        <w:numPr>
          <w:ilvl w:val="0"/>
          <w:numId w:val="20"/>
        </w:numPr>
        <w:spacing w:after="120"/>
        <w:ind w:left="720"/>
        <w:jc w:val="both"/>
        <w:rPr>
          <w:u w:val="single"/>
        </w:rPr>
      </w:pPr>
      <w:proofErr w:type="gramStart"/>
      <w:r w:rsidRPr="002B7386">
        <w:rPr>
          <w:u w:val="single"/>
        </w:rPr>
        <w:t xml:space="preserve">Defining control objectives to mitigate </w:t>
      </w:r>
      <w:r w:rsidR="00B510C5" w:rsidRPr="002B7386">
        <w:rPr>
          <w:u w:val="single"/>
        </w:rPr>
        <w:t xml:space="preserve">each </w:t>
      </w:r>
      <w:r w:rsidRPr="002B7386">
        <w:rPr>
          <w:u w:val="single"/>
        </w:rPr>
        <w:t>risk</w:t>
      </w:r>
      <w:r w:rsidR="00010242" w:rsidRPr="002B7386">
        <w:t>.</w:t>
      </w:r>
      <w:proofErr w:type="gramEnd"/>
      <w:r w:rsidR="00010242" w:rsidRPr="002B7386">
        <w:t xml:space="preserve">  </w:t>
      </w:r>
      <w:r w:rsidR="002D6D4F" w:rsidRPr="002B7386">
        <w:t xml:space="preserve">A control objective is the specific target used to determine whether a control is operating effectively.  It </w:t>
      </w:r>
      <w:proofErr w:type="gramStart"/>
      <w:r w:rsidR="002D6D4F" w:rsidRPr="002B7386">
        <w:t>can also be thought of</w:t>
      </w:r>
      <w:proofErr w:type="gramEnd"/>
      <w:r w:rsidR="002D6D4F" w:rsidRPr="002B7386">
        <w:t xml:space="preserve"> as a management goal focused on mitigating a specific compliance and oversight risk.  For example, a control objective regarding reporting might be as follows: “SSBCI quarterly or annual reports are submitted on time and are complete, accurate, and consistent with the state’s general ledger entries and documentation.”</w:t>
      </w:r>
      <w:r w:rsidR="008608D8" w:rsidRPr="002B7386">
        <w:t xml:space="preserve">  Many of these control objectives can be easily derived from the </w:t>
      </w:r>
      <w:r w:rsidR="00BA1EF7" w:rsidRPr="002B7386">
        <w:t>11</w:t>
      </w:r>
      <w:r w:rsidR="008608D8" w:rsidRPr="002B7386">
        <w:t xml:space="preserve"> risk</w:t>
      </w:r>
      <w:r w:rsidR="007F227C" w:rsidRPr="002B7386">
        <w:t>s</w:t>
      </w:r>
      <w:r w:rsidR="00FC3ADD" w:rsidRPr="002B7386">
        <w:t xml:space="preserve"> </w:t>
      </w:r>
      <w:r w:rsidR="008608D8" w:rsidRPr="002B7386">
        <w:t xml:space="preserve">that Treasury </w:t>
      </w:r>
      <w:r w:rsidR="00B230B5">
        <w:t xml:space="preserve">has </w:t>
      </w:r>
      <w:r w:rsidR="003B740D">
        <w:t xml:space="preserve">identified as </w:t>
      </w:r>
      <w:proofErr w:type="gramStart"/>
      <w:r w:rsidR="00FE696D">
        <w:t>high-potential</w:t>
      </w:r>
      <w:proofErr w:type="gramEnd"/>
      <w:r w:rsidR="00FE696D">
        <w:t xml:space="preserve"> for </w:t>
      </w:r>
      <w:r w:rsidR="0047322C">
        <w:t>most</w:t>
      </w:r>
      <w:r w:rsidR="0047322C" w:rsidRPr="002B7386">
        <w:t xml:space="preserve"> </w:t>
      </w:r>
      <w:r w:rsidR="008608D8" w:rsidRPr="002B7386">
        <w:t>Approved State Programs; however, Participating States should consider whether additional program or state-specific risks merit additional control objectives.</w:t>
      </w:r>
    </w:p>
    <w:p w:rsidR="006845EB" w:rsidRPr="002B7386" w:rsidRDefault="006845EB" w:rsidP="00E75605">
      <w:pPr>
        <w:pStyle w:val="ListParagraph"/>
        <w:spacing w:after="120"/>
        <w:ind w:hanging="360"/>
        <w:rPr>
          <w:u w:val="single"/>
        </w:rPr>
      </w:pPr>
    </w:p>
    <w:p w:rsidR="00E75605" w:rsidRDefault="00557DD1" w:rsidP="00E75605">
      <w:pPr>
        <w:pStyle w:val="ListParagraph"/>
        <w:numPr>
          <w:ilvl w:val="0"/>
          <w:numId w:val="20"/>
        </w:numPr>
        <w:shd w:val="clear" w:color="auto" w:fill="FFFFFF" w:themeFill="background1"/>
        <w:spacing w:after="120"/>
        <w:ind w:left="720"/>
        <w:jc w:val="both"/>
      </w:pPr>
      <w:r w:rsidRPr="002B7386">
        <w:rPr>
          <w:u w:val="single"/>
        </w:rPr>
        <w:lastRenderedPageBreak/>
        <w:t>Specifying control activities for each control objective</w:t>
      </w:r>
      <w:r w:rsidRPr="002B7386">
        <w:t>.  One definition of control activities, which is provided by the Government Accountability Office (GAO)</w:t>
      </w:r>
      <w:r w:rsidRPr="002B7386">
        <w:rPr>
          <w:rStyle w:val="FootnoteReference"/>
        </w:rPr>
        <w:footnoteReference w:id="3"/>
      </w:r>
      <w:r w:rsidRPr="002B7386">
        <w:t xml:space="preserve"> , is as follows: “Control activities are the policies, procedures, techniques, and mechanisms that enforce management’s directives, such as the process of adhering to requirements</w:t>
      </w:r>
      <w:proofErr w:type="gramStart"/>
      <w:r w:rsidRPr="002B7386">
        <w:t>.</w:t>
      </w:r>
      <w:r w:rsidRPr="002B7386" w:rsidDel="007F3A23">
        <w:t xml:space="preserve"> </w:t>
      </w:r>
      <w:proofErr w:type="gramEnd"/>
      <w:r w:rsidRPr="002B7386">
        <w:t>They help ensure that actions are taken to address risks.”</w:t>
      </w:r>
      <w:r w:rsidRPr="002B7386">
        <w:rPr>
          <w:rStyle w:val="FootnoteReference"/>
        </w:rPr>
        <w:footnoteReference w:id="4"/>
      </w:r>
      <w:r w:rsidR="008608D8" w:rsidRPr="002B7386">
        <w:t xml:space="preserve">  Control activities are the policies and procedures that organizations follow to ensure that they achieve the control objectives.</w:t>
      </w:r>
    </w:p>
    <w:p w:rsidR="00E75605" w:rsidRPr="002B7386" w:rsidRDefault="00E75605" w:rsidP="00E75605">
      <w:pPr>
        <w:pStyle w:val="ListParagraph"/>
        <w:shd w:val="clear" w:color="auto" w:fill="FFFFFF" w:themeFill="background1"/>
        <w:spacing w:after="120"/>
        <w:jc w:val="both"/>
      </w:pPr>
    </w:p>
    <w:p w:rsidR="006D0F4F" w:rsidRDefault="00CD3B5C" w:rsidP="00E75605">
      <w:pPr>
        <w:pStyle w:val="ListParagraph"/>
        <w:numPr>
          <w:ilvl w:val="0"/>
          <w:numId w:val="20"/>
        </w:numPr>
        <w:spacing w:after="120"/>
        <w:ind w:left="720"/>
        <w:jc w:val="both"/>
      </w:pPr>
      <w:r w:rsidRPr="006D0F4F">
        <w:rPr>
          <w:u w:val="single"/>
        </w:rPr>
        <w:t>Specifying the planned test methodology, sample size, and testing frequency for each control activity</w:t>
      </w:r>
      <w:r w:rsidR="008C19ED" w:rsidRPr="002B7386">
        <w:t xml:space="preserve">. </w:t>
      </w:r>
      <w:r w:rsidR="00010242">
        <w:t xml:space="preserve"> </w:t>
      </w:r>
      <w:r w:rsidR="004F7DC9" w:rsidRPr="002B7386">
        <w:t xml:space="preserve">Treasury recommends that </w:t>
      </w:r>
      <w:r w:rsidR="002C0731">
        <w:t xml:space="preserve">controls </w:t>
      </w:r>
      <w:r w:rsidR="004F7DC9" w:rsidRPr="002B7386">
        <w:t xml:space="preserve">testing </w:t>
      </w:r>
      <w:proofErr w:type="gramStart"/>
      <w:r w:rsidR="004F7DC9" w:rsidRPr="002B7386">
        <w:t>be conducted</w:t>
      </w:r>
      <w:proofErr w:type="gramEnd"/>
      <w:r w:rsidR="008C19ED" w:rsidRPr="002B7386">
        <w:t xml:space="preserve"> at least annua</w:t>
      </w:r>
      <w:r w:rsidR="000B7D6A" w:rsidRPr="002B7386">
        <w:t>l</w:t>
      </w:r>
      <w:r w:rsidR="008C19ED" w:rsidRPr="002B7386">
        <w:t>l</w:t>
      </w:r>
      <w:r w:rsidR="000B7D6A" w:rsidRPr="002B7386">
        <w:t>y</w:t>
      </w:r>
      <w:r w:rsidR="008C19ED" w:rsidRPr="002B7386">
        <w:t xml:space="preserve">. </w:t>
      </w:r>
      <w:r w:rsidR="006D0F4F">
        <w:t xml:space="preserve"> </w:t>
      </w:r>
      <w:r w:rsidR="008C19ED" w:rsidRPr="002B7386">
        <w:t xml:space="preserve">However, for </w:t>
      </w:r>
      <w:r w:rsidR="00FC3ADD" w:rsidRPr="002B7386">
        <w:t>risks</w:t>
      </w:r>
      <w:r w:rsidR="008C19ED" w:rsidRPr="002B7386">
        <w:t xml:space="preserve"> with a risk rating of </w:t>
      </w:r>
      <w:r w:rsidR="003B740D">
        <w:t>”</w:t>
      </w:r>
      <w:r w:rsidR="003B740D" w:rsidRPr="002B7386">
        <w:t>medium</w:t>
      </w:r>
      <w:r w:rsidR="003B740D">
        <w:t xml:space="preserve">” </w:t>
      </w:r>
      <w:r w:rsidR="008C19ED" w:rsidRPr="002B7386">
        <w:t xml:space="preserve">or </w:t>
      </w:r>
      <w:r w:rsidR="003B740D">
        <w:t>”</w:t>
      </w:r>
      <w:r w:rsidR="008C19ED" w:rsidRPr="002B7386">
        <w:t>high,</w:t>
      </w:r>
      <w:r w:rsidR="003B740D">
        <w:t>“</w:t>
      </w:r>
      <w:r w:rsidR="003B740D" w:rsidRPr="002B7386">
        <w:t xml:space="preserve"> </w:t>
      </w:r>
      <w:r w:rsidR="008C19ED" w:rsidRPr="002B7386">
        <w:t>Participating States should consider expanding the sample size and/or conducting more frequent controls testing to mitigate compliance risk  and  to ensure a robust control environment.</w:t>
      </w:r>
    </w:p>
    <w:p w:rsidR="008C19ED" w:rsidRPr="002B7386" w:rsidRDefault="006D0F4F" w:rsidP="00E75605">
      <w:pPr>
        <w:spacing w:after="120"/>
        <w:ind w:left="720"/>
        <w:jc w:val="both"/>
      </w:pPr>
      <w:r>
        <w:t>T</w:t>
      </w:r>
      <w:r w:rsidR="008C19ED" w:rsidRPr="002B7386">
        <w:t xml:space="preserve">reasury recommends </w:t>
      </w:r>
      <w:r w:rsidR="00CB0858">
        <w:t>that Participating States should conduct testing</w:t>
      </w:r>
      <w:r w:rsidR="008C19ED" w:rsidRPr="002B7386">
        <w:t xml:space="preserve"> for each control activity </w:t>
      </w:r>
      <w:r w:rsidR="00CB0858">
        <w:t>using</w:t>
      </w:r>
      <w:r w:rsidR="008C19ED" w:rsidRPr="002B7386">
        <w:t xml:space="preserve"> a statistically valid sample</w:t>
      </w:r>
      <w:r w:rsidR="008C19ED" w:rsidRPr="002B7386">
        <w:rPr>
          <w:rStyle w:val="FootnoteReference"/>
        </w:rPr>
        <w:footnoteReference w:id="5"/>
      </w:r>
      <w:r w:rsidR="008C19ED" w:rsidRPr="002B7386">
        <w:t xml:space="preserve">. </w:t>
      </w:r>
      <w:r w:rsidR="008C19ED" w:rsidRPr="006D0F4F">
        <w:rPr>
          <w:rFonts w:eastAsia="Times New Roman" w:cs="Calibri"/>
          <w:color w:val="000000"/>
        </w:rPr>
        <w:t xml:space="preserve"> </w:t>
      </w:r>
      <w:r w:rsidR="003B740D" w:rsidRPr="006D0F4F">
        <w:rPr>
          <w:rFonts w:eastAsia="Times New Roman" w:cs="Calibri"/>
          <w:color w:val="000000"/>
        </w:rPr>
        <w:t>S</w:t>
      </w:r>
      <w:r w:rsidR="008C19ED" w:rsidRPr="006D0F4F">
        <w:rPr>
          <w:rFonts w:eastAsia="Times New Roman" w:cs="Calibri"/>
          <w:color w:val="000000"/>
        </w:rPr>
        <w:t xml:space="preserve">tatistical samples </w:t>
      </w:r>
      <w:proofErr w:type="gramStart"/>
      <w:r w:rsidR="008C19ED" w:rsidRPr="006D0F4F">
        <w:rPr>
          <w:rFonts w:eastAsia="Times New Roman" w:cs="Calibri"/>
          <w:color w:val="000000"/>
        </w:rPr>
        <w:t>should be designed</w:t>
      </w:r>
      <w:proofErr w:type="gramEnd"/>
      <w:r w:rsidR="008C19ED" w:rsidRPr="006D0F4F">
        <w:rPr>
          <w:rFonts w:eastAsia="Times New Roman" w:cs="Calibri"/>
          <w:color w:val="000000"/>
        </w:rPr>
        <w:t xml:space="preserve"> based on </w:t>
      </w:r>
      <w:r w:rsidR="00AC36B0" w:rsidRPr="006D0F4F">
        <w:rPr>
          <w:rFonts w:eastAsia="Times New Roman" w:cs="Calibri"/>
          <w:color w:val="000000"/>
        </w:rPr>
        <w:t xml:space="preserve">widely accepted </w:t>
      </w:r>
      <w:r w:rsidR="008C19ED" w:rsidRPr="006D0F4F">
        <w:rPr>
          <w:rFonts w:eastAsia="Times New Roman" w:cs="Calibri"/>
          <w:color w:val="000000"/>
        </w:rPr>
        <w:t xml:space="preserve">statistical sampling principles. </w:t>
      </w:r>
      <w:r w:rsidR="00CB0858" w:rsidRPr="006D0F4F">
        <w:rPr>
          <w:rFonts w:eastAsia="Times New Roman" w:cs="Calibri"/>
          <w:color w:val="000000"/>
        </w:rPr>
        <w:t xml:space="preserve"> </w:t>
      </w:r>
      <w:r w:rsidR="008C19ED" w:rsidRPr="006D0F4F">
        <w:rPr>
          <w:rFonts w:eastAsia="Times New Roman" w:cs="Calibri"/>
          <w:color w:val="000000"/>
        </w:rPr>
        <w:t xml:space="preserve">The required sample size </w:t>
      </w:r>
      <w:proofErr w:type="gramStart"/>
      <w:r w:rsidR="008C19ED" w:rsidRPr="006D0F4F">
        <w:rPr>
          <w:rFonts w:eastAsia="Times New Roman" w:cs="Calibri"/>
          <w:color w:val="000000"/>
        </w:rPr>
        <w:t>should be based</w:t>
      </w:r>
      <w:proofErr w:type="gramEnd"/>
      <w:r w:rsidR="008C19ED" w:rsidRPr="006D0F4F">
        <w:rPr>
          <w:rFonts w:eastAsia="Times New Roman" w:cs="Calibri"/>
          <w:color w:val="000000"/>
        </w:rPr>
        <w:t xml:space="preserve"> on factors including the size of the population, the acceptable margin of error, and the confidence level desired.</w:t>
      </w:r>
      <w:r w:rsidR="00CB0858" w:rsidRPr="006D0F4F">
        <w:rPr>
          <w:rFonts w:eastAsia="Times New Roman" w:cs="Calibri"/>
          <w:color w:val="000000"/>
        </w:rPr>
        <w:t xml:space="preserve">  </w:t>
      </w:r>
      <w:r w:rsidR="00B510C5" w:rsidRPr="006D0F4F">
        <w:rPr>
          <w:rFonts w:eastAsia="Times New Roman" w:cs="Calibri"/>
          <w:color w:val="000000"/>
        </w:rPr>
        <w:t>Statistical sample calculators are available on the Internet, and Participating States may find these useful when determining the appropriate sample size.</w:t>
      </w:r>
    </w:p>
    <w:p w:rsidR="00124F02" w:rsidRPr="002B7386" w:rsidRDefault="008C19ED" w:rsidP="00E75605">
      <w:pPr>
        <w:spacing w:after="240"/>
        <w:ind w:left="720" w:hanging="360"/>
        <w:jc w:val="both"/>
      </w:pPr>
      <w:r w:rsidRPr="002B7386">
        <w:tab/>
        <w:t>Participating States should document the statistical sampling technique, methodology, and rationale for the sample size and sample frequency of each test conducted</w:t>
      </w:r>
      <w:r w:rsidR="00C12068" w:rsidRPr="002B7386">
        <w:t>.</w:t>
      </w:r>
    </w:p>
    <w:p w:rsidR="00086DDC" w:rsidRPr="002B7386" w:rsidRDefault="00AC36B0" w:rsidP="002C0731">
      <w:pPr>
        <w:jc w:val="both"/>
      </w:pPr>
      <w:r w:rsidRPr="002B7386">
        <w:t>On</w:t>
      </w:r>
      <w:r w:rsidR="0014160F" w:rsidRPr="002B7386">
        <w:t>e</w:t>
      </w:r>
      <w:r w:rsidR="00C24905" w:rsidRPr="002B7386">
        <w:t xml:space="preserve"> effective way to organize this information, as stated above, is in a compliance and internal controls matrix.  Such a matrix would typically include a </w:t>
      </w:r>
      <w:r w:rsidR="0047322C">
        <w:t>row</w:t>
      </w:r>
      <w:r w:rsidR="0047322C" w:rsidRPr="002B7386">
        <w:t xml:space="preserve"> </w:t>
      </w:r>
      <w:r w:rsidR="00C24905" w:rsidRPr="002B7386">
        <w:t xml:space="preserve">for each risk category, followed by columns for the risk rating; control objectives; control activities; planned test methodology, sample size, and testing frequency.  Test results and the resolution of any corrective actions, if required, </w:t>
      </w:r>
      <w:proofErr w:type="gramStart"/>
      <w:r w:rsidR="00C24905" w:rsidRPr="002B7386">
        <w:t>could subsequently be added</w:t>
      </w:r>
      <w:proofErr w:type="gramEnd"/>
      <w:r w:rsidR="00C24905" w:rsidRPr="002B7386">
        <w:t xml:space="preserve"> to this matrix.</w:t>
      </w:r>
    </w:p>
    <w:p w:rsidR="00BD58F5" w:rsidRDefault="00BD58F5" w:rsidP="00CB0858">
      <w:pPr>
        <w:pStyle w:val="Heading3"/>
      </w:pPr>
      <w:r w:rsidRPr="00BD58F5">
        <w:t>Conduct Periodic Testing</w:t>
      </w:r>
    </w:p>
    <w:p w:rsidR="00F55C46" w:rsidRPr="002B7386" w:rsidRDefault="00C12068" w:rsidP="006D0F4F">
      <w:pPr>
        <w:jc w:val="both"/>
      </w:pPr>
      <w:r w:rsidRPr="002B7386">
        <w:t xml:space="preserve">Treasury recommends that Participating States test a statistically significant sample of the Participating State’s records on a periodic basis to determine whether the Participating State is adhering to the control activities listed in the Participating State’s </w:t>
      </w:r>
      <w:r w:rsidR="00301C36">
        <w:t>c</w:t>
      </w:r>
      <w:r w:rsidRPr="00301C36">
        <w:t xml:space="preserve">ompliance and </w:t>
      </w:r>
      <w:r w:rsidR="00301C36">
        <w:t>i</w:t>
      </w:r>
      <w:r w:rsidRPr="00301C36">
        <w:t xml:space="preserve">nternal </w:t>
      </w:r>
      <w:r w:rsidR="00301C36">
        <w:t>c</w:t>
      </w:r>
      <w:r w:rsidRPr="00301C36">
        <w:t xml:space="preserve">ontrols </w:t>
      </w:r>
      <w:r w:rsidR="00301C36">
        <w:t>m</w:t>
      </w:r>
      <w:r w:rsidRPr="00301C36">
        <w:t>atrix</w:t>
      </w:r>
      <w:r w:rsidRPr="002B7386">
        <w:t xml:space="preserve"> (or equivalent document</w:t>
      </w:r>
      <w:r w:rsidR="00CB0858" w:rsidRPr="002B7386">
        <w:t xml:space="preserve">). </w:t>
      </w:r>
      <w:r w:rsidR="00CB0858">
        <w:t xml:space="preserve"> </w:t>
      </w:r>
      <w:r w:rsidR="007F227C" w:rsidRPr="002B7386">
        <w:t>Treasury does not require that Participating States conduct any particular audit as part of its compliance system</w:t>
      </w:r>
      <w:r w:rsidR="00B510C5" w:rsidRPr="002B7386">
        <w:t xml:space="preserve">. </w:t>
      </w:r>
      <w:r w:rsidR="007F227C" w:rsidRPr="002B7386">
        <w:t xml:space="preserve"> </w:t>
      </w:r>
      <w:r w:rsidR="00B510C5" w:rsidRPr="002B7386">
        <w:t>H</w:t>
      </w:r>
      <w:r w:rsidR="005D2398" w:rsidRPr="002B7386">
        <w:t>owever</w:t>
      </w:r>
      <w:r w:rsidR="00B510C5" w:rsidRPr="002B7386">
        <w:t>,</w:t>
      </w:r>
      <w:r w:rsidR="005D2398" w:rsidRPr="002B7386">
        <w:t xml:space="preserve"> </w:t>
      </w:r>
      <w:r w:rsidRPr="002B7386">
        <w:t xml:space="preserve">Treasury </w:t>
      </w:r>
      <w:r w:rsidR="007F227C" w:rsidRPr="002B7386">
        <w:t xml:space="preserve">does </w:t>
      </w:r>
      <w:r w:rsidRPr="002B7386">
        <w:lastRenderedPageBreak/>
        <w:t>recommend that control</w:t>
      </w:r>
      <w:r w:rsidR="006D0F4F">
        <w:t>s</w:t>
      </w:r>
      <w:r w:rsidRPr="002B7386">
        <w:t xml:space="preserve"> testing </w:t>
      </w:r>
      <w:proofErr w:type="gramStart"/>
      <w:r w:rsidRPr="002B7386">
        <w:t>be conducted</w:t>
      </w:r>
      <w:proofErr w:type="gramEnd"/>
      <w:r w:rsidRPr="002B7386">
        <w:t xml:space="preserve"> at least annually</w:t>
      </w:r>
      <w:r w:rsidR="005D2398" w:rsidRPr="002B7386">
        <w:t xml:space="preserve">.  </w:t>
      </w:r>
      <w:r w:rsidRPr="002B7386">
        <w:t>Participating States should make a risk-based determination as to whether more frequent control</w:t>
      </w:r>
      <w:r w:rsidR="006D0F4F">
        <w:t>s</w:t>
      </w:r>
      <w:r w:rsidRPr="002B7386">
        <w:t xml:space="preserve"> testing is </w:t>
      </w:r>
      <w:r w:rsidR="00753009" w:rsidRPr="002B7386">
        <w:t>warranted</w:t>
      </w:r>
      <w:proofErr w:type="gramStart"/>
      <w:r w:rsidRPr="002B7386">
        <w:t xml:space="preserve">. </w:t>
      </w:r>
      <w:r w:rsidR="005D2398" w:rsidRPr="002B7386">
        <w:t xml:space="preserve">  </w:t>
      </w:r>
      <w:proofErr w:type="gramEnd"/>
      <w:r w:rsidRPr="002B7386">
        <w:t>In order to ensure objectivity, control</w:t>
      </w:r>
      <w:r w:rsidR="006D0F4F">
        <w:t>s</w:t>
      </w:r>
      <w:r w:rsidRPr="002B7386">
        <w:t xml:space="preserve"> testing should be conducted by an individual that </w:t>
      </w:r>
      <w:r w:rsidR="00223746">
        <w:t>(1</w:t>
      </w:r>
      <w:r w:rsidRPr="002B7386">
        <w:t xml:space="preserve">) is </w:t>
      </w:r>
      <w:r w:rsidR="007F227C" w:rsidRPr="002B7386">
        <w:t xml:space="preserve">not </w:t>
      </w:r>
      <w:r w:rsidRPr="002B7386">
        <w:t xml:space="preserve">responsible for performing any of the control activities </w:t>
      </w:r>
      <w:r w:rsidR="005D2398" w:rsidRPr="002B7386">
        <w:t xml:space="preserve">established by the </w:t>
      </w:r>
      <w:r w:rsidRPr="002B7386">
        <w:t>Participating State</w:t>
      </w:r>
      <w:r w:rsidR="00EE37AB">
        <w:t>;</w:t>
      </w:r>
      <w:r w:rsidRPr="002B7386">
        <w:t xml:space="preserve"> </w:t>
      </w:r>
      <w:r w:rsidR="007F227C" w:rsidRPr="002B7386">
        <w:t>and</w:t>
      </w:r>
      <w:r w:rsidR="00CB0858">
        <w:t xml:space="preserve">, </w:t>
      </w:r>
      <w:r w:rsidR="00223746">
        <w:t>(2</w:t>
      </w:r>
      <w:r w:rsidRPr="002B7386">
        <w:t xml:space="preserve">) </w:t>
      </w:r>
      <w:r w:rsidR="007F227C" w:rsidRPr="002B7386">
        <w:t xml:space="preserve">does not </w:t>
      </w:r>
      <w:r w:rsidRPr="002B7386">
        <w:t>report to an</w:t>
      </w:r>
      <w:r w:rsidR="005D2398" w:rsidRPr="002B7386">
        <w:t>y</w:t>
      </w:r>
      <w:r w:rsidRPr="002B7386">
        <w:t xml:space="preserve"> individual responsible for performing or overseeing any of the </w:t>
      </w:r>
      <w:r w:rsidR="007F227C" w:rsidRPr="002B7386">
        <w:t xml:space="preserve">Participating State’s risk mitigation </w:t>
      </w:r>
      <w:r w:rsidRPr="002B7386">
        <w:t xml:space="preserve">control activities.  Typically, </w:t>
      </w:r>
      <w:r w:rsidR="00EE37AB" w:rsidRPr="002B7386">
        <w:t>the employee designated as responsible for overseeing compliance should also review test results</w:t>
      </w:r>
      <w:r w:rsidRPr="002B7386">
        <w:t xml:space="preserve">.  </w:t>
      </w:r>
    </w:p>
    <w:p w:rsidR="00F55C46" w:rsidRPr="002B7386" w:rsidRDefault="00F55C46" w:rsidP="006D0F4F">
      <w:pPr>
        <w:jc w:val="both"/>
      </w:pPr>
      <w:r w:rsidRPr="002B7386">
        <w:t xml:space="preserve">If a Participating State becomes aware of the fact that an ineligible loan or investment </w:t>
      </w:r>
      <w:proofErr w:type="gramStart"/>
      <w:r w:rsidRPr="002B7386">
        <w:t>has been enrolled</w:t>
      </w:r>
      <w:proofErr w:type="gramEnd"/>
      <w:r w:rsidRPr="002B7386">
        <w:t xml:space="preserve"> in an Approved State Program, the Participating State should contact the SSBCI Compliance Manager to d</w:t>
      </w:r>
      <w:r w:rsidR="006D0F4F">
        <w:t>etermine the corrective actions, including whether to amend any prior submitted SSBCI quarterly or annual reports.</w:t>
      </w:r>
    </w:p>
    <w:p w:rsidR="00315964" w:rsidRPr="002B7386" w:rsidRDefault="00C12068" w:rsidP="006D0F4F">
      <w:pPr>
        <w:jc w:val="both"/>
      </w:pPr>
      <w:r w:rsidRPr="002B7386">
        <w:t>If a</w:t>
      </w:r>
      <w:r w:rsidR="00006D43" w:rsidRPr="002B7386">
        <w:t xml:space="preserve">n employee of a </w:t>
      </w:r>
      <w:r w:rsidRPr="002B7386">
        <w:t>Participating State</w:t>
      </w:r>
      <w:r w:rsidR="00F55C46" w:rsidRPr="002B7386">
        <w:t xml:space="preserve">, </w:t>
      </w:r>
      <w:r w:rsidR="00E75605">
        <w:t>administering entit</w:t>
      </w:r>
      <w:r w:rsidR="00F55C46" w:rsidRPr="002B7386">
        <w:t xml:space="preserve">y, or implementing agency </w:t>
      </w:r>
      <w:r w:rsidRPr="002B7386">
        <w:t xml:space="preserve">identifies any instances of fraud, waste, or abuse, </w:t>
      </w:r>
      <w:r w:rsidR="00F55C46" w:rsidRPr="002B7386">
        <w:t xml:space="preserve">he or she should </w:t>
      </w:r>
      <w:r w:rsidRPr="002B7386">
        <w:t xml:space="preserve">contact </w:t>
      </w:r>
      <w:r w:rsidR="0014160F" w:rsidRPr="002B7386">
        <w:t xml:space="preserve">the </w:t>
      </w:r>
      <w:r w:rsidRPr="002B7386">
        <w:t>Treasury</w:t>
      </w:r>
      <w:r w:rsidR="0014160F" w:rsidRPr="002B7386">
        <w:t xml:space="preserve"> Office of Inspector General</w:t>
      </w:r>
      <w:r w:rsidRPr="002B7386">
        <w:t xml:space="preserve"> immediately. </w:t>
      </w:r>
      <w:r w:rsidR="0014160F" w:rsidRPr="002B7386">
        <w:t xml:space="preserve"> See </w:t>
      </w:r>
      <w:hyperlink r:id="rId12" w:history="1">
        <w:r w:rsidR="0014160F" w:rsidRPr="002B7386">
          <w:rPr>
            <w:rStyle w:val="Hyperlink"/>
          </w:rPr>
          <w:t>http://www.treasury.gov/services/report-fwa/Pages/ReportFWA.aspx</w:t>
        </w:r>
      </w:hyperlink>
      <w:r w:rsidR="0014160F" w:rsidRPr="002B7386">
        <w:t xml:space="preserve"> for more information about how to contact the Treasury Office of Inspector General.</w:t>
      </w:r>
    </w:p>
    <w:p w:rsidR="00BD58F5" w:rsidRPr="00BD58F5" w:rsidRDefault="00BD58F5" w:rsidP="00EE37AB">
      <w:pPr>
        <w:pStyle w:val="Heading3"/>
      </w:pPr>
      <w:r w:rsidRPr="00BD58F5">
        <w:t>Take Corrective Actions as Needed</w:t>
      </w:r>
    </w:p>
    <w:p w:rsidR="00315964" w:rsidRPr="002B7386" w:rsidRDefault="00315964" w:rsidP="006D0F4F">
      <w:pPr>
        <w:jc w:val="both"/>
      </w:pPr>
      <w:r w:rsidRPr="002B7386">
        <w:t xml:space="preserve">If test results indicate </w:t>
      </w:r>
      <w:r w:rsidR="0047322C">
        <w:t>isolated and non-repeating</w:t>
      </w:r>
      <w:r w:rsidR="0047322C" w:rsidRPr="002B7386">
        <w:t xml:space="preserve"> </w:t>
      </w:r>
      <w:r w:rsidRPr="002B7386">
        <w:t xml:space="preserve">instances of non-compliance, the Participating State should take all necessary steps to bring these applicable records into compliance. </w:t>
      </w:r>
      <w:r w:rsidR="00EE37AB">
        <w:t xml:space="preserve"> </w:t>
      </w:r>
      <w:r w:rsidRPr="002B7386">
        <w:t xml:space="preserve">However, if test results indicate systematic non-compliance with a particular control activity, rather than an isolated instance of non-compliance, the Participating State should assess the results to determine the cause and </w:t>
      </w:r>
      <w:r w:rsidR="007C6591" w:rsidRPr="002B7386">
        <w:t>take</w:t>
      </w:r>
      <w:r w:rsidRPr="002B7386">
        <w:t xml:space="preserve"> corrective actions</w:t>
      </w:r>
      <w:r w:rsidR="00A32BEA" w:rsidRPr="002B7386">
        <w:t xml:space="preserve">. </w:t>
      </w:r>
      <w:r w:rsidR="00EE37AB">
        <w:t xml:space="preserve"> </w:t>
      </w:r>
      <w:r w:rsidR="00A32BEA" w:rsidRPr="002B7386">
        <w:t>Corrective action</w:t>
      </w:r>
      <w:r w:rsidR="00557AFF" w:rsidRPr="002B7386">
        <w:t>s</w:t>
      </w:r>
      <w:r w:rsidR="00A32BEA" w:rsidRPr="002B7386">
        <w:t xml:space="preserve"> </w:t>
      </w:r>
      <w:r w:rsidRPr="002B7386">
        <w:t>may include</w:t>
      </w:r>
      <w:r w:rsidR="009B2160" w:rsidRPr="002B7386">
        <w:t>, but are not limited to</w:t>
      </w:r>
      <w:r w:rsidR="00EE37AB">
        <w:t>,</w:t>
      </w:r>
      <w:r w:rsidR="00223746" w:rsidRPr="002B7386">
        <w:t xml:space="preserve"> </w:t>
      </w:r>
      <w:r w:rsidRPr="002B7386">
        <w:t xml:space="preserve">enhanced staff training, enhanced training or technical assistance for </w:t>
      </w:r>
      <w:r w:rsidR="00B04F78">
        <w:t>lender</w:t>
      </w:r>
      <w:r w:rsidRPr="002B7386">
        <w:t xml:space="preserve">s/investors or </w:t>
      </w:r>
      <w:r w:rsidR="00E75605">
        <w:t>administering entit</w:t>
      </w:r>
      <w:r w:rsidRPr="002B7386">
        <w:t xml:space="preserve">ies, </w:t>
      </w:r>
      <w:r w:rsidR="009B2160" w:rsidRPr="002B7386">
        <w:t xml:space="preserve">the development of checklists, the </w:t>
      </w:r>
      <w:r w:rsidR="00FC3ADD" w:rsidRPr="002B7386">
        <w:t>development or enhancement</w:t>
      </w:r>
      <w:r w:rsidR="00416960" w:rsidRPr="002B7386">
        <w:t xml:space="preserve"> </w:t>
      </w:r>
      <w:r w:rsidR="009B2160" w:rsidRPr="002B7386">
        <w:t>of IT systems to identify non-compliant records, or updated policies and procedures.</w:t>
      </w:r>
    </w:p>
    <w:p w:rsidR="009B2160" w:rsidRPr="002B7386" w:rsidRDefault="009B2160" w:rsidP="006D0F4F">
      <w:pPr>
        <w:jc w:val="both"/>
      </w:pPr>
      <w:r w:rsidRPr="002B7386">
        <w:t>Participating States should document test results and assess whether test results suggest the need for increased frequency or scope of compliance and internal controls testing.</w:t>
      </w:r>
    </w:p>
    <w:p w:rsidR="00124F02" w:rsidRPr="002B7386" w:rsidRDefault="00124F02" w:rsidP="002B7386"/>
    <w:p w:rsidR="00B04F78" w:rsidRDefault="00BB342A" w:rsidP="002B7386">
      <w:pPr>
        <w:spacing w:after="0"/>
        <w:sectPr w:rsidR="00B04F78" w:rsidSect="00E31735">
          <w:headerReference w:type="even" r:id="rId13"/>
          <w:headerReference w:type="default" r:id="rId14"/>
          <w:headerReference w:type="first" r:id="rId15"/>
          <w:footerReference w:type="first" r:id="rId16"/>
          <w:pgSz w:w="12240" w:h="15840"/>
          <w:pgMar w:top="1440" w:right="1800" w:bottom="1440" w:left="1800" w:header="720" w:footer="720" w:gutter="0"/>
          <w:cols w:space="720"/>
          <w:docGrid w:linePitch="360"/>
        </w:sectPr>
      </w:pPr>
      <w:r w:rsidRPr="002B7386">
        <w:br w:type="page"/>
      </w:r>
    </w:p>
    <w:p w:rsidR="00C813B1" w:rsidRPr="002B7386" w:rsidRDefault="00090FFD" w:rsidP="009F3595">
      <w:pPr>
        <w:pStyle w:val="Heading1"/>
      </w:pPr>
      <w:r w:rsidRPr="002B7386">
        <w:lastRenderedPageBreak/>
        <w:t xml:space="preserve">Treasury </w:t>
      </w:r>
      <w:r w:rsidR="00FC723F" w:rsidRPr="002B7386">
        <w:t>Guidance on Key Compliance and Oversight Risks</w:t>
      </w:r>
    </w:p>
    <w:p w:rsidR="00FC3ADD" w:rsidRPr="002B7386" w:rsidRDefault="00321065" w:rsidP="006D0F4F">
      <w:pPr>
        <w:spacing w:before="240"/>
        <w:jc w:val="both"/>
        <w:rPr>
          <w:rFonts w:cs="Calibri"/>
          <w:b/>
          <w:sz w:val="24"/>
          <w:szCs w:val="24"/>
        </w:rPr>
      </w:pPr>
      <w:r w:rsidRPr="002B7386">
        <w:t>This section is organized around the risk</w:t>
      </w:r>
      <w:r w:rsidR="00416960" w:rsidRPr="002B7386">
        <w:t>s</w:t>
      </w:r>
      <w:r w:rsidR="005D2398" w:rsidRPr="002B7386">
        <w:t xml:space="preserve"> </w:t>
      </w:r>
      <w:r w:rsidRPr="002B7386">
        <w:t xml:space="preserve">that Treasury </w:t>
      </w:r>
      <w:r w:rsidR="00223746">
        <w:t>identifie</w:t>
      </w:r>
      <w:r w:rsidR="00B230B5">
        <w:t>d</w:t>
      </w:r>
      <w:r w:rsidR="00223746">
        <w:t xml:space="preserve"> as</w:t>
      </w:r>
      <w:r w:rsidR="00223746" w:rsidRPr="002B7386">
        <w:t xml:space="preserve"> </w:t>
      </w:r>
      <w:proofErr w:type="gramStart"/>
      <w:r w:rsidR="00FE696D">
        <w:t>high-potential</w:t>
      </w:r>
      <w:proofErr w:type="gramEnd"/>
      <w:r w:rsidR="00FE696D">
        <w:t xml:space="preserve"> for </w:t>
      </w:r>
      <w:r w:rsidR="00223746">
        <w:t>most</w:t>
      </w:r>
      <w:r w:rsidR="00223746" w:rsidRPr="002B7386">
        <w:t xml:space="preserve"> </w:t>
      </w:r>
      <w:r w:rsidRPr="002B7386">
        <w:t>Approved State Programs.</w:t>
      </w:r>
      <w:r w:rsidRPr="002B7386">
        <w:rPr>
          <w:rStyle w:val="FootnoteReference"/>
        </w:rPr>
        <w:footnoteReference w:id="6"/>
      </w:r>
      <w:r w:rsidRPr="002B7386">
        <w:t xml:space="preserve">  For each of these risk</w:t>
      </w:r>
      <w:r w:rsidR="00416960" w:rsidRPr="002B7386">
        <w:t>s</w:t>
      </w:r>
      <w:r w:rsidRPr="002B7386">
        <w:t xml:space="preserve">, Treasury references the </w:t>
      </w:r>
      <w:r w:rsidR="0058454C" w:rsidRPr="002B7386">
        <w:t>related</w:t>
      </w:r>
      <w:r w:rsidR="00416960" w:rsidRPr="002B7386">
        <w:t xml:space="preserve"> </w:t>
      </w:r>
      <w:r w:rsidRPr="002B7386">
        <w:t>applicable sections of the Allocation Agreement and</w:t>
      </w:r>
      <w:r w:rsidR="00416960" w:rsidRPr="002B7386">
        <w:t>/or</w:t>
      </w:r>
      <w:r w:rsidRPr="002B7386">
        <w:t xml:space="preserve"> </w:t>
      </w:r>
      <w:r w:rsidR="00416960" w:rsidRPr="002B7386">
        <w:t xml:space="preserve">SSBCI </w:t>
      </w:r>
      <w:r w:rsidR="00D24CB2" w:rsidRPr="002B7386">
        <w:t>Policy Guidelines</w:t>
      </w:r>
      <w:r w:rsidRPr="002B7386">
        <w:t>, any applicable FAQs</w:t>
      </w:r>
      <w:r w:rsidR="00416960" w:rsidRPr="002B7386">
        <w:t xml:space="preserve"> or other official</w:t>
      </w:r>
      <w:r w:rsidR="00F74FAB" w:rsidRPr="002B7386">
        <w:t xml:space="preserve"> interpretation of these requirements</w:t>
      </w:r>
      <w:r w:rsidRPr="002B7386">
        <w:t xml:space="preserve">, </w:t>
      </w:r>
      <w:r w:rsidR="00B510C5" w:rsidRPr="002B7386">
        <w:t xml:space="preserve">and </w:t>
      </w:r>
      <w:r w:rsidRPr="002B7386">
        <w:t>recommended best practices</w:t>
      </w:r>
      <w:r w:rsidR="00416960" w:rsidRPr="002B7386">
        <w:t xml:space="preserve"> </w:t>
      </w:r>
      <w:r w:rsidR="0058454C" w:rsidRPr="002B7386">
        <w:t>to</w:t>
      </w:r>
      <w:r w:rsidR="00416960" w:rsidRPr="002B7386">
        <w:t xml:space="preserve"> mitigate these risks</w:t>
      </w:r>
      <w:r w:rsidRPr="002B7386">
        <w:t xml:space="preserve">. </w:t>
      </w:r>
    </w:p>
    <w:p w:rsidR="003E2F47" w:rsidRPr="00E55969" w:rsidRDefault="005C717C" w:rsidP="005C717C">
      <w:pPr>
        <w:pStyle w:val="Heading3"/>
        <w:spacing w:after="0"/>
      </w:pPr>
      <w:r>
        <w:t>Risk</w:t>
      </w:r>
      <w:r w:rsidR="00986CA0">
        <w:t>:</w:t>
      </w:r>
      <w:r w:rsidR="00BD58F5" w:rsidRPr="00BD58F5">
        <w:t xml:space="preserve">  Inadequate Small </w:t>
      </w:r>
      <w:r w:rsidR="00E55969" w:rsidRPr="00E55969">
        <w:t>Business</w:t>
      </w:r>
      <w:r w:rsidR="00BD58F5" w:rsidRPr="00BD58F5">
        <w:t xml:space="preserve"> </w:t>
      </w:r>
      <w:r w:rsidR="003E2F47" w:rsidRPr="00E55969">
        <w:t>Borrower</w:t>
      </w:r>
      <w:r w:rsidR="00FC3ADD" w:rsidRPr="00E55969">
        <w:t xml:space="preserve">/Investee </w:t>
      </w:r>
      <w:r w:rsidR="003E2F47" w:rsidRPr="00E55969">
        <w:t>Certifications</w:t>
      </w:r>
    </w:p>
    <w:p w:rsidR="003E2F47" w:rsidRPr="00986CA0" w:rsidRDefault="003E2F47" w:rsidP="00246E77">
      <w:pPr>
        <w:spacing w:before="120" w:after="0"/>
        <w:rPr>
          <w:rStyle w:val="SubtleEmphasis"/>
        </w:rPr>
      </w:pPr>
      <w:r w:rsidRPr="00986CA0">
        <w:rPr>
          <w:rStyle w:val="SubtleEmphasis"/>
        </w:rPr>
        <w:t>Use of Proceeds Certifications</w:t>
      </w:r>
      <w:r w:rsidR="00E55969" w:rsidRPr="00986CA0">
        <w:rPr>
          <w:rStyle w:val="SubtleEmphasis"/>
        </w:rPr>
        <w:t xml:space="preserve"> (Small Business Borrower/ Investee)</w:t>
      </w:r>
    </w:p>
    <w:p w:rsidR="003E2F47" w:rsidRPr="002B7386" w:rsidRDefault="003E2F47" w:rsidP="006D0F4F">
      <w:pPr>
        <w:spacing w:before="120"/>
        <w:jc w:val="both"/>
        <w:rPr>
          <w:rFonts w:cs="Calibri"/>
        </w:rPr>
      </w:pPr>
      <w:r w:rsidRPr="002B7386">
        <w:rPr>
          <w:rFonts w:cs="Calibri"/>
        </w:rPr>
        <w:t>Article IV o</w:t>
      </w:r>
      <w:r w:rsidR="00014B73" w:rsidRPr="002B7386">
        <w:rPr>
          <w:rFonts w:cs="Calibri"/>
        </w:rPr>
        <w:t xml:space="preserve">f the Allocation Agreement and </w:t>
      </w:r>
      <w:r w:rsidRPr="002B7386">
        <w:rPr>
          <w:rFonts w:cs="Calibri"/>
        </w:rPr>
        <w:t xml:space="preserve">Sections VI, VII, and XII of the SSBCI Policy Guidelines outline the restrictions on the acceptable uses of loan and investment proceeds.  Specifically, these provisions </w:t>
      </w:r>
      <w:r w:rsidR="006D0F4F">
        <w:rPr>
          <w:rFonts w:cs="Calibri"/>
        </w:rPr>
        <w:t>require</w:t>
      </w:r>
      <w:r w:rsidRPr="002B7386">
        <w:rPr>
          <w:rFonts w:cs="Calibri"/>
        </w:rPr>
        <w:t xml:space="preserve"> that small business borrowers (or investees) must make a certification to the </w:t>
      </w:r>
      <w:r w:rsidR="00B04F78">
        <w:rPr>
          <w:rFonts w:cs="Calibri"/>
        </w:rPr>
        <w:t>lender</w:t>
      </w:r>
      <w:r w:rsidRPr="002B7386">
        <w:rPr>
          <w:rFonts w:cs="Calibri"/>
        </w:rPr>
        <w:t xml:space="preserve"> or </w:t>
      </w:r>
      <w:r w:rsidR="004E2D49" w:rsidRPr="002B7386">
        <w:rPr>
          <w:rFonts w:cs="Calibri"/>
        </w:rPr>
        <w:t>investor</w:t>
      </w:r>
      <w:r w:rsidRPr="002B7386">
        <w:rPr>
          <w:rFonts w:cs="Calibri"/>
        </w:rPr>
        <w:t xml:space="preserve"> regarding the use of loan or investment proceeds for each SSBCI-supported transaction.</w:t>
      </w:r>
    </w:p>
    <w:p w:rsidR="003E2F47" w:rsidRPr="002B7386" w:rsidRDefault="003E2F47" w:rsidP="006D0F4F">
      <w:pPr>
        <w:jc w:val="both"/>
        <w:rPr>
          <w:rFonts w:cs="Calibri"/>
        </w:rPr>
      </w:pPr>
      <w:r w:rsidRPr="002B7386">
        <w:rPr>
          <w:rFonts w:cs="Calibri"/>
        </w:rPr>
        <w:t xml:space="preserve">Participating States (or, as applicable, </w:t>
      </w:r>
      <w:r w:rsidR="00E75605">
        <w:rPr>
          <w:rFonts w:cs="Calibri"/>
        </w:rPr>
        <w:t>administering</w:t>
      </w:r>
      <w:r w:rsidRPr="002B7386">
        <w:rPr>
          <w:rFonts w:cs="Calibri"/>
        </w:rPr>
        <w:t xml:space="preserve"> entities, </w:t>
      </w:r>
      <w:r w:rsidR="00B04F78">
        <w:rPr>
          <w:rFonts w:cs="Calibri"/>
        </w:rPr>
        <w:t>lender</w:t>
      </w:r>
      <w:r w:rsidRPr="002B7386">
        <w:rPr>
          <w:rFonts w:cs="Calibri"/>
        </w:rPr>
        <w:t xml:space="preserve">s, or </w:t>
      </w:r>
      <w:r w:rsidR="004E2D49" w:rsidRPr="002B7386">
        <w:rPr>
          <w:rFonts w:cs="Calibri"/>
        </w:rPr>
        <w:t>investor</w:t>
      </w:r>
      <w:r w:rsidRPr="002B7386">
        <w:rPr>
          <w:rFonts w:cs="Calibri"/>
        </w:rPr>
        <w:t xml:space="preserve">s) may design their own certification forms but at a minimum the </w:t>
      </w:r>
      <w:r w:rsidR="00E6564E">
        <w:rPr>
          <w:rFonts w:cs="Calibri"/>
          <w:i/>
        </w:rPr>
        <w:t xml:space="preserve">small business </w:t>
      </w:r>
      <w:r w:rsidRPr="002B7386">
        <w:rPr>
          <w:rFonts w:cs="Calibri"/>
          <w:i/>
        </w:rPr>
        <w:t xml:space="preserve">borrower </w:t>
      </w:r>
      <w:r w:rsidR="00943707" w:rsidRPr="002B7386">
        <w:rPr>
          <w:rFonts w:cs="Calibri"/>
          <w:i/>
        </w:rPr>
        <w:t xml:space="preserve">or investee </w:t>
      </w:r>
      <w:r w:rsidRPr="002B7386">
        <w:rPr>
          <w:rFonts w:cs="Calibri"/>
        </w:rPr>
        <w:t>must certify, to the standards established in the SSBCI Policy Guidelines, that:</w:t>
      </w:r>
    </w:p>
    <w:p w:rsidR="00E7572A" w:rsidRDefault="003E2F47" w:rsidP="004E20FD">
      <w:pPr>
        <w:pStyle w:val="Default"/>
        <w:numPr>
          <w:ilvl w:val="0"/>
          <w:numId w:val="24"/>
        </w:numPr>
        <w:spacing w:after="120"/>
        <w:jc w:val="both"/>
        <w:rPr>
          <w:sz w:val="22"/>
          <w:szCs w:val="22"/>
        </w:rPr>
      </w:pPr>
      <w:r w:rsidRPr="002B7386">
        <w:rPr>
          <w:sz w:val="22"/>
          <w:szCs w:val="22"/>
        </w:rPr>
        <w:t>Proceeds will be used for an eligible business purpose;</w:t>
      </w:r>
    </w:p>
    <w:p w:rsidR="00E7572A" w:rsidRDefault="003E2F47" w:rsidP="004E20FD">
      <w:pPr>
        <w:pStyle w:val="Default"/>
        <w:numPr>
          <w:ilvl w:val="0"/>
          <w:numId w:val="24"/>
        </w:numPr>
        <w:spacing w:after="120"/>
        <w:jc w:val="both"/>
        <w:rPr>
          <w:sz w:val="22"/>
          <w:szCs w:val="22"/>
        </w:rPr>
      </w:pPr>
      <w:r w:rsidRPr="002B7386">
        <w:rPr>
          <w:sz w:val="22"/>
          <w:szCs w:val="22"/>
        </w:rPr>
        <w:t xml:space="preserve">Proceeds will not be used to pay for any purposes prohibited </w:t>
      </w:r>
      <w:r w:rsidR="006D0F4F">
        <w:rPr>
          <w:sz w:val="22"/>
          <w:szCs w:val="22"/>
        </w:rPr>
        <w:t>by</w:t>
      </w:r>
      <w:r w:rsidRPr="002B7386">
        <w:rPr>
          <w:sz w:val="22"/>
          <w:szCs w:val="22"/>
        </w:rPr>
        <w:t xml:space="preserve"> the SSBCI Policy Guidelines; </w:t>
      </w:r>
    </w:p>
    <w:p w:rsidR="00E7572A" w:rsidRDefault="003E2F47" w:rsidP="004E20FD">
      <w:pPr>
        <w:pStyle w:val="Default"/>
        <w:numPr>
          <w:ilvl w:val="0"/>
          <w:numId w:val="24"/>
        </w:numPr>
        <w:spacing w:after="120"/>
        <w:jc w:val="both"/>
        <w:rPr>
          <w:sz w:val="22"/>
          <w:szCs w:val="22"/>
        </w:rPr>
      </w:pPr>
      <w:r w:rsidRPr="002B7386">
        <w:rPr>
          <w:sz w:val="22"/>
          <w:szCs w:val="22"/>
        </w:rPr>
        <w:t xml:space="preserve">The </w:t>
      </w:r>
      <w:r w:rsidR="00E6564E">
        <w:rPr>
          <w:sz w:val="22"/>
          <w:szCs w:val="22"/>
        </w:rPr>
        <w:t xml:space="preserve">small business </w:t>
      </w:r>
      <w:r w:rsidRPr="002B7386">
        <w:rPr>
          <w:sz w:val="22"/>
          <w:szCs w:val="22"/>
        </w:rPr>
        <w:t xml:space="preserve">borrower (or investee) is not an executive officer, director, or principal shareholder (or a member of the immediate family or a related interest of such individual) of the </w:t>
      </w:r>
      <w:r w:rsidR="00B04F78">
        <w:rPr>
          <w:sz w:val="22"/>
          <w:szCs w:val="22"/>
        </w:rPr>
        <w:t>lender</w:t>
      </w:r>
      <w:r w:rsidRPr="002B7386">
        <w:rPr>
          <w:sz w:val="22"/>
          <w:szCs w:val="22"/>
        </w:rPr>
        <w:t xml:space="preserve"> (or </w:t>
      </w:r>
      <w:r w:rsidR="004E2D49" w:rsidRPr="002B7386">
        <w:rPr>
          <w:sz w:val="22"/>
          <w:szCs w:val="22"/>
        </w:rPr>
        <w:t>investor</w:t>
      </w:r>
      <w:r w:rsidRPr="002B7386">
        <w:rPr>
          <w:sz w:val="22"/>
          <w:szCs w:val="22"/>
        </w:rPr>
        <w:t xml:space="preserve">); and, </w:t>
      </w:r>
    </w:p>
    <w:p w:rsidR="00E7572A" w:rsidRDefault="003E2F47" w:rsidP="004E20FD">
      <w:pPr>
        <w:pStyle w:val="Default"/>
        <w:numPr>
          <w:ilvl w:val="0"/>
          <w:numId w:val="24"/>
        </w:numPr>
        <w:spacing w:after="240"/>
        <w:jc w:val="both"/>
        <w:rPr>
          <w:sz w:val="22"/>
          <w:szCs w:val="22"/>
        </w:rPr>
      </w:pPr>
      <w:r w:rsidRPr="002B7386">
        <w:rPr>
          <w:sz w:val="22"/>
          <w:szCs w:val="22"/>
        </w:rPr>
        <w:t xml:space="preserve">The </w:t>
      </w:r>
      <w:r w:rsidR="00E6564E">
        <w:rPr>
          <w:sz w:val="22"/>
          <w:szCs w:val="22"/>
        </w:rPr>
        <w:t xml:space="preserve">small business </w:t>
      </w:r>
      <w:r w:rsidRPr="002B7386">
        <w:rPr>
          <w:sz w:val="22"/>
          <w:szCs w:val="22"/>
        </w:rPr>
        <w:t>borrower (or investee) is not engaged in any of the activities or sources of income prohibited in the SSBCI Policy Guidelines.</w:t>
      </w:r>
    </w:p>
    <w:p w:rsidR="00B510C5" w:rsidRPr="004E20FD" w:rsidRDefault="00BD58F5" w:rsidP="004E20FD">
      <w:pPr>
        <w:jc w:val="both"/>
      </w:pPr>
      <w:r w:rsidRPr="00BD58F5">
        <w:t>As noted above, standards and examples of such terms as “business purpose”, “principal”, “</w:t>
      </w:r>
      <w:r w:rsidR="00B04F78">
        <w:t>lender</w:t>
      </w:r>
      <w:r w:rsidRPr="00BD58F5">
        <w:t>”, and prohibited loan purposes are included in the SSBCI Policy Guidelines.</w:t>
      </w:r>
    </w:p>
    <w:p w:rsidR="00625FEE" w:rsidRPr="002B7386" w:rsidRDefault="003C032C" w:rsidP="004E20FD">
      <w:pPr>
        <w:jc w:val="both"/>
        <w:rPr>
          <w:rFonts w:cs="Calibri"/>
        </w:rPr>
      </w:pPr>
      <w:r w:rsidRPr="006D0F4F">
        <w:t>Treasury has provided a sample use of proceeds certification form in Appendix A of this document</w:t>
      </w:r>
      <w:r w:rsidR="00B510C5" w:rsidRPr="006D0F4F">
        <w:t>.</w:t>
      </w:r>
      <w:r w:rsidR="00B510C5" w:rsidRPr="002B7386">
        <w:t xml:space="preserve"> </w:t>
      </w:r>
      <w:r w:rsidR="00B510C5" w:rsidRPr="002B7386">
        <w:rPr>
          <w:b/>
        </w:rPr>
        <w:t xml:space="preserve"> </w:t>
      </w:r>
      <w:r w:rsidR="0047322C">
        <w:t>Participating States may combine t</w:t>
      </w:r>
      <w:r w:rsidR="002058C9" w:rsidRPr="002B7386">
        <w:t xml:space="preserve">his use of proceeds certification </w:t>
      </w:r>
      <w:r w:rsidR="006D5C22">
        <w:t xml:space="preserve">with </w:t>
      </w:r>
      <w:r w:rsidR="006D0F4F">
        <w:t>the</w:t>
      </w:r>
      <w:r w:rsidR="00E6564E">
        <w:t xml:space="preserve"> small business</w:t>
      </w:r>
      <w:r w:rsidR="002058C9" w:rsidRPr="002B7386">
        <w:rPr>
          <w:b/>
        </w:rPr>
        <w:t xml:space="preserve"> </w:t>
      </w:r>
      <w:proofErr w:type="gramStart"/>
      <w:r w:rsidR="002058C9" w:rsidRPr="002B7386">
        <w:rPr>
          <w:rFonts w:cs="Calibri"/>
        </w:rPr>
        <w:t>borrower’s</w:t>
      </w:r>
      <w:proofErr w:type="gramEnd"/>
      <w:r w:rsidR="002058C9" w:rsidRPr="002B7386">
        <w:rPr>
          <w:rFonts w:cs="Calibri"/>
        </w:rPr>
        <w:t xml:space="preserve"> </w:t>
      </w:r>
      <w:r w:rsidR="00943707" w:rsidRPr="002B7386">
        <w:rPr>
          <w:rFonts w:cs="Calibri"/>
        </w:rPr>
        <w:t xml:space="preserve">or investee’s </w:t>
      </w:r>
      <w:r w:rsidR="00B510C5" w:rsidRPr="002B7386">
        <w:rPr>
          <w:rFonts w:cs="Calibri"/>
        </w:rPr>
        <w:t>sex of</w:t>
      </w:r>
      <w:r w:rsidR="006D0F4F">
        <w:rPr>
          <w:rFonts w:cs="Calibri"/>
        </w:rPr>
        <w:t xml:space="preserve">fender </w:t>
      </w:r>
      <w:r w:rsidR="003A276C">
        <w:rPr>
          <w:rFonts w:cs="Calibri"/>
        </w:rPr>
        <w:t xml:space="preserve">certification </w:t>
      </w:r>
      <w:r w:rsidR="004E20FD">
        <w:rPr>
          <w:rFonts w:cs="Calibri"/>
        </w:rPr>
        <w:t>in</w:t>
      </w:r>
      <w:r w:rsidR="003A276C">
        <w:rPr>
          <w:rFonts w:cs="Calibri"/>
        </w:rPr>
        <w:t>to</w:t>
      </w:r>
      <w:r w:rsidR="004E20FD">
        <w:rPr>
          <w:rFonts w:cs="Calibri"/>
        </w:rPr>
        <w:t xml:space="preserve"> a single form</w:t>
      </w:r>
      <w:r w:rsidR="00B510C5" w:rsidRPr="002B7386">
        <w:rPr>
          <w:rFonts w:cs="Calibri"/>
        </w:rPr>
        <w:t xml:space="preserve">.  </w:t>
      </w:r>
    </w:p>
    <w:p w:rsidR="003E2F47" w:rsidRPr="002B7386" w:rsidRDefault="003E2F47" w:rsidP="004E20FD">
      <w:pPr>
        <w:jc w:val="both"/>
      </w:pPr>
      <w:proofErr w:type="gramStart"/>
      <w:r w:rsidRPr="002B7386">
        <w:t xml:space="preserve">While Treasury does not </w:t>
      </w:r>
      <w:r w:rsidR="008257FA">
        <w:t>require</w:t>
      </w:r>
      <w:r w:rsidR="008257FA" w:rsidRPr="002B7386">
        <w:t xml:space="preserve"> </w:t>
      </w:r>
      <w:r w:rsidRPr="002B7386">
        <w:t xml:space="preserve">Participating States (or </w:t>
      </w:r>
      <w:r w:rsidR="00E75605">
        <w:t>administering entit</w:t>
      </w:r>
      <w:r w:rsidRPr="002B7386">
        <w:t xml:space="preserve">ies, lenders, or </w:t>
      </w:r>
      <w:r w:rsidR="004E2D49" w:rsidRPr="002B7386">
        <w:t>investor</w:t>
      </w:r>
      <w:r w:rsidRPr="002B7386">
        <w:t xml:space="preserve">s, if so designated) to independently verify the representations made by the </w:t>
      </w:r>
      <w:r w:rsidR="00B12BC1">
        <w:t xml:space="preserve">authorized </w:t>
      </w:r>
      <w:r w:rsidR="00A83DCC">
        <w:t>representative</w:t>
      </w:r>
      <w:r w:rsidR="00B12BC1">
        <w:t xml:space="preserve"> of the small business </w:t>
      </w:r>
      <w:r w:rsidRPr="002B7386">
        <w:t>borrower or investee</w:t>
      </w:r>
      <w:r w:rsidR="00B12BC1">
        <w:t xml:space="preserve"> with respect to </w:t>
      </w:r>
      <w:r w:rsidRPr="002B7386">
        <w:t xml:space="preserve"> the use of proceeds, Treasury does expect Participating States, as part of their compliance monitoring procedures, to establish a process to determine whether these required certifications have been adequately documented.</w:t>
      </w:r>
      <w:proofErr w:type="gramEnd"/>
      <w:r w:rsidRPr="002B7386">
        <w:t xml:space="preserve"> </w:t>
      </w:r>
    </w:p>
    <w:p w:rsidR="003E2F47" w:rsidRPr="002B7386" w:rsidRDefault="002058C9" w:rsidP="004E20FD">
      <w:pPr>
        <w:jc w:val="both"/>
        <w:rPr>
          <w:rFonts w:cs="Calibri"/>
        </w:rPr>
      </w:pPr>
      <w:r w:rsidRPr="002B7386">
        <w:rPr>
          <w:rFonts w:cs="Calibri"/>
        </w:rPr>
        <w:t>Treasury believes</w:t>
      </w:r>
      <w:r w:rsidR="003E2F47" w:rsidRPr="002B7386">
        <w:rPr>
          <w:rFonts w:cs="Calibri"/>
        </w:rPr>
        <w:t xml:space="preserve"> that Participating States could meet this expectation by either:</w:t>
      </w:r>
    </w:p>
    <w:p w:rsidR="00E7572A" w:rsidRDefault="003E2F47" w:rsidP="004E20FD">
      <w:pPr>
        <w:pStyle w:val="ListParagraph"/>
        <w:numPr>
          <w:ilvl w:val="0"/>
          <w:numId w:val="25"/>
        </w:numPr>
        <w:spacing w:after="120"/>
        <w:contextualSpacing w:val="0"/>
        <w:jc w:val="both"/>
        <w:rPr>
          <w:rFonts w:cs="Calibri"/>
        </w:rPr>
      </w:pPr>
      <w:r w:rsidRPr="002B7386">
        <w:rPr>
          <w:rFonts w:cs="Calibri"/>
        </w:rPr>
        <w:lastRenderedPageBreak/>
        <w:t>Obtaining, reviewin</w:t>
      </w:r>
      <w:r w:rsidR="002058C9" w:rsidRPr="002B7386">
        <w:rPr>
          <w:rFonts w:cs="Calibri"/>
        </w:rPr>
        <w:t>g, and maintaining a copy of each</w:t>
      </w:r>
      <w:r w:rsidR="00B12BC1">
        <w:rPr>
          <w:rFonts w:cs="Calibri"/>
        </w:rPr>
        <w:t xml:space="preserve"> small business</w:t>
      </w:r>
      <w:r w:rsidRPr="002B7386">
        <w:rPr>
          <w:rFonts w:cs="Calibri"/>
        </w:rPr>
        <w:t xml:space="preserve"> borrower’s (or investee’s) certification</w:t>
      </w:r>
      <w:r w:rsidRPr="002B7386">
        <w:rPr>
          <w:rStyle w:val="FootnoteReference"/>
          <w:rFonts w:cs="Calibri"/>
        </w:rPr>
        <w:footnoteReference w:id="7"/>
      </w:r>
      <w:r w:rsidRPr="002B7386">
        <w:rPr>
          <w:rFonts w:cs="Calibri"/>
        </w:rPr>
        <w:t xml:space="preserve"> itself; or</w:t>
      </w:r>
      <w:r w:rsidR="004E20FD">
        <w:rPr>
          <w:rFonts w:cs="Calibri"/>
        </w:rPr>
        <w:t>,</w:t>
      </w:r>
    </w:p>
    <w:p w:rsidR="00E7572A" w:rsidRDefault="003E2F47" w:rsidP="004E20FD">
      <w:pPr>
        <w:pStyle w:val="ListParagraph"/>
        <w:numPr>
          <w:ilvl w:val="0"/>
          <w:numId w:val="25"/>
        </w:numPr>
        <w:spacing w:after="240"/>
        <w:jc w:val="both"/>
        <w:rPr>
          <w:rFonts w:cs="Calibri"/>
        </w:rPr>
      </w:pPr>
      <w:r w:rsidRPr="002B7386">
        <w:rPr>
          <w:rFonts w:cs="Calibri"/>
        </w:rPr>
        <w:t xml:space="preserve">Executing an agreement </w:t>
      </w:r>
      <w:r w:rsidR="004E20FD">
        <w:rPr>
          <w:rFonts w:cs="Calibri"/>
        </w:rPr>
        <w:t>that requires</w:t>
      </w:r>
      <w:r w:rsidRPr="002B7386">
        <w:rPr>
          <w:rFonts w:cs="Calibri"/>
        </w:rPr>
        <w:t xml:space="preserve"> the </w:t>
      </w:r>
      <w:r w:rsidR="00E75605">
        <w:rPr>
          <w:rFonts w:cs="Calibri"/>
        </w:rPr>
        <w:t>administering entit</w:t>
      </w:r>
      <w:r w:rsidRPr="002B7386">
        <w:rPr>
          <w:rFonts w:cs="Calibri"/>
        </w:rPr>
        <w:t>y,</w:t>
      </w:r>
      <w:r w:rsidR="00625FEE" w:rsidRPr="002B7386">
        <w:rPr>
          <w:rFonts w:cs="Calibri"/>
        </w:rPr>
        <w:t xml:space="preserve"> </w:t>
      </w:r>
      <w:r w:rsidR="002058C9" w:rsidRPr="002B7386">
        <w:rPr>
          <w:rFonts w:cs="Calibri"/>
        </w:rPr>
        <w:t xml:space="preserve">or </w:t>
      </w:r>
      <w:r w:rsidRPr="002B7386">
        <w:rPr>
          <w:rFonts w:cs="Calibri"/>
        </w:rPr>
        <w:t xml:space="preserve">each </w:t>
      </w:r>
      <w:r w:rsidR="00B04F78">
        <w:rPr>
          <w:rFonts w:cs="Calibri"/>
        </w:rPr>
        <w:t>lender</w:t>
      </w:r>
      <w:r w:rsidRPr="002B7386">
        <w:rPr>
          <w:rFonts w:cs="Calibri"/>
        </w:rPr>
        <w:t xml:space="preserve"> or </w:t>
      </w:r>
      <w:r w:rsidR="004E2D49" w:rsidRPr="002B7386">
        <w:rPr>
          <w:rFonts w:cs="Calibri"/>
        </w:rPr>
        <w:t>investor</w:t>
      </w:r>
      <w:r w:rsidRPr="002B7386">
        <w:rPr>
          <w:rFonts w:cs="Calibri"/>
        </w:rPr>
        <w:t xml:space="preserve"> (as applicable)</w:t>
      </w:r>
      <w:r w:rsidR="002058C9" w:rsidRPr="002B7386">
        <w:rPr>
          <w:rFonts w:cs="Calibri"/>
        </w:rPr>
        <w:t>,</w:t>
      </w:r>
      <w:r w:rsidRPr="002B7386">
        <w:rPr>
          <w:rFonts w:cs="Calibri"/>
        </w:rPr>
        <w:t xml:space="preserve"> to obtain, review, and maintain copies of the </w:t>
      </w:r>
      <w:r w:rsidR="00B12BC1">
        <w:rPr>
          <w:rFonts w:cs="Calibri"/>
        </w:rPr>
        <w:t xml:space="preserve">small business </w:t>
      </w:r>
      <w:r w:rsidRPr="002B7386">
        <w:rPr>
          <w:rFonts w:cs="Calibri"/>
        </w:rPr>
        <w:t xml:space="preserve">borrower’s (or investee’s) use of proceeds certifications.  Participating States should exercise appropriate oversight of the </w:t>
      </w:r>
      <w:r w:rsidR="00E75605">
        <w:rPr>
          <w:rFonts w:cs="Calibri"/>
        </w:rPr>
        <w:t>administering entit</w:t>
      </w:r>
      <w:r w:rsidRPr="002B7386">
        <w:rPr>
          <w:rFonts w:cs="Calibri"/>
        </w:rPr>
        <w:t xml:space="preserve">y, </w:t>
      </w:r>
      <w:r w:rsidR="00B04F78">
        <w:rPr>
          <w:rFonts w:cs="Calibri"/>
        </w:rPr>
        <w:t>lender</w:t>
      </w:r>
      <w:r w:rsidRPr="002B7386">
        <w:rPr>
          <w:rFonts w:cs="Calibri"/>
        </w:rPr>
        <w:t xml:space="preserve">s, or </w:t>
      </w:r>
      <w:r w:rsidR="004E2D49" w:rsidRPr="002B7386">
        <w:rPr>
          <w:rFonts w:cs="Calibri"/>
        </w:rPr>
        <w:t>investor</w:t>
      </w:r>
      <w:r w:rsidR="002058C9" w:rsidRPr="002B7386">
        <w:rPr>
          <w:rFonts w:cs="Calibri"/>
        </w:rPr>
        <w:t>s</w:t>
      </w:r>
      <w:r w:rsidRPr="002B7386">
        <w:rPr>
          <w:rFonts w:cs="Calibri"/>
        </w:rPr>
        <w:t xml:space="preserve">, tasked with this responsibility.  One means of exercising this oversight would be to conduct an annual audit of each lender or </w:t>
      </w:r>
      <w:r w:rsidR="004E2D49" w:rsidRPr="002B7386">
        <w:rPr>
          <w:rFonts w:cs="Calibri"/>
        </w:rPr>
        <w:t>investor</w:t>
      </w:r>
      <w:r w:rsidR="002058C9" w:rsidRPr="002B7386">
        <w:rPr>
          <w:rFonts w:cs="Calibri"/>
        </w:rPr>
        <w:t>’</w:t>
      </w:r>
      <w:r w:rsidR="00625FEE" w:rsidRPr="002B7386">
        <w:rPr>
          <w:rFonts w:cs="Calibri"/>
        </w:rPr>
        <w:t>s transaction files to verify</w:t>
      </w:r>
      <w:r w:rsidRPr="002B7386">
        <w:rPr>
          <w:rFonts w:cs="Calibri"/>
        </w:rPr>
        <w:t xml:space="preserve"> that the use of proceeds certifications are on file and properly executed.</w:t>
      </w:r>
    </w:p>
    <w:p w:rsidR="003E2F47" w:rsidRPr="005C717C" w:rsidRDefault="003E2F47" w:rsidP="004E20FD">
      <w:pPr>
        <w:pStyle w:val="Default"/>
        <w:spacing w:before="360"/>
        <w:rPr>
          <w:rStyle w:val="SubtleEmphasis"/>
        </w:rPr>
      </w:pPr>
      <w:r w:rsidRPr="005C717C">
        <w:rPr>
          <w:rStyle w:val="SubtleEmphasis"/>
        </w:rPr>
        <w:t>Sex Offender Certifications</w:t>
      </w:r>
      <w:r w:rsidR="005C717C">
        <w:rPr>
          <w:rStyle w:val="SubtleEmphasis"/>
        </w:rPr>
        <w:t xml:space="preserve"> </w:t>
      </w:r>
      <w:r w:rsidR="00E55969" w:rsidRPr="005C717C">
        <w:rPr>
          <w:rStyle w:val="SubtleEmphasis"/>
        </w:rPr>
        <w:t>(Small Business Borrower/ Investee)</w:t>
      </w:r>
    </w:p>
    <w:p w:rsidR="003E2F47" w:rsidRPr="002B7386" w:rsidRDefault="003E2F47" w:rsidP="004E20FD">
      <w:pPr>
        <w:spacing w:before="120"/>
        <w:jc w:val="both"/>
        <w:rPr>
          <w:rFonts w:cs="Calibri"/>
        </w:rPr>
      </w:pPr>
      <w:r w:rsidRPr="002B7386">
        <w:rPr>
          <w:rFonts w:cs="Calibri"/>
        </w:rPr>
        <w:t>Section 3011(c</w:t>
      </w:r>
      <w:proofErr w:type="gramStart"/>
      <w:r w:rsidRPr="002B7386">
        <w:rPr>
          <w:rFonts w:cs="Calibri"/>
        </w:rPr>
        <w:t>)(</w:t>
      </w:r>
      <w:proofErr w:type="gramEnd"/>
      <w:r w:rsidRPr="002B7386">
        <w:rPr>
          <w:rFonts w:cs="Calibri"/>
        </w:rPr>
        <w:t xml:space="preserve">2) of the Act requires, “any private entity that receives a loan, a loan guarantee, or other financial assistance using [SSBCI] funds,” must certify that their principals have not been convicted of a sex offense against a minor </w:t>
      </w:r>
      <w:r w:rsidRPr="002B7386">
        <w:rPr>
          <w:rFonts w:cs="Calibri"/>
          <w:color w:val="000000"/>
          <w:sz w:val="23"/>
          <w:szCs w:val="23"/>
        </w:rPr>
        <w:t>(as such terms are defined in section 111 of the Sex Offender Registration and Notification Act (42 U.S.C. 16911))</w:t>
      </w:r>
      <w:r w:rsidRPr="002B7386">
        <w:rPr>
          <w:rFonts w:cs="Calibri"/>
        </w:rPr>
        <w:t xml:space="preserve">.  The SSBCI Policy Guidelines and Section 4.9(c) of the Allocation Agreement </w:t>
      </w:r>
      <w:r w:rsidR="00301C36">
        <w:rPr>
          <w:rFonts w:cs="Calibri"/>
        </w:rPr>
        <w:t xml:space="preserve">implement </w:t>
      </w:r>
      <w:r w:rsidRPr="002B7386">
        <w:rPr>
          <w:rFonts w:cs="Calibri"/>
        </w:rPr>
        <w:t>this requirement</w:t>
      </w:r>
      <w:r w:rsidR="00301C36">
        <w:rPr>
          <w:rFonts w:cs="Calibri"/>
        </w:rPr>
        <w:t xml:space="preserve"> by specifying</w:t>
      </w:r>
      <w:r w:rsidRPr="002B7386">
        <w:rPr>
          <w:rFonts w:cs="Calibri"/>
        </w:rPr>
        <w:t xml:space="preserve"> that the Participating State </w:t>
      </w:r>
      <w:proofErr w:type="gramStart"/>
      <w:r w:rsidRPr="002B7386">
        <w:rPr>
          <w:rFonts w:cs="Calibri"/>
        </w:rPr>
        <w:t>has</w:t>
      </w:r>
      <w:proofErr w:type="gramEnd"/>
      <w:r w:rsidRPr="002B7386">
        <w:rPr>
          <w:rFonts w:cs="Calibri"/>
        </w:rPr>
        <w:t xml:space="preserve"> the responsibility to obtain a certification regarding sex-offender status </w:t>
      </w:r>
      <w:r w:rsidR="009E6E0F">
        <w:rPr>
          <w:rFonts w:cs="Calibri"/>
        </w:rPr>
        <w:t>covering</w:t>
      </w:r>
      <w:r w:rsidR="009E6E0F" w:rsidRPr="002B7386">
        <w:rPr>
          <w:rFonts w:cs="Calibri"/>
        </w:rPr>
        <w:t xml:space="preserve"> </w:t>
      </w:r>
      <w:r w:rsidRPr="002B7386">
        <w:rPr>
          <w:rFonts w:cs="Calibri"/>
          <w:i/>
        </w:rPr>
        <w:t>all principals</w:t>
      </w:r>
      <w:r w:rsidRPr="002B7386">
        <w:rPr>
          <w:rFonts w:cs="Calibri"/>
        </w:rPr>
        <w:t xml:space="preserve"> of a small business receiving an SSBCI-supported loan or investment.  </w:t>
      </w:r>
      <w:r w:rsidR="0091759E">
        <w:rPr>
          <w:rFonts w:cs="Calibri"/>
        </w:rPr>
        <w:t>Section 1.1 of the Allocation Agreement</w:t>
      </w:r>
      <w:r w:rsidR="008257FA">
        <w:rPr>
          <w:rFonts w:cs="Calibri"/>
        </w:rPr>
        <w:t xml:space="preserve"> </w:t>
      </w:r>
      <w:r w:rsidRPr="002B7386">
        <w:rPr>
          <w:rFonts w:cs="Calibri"/>
        </w:rPr>
        <w:t>define</w:t>
      </w:r>
      <w:r w:rsidR="008257FA">
        <w:rPr>
          <w:rFonts w:cs="Calibri"/>
        </w:rPr>
        <w:t>s</w:t>
      </w:r>
      <w:r w:rsidRPr="002B7386">
        <w:rPr>
          <w:rFonts w:cs="Calibri"/>
        </w:rPr>
        <w:t xml:space="preserve"> the following covered individuals under the definition of “principal”</w:t>
      </w:r>
      <w:r w:rsidR="0091759E">
        <w:rPr>
          <w:rFonts w:cs="Calibri"/>
        </w:rPr>
        <w:t xml:space="preserve"> for the sole purpose of collecting the sex offender certification</w:t>
      </w:r>
      <w:r w:rsidRPr="002B7386">
        <w:rPr>
          <w:rFonts w:cs="Calibri"/>
        </w:rPr>
        <w:t>:</w:t>
      </w:r>
    </w:p>
    <w:p w:rsidR="00BD58F5" w:rsidRPr="00C86224" w:rsidRDefault="00BD58F5" w:rsidP="004E20FD">
      <w:pPr>
        <w:spacing w:after="240"/>
        <w:ind w:left="720" w:right="720"/>
        <w:jc w:val="both"/>
        <w:rPr>
          <w:rFonts w:cs="Calibri"/>
          <w:i/>
        </w:rPr>
      </w:pPr>
      <w:proofErr w:type="gramStart"/>
      <w:r w:rsidRPr="00C86224">
        <w:rPr>
          <w:rFonts w:asciiTheme="minorHAnsi" w:hAnsiTheme="minorHAnsi" w:cstheme="minorHAnsi"/>
          <w:i/>
        </w:rPr>
        <w:t>“</w:t>
      </w:r>
      <w:r w:rsidRPr="00C86224">
        <w:rPr>
          <w:rFonts w:asciiTheme="minorHAnsi" w:hAnsiTheme="minorHAnsi" w:cstheme="minorHAnsi"/>
          <w:i/>
          <w:szCs w:val="24"/>
        </w:rPr>
        <w:t>’</w:t>
      </w:r>
      <w:r w:rsidR="008257FA" w:rsidRPr="00C86224">
        <w:rPr>
          <w:rFonts w:asciiTheme="minorHAnsi" w:hAnsiTheme="minorHAnsi" w:cstheme="minorHAnsi"/>
          <w:i/>
          <w:szCs w:val="24"/>
        </w:rPr>
        <w:t>Principal</w:t>
      </w:r>
      <w:r w:rsidR="008257FA" w:rsidRPr="00C86224">
        <w:rPr>
          <w:rFonts w:asciiTheme="minorHAnsi" w:hAnsiTheme="minorHAnsi" w:cstheme="minorHAnsi"/>
          <w:i/>
        </w:rPr>
        <w:t>‘</w:t>
      </w:r>
      <w:r w:rsidR="005C717C" w:rsidRPr="00C86224">
        <w:rPr>
          <w:rFonts w:asciiTheme="minorHAnsi" w:hAnsiTheme="minorHAnsi" w:cstheme="minorHAnsi"/>
          <w:i/>
        </w:rPr>
        <w:t xml:space="preserve"> </w:t>
      </w:r>
      <w:r w:rsidR="008257FA" w:rsidRPr="00C86224">
        <w:rPr>
          <w:rFonts w:asciiTheme="minorHAnsi" w:hAnsiTheme="minorHAnsi" w:cstheme="minorHAnsi"/>
          <w:i/>
        </w:rPr>
        <w:t>shall</w:t>
      </w:r>
      <w:r w:rsidRPr="00C86224">
        <w:rPr>
          <w:rFonts w:asciiTheme="minorHAnsi" w:hAnsiTheme="minorHAnsi" w:cstheme="minorHAnsi"/>
          <w:i/>
        </w:rPr>
        <w:t xml:space="preserve"> mean</w:t>
      </w:r>
      <w:r w:rsidR="0091759E" w:rsidRPr="00C86224">
        <w:rPr>
          <w:rFonts w:cs="Calibri"/>
          <w:i/>
        </w:rPr>
        <w:t>, for purposes of Section 4.9, if a sole proprietorship, the proprietor; if a partnership, each managing partner and each partner who is a natural person and holds a 20% or more ownership interest in the partnership; and if a corporation, limited liability  company, association or a development company, each director, each of  the five most highly compensated executives or officers of the entity, and each natural person who is a direct or indirect holder of 20% or more of the ownership stock or stock equivalent of the entity.</w:t>
      </w:r>
      <w:r w:rsidR="003E2F47" w:rsidRPr="00C86224">
        <w:rPr>
          <w:rFonts w:cs="Calibri"/>
          <w:i/>
        </w:rPr>
        <w:t>”</w:t>
      </w:r>
      <w:proofErr w:type="gramEnd"/>
    </w:p>
    <w:p w:rsidR="002058C9" w:rsidRPr="002B7386" w:rsidRDefault="002058C9" w:rsidP="004E20FD">
      <w:pPr>
        <w:jc w:val="both"/>
        <w:rPr>
          <w:rFonts w:cs="Calibri"/>
        </w:rPr>
      </w:pPr>
      <w:r w:rsidRPr="002B7386">
        <w:rPr>
          <w:rFonts w:cs="Calibri"/>
          <w:b/>
        </w:rPr>
        <w:t xml:space="preserve">It </w:t>
      </w:r>
      <w:r w:rsidR="003E2F47" w:rsidRPr="002B7386">
        <w:rPr>
          <w:rFonts w:cs="Calibri"/>
          <w:b/>
        </w:rPr>
        <w:t>is the Participating State’s responsibility to obtain the certification, either electronically or in paper copy, and verify that it is complete and duly executed prior to transferring funds</w:t>
      </w:r>
      <w:r w:rsidR="005C717C" w:rsidRPr="002B7386">
        <w:rPr>
          <w:rFonts w:cs="Calibri"/>
          <w:b/>
        </w:rPr>
        <w:t>.</w:t>
      </w:r>
      <w:r w:rsidR="005C717C" w:rsidRPr="002B7386">
        <w:rPr>
          <w:rFonts w:cs="Calibri"/>
        </w:rPr>
        <w:t xml:space="preserve">  </w:t>
      </w:r>
      <w:r w:rsidRPr="002B7386">
        <w:rPr>
          <w:rFonts w:cs="Calibri"/>
        </w:rPr>
        <w:t xml:space="preserve">Treasury recommends that this certification </w:t>
      </w:r>
      <w:proofErr w:type="gramStart"/>
      <w:r w:rsidRPr="002B7386">
        <w:rPr>
          <w:rFonts w:cs="Calibri"/>
        </w:rPr>
        <w:t>be collected</w:t>
      </w:r>
      <w:proofErr w:type="gramEnd"/>
      <w:r w:rsidRPr="002B7386">
        <w:rPr>
          <w:rFonts w:cs="Calibri"/>
        </w:rPr>
        <w:t xml:space="preserve"> prior to the loan or investment closing so that there is no delay in the transfer of funds to the borrower post-closing.</w:t>
      </w:r>
    </w:p>
    <w:p w:rsidR="003E2F47" w:rsidRPr="002B7386" w:rsidRDefault="003E2F47" w:rsidP="004E20FD">
      <w:pPr>
        <w:jc w:val="both"/>
        <w:rPr>
          <w:rFonts w:cs="Calibri"/>
        </w:rPr>
      </w:pPr>
      <w:r w:rsidRPr="002B7386">
        <w:rPr>
          <w:rFonts w:cs="Calibri"/>
        </w:rPr>
        <w:t xml:space="preserve">Treasury does not require Participating States (or </w:t>
      </w:r>
      <w:r w:rsidR="00E75605">
        <w:rPr>
          <w:rFonts w:cs="Calibri"/>
        </w:rPr>
        <w:t>administering entit</w:t>
      </w:r>
      <w:r w:rsidRPr="002B7386">
        <w:rPr>
          <w:rFonts w:cs="Calibri"/>
        </w:rPr>
        <w:t xml:space="preserve">ies, if so designated) to independently verify the certified sex offender status of borrowers or investees.  For record retention purposes, Participating States may elect to have the certifications stored with the </w:t>
      </w:r>
      <w:proofErr w:type="gramStart"/>
      <w:r w:rsidR="00B04F78">
        <w:rPr>
          <w:rFonts w:cs="Calibri"/>
        </w:rPr>
        <w:t>lender</w:t>
      </w:r>
      <w:r w:rsidR="002058C9" w:rsidRPr="002B7386">
        <w:rPr>
          <w:rFonts w:cs="Calibri"/>
        </w:rPr>
        <w:t>’s</w:t>
      </w:r>
      <w:proofErr w:type="gramEnd"/>
      <w:r w:rsidRPr="002B7386">
        <w:rPr>
          <w:rFonts w:cs="Calibri"/>
        </w:rPr>
        <w:t xml:space="preserve"> or </w:t>
      </w:r>
      <w:r w:rsidR="004E2D49" w:rsidRPr="002B7386">
        <w:rPr>
          <w:rFonts w:cs="Calibri"/>
        </w:rPr>
        <w:t>investor</w:t>
      </w:r>
      <w:r w:rsidR="002058C9" w:rsidRPr="002B7386">
        <w:rPr>
          <w:rFonts w:cs="Calibri"/>
        </w:rPr>
        <w:t>’</w:t>
      </w:r>
      <w:r w:rsidRPr="002B7386">
        <w:rPr>
          <w:rFonts w:cs="Calibri"/>
        </w:rPr>
        <w:t xml:space="preserve">s transaction files.  </w:t>
      </w:r>
      <w:r w:rsidR="002058C9" w:rsidRPr="002B7386">
        <w:rPr>
          <w:rFonts w:cs="Calibri"/>
        </w:rPr>
        <w:t>However, Treasury recommends that Participating States retain the sex offender certifications</w:t>
      </w:r>
      <w:r w:rsidR="007F0912" w:rsidRPr="002B7386">
        <w:rPr>
          <w:rFonts w:cs="Calibri"/>
        </w:rPr>
        <w:t xml:space="preserve"> in order to mitigate risks associated with record retention requirements.</w:t>
      </w:r>
    </w:p>
    <w:p w:rsidR="003E2F47" w:rsidRPr="002B7386" w:rsidRDefault="003E2F47" w:rsidP="004E20FD">
      <w:pPr>
        <w:pStyle w:val="ListParagraph"/>
        <w:ind w:left="0"/>
        <w:jc w:val="both"/>
        <w:rPr>
          <w:rFonts w:cs="Calibri"/>
        </w:rPr>
      </w:pPr>
      <w:r w:rsidRPr="002B7386">
        <w:rPr>
          <w:rFonts w:cs="Calibri"/>
        </w:rPr>
        <w:t xml:space="preserve">If the Participating State delegates any of these responsibilities to an </w:t>
      </w:r>
      <w:r w:rsidR="00E75605">
        <w:rPr>
          <w:rFonts w:cs="Calibri"/>
        </w:rPr>
        <w:t>administering entit</w:t>
      </w:r>
      <w:r w:rsidRPr="002B7386">
        <w:rPr>
          <w:rFonts w:cs="Calibri"/>
        </w:rPr>
        <w:t>y, the Participating State m</w:t>
      </w:r>
      <w:r w:rsidR="002058C9" w:rsidRPr="002B7386">
        <w:rPr>
          <w:rFonts w:cs="Calibri"/>
        </w:rPr>
        <w:t>ust exercise oversight to verify</w:t>
      </w:r>
      <w:r w:rsidRPr="002B7386">
        <w:rPr>
          <w:rFonts w:cs="Calibri"/>
        </w:rPr>
        <w:t xml:space="preserve"> co</w:t>
      </w:r>
      <w:r w:rsidR="002058C9" w:rsidRPr="002B7386">
        <w:rPr>
          <w:rFonts w:cs="Calibri"/>
        </w:rPr>
        <w:t xml:space="preserve">mpliance.  One means of </w:t>
      </w:r>
      <w:r w:rsidR="00625FEE" w:rsidRPr="002B7386">
        <w:rPr>
          <w:rFonts w:cs="Calibri"/>
        </w:rPr>
        <w:t>exercising</w:t>
      </w:r>
      <w:r w:rsidR="002058C9" w:rsidRPr="002B7386">
        <w:rPr>
          <w:rFonts w:cs="Calibri"/>
        </w:rPr>
        <w:t xml:space="preserve"> this oversight would be </w:t>
      </w:r>
      <w:r w:rsidR="00625FEE" w:rsidRPr="002B7386">
        <w:rPr>
          <w:rFonts w:cs="Calibri"/>
        </w:rPr>
        <w:t xml:space="preserve">to conduct </w:t>
      </w:r>
      <w:r w:rsidRPr="002B7386">
        <w:rPr>
          <w:rFonts w:cs="Calibri"/>
        </w:rPr>
        <w:t>an annual audit of the certifications</w:t>
      </w:r>
      <w:r w:rsidR="002058C9" w:rsidRPr="002B7386">
        <w:rPr>
          <w:rFonts w:cs="Calibri"/>
        </w:rPr>
        <w:t xml:space="preserve"> to verify</w:t>
      </w:r>
      <w:r w:rsidRPr="002B7386">
        <w:rPr>
          <w:rFonts w:cs="Calibri"/>
        </w:rPr>
        <w:t xml:space="preserve"> that the documents are in order and </w:t>
      </w:r>
      <w:proofErr w:type="gramStart"/>
      <w:r w:rsidRPr="002B7386">
        <w:rPr>
          <w:rFonts w:cs="Calibri"/>
        </w:rPr>
        <w:t>are being maintained</w:t>
      </w:r>
      <w:proofErr w:type="gramEnd"/>
      <w:r w:rsidRPr="002B7386">
        <w:rPr>
          <w:rFonts w:cs="Calibri"/>
        </w:rPr>
        <w:t xml:space="preserve"> pursuant to the records retention requirements discussed later in this document.  </w:t>
      </w:r>
    </w:p>
    <w:p w:rsidR="003E2F47" w:rsidRPr="002B7386" w:rsidRDefault="003E2F47" w:rsidP="004E20FD">
      <w:pPr>
        <w:jc w:val="both"/>
        <w:rPr>
          <w:rFonts w:cs="Calibri"/>
        </w:rPr>
      </w:pPr>
      <w:r w:rsidRPr="004E20FD">
        <w:rPr>
          <w:rFonts w:cs="Calibri"/>
        </w:rPr>
        <w:lastRenderedPageBreak/>
        <w:t xml:space="preserve">Treasury has provided a sample sex offender certification form </w:t>
      </w:r>
      <w:r w:rsidR="00943707" w:rsidRPr="004E20FD">
        <w:rPr>
          <w:rFonts w:cs="Calibri"/>
        </w:rPr>
        <w:t xml:space="preserve">in Appendix B </w:t>
      </w:r>
      <w:r w:rsidR="00E65BDC" w:rsidRPr="004E20FD">
        <w:rPr>
          <w:rFonts w:cs="Calibri"/>
        </w:rPr>
        <w:t>of</w:t>
      </w:r>
      <w:r w:rsidR="00943707" w:rsidRPr="004E20FD">
        <w:rPr>
          <w:rFonts w:cs="Calibri"/>
        </w:rPr>
        <w:t xml:space="preserve"> </w:t>
      </w:r>
      <w:r w:rsidRPr="004E20FD">
        <w:rPr>
          <w:rFonts w:cs="Calibri"/>
        </w:rPr>
        <w:t>this document.</w:t>
      </w:r>
      <w:r w:rsidRPr="002B7386">
        <w:rPr>
          <w:rFonts w:cs="Calibri"/>
          <w:b/>
        </w:rPr>
        <w:t xml:space="preserve">  </w:t>
      </w:r>
      <w:r w:rsidRPr="002B7386">
        <w:rPr>
          <w:rFonts w:cs="Calibri"/>
        </w:rPr>
        <w:t xml:space="preserve">As noted above, </w:t>
      </w:r>
      <w:r w:rsidR="006D5C22">
        <w:rPr>
          <w:rFonts w:cs="Calibri"/>
        </w:rPr>
        <w:t xml:space="preserve">Participating States may combine </w:t>
      </w:r>
      <w:r w:rsidRPr="002B7386">
        <w:rPr>
          <w:rFonts w:cs="Calibri"/>
        </w:rPr>
        <w:t xml:space="preserve">the sex offender certification </w:t>
      </w:r>
      <w:r w:rsidR="00246E77">
        <w:rPr>
          <w:rFonts w:cs="Calibri"/>
        </w:rPr>
        <w:t>along with</w:t>
      </w:r>
      <w:r w:rsidRPr="002B7386">
        <w:rPr>
          <w:rFonts w:cs="Calibri"/>
        </w:rPr>
        <w:t xml:space="preserve"> the borrower</w:t>
      </w:r>
      <w:r w:rsidR="002058C9" w:rsidRPr="002B7386">
        <w:rPr>
          <w:rFonts w:cs="Calibri"/>
        </w:rPr>
        <w:t>’s</w:t>
      </w:r>
      <w:r w:rsidRPr="002B7386">
        <w:rPr>
          <w:rFonts w:cs="Calibri"/>
        </w:rPr>
        <w:t xml:space="preserve"> (or investee</w:t>
      </w:r>
      <w:r w:rsidR="002058C9" w:rsidRPr="002B7386">
        <w:rPr>
          <w:rFonts w:cs="Calibri"/>
        </w:rPr>
        <w:t>’</w:t>
      </w:r>
      <w:r w:rsidRPr="002B7386">
        <w:rPr>
          <w:rFonts w:cs="Calibri"/>
        </w:rPr>
        <w:t>s) use of proceeds certifications</w:t>
      </w:r>
      <w:r w:rsidR="006D5C22" w:rsidRPr="006D5C22">
        <w:rPr>
          <w:rFonts w:cs="Calibri"/>
        </w:rPr>
        <w:t xml:space="preserve"> </w:t>
      </w:r>
      <w:r w:rsidR="006D5C22">
        <w:rPr>
          <w:rFonts w:cs="Calibri"/>
        </w:rPr>
        <w:t>on a single</w:t>
      </w:r>
      <w:r w:rsidR="006D5C22" w:rsidRPr="002B7386">
        <w:rPr>
          <w:rFonts w:cs="Calibri"/>
        </w:rPr>
        <w:t xml:space="preserve"> form</w:t>
      </w:r>
      <w:r w:rsidRPr="002B7386">
        <w:rPr>
          <w:rFonts w:cs="Calibri"/>
        </w:rPr>
        <w:t xml:space="preserve">.  However, Participating States </w:t>
      </w:r>
      <w:r w:rsidR="00246E77">
        <w:rPr>
          <w:rFonts w:cs="Calibri"/>
        </w:rPr>
        <w:t>must</w:t>
      </w:r>
      <w:r w:rsidR="009E6E0F">
        <w:rPr>
          <w:rFonts w:cs="Calibri"/>
        </w:rPr>
        <w:t xml:space="preserve"> obtain</w:t>
      </w:r>
      <w:r w:rsidRPr="002B7386">
        <w:rPr>
          <w:rFonts w:cs="Calibri"/>
        </w:rPr>
        <w:t xml:space="preserve"> a sex offender certification </w:t>
      </w:r>
      <w:r w:rsidR="009E6E0F">
        <w:rPr>
          <w:rFonts w:cs="Calibri"/>
        </w:rPr>
        <w:t>that covers</w:t>
      </w:r>
      <w:r w:rsidRPr="002B7386">
        <w:rPr>
          <w:rFonts w:cs="Calibri"/>
        </w:rPr>
        <w:t xml:space="preserve"> </w:t>
      </w:r>
      <w:r w:rsidRPr="002B7386">
        <w:rPr>
          <w:rFonts w:cs="Calibri"/>
          <w:i/>
        </w:rPr>
        <w:t xml:space="preserve">each principal </w:t>
      </w:r>
      <w:r w:rsidRPr="002B7386">
        <w:rPr>
          <w:rFonts w:cs="Calibri"/>
        </w:rPr>
        <w:t>whereas the use of proceeds certification is</w:t>
      </w:r>
      <w:r w:rsidR="00246E77">
        <w:rPr>
          <w:rFonts w:cs="Calibri"/>
        </w:rPr>
        <w:t xml:space="preserve"> only</w:t>
      </w:r>
      <w:r w:rsidRPr="002B7386">
        <w:rPr>
          <w:rFonts w:cs="Calibri"/>
        </w:rPr>
        <w:t xml:space="preserve"> required </w:t>
      </w:r>
      <w:r w:rsidR="00246E77">
        <w:rPr>
          <w:rFonts w:cs="Calibri"/>
        </w:rPr>
        <w:t>from</w:t>
      </w:r>
      <w:r w:rsidRPr="002B7386">
        <w:rPr>
          <w:rFonts w:cs="Calibri"/>
        </w:rPr>
        <w:t xml:space="preserve"> a </w:t>
      </w:r>
      <w:r w:rsidRPr="002B7386">
        <w:rPr>
          <w:rFonts w:cs="Calibri"/>
          <w:i/>
        </w:rPr>
        <w:t>single authorized representative of the small business</w:t>
      </w:r>
      <w:r w:rsidR="00246E77">
        <w:rPr>
          <w:rFonts w:cs="Calibri"/>
          <w:i/>
        </w:rPr>
        <w:t xml:space="preserve">.  </w:t>
      </w:r>
      <w:r w:rsidR="00246E77">
        <w:rPr>
          <w:rFonts w:cs="Calibri"/>
        </w:rPr>
        <w:t>This may make administration of</w:t>
      </w:r>
      <w:r w:rsidR="002058C9" w:rsidRPr="002B7386">
        <w:rPr>
          <w:rFonts w:cs="Calibri"/>
        </w:rPr>
        <w:t xml:space="preserve"> </w:t>
      </w:r>
      <w:r w:rsidRPr="002B7386">
        <w:rPr>
          <w:rFonts w:cs="Calibri"/>
        </w:rPr>
        <w:t xml:space="preserve">a </w:t>
      </w:r>
      <w:r w:rsidR="006D5C22">
        <w:rPr>
          <w:rFonts w:cs="Calibri"/>
        </w:rPr>
        <w:t>combined</w:t>
      </w:r>
      <w:r w:rsidR="006D5C22" w:rsidRPr="002B7386">
        <w:rPr>
          <w:rFonts w:cs="Calibri"/>
        </w:rPr>
        <w:t xml:space="preserve"> </w:t>
      </w:r>
      <w:r w:rsidRPr="002B7386">
        <w:rPr>
          <w:rFonts w:cs="Calibri"/>
        </w:rPr>
        <w:t>certification form impractical</w:t>
      </w:r>
      <w:r w:rsidR="002058C9" w:rsidRPr="002B7386">
        <w:rPr>
          <w:rFonts w:cs="Calibri"/>
        </w:rPr>
        <w:t xml:space="preserve"> </w:t>
      </w:r>
      <w:r w:rsidR="00246E77">
        <w:rPr>
          <w:rFonts w:cs="Calibri"/>
        </w:rPr>
        <w:t>in some cases.</w:t>
      </w:r>
    </w:p>
    <w:p w:rsidR="003E2F47" w:rsidRPr="002B7386" w:rsidRDefault="00C86224" w:rsidP="00246E77">
      <w:pPr>
        <w:pStyle w:val="Heading3"/>
        <w:spacing w:before="480"/>
      </w:pPr>
      <w:r>
        <w:t>Risk</w:t>
      </w:r>
      <w:r w:rsidR="005C717C">
        <w:t>:</w:t>
      </w:r>
      <w:r w:rsidR="003E2F47" w:rsidRPr="002B7386">
        <w:t xml:space="preserve">  </w:t>
      </w:r>
      <w:r w:rsidR="002C0731">
        <w:t>Inadequate Lender/</w:t>
      </w:r>
      <w:r w:rsidR="003E2F47" w:rsidRPr="002B7386">
        <w:t>Investor</w:t>
      </w:r>
      <w:r w:rsidR="00246E77" w:rsidRPr="002B7386">
        <w:rPr>
          <w:rStyle w:val="FootnoteReference"/>
        </w:rPr>
        <w:footnoteReference w:id="8"/>
      </w:r>
      <w:r w:rsidR="003E2F47" w:rsidRPr="002B7386">
        <w:t xml:space="preserve"> Certifications</w:t>
      </w:r>
    </w:p>
    <w:p w:rsidR="003E2F47" w:rsidRPr="00C86224" w:rsidRDefault="003E2F47" w:rsidP="00246E77">
      <w:pPr>
        <w:spacing w:before="120" w:after="120"/>
        <w:rPr>
          <w:rStyle w:val="SubtleEmphasis"/>
        </w:rPr>
      </w:pPr>
      <w:r w:rsidRPr="00C86224">
        <w:rPr>
          <w:rStyle w:val="SubtleEmphasis"/>
        </w:rPr>
        <w:t>Use of Proceeds Certifications</w:t>
      </w:r>
      <w:r w:rsidR="00E55969" w:rsidRPr="00C86224">
        <w:rPr>
          <w:rStyle w:val="SubtleEmphasis"/>
        </w:rPr>
        <w:t xml:space="preserve"> (Lender/ Investor)</w:t>
      </w:r>
    </w:p>
    <w:p w:rsidR="003E2F47" w:rsidRPr="002B7386" w:rsidRDefault="003E2F47" w:rsidP="00246E77">
      <w:pPr>
        <w:pStyle w:val="Default"/>
        <w:jc w:val="both"/>
        <w:rPr>
          <w:sz w:val="22"/>
          <w:szCs w:val="22"/>
        </w:rPr>
      </w:pPr>
      <w:r w:rsidRPr="002B7386">
        <w:rPr>
          <w:sz w:val="22"/>
          <w:szCs w:val="22"/>
        </w:rPr>
        <w:t xml:space="preserve">As noted above, Article IV of the Allocation Agreement </w:t>
      </w:r>
      <w:r w:rsidR="005C717C" w:rsidRPr="002B7386">
        <w:rPr>
          <w:sz w:val="22"/>
          <w:szCs w:val="22"/>
        </w:rPr>
        <w:t>and Sections</w:t>
      </w:r>
      <w:r w:rsidRPr="002B7386">
        <w:rPr>
          <w:sz w:val="22"/>
          <w:szCs w:val="22"/>
        </w:rPr>
        <w:t xml:space="preserve"> VI, VII, and XII of the SSBCI Policy Guidelines outline the restrictions on the acceptable uses of loan and investment proceeds.  </w:t>
      </w:r>
      <w:r w:rsidR="005012D3">
        <w:rPr>
          <w:sz w:val="22"/>
          <w:szCs w:val="22"/>
        </w:rPr>
        <w:t>I</w:t>
      </w:r>
      <w:r w:rsidRPr="002B7386">
        <w:rPr>
          <w:sz w:val="22"/>
          <w:szCs w:val="22"/>
        </w:rPr>
        <w:t xml:space="preserve">n addition to the use of proceeds certification made by the small business borrower (or investee), as described above, the </w:t>
      </w:r>
      <w:r w:rsidR="00B04F78">
        <w:rPr>
          <w:i/>
          <w:sz w:val="22"/>
          <w:szCs w:val="22"/>
        </w:rPr>
        <w:t>lender</w:t>
      </w:r>
      <w:r w:rsidRPr="002B7386">
        <w:rPr>
          <w:sz w:val="22"/>
          <w:szCs w:val="22"/>
        </w:rPr>
        <w:t xml:space="preserve"> (</w:t>
      </w:r>
      <w:r w:rsidR="00625FEE" w:rsidRPr="002B7386">
        <w:rPr>
          <w:sz w:val="22"/>
          <w:szCs w:val="22"/>
        </w:rPr>
        <w:t>or investor</w:t>
      </w:r>
      <w:r w:rsidRPr="002B7386">
        <w:rPr>
          <w:sz w:val="22"/>
          <w:szCs w:val="22"/>
        </w:rPr>
        <w:t xml:space="preserve">, or in the case of </w:t>
      </w:r>
      <w:r w:rsidR="00625FEE" w:rsidRPr="002B7386">
        <w:rPr>
          <w:sz w:val="22"/>
          <w:szCs w:val="22"/>
        </w:rPr>
        <w:t xml:space="preserve">a </w:t>
      </w:r>
      <w:r w:rsidRPr="002B7386">
        <w:rPr>
          <w:sz w:val="22"/>
          <w:szCs w:val="22"/>
        </w:rPr>
        <w:t>state-run direct loan</w:t>
      </w:r>
      <w:r w:rsidR="00407099" w:rsidRPr="002B7386">
        <w:rPr>
          <w:rStyle w:val="FootnoteReference"/>
          <w:sz w:val="22"/>
          <w:szCs w:val="22"/>
        </w:rPr>
        <w:footnoteReference w:id="9"/>
      </w:r>
      <w:r w:rsidR="00625FEE" w:rsidRPr="002B7386">
        <w:rPr>
          <w:sz w:val="22"/>
          <w:szCs w:val="22"/>
        </w:rPr>
        <w:t xml:space="preserve"> or venture capital program</w:t>
      </w:r>
      <w:r w:rsidRPr="002B7386">
        <w:rPr>
          <w:sz w:val="22"/>
          <w:szCs w:val="22"/>
        </w:rPr>
        <w:t xml:space="preserve">, the Participating State itself) must also certify to the </w:t>
      </w:r>
      <w:r w:rsidRPr="002B7386">
        <w:rPr>
          <w:i/>
          <w:sz w:val="22"/>
          <w:szCs w:val="22"/>
        </w:rPr>
        <w:t>Participating State</w:t>
      </w:r>
      <w:r w:rsidRPr="002B7386">
        <w:rPr>
          <w:sz w:val="22"/>
          <w:szCs w:val="22"/>
        </w:rPr>
        <w:t xml:space="preserve"> that: </w:t>
      </w:r>
    </w:p>
    <w:p w:rsidR="00E7572A" w:rsidRDefault="003E2F47" w:rsidP="00246E77">
      <w:pPr>
        <w:pStyle w:val="Default"/>
        <w:numPr>
          <w:ilvl w:val="0"/>
          <w:numId w:val="13"/>
        </w:numPr>
        <w:spacing w:before="200" w:after="120"/>
        <w:jc w:val="both"/>
        <w:rPr>
          <w:sz w:val="22"/>
          <w:szCs w:val="22"/>
        </w:rPr>
      </w:pPr>
      <w:r w:rsidRPr="002B7386">
        <w:rPr>
          <w:sz w:val="22"/>
          <w:szCs w:val="22"/>
        </w:rPr>
        <w:t xml:space="preserve">The loan or investment has not been made in order to place under the protection of the Approved State Program prior debt that is not covered under the Approved State Program and that is or was owed by the borrower to the </w:t>
      </w:r>
      <w:r w:rsidR="00B04F78">
        <w:rPr>
          <w:sz w:val="22"/>
          <w:szCs w:val="22"/>
        </w:rPr>
        <w:t>lender</w:t>
      </w:r>
      <w:r w:rsidRPr="002B7386">
        <w:rPr>
          <w:sz w:val="22"/>
          <w:szCs w:val="22"/>
        </w:rPr>
        <w:t xml:space="preserve"> or to an affiliate of the </w:t>
      </w:r>
      <w:r w:rsidR="00B04F78">
        <w:rPr>
          <w:sz w:val="22"/>
          <w:szCs w:val="22"/>
        </w:rPr>
        <w:t>lender</w:t>
      </w:r>
      <w:r w:rsidRPr="002B7386">
        <w:rPr>
          <w:sz w:val="22"/>
          <w:szCs w:val="22"/>
        </w:rPr>
        <w:t>; and,</w:t>
      </w:r>
    </w:p>
    <w:p w:rsidR="00E7572A" w:rsidRDefault="003E2F47" w:rsidP="00246E77">
      <w:pPr>
        <w:pStyle w:val="Default"/>
        <w:numPr>
          <w:ilvl w:val="0"/>
          <w:numId w:val="13"/>
        </w:numPr>
        <w:spacing w:after="120"/>
        <w:jc w:val="both"/>
        <w:rPr>
          <w:sz w:val="22"/>
          <w:szCs w:val="22"/>
        </w:rPr>
      </w:pPr>
      <w:r w:rsidRPr="002B7386">
        <w:rPr>
          <w:sz w:val="22"/>
          <w:szCs w:val="22"/>
        </w:rPr>
        <w:t xml:space="preserve">The loan or investment is not a refinancing of a loan previously made to that borrower by the </w:t>
      </w:r>
      <w:r w:rsidR="00B04F78">
        <w:rPr>
          <w:sz w:val="22"/>
          <w:szCs w:val="22"/>
        </w:rPr>
        <w:t>lender</w:t>
      </w:r>
      <w:r w:rsidRPr="002B7386">
        <w:rPr>
          <w:sz w:val="22"/>
          <w:szCs w:val="22"/>
        </w:rPr>
        <w:t xml:space="preserve"> or an affiliate of the </w:t>
      </w:r>
      <w:r w:rsidR="00B04F78">
        <w:rPr>
          <w:sz w:val="22"/>
          <w:szCs w:val="22"/>
        </w:rPr>
        <w:t>lender</w:t>
      </w:r>
      <w:r w:rsidRPr="002B7386">
        <w:rPr>
          <w:sz w:val="22"/>
          <w:szCs w:val="22"/>
        </w:rPr>
        <w:t xml:space="preserve">; and,  </w:t>
      </w:r>
    </w:p>
    <w:p w:rsidR="00E7572A" w:rsidRDefault="003E2F47" w:rsidP="00246E77">
      <w:pPr>
        <w:pStyle w:val="Default"/>
        <w:numPr>
          <w:ilvl w:val="0"/>
          <w:numId w:val="13"/>
        </w:numPr>
        <w:spacing w:before="120" w:after="240"/>
        <w:jc w:val="both"/>
        <w:rPr>
          <w:sz w:val="22"/>
          <w:szCs w:val="22"/>
        </w:rPr>
      </w:pPr>
      <w:r w:rsidRPr="002B7386">
        <w:rPr>
          <w:sz w:val="22"/>
          <w:szCs w:val="22"/>
        </w:rPr>
        <w:t xml:space="preserve">The </w:t>
      </w:r>
      <w:r w:rsidR="00B04F78">
        <w:rPr>
          <w:sz w:val="22"/>
          <w:szCs w:val="22"/>
        </w:rPr>
        <w:t>lender</w:t>
      </w:r>
      <w:r w:rsidRPr="002B7386">
        <w:rPr>
          <w:sz w:val="22"/>
          <w:szCs w:val="22"/>
        </w:rPr>
        <w:t xml:space="preserve"> is not attempting to enroll the unguaranteed portions of SBA-guaranteed loans (applicable to loan programs only). </w:t>
      </w:r>
    </w:p>
    <w:p w:rsidR="007F0912" w:rsidRPr="002B7386" w:rsidRDefault="003E2F47" w:rsidP="00246E77">
      <w:pPr>
        <w:jc w:val="both"/>
        <w:rPr>
          <w:rFonts w:cs="Calibri"/>
          <w:b/>
        </w:rPr>
      </w:pPr>
      <w:r w:rsidRPr="002B7386">
        <w:rPr>
          <w:b/>
        </w:rPr>
        <w:t>I</w:t>
      </w:r>
      <w:r w:rsidRPr="002B7386">
        <w:rPr>
          <w:rFonts w:cs="Calibri"/>
          <w:b/>
        </w:rPr>
        <w:t xml:space="preserve">t is the Participating State’s responsibility to obtain this use of proceeds certification, either electronically or in paper copy, and to verify that it is complete and duly executed prior to transferring funds.  </w:t>
      </w:r>
      <w:r w:rsidR="00E65BDC" w:rsidRPr="00246E77">
        <w:rPr>
          <w:rFonts w:cs="Calibri"/>
        </w:rPr>
        <w:t>Treasury has provided a sample certification in Appendix C of this document.</w:t>
      </w:r>
    </w:p>
    <w:p w:rsidR="007F0912" w:rsidRPr="002B7386" w:rsidRDefault="003E2F47" w:rsidP="00246E77">
      <w:pPr>
        <w:jc w:val="both"/>
        <w:rPr>
          <w:rFonts w:cs="Calibri"/>
        </w:rPr>
      </w:pPr>
      <w:r w:rsidRPr="002B7386">
        <w:t xml:space="preserve">Treasury does not </w:t>
      </w:r>
      <w:r w:rsidR="008257FA">
        <w:t>require</w:t>
      </w:r>
      <w:r w:rsidR="008257FA" w:rsidRPr="002B7386">
        <w:t xml:space="preserve"> </w:t>
      </w:r>
      <w:r w:rsidRPr="002B7386">
        <w:t xml:space="preserve">Participating States (or </w:t>
      </w:r>
      <w:r w:rsidR="00E75605">
        <w:t>administering entit</w:t>
      </w:r>
      <w:r w:rsidRPr="002B7386">
        <w:t>ies</w:t>
      </w:r>
      <w:r w:rsidR="005012D3">
        <w:t>,</w:t>
      </w:r>
      <w:r w:rsidRPr="002B7386">
        <w:t xml:space="preserve"> if so designated) to independently verify the representations made by</w:t>
      </w:r>
      <w:r w:rsidR="003B1C6A">
        <w:t xml:space="preserve"> a</w:t>
      </w:r>
      <w:r w:rsidRPr="002B7386">
        <w:t xml:space="preserve"> lender or </w:t>
      </w:r>
      <w:r w:rsidR="004E2D49" w:rsidRPr="002B7386">
        <w:t>investor</w:t>
      </w:r>
      <w:r w:rsidRPr="002B7386">
        <w:t xml:space="preserve"> regarding the use of proceeds.  However, Treasury does expect that Participating States, as part of their compliance monitoring procedures, will establish a process to determine whether these required certifications </w:t>
      </w:r>
      <w:proofErr w:type="gramStart"/>
      <w:r w:rsidRPr="002B7386">
        <w:t>have been adequately documented</w:t>
      </w:r>
      <w:proofErr w:type="gramEnd"/>
      <w:r w:rsidRPr="002B7386">
        <w:t>.</w:t>
      </w:r>
      <w:r w:rsidRPr="002B7386">
        <w:rPr>
          <w:rFonts w:cs="Calibri"/>
        </w:rPr>
        <w:t xml:space="preserve">  For record retention purposes, Participating States may elect to </w:t>
      </w:r>
      <w:r w:rsidR="003B1C6A">
        <w:rPr>
          <w:rFonts w:cs="Calibri"/>
        </w:rPr>
        <w:t>store</w:t>
      </w:r>
      <w:r w:rsidR="003B1C6A" w:rsidRPr="002B7386">
        <w:rPr>
          <w:rFonts w:cs="Calibri"/>
        </w:rPr>
        <w:t xml:space="preserve"> </w:t>
      </w:r>
      <w:r w:rsidRPr="002B7386">
        <w:rPr>
          <w:rFonts w:cs="Calibri"/>
        </w:rPr>
        <w:t xml:space="preserve">the certifications with the </w:t>
      </w:r>
      <w:proofErr w:type="gramStart"/>
      <w:r w:rsidR="00B04F78">
        <w:rPr>
          <w:rFonts w:cs="Calibri"/>
        </w:rPr>
        <w:t>lender</w:t>
      </w:r>
      <w:r w:rsidRPr="002B7386">
        <w:rPr>
          <w:rFonts w:cs="Calibri"/>
        </w:rPr>
        <w:t>’s</w:t>
      </w:r>
      <w:proofErr w:type="gramEnd"/>
      <w:r w:rsidRPr="002B7386">
        <w:rPr>
          <w:rFonts w:cs="Calibri"/>
        </w:rPr>
        <w:t xml:space="preserve"> or </w:t>
      </w:r>
      <w:r w:rsidR="004E2D49" w:rsidRPr="002B7386">
        <w:rPr>
          <w:rFonts w:cs="Calibri"/>
        </w:rPr>
        <w:t>investor</w:t>
      </w:r>
      <w:r w:rsidRPr="002B7386">
        <w:rPr>
          <w:rFonts w:cs="Calibri"/>
        </w:rPr>
        <w:t xml:space="preserve">’s transaction files.  </w:t>
      </w:r>
      <w:r w:rsidR="007F0912" w:rsidRPr="002B7386">
        <w:rPr>
          <w:rFonts w:cs="Calibri"/>
        </w:rPr>
        <w:t xml:space="preserve">However, Treasury recommends that Participating States retain the </w:t>
      </w:r>
      <w:r w:rsidR="005012D3">
        <w:rPr>
          <w:rFonts w:cs="Calibri"/>
        </w:rPr>
        <w:t>use of proceeds certifications</w:t>
      </w:r>
      <w:r w:rsidR="007F0912" w:rsidRPr="002B7386">
        <w:rPr>
          <w:rFonts w:cs="Calibri"/>
        </w:rPr>
        <w:t xml:space="preserve"> in order to mitigate risks associated with record retention requirements.</w:t>
      </w:r>
    </w:p>
    <w:p w:rsidR="00B230B5" w:rsidRDefault="003E2F47" w:rsidP="00246E77">
      <w:pPr>
        <w:jc w:val="both"/>
        <w:rPr>
          <w:rFonts w:cs="Calibri"/>
        </w:rPr>
      </w:pPr>
      <w:r w:rsidRPr="002B7386">
        <w:lastRenderedPageBreak/>
        <w:t xml:space="preserve">If the </w:t>
      </w:r>
      <w:r w:rsidRPr="002B7386">
        <w:rPr>
          <w:rFonts w:cs="Calibri"/>
        </w:rPr>
        <w:t xml:space="preserve">Participating State delegates the responsibility to obtain this certification to an </w:t>
      </w:r>
      <w:r w:rsidR="00E75605">
        <w:rPr>
          <w:rFonts w:cs="Calibri"/>
        </w:rPr>
        <w:t>administering entit</w:t>
      </w:r>
      <w:r w:rsidRPr="002B7386">
        <w:rPr>
          <w:rFonts w:cs="Calibri"/>
        </w:rPr>
        <w:t xml:space="preserve">y, the Participating State must exercise appropriate oversight of the </w:t>
      </w:r>
      <w:r w:rsidR="00E75605">
        <w:rPr>
          <w:rFonts w:cs="Calibri"/>
        </w:rPr>
        <w:t>administering entit</w:t>
      </w:r>
      <w:r w:rsidRPr="002B7386">
        <w:rPr>
          <w:rFonts w:cs="Calibri"/>
        </w:rPr>
        <w:t>y.  One means of exercising this oversight would be to conduct an annual audit of each lender or invest</w:t>
      </w:r>
      <w:r w:rsidR="00375427" w:rsidRPr="002B7386">
        <w:rPr>
          <w:rFonts w:cs="Calibri"/>
        </w:rPr>
        <w:t>or’s transaction files to verify</w:t>
      </w:r>
      <w:r w:rsidRPr="002B7386">
        <w:rPr>
          <w:rFonts w:cs="Calibri"/>
        </w:rPr>
        <w:t xml:space="preserve"> that the use of proceeds certifications are on file and signed by an authorized representative of the </w:t>
      </w:r>
      <w:r w:rsidR="00B04F78">
        <w:rPr>
          <w:rFonts w:cs="Calibri"/>
        </w:rPr>
        <w:t>lender</w:t>
      </w:r>
      <w:r w:rsidRPr="002B7386">
        <w:rPr>
          <w:rFonts w:cs="Calibri"/>
        </w:rPr>
        <w:t xml:space="preserve"> or </w:t>
      </w:r>
      <w:r w:rsidR="004E2D49" w:rsidRPr="002B7386">
        <w:rPr>
          <w:rFonts w:cs="Calibri"/>
        </w:rPr>
        <w:t>investor</w:t>
      </w:r>
      <w:r w:rsidRPr="002B7386">
        <w:rPr>
          <w:rFonts w:cs="Calibri"/>
        </w:rPr>
        <w:t xml:space="preserve">.  </w:t>
      </w:r>
    </w:p>
    <w:p w:rsidR="00625FEE" w:rsidRPr="002B7386" w:rsidRDefault="003E2F47" w:rsidP="00246E77">
      <w:pPr>
        <w:jc w:val="both"/>
        <w:rPr>
          <w:rFonts w:cs="Calibri"/>
          <w:b/>
        </w:rPr>
      </w:pPr>
      <w:r w:rsidRPr="002B7386">
        <w:rPr>
          <w:rFonts w:cs="Calibri"/>
          <w:b/>
        </w:rPr>
        <w:t xml:space="preserve">It is not sufficient for a lender or </w:t>
      </w:r>
      <w:r w:rsidR="004E2D49" w:rsidRPr="002B7386">
        <w:rPr>
          <w:rFonts w:cs="Calibri"/>
          <w:b/>
        </w:rPr>
        <w:t>investor</w:t>
      </w:r>
      <w:r w:rsidRPr="002B7386">
        <w:rPr>
          <w:rFonts w:cs="Calibri"/>
          <w:b/>
        </w:rPr>
        <w:t xml:space="preserve"> to provide a one-time certification of compliance with these requirements</w:t>
      </w:r>
      <w:r w:rsidR="00B230B5">
        <w:rPr>
          <w:rFonts w:cs="Calibri"/>
          <w:b/>
        </w:rPr>
        <w:t xml:space="preserve"> </w:t>
      </w:r>
      <w:r w:rsidR="009E6E0F">
        <w:rPr>
          <w:rFonts w:cs="Calibri"/>
          <w:b/>
        </w:rPr>
        <w:t>as part of</w:t>
      </w:r>
      <w:r w:rsidR="00B230B5">
        <w:rPr>
          <w:rFonts w:cs="Calibri"/>
          <w:b/>
        </w:rPr>
        <w:t xml:space="preserve"> a lender or investor participation agreement; the lender or investor must certify the use of proceeds for each</w:t>
      </w:r>
      <w:r w:rsidR="00246E77">
        <w:rPr>
          <w:rFonts w:cs="Calibri"/>
          <w:b/>
        </w:rPr>
        <w:t xml:space="preserve"> </w:t>
      </w:r>
      <w:r w:rsidR="00B230B5">
        <w:rPr>
          <w:rFonts w:cs="Calibri"/>
          <w:b/>
        </w:rPr>
        <w:t>individual loan or investment</w:t>
      </w:r>
      <w:r w:rsidRPr="002B7386">
        <w:rPr>
          <w:rFonts w:cs="Calibri"/>
          <w:b/>
        </w:rPr>
        <w:t>.</w:t>
      </w:r>
    </w:p>
    <w:p w:rsidR="00625FEE" w:rsidRPr="002B7386" w:rsidRDefault="00625FEE" w:rsidP="00246E77">
      <w:pPr>
        <w:jc w:val="both"/>
        <w:rPr>
          <w:rFonts w:cs="Calibri"/>
        </w:rPr>
      </w:pPr>
      <w:r w:rsidRPr="002B7386">
        <w:rPr>
          <w:rFonts w:eastAsia="Times New Roman" w:cs="Calibri"/>
          <w:color w:val="000000"/>
        </w:rPr>
        <w:t xml:space="preserve">Treasury also recommends that Participating States:  </w:t>
      </w:r>
    </w:p>
    <w:p w:rsidR="00E7572A" w:rsidRDefault="00625FEE" w:rsidP="00246E77">
      <w:pPr>
        <w:pStyle w:val="ListParagraph"/>
        <w:numPr>
          <w:ilvl w:val="0"/>
          <w:numId w:val="5"/>
        </w:numPr>
        <w:spacing w:after="120"/>
        <w:contextualSpacing w:val="0"/>
        <w:jc w:val="both"/>
        <w:rPr>
          <w:rFonts w:eastAsia="Times New Roman" w:cs="Calibri"/>
          <w:color w:val="000000"/>
        </w:rPr>
      </w:pPr>
      <w:r w:rsidRPr="002B7386">
        <w:rPr>
          <w:rFonts w:eastAsia="Times New Roman" w:cs="Calibri"/>
          <w:color w:val="000000"/>
        </w:rPr>
        <w:t xml:space="preserve">Require the lender or investor to describe the loan or investment purpose on a transaction enrollment form (see </w:t>
      </w:r>
      <w:r w:rsidRPr="002B7386">
        <w:rPr>
          <w:rFonts w:eastAsia="Times New Roman" w:cs="Calibri"/>
          <w:i/>
          <w:color w:val="000000"/>
        </w:rPr>
        <w:t>Timely and Accurate SSBCI Quarterly and Annual Reports,</w:t>
      </w:r>
      <w:r w:rsidRPr="002B7386">
        <w:rPr>
          <w:rFonts w:eastAsia="Times New Roman" w:cs="Calibri"/>
          <w:color w:val="000000"/>
        </w:rPr>
        <w:t xml:space="preserve"> below), and review this description for </w:t>
      </w:r>
      <w:r w:rsidR="00246E77">
        <w:rPr>
          <w:rFonts w:eastAsia="Times New Roman" w:cs="Calibri"/>
          <w:color w:val="000000"/>
        </w:rPr>
        <w:t>conformity</w:t>
      </w:r>
      <w:r w:rsidRPr="002B7386">
        <w:rPr>
          <w:rFonts w:eastAsia="Times New Roman" w:cs="Calibri"/>
          <w:color w:val="000000"/>
        </w:rPr>
        <w:t xml:space="preserve"> with SSBCI requirements prior to enrolling the transaction in an Approved State Program.</w:t>
      </w:r>
    </w:p>
    <w:p w:rsidR="00E7572A" w:rsidRDefault="00625FEE" w:rsidP="00246E77">
      <w:pPr>
        <w:pStyle w:val="ListParagraph"/>
        <w:numPr>
          <w:ilvl w:val="0"/>
          <w:numId w:val="5"/>
        </w:numPr>
        <w:jc w:val="both"/>
        <w:rPr>
          <w:rFonts w:eastAsia="Times New Roman" w:cs="Calibri"/>
          <w:color w:val="000000"/>
        </w:rPr>
      </w:pPr>
      <w:r w:rsidRPr="002B7386">
        <w:rPr>
          <w:rFonts w:eastAsia="Times New Roman" w:cs="Calibri"/>
          <w:color w:val="000000"/>
        </w:rPr>
        <w:t>Include a clause in each lender (or investor) participation agreement prohibiting the lender or investor from enroll</w:t>
      </w:r>
      <w:r w:rsidR="00E55969">
        <w:rPr>
          <w:rFonts w:eastAsia="Times New Roman" w:cs="Calibri"/>
          <w:color w:val="000000"/>
        </w:rPr>
        <w:t>ing</w:t>
      </w:r>
      <w:r w:rsidRPr="002B7386">
        <w:rPr>
          <w:rFonts w:eastAsia="Times New Roman" w:cs="Calibri"/>
          <w:color w:val="000000"/>
        </w:rPr>
        <w:t xml:space="preserve"> a transaction that violates SSBCI’s restrictions on </w:t>
      </w:r>
      <w:r w:rsidR="006C7170" w:rsidRPr="002B7386">
        <w:rPr>
          <w:rFonts w:eastAsia="Times New Roman" w:cs="Calibri"/>
          <w:color w:val="000000"/>
        </w:rPr>
        <w:t xml:space="preserve">the </w:t>
      </w:r>
      <w:r w:rsidRPr="002B7386">
        <w:rPr>
          <w:rFonts w:eastAsia="Times New Roman" w:cs="Calibri"/>
          <w:color w:val="000000"/>
        </w:rPr>
        <w:t>use of</w:t>
      </w:r>
      <w:r w:rsidR="00E55969">
        <w:rPr>
          <w:rFonts w:eastAsia="Times New Roman" w:cs="Calibri"/>
          <w:color w:val="000000"/>
        </w:rPr>
        <w:t xml:space="preserve"> </w:t>
      </w:r>
      <w:r w:rsidRPr="002B7386">
        <w:rPr>
          <w:rFonts w:eastAsia="Times New Roman" w:cs="Calibri"/>
          <w:color w:val="000000"/>
        </w:rPr>
        <w:t>proceeds.</w:t>
      </w:r>
    </w:p>
    <w:p w:rsidR="003E2F47" w:rsidRPr="00C86224" w:rsidRDefault="003E2F47" w:rsidP="00246E77">
      <w:pPr>
        <w:pStyle w:val="Default"/>
        <w:spacing w:before="360" w:after="120"/>
        <w:rPr>
          <w:rStyle w:val="SubtleEmphasis"/>
        </w:rPr>
      </w:pPr>
      <w:r w:rsidRPr="00C86224">
        <w:rPr>
          <w:rStyle w:val="SubtleEmphasis"/>
        </w:rPr>
        <w:t>Sex Offender Certifications</w:t>
      </w:r>
      <w:r w:rsidR="00C94F9E">
        <w:rPr>
          <w:rStyle w:val="SubtleEmphasis"/>
        </w:rPr>
        <w:t xml:space="preserve"> </w:t>
      </w:r>
      <w:r w:rsidR="00E55969" w:rsidRPr="00C86224">
        <w:rPr>
          <w:rStyle w:val="SubtleEmphasis"/>
        </w:rPr>
        <w:t>(Lender/Investor)</w:t>
      </w:r>
    </w:p>
    <w:p w:rsidR="00AE43A7" w:rsidRPr="002B7386" w:rsidRDefault="003E2F47" w:rsidP="00246E77">
      <w:pPr>
        <w:jc w:val="both"/>
        <w:rPr>
          <w:rFonts w:cs="Calibri"/>
        </w:rPr>
      </w:pPr>
      <w:proofErr w:type="gramStart"/>
      <w:r w:rsidRPr="002B7386">
        <w:rPr>
          <w:rFonts w:cs="Calibri"/>
        </w:rPr>
        <w:t xml:space="preserve">Section 3011(c)(2) of the Act requires that, “any private entity that receives a loan, a loan guarantee, or other financial assistance using [SSBCI] funds,” must certify that their principals have not been convicted of a sex offense against a minor </w:t>
      </w:r>
      <w:r w:rsidRPr="002B7386">
        <w:rPr>
          <w:rFonts w:cs="Calibri"/>
          <w:color w:val="000000"/>
          <w:sz w:val="23"/>
          <w:szCs w:val="23"/>
        </w:rPr>
        <w:t>(as such terms are defined in section 111 of the Sex Offender Registration and Notification Act (42 U.S.C. 16911))</w:t>
      </w:r>
      <w:r w:rsidRPr="002B7386">
        <w:rPr>
          <w:rFonts w:cs="Calibri"/>
        </w:rPr>
        <w:t>.</w:t>
      </w:r>
      <w:proofErr w:type="gramEnd"/>
      <w:r w:rsidRPr="002B7386">
        <w:rPr>
          <w:rFonts w:cs="Calibri"/>
        </w:rPr>
        <w:t xml:space="preserve">  </w:t>
      </w:r>
    </w:p>
    <w:p w:rsidR="003E2F47" w:rsidRPr="002B7386" w:rsidRDefault="003E2F47" w:rsidP="00246E77">
      <w:pPr>
        <w:jc w:val="both"/>
        <w:rPr>
          <w:rFonts w:cs="Calibri"/>
        </w:rPr>
      </w:pPr>
      <w:r w:rsidRPr="002B7386">
        <w:rPr>
          <w:rFonts w:cs="Calibri"/>
        </w:rPr>
        <w:t xml:space="preserve">The SSBCI Policy Guidelines and Section 4.9(c) of the Allocation Agreement </w:t>
      </w:r>
      <w:r w:rsidR="00301C36">
        <w:rPr>
          <w:rFonts w:cs="Calibri"/>
        </w:rPr>
        <w:t xml:space="preserve">implement </w:t>
      </w:r>
      <w:r w:rsidRPr="002B7386">
        <w:rPr>
          <w:rFonts w:cs="Calibri"/>
        </w:rPr>
        <w:t>this requirement</w:t>
      </w:r>
      <w:r w:rsidR="00301C36">
        <w:rPr>
          <w:rFonts w:cs="Calibri"/>
        </w:rPr>
        <w:t xml:space="preserve"> by specifying</w:t>
      </w:r>
      <w:r w:rsidRPr="002B7386">
        <w:rPr>
          <w:rFonts w:cs="Calibri"/>
        </w:rPr>
        <w:t xml:space="preserve"> that the Participating State has the responsibility to obtain a certification regarding sex-offender status, and that the term “private entity” includes all lenders or investors</w:t>
      </w:r>
      <w:r w:rsidR="00943707" w:rsidRPr="002B7386">
        <w:rPr>
          <w:rStyle w:val="FootnoteReference"/>
          <w:rFonts w:cs="Calibri"/>
        </w:rPr>
        <w:footnoteReference w:id="10"/>
      </w:r>
      <w:r w:rsidRPr="002B7386">
        <w:rPr>
          <w:rFonts w:cs="Calibri"/>
        </w:rPr>
        <w:t xml:space="preserve"> enrolling a loan or investment in an SSBCI Approved State Program. </w:t>
      </w:r>
      <w:r w:rsidR="00AE43A7" w:rsidRPr="002B7386">
        <w:rPr>
          <w:rFonts w:cs="Calibri"/>
        </w:rPr>
        <w:t xml:space="preserve"> </w:t>
      </w:r>
      <w:r w:rsidR="0047322C" w:rsidRPr="0047322C">
        <w:rPr>
          <w:rFonts w:cs="Calibri"/>
        </w:rPr>
        <w:t>The definition of “private entity” also encompasses private or non-profit administering entities that make loans or investments directly to borrower/investees through an approved direct lending program, loan participation program, or state-run venture capital program.</w:t>
      </w:r>
      <w:r w:rsidR="00AE43A7" w:rsidRPr="002B7386">
        <w:rPr>
          <w:rFonts w:cs="Calibri"/>
        </w:rPr>
        <w:t xml:space="preserve">  In addition, the</w:t>
      </w:r>
      <w:r w:rsidR="00011511" w:rsidRPr="002B7386">
        <w:rPr>
          <w:rFonts w:cs="Calibri"/>
        </w:rPr>
        <w:t xml:space="preserve"> design of most direct loan programs, as well as loan participation programs based on companion loans rather than purchased participations, is such that lenders making companion loans must also provide the required sex offender certifications.  If a Participating State believes that this requirement </w:t>
      </w:r>
      <w:r w:rsidR="00246E77">
        <w:rPr>
          <w:rFonts w:cs="Calibri"/>
        </w:rPr>
        <w:t>may</w:t>
      </w:r>
      <w:r w:rsidR="00011511" w:rsidRPr="002B7386">
        <w:rPr>
          <w:rFonts w:cs="Calibri"/>
        </w:rPr>
        <w:t xml:space="preserve"> not apply to its direct loan or loan participation program</w:t>
      </w:r>
      <w:r w:rsidR="00246E77">
        <w:rPr>
          <w:rFonts w:cs="Calibri"/>
        </w:rPr>
        <w:t xml:space="preserve"> due to specific program-design considerations</w:t>
      </w:r>
      <w:r w:rsidR="00011511" w:rsidRPr="002B7386">
        <w:rPr>
          <w:rFonts w:cs="Calibri"/>
        </w:rPr>
        <w:t xml:space="preserve">, the Participating State </w:t>
      </w:r>
      <w:r w:rsidR="00246E77">
        <w:rPr>
          <w:rFonts w:cs="Calibri"/>
        </w:rPr>
        <w:t>should</w:t>
      </w:r>
      <w:r w:rsidR="00011511" w:rsidRPr="002B7386">
        <w:rPr>
          <w:rFonts w:cs="Calibri"/>
        </w:rPr>
        <w:t xml:space="preserve"> contact Treasury for further consultation.</w:t>
      </w:r>
    </w:p>
    <w:p w:rsidR="0091759E" w:rsidRDefault="003E2F47" w:rsidP="00246E77">
      <w:pPr>
        <w:jc w:val="both"/>
        <w:rPr>
          <w:rFonts w:cs="Calibri"/>
        </w:rPr>
      </w:pPr>
      <w:r w:rsidRPr="002B7386">
        <w:rPr>
          <w:rFonts w:cs="Calibri"/>
        </w:rPr>
        <w:t xml:space="preserve">Like with the </w:t>
      </w:r>
      <w:r w:rsidR="00E55969">
        <w:rPr>
          <w:rFonts w:cs="Calibri"/>
        </w:rPr>
        <w:t xml:space="preserve">small business </w:t>
      </w:r>
      <w:r w:rsidRPr="002B7386">
        <w:rPr>
          <w:rFonts w:cs="Calibri"/>
        </w:rPr>
        <w:t xml:space="preserve">borrower or </w:t>
      </w:r>
      <w:proofErr w:type="gramStart"/>
      <w:r w:rsidRPr="002B7386">
        <w:rPr>
          <w:rFonts w:cs="Calibri"/>
        </w:rPr>
        <w:t>investee sex offender certification</w:t>
      </w:r>
      <w:proofErr w:type="gramEnd"/>
      <w:r w:rsidRPr="002B7386">
        <w:rPr>
          <w:rFonts w:cs="Calibri"/>
        </w:rPr>
        <w:t xml:space="preserve">, </w:t>
      </w:r>
      <w:r w:rsidR="00246E77" w:rsidRPr="002B7386">
        <w:rPr>
          <w:rFonts w:cs="Calibri"/>
          <w:i/>
        </w:rPr>
        <w:t>all principals</w:t>
      </w:r>
      <w:r w:rsidR="00246E77" w:rsidRPr="002B7386">
        <w:rPr>
          <w:rFonts w:cs="Calibri"/>
        </w:rPr>
        <w:t xml:space="preserve"> of the lender or investor </w:t>
      </w:r>
      <w:r w:rsidR="00246E77">
        <w:rPr>
          <w:rFonts w:cs="Calibri"/>
        </w:rPr>
        <w:t xml:space="preserve">must certify sex offender status.  </w:t>
      </w:r>
      <w:r w:rsidR="00E55969">
        <w:rPr>
          <w:rFonts w:cs="Calibri"/>
        </w:rPr>
        <w:t>Section 1.1 of the Allocation Agreement</w:t>
      </w:r>
      <w:r w:rsidR="00E55969" w:rsidRPr="002B7386">
        <w:rPr>
          <w:rFonts w:cs="Calibri"/>
        </w:rPr>
        <w:t xml:space="preserve"> </w:t>
      </w:r>
      <w:r w:rsidRPr="002B7386">
        <w:rPr>
          <w:rFonts w:cs="Calibri"/>
        </w:rPr>
        <w:t>define</w:t>
      </w:r>
      <w:r w:rsidR="00E55969">
        <w:rPr>
          <w:rFonts w:cs="Calibri"/>
        </w:rPr>
        <w:t>s</w:t>
      </w:r>
      <w:r w:rsidRPr="002B7386">
        <w:rPr>
          <w:rFonts w:cs="Calibri"/>
        </w:rPr>
        <w:t xml:space="preserve"> “principal”, </w:t>
      </w:r>
      <w:r w:rsidR="0091759E">
        <w:rPr>
          <w:rFonts w:cs="Calibri"/>
        </w:rPr>
        <w:t>for the sole purpose of collecting the sex offender certification:</w:t>
      </w:r>
    </w:p>
    <w:p w:rsidR="00BD58F5" w:rsidRPr="00C86224" w:rsidRDefault="0091759E" w:rsidP="00C86224">
      <w:pPr>
        <w:spacing w:after="240"/>
        <w:ind w:left="720" w:right="720"/>
        <w:jc w:val="both"/>
        <w:rPr>
          <w:rFonts w:cs="Calibri"/>
          <w:i/>
        </w:rPr>
      </w:pPr>
      <w:proofErr w:type="gramStart"/>
      <w:r w:rsidRPr="00C86224">
        <w:rPr>
          <w:rFonts w:ascii="Courier New" w:hAnsi="Courier New" w:cs="Courier New"/>
          <w:i/>
          <w:szCs w:val="24"/>
        </w:rPr>
        <w:t>“‘</w:t>
      </w:r>
      <w:r w:rsidR="00BD58F5" w:rsidRPr="00C86224">
        <w:rPr>
          <w:rFonts w:asciiTheme="minorHAnsi" w:hAnsiTheme="minorHAnsi" w:cstheme="minorHAnsi"/>
          <w:i/>
          <w:szCs w:val="24"/>
        </w:rPr>
        <w:t>Principal’</w:t>
      </w:r>
      <w:r w:rsidRPr="00C86224">
        <w:rPr>
          <w:rFonts w:ascii="Courier New" w:hAnsi="Courier New" w:cs="Courier New"/>
          <w:i/>
          <w:szCs w:val="24"/>
        </w:rPr>
        <w:t xml:space="preserve"> </w:t>
      </w:r>
      <w:r w:rsidRPr="00C86224">
        <w:rPr>
          <w:rFonts w:cs="Calibri"/>
          <w:i/>
        </w:rPr>
        <w:t xml:space="preserve">shall mean, for purposes of Section 4.9, if a sole proprietorship, the proprietor; if a partnership, each managing partner and each partner who is a natural </w:t>
      </w:r>
      <w:r w:rsidRPr="00C86224">
        <w:rPr>
          <w:rFonts w:cs="Calibri"/>
          <w:i/>
        </w:rPr>
        <w:lastRenderedPageBreak/>
        <w:t>person and holds a 20% or more ownership interest in the partnership; and if a corporation, limited liability  company, association or a development company, each director, each of  the five most highly compensated executives or officers of the entity, and each natural person who is a direct or indirect holder of 20% or more of the ownership stock or stock equivalent of the entity.”</w:t>
      </w:r>
      <w:proofErr w:type="gramEnd"/>
    </w:p>
    <w:p w:rsidR="003E2F47" w:rsidRPr="002B7386" w:rsidRDefault="003E2F47" w:rsidP="00246E77">
      <w:pPr>
        <w:jc w:val="both"/>
        <w:rPr>
          <w:rFonts w:cs="Calibri"/>
        </w:rPr>
      </w:pPr>
      <w:r w:rsidRPr="002B7386">
        <w:rPr>
          <w:rFonts w:cs="Calibri"/>
        </w:rPr>
        <w:t>Participating States may meet their obligation to obtain these sex-offender status certifications in one of two ways.  Participating States may either:</w:t>
      </w:r>
    </w:p>
    <w:p w:rsidR="00E7572A" w:rsidRDefault="003E2F47" w:rsidP="004F7454">
      <w:pPr>
        <w:pStyle w:val="ListParagraph"/>
        <w:numPr>
          <w:ilvl w:val="0"/>
          <w:numId w:val="26"/>
        </w:numPr>
        <w:spacing w:after="120"/>
        <w:contextualSpacing w:val="0"/>
        <w:jc w:val="both"/>
        <w:rPr>
          <w:rFonts w:cs="Calibri"/>
        </w:rPr>
      </w:pPr>
      <w:r w:rsidRPr="002B7386">
        <w:rPr>
          <w:rFonts w:cs="Calibri"/>
        </w:rPr>
        <w:t xml:space="preserve">Obtain  </w:t>
      </w:r>
      <w:r w:rsidRPr="002B7386">
        <w:rPr>
          <w:rFonts w:cs="Calibri"/>
          <w:u w:val="single"/>
        </w:rPr>
        <w:t>newly executed</w:t>
      </w:r>
      <w:r w:rsidRPr="002B7386">
        <w:rPr>
          <w:rFonts w:cs="Calibri"/>
        </w:rPr>
        <w:t xml:space="preserve"> sex offender certifications</w:t>
      </w:r>
      <w:r w:rsidRPr="002B7386">
        <w:rPr>
          <w:rStyle w:val="FootnoteReference"/>
          <w:rFonts w:cs="Calibri"/>
        </w:rPr>
        <w:footnoteReference w:id="11"/>
      </w:r>
      <w:r w:rsidRPr="002B7386">
        <w:rPr>
          <w:rFonts w:cs="Calibri"/>
        </w:rPr>
        <w:t xml:space="preserve"> from the </w:t>
      </w:r>
      <w:r w:rsidR="004F7454">
        <w:rPr>
          <w:rFonts w:cs="Calibri"/>
        </w:rPr>
        <w:t>covered principals of a</w:t>
      </w:r>
      <w:r w:rsidRPr="002B7386">
        <w:rPr>
          <w:rFonts w:cs="Calibri"/>
        </w:rPr>
        <w:t xml:space="preserve"> lender or investor prior to enrolling </w:t>
      </w:r>
      <w:r w:rsidRPr="002B7386">
        <w:rPr>
          <w:rFonts w:cs="Calibri"/>
          <w:u w:val="single"/>
        </w:rPr>
        <w:t>each</w:t>
      </w:r>
      <w:r w:rsidRPr="002B7386">
        <w:rPr>
          <w:rFonts w:cs="Calibri"/>
        </w:rPr>
        <w:t xml:space="preserve"> loan or investment in an SSBCI Approved State Program; or</w:t>
      </w:r>
      <w:r w:rsidR="00C86224">
        <w:rPr>
          <w:rFonts w:cs="Calibri"/>
        </w:rPr>
        <w:t>,</w:t>
      </w:r>
    </w:p>
    <w:p w:rsidR="00E7572A" w:rsidRDefault="003E2F47" w:rsidP="004F7454">
      <w:pPr>
        <w:pStyle w:val="ListParagraph"/>
        <w:numPr>
          <w:ilvl w:val="0"/>
          <w:numId w:val="26"/>
        </w:numPr>
        <w:spacing w:after="240"/>
        <w:jc w:val="both"/>
        <w:rPr>
          <w:rFonts w:cs="Calibri"/>
        </w:rPr>
      </w:pPr>
      <w:proofErr w:type="gramStart"/>
      <w:r w:rsidRPr="002B7386">
        <w:rPr>
          <w:rFonts w:cs="Calibri"/>
        </w:rPr>
        <w:t>Obtain a set of sex offender certifications prior to enrolling any loans or investments originated by that lender or investor in the Approved State Programs</w:t>
      </w:r>
      <w:r w:rsidR="00330D73" w:rsidRPr="002B7386">
        <w:rPr>
          <w:rFonts w:cs="Calibri"/>
        </w:rPr>
        <w:t xml:space="preserve"> </w:t>
      </w:r>
      <w:r w:rsidR="00330D73" w:rsidRPr="002B7386">
        <w:rPr>
          <w:rFonts w:cs="Calibri"/>
          <w:u w:val="single"/>
        </w:rPr>
        <w:t>and</w:t>
      </w:r>
      <w:r w:rsidR="00330D73" w:rsidRPr="002B7386">
        <w:rPr>
          <w:rFonts w:cs="Calibri"/>
        </w:rPr>
        <w:t xml:space="preserve"> </w:t>
      </w:r>
      <w:r w:rsidRPr="002B7386">
        <w:rPr>
          <w:rFonts w:cs="Calibri"/>
        </w:rPr>
        <w:t xml:space="preserve">execute </w:t>
      </w:r>
      <w:r w:rsidR="00330D73" w:rsidRPr="002B7386">
        <w:rPr>
          <w:rFonts w:cs="Calibri"/>
        </w:rPr>
        <w:t xml:space="preserve">a </w:t>
      </w:r>
      <w:r w:rsidRPr="002B7386">
        <w:rPr>
          <w:rFonts w:cs="Calibri"/>
        </w:rPr>
        <w:t>written agreement</w:t>
      </w:r>
      <w:r w:rsidR="00330D73" w:rsidRPr="002B7386">
        <w:rPr>
          <w:rFonts w:cs="Calibri"/>
        </w:rPr>
        <w:t xml:space="preserve"> with the lender or investor</w:t>
      </w:r>
      <w:r w:rsidRPr="002B7386">
        <w:rPr>
          <w:rFonts w:cs="Calibri"/>
        </w:rPr>
        <w:t xml:space="preserve"> (which may be part of a larger lender, or </w:t>
      </w:r>
      <w:r w:rsidR="004E2D49" w:rsidRPr="002B7386">
        <w:rPr>
          <w:rFonts w:cs="Calibri"/>
        </w:rPr>
        <w:t>investor</w:t>
      </w:r>
      <w:r w:rsidRPr="002B7386">
        <w:rPr>
          <w:rFonts w:cs="Calibri"/>
        </w:rPr>
        <w:t xml:space="preserve">, participation agreement) that creates a positive requirement to notify the Participating State if and when </w:t>
      </w:r>
      <w:r w:rsidR="0091759E">
        <w:rPr>
          <w:rFonts w:cs="Calibri"/>
        </w:rPr>
        <w:t>an event</w:t>
      </w:r>
      <w:r w:rsidRPr="002B7386">
        <w:rPr>
          <w:rFonts w:cs="Calibri"/>
        </w:rPr>
        <w:t xml:space="preserve"> occurs that renders the prior set of certifications obsolete.</w:t>
      </w:r>
      <w:proofErr w:type="gramEnd"/>
      <w:r w:rsidRPr="002B7386">
        <w:rPr>
          <w:rFonts w:cs="Calibri"/>
        </w:rPr>
        <w:t xml:space="preserve">  </w:t>
      </w:r>
      <w:r w:rsidR="0091759E">
        <w:rPr>
          <w:rFonts w:cs="Calibri"/>
        </w:rPr>
        <w:t>Such event</w:t>
      </w:r>
      <w:r w:rsidRPr="002B7386">
        <w:rPr>
          <w:rFonts w:cs="Calibri"/>
        </w:rPr>
        <w:t xml:space="preserve"> could be a change in principals or a conviction of an existing principal for a sex offense against a minor.  The Participating State may also consider adding a requirement to this written agreement for a periodic resubmission of the certifications, perhaps on an annual basis, even absent a material event.   </w:t>
      </w:r>
    </w:p>
    <w:p w:rsidR="003E2F47" w:rsidRPr="004F7454" w:rsidRDefault="003E2F47" w:rsidP="004F7454">
      <w:pPr>
        <w:jc w:val="both"/>
      </w:pPr>
      <w:r w:rsidRPr="002B7386">
        <w:rPr>
          <w:rFonts w:cs="Calibri"/>
          <w:b/>
        </w:rPr>
        <w:t>Under either of the options above, it is the Participating State’s responsibility to obtain the certification, either electronically or in paper copy, in order to verify that it is complete and duly executed prior to transferring funds</w:t>
      </w:r>
      <w:r w:rsidR="00C86224" w:rsidRPr="002B7386">
        <w:rPr>
          <w:rFonts w:cs="Calibri"/>
          <w:b/>
        </w:rPr>
        <w:t xml:space="preserve">.  </w:t>
      </w:r>
      <w:r w:rsidRPr="002B7386">
        <w:rPr>
          <w:rFonts w:cs="Calibri"/>
        </w:rPr>
        <w:t xml:space="preserve">Treasury does not require Participating States (or </w:t>
      </w:r>
      <w:r w:rsidR="00E75605">
        <w:rPr>
          <w:rFonts w:cs="Calibri"/>
        </w:rPr>
        <w:t>administering entit</w:t>
      </w:r>
      <w:r w:rsidRPr="002B7386">
        <w:rPr>
          <w:rFonts w:cs="Calibri"/>
        </w:rPr>
        <w:t xml:space="preserve">ies, if so designated) to independently verify the certified sex offender status of covered principals.  </w:t>
      </w:r>
      <w:r w:rsidR="004F7454" w:rsidRPr="002B7386">
        <w:rPr>
          <w:rFonts w:cs="Calibri"/>
        </w:rPr>
        <w:t xml:space="preserve">Treasury has provided a sample sex offender certification form as Appendix B to this document.  </w:t>
      </w:r>
    </w:p>
    <w:p w:rsidR="00227E0E" w:rsidRPr="009C6B2B" w:rsidRDefault="003E2F47" w:rsidP="009C6B2B">
      <w:pPr>
        <w:pStyle w:val="ListParagraph"/>
        <w:ind w:left="0"/>
      </w:pPr>
      <w:r w:rsidRPr="002B7386">
        <w:rPr>
          <w:rFonts w:cs="Calibri"/>
        </w:rPr>
        <w:t xml:space="preserve">If the Participating State delegates these responsibilities to an </w:t>
      </w:r>
      <w:r w:rsidR="00E75605">
        <w:rPr>
          <w:rFonts w:cs="Calibri"/>
        </w:rPr>
        <w:t>administering entit</w:t>
      </w:r>
      <w:r w:rsidRPr="002B7386">
        <w:rPr>
          <w:rFonts w:cs="Calibri"/>
        </w:rPr>
        <w:t xml:space="preserve">y, the Participating State must exercise oversight to ensure compliance.  One means of ensuring oversight would be to conduct an annual audit of the certifications to ensure that the documents are in order and </w:t>
      </w:r>
      <w:proofErr w:type="gramStart"/>
      <w:r w:rsidRPr="002B7386">
        <w:rPr>
          <w:rFonts w:cs="Calibri"/>
        </w:rPr>
        <w:t>are maintained</w:t>
      </w:r>
      <w:proofErr w:type="gramEnd"/>
      <w:r w:rsidRPr="002B7386">
        <w:rPr>
          <w:rFonts w:cs="Calibri"/>
        </w:rPr>
        <w:t xml:space="preserve"> pursuant to the records retention requirements discussed later in this document.  </w:t>
      </w:r>
    </w:p>
    <w:p w:rsidR="006D19E0" w:rsidRPr="009C6B2B" w:rsidRDefault="009C6B2B" w:rsidP="004F7454">
      <w:pPr>
        <w:pStyle w:val="Heading3"/>
        <w:spacing w:before="480"/>
      </w:pPr>
      <w:r>
        <w:t xml:space="preserve">Risk: </w:t>
      </w:r>
      <w:r w:rsidR="00192A38" w:rsidRPr="009C6B2B">
        <w:t>Inadequate Lender/Investor Adherence to Requirements</w:t>
      </w:r>
    </w:p>
    <w:p w:rsidR="007F70F5" w:rsidRPr="002B7386" w:rsidRDefault="00524357" w:rsidP="004F7454">
      <w:pPr>
        <w:jc w:val="both"/>
      </w:pPr>
      <w:proofErr w:type="gramStart"/>
      <w:r w:rsidRPr="002B7386">
        <w:rPr>
          <w:rFonts w:cs="Calibri"/>
        </w:rPr>
        <w:t xml:space="preserve">In addition to the required certification of sex offender status, </w:t>
      </w:r>
      <w:r w:rsidR="00192A38" w:rsidRPr="002B7386">
        <w:rPr>
          <w:rFonts w:cs="Calibri"/>
        </w:rPr>
        <w:t>S</w:t>
      </w:r>
      <w:r w:rsidR="007F70F5" w:rsidRPr="002B7386">
        <w:rPr>
          <w:rFonts w:cs="Calibri"/>
        </w:rPr>
        <w:t>ection 4.9</w:t>
      </w:r>
      <w:r w:rsidR="00192A38" w:rsidRPr="002B7386">
        <w:rPr>
          <w:rFonts w:cs="Calibri"/>
        </w:rPr>
        <w:t xml:space="preserve"> of the Allocation Agreement </w:t>
      </w:r>
      <w:r w:rsidR="00751D02">
        <w:rPr>
          <w:rFonts w:cs="Calibri"/>
        </w:rPr>
        <w:t>requires</w:t>
      </w:r>
      <w:r w:rsidR="00751D02" w:rsidRPr="002B7386">
        <w:rPr>
          <w:rFonts w:cs="Calibri"/>
        </w:rPr>
        <w:t xml:space="preserve"> </w:t>
      </w:r>
      <w:r w:rsidR="007F70F5" w:rsidRPr="002B7386">
        <w:rPr>
          <w:rFonts w:cs="Calibri"/>
        </w:rPr>
        <w:t xml:space="preserve">that, prior to providing any financial assistance using </w:t>
      </w:r>
      <w:r w:rsidR="00CC290F">
        <w:rPr>
          <w:rFonts w:cs="Calibri"/>
        </w:rPr>
        <w:t>Allocated Funds</w:t>
      </w:r>
      <w:r w:rsidR="007F70F5" w:rsidRPr="002B7386">
        <w:rPr>
          <w:rFonts w:cs="Calibri"/>
        </w:rPr>
        <w:t xml:space="preserve"> to a lender or investor, the Participating State </w:t>
      </w:r>
      <w:r w:rsidRPr="002B7386">
        <w:rPr>
          <w:rFonts w:cs="Calibri"/>
        </w:rPr>
        <w:t xml:space="preserve">must </w:t>
      </w:r>
      <w:r w:rsidR="007F70F5" w:rsidRPr="002B7386">
        <w:rPr>
          <w:rFonts w:cs="Calibri"/>
        </w:rPr>
        <w:t>obtain</w:t>
      </w:r>
      <w:r w:rsidR="00751D02">
        <w:rPr>
          <w:rFonts w:cs="Calibri"/>
        </w:rPr>
        <w:t xml:space="preserve"> the following: </w:t>
      </w:r>
      <w:r w:rsidR="007F70F5" w:rsidRPr="002B7386">
        <w:rPr>
          <w:rFonts w:cs="Calibri"/>
        </w:rPr>
        <w:t xml:space="preserve"> </w:t>
      </w:r>
      <w:r w:rsidR="007F70F5" w:rsidRPr="002B7386">
        <w:t>(</w:t>
      </w:r>
      <w:r w:rsidR="00751D02">
        <w:t>a</w:t>
      </w:r>
      <w:r w:rsidR="007F70F5" w:rsidRPr="002B7386">
        <w:t xml:space="preserve">) a binding agreement regarding Treasury’s right to access records related to </w:t>
      </w:r>
      <w:r w:rsidR="008C3CEA">
        <w:t>SSBCI-supported</w:t>
      </w:r>
      <w:r w:rsidR="00B15882">
        <w:t xml:space="preserve"> loans and investments</w:t>
      </w:r>
      <w:r w:rsidR="007F70F5" w:rsidRPr="002B7386">
        <w:t xml:space="preserve"> </w:t>
      </w:r>
      <w:r w:rsidRPr="002B7386">
        <w:t xml:space="preserve">and </w:t>
      </w:r>
      <w:r w:rsidR="007F70F5" w:rsidRPr="002B7386">
        <w:t>(</w:t>
      </w:r>
      <w:r w:rsidR="00751D02">
        <w:t>b</w:t>
      </w:r>
      <w:r w:rsidR="007F70F5" w:rsidRPr="002B7386">
        <w:t xml:space="preserve">) certification that the lender or investor is in compliance with </w:t>
      </w:r>
      <w:r w:rsidR="00751D02">
        <w:t xml:space="preserve">the requirements of </w:t>
      </w:r>
      <w:r w:rsidR="00751D02" w:rsidRPr="00751D02">
        <w:t xml:space="preserve">the Right to Financial Privacy </w:t>
      </w:r>
      <w:r w:rsidR="00751D02">
        <w:t xml:space="preserve">Act (12 U.S.C. § 3401 et seq.), and </w:t>
      </w:r>
      <w:r w:rsidR="009C6B2B">
        <w:t xml:space="preserve"> </w:t>
      </w:r>
      <w:r w:rsidR="00751D02" w:rsidRPr="00751D02">
        <w:t>31 C.F.R. § 103.121</w:t>
      </w:r>
      <w:r w:rsidR="006C1E5F">
        <w:t>, if applicable</w:t>
      </w:r>
      <w:r w:rsidR="009C6B2B">
        <w:t>.</w:t>
      </w:r>
      <w:proofErr w:type="gramEnd"/>
      <w:r w:rsidR="009C6B2B">
        <w:t xml:space="preserve">  </w:t>
      </w:r>
    </w:p>
    <w:p w:rsidR="00304496" w:rsidRPr="002B7386" w:rsidRDefault="00925909" w:rsidP="004F7454">
      <w:pPr>
        <w:jc w:val="both"/>
        <w:rPr>
          <w:rFonts w:eastAsia="Times New Roman" w:cs="Calibri"/>
          <w:color w:val="000000"/>
        </w:rPr>
      </w:pPr>
      <w:r w:rsidRPr="002B7386">
        <w:rPr>
          <w:rFonts w:cs="Calibri"/>
        </w:rPr>
        <w:t xml:space="preserve">Treasury </w:t>
      </w:r>
      <w:r w:rsidR="0081006D">
        <w:rPr>
          <w:rFonts w:cs="Calibri"/>
        </w:rPr>
        <w:t>recommends</w:t>
      </w:r>
      <w:r w:rsidR="0081006D" w:rsidRPr="002B7386">
        <w:rPr>
          <w:rFonts w:cs="Calibri"/>
        </w:rPr>
        <w:t xml:space="preserve"> </w:t>
      </w:r>
      <w:r w:rsidRPr="002B7386">
        <w:rPr>
          <w:rFonts w:cs="Calibri"/>
        </w:rPr>
        <w:t>that</w:t>
      </w:r>
      <w:r w:rsidR="00086007" w:rsidRPr="002B7386">
        <w:rPr>
          <w:rFonts w:eastAsia="Times New Roman" w:cs="Calibri"/>
          <w:color w:val="000000"/>
        </w:rPr>
        <w:t xml:space="preserve">, </w:t>
      </w:r>
      <w:r w:rsidR="00086007" w:rsidRPr="002B7386">
        <w:rPr>
          <w:rFonts w:eastAsia="Times New Roman" w:cs="Calibri"/>
          <w:color w:val="000000"/>
          <w:u w:val="single"/>
        </w:rPr>
        <w:t>p</w:t>
      </w:r>
      <w:r w:rsidR="00152AD2" w:rsidRPr="002B7386">
        <w:rPr>
          <w:rFonts w:eastAsia="Times New Roman" w:cs="Calibri"/>
          <w:color w:val="000000"/>
          <w:u w:val="single"/>
        </w:rPr>
        <w:t>rior to enrolling any loan originated by a private lender, and prior to enrolling any investment made by a venture capital investor</w:t>
      </w:r>
      <w:r w:rsidR="00152AD2" w:rsidRPr="002B7386">
        <w:rPr>
          <w:rFonts w:eastAsia="Times New Roman" w:cs="Calibri"/>
          <w:color w:val="000000"/>
        </w:rPr>
        <w:t xml:space="preserve">, </w:t>
      </w:r>
      <w:r w:rsidR="00B87A29" w:rsidRPr="002B7386">
        <w:rPr>
          <w:rFonts w:eastAsia="Times New Roman" w:cs="Calibri"/>
          <w:color w:val="000000"/>
        </w:rPr>
        <w:t xml:space="preserve">the Participating State (or </w:t>
      </w:r>
      <w:r w:rsidR="00E75605">
        <w:rPr>
          <w:rFonts w:eastAsia="Times New Roman" w:cs="Calibri"/>
          <w:color w:val="000000"/>
        </w:rPr>
        <w:t>administering entit</w:t>
      </w:r>
      <w:r w:rsidR="00B87A29" w:rsidRPr="002B7386">
        <w:rPr>
          <w:rFonts w:eastAsia="Times New Roman" w:cs="Calibri"/>
          <w:color w:val="000000"/>
        </w:rPr>
        <w:t xml:space="preserve">y) </w:t>
      </w:r>
      <w:r w:rsidR="00086007" w:rsidRPr="002B7386">
        <w:rPr>
          <w:rFonts w:eastAsia="Times New Roman" w:cs="Calibri"/>
          <w:color w:val="000000"/>
        </w:rPr>
        <w:t>should</w:t>
      </w:r>
      <w:r w:rsidR="00B87A29" w:rsidRPr="002B7386">
        <w:rPr>
          <w:rFonts w:eastAsia="Times New Roman" w:cs="Calibri"/>
          <w:color w:val="000000"/>
        </w:rPr>
        <w:t xml:space="preserve"> </w:t>
      </w:r>
      <w:r w:rsidR="00152AD2" w:rsidRPr="002B7386">
        <w:rPr>
          <w:rFonts w:eastAsia="Times New Roman" w:cs="Calibri"/>
          <w:color w:val="000000"/>
        </w:rPr>
        <w:t>execute a signed lender/investor participation agreement</w:t>
      </w:r>
      <w:r w:rsidR="00014B73" w:rsidRPr="002B7386">
        <w:rPr>
          <w:rFonts w:eastAsia="Times New Roman" w:cs="Calibri"/>
          <w:color w:val="000000"/>
        </w:rPr>
        <w:t xml:space="preserve"> to clarify lender/investor responsibilities and reduce the likelihood of non-compliance</w:t>
      </w:r>
      <w:r w:rsidR="00152AD2" w:rsidRPr="002B7386">
        <w:rPr>
          <w:rFonts w:eastAsia="Times New Roman" w:cs="Calibri"/>
          <w:color w:val="000000"/>
        </w:rPr>
        <w:t xml:space="preserve">. </w:t>
      </w:r>
      <w:r w:rsidR="006C1E5F">
        <w:rPr>
          <w:rFonts w:eastAsia="Times New Roman" w:cs="Calibri"/>
          <w:color w:val="000000"/>
        </w:rPr>
        <w:t xml:space="preserve"> </w:t>
      </w:r>
      <w:r w:rsidR="00152AD2" w:rsidRPr="002B7386">
        <w:rPr>
          <w:rFonts w:eastAsia="Times New Roman" w:cs="Calibri"/>
          <w:color w:val="000000"/>
        </w:rPr>
        <w:t xml:space="preserve">This agreement </w:t>
      </w:r>
      <w:r w:rsidR="004B095F" w:rsidRPr="002B7386">
        <w:rPr>
          <w:rFonts w:eastAsia="Times New Roman" w:cs="Calibri"/>
          <w:color w:val="000000"/>
        </w:rPr>
        <w:t>should</w:t>
      </w:r>
      <w:r w:rsidR="00152AD2" w:rsidRPr="002B7386">
        <w:rPr>
          <w:rFonts w:eastAsia="Times New Roman" w:cs="Calibri"/>
          <w:color w:val="000000"/>
        </w:rPr>
        <w:t xml:space="preserve">: </w:t>
      </w:r>
    </w:p>
    <w:p w:rsidR="00E7572A" w:rsidRDefault="00152AD2" w:rsidP="004F7454">
      <w:pPr>
        <w:pStyle w:val="ListParagraph"/>
        <w:numPr>
          <w:ilvl w:val="0"/>
          <w:numId w:val="2"/>
        </w:numPr>
        <w:spacing w:after="120"/>
        <w:ind w:left="1080"/>
        <w:contextualSpacing w:val="0"/>
        <w:jc w:val="both"/>
      </w:pPr>
      <w:r w:rsidRPr="002B7386">
        <w:rPr>
          <w:rFonts w:eastAsia="Times New Roman" w:cs="Calibri"/>
          <w:color w:val="000000"/>
        </w:rPr>
        <w:lastRenderedPageBreak/>
        <w:t xml:space="preserve">Specify lender/investor responsibilities regarding SSBCI’s restrictions on use of proceeds; </w:t>
      </w:r>
    </w:p>
    <w:p w:rsidR="00E7572A" w:rsidRDefault="00152AD2" w:rsidP="004F7454">
      <w:pPr>
        <w:pStyle w:val="ListParagraph"/>
        <w:numPr>
          <w:ilvl w:val="0"/>
          <w:numId w:val="2"/>
        </w:numPr>
        <w:spacing w:after="120"/>
        <w:ind w:left="1080"/>
        <w:contextualSpacing w:val="0"/>
        <w:jc w:val="both"/>
      </w:pPr>
      <w:r w:rsidRPr="002B7386">
        <w:rPr>
          <w:rFonts w:eastAsia="Times New Roman" w:cs="Calibri"/>
          <w:color w:val="000000"/>
        </w:rPr>
        <w:t xml:space="preserve">Specify lender/investor responsibilities regarding sex offender certifications; </w:t>
      </w:r>
    </w:p>
    <w:p w:rsidR="00E7572A" w:rsidRDefault="00152AD2" w:rsidP="004F7454">
      <w:pPr>
        <w:pStyle w:val="ListParagraph"/>
        <w:numPr>
          <w:ilvl w:val="0"/>
          <w:numId w:val="2"/>
        </w:numPr>
        <w:spacing w:after="120"/>
        <w:ind w:left="1080"/>
        <w:contextualSpacing w:val="0"/>
        <w:jc w:val="both"/>
      </w:pPr>
      <w:r w:rsidRPr="002B7386">
        <w:rPr>
          <w:rFonts w:eastAsia="Times New Roman" w:cs="Calibri"/>
          <w:color w:val="000000"/>
        </w:rPr>
        <w:t xml:space="preserve">Require that the lender/investor make all books and records related to the use of allocated funds available to Treasury and/or the Treasury Inspector General; </w:t>
      </w:r>
    </w:p>
    <w:p w:rsidR="00E7572A" w:rsidRDefault="00152AD2" w:rsidP="004F7454">
      <w:pPr>
        <w:pStyle w:val="ListParagraph"/>
        <w:numPr>
          <w:ilvl w:val="0"/>
          <w:numId w:val="2"/>
        </w:numPr>
        <w:spacing w:after="120"/>
        <w:ind w:left="1080"/>
        <w:contextualSpacing w:val="0"/>
        <w:jc w:val="both"/>
      </w:pPr>
      <w:r w:rsidRPr="002B7386">
        <w:rPr>
          <w:rFonts w:eastAsia="Times New Roman" w:cs="Calibri"/>
          <w:color w:val="000000"/>
        </w:rPr>
        <w:t xml:space="preserve">Specify all eligibility requirements for loans/investments for each applicable Approved State Program; </w:t>
      </w:r>
      <w:r w:rsidR="00B70B1F" w:rsidRPr="002B7386">
        <w:rPr>
          <w:rFonts w:eastAsia="Times New Roman" w:cs="Calibri"/>
          <w:color w:val="000000"/>
        </w:rPr>
        <w:t>and</w:t>
      </w:r>
    </w:p>
    <w:p w:rsidR="00E7572A" w:rsidRDefault="00152AD2" w:rsidP="004F7454">
      <w:pPr>
        <w:pStyle w:val="ListParagraph"/>
        <w:numPr>
          <w:ilvl w:val="0"/>
          <w:numId w:val="2"/>
        </w:numPr>
        <w:spacing w:after="240"/>
        <w:ind w:left="1080"/>
        <w:contextualSpacing w:val="0"/>
        <w:jc w:val="both"/>
      </w:pPr>
      <w:r w:rsidRPr="002B7386">
        <w:t>Specify consequences for non-compliance with the terms of the agreement.</w:t>
      </w:r>
    </w:p>
    <w:p w:rsidR="00C66D68" w:rsidRPr="004F7454" w:rsidRDefault="006C1E5F" w:rsidP="004F7454">
      <w:pPr>
        <w:jc w:val="both"/>
      </w:pPr>
      <w:r>
        <w:t xml:space="preserve">If a lender/investor </w:t>
      </w:r>
      <w:proofErr w:type="gramStart"/>
      <w:r>
        <w:t>is specifically identified</w:t>
      </w:r>
      <w:proofErr w:type="gramEnd"/>
      <w:r>
        <w:t xml:space="preserve"> in Annex 1 of the Allocation Agreement as an </w:t>
      </w:r>
      <w:r w:rsidR="00E75605">
        <w:t>administering</w:t>
      </w:r>
      <w:r>
        <w:t xml:space="preserve"> entity, then this agreement must also adhere to the requirements of Articles IV and VI of the Allocation Agreement, as described in the following section.</w:t>
      </w:r>
    </w:p>
    <w:p w:rsidR="00152AD2" w:rsidRPr="002B7386" w:rsidRDefault="00B70B1F" w:rsidP="004F7454">
      <w:pPr>
        <w:jc w:val="both"/>
      </w:pPr>
      <w:r w:rsidRPr="002B7386">
        <w:t xml:space="preserve">Recommended </w:t>
      </w:r>
      <w:r w:rsidR="00925909" w:rsidRPr="002B7386">
        <w:t>additional provisions</w:t>
      </w:r>
      <w:r w:rsidRPr="002B7386">
        <w:t xml:space="preserve"> may also include</w:t>
      </w:r>
      <w:r w:rsidR="00C66D68" w:rsidRPr="002B7386">
        <w:t>:</w:t>
      </w:r>
    </w:p>
    <w:p w:rsidR="00E7572A" w:rsidRDefault="00152AD2" w:rsidP="004F7454">
      <w:pPr>
        <w:pStyle w:val="ListParagraph"/>
        <w:numPr>
          <w:ilvl w:val="0"/>
          <w:numId w:val="2"/>
        </w:numPr>
        <w:spacing w:after="120"/>
        <w:ind w:left="1080"/>
        <w:contextualSpacing w:val="0"/>
        <w:jc w:val="both"/>
      </w:pPr>
      <w:r w:rsidRPr="002B7386">
        <w:t xml:space="preserve">Mandate the use of </w:t>
      </w:r>
      <w:r w:rsidR="00B81B2F" w:rsidRPr="002B7386">
        <w:t xml:space="preserve">a </w:t>
      </w:r>
      <w:r w:rsidRPr="002B7386">
        <w:t>transaction enrollment form; and</w:t>
      </w:r>
    </w:p>
    <w:p w:rsidR="00E7572A" w:rsidRDefault="00152AD2" w:rsidP="004F7454">
      <w:pPr>
        <w:pStyle w:val="ListParagraph"/>
        <w:numPr>
          <w:ilvl w:val="0"/>
          <w:numId w:val="2"/>
        </w:numPr>
        <w:ind w:left="1080"/>
        <w:contextualSpacing w:val="0"/>
        <w:jc w:val="both"/>
      </w:pPr>
      <w:r w:rsidRPr="002B7386">
        <w:t>Specify any required</w:t>
      </w:r>
      <w:r w:rsidR="004B095F" w:rsidRPr="002B7386">
        <w:t xml:space="preserve"> data </w:t>
      </w:r>
      <w:r w:rsidRPr="002B7386">
        <w:t>reporting</w:t>
      </w:r>
      <w:r w:rsidR="004B095F" w:rsidRPr="002B7386">
        <w:t xml:space="preserve"> elements</w:t>
      </w:r>
      <w:r w:rsidRPr="002B7386">
        <w:t xml:space="preserve"> from the lender/investor to the Participating State (or its </w:t>
      </w:r>
      <w:r w:rsidR="00E75605">
        <w:t>administering entit</w:t>
      </w:r>
      <w:r w:rsidR="00B81B2F" w:rsidRPr="002B7386">
        <w:t>y</w:t>
      </w:r>
      <w:r w:rsidRPr="002B7386">
        <w:t>).</w:t>
      </w:r>
    </w:p>
    <w:p w:rsidR="006C1E5F" w:rsidRDefault="00014B73" w:rsidP="004F7454">
      <w:pPr>
        <w:spacing w:after="0"/>
        <w:jc w:val="both"/>
      </w:pPr>
      <w:r w:rsidRPr="002B7386">
        <w:t xml:space="preserve">These best practices </w:t>
      </w:r>
      <w:proofErr w:type="gramStart"/>
      <w:r w:rsidRPr="002B7386">
        <w:t>are designed</w:t>
      </w:r>
      <w:proofErr w:type="gramEnd"/>
      <w:r w:rsidRPr="002B7386">
        <w:t xml:space="preserve"> to assist the Participating State in tracking the use of </w:t>
      </w:r>
      <w:r w:rsidR="00CC290F">
        <w:t>Allocated Funds</w:t>
      </w:r>
      <w:r w:rsidRPr="002B7386">
        <w:t xml:space="preserve"> and gathering data for the required SSBCI quarterly and annual reports.</w:t>
      </w:r>
    </w:p>
    <w:p w:rsidR="00301C36" w:rsidRDefault="00301C36" w:rsidP="004F7454">
      <w:pPr>
        <w:spacing w:after="0"/>
        <w:jc w:val="both"/>
      </w:pPr>
    </w:p>
    <w:p w:rsidR="00A53632" w:rsidRPr="002B7386" w:rsidRDefault="00925909" w:rsidP="004F7454">
      <w:pPr>
        <w:spacing w:after="0"/>
        <w:jc w:val="both"/>
      </w:pPr>
      <w:r w:rsidRPr="002B7386">
        <w:t xml:space="preserve">Participating States should consider adding to </w:t>
      </w:r>
      <w:proofErr w:type="gramStart"/>
      <w:r w:rsidRPr="002B7386">
        <w:t>this</w:t>
      </w:r>
      <w:proofErr w:type="gramEnd"/>
      <w:r w:rsidR="00524357" w:rsidRPr="002B7386">
        <w:t xml:space="preserve"> list any additional activities</w:t>
      </w:r>
      <w:r w:rsidRPr="002B7386">
        <w:t xml:space="preserve"> that may be useful to provide additional mitigating controls associated with this risk.</w:t>
      </w:r>
    </w:p>
    <w:p w:rsidR="00192A38" w:rsidRPr="002B7386" w:rsidRDefault="006C1E5F" w:rsidP="004F7454">
      <w:pPr>
        <w:pStyle w:val="Heading3"/>
        <w:spacing w:before="480"/>
      </w:pPr>
      <w:r>
        <w:t>Risk:</w:t>
      </w:r>
      <w:r w:rsidR="00A53632" w:rsidRPr="002B7386">
        <w:t xml:space="preserve"> </w:t>
      </w:r>
      <w:r w:rsidR="00192A38" w:rsidRPr="002B7386">
        <w:t>Ina</w:t>
      </w:r>
      <w:r w:rsidR="00631528" w:rsidRPr="002B7386">
        <w:t xml:space="preserve">dequate Oversight of </w:t>
      </w:r>
      <w:r w:rsidR="00E75605">
        <w:t>Administering Entit</w:t>
      </w:r>
      <w:r w:rsidR="004F3FB8" w:rsidRPr="002B7386">
        <w:t xml:space="preserve">ies </w:t>
      </w:r>
      <w:r w:rsidR="00631528" w:rsidRPr="002B7386">
        <w:t>and Other Entities Included in Annex 1 of the Allocation Agreement</w:t>
      </w:r>
    </w:p>
    <w:p w:rsidR="004F7454" w:rsidRDefault="004F7454" w:rsidP="004F7454">
      <w:pPr>
        <w:jc w:val="both"/>
      </w:pPr>
      <w:r w:rsidRPr="002B7386">
        <w:rPr>
          <w:rFonts w:cs="Calibri"/>
          <w:i/>
        </w:rPr>
        <w:t xml:space="preserve">Note: if none of the Approved State Programs </w:t>
      </w:r>
      <w:proofErr w:type="gramStart"/>
      <w:r w:rsidRPr="002B7386">
        <w:rPr>
          <w:rFonts w:cs="Calibri"/>
          <w:i/>
        </w:rPr>
        <w:t>are</w:t>
      </w:r>
      <w:proofErr w:type="gramEnd"/>
      <w:r w:rsidRPr="002B7386">
        <w:rPr>
          <w:rFonts w:cs="Calibri"/>
          <w:i/>
        </w:rPr>
        <w:t xml:space="preserve"> operated by contracting/</w:t>
      </w:r>
      <w:r w:rsidR="00E75605">
        <w:rPr>
          <w:rFonts w:cs="Calibri"/>
          <w:i/>
        </w:rPr>
        <w:t>administering entit</w:t>
      </w:r>
      <w:r w:rsidRPr="002B7386">
        <w:rPr>
          <w:rFonts w:cs="Calibri"/>
          <w:i/>
        </w:rPr>
        <w:t>ies, this risk category may not apply.  Regardless of direct applicability, Treasury expect</w:t>
      </w:r>
      <w:r w:rsidR="00301C36">
        <w:rPr>
          <w:rFonts w:cs="Calibri"/>
          <w:i/>
        </w:rPr>
        <w:t>s</w:t>
      </w:r>
      <w:r w:rsidRPr="002B7386">
        <w:rPr>
          <w:rFonts w:cs="Calibri"/>
          <w:i/>
        </w:rPr>
        <w:t xml:space="preserve"> that Participating States will provide due diligence and oversight over all contract entities that may perform work ancillary to an Approved State Program.</w:t>
      </w:r>
      <w:r w:rsidRPr="002B7386">
        <w:t xml:space="preserve"> </w:t>
      </w:r>
    </w:p>
    <w:p w:rsidR="006C1E5F" w:rsidRDefault="00192A38" w:rsidP="004F7454">
      <w:pPr>
        <w:jc w:val="both"/>
      </w:pPr>
      <w:r w:rsidRPr="002B7386">
        <w:t xml:space="preserve">Participating States that contract with one or more entities to administer </w:t>
      </w:r>
      <w:r w:rsidR="002D032A">
        <w:t>specific aspects</w:t>
      </w:r>
      <w:r w:rsidRPr="002B7386">
        <w:t xml:space="preserve"> of Approved State Programs must execute and maintain a written agreement with each of these entities that requires compl</w:t>
      </w:r>
      <w:r w:rsidR="004F3FB8" w:rsidRPr="002B7386">
        <w:t>iance</w:t>
      </w:r>
      <w:r w:rsidRPr="002B7386">
        <w:t xml:space="preserve"> with the provisions of Articles IV and VI of the Allocation Agreement</w:t>
      </w:r>
      <w:r w:rsidR="006C1E5F">
        <w:t>.</w:t>
      </w:r>
      <w:r w:rsidRPr="002B7386">
        <w:t xml:space="preserve">  </w:t>
      </w:r>
    </w:p>
    <w:p w:rsidR="00304496" w:rsidRPr="002B7386" w:rsidRDefault="0081006D" w:rsidP="004F7454">
      <w:pPr>
        <w:jc w:val="both"/>
        <w:rPr>
          <w:rFonts w:eastAsia="Times New Roman" w:cs="Calibri"/>
        </w:rPr>
      </w:pPr>
      <w:r>
        <w:rPr>
          <w:u w:val="single"/>
        </w:rPr>
        <w:t>P</w:t>
      </w:r>
      <w:r w:rsidR="00152AD2" w:rsidRPr="002B7386">
        <w:rPr>
          <w:u w:val="single"/>
        </w:rPr>
        <w:t>rior to disbursing any funds to a</w:t>
      </w:r>
      <w:r w:rsidR="00B87A29" w:rsidRPr="002B7386">
        <w:rPr>
          <w:u w:val="single"/>
        </w:rPr>
        <w:t xml:space="preserve">n </w:t>
      </w:r>
      <w:r w:rsidR="00E75605">
        <w:rPr>
          <w:u w:val="single"/>
        </w:rPr>
        <w:t>administering entit</w:t>
      </w:r>
      <w:r w:rsidR="00B87A29" w:rsidRPr="002B7386">
        <w:rPr>
          <w:u w:val="single"/>
        </w:rPr>
        <w:t>y</w:t>
      </w:r>
      <w:r w:rsidR="00152AD2" w:rsidRPr="002B7386">
        <w:t xml:space="preserve">, </w:t>
      </w:r>
      <w:r w:rsidR="00B87A29" w:rsidRPr="002B7386">
        <w:t xml:space="preserve">the Participating State must </w:t>
      </w:r>
      <w:r w:rsidR="00152AD2" w:rsidRPr="002B7386">
        <w:t xml:space="preserve">execute </w:t>
      </w:r>
      <w:r w:rsidR="004B095F" w:rsidRPr="002B7386">
        <w:t>a written a</w:t>
      </w:r>
      <w:r w:rsidR="00805DE7" w:rsidRPr="002B7386">
        <w:t xml:space="preserve">greement </w:t>
      </w:r>
      <w:r>
        <w:t>applying the</w:t>
      </w:r>
      <w:r w:rsidR="00805DE7" w:rsidRPr="002B7386">
        <w:t xml:space="preserve"> provisions of Articles IV and VI</w:t>
      </w:r>
      <w:r w:rsidR="00CD7ADD">
        <w:t xml:space="preserve"> to the </w:t>
      </w:r>
      <w:r w:rsidR="00E75605">
        <w:t>administering entit</w:t>
      </w:r>
      <w:r w:rsidR="00CD7ADD">
        <w:t>y</w:t>
      </w:r>
      <w:r w:rsidR="00805DE7" w:rsidRPr="002B7386">
        <w:t>.</w:t>
      </w:r>
      <w:r w:rsidR="00805DE7" w:rsidRPr="002B7386">
        <w:rPr>
          <w:rStyle w:val="FootnoteReference"/>
          <w:color w:val="000000"/>
        </w:rPr>
        <w:footnoteReference w:id="12"/>
      </w:r>
      <w:r w:rsidR="00805DE7" w:rsidRPr="002B7386">
        <w:t xml:space="preserve">  </w:t>
      </w:r>
      <w:r w:rsidR="001F02FA" w:rsidRPr="002B7386">
        <w:t>Treasury call</w:t>
      </w:r>
      <w:r>
        <w:t>s</w:t>
      </w:r>
      <w:r w:rsidR="001F02FA" w:rsidRPr="002B7386">
        <w:t xml:space="preserve"> special attention the following requirements that </w:t>
      </w:r>
      <w:proofErr w:type="gramStart"/>
      <w:r w:rsidR="001F02FA" w:rsidRPr="002B7386">
        <w:t>must be incorporated</w:t>
      </w:r>
      <w:proofErr w:type="gramEnd"/>
      <w:r w:rsidR="001F02FA" w:rsidRPr="002B7386">
        <w:t xml:space="preserve"> into the agreement</w:t>
      </w:r>
      <w:r w:rsidR="00152AD2" w:rsidRPr="002B7386">
        <w:rPr>
          <w:rFonts w:eastAsia="Times New Roman" w:cs="Calibri"/>
        </w:rPr>
        <w:t>:</w:t>
      </w:r>
    </w:p>
    <w:p w:rsidR="00E7572A" w:rsidRDefault="001F02FA" w:rsidP="004F7454">
      <w:pPr>
        <w:pStyle w:val="ListParagraph"/>
        <w:numPr>
          <w:ilvl w:val="0"/>
          <w:numId w:val="7"/>
        </w:numPr>
        <w:spacing w:after="120"/>
        <w:contextualSpacing w:val="0"/>
        <w:jc w:val="both"/>
      </w:pPr>
      <w:r w:rsidRPr="002B7386">
        <w:t>T</w:t>
      </w:r>
      <w:r w:rsidR="00152AD2" w:rsidRPr="002B7386">
        <w:t xml:space="preserve">he </w:t>
      </w:r>
      <w:r w:rsidR="00E75605">
        <w:t>administering entit</w:t>
      </w:r>
      <w:r w:rsidR="00805DE7" w:rsidRPr="002B7386">
        <w:t>y</w:t>
      </w:r>
      <w:r w:rsidR="00152AD2" w:rsidRPr="002B7386">
        <w:t xml:space="preserve"> </w:t>
      </w:r>
      <w:r w:rsidRPr="002B7386">
        <w:t xml:space="preserve">must </w:t>
      </w:r>
      <w:r w:rsidR="00152AD2" w:rsidRPr="002B7386">
        <w:t>make all books and records related to the use of allocated funds available to Treasury and/or the Treasury Inspector General;</w:t>
      </w:r>
    </w:p>
    <w:p w:rsidR="00E7572A" w:rsidRDefault="001F02FA" w:rsidP="004F7454">
      <w:pPr>
        <w:pStyle w:val="ListParagraph"/>
        <w:numPr>
          <w:ilvl w:val="0"/>
          <w:numId w:val="7"/>
        </w:numPr>
        <w:spacing w:after="120"/>
        <w:contextualSpacing w:val="0"/>
        <w:jc w:val="both"/>
      </w:pPr>
      <w:r w:rsidRPr="002B7386">
        <w:lastRenderedPageBreak/>
        <w:t xml:space="preserve">The </w:t>
      </w:r>
      <w:r w:rsidR="00E75605">
        <w:t>administering entit</w:t>
      </w:r>
      <w:r w:rsidR="00B81B2F" w:rsidRPr="002B7386">
        <w:t>y</w:t>
      </w:r>
      <w:r w:rsidR="00152AD2" w:rsidRPr="002B7386">
        <w:t xml:space="preserve"> </w:t>
      </w:r>
      <w:r w:rsidRPr="002B7386">
        <w:t xml:space="preserve">is prohibited </w:t>
      </w:r>
      <w:r w:rsidR="00152AD2" w:rsidRPr="002B7386">
        <w:t xml:space="preserve">from enrolling the unguaranteed portion of any SBA-guaranteed loan (note: this </w:t>
      </w:r>
      <w:r w:rsidR="004F3FB8" w:rsidRPr="002B7386">
        <w:t xml:space="preserve">provision </w:t>
      </w:r>
      <w:r w:rsidR="00152AD2" w:rsidRPr="002B7386">
        <w:t xml:space="preserve">does not apply to venture capital programs); </w:t>
      </w:r>
    </w:p>
    <w:p w:rsidR="00E7572A" w:rsidRDefault="001F02FA" w:rsidP="004F7454">
      <w:pPr>
        <w:pStyle w:val="ListParagraph"/>
        <w:numPr>
          <w:ilvl w:val="0"/>
          <w:numId w:val="7"/>
        </w:numPr>
        <w:spacing w:after="120"/>
        <w:contextualSpacing w:val="0"/>
        <w:jc w:val="both"/>
      </w:pPr>
      <w:r w:rsidRPr="002B7386">
        <w:t xml:space="preserve">The </w:t>
      </w:r>
      <w:r w:rsidR="00E75605">
        <w:t>administering</w:t>
      </w:r>
      <w:r w:rsidRPr="002B7386">
        <w:t xml:space="preserve"> entity must comply with all administrative expense requirements, including OMB Circular A-87, and maintain </w:t>
      </w:r>
      <w:r w:rsidR="00753009" w:rsidRPr="002B7386">
        <w:t xml:space="preserve">substantiating </w:t>
      </w:r>
      <w:r w:rsidR="00152AD2" w:rsidRPr="002B7386">
        <w:t xml:space="preserve">documentation for all expenses; </w:t>
      </w:r>
      <w:r w:rsidR="00805DE7" w:rsidRPr="002B7386">
        <w:t>and</w:t>
      </w:r>
    </w:p>
    <w:p w:rsidR="00E7572A" w:rsidRDefault="001F02FA" w:rsidP="004F7454">
      <w:pPr>
        <w:pStyle w:val="ListParagraph"/>
        <w:numPr>
          <w:ilvl w:val="0"/>
          <w:numId w:val="7"/>
        </w:numPr>
        <w:spacing w:after="240"/>
        <w:contextualSpacing w:val="0"/>
        <w:jc w:val="both"/>
      </w:pPr>
      <w:r w:rsidRPr="002B7386">
        <w:t xml:space="preserve">The </w:t>
      </w:r>
      <w:r w:rsidR="00E75605">
        <w:t>administering entit</w:t>
      </w:r>
      <w:r w:rsidRPr="002B7386">
        <w:t xml:space="preserve">y must comply with all data collection and reporting responsibilities.  The agreement should specify the respective roles of the </w:t>
      </w:r>
      <w:r w:rsidR="00E75605">
        <w:t>administering entit</w:t>
      </w:r>
      <w:r w:rsidRPr="002B7386">
        <w:t>y and the Participating State in meeting all data collection and reporting responsibilities, and include the Participating State’s transaction enrollment form</w:t>
      </w:r>
      <w:r w:rsidR="00CD7ADD">
        <w:t>,</w:t>
      </w:r>
      <w:r w:rsidRPr="002B7386">
        <w:t xml:space="preserve"> if applicable</w:t>
      </w:r>
      <w:r w:rsidR="00805DE7" w:rsidRPr="002B7386">
        <w:t>.</w:t>
      </w:r>
    </w:p>
    <w:p w:rsidR="00304496" w:rsidRPr="002B7386" w:rsidRDefault="00086007" w:rsidP="00304496">
      <w:r w:rsidRPr="002B7386">
        <w:t>Recommended best practices include</w:t>
      </w:r>
      <w:r w:rsidR="00805DE7" w:rsidRPr="002B7386">
        <w:t>:</w:t>
      </w:r>
    </w:p>
    <w:p w:rsidR="00E7572A" w:rsidRDefault="00FE3D8D" w:rsidP="004F7454">
      <w:pPr>
        <w:pStyle w:val="ListParagraph"/>
        <w:numPr>
          <w:ilvl w:val="0"/>
          <w:numId w:val="11"/>
        </w:numPr>
        <w:spacing w:after="120"/>
        <w:contextualSpacing w:val="0"/>
        <w:jc w:val="both"/>
      </w:pPr>
      <w:r w:rsidRPr="002B7386">
        <w:t>Inserting additional contract provisions that</w:t>
      </w:r>
      <w:r w:rsidR="00086007" w:rsidRPr="002B7386">
        <w:t>:</w:t>
      </w:r>
    </w:p>
    <w:p w:rsidR="00E7572A" w:rsidRDefault="00805DE7" w:rsidP="004F7454">
      <w:pPr>
        <w:pStyle w:val="ListParagraph"/>
        <w:numPr>
          <w:ilvl w:val="0"/>
          <w:numId w:val="14"/>
        </w:numPr>
        <w:spacing w:after="120"/>
        <w:contextualSpacing w:val="0"/>
        <w:jc w:val="both"/>
      </w:pPr>
      <w:r w:rsidRPr="002B7386">
        <w:t>Specif</w:t>
      </w:r>
      <w:r w:rsidR="00FE3D8D" w:rsidRPr="002B7386">
        <w:t>y</w:t>
      </w:r>
      <w:r w:rsidRPr="002B7386">
        <w:t xml:space="preserve"> the </w:t>
      </w:r>
      <w:r w:rsidR="00E75605">
        <w:t>administering entit</w:t>
      </w:r>
      <w:r w:rsidRPr="002B7386">
        <w:t>y’s responsibilities regarding use of proceeds and sex offender certifications;</w:t>
      </w:r>
    </w:p>
    <w:p w:rsidR="00E7572A" w:rsidRDefault="00805DE7" w:rsidP="004F7454">
      <w:pPr>
        <w:pStyle w:val="ListParagraph"/>
        <w:numPr>
          <w:ilvl w:val="0"/>
          <w:numId w:val="14"/>
        </w:numPr>
        <w:spacing w:after="120"/>
        <w:contextualSpacing w:val="0"/>
        <w:jc w:val="both"/>
      </w:pPr>
      <w:r w:rsidRPr="002B7386">
        <w:t>Specif</w:t>
      </w:r>
      <w:r w:rsidR="00FE3D8D" w:rsidRPr="002B7386">
        <w:t>y</w:t>
      </w:r>
      <w:r w:rsidRPr="002B7386">
        <w:t xml:space="preserve"> all eligibility requirements for loans/investments for each applicable Approved State Program; </w:t>
      </w:r>
    </w:p>
    <w:p w:rsidR="00E7572A" w:rsidRDefault="00805DE7" w:rsidP="004F7454">
      <w:pPr>
        <w:pStyle w:val="ListParagraph"/>
        <w:numPr>
          <w:ilvl w:val="0"/>
          <w:numId w:val="14"/>
        </w:numPr>
        <w:spacing w:after="120"/>
        <w:contextualSpacing w:val="0"/>
        <w:jc w:val="both"/>
      </w:pPr>
      <w:r w:rsidRPr="002B7386">
        <w:t>Prohibit</w:t>
      </w:r>
      <w:r w:rsidR="006D5C22">
        <w:t>, or require disclosure of,</w:t>
      </w:r>
      <w:r w:rsidRPr="002B7386">
        <w:t xml:space="preserve"> </w:t>
      </w:r>
      <w:r w:rsidR="006D5C22">
        <w:t>an</w:t>
      </w:r>
      <w:r w:rsidR="006D5C22" w:rsidRPr="002B7386">
        <w:t xml:space="preserve"> </w:t>
      </w:r>
      <w:r w:rsidR="00E75605">
        <w:t>administering entit</w:t>
      </w:r>
      <w:r w:rsidRPr="002B7386">
        <w:t xml:space="preserve">y underwriting or approving a loan to, or an investment in, any firm in which the </w:t>
      </w:r>
      <w:r w:rsidR="00E75605">
        <w:t>administering entit</w:t>
      </w:r>
      <w:r w:rsidR="00B81B2F" w:rsidRPr="002B7386">
        <w:t>y</w:t>
      </w:r>
      <w:r w:rsidRPr="002B7386">
        <w:t xml:space="preserve"> </w:t>
      </w:r>
      <w:r w:rsidR="006D5C22">
        <w:t xml:space="preserve">or any of its principals or affiliates </w:t>
      </w:r>
      <w:r w:rsidRPr="002B7386">
        <w:t>has a</w:t>
      </w:r>
      <w:r w:rsidR="006D5C22">
        <w:t xml:space="preserve"> direct or indirect</w:t>
      </w:r>
      <w:r w:rsidRPr="002B7386">
        <w:t xml:space="preserve"> financial interest; and</w:t>
      </w:r>
    </w:p>
    <w:p w:rsidR="00E7572A" w:rsidRDefault="00546EC4" w:rsidP="004F7454">
      <w:pPr>
        <w:pStyle w:val="ListParagraph"/>
        <w:numPr>
          <w:ilvl w:val="0"/>
          <w:numId w:val="14"/>
        </w:numPr>
        <w:contextualSpacing w:val="0"/>
        <w:jc w:val="both"/>
      </w:pPr>
      <w:r w:rsidRPr="002B7386">
        <w:t>Specif</w:t>
      </w:r>
      <w:r w:rsidR="00FE3D8D" w:rsidRPr="002B7386">
        <w:t>y</w:t>
      </w:r>
      <w:r w:rsidR="00805DE7" w:rsidRPr="002B7386">
        <w:t xml:space="preserve"> consequences for non-compliance with the terms and conditions of the contract. </w:t>
      </w:r>
    </w:p>
    <w:p w:rsidR="00E7572A" w:rsidRDefault="00086007" w:rsidP="00E75605">
      <w:pPr>
        <w:pStyle w:val="ListParagraph"/>
        <w:numPr>
          <w:ilvl w:val="0"/>
          <w:numId w:val="12"/>
        </w:numPr>
        <w:spacing w:after="120"/>
        <w:contextualSpacing w:val="0"/>
        <w:jc w:val="both"/>
      </w:pPr>
      <w:r w:rsidRPr="002B7386">
        <w:t>Review</w:t>
      </w:r>
      <w:r w:rsidR="00FE3D8D" w:rsidRPr="002B7386">
        <w:t>ing</w:t>
      </w:r>
      <w:r w:rsidRPr="002B7386">
        <w:t xml:space="preserve"> </w:t>
      </w:r>
      <w:proofErr w:type="gramStart"/>
      <w:r w:rsidRPr="002B7386">
        <w:t>third-party</w:t>
      </w:r>
      <w:proofErr w:type="gramEnd"/>
      <w:r w:rsidRPr="002B7386">
        <w:t xml:space="preserve"> audits of the </w:t>
      </w:r>
      <w:r w:rsidR="00E75605">
        <w:t>administering entit</w:t>
      </w:r>
      <w:r w:rsidRPr="002B7386">
        <w:t xml:space="preserve">y for findings, material weaknesses, or significant deficiencies, and require the </w:t>
      </w:r>
      <w:r w:rsidR="00E75605">
        <w:t>administering entit</w:t>
      </w:r>
      <w:r w:rsidRPr="002B7386">
        <w:t>y to take corrective action</w:t>
      </w:r>
      <w:r w:rsidR="00753009" w:rsidRPr="002B7386">
        <w:t>s</w:t>
      </w:r>
      <w:r w:rsidRPr="002B7386">
        <w:t>.</w:t>
      </w:r>
    </w:p>
    <w:p w:rsidR="00E7572A" w:rsidRDefault="00086007" w:rsidP="004F7454">
      <w:pPr>
        <w:pStyle w:val="ListParagraph"/>
        <w:numPr>
          <w:ilvl w:val="0"/>
          <w:numId w:val="8"/>
        </w:numPr>
        <w:spacing w:after="240"/>
        <w:contextualSpacing w:val="0"/>
        <w:jc w:val="both"/>
      </w:pPr>
      <w:r w:rsidRPr="002B7386">
        <w:t>Perform</w:t>
      </w:r>
      <w:r w:rsidR="001F02FA" w:rsidRPr="002B7386">
        <w:t>ing</w:t>
      </w:r>
      <w:r w:rsidRPr="002B7386">
        <w:t xml:space="preserve"> site visits, requir</w:t>
      </w:r>
      <w:r w:rsidR="00FE3D8D" w:rsidRPr="002B7386">
        <w:t>ing</w:t>
      </w:r>
      <w:r w:rsidRPr="002B7386">
        <w:t xml:space="preserve"> periodic status update reports, and/or conduct</w:t>
      </w:r>
      <w:r w:rsidR="00FE3D8D" w:rsidRPr="002B7386">
        <w:t>ing</w:t>
      </w:r>
      <w:r w:rsidRPr="002B7386">
        <w:t xml:space="preserve"> regular conference calls with the </w:t>
      </w:r>
      <w:r w:rsidR="00E75605">
        <w:t>administering entit</w:t>
      </w:r>
      <w:r w:rsidRPr="002B7386">
        <w:t>y to monitor progress and provide early warning of any implementation challenges.</w:t>
      </w:r>
    </w:p>
    <w:p w:rsidR="00DC3D96" w:rsidRPr="002B7386" w:rsidRDefault="004D55E9" w:rsidP="004F7454">
      <w:pPr>
        <w:spacing w:after="0"/>
        <w:jc w:val="both"/>
      </w:pPr>
      <w:r w:rsidRPr="002B7386">
        <w:t xml:space="preserve">Participating States should consider adding to </w:t>
      </w:r>
      <w:proofErr w:type="gramStart"/>
      <w:r w:rsidRPr="002B7386">
        <w:t>this</w:t>
      </w:r>
      <w:proofErr w:type="gramEnd"/>
      <w:r w:rsidR="00524357" w:rsidRPr="002B7386">
        <w:t xml:space="preserve"> list any additional activities</w:t>
      </w:r>
      <w:r w:rsidRPr="002B7386">
        <w:t xml:space="preserve"> that may be useful to provide additional mitigating controls associated with this risk.</w:t>
      </w:r>
    </w:p>
    <w:p w:rsidR="00192A38" w:rsidRPr="002B7386" w:rsidRDefault="006C1E5F" w:rsidP="004F7454">
      <w:pPr>
        <w:pStyle w:val="Heading3"/>
        <w:spacing w:before="480"/>
      </w:pPr>
      <w:r>
        <w:rPr>
          <w:szCs w:val="24"/>
        </w:rPr>
        <w:t xml:space="preserve">Risk: </w:t>
      </w:r>
      <w:r w:rsidR="00192A38" w:rsidRPr="002B7386">
        <w:t xml:space="preserve">Failure to Submit Timely and Accurate SSBCI Quarterly and Annual Reports </w:t>
      </w:r>
    </w:p>
    <w:p w:rsidR="00192A38" w:rsidRPr="002B7386" w:rsidRDefault="00192A38" w:rsidP="004F7454">
      <w:pPr>
        <w:jc w:val="both"/>
        <w:rPr>
          <w:rFonts w:cs="Calibri"/>
        </w:rPr>
      </w:pPr>
      <w:r w:rsidRPr="002B7386">
        <w:rPr>
          <w:rFonts w:cs="Calibri"/>
        </w:rPr>
        <w:t>Sections 4.7</w:t>
      </w:r>
      <w:r w:rsidR="004D55E9" w:rsidRPr="002B7386">
        <w:rPr>
          <w:rFonts w:cs="Calibri"/>
        </w:rPr>
        <w:t>,</w:t>
      </w:r>
      <w:r w:rsidRPr="002B7386">
        <w:rPr>
          <w:rFonts w:cs="Calibri"/>
        </w:rPr>
        <w:t xml:space="preserve"> 4.8</w:t>
      </w:r>
      <w:r w:rsidR="004D55E9" w:rsidRPr="002B7386">
        <w:rPr>
          <w:rFonts w:cs="Calibri"/>
        </w:rPr>
        <w:t>, and Annexes 4, 5, and 7</w:t>
      </w:r>
      <w:r w:rsidRPr="002B7386">
        <w:rPr>
          <w:rFonts w:cs="Calibri"/>
        </w:rPr>
        <w:t xml:space="preserve"> of the Allocation Agreement set forth SSBCI’s reporting requirements. </w:t>
      </w:r>
      <w:r w:rsidR="006D53E4" w:rsidRPr="002B7386">
        <w:rPr>
          <w:rFonts w:cs="Calibri"/>
        </w:rPr>
        <w:t xml:space="preserve"> </w:t>
      </w:r>
      <w:r w:rsidRPr="002B7386">
        <w:rPr>
          <w:rFonts w:cs="Calibri"/>
        </w:rPr>
        <w:t xml:space="preserve">Failure to submit complete and timely reports is an event of default, as </w:t>
      </w:r>
      <w:r w:rsidR="004F7454">
        <w:rPr>
          <w:rFonts w:cs="Calibri"/>
        </w:rPr>
        <w:t>described</w:t>
      </w:r>
      <w:r w:rsidRPr="002B7386">
        <w:rPr>
          <w:rFonts w:cs="Calibri"/>
        </w:rPr>
        <w:t xml:space="preserve"> in Section 6.1 of the Allocation Agreement.  </w:t>
      </w:r>
    </w:p>
    <w:p w:rsidR="008E0820" w:rsidRDefault="004D55E9" w:rsidP="004F7454">
      <w:pPr>
        <w:jc w:val="both"/>
      </w:pPr>
      <w:proofErr w:type="gramStart"/>
      <w:r w:rsidRPr="002B7386">
        <w:t xml:space="preserve">In order to </w:t>
      </w:r>
      <w:r w:rsidR="008E0820">
        <w:t>improve</w:t>
      </w:r>
      <w:r w:rsidR="008E0820" w:rsidRPr="002B7386">
        <w:t xml:space="preserve"> </w:t>
      </w:r>
      <w:r w:rsidRPr="002B7386">
        <w:t>th</w:t>
      </w:r>
      <w:r w:rsidR="002B78C0">
        <w:t>e</w:t>
      </w:r>
      <w:r w:rsidRPr="002B7386">
        <w:t xml:space="preserve"> accuracy of the underlying data reported in these reports, Treasury strongly recommends that</w:t>
      </w:r>
      <w:r w:rsidR="007F47E4" w:rsidRPr="002B7386">
        <w:t xml:space="preserve"> </w:t>
      </w:r>
      <w:r w:rsidR="007F47E4" w:rsidRPr="002B7386">
        <w:rPr>
          <w:u w:val="single"/>
        </w:rPr>
        <w:t>prior to enrolling a loan or investment in an Approved State Program</w:t>
      </w:r>
      <w:r w:rsidR="007F47E4" w:rsidRPr="002B7386">
        <w:t xml:space="preserve">, the Participating State (or </w:t>
      </w:r>
      <w:r w:rsidR="00E75605">
        <w:t>administering entit</w:t>
      </w:r>
      <w:r w:rsidR="007F47E4" w:rsidRPr="002B7386">
        <w:t>y) collect</w:t>
      </w:r>
      <w:r w:rsidR="008E0820">
        <w:t>s</w:t>
      </w:r>
      <w:r w:rsidR="007F47E4" w:rsidRPr="002B7386">
        <w:t xml:space="preserve"> a transaction enrollment form from</w:t>
      </w:r>
      <w:r w:rsidR="002B78C0">
        <w:t xml:space="preserve"> the lender</w:t>
      </w:r>
      <w:r w:rsidR="007F47E4" w:rsidRPr="002B7386">
        <w:t xml:space="preserve"> </w:t>
      </w:r>
      <w:r w:rsidRPr="002B7386">
        <w:t xml:space="preserve">or </w:t>
      </w:r>
      <w:r w:rsidR="004E2D49" w:rsidRPr="002B7386">
        <w:t>investor</w:t>
      </w:r>
      <w:r w:rsidR="007F47E4" w:rsidRPr="002B7386">
        <w:t xml:space="preserve"> </w:t>
      </w:r>
      <w:r w:rsidRPr="002B7386">
        <w:t xml:space="preserve">(or </w:t>
      </w:r>
      <w:r w:rsidR="008E0820">
        <w:t xml:space="preserve">directly </w:t>
      </w:r>
      <w:r w:rsidRPr="002B7386">
        <w:t xml:space="preserve">from the </w:t>
      </w:r>
      <w:r w:rsidR="00CD7ADD">
        <w:t xml:space="preserve">small business </w:t>
      </w:r>
      <w:r w:rsidRPr="002B7386">
        <w:t xml:space="preserve">borrower/investee if the Participating State or its </w:t>
      </w:r>
      <w:r w:rsidR="00E75605">
        <w:t>administering entit</w:t>
      </w:r>
      <w:r w:rsidRPr="002B7386">
        <w:t>y makes direct loans or investments)</w:t>
      </w:r>
      <w:r w:rsidR="008E0820">
        <w:t>.</w:t>
      </w:r>
      <w:proofErr w:type="gramEnd"/>
      <w:r w:rsidRPr="002B7386">
        <w:t xml:space="preserve"> </w:t>
      </w:r>
      <w:r w:rsidR="008E0820">
        <w:t xml:space="preserve"> The Participating State should also </w:t>
      </w:r>
      <w:r w:rsidR="007F47E4" w:rsidRPr="002B7386">
        <w:t xml:space="preserve">verify that all data fields required </w:t>
      </w:r>
      <w:proofErr w:type="gramStart"/>
      <w:r w:rsidR="007F47E4" w:rsidRPr="002B7386">
        <w:t>to record</w:t>
      </w:r>
      <w:proofErr w:type="gramEnd"/>
      <w:r w:rsidR="007F47E4" w:rsidRPr="002B7386">
        <w:t xml:space="preserve"> the </w:t>
      </w:r>
      <w:r w:rsidR="008E0820">
        <w:t>transaction</w:t>
      </w:r>
      <w:r w:rsidR="007F47E4" w:rsidRPr="002B7386">
        <w:t xml:space="preserve"> in the SSBCI </w:t>
      </w:r>
      <w:r w:rsidR="00A3432C">
        <w:t>a</w:t>
      </w:r>
      <w:r w:rsidR="007F47E4" w:rsidRPr="002B7386">
        <w:t xml:space="preserve">nnual </w:t>
      </w:r>
      <w:r w:rsidR="00A3432C">
        <w:t>r</w:t>
      </w:r>
      <w:r w:rsidR="007F47E4" w:rsidRPr="002B7386">
        <w:t>eport template—including</w:t>
      </w:r>
      <w:r w:rsidR="00CD7ADD">
        <w:t xml:space="preserve"> small business</w:t>
      </w:r>
      <w:r w:rsidR="007F47E4" w:rsidRPr="002B7386">
        <w:t xml:space="preserve"> borrower-provided estimates of job creation and retention—have been provided.  </w:t>
      </w:r>
    </w:p>
    <w:p w:rsidR="00304496" w:rsidRPr="002B7386" w:rsidRDefault="004D55E9" w:rsidP="004F7454">
      <w:pPr>
        <w:jc w:val="both"/>
      </w:pPr>
      <w:r w:rsidRPr="002B7386">
        <w:lastRenderedPageBreak/>
        <w:t>Treasury recommends receiving this enrollment form prior to disbursing funds in order to ensure that each transaction meets the eligibility criteria for enrollment in an Approved State Program.</w:t>
      </w:r>
      <w:r w:rsidR="00FE3D8D" w:rsidRPr="002B7386">
        <w:t xml:space="preserve">  </w:t>
      </w:r>
      <w:r w:rsidR="00FE3D8D" w:rsidRPr="002B7386">
        <w:rPr>
          <w:rFonts w:cs="Calibri"/>
        </w:rPr>
        <w:t>Section II of the SSBCI Policy Guidelines establishes eligibility criteria for small businesses to receive loans or investments.</w:t>
      </w:r>
    </w:p>
    <w:p w:rsidR="00192A38" w:rsidRPr="002B7386" w:rsidRDefault="00284347" w:rsidP="004F7454">
      <w:pPr>
        <w:jc w:val="both"/>
        <w:rPr>
          <w:rFonts w:cs="Calibri"/>
          <w:b/>
          <w:i/>
        </w:rPr>
      </w:pPr>
      <w:r>
        <w:rPr>
          <w:rFonts w:cs="Calibri"/>
        </w:rPr>
        <w:t xml:space="preserve">Treasury recommends that </w:t>
      </w:r>
      <w:r w:rsidR="006D53E4" w:rsidRPr="002B7386">
        <w:rPr>
          <w:rFonts w:cs="Calibri"/>
        </w:rPr>
        <w:t>Participating States undertake the following control activities to mitigate the potential for inaccurate data reporting</w:t>
      </w:r>
      <w:r w:rsidR="007F47E4" w:rsidRPr="002B7386">
        <w:rPr>
          <w:rFonts w:cs="Calibri"/>
        </w:rPr>
        <w:t>:</w:t>
      </w:r>
    </w:p>
    <w:p w:rsidR="00E7572A" w:rsidRDefault="00192A38" w:rsidP="004F7454">
      <w:pPr>
        <w:pStyle w:val="ListParagraph"/>
        <w:numPr>
          <w:ilvl w:val="0"/>
          <w:numId w:val="6"/>
        </w:numPr>
        <w:spacing w:after="120"/>
        <w:ind w:left="1080"/>
        <w:contextualSpacing w:val="0"/>
        <w:jc w:val="both"/>
      </w:pPr>
      <w:r w:rsidRPr="002B7386">
        <w:t>Review the accuracy of transaction enrollment forms by conducting a periodic audit of an appropriately sized sample and confirming that the data on the form matches the data on the underlying loan or investment documents</w:t>
      </w:r>
      <w:r w:rsidR="0004040C">
        <w:t>;</w:t>
      </w:r>
      <w:r w:rsidR="0004040C" w:rsidRPr="002B7386">
        <w:t xml:space="preserve">  </w:t>
      </w:r>
    </w:p>
    <w:p w:rsidR="00E7572A" w:rsidRDefault="00546EC4" w:rsidP="004F7454">
      <w:pPr>
        <w:pStyle w:val="ListParagraph"/>
        <w:numPr>
          <w:ilvl w:val="0"/>
          <w:numId w:val="6"/>
        </w:numPr>
        <w:spacing w:after="120"/>
        <w:ind w:left="1080"/>
        <w:contextualSpacing w:val="0"/>
        <w:jc w:val="both"/>
      </w:pPr>
      <w:r w:rsidRPr="002B7386">
        <w:t>Perform a quality control check in which an employee not responsible for the Participating State’s reporting function compares individual transactions listed on the annual report to the transaction enrollment forms and/or underlying loan or investment documents</w:t>
      </w:r>
      <w:r w:rsidR="0004040C">
        <w:t>; and</w:t>
      </w:r>
      <w:r w:rsidR="008E0820">
        <w:t>,</w:t>
      </w:r>
    </w:p>
    <w:p w:rsidR="00B143E5" w:rsidRPr="002B7386" w:rsidRDefault="00546EC4" w:rsidP="004F7454">
      <w:pPr>
        <w:pStyle w:val="ListParagraph"/>
        <w:numPr>
          <w:ilvl w:val="0"/>
          <w:numId w:val="6"/>
        </w:numPr>
        <w:spacing w:after="240"/>
        <w:ind w:left="1080"/>
        <w:contextualSpacing w:val="0"/>
        <w:jc w:val="both"/>
      </w:pPr>
      <w:r w:rsidRPr="002B7386">
        <w:t xml:space="preserve">Reconcile each calendar year’s four </w:t>
      </w:r>
      <w:r w:rsidR="00C7224D" w:rsidRPr="002B7386">
        <w:t xml:space="preserve">SSBCI </w:t>
      </w:r>
      <w:r w:rsidRPr="002B7386">
        <w:t xml:space="preserve">quarterly reports to the </w:t>
      </w:r>
      <w:r w:rsidR="00C7224D" w:rsidRPr="002B7386">
        <w:t xml:space="preserve">SSBCI </w:t>
      </w:r>
      <w:r w:rsidRPr="002B7386">
        <w:t>annual report and Federal Financial Report (SF-425).</w:t>
      </w:r>
    </w:p>
    <w:p w:rsidR="00304496" w:rsidRPr="002B7386" w:rsidRDefault="00C7224D" w:rsidP="004F7454">
      <w:pPr>
        <w:jc w:val="both"/>
      </w:pPr>
      <w:r w:rsidRPr="002B7386">
        <w:t xml:space="preserve">Participating States should consider adding to </w:t>
      </w:r>
      <w:proofErr w:type="gramStart"/>
      <w:r w:rsidRPr="002B7386">
        <w:t>this</w:t>
      </w:r>
      <w:proofErr w:type="gramEnd"/>
      <w:r w:rsidR="00524357" w:rsidRPr="002B7386">
        <w:t xml:space="preserve"> list any additional activities</w:t>
      </w:r>
      <w:r w:rsidRPr="002B7386">
        <w:t xml:space="preserve"> that may be useful to provide mitigating controls associated with this risk.</w:t>
      </w:r>
      <w:r w:rsidR="0004040C">
        <w:t xml:space="preserve"> </w:t>
      </w:r>
      <w:r w:rsidR="00546EC4" w:rsidRPr="002B7386">
        <w:t xml:space="preserve"> When developing control objectives and control activities, and when designing the testing methodology for these control activities, Participating States should pay particular attention to risks introduced by </w:t>
      </w:r>
      <w:r w:rsidR="00E75605">
        <w:t>administering entit</w:t>
      </w:r>
      <w:r w:rsidR="00546EC4" w:rsidRPr="002B7386">
        <w:t xml:space="preserve">ies, </w:t>
      </w:r>
      <w:r w:rsidR="00B04F78">
        <w:t>lender</w:t>
      </w:r>
      <w:r w:rsidR="00546EC4" w:rsidRPr="002B7386">
        <w:t xml:space="preserve">s/investors, and </w:t>
      </w:r>
      <w:r w:rsidR="0004040C">
        <w:t xml:space="preserve">small business </w:t>
      </w:r>
      <w:r w:rsidR="00546EC4" w:rsidRPr="002B7386">
        <w:t>borrowers/investees in the program.</w:t>
      </w:r>
    </w:p>
    <w:p w:rsidR="00E7572A" w:rsidRPr="008E0820" w:rsidRDefault="008E0820" w:rsidP="004F7454">
      <w:pPr>
        <w:pStyle w:val="Heading3"/>
        <w:spacing w:before="480"/>
      </w:pPr>
      <w:r>
        <w:rPr>
          <w:rFonts w:eastAsia="Times New Roman"/>
        </w:rPr>
        <w:t xml:space="preserve">Risk: </w:t>
      </w:r>
      <w:r w:rsidR="00EC3961" w:rsidRPr="008E0820">
        <w:rPr>
          <w:rFonts w:eastAsia="Times New Roman"/>
        </w:rPr>
        <w:t xml:space="preserve">Inadequate </w:t>
      </w:r>
      <w:r w:rsidR="00192A38" w:rsidRPr="008E0820">
        <w:rPr>
          <w:rFonts w:eastAsia="Times New Roman"/>
        </w:rPr>
        <w:t>Control and</w:t>
      </w:r>
      <w:r w:rsidR="00192A38" w:rsidRPr="008E0820">
        <w:t xml:space="preserve"> Retention of Records</w:t>
      </w:r>
    </w:p>
    <w:p w:rsidR="00812B45" w:rsidRPr="002B7386" w:rsidRDefault="00192A38" w:rsidP="004F7454">
      <w:pPr>
        <w:pStyle w:val="ListParagraph"/>
        <w:ind w:left="0"/>
        <w:jc w:val="both"/>
      </w:pPr>
      <w:r w:rsidRPr="002B7386">
        <w:t xml:space="preserve">Section 4.13 of the Allocation Agreement </w:t>
      </w:r>
      <w:r w:rsidR="004F7454">
        <w:t>establishes that Participating States</w:t>
      </w:r>
      <w:r w:rsidR="00DB7B06" w:rsidRPr="002B7386">
        <w:t xml:space="preserve"> shall retain all financial records, supporting documents, statistical records, and all other records pertinent to the Allocation for a period of three years from the date of submission of the final quarterly report</w:t>
      </w:r>
      <w:r w:rsidR="00FE3D8D" w:rsidRPr="002B7386">
        <w:t xml:space="preserve">, except as otherwise provided in the grants management common rule at </w:t>
      </w:r>
      <w:r w:rsidR="008B0DEE" w:rsidRPr="002B7386">
        <w:t>§__.42</w:t>
      </w:r>
      <w:r w:rsidR="00FE3D8D" w:rsidRPr="002B7386">
        <w:t>.</w:t>
      </w:r>
      <w:r w:rsidR="008E0820" w:rsidRPr="002B7386">
        <w:t xml:space="preserve">  </w:t>
      </w:r>
      <w:r w:rsidR="004F7454">
        <w:t>Section 42 of t</w:t>
      </w:r>
      <w:r w:rsidR="00812B45" w:rsidRPr="002B7386">
        <w:t xml:space="preserve">he grants management common rule states that if any litigation, claim, negotiation, audit, or other action involving the records </w:t>
      </w:r>
      <w:proofErr w:type="gramStart"/>
      <w:r w:rsidR="00812B45" w:rsidRPr="002B7386">
        <w:t>has been started</w:t>
      </w:r>
      <w:proofErr w:type="gramEnd"/>
      <w:r w:rsidR="00812B45" w:rsidRPr="002B7386">
        <w:t xml:space="preserve"> before the expiration of the retention period, the records must be retained until the completion of the action and resolution of all issues or the end of the retention period, whichever is later.     </w:t>
      </w:r>
    </w:p>
    <w:p w:rsidR="00304496" w:rsidRPr="002B7386" w:rsidRDefault="00DB7B06" w:rsidP="004F7454">
      <w:pPr>
        <w:jc w:val="both"/>
      </w:pPr>
      <w:r w:rsidRPr="002B7386">
        <w:t xml:space="preserve">Participating States must </w:t>
      </w:r>
      <w:r w:rsidR="004F7454">
        <w:t xml:space="preserve">therefore </w:t>
      </w:r>
      <w:r w:rsidRPr="002B7386">
        <w:t>retain all financial records and supporting documents</w:t>
      </w:r>
      <w:r w:rsidR="007C6591" w:rsidRPr="002B7386">
        <w:t xml:space="preserve"> </w:t>
      </w:r>
      <w:r w:rsidR="008B0DEE" w:rsidRPr="002B7386">
        <w:t xml:space="preserve">at least through </w:t>
      </w:r>
      <w:r w:rsidR="007C6591" w:rsidRPr="002B7386">
        <w:t xml:space="preserve">January 30, 2020.  </w:t>
      </w:r>
      <w:proofErr w:type="gramStart"/>
      <w:r w:rsidR="007C6591" w:rsidRPr="002B7386">
        <w:t>Financial records and supporting documents include, but are not limited to</w:t>
      </w:r>
      <w:r w:rsidR="0004040C">
        <w:t>:</w:t>
      </w:r>
      <w:r w:rsidR="0004040C" w:rsidRPr="002B7386">
        <w:t xml:space="preserve"> </w:t>
      </w:r>
      <w:r w:rsidRPr="002B7386">
        <w:t xml:space="preserve">all loan and </w:t>
      </w:r>
      <w:r w:rsidR="007C6591" w:rsidRPr="002B7386">
        <w:t xml:space="preserve">investment </w:t>
      </w:r>
      <w:r w:rsidRPr="002B7386">
        <w:t xml:space="preserve">agreements; loan or investment commitment letters; </w:t>
      </w:r>
      <w:r w:rsidR="0006653D" w:rsidRPr="002B7386">
        <w:t>all sex offender and use of proceeds certifications</w:t>
      </w:r>
      <w:r w:rsidR="00C7224D" w:rsidRPr="002B7386">
        <w:t xml:space="preserve"> retained by the Participating State</w:t>
      </w:r>
      <w:r w:rsidR="0006653D" w:rsidRPr="002B7386">
        <w:t xml:space="preserve">; </w:t>
      </w:r>
      <w:r w:rsidR="00C7224D" w:rsidRPr="002B7386">
        <w:t xml:space="preserve">any </w:t>
      </w:r>
      <w:r w:rsidR="007C6591" w:rsidRPr="002B7386">
        <w:t xml:space="preserve">transaction enrollment forms; </w:t>
      </w:r>
      <w:r w:rsidR="00C7224D" w:rsidRPr="002B7386">
        <w:t xml:space="preserve">all </w:t>
      </w:r>
      <w:r w:rsidR="007C6591" w:rsidRPr="002B7386">
        <w:t xml:space="preserve">general ledger entries pertaining to </w:t>
      </w:r>
      <w:r w:rsidR="00CC290F">
        <w:t>Allocated Funds</w:t>
      </w:r>
      <w:r w:rsidR="007C6591" w:rsidRPr="002B7386">
        <w:t xml:space="preserve">; </w:t>
      </w:r>
      <w:r w:rsidR="00C7224D" w:rsidRPr="002B7386">
        <w:t>a</w:t>
      </w:r>
      <w:r w:rsidR="00FE3D8D" w:rsidRPr="002B7386">
        <w:t>ll</w:t>
      </w:r>
      <w:r w:rsidR="00C7224D" w:rsidRPr="002B7386">
        <w:t xml:space="preserve"> </w:t>
      </w:r>
      <w:r w:rsidR="007C6591" w:rsidRPr="002B7386">
        <w:t xml:space="preserve">statements for accounts containing </w:t>
      </w:r>
      <w:r w:rsidR="00CC290F">
        <w:t>Allocated Funds</w:t>
      </w:r>
      <w:r w:rsidR="00FE3D8D" w:rsidRPr="002B7386">
        <w:t>, including bank statements if applicable</w:t>
      </w:r>
      <w:r w:rsidR="007C6591" w:rsidRPr="002B7386">
        <w:t xml:space="preserve">; </w:t>
      </w:r>
      <w:r w:rsidR="00C7224D" w:rsidRPr="002B7386">
        <w:t xml:space="preserve">any </w:t>
      </w:r>
      <w:r w:rsidRPr="002B7386">
        <w:t xml:space="preserve">contracts or memorandum of agreement (MOA) with </w:t>
      </w:r>
      <w:r w:rsidR="00E75605">
        <w:t>administering entit</w:t>
      </w:r>
      <w:r w:rsidRPr="002B7386">
        <w:t xml:space="preserve">ies; </w:t>
      </w:r>
      <w:r w:rsidR="00C7224D" w:rsidRPr="002B7386">
        <w:t xml:space="preserve">any </w:t>
      </w:r>
      <w:r w:rsidRPr="002B7386">
        <w:t xml:space="preserve">records of all transfers of funds to </w:t>
      </w:r>
      <w:r w:rsidR="00E75605">
        <w:t>administering entit</w:t>
      </w:r>
      <w:r w:rsidRPr="002B7386">
        <w:t xml:space="preserve">ies; </w:t>
      </w:r>
      <w:r w:rsidR="00C7224D" w:rsidRPr="002B7386">
        <w:t xml:space="preserve">all </w:t>
      </w:r>
      <w:r w:rsidRPr="002B7386">
        <w:t>invoices and receipts for administrative expenses; and</w:t>
      </w:r>
      <w:r w:rsidR="00C94F9E">
        <w:t>,</w:t>
      </w:r>
      <w:r w:rsidRPr="002B7386">
        <w:t xml:space="preserve"> documentation of private leverage and subsequent private financing.</w:t>
      </w:r>
      <w:proofErr w:type="gramEnd"/>
      <w:r w:rsidRPr="002B7386">
        <w:t xml:space="preserve">  Furthermore, </w:t>
      </w:r>
      <w:r w:rsidRPr="002B7386">
        <w:rPr>
          <w:rFonts w:eastAsia="Times New Roman"/>
        </w:rPr>
        <w:t xml:space="preserve">if </w:t>
      </w:r>
      <w:r w:rsidR="00B04F78">
        <w:rPr>
          <w:rFonts w:eastAsia="Times New Roman"/>
        </w:rPr>
        <w:t>lender</w:t>
      </w:r>
      <w:r w:rsidRPr="002B7386">
        <w:rPr>
          <w:rFonts w:eastAsia="Times New Roman"/>
        </w:rPr>
        <w:t xml:space="preserve">s and </w:t>
      </w:r>
      <w:r w:rsidR="004E2D49" w:rsidRPr="002B7386">
        <w:rPr>
          <w:rFonts w:eastAsia="Times New Roman"/>
        </w:rPr>
        <w:t>investor</w:t>
      </w:r>
      <w:r w:rsidR="00C7224D" w:rsidRPr="002B7386">
        <w:rPr>
          <w:rFonts w:eastAsia="Times New Roman"/>
        </w:rPr>
        <w:t>s</w:t>
      </w:r>
      <w:r w:rsidRPr="002B7386">
        <w:rPr>
          <w:rFonts w:eastAsia="Times New Roman"/>
        </w:rPr>
        <w:t xml:space="preserve">, or </w:t>
      </w:r>
      <w:r w:rsidR="00C7224D" w:rsidRPr="002B7386">
        <w:rPr>
          <w:rFonts w:eastAsia="Times New Roman"/>
        </w:rPr>
        <w:t xml:space="preserve">an </w:t>
      </w:r>
      <w:r w:rsidR="00E75605">
        <w:rPr>
          <w:rFonts w:eastAsia="Times New Roman"/>
        </w:rPr>
        <w:t>administering entit</w:t>
      </w:r>
      <w:r w:rsidRPr="002B7386">
        <w:rPr>
          <w:rFonts w:eastAsia="Times New Roman"/>
        </w:rPr>
        <w:t xml:space="preserve">y, are </w:t>
      </w:r>
      <w:r w:rsidR="00C7224D" w:rsidRPr="002B7386">
        <w:rPr>
          <w:rFonts w:eastAsia="Times New Roman"/>
        </w:rPr>
        <w:t xml:space="preserve">required </w:t>
      </w:r>
      <w:r w:rsidRPr="002B7386">
        <w:rPr>
          <w:rFonts w:eastAsia="Times New Roman"/>
        </w:rPr>
        <w:t>to retain any records</w:t>
      </w:r>
      <w:r w:rsidR="00C7224D" w:rsidRPr="002B7386">
        <w:rPr>
          <w:rFonts w:eastAsia="Times New Roman"/>
        </w:rPr>
        <w:t xml:space="preserve"> </w:t>
      </w:r>
      <w:r w:rsidRPr="002B7386">
        <w:rPr>
          <w:rFonts w:eastAsia="Times New Roman"/>
        </w:rPr>
        <w:t xml:space="preserve">rather than submitting these records to the Participating State or </w:t>
      </w:r>
      <w:r w:rsidR="00E75605">
        <w:rPr>
          <w:rFonts w:eastAsia="Times New Roman"/>
        </w:rPr>
        <w:t>administering entit</w:t>
      </w:r>
      <w:r w:rsidRPr="002B7386">
        <w:rPr>
          <w:rFonts w:eastAsia="Times New Roman"/>
        </w:rPr>
        <w:t xml:space="preserve">y—the Participating State must have a written agreement in place requiring </w:t>
      </w:r>
      <w:r w:rsidR="00C7224D" w:rsidRPr="002B7386">
        <w:rPr>
          <w:rFonts w:eastAsia="Times New Roman"/>
        </w:rPr>
        <w:t xml:space="preserve">the </w:t>
      </w:r>
      <w:r w:rsidR="00B143E5" w:rsidRPr="002B7386">
        <w:rPr>
          <w:rFonts w:eastAsia="Times New Roman"/>
        </w:rPr>
        <w:t>maintenance of</w:t>
      </w:r>
      <w:r w:rsidRPr="002B7386">
        <w:rPr>
          <w:rFonts w:eastAsia="Times New Roman"/>
        </w:rPr>
        <w:t xml:space="preserve"> these records until at least January 30, 2020, and the Participating State must exercise oversight to</w:t>
      </w:r>
      <w:r w:rsidR="00EC3961" w:rsidRPr="002B7386">
        <w:rPr>
          <w:rFonts w:eastAsia="Times New Roman"/>
        </w:rPr>
        <w:t xml:space="preserve"> verify compliance</w:t>
      </w:r>
      <w:r w:rsidRPr="002B7386">
        <w:rPr>
          <w:rFonts w:eastAsia="Times New Roman"/>
        </w:rPr>
        <w:t>.</w:t>
      </w:r>
      <w:r w:rsidRPr="002B7386">
        <w:rPr>
          <w:rFonts w:eastAsia="Times New Roman"/>
          <w:b/>
          <w:i/>
        </w:rPr>
        <w:t xml:space="preserve">  </w:t>
      </w:r>
      <w:r w:rsidRPr="002B7386">
        <w:lastRenderedPageBreak/>
        <w:t>One means of exercising this oversight would be to conduct an annual audit of a random sample of each lender</w:t>
      </w:r>
      <w:r w:rsidR="00EC3961" w:rsidRPr="002B7386">
        <w:t>’s</w:t>
      </w:r>
      <w:r w:rsidRPr="002B7386">
        <w:t xml:space="preserve"> or investor’s (or the </w:t>
      </w:r>
      <w:r w:rsidR="00E75605">
        <w:t>administering entit</w:t>
      </w:r>
      <w:r w:rsidRPr="002B7386">
        <w:t>y’s) financial records.</w:t>
      </w:r>
    </w:p>
    <w:p w:rsidR="00192A38" w:rsidRPr="002B7386" w:rsidRDefault="00C7224D" w:rsidP="004F7454">
      <w:pPr>
        <w:jc w:val="both"/>
        <w:rPr>
          <w:rFonts w:cs="Calibri"/>
        </w:rPr>
      </w:pPr>
      <w:r w:rsidRPr="002B7386">
        <w:t xml:space="preserve">Participating States should consider adding </w:t>
      </w:r>
      <w:r w:rsidR="00524357" w:rsidRPr="002B7386">
        <w:t>any additional activities</w:t>
      </w:r>
      <w:r w:rsidRPr="002B7386">
        <w:t xml:space="preserve"> that may be useful to provide additional mitigating controls associated with </w:t>
      </w:r>
      <w:r w:rsidR="008E0820">
        <w:t>records retention</w:t>
      </w:r>
      <w:r w:rsidRPr="002B7386">
        <w:t>.</w:t>
      </w:r>
    </w:p>
    <w:p w:rsidR="006C1E5E" w:rsidRPr="008E0820" w:rsidRDefault="008E0820" w:rsidP="004F7454">
      <w:pPr>
        <w:pStyle w:val="Heading3"/>
        <w:spacing w:before="480"/>
        <w:rPr>
          <w:rFonts w:eastAsia="Times New Roman"/>
        </w:rPr>
      </w:pPr>
      <w:r>
        <w:rPr>
          <w:rFonts w:eastAsia="Times New Roman"/>
        </w:rPr>
        <w:t xml:space="preserve">Risk: </w:t>
      </w:r>
      <w:r w:rsidR="00EC3961" w:rsidRPr="008E0820">
        <w:rPr>
          <w:rFonts w:eastAsia="Times New Roman"/>
        </w:rPr>
        <w:t xml:space="preserve">Inadequate </w:t>
      </w:r>
      <w:r w:rsidR="00192A38" w:rsidRPr="008E0820">
        <w:rPr>
          <w:rFonts w:eastAsia="Times New Roman"/>
        </w:rPr>
        <w:t>Documentation of Subsequent Private Financing</w:t>
      </w:r>
    </w:p>
    <w:p w:rsidR="004F7454" w:rsidRDefault="00192A38" w:rsidP="004F7454">
      <w:pPr>
        <w:jc w:val="both"/>
      </w:pPr>
      <w:r w:rsidRPr="002B7386">
        <w:rPr>
          <w:rFonts w:eastAsia="Times New Roman"/>
        </w:rPr>
        <w:t>Section 4.8 of the Allocation Agreement</w:t>
      </w:r>
      <w:r w:rsidRPr="002B7386">
        <w:rPr>
          <w:rFonts w:eastAsia="Times New Roman"/>
          <w:b/>
          <w:i/>
        </w:rPr>
        <w:t xml:space="preserve"> </w:t>
      </w:r>
      <w:r w:rsidRPr="002B7386">
        <w:rPr>
          <w:rFonts w:eastAsia="Times New Roman"/>
          <w:b/>
        </w:rPr>
        <w:t>r</w:t>
      </w:r>
      <w:r w:rsidRPr="002B7386">
        <w:t>equires</w:t>
      </w:r>
      <w:r w:rsidR="00383955" w:rsidRPr="002B7386">
        <w:t>, under circumstances described in Annex 7 of the Allocation Agreement,</w:t>
      </w:r>
      <w:r w:rsidRPr="002B7386">
        <w:t xml:space="preserve"> Participating States to report the amount of additional private financing </w:t>
      </w:r>
      <w:r w:rsidR="00C7224D" w:rsidRPr="002B7386">
        <w:t xml:space="preserve">that occurs </w:t>
      </w:r>
      <w:r w:rsidRPr="002B7386">
        <w:t xml:space="preserve">after </w:t>
      </w:r>
      <w:r w:rsidR="00C7224D" w:rsidRPr="002B7386">
        <w:t xml:space="preserve">the </w:t>
      </w:r>
      <w:r w:rsidRPr="002B7386">
        <w:t>closing</w:t>
      </w:r>
      <w:r w:rsidR="00C7224D" w:rsidRPr="002B7386">
        <w:t xml:space="preserve"> of the original SSBCI-supported transaction</w:t>
      </w:r>
      <w:r w:rsidRPr="002B7386">
        <w:t xml:space="preserve">. </w:t>
      </w:r>
      <w:r w:rsidR="009C527C" w:rsidRPr="002B7386">
        <w:t xml:space="preserve"> </w:t>
      </w:r>
      <w:r w:rsidR="0004040C">
        <w:t>This term of the Allocation Agreement</w:t>
      </w:r>
      <w:r w:rsidR="009C527C" w:rsidRPr="002B7386">
        <w:t xml:space="preserve"> mean</w:t>
      </w:r>
      <w:r w:rsidR="0004040C">
        <w:t>s</w:t>
      </w:r>
      <w:r w:rsidR="009C527C" w:rsidRPr="002B7386">
        <w:t xml:space="preserve"> that the Participating State must </w:t>
      </w:r>
      <w:r w:rsidR="00C7224D" w:rsidRPr="002B7386">
        <w:t xml:space="preserve">maintain documentation of </w:t>
      </w:r>
      <w:r w:rsidR="009C527C" w:rsidRPr="002B7386">
        <w:t xml:space="preserve">the amount of subsequent private financing, as well as the rationale for determining that the subsequent private financing is the “cause and result” of the original SSBCI-supported transaction, </w:t>
      </w:r>
      <w:r w:rsidR="00383955" w:rsidRPr="002B7386">
        <w:t>when required by</w:t>
      </w:r>
      <w:r w:rsidR="009C527C" w:rsidRPr="002B7386">
        <w:t xml:space="preserve"> Annex 7</w:t>
      </w:r>
      <w:r w:rsidR="00390361" w:rsidRPr="002B7386">
        <w:t>.</w:t>
      </w:r>
      <w:r w:rsidR="00390361">
        <w:t xml:space="preserve">  </w:t>
      </w:r>
    </w:p>
    <w:p w:rsidR="00304496" w:rsidRPr="002B7386" w:rsidRDefault="009C527C" w:rsidP="004F7454">
      <w:pPr>
        <w:jc w:val="both"/>
      </w:pPr>
      <w:r w:rsidRPr="002B7386">
        <w:t xml:space="preserve">If the enrollment of loans </w:t>
      </w:r>
      <w:r w:rsidR="00C7224D" w:rsidRPr="002B7386">
        <w:t xml:space="preserve">or </w:t>
      </w:r>
      <w:r w:rsidRPr="002B7386">
        <w:t xml:space="preserve">investments is handled by an </w:t>
      </w:r>
      <w:r w:rsidR="00E75605">
        <w:t>administering entit</w:t>
      </w:r>
      <w:r w:rsidRPr="002B7386">
        <w:t xml:space="preserve">y, the Participating State may delegate the responsibility for obtaining and retaining this documentation to the </w:t>
      </w:r>
      <w:r w:rsidR="00E75605">
        <w:t>administering entit</w:t>
      </w:r>
      <w:r w:rsidRPr="002B7386">
        <w:t xml:space="preserve">y pursuant to a written contract, </w:t>
      </w:r>
      <w:proofErr w:type="gramStart"/>
      <w:r w:rsidRPr="002B7386">
        <w:t>provided that</w:t>
      </w:r>
      <w:proofErr w:type="gramEnd"/>
      <w:r w:rsidRPr="002B7386">
        <w:t xml:space="preserve"> the Participating State exercises oversight of the </w:t>
      </w:r>
      <w:r w:rsidR="00E75605">
        <w:t>administering entit</w:t>
      </w:r>
      <w:r w:rsidRPr="002B7386">
        <w:t xml:space="preserve">y to ensure </w:t>
      </w:r>
      <w:r w:rsidR="00390361">
        <w:t>compliance with this</w:t>
      </w:r>
      <w:r w:rsidR="00390361" w:rsidRPr="002B7386">
        <w:t xml:space="preserve"> </w:t>
      </w:r>
      <w:r w:rsidRPr="002B7386">
        <w:t>requiremen</w:t>
      </w:r>
      <w:r w:rsidR="00390361">
        <w:t>t</w:t>
      </w:r>
      <w:r w:rsidRPr="002B7386">
        <w:t xml:space="preserve">.  One means of exercising this oversight would be to conduct an annual audit of a random sample of loans or investments for which subsequent private financing </w:t>
      </w:r>
      <w:proofErr w:type="gramStart"/>
      <w:r w:rsidRPr="002B7386">
        <w:t>has been recorded</w:t>
      </w:r>
      <w:proofErr w:type="gramEnd"/>
      <w:r w:rsidRPr="002B7386">
        <w:t>.</w:t>
      </w:r>
    </w:p>
    <w:p w:rsidR="00B143E5" w:rsidRPr="002B7386" w:rsidRDefault="00284347" w:rsidP="004F7454">
      <w:pPr>
        <w:pStyle w:val="ListParagraph"/>
        <w:ind w:left="0"/>
        <w:contextualSpacing w:val="0"/>
        <w:jc w:val="both"/>
        <w:rPr>
          <w:rFonts w:cs="Calibri"/>
        </w:rPr>
      </w:pPr>
      <w:r>
        <w:rPr>
          <w:rFonts w:cs="Calibri"/>
        </w:rPr>
        <w:t xml:space="preserve">Treasury recommends </w:t>
      </w:r>
      <w:r w:rsidR="00390361">
        <w:rPr>
          <w:rFonts w:cs="Calibri"/>
        </w:rPr>
        <w:t xml:space="preserve">that </w:t>
      </w:r>
      <w:r w:rsidR="00753009" w:rsidRPr="002B7386">
        <w:rPr>
          <w:rFonts w:cs="Calibri"/>
        </w:rPr>
        <w:t xml:space="preserve">Participating States undertake the following </w:t>
      </w:r>
      <w:r w:rsidR="00390361">
        <w:rPr>
          <w:rFonts w:cs="Calibri"/>
        </w:rPr>
        <w:t>additional</w:t>
      </w:r>
      <w:r w:rsidR="00390361" w:rsidRPr="002B7386">
        <w:rPr>
          <w:rFonts w:cs="Calibri"/>
        </w:rPr>
        <w:t xml:space="preserve"> </w:t>
      </w:r>
      <w:r w:rsidR="00753009" w:rsidRPr="002B7386">
        <w:rPr>
          <w:rFonts w:cs="Calibri"/>
        </w:rPr>
        <w:t>control activities based on the guidance provided in Annex 7 of the Allocation Agreement</w:t>
      </w:r>
      <w:r w:rsidR="00B143E5" w:rsidRPr="002B7386">
        <w:rPr>
          <w:rFonts w:cs="Calibri"/>
        </w:rPr>
        <w:t>:</w:t>
      </w:r>
    </w:p>
    <w:p w:rsidR="00E7572A" w:rsidRDefault="00192A38" w:rsidP="00E75605">
      <w:pPr>
        <w:pStyle w:val="ListParagraph"/>
        <w:numPr>
          <w:ilvl w:val="0"/>
          <w:numId w:val="15"/>
        </w:numPr>
        <w:spacing w:after="120"/>
        <w:ind w:left="1080"/>
        <w:contextualSpacing w:val="0"/>
        <w:jc w:val="both"/>
        <w:rPr>
          <w:rFonts w:eastAsia="Times New Roman" w:cs="Calibri"/>
          <w:color w:val="000000"/>
        </w:rPr>
      </w:pPr>
      <w:r w:rsidRPr="002B7386">
        <w:rPr>
          <w:rFonts w:eastAsia="Times New Roman" w:cs="Calibri"/>
          <w:color w:val="000000"/>
        </w:rPr>
        <w:t>Verify that no subsequent private financing for loans enrolled in a loan guarantee or collateral support program is recorded, unless the Participating State has received documented permission from Treasury</w:t>
      </w:r>
      <w:r w:rsidR="0004040C">
        <w:rPr>
          <w:rFonts w:eastAsia="Times New Roman" w:cs="Calibri"/>
          <w:color w:val="000000"/>
        </w:rPr>
        <w:t>;</w:t>
      </w:r>
      <w:r w:rsidR="0004040C" w:rsidRPr="002B7386">
        <w:rPr>
          <w:rFonts w:eastAsia="Times New Roman" w:cs="Calibri"/>
          <w:color w:val="000000"/>
        </w:rPr>
        <w:t xml:space="preserve"> </w:t>
      </w:r>
    </w:p>
    <w:p w:rsidR="00E7572A" w:rsidRDefault="00192A38" w:rsidP="004F7454">
      <w:pPr>
        <w:pStyle w:val="ListParagraph"/>
        <w:numPr>
          <w:ilvl w:val="0"/>
          <w:numId w:val="1"/>
        </w:numPr>
        <w:spacing w:after="240"/>
        <w:ind w:left="1080"/>
        <w:contextualSpacing w:val="0"/>
        <w:jc w:val="both"/>
        <w:rPr>
          <w:rFonts w:eastAsia="Times New Roman" w:cs="Calibri"/>
          <w:color w:val="000000"/>
        </w:rPr>
      </w:pPr>
      <w:r w:rsidRPr="002B7386">
        <w:rPr>
          <w:rFonts w:eastAsia="Times New Roman" w:cs="Calibri"/>
          <w:color w:val="000000"/>
        </w:rPr>
        <w:t>Verify that subsequent private financing is recorded</w:t>
      </w:r>
      <w:r w:rsidR="006D5C22">
        <w:rPr>
          <w:rFonts w:eastAsia="Times New Roman" w:cs="Calibri"/>
          <w:color w:val="000000"/>
        </w:rPr>
        <w:t xml:space="preserve"> only</w:t>
      </w:r>
      <w:r w:rsidRPr="002B7386">
        <w:rPr>
          <w:rFonts w:eastAsia="Times New Roman" w:cs="Calibri"/>
          <w:color w:val="000000"/>
        </w:rPr>
        <w:t xml:space="preserve"> when the initial loan/investment is a form of subordinate, mezzanine, or equity financin</w:t>
      </w:r>
      <w:r w:rsidR="00BC5400" w:rsidRPr="002B7386">
        <w:rPr>
          <w:rFonts w:eastAsia="Times New Roman" w:cs="Calibri"/>
          <w:color w:val="000000"/>
        </w:rPr>
        <w:t>g.</w:t>
      </w:r>
    </w:p>
    <w:p w:rsidR="009C527C" w:rsidRPr="002B7386" w:rsidRDefault="00753009" w:rsidP="004F7454">
      <w:pPr>
        <w:jc w:val="both"/>
      </w:pPr>
      <w:r w:rsidRPr="002B7386">
        <w:t xml:space="preserve">Participating States should consider adding to </w:t>
      </w:r>
      <w:proofErr w:type="gramStart"/>
      <w:r w:rsidRPr="002B7386">
        <w:t>this</w:t>
      </w:r>
      <w:proofErr w:type="gramEnd"/>
      <w:r w:rsidR="00524357" w:rsidRPr="002B7386">
        <w:t xml:space="preserve"> list any additional activities</w:t>
      </w:r>
      <w:r w:rsidRPr="002B7386">
        <w:t xml:space="preserve"> that may be useful to provide additional mitigating controls associated with this risk.</w:t>
      </w:r>
    </w:p>
    <w:p w:rsidR="00E7572A" w:rsidRPr="00390361" w:rsidRDefault="00390361" w:rsidP="004F7454">
      <w:pPr>
        <w:pStyle w:val="Heading3"/>
        <w:spacing w:before="480"/>
      </w:pPr>
      <w:r>
        <w:t xml:space="preserve">Risk: </w:t>
      </w:r>
      <w:r w:rsidR="00BC5400" w:rsidRPr="00390361">
        <w:t>Improper Usage of, and Accounting for, Allocated Funds</w:t>
      </w:r>
    </w:p>
    <w:p w:rsidR="00E75605" w:rsidRDefault="00814FA9" w:rsidP="00E75605">
      <w:pPr>
        <w:jc w:val="both"/>
      </w:pPr>
      <w:r w:rsidRPr="002B7386">
        <w:t>Section 4.2 of the Allocation Agreement establishes that the Participating State shall only “use” the Allocated Funds for the purposes and activities specified in the Allocation Agreement</w:t>
      </w:r>
      <w:r w:rsidR="00753009" w:rsidRPr="002B7386">
        <w:t xml:space="preserve"> and in accordance with the cost principles set forth in OMB Circular A-87</w:t>
      </w:r>
      <w:r w:rsidR="00C911D4" w:rsidRPr="002B7386">
        <w:t xml:space="preserve"> (</w:t>
      </w:r>
      <w:r w:rsidR="00C911D4" w:rsidRPr="002B7386">
        <w:rPr>
          <w:i/>
        </w:rPr>
        <w:t>Cost Principles for State, Local, and Indian Tribal Governments</w:t>
      </w:r>
      <w:r w:rsidR="00C911D4" w:rsidRPr="002B7386">
        <w:t>) and codified in 2 C.F.R. Part 225</w:t>
      </w:r>
      <w:r w:rsidRPr="002B7386">
        <w:t xml:space="preserve">.  </w:t>
      </w:r>
      <w:r w:rsidR="00EC3961" w:rsidRPr="002B7386">
        <w:t xml:space="preserve">These cost principles stipulate that administrative costs must be allowable, allocable, reasonable, and documented, and that all indirect costs be in accordance with the indirect cost rate proposal approved by the Participating State’s </w:t>
      </w:r>
      <w:proofErr w:type="gramStart"/>
      <w:r w:rsidR="00EC3961" w:rsidRPr="002B7386">
        <w:t>cognizant</w:t>
      </w:r>
      <w:proofErr w:type="gramEnd"/>
      <w:r w:rsidR="00EC3961" w:rsidRPr="002B7386">
        <w:t xml:space="preserve"> agency</w:t>
      </w:r>
      <w:r w:rsidR="00EC3961" w:rsidRPr="002B7386">
        <w:rPr>
          <w:rStyle w:val="FootnoteReference"/>
        </w:rPr>
        <w:footnoteReference w:id="13"/>
      </w:r>
      <w:r w:rsidR="00EC3961" w:rsidRPr="002B7386">
        <w:t xml:space="preserve">.  </w:t>
      </w:r>
    </w:p>
    <w:p w:rsidR="00814FA9" w:rsidRPr="002B7386" w:rsidRDefault="00814FA9" w:rsidP="00E75605">
      <w:pPr>
        <w:jc w:val="both"/>
      </w:pPr>
      <w:r w:rsidRPr="002B7386">
        <w:lastRenderedPageBreak/>
        <w:t xml:space="preserve">It is </w:t>
      </w:r>
      <w:r w:rsidR="00E75605">
        <w:t xml:space="preserve">also </w:t>
      </w:r>
      <w:r w:rsidRPr="002B7386">
        <w:t xml:space="preserve">important to note that the Allocation Agreement includes Annex 1, which specifies the </w:t>
      </w:r>
      <w:r w:rsidR="00E75605">
        <w:t>administering entit</w:t>
      </w:r>
      <w:r w:rsidRPr="002B7386">
        <w:t>ies and the Approved State Programs</w:t>
      </w:r>
      <w:r w:rsidR="00753009" w:rsidRPr="002B7386">
        <w:t xml:space="preserve"> authorized by Treasury</w:t>
      </w:r>
      <w:r w:rsidR="00BA1EF7" w:rsidRPr="002B7386">
        <w:t>, and</w:t>
      </w:r>
      <w:r w:rsidR="00B143E5" w:rsidRPr="002B7386">
        <w:t xml:space="preserve"> </w:t>
      </w:r>
      <w:r w:rsidR="00BA1EF7" w:rsidRPr="002B7386">
        <w:t>Annex 3, which establishes the maximum amount available to the Participating State to pay for direct and indirect administrative costs pertaining to the Approved State Programs.</w:t>
      </w:r>
      <w:r w:rsidR="00B143E5" w:rsidRPr="002B7386">
        <w:t xml:space="preserve">  </w:t>
      </w:r>
      <w:r w:rsidR="00383955" w:rsidRPr="002B7386">
        <w:t>Additionally, Section 8.2 of the Allocation Agreement</w:t>
      </w:r>
      <w:r w:rsidRPr="002B7386">
        <w:t xml:space="preserve"> </w:t>
      </w:r>
      <w:r w:rsidR="00753009" w:rsidRPr="002B7386">
        <w:t xml:space="preserve">also </w:t>
      </w:r>
      <w:r w:rsidRPr="002B7386">
        <w:t>incorporates</w:t>
      </w:r>
      <w:r w:rsidR="00383955" w:rsidRPr="002B7386">
        <w:t xml:space="preserve"> a number of other documents and representations, including</w:t>
      </w:r>
      <w:r w:rsidRPr="002B7386">
        <w:t xml:space="preserve"> the</w:t>
      </w:r>
      <w:r w:rsidR="00383955" w:rsidRPr="002B7386">
        <w:t xml:space="preserve"> </w:t>
      </w:r>
      <w:r w:rsidR="00AC7D83">
        <w:t>Participating State’s</w:t>
      </w:r>
      <w:r w:rsidR="00AC7D83" w:rsidRPr="002B7386">
        <w:t xml:space="preserve"> </w:t>
      </w:r>
      <w:r w:rsidR="00AC7D83">
        <w:t>A</w:t>
      </w:r>
      <w:r w:rsidRPr="002B7386">
        <w:t>pplication</w:t>
      </w:r>
      <w:r w:rsidR="00383955" w:rsidRPr="002B7386">
        <w:t>,</w:t>
      </w:r>
      <w:r w:rsidRPr="002B7386">
        <w:t xml:space="preserve"> by reference.</w:t>
      </w:r>
      <w:r w:rsidRPr="002B7386">
        <w:rPr>
          <w:rStyle w:val="FootnoteReference"/>
          <w:rFonts w:cs="Calibri"/>
        </w:rPr>
        <w:footnoteReference w:id="14"/>
      </w:r>
    </w:p>
    <w:p w:rsidR="00374C13" w:rsidRPr="00E75605" w:rsidRDefault="00D47D92" w:rsidP="00E75605">
      <w:pPr>
        <w:jc w:val="both"/>
      </w:pPr>
      <w:r w:rsidRPr="002B7386">
        <w:t xml:space="preserve">For the purposes of Section 4.2 of the Allocation Agreement, </w:t>
      </w:r>
      <w:r w:rsidR="00814FA9" w:rsidRPr="002B7386">
        <w:t xml:space="preserve">the phrase “use” </w:t>
      </w:r>
      <w:r w:rsidRPr="002B7386">
        <w:t>mean</w:t>
      </w:r>
      <w:r w:rsidR="00632015">
        <w:t>s</w:t>
      </w:r>
      <w:r w:rsidRPr="002B7386">
        <w:t xml:space="preserve"> </w:t>
      </w:r>
      <w:r w:rsidR="00383955" w:rsidRPr="002B7386">
        <w:t xml:space="preserve">any expenditure, obligation or transfer of </w:t>
      </w:r>
      <w:r w:rsidR="00CC290F">
        <w:t>Allocated Funds</w:t>
      </w:r>
      <w:r w:rsidR="00383955" w:rsidRPr="002B7386">
        <w:t xml:space="preserve"> </w:t>
      </w:r>
      <w:proofErr w:type="gramStart"/>
      <w:r w:rsidRPr="002B7386">
        <w:t>for the purpose of</w:t>
      </w:r>
      <w:proofErr w:type="gramEnd"/>
      <w:r w:rsidRPr="002B7386">
        <w:t xml:space="preserve"> carrying out the Approved State Programs, as described in Annex 1 of the Participating State’s Allocation Agreement, as well as the Participating State’s </w:t>
      </w:r>
      <w:r w:rsidR="00632015">
        <w:t>A</w:t>
      </w:r>
      <w:r w:rsidR="00632015" w:rsidRPr="002B7386">
        <w:t>pplication</w:t>
      </w:r>
      <w:r w:rsidRPr="002B7386">
        <w:t>.</w:t>
      </w:r>
      <w:r w:rsidR="00753009" w:rsidRPr="002B7386">
        <w:t xml:space="preserve">  </w:t>
      </w:r>
    </w:p>
    <w:p w:rsidR="002A2318" w:rsidRPr="002B7386" w:rsidRDefault="00383955" w:rsidP="00E75605">
      <w:pPr>
        <w:jc w:val="both"/>
      </w:pPr>
      <w:r w:rsidRPr="002B7386">
        <w:t xml:space="preserve">As such, </w:t>
      </w:r>
      <w:r w:rsidR="00CC290F">
        <w:t>Allocated Funds</w:t>
      </w:r>
      <w:r w:rsidR="00374C13" w:rsidRPr="002B7386">
        <w:t xml:space="preserve"> </w:t>
      </w:r>
      <w:proofErr w:type="gramStart"/>
      <w:r w:rsidR="00374C13" w:rsidRPr="002B7386">
        <w:t>may not</w:t>
      </w:r>
      <w:r w:rsidR="00E75605">
        <w:t xml:space="preserve"> be used</w:t>
      </w:r>
      <w:proofErr w:type="gramEnd"/>
      <w:r w:rsidR="00374C13" w:rsidRPr="002B7386">
        <w:t>, under any circumstances</w:t>
      </w:r>
      <w:r w:rsidR="002A2318" w:rsidRPr="002B7386">
        <w:t>, to provide services or</w:t>
      </w:r>
      <w:r w:rsidR="00374C13" w:rsidRPr="002B7386">
        <w:t xml:space="preserve"> make loans, grants, or investments under any program other than those specifically listed in Annex 1 of the Allocation Agreement</w:t>
      </w:r>
      <w:r w:rsidR="002A2318" w:rsidRPr="002B7386">
        <w:t xml:space="preserve">, or to pay for direct or indirect administrative expenses related to any non-SSBCI program. </w:t>
      </w:r>
      <w:r w:rsidR="00E75605">
        <w:t xml:space="preserve"> </w:t>
      </w:r>
      <w:r w:rsidR="00BA1EF7" w:rsidRPr="002B7386">
        <w:t xml:space="preserve">Treasury cautions Participating States to pay particular attention to the requirement </w:t>
      </w:r>
      <w:r w:rsidR="00B143E5" w:rsidRPr="002B7386">
        <w:t xml:space="preserve">in OMB Circular A-87 </w:t>
      </w:r>
      <w:r w:rsidR="00BA1EF7" w:rsidRPr="002B7386">
        <w:t xml:space="preserve">that costs be allocable.  If, for example, staff assigned to the Approved State Program also work on other non-SSBCI programs, the Participating State must ensure that staff accurately record the number of hours spent on the Approved State Program and only use </w:t>
      </w:r>
      <w:r w:rsidR="00CC290F">
        <w:t>Allocated Funds</w:t>
      </w:r>
      <w:r w:rsidR="00BA1EF7" w:rsidRPr="002B7386">
        <w:t xml:space="preserve"> to pay salaries and benefits in proportion to the number of hours worked.  For example, if an employee spends 45 percent of her time on an SSBCI Approved State Program, the Participating may only charge 45 percent of her salary and benefits to </w:t>
      </w:r>
      <w:r w:rsidR="00CC290F">
        <w:t>Allocated Funds</w:t>
      </w:r>
      <w:r w:rsidR="00BA1EF7" w:rsidRPr="002B7386">
        <w:t>.</w:t>
      </w:r>
      <w:r w:rsidR="002A2318" w:rsidRPr="002B7386">
        <w:t xml:space="preserve"> </w:t>
      </w:r>
    </w:p>
    <w:p w:rsidR="00304496" w:rsidRPr="002B7386" w:rsidRDefault="002A2318" w:rsidP="00E75605">
      <w:pPr>
        <w:jc w:val="both"/>
      </w:pPr>
      <w:r w:rsidRPr="002B7386">
        <w:t xml:space="preserve">Furthermore, Section 4.6 of the Allocation Agreement requires Participating States to comply with the standards of financial management systems </w:t>
      </w:r>
      <w:r w:rsidR="00CC290F">
        <w:t>outlined</w:t>
      </w:r>
      <w:r w:rsidR="00CC290F" w:rsidRPr="002B7386">
        <w:t xml:space="preserve"> </w:t>
      </w:r>
      <w:r w:rsidRPr="002B7386">
        <w:t>in the gr</w:t>
      </w:r>
      <w:r w:rsidR="007B0929" w:rsidRPr="002B7386">
        <w:t>ants management rule</w:t>
      </w:r>
      <w:r w:rsidR="00383955" w:rsidRPr="002B7386">
        <w:t xml:space="preserve"> at §__.20</w:t>
      </w:r>
      <w:r w:rsidR="007B0929" w:rsidRPr="002B7386">
        <w:t>, with the exception of</w:t>
      </w:r>
      <w:r w:rsidRPr="002B7386">
        <w:t xml:space="preserve"> the </w:t>
      </w:r>
      <w:r w:rsidR="00201907" w:rsidRPr="002B7386">
        <w:t>cash</w:t>
      </w:r>
      <w:r w:rsidRPr="002B7386">
        <w:t xml:space="preserve"> management requirements.</w:t>
      </w:r>
      <w:r w:rsidR="007C6591" w:rsidRPr="002B7386">
        <w:t xml:space="preserve">  (See Appendix</w:t>
      </w:r>
      <w:r w:rsidR="00E65BDC" w:rsidRPr="002B7386">
        <w:t xml:space="preserve"> </w:t>
      </w:r>
      <w:r w:rsidR="00390361" w:rsidRPr="002B7386">
        <w:t>D for</w:t>
      </w:r>
      <w:r w:rsidR="007C6591" w:rsidRPr="002B7386">
        <w:t xml:space="preserve"> the </w:t>
      </w:r>
      <w:r w:rsidR="00383955" w:rsidRPr="002B7386">
        <w:t xml:space="preserve">excerpted Section 20 of the </w:t>
      </w:r>
      <w:r w:rsidR="007C6591" w:rsidRPr="002B7386">
        <w:t>grants management common rule.)</w:t>
      </w:r>
      <w:r w:rsidR="00390361">
        <w:t xml:space="preserve">  </w:t>
      </w:r>
      <w:r w:rsidR="00F765E9" w:rsidRPr="002B7386">
        <w:t xml:space="preserve">Treasury </w:t>
      </w:r>
      <w:r w:rsidR="00E75605" w:rsidRPr="002B7386">
        <w:t>draw</w:t>
      </w:r>
      <w:r w:rsidR="00E75605">
        <w:t xml:space="preserve">s </w:t>
      </w:r>
      <w:r w:rsidR="00E75605" w:rsidRPr="002B7386">
        <w:t>Participating</w:t>
      </w:r>
      <w:r w:rsidR="00F765E9" w:rsidRPr="002B7386">
        <w:t xml:space="preserve"> States’ attention to the accounting requirements set forth in </w:t>
      </w:r>
      <w:r w:rsidR="00C911D4" w:rsidRPr="002B7386">
        <w:t>§__</w:t>
      </w:r>
      <w:r w:rsidR="00F765E9" w:rsidRPr="002B7386">
        <w:t>.</w:t>
      </w:r>
      <w:proofErr w:type="gramStart"/>
      <w:r w:rsidR="00F765E9" w:rsidRPr="002B7386">
        <w:t>20(</w:t>
      </w:r>
      <w:proofErr w:type="gramEnd"/>
      <w:r w:rsidR="00F765E9" w:rsidRPr="002B7386">
        <w:t xml:space="preserve">b)(2) of the grants management common rule.  </w:t>
      </w:r>
      <w:r w:rsidR="00CC290F">
        <w:t>According to this term</w:t>
      </w:r>
      <w:r w:rsidR="00390361">
        <w:t xml:space="preserve">, </w:t>
      </w:r>
      <w:r w:rsidR="00390361" w:rsidRPr="002B7386">
        <w:t>Participating</w:t>
      </w:r>
      <w:r w:rsidR="00F765E9" w:rsidRPr="002B7386">
        <w:t xml:space="preserve"> States must keep detailed records of its receipt of </w:t>
      </w:r>
      <w:r w:rsidR="00CC290F">
        <w:t>Allocated</w:t>
      </w:r>
      <w:r w:rsidR="00CC290F" w:rsidRPr="002B7386">
        <w:t xml:space="preserve"> </w:t>
      </w:r>
      <w:r w:rsidR="00CC290F">
        <w:t>F</w:t>
      </w:r>
      <w:r w:rsidR="00F765E9" w:rsidRPr="002B7386">
        <w:t xml:space="preserve">unds, and be able to trace the use of these funds to specific expenditures, obligations, </w:t>
      </w:r>
      <w:r w:rsidR="00C911D4" w:rsidRPr="002B7386">
        <w:t xml:space="preserve">or </w:t>
      </w:r>
      <w:r w:rsidR="00F765E9" w:rsidRPr="002B7386">
        <w:t xml:space="preserve">transfers </w:t>
      </w:r>
      <w:r w:rsidR="00EC3961" w:rsidRPr="002B7386">
        <w:t xml:space="preserve">for the purposes of carrying out </w:t>
      </w:r>
      <w:r w:rsidR="00C911D4" w:rsidRPr="002B7386">
        <w:t>an</w:t>
      </w:r>
      <w:r w:rsidR="00F765E9" w:rsidRPr="002B7386">
        <w:t xml:space="preserve"> Approved State Program.  </w:t>
      </w:r>
    </w:p>
    <w:p w:rsidR="00304496" w:rsidRPr="002B7386" w:rsidRDefault="00CC290F" w:rsidP="00E75605">
      <w:pPr>
        <w:jc w:val="both"/>
      </w:pPr>
      <w:r>
        <w:t>Allocated Funds</w:t>
      </w:r>
      <w:r w:rsidR="00F765E9" w:rsidRPr="002B7386">
        <w:t xml:space="preserve"> that </w:t>
      </w:r>
      <w:proofErr w:type="gramStart"/>
      <w:r w:rsidR="00F765E9" w:rsidRPr="002B7386">
        <w:t>have been disbursed to the Participating State, but not yet expended, obligated, or transferred for allowable program purposes,</w:t>
      </w:r>
      <w:proofErr w:type="gramEnd"/>
      <w:r w:rsidR="00F765E9" w:rsidRPr="002B7386">
        <w:t xml:space="preserve"> </w:t>
      </w:r>
      <w:r w:rsidR="00390361" w:rsidRPr="002B7386">
        <w:t>should be</w:t>
      </w:r>
      <w:r w:rsidR="00F765E9" w:rsidRPr="002B7386">
        <w:t xml:space="preserve"> maintained as cash</w:t>
      </w:r>
      <w:r w:rsidR="00EC3961" w:rsidRPr="002B7386">
        <w:t xml:space="preserve"> </w:t>
      </w:r>
      <w:r w:rsidR="00390361">
        <w:t>or a</w:t>
      </w:r>
      <w:r w:rsidR="00390361" w:rsidRPr="002B7386">
        <w:t xml:space="preserve"> </w:t>
      </w:r>
      <w:r w:rsidR="00EC3961" w:rsidRPr="002B7386">
        <w:t>cash equivalent</w:t>
      </w:r>
      <w:r w:rsidR="00EC3961" w:rsidRPr="002B7386">
        <w:rPr>
          <w:rStyle w:val="FootnoteReference"/>
        </w:rPr>
        <w:footnoteReference w:id="15"/>
      </w:r>
      <w:r w:rsidR="00F765E9" w:rsidRPr="002B7386">
        <w:t xml:space="preserve">.  </w:t>
      </w:r>
      <w:r w:rsidR="002B78C0">
        <w:t>T</w:t>
      </w:r>
      <w:r w:rsidR="00F765E9" w:rsidRPr="002B7386">
        <w:t xml:space="preserve">he movement of </w:t>
      </w:r>
      <w:r>
        <w:t>Allocated Funds</w:t>
      </w:r>
      <w:r w:rsidR="00F765E9" w:rsidRPr="002B7386">
        <w:t xml:space="preserve"> in and out of the implementing entity’s bank account </w:t>
      </w:r>
      <w:proofErr w:type="gramStart"/>
      <w:r w:rsidR="00F765E9" w:rsidRPr="002B7386">
        <w:t>must be</w:t>
      </w:r>
      <w:r w:rsidR="006B43E2" w:rsidRPr="002B7386">
        <w:t xml:space="preserve"> tracked</w:t>
      </w:r>
      <w:proofErr w:type="gramEnd"/>
      <w:r w:rsidR="006B43E2" w:rsidRPr="002B7386">
        <w:t xml:space="preserve"> separately from the remainder of the funds in this account.  Participating States may not expend </w:t>
      </w:r>
      <w:r>
        <w:t>Allocated Funds</w:t>
      </w:r>
      <w:r w:rsidR="006B43E2" w:rsidRPr="002B7386">
        <w:t xml:space="preserve"> for any non-allowable purpose and then “reimburse” the </w:t>
      </w:r>
      <w:r>
        <w:t>Allocated Funds</w:t>
      </w:r>
      <w:r w:rsidR="006B43E2" w:rsidRPr="002B7386">
        <w:t xml:space="preserve"> </w:t>
      </w:r>
      <w:proofErr w:type="gramStart"/>
      <w:r w:rsidR="006B43E2" w:rsidRPr="002B7386">
        <w:t>at a later date</w:t>
      </w:r>
      <w:proofErr w:type="gramEnd"/>
      <w:r w:rsidR="006B43E2" w:rsidRPr="002B7386">
        <w:t>.</w:t>
      </w:r>
    </w:p>
    <w:p w:rsidR="00E14F8F" w:rsidRDefault="00C911D4" w:rsidP="00E75605">
      <w:pPr>
        <w:jc w:val="both"/>
        <w:rPr>
          <w:rFonts w:asciiTheme="minorHAnsi" w:hAnsiTheme="minorHAnsi" w:cstheme="minorHAnsi"/>
        </w:rPr>
      </w:pPr>
      <w:r w:rsidRPr="002B7386">
        <w:rPr>
          <w:rFonts w:asciiTheme="minorHAnsi" w:hAnsiTheme="minorHAnsi" w:cstheme="minorHAnsi"/>
        </w:rPr>
        <w:t>Participating State</w:t>
      </w:r>
      <w:r w:rsidR="00E75605">
        <w:rPr>
          <w:rFonts w:asciiTheme="minorHAnsi" w:hAnsiTheme="minorHAnsi" w:cstheme="minorHAnsi"/>
        </w:rPr>
        <w:t>s</w:t>
      </w:r>
      <w:r w:rsidRPr="002B7386">
        <w:rPr>
          <w:rFonts w:asciiTheme="minorHAnsi" w:hAnsiTheme="minorHAnsi" w:cstheme="minorHAnsi"/>
        </w:rPr>
        <w:t xml:space="preserve"> should also consider it a best practice to develop the following controls:</w:t>
      </w:r>
      <w:r w:rsidRPr="002B7386" w:rsidDel="00C911D4">
        <w:rPr>
          <w:rFonts w:asciiTheme="minorHAnsi" w:hAnsiTheme="minorHAnsi" w:cstheme="minorHAnsi"/>
        </w:rPr>
        <w:t xml:space="preserve"> </w:t>
      </w:r>
    </w:p>
    <w:p w:rsidR="00173DC6" w:rsidRDefault="00201907" w:rsidP="00E75605">
      <w:pPr>
        <w:pStyle w:val="NormalWeb"/>
        <w:numPr>
          <w:ilvl w:val="0"/>
          <w:numId w:val="1"/>
        </w:numPr>
        <w:spacing w:before="0" w:beforeAutospacing="0" w:after="120" w:afterAutospacing="0"/>
        <w:ind w:left="720"/>
        <w:jc w:val="both"/>
        <w:rPr>
          <w:rFonts w:asciiTheme="minorHAnsi" w:hAnsiTheme="minorHAnsi" w:cstheme="minorHAnsi"/>
          <w:sz w:val="22"/>
          <w:szCs w:val="22"/>
        </w:rPr>
      </w:pPr>
      <w:r w:rsidRPr="002B7386">
        <w:rPr>
          <w:rFonts w:asciiTheme="minorHAnsi" w:hAnsiTheme="minorHAnsi" w:cstheme="minorHAnsi"/>
          <w:sz w:val="22"/>
          <w:szCs w:val="22"/>
        </w:rPr>
        <w:t xml:space="preserve">Segregate </w:t>
      </w:r>
      <w:r w:rsidR="00CC290F">
        <w:rPr>
          <w:rFonts w:asciiTheme="minorHAnsi" w:hAnsiTheme="minorHAnsi" w:cstheme="minorHAnsi"/>
          <w:sz w:val="22"/>
          <w:szCs w:val="22"/>
        </w:rPr>
        <w:t>Allocated Funds</w:t>
      </w:r>
      <w:r w:rsidRPr="002B7386">
        <w:rPr>
          <w:rFonts w:asciiTheme="minorHAnsi" w:hAnsiTheme="minorHAnsi" w:cstheme="minorHAnsi"/>
          <w:sz w:val="22"/>
          <w:szCs w:val="22"/>
        </w:rPr>
        <w:t xml:space="preserve"> in a separate bank account</w:t>
      </w:r>
      <w:r w:rsidR="00E14F8F">
        <w:rPr>
          <w:rFonts w:asciiTheme="minorHAnsi" w:hAnsiTheme="minorHAnsi" w:cstheme="minorHAnsi"/>
          <w:sz w:val="22"/>
          <w:szCs w:val="22"/>
        </w:rPr>
        <w:t>;</w:t>
      </w:r>
    </w:p>
    <w:p w:rsidR="00E7572A" w:rsidRDefault="00201907" w:rsidP="00E75605">
      <w:pPr>
        <w:pStyle w:val="NormalWeb"/>
        <w:numPr>
          <w:ilvl w:val="0"/>
          <w:numId w:val="10"/>
        </w:numPr>
        <w:spacing w:before="0" w:beforeAutospacing="0" w:after="120" w:afterAutospacing="0"/>
        <w:jc w:val="both"/>
        <w:rPr>
          <w:rFonts w:asciiTheme="minorHAnsi" w:hAnsiTheme="minorHAnsi" w:cstheme="minorHAnsi"/>
          <w:sz w:val="22"/>
          <w:szCs w:val="22"/>
        </w:rPr>
      </w:pPr>
      <w:r w:rsidRPr="002B7386">
        <w:rPr>
          <w:rFonts w:asciiTheme="minorHAnsi" w:hAnsiTheme="minorHAnsi" w:cstheme="minorHAnsi"/>
          <w:sz w:val="22"/>
          <w:szCs w:val="22"/>
        </w:rPr>
        <w:lastRenderedPageBreak/>
        <w:t xml:space="preserve">Require </w:t>
      </w:r>
      <w:r w:rsidR="006D5C22">
        <w:rPr>
          <w:rFonts w:asciiTheme="minorHAnsi" w:hAnsiTheme="minorHAnsi" w:cstheme="minorHAnsi"/>
          <w:sz w:val="22"/>
          <w:szCs w:val="22"/>
        </w:rPr>
        <w:t xml:space="preserve">dual control for the approval of </w:t>
      </w:r>
      <w:r w:rsidRPr="002B7386">
        <w:rPr>
          <w:rFonts w:asciiTheme="minorHAnsi" w:hAnsiTheme="minorHAnsi" w:cstheme="minorHAnsi"/>
          <w:sz w:val="22"/>
          <w:szCs w:val="22"/>
        </w:rPr>
        <w:t xml:space="preserve">all expenditures, obligations, or transfers of </w:t>
      </w:r>
      <w:r w:rsidR="00CC290F">
        <w:rPr>
          <w:rFonts w:asciiTheme="minorHAnsi" w:hAnsiTheme="minorHAnsi" w:cstheme="minorHAnsi"/>
          <w:sz w:val="22"/>
          <w:szCs w:val="22"/>
        </w:rPr>
        <w:t>Allocated Funds</w:t>
      </w:r>
      <w:r w:rsidRPr="002B7386">
        <w:rPr>
          <w:rFonts w:asciiTheme="minorHAnsi" w:hAnsiTheme="minorHAnsi" w:cstheme="minorHAnsi"/>
          <w:sz w:val="22"/>
          <w:szCs w:val="22"/>
        </w:rPr>
        <w:t xml:space="preserve">.  </w:t>
      </w:r>
      <w:r w:rsidR="006D5C22">
        <w:rPr>
          <w:rFonts w:asciiTheme="minorHAnsi" w:hAnsiTheme="minorHAnsi" w:cstheme="minorHAnsi"/>
          <w:sz w:val="22"/>
          <w:szCs w:val="22"/>
        </w:rPr>
        <w:t xml:space="preserve">For example, one individual may prepare and track these expenditures, obligations or transfers, and a second individual may approve them.  </w:t>
      </w:r>
      <w:r w:rsidRPr="002B7386">
        <w:rPr>
          <w:rFonts w:asciiTheme="minorHAnsi" w:hAnsiTheme="minorHAnsi" w:cstheme="minorHAnsi"/>
          <w:sz w:val="22"/>
          <w:szCs w:val="22"/>
        </w:rPr>
        <w:t>These employees should not be in each other’s supervisory chain of command</w:t>
      </w:r>
      <w:r w:rsidR="00B143E5" w:rsidRPr="002B7386">
        <w:rPr>
          <w:rFonts w:asciiTheme="minorHAnsi" w:hAnsiTheme="minorHAnsi" w:cstheme="minorHAnsi"/>
          <w:sz w:val="22"/>
          <w:szCs w:val="22"/>
        </w:rPr>
        <w:t>;</w:t>
      </w:r>
    </w:p>
    <w:p w:rsidR="00E7572A" w:rsidRDefault="00201907" w:rsidP="00E75605">
      <w:pPr>
        <w:pStyle w:val="NormalWeb"/>
        <w:numPr>
          <w:ilvl w:val="0"/>
          <w:numId w:val="10"/>
        </w:numPr>
        <w:spacing w:before="0" w:beforeAutospacing="0" w:after="120" w:afterAutospacing="0"/>
        <w:jc w:val="both"/>
        <w:rPr>
          <w:rFonts w:cs="Calibri"/>
          <w:b/>
        </w:rPr>
      </w:pPr>
      <w:r w:rsidRPr="002B7386">
        <w:rPr>
          <w:rFonts w:asciiTheme="minorHAnsi" w:hAnsiTheme="minorHAnsi" w:cstheme="minorHAnsi"/>
          <w:sz w:val="22"/>
          <w:szCs w:val="22"/>
        </w:rPr>
        <w:t xml:space="preserve">Conduct a monthly reconciliation of all invoices, receipts, loan and investment agreements, and other documentation of SSBCI expenditures, obligations, and transfers; general ledger entries; and bank account statements.  Verify that all deposits and withdrawals of </w:t>
      </w:r>
      <w:r w:rsidR="00CC290F">
        <w:rPr>
          <w:rFonts w:asciiTheme="minorHAnsi" w:hAnsiTheme="minorHAnsi" w:cstheme="minorHAnsi"/>
          <w:sz w:val="22"/>
          <w:szCs w:val="22"/>
        </w:rPr>
        <w:t>Allocated Funds</w:t>
      </w:r>
      <w:r w:rsidRPr="002B7386">
        <w:rPr>
          <w:rFonts w:asciiTheme="minorHAnsi" w:hAnsiTheme="minorHAnsi" w:cstheme="minorHAnsi"/>
          <w:sz w:val="22"/>
          <w:szCs w:val="22"/>
        </w:rPr>
        <w:t xml:space="preserve"> match general ledger entries, and that these general ledger entries </w:t>
      </w:r>
      <w:proofErr w:type="gramStart"/>
      <w:r w:rsidRPr="002B7386">
        <w:rPr>
          <w:rFonts w:asciiTheme="minorHAnsi" w:hAnsiTheme="minorHAnsi" w:cstheme="minorHAnsi"/>
          <w:sz w:val="22"/>
          <w:szCs w:val="22"/>
        </w:rPr>
        <w:t>are supported</w:t>
      </w:r>
      <w:proofErr w:type="gramEnd"/>
      <w:r w:rsidRPr="002B7386">
        <w:rPr>
          <w:rFonts w:asciiTheme="minorHAnsi" w:hAnsiTheme="minorHAnsi" w:cstheme="minorHAnsi"/>
          <w:sz w:val="22"/>
          <w:szCs w:val="22"/>
        </w:rPr>
        <w:t xml:space="preserve"> by the </w:t>
      </w:r>
      <w:r w:rsidR="00753009" w:rsidRPr="002B7386">
        <w:rPr>
          <w:rFonts w:asciiTheme="minorHAnsi" w:hAnsiTheme="minorHAnsi" w:cstheme="minorHAnsi"/>
          <w:sz w:val="22"/>
          <w:szCs w:val="22"/>
        </w:rPr>
        <w:t xml:space="preserve">substantiating </w:t>
      </w:r>
      <w:r w:rsidRPr="002B7386">
        <w:rPr>
          <w:rFonts w:asciiTheme="minorHAnsi" w:hAnsiTheme="minorHAnsi" w:cstheme="minorHAnsi"/>
          <w:sz w:val="22"/>
          <w:szCs w:val="22"/>
        </w:rPr>
        <w:t xml:space="preserve">documentation.  To ensure segregation of duties, this reconciliation should be performed by an employee that is neither the individual </w:t>
      </w:r>
      <w:r w:rsidR="006845EB" w:rsidRPr="002B7386">
        <w:rPr>
          <w:rFonts w:asciiTheme="minorHAnsi" w:hAnsiTheme="minorHAnsi" w:cstheme="minorHAnsi"/>
          <w:sz w:val="22"/>
          <w:szCs w:val="22"/>
        </w:rPr>
        <w:t>responsible for cash transactions, nor in the supervisory chain of the individual responsible for cash transactions</w:t>
      </w:r>
      <w:r w:rsidR="00B143E5" w:rsidRPr="002B7386">
        <w:rPr>
          <w:rFonts w:asciiTheme="minorHAnsi" w:hAnsiTheme="minorHAnsi" w:cstheme="minorHAnsi"/>
          <w:sz w:val="22"/>
          <w:szCs w:val="22"/>
        </w:rPr>
        <w:t>;</w:t>
      </w:r>
    </w:p>
    <w:p w:rsidR="00E7572A" w:rsidRDefault="00EC3961" w:rsidP="00E75605">
      <w:pPr>
        <w:pStyle w:val="ListParagraph"/>
        <w:numPr>
          <w:ilvl w:val="0"/>
          <w:numId w:val="10"/>
        </w:numPr>
        <w:spacing w:after="120"/>
        <w:contextualSpacing w:val="0"/>
        <w:jc w:val="both"/>
        <w:rPr>
          <w:rFonts w:eastAsia="Times New Roman"/>
          <w:color w:val="000000"/>
        </w:rPr>
      </w:pPr>
      <w:r w:rsidRPr="002B7386">
        <w:rPr>
          <w:rFonts w:eastAsia="Times New Roman"/>
          <w:color w:val="000000"/>
        </w:rPr>
        <w:t xml:space="preserve">Require an employee other than the employee recording and tracking administrative expenses to verify that each direct expense is accompanied by an invoice or receipt, that the amount shown on the invoice or receipt matches the expense recorded, and that the  service or item purchased is directly related to an Approved State Program; </w:t>
      </w:r>
    </w:p>
    <w:p w:rsidR="00E7572A" w:rsidRDefault="00EC3961" w:rsidP="00E75605">
      <w:pPr>
        <w:pStyle w:val="ListParagraph"/>
        <w:numPr>
          <w:ilvl w:val="0"/>
          <w:numId w:val="10"/>
        </w:numPr>
        <w:spacing w:after="120"/>
        <w:contextualSpacing w:val="0"/>
        <w:jc w:val="both"/>
        <w:rPr>
          <w:rFonts w:eastAsia="Times New Roman"/>
          <w:color w:val="000000"/>
        </w:rPr>
      </w:pPr>
      <w:r w:rsidRPr="002B7386">
        <w:rPr>
          <w:rFonts w:eastAsia="Times New Roman"/>
          <w:color w:val="000000"/>
        </w:rPr>
        <w:t xml:space="preserve">Require all employees to maintain time </w:t>
      </w:r>
      <w:r w:rsidR="00A3432C">
        <w:rPr>
          <w:rFonts w:eastAsia="Times New Roman"/>
          <w:color w:val="000000"/>
        </w:rPr>
        <w:t>records</w:t>
      </w:r>
      <w:r w:rsidRPr="002B7386">
        <w:rPr>
          <w:rFonts w:eastAsia="Times New Roman"/>
          <w:color w:val="000000"/>
        </w:rPr>
        <w:t xml:space="preserve"> showing the number of hours spent on SSBCI Approved State Programs each pay period; and</w:t>
      </w:r>
    </w:p>
    <w:p w:rsidR="004F0912" w:rsidRPr="002B7386" w:rsidRDefault="00EC3961" w:rsidP="00E75605">
      <w:pPr>
        <w:pStyle w:val="ListParagraph"/>
        <w:numPr>
          <w:ilvl w:val="0"/>
          <w:numId w:val="10"/>
        </w:numPr>
        <w:spacing w:after="240"/>
        <w:contextualSpacing w:val="0"/>
        <w:jc w:val="both"/>
      </w:pPr>
      <w:r w:rsidRPr="002B7386">
        <w:rPr>
          <w:rFonts w:eastAsia="Times New Roman"/>
          <w:color w:val="000000"/>
        </w:rPr>
        <w:t xml:space="preserve">Require that purchase requests and contracts be approved only after staff verified that the purchase or contract </w:t>
      </w:r>
      <w:proofErr w:type="gramStart"/>
      <w:r w:rsidRPr="002B7386">
        <w:rPr>
          <w:rFonts w:eastAsia="Times New Roman"/>
          <w:color w:val="000000"/>
        </w:rPr>
        <w:t>will</w:t>
      </w:r>
      <w:proofErr w:type="gramEnd"/>
      <w:r w:rsidRPr="002B7386">
        <w:rPr>
          <w:rFonts w:eastAsia="Times New Roman"/>
          <w:color w:val="000000"/>
        </w:rPr>
        <w:t xml:space="preserve"> not cause total administrative expenses to exceed the maximum amounts set forth in Annex 3 of the Allocation Agreement, unless administrative expenses will be paid for using non-</w:t>
      </w:r>
      <w:r w:rsidR="00CC290F">
        <w:rPr>
          <w:rFonts w:eastAsia="Times New Roman"/>
          <w:color w:val="000000"/>
        </w:rPr>
        <w:t>Allocated Funds</w:t>
      </w:r>
      <w:r w:rsidRPr="002B7386">
        <w:rPr>
          <w:rFonts w:eastAsia="Times New Roman"/>
          <w:color w:val="000000"/>
        </w:rPr>
        <w:t>.</w:t>
      </w:r>
    </w:p>
    <w:p w:rsidR="00192A38" w:rsidRPr="00390361" w:rsidRDefault="00390361" w:rsidP="00E75605">
      <w:pPr>
        <w:pStyle w:val="Heading3"/>
        <w:spacing w:before="480"/>
      </w:pPr>
      <w:r>
        <w:t xml:space="preserve">Risk: </w:t>
      </w:r>
      <w:r w:rsidR="00192A38" w:rsidRPr="002B7386">
        <w:t>Prevention of Fraud, Waste, and Abuse</w:t>
      </w:r>
    </w:p>
    <w:p w:rsidR="00192A38" w:rsidRPr="002B7386" w:rsidRDefault="00192A38" w:rsidP="00F341B3">
      <w:pPr>
        <w:jc w:val="both"/>
        <w:rPr>
          <w:rFonts w:cs="Calibri"/>
        </w:rPr>
      </w:pPr>
      <w:r w:rsidRPr="002B7386">
        <w:rPr>
          <w:rFonts w:cs="Calibri"/>
        </w:rPr>
        <w:t xml:space="preserve">Preventing fraud, waste, and abuse is an important part of preventing the misuse of </w:t>
      </w:r>
      <w:r w:rsidR="008558FF">
        <w:rPr>
          <w:rFonts w:cs="Calibri"/>
        </w:rPr>
        <w:t>A</w:t>
      </w:r>
      <w:r w:rsidR="008558FF" w:rsidRPr="002B7386">
        <w:rPr>
          <w:rFonts w:cs="Calibri"/>
        </w:rPr>
        <w:t xml:space="preserve">llocated </w:t>
      </w:r>
      <w:r w:rsidR="008558FF">
        <w:rPr>
          <w:rFonts w:cs="Calibri"/>
        </w:rPr>
        <w:t>F</w:t>
      </w:r>
      <w:r w:rsidR="008558FF" w:rsidRPr="002B7386">
        <w:rPr>
          <w:rFonts w:cs="Calibri"/>
        </w:rPr>
        <w:t>unds</w:t>
      </w:r>
      <w:r w:rsidRPr="002B7386">
        <w:rPr>
          <w:rFonts w:cs="Calibri"/>
        </w:rPr>
        <w:t xml:space="preserve">.  </w:t>
      </w:r>
      <w:r w:rsidR="00C911D4" w:rsidRPr="002B7386">
        <w:rPr>
          <w:rFonts w:asciiTheme="minorHAnsi" w:hAnsiTheme="minorHAnsi" w:cstheme="minorHAnsi"/>
        </w:rPr>
        <w:t>Participating State should consider it a best practice to develop the following controls:</w:t>
      </w:r>
    </w:p>
    <w:p w:rsidR="00E7572A" w:rsidRDefault="00192A38" w:rsidP="00F341B3">
      <w:pPr>
        <w:pStyle w:val="ListParagraph"/>
        <w:numPr>
          <w:ilvl w:val="0"/>
          <w:numId w:val="1"/>
        </w:numPr>
        <w:spacing w:after="120"/>
        <w:ind w:left="1080"/>
        <w:contextualSpacing w:val="0"/>
        <w:jc w:val="both"/>
        <w:rPr>
          <w:rFonts w:eastAsia="Times New Roman" w:cs="Calibri"/>
          <w:color w:val="000000"/>
        </w:rPr>
      </w:pPr>
      <w:r w:rsidRPr="002B7386">
        <w:rPr>
          <w:rFonts w:eastAsia="Times New Roman" w:cs="Calibri"/>
          <w:color w:val="000000"/>
        </w:rPr>
        <w:t>Require all loans or investments to be approved by a board</w:t>
      </w:r>
      <w:r w:rsidR="006D5C22">
        <w:rPr>
          <w:rFonts w:eastAsia="Times New Roman" w:cs="Calibri"/>
          <w:color w:val="000000"/>
        </w:rPr>
        <w:t xml:space="preserve"> or committee</w:t>
      </w:r>
      <w:r w:rsidRPr="002B7386">
        <w:rPr>
          <w:rFonts w:eastAsia="Times New Roman" w:cs="Calibri"/>
          <w:color w:val="000000"/>
        </w:rPr>
        <w:t xml:space="preserve">, with meeting minutes documenting the basis for the underwriting/enrollment decision; </w:t>
      </w:r>
    </w:p>
    <w:p w:rsidR="00E7572A" w:rsidRDefault="00192A38" w:rsidP="00F341B3">
      <w:pPr>
        <w:pStyle w:val="ListParagraph"/>
        <w:numPr>
          <w:ilvl w:val="0"/>
          <w:numId w:val="1"/>
        </w:numPr>
        <w:spacing w:after="120"/>
        <w:ind w:left="1080"/>
        <w:contextualSpacing w:val="0"/>
        <w:jc w:val="both"/>
        <w:rPr>
          <w:rFonts w:eastAsia="Times New Roman" w:cs="Calibri"/>
          <w:color w:val="000000"/>
        </w:rPr>
      </w:pPr>
      <w:r w:rsidRPr="002B7386">
        <w:rPr>
          <w:rFonts w:eastAsia="Times New Roman" w:cs="Calibri"/>
          <w:color w:val="000000"/>
        </w:rPr>
        <w:t xml:space="preserve">Require all contracts to be awarded pursuant to a formal Request for Proposals, with clearly established evaluation criteria and a transparent bidding and award process; </w:t>
      </w:r>
    </w:p>
    <w:p w:rsidR="00E7572A" w:rsidRDefault="00192A38" w:rsidP="00F341B3">
      <w:pPr>
        <w:pStyle w:val="ListParagraph"/>
        <w:numPr>
          <w:ilvl w:val="0"/>
          <w:numId w:val="1"/>
        </w:numPr>
        <w:spacing w:after="120"/>
        <w:ind w:left="1080"/>
        <w:contextualSpacing w:val="0"/>
        <w:jc w:val="both"/>
        <w:rPr>
          <w:rFonts w:eastAsia="Times New Roman" w:cs="Calibri"/>
          <w:color w:val="000000"/>
        </w:rPr>
      </w:pPr>
      <w:r w:rsidRPr="002B7386">
        <w:rPr>
          <w:rFonts w:eastAsia="Times New Roman" w:cs="Calibri"/>
          <w:color w:val="000000"/>
        </w:rPr>
        <w:t xml:space="preserve">Maintain strict controls over access to bank accounts; </w:t>
      </w:r>
    </w:p>
    <w:p w:rsidR="00E7572A" w:rsidRDefault="00192A38" w:rsidP="00F341B3">
      <w:pPr>
        <w:pStyle w:val="ListParagraph"/>
        <w:numPr>
          <w:ilvl w:val="0"/>
          <w:numId w:val="1"/>
        </w:numPr>
        <w:spacing w:after="120"/>
        <w:ind w:left="1080"/>
        <w:contextualSpacing w:val="0"/>
        <w:jc w:val="both"/>
        <w:rPr>
          <w:rFonts w:eastAsia="Times New Roman" w:cs="Calibri"/>
          <w:color w:val="000000"/>
        </w:rPr>
      </w:pPr>
      <w:r w:rsidRPr="002B7386">
        <w:rPr>
          <w:rFonts w:eastAsia="Times New Roman" w:cs="Calibri"/>
          <w:color w:val="000000"/>
        </w:rPr>
        <w:t>Maintain strict controls over access to documents, records, and assets;</w:t>
      </w:r>
    </w:p>
    <w:p w:rsidR="00E7572A" w:rsidRDefault="00192A38" w:rsidP="00F341B3">
      <w:pPr>
        <w:pStyle w:val="ListParagraph"/>
        <w:numPr>
          <w:ilvl w:val="0"/>
          <w:numId w:val="1"/>
        </w:numPr>
        <w:spacing w:after="120"/>
        <w:ind w:left="1080"/>
        <w:contextualSpacing w:val="0"/>
        <w:jc w:val="both"/>
        <w:rPr>
          <w:rFonts w:eastAsia="Times New Roman" w:cs="Calibri"/>
          <w:color w:val="000000"/>
        </w:rPr>
      </w:pPr>
      <w:r w:rsidRPr="002B7386">
        <w:rPr>
          <w:rFonts w:eastAsia="Times New Roman" w:cs="Calibri"/>
          <w:color w:val="000000"/>
        </w:rPr>
        <w:t xml:space="preserve">Maintain strict information technology security protocols to prevent unauthorized access to IT systems and unauthorized manipulation of data; </w:t>
      </w:r>
    </w:p>
    <w:p w:rsidR="00E7572A" w:rsidRDefault="00192A38" w:rsidP="00F341B3">
      <w:pPr>
        <w:pStyle w:val="ListParagraph"/>
        <w:numPr>
          <w:ilvl w:val="0"/>
          <w:numId w:val="1"/>
        </w:numPr>
        <w:spacing w:after="120"/>
        <w:ind w:left="1080"/>
        <w:contextualSpacing w:val="0"/>
        <w:jc w:val="both"/>
        <w:rPr>
          <w:rFonts w:eastAsia="Times New Roman" w:cs="Calibri"/>
          <w:color w:val="000000"/>
        </w:rPr>
      </w:pPr>
      <w:r w:rsidRPr="002B7386">
        <w:rPr>
          <w:rFonts w:eastAsia="Times New Roman" w:cs="Calibri"/>
          <w:color w:val="000000"/>
        </w:rPr>
        <w:t xml:space="preserve">Require all staff to complete anti-fraud and ethics training; </w:t>
      </w:r>
    </w:p>
    <w:p w:rsidR="00E7572A" w:rsidRDefault="00192A38" w:rsidP="00F341B3">
      <w:pPr>
        <w:pStyle w:val="ListParagraph"/>
        <w:numPr>
          <w:ilvl w:val="0"/>
          <w:numId w:val="1"/>
        </w:numPr>
        <w:spacing w:after="120"/>
        <w:ind w:left="1080"/>
        <w:contextualSpacing w:val="0"/>
        <w:jc w:val="both"/>
        <w:rPr>
          <w:rFonts w:eastAsia="Times New Roman" w:cs="Calibri"/>
          <w:color w:val="000000"/>
        </w:rPr>
      </w:pPr>
      <w:r w:rsidRPr="002B7386">
        <w:rPr>
          <w:rFonts w:eastAsia="Times New Roman" w:cs="Calibri"/>
          <w:color w:val="000000"/>
        </w:rPr>
        <w:t xml:space="preserve">Require staff overseeing </w:t>
      </w:r>
      <w:r w:rsidR="00E75605">
        <w:rPr>
          <w:rFonts w:eastAsia="Times New Roman" w:cs="Calibri"/>
          <w:color w:val="000000"/>
        </w:rPr>
        <w:t>administering entit</w:t>
      </w:r>
      <w:r w:rsidR="00B81B2F" w:rsidRPr="002B7386">
        <w:rPr>
          <w:rFonts w:eastAsia="Times New Roman" w:cs="Calibri"/>
          <w:color w:val="000000"/>
        </w:rPr>
        <w:t>ies</w:t>
      </w:r>
      <w:r w:rsidRPr="002B7386">
        <w:rPr>
          <w:rFonts w:eastAsia="Times New Roman" w:cs="Calibri"/>
          <w:color w:val="000000"/>
        </w:rPr>
        <w:t xml:space="preserve"> to verify that work was performed before pay</w:t>
      </w:r>
      <w:r w:rsidR="00E75605">
        <w:rPr>
          <w:rFonts w:eastAsia="Times New Roman" w:cs="Calibri"/>
          <w:color w:val="000000"/>
        </w:rPr>
        <w:t>ing</w:t>
      </w:r>
      <w:r w:rsidRPr="002B7386">
        <w:rPr>
          <w:rFonts w:eastAsia="Times New Roman" w:cs="Calibri"/>
          <w:color w:val="000000"/>
        </w:rPr>
        <w:t xml:space="preserve"> </w:t>
      </w:r>
      <w:r w:rsidR="00FC3ADD" w:rsidRPr="002B7386">
        <w:rPr>
          <w:rFonts w:eastAsia="Times New Roman" w:cs="Calibri"/>
          <w:color w:val="000000"/>
        </w:rPr>
        <w:t xml:space="preserve">an </w:t>
      </w:r>
      <w:r w:rsidR="00E75605">
        <w:rPr>
          <w:rFonts w:eastAsia="Times New Roman" w:cs="Calibri"/>
          <w:color w:val="000000"/>
        </w:rPr>
        <w:t>administering entit</w:t>
      </w:r>
      <w:r w:rsidR="00B81B2F" w:rsidRPr="002B7386">
        <w:rPr>
          <w:rFonts w:eastAsia="Times New Roman" w:cs="Calibri"/>
          <w:color w:val="000000"/>
        </w:rPr>
        <w:t>y</w:t>
      </w:r>
      <w:r w:rsidR="00FC3ADD" w:rsidRPr="002B7386">
        <w:rPr>
          <w:rFonts w:eastAsia="Times New Roman" w:cs="Calibri"/>
          <w:color w:val="000000"/>
        </w:rPr>
        <w:t>’s</w:t>
      </w:r>
      <w:r w:rsidRPr="002B7386">
        <w:rPr>
          <w:rFonts w:eastAsia="Times New Roman" w:cs="Calibri"/>
          <w:color w:val="000000"/>
        </w:rPr>
        <w:t xml:space="preserve"> invoice; </w:t>
      </w:r>
    </w:p>
    <w:p w:rsidR="00E7572A" w:rsidRDefault="00192A38" w:rsidP="00F341B3">
      <w:pPr>
        <w:pStyle w:val="ListParagraph"/>
        <w:numPr>
          <w:ilvl w:val="0"/>
          <w:numId w:val="1"/>
        </w:numPr>
        <w:spacing w:after="120"/>
        <w:ind w:left="1080"/>
        <w:contextualSpacing w:val="0"/>
        <w:jc w:val="both"/>
        <w:rPr>
          <w:rFonts w:eastAsia="Times New Roman" w:cs="Calibri"/>
          <w:color w:val="000000"/>
        </w:rPr>
      </w:pPr>
      <w:r w:rsidRPr="002B7386">
        <w:rPr>
          <w:rFonts w:eastAsia="Times New Roman" w:cs="Calibri"/>
          <w:color w:val="000000"/>
        </w:rPr>
        <w:t xml:space="preserve">Maintain segregation of duties (e.g., employees who perform cash functions should not reconcile bank account statements); </w:t>
      </w:r>
    </w:p>
    <w:p w:rsidR="00E7572A" w:rsidRDefault="00192A38" w:rsidP="00F341B3">
      <w:pPr>
        <w:pStyle w:val="ListParagraph"/>
        <w:numPr>
          <w:ilvl w:val="0"/>
          <w:numId w:val="1"/>
        </w:numPr>
        <w:spacing w:after="120"/>
        <w:ind w:left="1080"/>
        <w:contextualSpacing w:val="0"/>
        <w:jc w:val="both"/>
        <w:rPr>
          <w:rFonts w:eastAsia="Times New Roman" w:cs="Calibri"/>
          <w:color w:val="000000"/>
        </w:rPr>
      </w:pPr>
      <w:r w:rsidRPr="002B7386">
        <w:rPr>
          <w:rFonts w:eastAsia="Times New Roman" w:cs="Calibri"/>
          <w:color w:val="000000"/>
        </w:rPr>
        <w:t xml:space="preserve">Reconcile invoices to purchase orders and contracts; and </w:t>
      </w:r>
    </w:p>
    <w:p w:rsidR="00E7572A" w:rsidRDefault="00192A38" w:rsidP="00F341B3">
      <w:pPr>
        <w:pStyle w:val="ListParagraph"/>
        <w:numPr>
          <w:ilvl w:val="0"/>
          <w:numId w:val="1"/>
        </w:numPr>
        <w:spacing w:after="240"/>
        <w:ind w:left="1080"/>
        <w:contextualSpacing w:val="0"/>
        <w:jc w:val="both"/>
        <w:rPr>
          <w:rFonts w:eastAsia="Times New Roman" w:cs="Calibri"/>
          <w:color w:val="000000"/>
        </w:rPr>
      </w:pPr>
      <w:r w:rsidRPr="002B7386">
        <w:rPr>
          <w:rFonts w:eastAsia="Times New Roman" w:cs="Calibri"/>
          <w:color w:val="000000"/>
        </w:rPr>
        <w:lastRenderedPageBreak/>
        <w:t>In the event of cash transactions, compare cash receipt transactions to a cash receipt log and bank deposit records to minimize the possibility of theft, fraud or abuse</w:t>
      </w:r>
    </w:p>
    <w:p w:rsidR="00C911D4" w:rsidRPr="002B7386" w:rsidRDefault="00C911D4" w:rsidP="00F341B3">
      <w:pPr>
        <w:jc w:val="both"/>
      </w:pPr>
      <w:r w:rsidRPr="002B7386">
        <w:t xml:space="preserve">Participating States should consider adding to </w:t>
      </w:r>
      <w:proofErr w:type="gramStart"/>
      <w:r w:rsidRPr="002B7386">
        <w:t>this</w:t>
      </w:r>
      <w:proofErr w:type="gramEnd"/>
      <w:r w:rsidR="00524357" w:rsidRPr="002B7386">
        <w:t xml:space="preserve"> list any additional activities</w:t>
      </w:r>
      <w:r w:rsidRPr="002B7386">
        <w:t xml:space="preserve"> that may be useful to provide additional mitigating controls associated with this risk.</w:t>
      </w:r>
    </w:p>
    <w:p w:rsidR="00192A38" w:rsidRPr="002A76A4" w:rsidRDefault="002A76A4" w:rsidP="00F341B3">
      <w:pPr>
        <w:pStyle w:val="Heading3"/>
        <w:spacing w:before="480"/>
      </w:pPr>
      <w:r>
        <w:t xml:space="preserve">Risk: </w:t>
      </w:r>
      <w:r w:rsidR="00192A38" w:rsidRPr="002A76A4">
        <w:t>Conflicts of Interest</w:t>
      </w:r>
    </w:p>
    <w:p w:rsidR="003E2FAB" w:rsidRPr="002B7386" w:rsidRDefault="00192A38" w:rsidP="00F341B3">
      <w:pPr>
        <w:jc w:val="both"/>
      </w:pPr>
      <w:r w:rsidRPr="002B7386">
        <w:t xml:space="preserve">Preventing conflicts of interest in underwriting, enrollment, contracting, and </w:t>
      </w:r>
      <w:r w:rsidR="00B04F78">
        <w:t>lender</w:t>
      </w:r>
      <w:r w:rsidRPr="002B7386">
        <w:t xml:space="preserve">/investor participation decisions is important </w:t>
      </w:r>
      <w:r w:rsidR="00C911D4" w:rsidRPr="002B7386">
        <w:t>to prevent</w:t>
      </w:r>
      <w:r w:rsidRPr="002B7386">
        <w:t xml:space="preserve"> the misuse of allocated funds</w:t>
      </w:r>
      <w:r w:rsidR="00C911D4" w:rsidRPr="002B7386">
        <w:t xml:space="preserve"> as well as any appearance of </w:t>
      </w:r>
      <w:proofErr w:type="gramStart"/>
      <w:r w:rsidR="00F341B3" w:rsidRPr="002B7386">
        <w:t>impropriety</w:t>
      </w:r>
      <w:r w:rsidR="00F341B3">
        <w:t>.</w:t>
      </w:r>
      <w:proofErr w:type="gramEnd"/>
      <w:r w:rsidRPr="002B7386">
        <w:t xml:space="preserve">  </w:t>
      </w:r>
      <w:r w:rsidR="00E76A55" w:rsidRPr="002B7386">
        <w:t xml:space="preserve">The Allocation Agreement and </w:t>
      </w:r>
      <w:r w:rsidR="00EA5BC2" w:rsidRPr="002B7386">
        <w:t xml:space="preserve">SSBCI Policy Guidelines </w:t>
      </w:r>
      <w:r w:rsidR="00E76A55" w:rsidRPr="002B7386">
        <w:t xml:space="preserve">address </w:t>
      </w:r>
      <w:r w:rsidR="002F471C">
        <w:t>certain</w:t>
      </w:r>
      <w:r w:rsidR="002F471C" w:rsidRPr="002B7386">
        <w:t xml:space="preserve"> </w:t>
      </w:r>
      <w:r w:rsidR="00E76A55" w:rsidRPr="002B7386">
        <w:t>conflict of interest issue</w:t>
      </w:r>
      <w:r w:rsidR="003E2FAB" w:rsidRPr="002B7386">
        <w:t>s</w:t>
      </w:r>
      <w:r w:rsidR="00E76A55" w:rsidRPr="002B7386">
        <w:t xml:space="preserve">.  </w:t>
      </w:r>
      <w:r w:rsidR="00F341B3">
        <w:t xml:space="preserve">For example, </w:t>
      </w:r>
      <w:r w:rsidR="00E76A55" w:rsidRPr="002B7386">
        <w:t>Section 4.4 of the Allocation Agreement</w:t>
      </w:r>
      <w:r w:rsidR="002F471C">
        <w:t xml:space="preserve"> specifically</w:t>
      </w:r>
      <w:r w:rsidR="00E76A55" w:rsidRPr="002B7386">
        <w:t xml:space="preserve"> prohibits using </w:t>
      </w:r>
      <w:r w:rsidR="00CC290F">
        <w:t>Allocated Funds</w:t>
      </w:r>
      <w:r w:rsidR="00E76A55" w:rsidRPr="002B7386">
        <w:t xml:space="preserve"> for lobbying, or for making a loan, investment, or contract to a member of Congress or a resident U.S. Commissioner.  In addition, Section VI and VII of the SSBCI Policy Guidelines prohibits funds from being used to make loans to borrowers who are executive officers, directors, or principal shareholders of the lender or investor, or a family member of related interest of an executive officer, director, or principal shareholder of the lender of investor.  </w:t>
      </w:r>
      <w:r w:rsidR="003E2FAB" w:rsidRPr="002B7386">
        <w:t>However, Treasury believes that additional conflicts of interest could arise, and that Participat</w:t>
      </w:r>
      <w:r w:rsidR="00A3432C">
        <w:t>ing</w:t>
      </w:r>
      <w:r w:rsidR="003E2FAB" w:rsidRPr="002B7386">
        <w:t xml:space="preserve"> States should carefully assess whether other conflicts of interest </w:t>
      </w:r>
      <w:proofErr w:type="gramStart"/>
      <w:r w:rsidR="003E2FAB" w:rsidRPr="002B7386">
        <w:t>should be identified, monitored, and mitigated</w:t>
      </w:r>
      <w:proofErr w:type="gramEnd"/>
      <w:r w:rsidR="003E2FAB" w:rsidRPr="002B7386">
        <w:t>.</w:t>
      </w:r>
    </w:p>
    <w:p w:rsidR="00B143E5" w:rsidRPr="002B7386" w:rsidRDefault="008B0DEE" w:rsidP="00F341B3">
      <w:pPr>
        <w:jc w:val="both"/>
        <w:rPr>
          <w:rFonts w:asciiTheme="minorHAnsi" w:hAnsiTheme="minorHAnsi" w:cstheme="minorHAnsi"/>
        </w:rPr>
      </w:pPr>
      <w:r w:rsidRPr="002B7386">
        <w:rPr>
          <w:rFonts w:asciiTheme="minorHAnsi" w:hAnsiTheme="minorHAnsi" w:cstheme="minorHAnsi"/>
        </w:rPr>
        <w:t>Participating State should also consider it a best practice to develop the following controls:</w:t>
      </w:r>
    </w:p>
    <w:p w:rsidR="00E7572A" w:rsidRDefault="00192A38" w:rsidP="00F341B3">
      <w:pPr>
        <w:pStyle w:val="ListParagraph"/>
        <w:numPr>
          <w:ilvl w:val="0"/>
          <w:numId w:val="16"/>
        </w:numPr>
        <w:spacing w:after="120"/>
        <w:ind w:left="1080"/>
        <w:contextualSpacing w:val="0"/>
        <w:jc w:val="both"/>
        <w:rPr>
          <w:rFonts w:eastAsia="Times New Roman" w:cs="Calibri"/>
          <w:color w:val="000000"/>
        </w:rPr>
      </w:pPr>
      <w:r w:rsidRPr="002B7386">
        <w:rPr>
          <w:rFonts w:eastAsia="Times New Roman" w:cs="Calibri"/>
          <w:color w:val="000000"/>
        </w:rPr>
        <w:t xml:space="preserve">Require all individuals involved in the underwriting or </w:t>
      </w:r>
      <w:r w:rsidR="006D5C22">
        <w:rPr>
          <w:rFonts w:eastAsia="Times New Roman" w:cs="Calibri"/>
          <w:color w:val="000000"/>
        </w:rPr>
        <w:t>approval</w:t>
      </w:r>
      <w:r w:rsidR="006D5C22" w:rsidRPr="002B7386">
        <w:rPr>
          <w:rFonts w:eastAsia="Times New Roman" w:cs="Calibri"/>
          <w:color w:val="000000"/>
        </w:rPr>
        <w:t xml:space="preserve"> </w:t>
      </w:r>
      <w:r w:rsidRPr="002B7386">
        <w:rPr>
          <w:rFonts w:eastAsia="Times New Roman" w:cs="Calibri"/>
          <w:color w:val="000000"/>
        </w:rPr>
        <w:t xml:space="preserve">process to disclose any potential or actual conflicts of interest, in accordance with the Participating State’s written conflict of interest policy, and to </w:t>
      </w:r>
      <w:proofErr w:type="spellStart"/>
      <w:r w:rsidRPr="002B7386">
        <w:rPr>
          <w:rFonts w:eastAsia="Times New Roman" w:cs="Calibri"/>
          <w:color w:val="000000"/>
        </w:rPr>
        <w:t>recuse</w:t>
      </w:r>
      <w:proofErr w:type="spellEnd"/>
      <w:r w:rsidRPr="002B7386">
        <w:rPr>
          <w:rFonts w:eastAsia="Times New Roman" w:cs="Calibri"/>
          <w:color w:val="000000"/>
        </w:rPr>
        <w:t xml:space="preserve"> him or herself if a conflict of interest occurs; </w:t>
      </w:r>
    </w:p>
    <w:p w:rsidR="00E7572A" w:rsidRDefault="00192A38" w:rsidP="00F341B3">
      <w:pPr>
        <w:pStyle w:val="ListParagraph"/>
        <w:numPr>
          <w:ilvl w:val="0"/>
          <w:numId w:val="1"/>
        </w:numPr>
        <w:spacing w:after="120"/>
        <w:ind w:left="1080"/>
        <w:contextualSpacing w:val="0"/>
        <w:jc w:val="both"/>
        <w:rPr>
          <w:rFonts w:eastAsia="Times New Roman" w:cs="Calibri"/>
          <w:color w:val="000000"/>
        </w:rPr>
      </w:pPr>
      <w:r w:rsidRPr="002B7386">
        <w:rPr>
          <w:rFonts w:eastAsia="Times New Roman" w:cs="Calibri"/>
          <w:color w:val="000000"/>
        </w:rPr>
        <w:t xml:space="preserve">Require all individuals involved in the contracting process to disclose any potential or actual conflicts of interest, in accordance with the Participating State’s written conflict of interest policy, and to </w:t>
      </w:r>
      <w:proofErr w:type="spellStart"/>
      <w:r w:rsidRPr="002B7386">
        <w:rPr>
          <w:rFonts w:eastAsia="Times New Roman" w:cs="Calibri"/>
          <w:color w:val="000000"/>
        </w:rPr>
        <w:t>recuse</w:t>
      </w:r>
      <w:proofErr w:type="spellEnd"/>
      <w:r w:rsidRPr="002B7386">
        <w:rPr>
          <w:rFonts w:eastAsia="Times New Roman" w:cs="Calibri"/>
          <w:color w:val="000000"/>
        </w:rPr>
        <w:t xml:space="preserve"> him or herself if a conflict of interest occurs; and</w:t>
      </w:r>
    </w:p>
    <w:p w:rsidR="00E7572A" w:rsidRDefault="00192A38" w:rsidP="00F341B3">
      <w:pPr>
        <w:pStyle w:val="ListParagraph"/>
        <w:numPr>
          <w:ilvl w:val="0"/>
          <w:numId w:val="1"/>
        </w:numPr>
        <w:spacing w:after="240"/>
        <w:ind w:left="1080"/>
        <w:contextualSpacing w:val="0"/>
        <w:jc w:val="both"/>
        <w:rPr>
          <w:rFonts w:eastAsia="Times New Roman" w:cs="Calibri"/>
          <w:color w:val="000000"/>
        </w:rPr>
      </w:pPr>
      <w:r w:rsidRPr="002B7386">
        <w:rPr>
          <w:rFonts w:eastAsia="Times New Roman" w:cs="Calibri"/>
          <w:color w:val="000000"/>
        </w:rPr>
        <w:t xml:space="preserve">Require all individuals involved in evaluating and executing lender/investor participation agreements to disclose any potential or actual conflicts of interest, in accordance with the Participating State’s written conflict of interest policy, and to </w:t>
      </w:r>
      <w:proofErr w:type="spellStart"/>
      <w:r w:rsidRPr="002B7386">
        <w:rPr>
          <w:rFonts w:eastAsia="Times New Roman" w:cs="Calibri"/>
          <w:color w:val="000000"/>
        </w:rPr>
        <w:t>recuse</w:t>
      </w:r>
      <w:proofErr w:type="spellEnd"/>
      <w:r w:rsidRPr="002B7386">
        <w:rPr>
          <w:rFonts w:eastAsia="Times New Roman" w:cs="Calibri"/>
          <w:color w:val="000000"/>
        </w:rPr>
        <w:t xml:space="preserve"> him or herself if a conflict of interest occurs.</w:t>
      </w:r>
    </w:p>
    <w:p w:rsidR="00304496" w:rsidRPr="002B7386" w:rsidRDefault="008B0DEE" w:rsidP="00F341B3">
      <w:pPr>
        <w:jc w:val="both"/>
      </w:pPr>
      <w:r w:rsidRPr="002B7386">
        <w:t xml:space="preserve">Participating States should consider adding to </w:t>
      </w:r>
      <w:proofErr w:type="gramStart"/>
      <w:r w:rsidRPr="002B7386">
        <w:t>this</w:t>
      </w:r>
      <w:proofErr w:type="gramEnd"/>
      <w:r w:rsidR="00524357" w:rsidRPr="002B7386">
        <w:t xml:space="preserve"> list any additional activities</w:t>
      </w:r>
      <w:r w:rsidRPr="002B7386">
        <w:t xml:space="preserve"> that may be useful to provide additional mitigating controls associated with this risk.</w:t>
      </w:r>
    </w:p>
    <w:p w:rsidR="00073C86" w:rsidRPr="00591938" w:rsidRDefault="00C94F9E" w:rsidP="00F341B3">
      <w:pPr>
        <w:pStyle w:val="Heading3"/>
        <w:spacing w:before="480"/>
      </w:pPr>
      <w:r>
        <w:t xml:space="preserve">Risk: </w:t>
      </w:r>
      <w:r w:rsidR="00584274" w:rsidRPr="00C94F9E">
        <w:t xml:space="preserve">Lack of Adequate Justification for Loans or Investments Made outside of Municipal </w:t>
      </w:r>
      <w:r w:rsidR="00591938" w:rsidRPr="00C94F9E">
        <w:t>Boundaries (</w:t>
      </w:r>
      <w:r w:rsidR="00073C86" w:rsidRPr="00C94F9E">
        <w:t>Applies to Municipalities Only)</w:t>
      </w:r>
    </w:p>
    <w:p w:rsidR="008D5F5F" w:rsidRDefault="00AB04F1" w:rsidP="00F341B3">
      <w:pPr>
        <w:jc w:val="both"/>
      </w:pPr>
      <w:r>
        <w:t xml:space="preserve">Section </w:t>
      </w:r>
      <w:r w:rsidR="008D5F5F">
        <w:t>4.4(f)</w:t>
      </w:r>
      <w:r>
        <w:t xml:space="preserve"> of the Allocation Agreement for municipalities includes the following term:</w:t>
      </w:r>
    </w:p>
    <w:p w:rsidR="008D5F5F" w:rsidRPr="008D5F5F" w:rsidRDefault="00F341B3" w:rsidP="00F341B3">
      <w:pPr>
        <w:pStyle w:val="Default"/>
        <w:ind w:left="720" w:right="720"/>
        <w:jc w:val="both"/>
        <w:rPr>
          <w:rFonts w:asciiTheme="minorHAnsi" w:hAnsiTheme="minorHAnsi" w:cstheme="minorHAnsi"/>
          <w:i/>
          <w:sz w:val="22"/>
          <w:szCs w:val="22"/>
        </w:rPr>
      </w:pPr>
      <w:r>
        <w:rPr>
          <w:rFonts w:asciiTheme="minorHAnsi" w:hAnsiTheme="minorHAnsi" w:cstheme="minorHAnsi"/>
          <w:i/>
          <w:sz w:val="22"/>
          <w:szCs w:val="22"/>
        </w:rPr>
        <w:t xml:space="preserve"> </w:t>
      </w:r>
      <w:r w:rsidR="00591938">
        <w:rPr>
          <w:rFonts w:asciiTheme="minorHAnsi" w:hAnsiTheme="minorHAnsi" w:cstheme="minorHAnsi"/>
          <w:i/>
          <w:sz w:val="22"/>
          <w:szCs w:val="22"/>
        </w:rPr>
        <w:t>“</w:t>
      </w:r>
      <w:r w:rsidR="003C032C" w:rsidRPr="003C032C">
        <w:rPr>
          <w:rFonts w:asciiTheme="minorHAnsi" w:hAnsiTheme="minorHAnsi" w:cstheme="minorHAnsi"/>
          <w:i/>
          <w:sz w:val="22"/>
          <w:szCs w:val="22"/>
        </w:rPr>
        <w:t xml:space="preserve">The Participating Municipality shall not use Allocated Funds </w:t>
      </w:r>
      <w:r w:rsidR="003C032C" w:rsidRPr="003C032C">
        <w:rPr>
          <w:rFonts w:asciiTheme="minorHAnsi" w:hAnsiTheme="minorHAnsi" w:cstheme="minorHAnsi"/>
          <w:bCs/>
          <w:i/>
          <w:sz w:val="22"/>
          <w:szCs w:val="22"/>
        </w:rPr>
        <w:t xml:space="preserve">outside the geographic borders of the Participating Municipality unless </w:t>
      </w:r>
      <w:r w:rsidR="003C032C" w:rsidRPr="003C032C">
        <w:rPr>
          <w:rFonts w:asciiTheme="minorHAnsi" w:hAnsiTheme="minorHAnsi" w:cstheme="minorHAnsi"/>
          <w:i/>
          <w:sz w:val="22"/>
          <w:szCs w:val="22"/>
        </w:rPr>
        <w:t>the Authorized Municipal Official or chief executive of the Participating Municipality warrants, in writing, that the loan or investment will result in significant economic benefit to the Participating Municipality.</w:t>
      </w:r>
      <w:r w:rsidR="00591938">
        <w:rPr>
          <w:rFonts w:asciiTheme="minorHAnsi" w:hAnsiTheme="minorHAnsi" w:cstheme="minorHAnsi"/>
          <w:i/>
          <w:sz w:val="22"/>
          <w:szCs w:val="22"/>
        </w:rPr>
        <w:t>”</w:t>
      </w:r>
    </w:p>
    <w:p w:rsidR="00591938" w:rsidRDefault="00591938" w:rsidP="00F341B3">
      <w:pPr>
        <w:pStyle w:val="Default"/>
        <w:jc w:val="both"/>
        <w:rPr>
          <w:sz w:val="22"/>
          <w:szCs w:val="22"/>
        </w:rPr>
      </w:pPr>
    </w:p>
    <w:p w:rsidR="00F341B3" w:rsidRDefault="00F341B3" w:rsidP="00F341B3">
      <w:pPr>
        <w:pStyle w:val="Default"/>
        <w:jc w:val="both"/>
        <w:rPr>
          <w:sz w:val="22"/>
          <w:szCs w:val="22"/>
        </w:rPr>
      </w:pPr>
    </w:p>
    <w:p w:rsidR="00EB3927" w:rsidRPr="002B7386" w:rsidRDefault="00EB3927" w:rsidP="00F341B3">
      <w:pPr>
        <w:pStyle w:val="Default"/>
        <w:spacing w:after="200"/>
        <w:jc w:val="both"/>
        <w:rPr>
          <w:sz w:val="22"/>
          <w:szCs w:val="22"/>
        </w:rPr>
      </w:pPr>
      <w:r w:rsidRPr="002B7386">
        <w:rPr>
          <w:sz w:val="22"/>
          <w:szCs w:val="22"/>
        </w:rPr>
        <w:lastRenderedPageBreak/>
        <w:t>The Municipality FAQs offer the following additional guidance:</w:t>
      </w:r>
    </w:p>
    <w:p w:rsidR="00F74FAB" w:rsidRPr="002B7386" w:rsidRDefault="00591938" w:rsidP="00F341B3">
      <w:pPr>
        <w:pStyle w:val="Default"/>
        <w:spacing w:after="240"/>
        <w:ind w:left="720" w:right="720"/>
        <w:jc w:val="both"/>
        <w:rPr>
          <w:sz w:val="22"/>
          <w:szCs w:val="22"/>
        </w:rPr>
      </w:pPr>
      <w:proofErr w:type="gramStart"/>
      <w:r>
        <w:rPr>
          <w:i/>
          <w:sz w:val="22"/>
          <w:szCs w:val="22"/>
        </w:rPr>
        <w:t>“</w:t>
      </w:r>
      <w:r w:rsidR="00EB3927" w:rsidRPr="002B7386">
        <w:rPr>
          <w:i/>
          <w:sz w:val="22"/>
          <w:szCs w:val="22"/>
        </w:rPr>
        <w:t>When evaluating criteria to determine if a loan or investment made outside of its geographic borders yields significant economic benefit, Participating Municipalities should consider the impacts that the transaction will have on a) jobs created or maintained within the Participating municipality; b) increasing the amount of sales, income, or other tax revenue to the Participating Municipality; or c) the benefit of the goods or services provided by the small business to the Participating Municipality or businesses within the Participating Municipality.</w:t>
      </w:r>
      <w:r w:rsidR="00EB3927" w:rsidRPr="002B7386">
        <w:rPr>
          <w:sz w:val="22"/>
          <w:szCs w:val="22"/>
        </w:rPr>
        <w:t xml:space="preserve"> </w:t>
      </w:r>
      <w:r>
        <w:rPr>
          <w:sz w:val="22"/>
          <w:szCs w:val="22"/>
        </w:rPr>
        <w:t>“</w:t>
      </w:r>
      <w:proofErr w:type="gramEnd"/>
    </w:p>
    <w:p w:rsidR="00F341B3" w:rsidRDefault="00AB04F1" w:rsidP="00F341B3">
      <w:pPr>
        <w:jc w:val="both"/>
      </w:pPr>
      <w:proofErr w:type="gramStart"/>
      <w:r>
        <w:t>As a result of this term of the Allocation Agre</w:t>
      </w:r>
      <w:r w:rsidR="008D5F5F">
        <w:t>e</w:t>
      </w:r>
      <w:r>
        <w:t>ment and the guidance</w:t>
      </w:r>
      <w:r w:rsidR="00591938">
        <w:t xml:space="preserve"> in</w:t>
      </w:r>
      <w:r>
        <w:t xml:space="preserve"> the FAQ </w:t>
      </w:r>
      <w:r w:rsidR="00F74FAB" w:rsidRPr="002B7386">
        <w:t xml:space="preserve">, prior to enrolling any loan </w:t>
      </w:r>
      <w:r w:rsidR="00A3432C">
        <w:t xml:space="preserve">to, </w:t>
      </w:r>
      <w:r w:rsidR="00F74FAB" w:rsidRPr="002B7386">
        <w:t xml:space="preserve">or investment </w:t>
      </w:r>
      <w:r w:rsidR="00A3432C">
        <w:t>in,</w:t>
      </w:r>
      <w:r w:rsidR="00F74FAB" w:rsidRPr="002B7386">
        <w:t xml:space="preserve"> a small business located outside the municipal boundaries described in the </w:t>
      </w:r>
      <w:r>
        <w:t>A</w:t>
      </w:r>
      <w:r w:rsidRPr="002B7386">
        <w:t>pplication</w:t>
      </w:r>
      <w:r w:rsidR="00F74FAB" w:rsidRPr="002B7386">
        <w:t xml:space="preserve">, the </w:t>
      </w:r>
      <w:r w:rsidR="008B0DEE" w:rsidRPr="002B7386">
        <w:t>mayor or chief executive of the Participating Municipality</w:t>
      </w:r>
      <w:r w:rsidR="008B0DEE" w:rsidRPr="002B7386" w:rsidDel="008B0DEE">
        <w:t xml:space="preserve"> </w:t>
      </w:r>
      <w:r w:rsidR="00F74FAB" w:rsidRPr="002B7386">
        <w:t>must warrant</w:t>
      </w:r>
      <w:r w:rsidR="008B0DEE" w:rsidRPr="002B7386">
        <w:t>, in writing,</w:t>
      </w:r>
      <w:r w:rsidR="00F74FAB" w:rsidRPr="002B7386">
        <w:t xml:space="preserve"> </w:t>
      </w:r>
      <w:r w:rsidR="00FC3ADD" w:rsidRPr="002B7386">
        <w:t>that the loan or investment will yield a significant</w:t>
      </w:r>
      <w:r w:rsidR="00F74FAB" w:rsidRPr="002B7386">
        <w:t xml:space="preserve"> economic benefit</w:t>
      </w:r>
      <w:r w:rsidR="00FC3ADD" w:rsidRPr="002B7386">
        <w:t xml:space="preserve"> to the Participating Municipality</w:t>
      </w:r>
      <w:r w:rsidR="00F74FAB" w:rsidRPr="002B7386">
        <w:t>.</w:t>
      </w:r>
      <w:proofErr w:type="gramEnd"/>
      <w:r w:rsidR="00F74FAB" w:rsidRPr="002B7386">
        <w:t xml:space="preserve">  If more than one municipality is participating in a consortium of municipalities receiving SSBCI funding, the</w:t>
      </w:r>
      <w:r w:rsidR="00597758" w:rsidRPr="002B7386">
        <w:t xml:space="preserve"> </w:t>
      </w:r>
      <w:r w:rsidR="00591938" w:rsidRPr="002B7386">
        <w:t xml:space="preserve">mayor or chief executive of </w:t>
      </w:r>
      <w:r w:rsidR="00591938">
        <w:t xml:space="preserve">the </w:t>
      </w:r>
      <w:r w:rsidR="00591938" w:rsidRPr="002B7386">
        <w:t xml:space="preserve">municipality </w:t>
      </w:r>
      <w:r w:rsidR="00591938">
        <w:t>that anticipates an economically significant benefit</w:t>
      </w:r>
      <w:r w:rsidR="00591938" w:rsidRPr="002B7386">
        <w:t xml:space="preserve"> should sign the warranty</w:t>
      </w:r>
      <w:r>
        <w:t xml:space="preserve">.  Should more than one Participating Municipality derive benefit from a single loan or investment in a small business that is outside the boundaries of any Participating Municipality, </w:t>
      </w:r>
      <w:r w:rsidR="00591938">
        <w:t xml:space="preserve">then </w:t>
      </w:r>
      <w:r w:rsidR="00591938" w:rsidRPr="002B7386">
        <w:t>each</w:t>
      </w:r>
      <w:r w:rsidR="008B0DEE" w:rsidRPr="002B7386">
        <w:t xml:space="preserve"> </w:t>
      </w:r>
      <w:r w:rsidR="00597758" w:rsidRPr="002B7386">
        <w:t xml:space="preserve">mayor </w:t>
      </w:r>
      <w:r w:rsidR="008B0DEE" w:rsidRPr="002B7386">
        <w:t xml:space="preserve">or </w:t>
      </w:r>
      <w:r w:rsidR="00597758" w:rsidRPr="002B7386">
        <w:t xml:space="preserve">chief executive of the Participating </w:t>
      </w:r>
      <w:r w:rsidR="008B0DEE" w:rsidRPr="002B7386">
        <w:t xml:space="preserve">Municipalities </w:t>
      </w:r>
      <w:r w:rsidR="00597758" w:rsidRPr="002B7386">
        <w:t xml:space="preserve">expected to </w:t>
      </w:r>
      <w:r w:rsidR="007F47E4" w:rsidRPr="002B7386">
        <w:t>derive</w:t>
      </w:r>
      <w:r w:rsidR="00FC3ADD" w:rsidRPr="002B7386">
        <w:t xml:space="preserve"> a significant</w:t>
      </w:r>
      <w:r w:rsidR="00597758" w:rsidRPr="002B7386">
        <w:t xml:space="preserve"> economic benefit from the loan or investment</w:t>
      </w:r>
      <w:r>
        <w:t xml:space="preserve"> may sign the warranty</w:t>
      </w:r>
      <w:r w:rsidR="00597758" w:rsidRPr="002B7386">
        <w:t xml:space="preserve">.  </w:t>
      </w:r>
      <w:r w:rsidR="00FC3ADD" w:rsidRPr="002B7386">
        <w:t xml:space="preserve">The warranties </w:t>
      </w:r>
      <w:proofErr w:type="gramStart"/>
      <w:r w:rsidR="00FC3ADD" w:rsidRPr="002B7386">
        <w:t>should be maintained</w:t>
      </w:r>
      <w:proofErr w:type="gramEnd"/>
      <w:r w:rsidR="00FC3ADD" w:rsidRPr="002B7386">
        <w:t xml:space="preserve"> with the loan or investment files.  </w:t>
      </w:r>
    </w:p>
    <w:p w:rsidR="00597758" w:rsidRPr="002B7386" w:rsidRDefault="00597758" w:rsidP="00F341B3">
      <w:pPr>
        <w:jc w:val="both"/>
      </w:pPr>
      <w:proofErr w:type="gramStart"/>
      <w:r w:rsidRPr="002B7386">
        <w:t xml:space="preserve">If the enrollment of loans and investments is handled by an </w:t>
      </w:r>
      <w:r w:rsidR="00E75605">
        <w:t>administering entit</w:t>
      </w:r>
      <w:r w:rsidRPr="002B7386">
        <w:t>y, the Participating Municipality (or consortium of Participating Municipalities) may, alternatively, delegate the responsibility for retaining the</w:t>
      </w:r>
      <w:r w:rsidR="00AB04F1">
        <w:t xml:space="preserve"> warranties</w:t>
      </w:r>
      <w:r w:rsidR="008D5F5F">
        <w:t xml:space="preserve"> signed by</w:t>
      </w:r>
      <w:r w:rsidR="00AB04F1">
        <w:t xml:space="preserve"> the mayor or chief executive of the Participating Municipality</w:t>
      </w:r>
      <w:r w:rsidRPr="002B7386">
        <w:t xml:space="preserve"> to the </w:t>
      </w:r>
      <w:r w:rsidR="00E75605">
        <w:t>administering entit</w:t>
      </w:r>
      <w:r w:rsidRPr="002B7386">
        <w:t xml:space="preserve">y pursuant to a written contract, provided that the Participating Municipality (or consortium of Participating Municipalities) exercises oversight of the </w:t>
      </w:r>
      <w:r w:rsidR="00E75605">
        <w:t>administering entit</w:t>
      </w:r>
      <w:r w:rsidRPr="002B7386">
        <w:t>y to ensure this requirement is complied with.</w:t>
      </w:r>
      <w:proofErr w:type="gramEnd"/>
      <w:r w:rsidRPr="002B7386">
        <w:t xml:space="preserve">  One means of exercising this oversight would be to conduct an annual audit of a random sample of loans or investments made outside the specified municipal boundaries.</w:t>
      </w:r>
    </w:p>
    <w:p w:rsidR="008B0DEE" w:rsidRPr="002B7386" w:rsidRDefault="008B0DEE" w:rsidP="00F341B3">
      <w:pPr>
        <w:jc w:val="both"/>
      </w:pPr>
      <w:r w:rsidRPr="002B7386">
        <w:t xml:space="preserve">Participating States should consider adding to </w:t>
      </w:r>
      <w:proofErr w:type="gramStart"/>
      <w:r w:rsidRPr="002B7386">
        <w:t>this</w:t>
      </w:r>
      <w:proofErr w:type="gramEnd"/>
      <w:r w:rsidR="00524357" w:rsidRPr="002B7386">
        <w:t xml:space="preserve"> list any additional activities</w:t>
      </w:r>
      <w:r w:rsidRPr="002B7386">
        <w:t xml:space="preserve"> that may be useful to provide additional mitigating controls associated with this risk.</w:t>
      </w:r>
    </w:p>
    <w:p w:rsidR="007523A2" w:rsidRDefault="007C6591" w:rsidP="00F341B3">
      <w:pPr>
        <w:sectPr w:rsidR="007523A2" w:rsidSect="00E31735">
          <w:pgSz w:w="12240" w:h="15840"/>
          <w:pgMar w:top="1440" w:right="1440" w:bottom="1440" w:left="1440" w:header="720" w:footer="720" w:gutter="0"/>
          <w:cols w:space="720"/>
          <w:docGrid w:linePitch="360"/>
        </w:sectPr>
      </w:pPr>
      <w:r w:rsidRPr="002B7386">
        <w:br w:type="page"/>
      </w:r>
    </w:p>
    <w:p w:rsidR="00F341B3" w:rsidRDefault="00F341B3" w:rsidP="00F341B3">
      <w:pPr>
        <w:pStyle w:val="Heading3"/>
        <w:spacing w:before="0" w:after="0"/>
        <w:ind w:left="-720"/>
        <w:jc w:val="center"/>
        <w:rPr>
          <w:rStyle w:val="SubtleEmphasis"/>
          <w:i w:val="0"/>
          <w:iCs w:val="0"/>
          <w:color w:val="4F81BD" w:themeColor="accent1"/>
        </w:rPr>
      </w:pPr>
    </w:p>
    <w:p w:rsidR="00D33697" w:rsidRPr="00D33697" w:rsidRDefault="00C12A22" w:rsidP="00F341B3">
      <w:pPr>
        <w:pStyle w:val="Heading3"/>
        <w:spacing w:before="120"/>
        <w:jc w:val="center"/>
        <w:rPr>
          <w:szCs w:val="20"/>
        </w:rPr>
      </w:pPr>
      <w:r w:rsidRPr="00C12A22">
        <w:rPr>
          <w:rFonts w:cstheme="minorHAnsi"/>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57.15pt;height:81.2pt;z-index:251658240;visibility:visible;mso-position-horizontal:center;mso-position-horizontal-relative:margin;mso-position-vertical:top;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">
            <v:textbox>
              <w:txbxContent>
                <w:p w:rsidR="00F42D89" w:rsidRPr="00D33697" w:rsidRDefault="00F42D89" w:rsidP="00E44D5D">
                  <w:pPr>
                    <w:jc w:val="both"/>
                    <w:rPr>
                      <w:i/>
                    </w:rPr>
                  </w:pPr>
                  <w:r w:rsidRPr="00D33697">
                    <w:rPr>
                      <w:i/>
                      <w:sz w:val="20"/>
                    </w:rPr>
                    <w:t>Treasury has created th</w:t>
                  </w:r>
                  <w:r>
                    <w:rPr>
                      <w:i/>
                      <w:sz w:val="20"/>
                    </w:rPr>
                    <w:t>is</w:t>
                  </w:r>
                  <w:r w:rsidRPr="00D33697">
                    <w:rPr>
                      <w:i/>
                      <w:sz w:val="20"/>
                    </w:rPr>
                    <w:t xml:space="preserve"> sample self-certification that a participating state, territory or municipality may use in order to obtain certification </w:t>
                  </w:r>
                  <w:r>
                    <w:rPr>
                      <w:i/>
                      <w:sz w:val="20"/>
                    </w:rPr>
                    <w:t xml:space="preserve">from </w:t>
                  </w:r>
                  <w:r w:rsidRPr="00D33697">
                    <w:rPr>
                      <w:i/>
                      <w:sz w:val="20"/>
                    </w:rPr>
                    <w:t>small business borrowers or investees.  Th</w:t>
                  </w:r>
                  <w:r>
                    <w:rPr>
                      <w:i/>
                      <w:sz w:val="20"/>
                    </w:rPr>
                    <w:t>is</w:t>
                  </w:r>
                  <w:r w:rsidRPr="00D33697">
                    <w:rPr>
                      <w:i/>
                      <w:sz w:val="20"/>
                    </w:rPr>
                    <w:t xml:space="preserve"> certification</w:t>
                  </w:r>
                  <w:r>
                    <w:rPr>
                      <w:i/>
                      <w:sz w:val="20"/>
                    </w:rPr>
                    <w:t xml:space="preserve"> </w:t>
                  </w:r>
                  <w:proofErr w:type="gramStart"/>
                  <w:r>
                    <w:rPr>
                      <w:i/>
                      <w:sz w:val="20"/>
                    </w:rPr>
                    <w:t>is</w:t>
                  </w:r>
                  <w:r w:rsidRPr="00D33697">
                    <w:rPr>
                      <w:i/>
                      <w:sz w:val="20"/>
                    </w:rPr>
                    <w:t xml:space="preserve"> not intended</w:t>
                  </w:r>
                  <w:proofErr w:type="gramEnd"/>
                  <w:r w:rsidRPr="00D33697">
                    <w:rPr>
                      <w:i/>
                      <w:sz w:val="20"/>
                    </w:rPr>
                    <w:t xml:space="preserve"> to replace or supersede any internal controls the participating state, territory, or municipality has in place.  Rather, </w:t>
                  </w:r>
                  <w:proofErr w:type="gramStart"/>
                  <w:r>
                    <w:rPr>
                      <w:i/>
                      <w:sz w:val="20"/>
                    </w:rPr>
                    <w:t>this</w:t>
                  </w:r>
                  <w:proofErr w:type="gramEnd"/>
                  <w:r w:rsidRPr="00D33697">
                    <w:rPr>
                      <w:i/>
                      <w:sz w:val="20"/>
                    </w:rPr>
                    <w:t xml:space="preserve"> certifications </w:t>
                  </w:r>
                  <w:r>
                    <w:rPr>
                      <w:i/>
                      <w:sz w:val="20"/>
                    </w:rPr>
                    <w:t>is</w:t>
                  </w:r>
                  <w:r w:rsidRPr="00D33697">
                    <w:rPr>
                      <w:i/>
                      <w:sz w:val="20"/>
                    </w:rPr>
                    <w:t xml:space="preserve"> provided for illustrative purposes and </w:t>
                  </w:r>
                  <w:r>
                    <w:rPr>
                      <w:i/>
                      <w:sz w:val="20"/>
                    </w:rPr>
                    <w:t>is</w:t>
                  </w:r>
                  <w:r w:rsidRPr="00D33697">
                    <w:rPr>
                      <w:i/>
                      <w:sz w:val="20"/>
                    </w:rPr>
                    <w:t xml:space="preserve"> available for use by the participating state, territory, or municipality according to their discretion.  These sample certifications </w:t>
                  </w:r>
                  <w:proofErr w:type="gramStart"/>
                  <w:r w:rsidRPr="00D33697">
                    <w:rPr>
                      <w:i/>
                      <w:sz w:val="20"/>
                    </w:rPr>
                    <w:t>are also attached</w:t>
                  </w:r>
                  <w:proofErr w:type="gramEnd"/>
                  <w:r w:rsidRPr="00D33697">
                    <w:rPr>
                      <w:i/>
                      <w:sz w:val="20"/>
                    </w:rPr>
                    <w:t xml:space="preserve"> as Annexes to </w:t>
                  </w:r>
                  <w:r>
                    <w:rPr>
                      <w:i/>
                      <w:sz w:val="20"/>
                    </w:rPr>
                    <w:t xml:space="preserve">the </w:t>
                  </w:r>
                  <w:r w:rsidRPr="00D33697">
                    <w:rPr>
                      <w:i/>
                      <w:sz w:val="20"/>
                    </w:rPr>
                    <w:t>SSBCI Frequently Asked Questions Document</w:t>
                  </w:r>
                  <w:r>
                    <w:rPr>
                      <w:i/>
                      <w:sz w:val="20"/>
                    </w:rPr>
                    <w:t xml:space="preserve"> available at </w:t>
                  </w:r>
                  <w:hyperlink r:id="rId17" w:history="1">
                    <w:r w:rsidRPr="00E618B4">
                      <w:rPr>
                        <w:rStyle w:val="Hyperlink"/>
                        <w:i/>
                        <w:sz w:val="20"/>
                      </w:rPr>
                      <w:t>www.treasury.gov/ssbci</w:t>
                    </w:r>
                  </w:hyperlink>
                  <w:r w:rsidRPr="00D33697">
                    <w:rPr>
                      <w:i/>
                      <w:sz w:val="20"/>
                    </w:rPr>
                    <w:t>.</w:t>
                  </w:r>
                </w:p>
              </w:txbxContent>
            </v:textbox>
            <w10:wrap type="square" anchorx="margin" anchory="margin"/>
            <w10:anchorlock/>
          </v:shape>
        </w:pict>
      </w:r>
      <w:r w:rsidR="00D33697" w:rsidRPr="00D33697">
        <w:rPr>
          <w:rStyle w:val="SubtleEmphasis"/>
          <w:i w:val="0"/>
          <w:iCs w:val="0"/>
          <w:color w:val="4F81BD" w:themeColor="accent1"/>
        </w:rPr>
        <w:t>Sample Small Business Borrower/Investee Certification for Use of Proceeds</w:t>
      </w:r>
    </w:p>
    <w:p w:rsidR="00D502D4" w:rsidRPr="002B7386" w:rsidRDefault="00D502D4" w:rsidP="00F341B3">
      <w:pPr>
        <w:rPr>
          <w:rFonts w:cstheme="minorHAnsi"/>
          <w:sz w:val="20"/>
          <w:szCs w:val="20"/>
        </w:rPr>
      </w:pPr>
      <w:r w:rsidRPr="002B7386">
        <w:rPr>
          <w:rFonts w:cstheme="minorHAnsi"/>
          <w:sz w:val="20"/>
          <w:szCs w:val="20"/>
        </w:rPr>
        <w:t>These assurances reference Section 3005(e</w:t>
      </w:r>
      <w:proofErr w:type="gramStart"/>
      <w:r w:rsidRPr="002B7386">
        <w:rPr>
          <w:rFonts w:cstheme="minorHAnsi"/>
          <w:sz w:val="20"/>
          <w:szCs w:val="20"/>
        </w:rPr>
        <w:t>)(</w:t>
      </w:r>
      <w:proofErr w:type="gramEnd"/>
      <w:r w:rsidRPr="002B7386">
        <w:rPr>
          <w:rFonts w:cstheme="minorHAnsi"/>
          <w:sz w:val="20"/>
          <w:szCs w:val="20"/>
        </w:rPr>
        <w:t xml:space="preserve">7) and Section 3011(c)(2) of the Small Business Jobs Act of 2010. </w:t>
      </w:r>
    </w:p>
    <w:p w:rsidR="00D502D4" w:rsidRPr="002B7386" w:rsidRDefault="00D502D4" w:rsidP="00F341B3">
      <w:pPr>
        <w:rPr>
          <w:rFonts w:cstheme="minorHAnsi"/>
          <w:sz w:val="20"/>
          <w:szCs w:val="20"/>
        </w:rPr>
      </w:pPr>
      <w:r w:rsidRPr="002B7386">
        <w:rPr>
          <w:rFonts w:cstheme="minorHAnsi"/>
          <w:sz w:val="20"/>
          <w:szCs w:val="20"/>
        </w:rPr>
        <w:t>Legal name of borrower or investee: ________________________________________________________</w:t>
      </w:r>
    </w:p>
    <w:p w:rsidR="00D502D4" w:rsidRPr="002B7386" w:rsidRDefault="00D502D4" w:rsidP="00F341B3">
      <w:pPr>
        <w:rPr>
          <w:rFonts w:cstheme="minorHAnsi"/>
          <w:sz w:val="20"/>
          <w:szCs w:val="20"/>
        </w:rPr>
      </w:pPr>
      <w:r w:rsidRPr="002B7386">
        <w:rPr>
          <w:rFonts w:cstheme="minorHAnsi"/>
          <w:sz w:val="20"/>
          <w:szCs w:val="20"/>
        </w:rPr>
        <w:t>The borrower or investee hereby certifies the following</w:t>
      </w:r>
      <w:r w:rsidR="00353FAD" w:rsidRPr="002B7386">
        <w:rPr>
          <w:rFonts w:cstheme="minorHAnsi"/>
          <w:sz w:val="20"/>
          <w:szCs w:val="20"/>
        </w:rPr>
        <w:t xml:space="preserve"> to the </w:t>
      </w:r>
      <w:r w:rsidR="00B04F78">
        <w:rPr>
          <w:rFonts w:cstheme="minorHAnsi"/>
          <w:sz w:val="20"/>
          <w:szCs w:val="20"/>
        </w:rPr>
        <w:t>lender</w:t>
      </w:r>
      <w:r w:rsidR="00353FAD" w:rsidRPr="002B7386">
        <w:rPr>
          <w:rFonts w:cstheme="minorHAnsi"/>
          <w:sz w:val="20"/>
          <w:szCs w:val="20"/>
        </w:rPr>
        <w:t xml:space="preserve"> or investor</w:t>
      </w:r>
      <w:r w:rsidRPr="002B7386">
        <w:rPr>
          <w:rFonts w:cstheme="minorHAnsi"/>
          <w:sz w:val="20"/>
          <w:szCs w:val="20"/>
        </w:rPr>
        <w:t xml:space="preserve">: </w:t>
      </w:r>
    </w:p>
    <w:p w:rsidR="00E7572A" w:rsidRDefault="00D502D4" w:rsidP="00F341B3">
      <w:pPr>
        <w:pStyle w:val="ListParagraph"/>
        <w:numPr>
          <w:ilvl w:val="0"/>
          <w:numId w:val="17"/>
        </w:numPr>
        <w:spacing w:after="0"/>
        <w:ind w:left="360"/>
        <w:rPr>
          <w:rFonts w:cstheme="minorHAnsi"/>
          <w:sz w:val="20"/>
          <w:szCs w:val="20"/>
        </w:rPr>
      </w:pPr>
      <w:r w:rsidRPr="002B7386">
        <w:rPr>
          <w:rFonts w:cstheme="minorHAnsi"/>
          <w:sz w:val="20"/>
          <w:szCs w:val="20"/>
        </w:rPr>
        <w:t xml:space="preserve">The loan or investment proceeds </w:t>
      </w:r>
      <w:proofErr w:type="gramStart"/>
      <w:r w:rsidRPr="002B7386">
        <w:rPr>
          <w:rFonts w:cstheme="minorHAnsi"/>
          <w:sz w:val="20"/>
          <w:szCs w:val="20"/>
        </w:rPr>
        <w:t>will be used</w:t>
      </w:r>
      <w:proofErr w:type="gramEnd"/>
      <w:r w:rsidRPr="002B7386">
        <w:rPr>
          <w:rFonts w:cstheme="minorHAnsi"/>
          <w:sz w:val="20"/>
          <w:szCs w:val="20"/>
        </w:rPr>
        <w:t xml:space="preserve"> for a “business purpose.”  Business purpose includes, but is limited to, start up costs, working capital, business procurement, franchise fees, equipment, inventory, as well as the purchase, construction renovation or tenant improvements of an eligible place of business that is not for passive real estate investment purposes. </w:t>
      </w:r>
      <w:r w:rsidR="00F341B3">
        <w:rPr>
          <w:rFonts w:cstheme="minorHAnsi"/>
          <w:sz w:val="20"/>
          <w:szCs w:val="20"/>
        </w:rPr>
        <w:t xml:space="preserve"> </w:t>
      </w:r>
      <w:r w:rsidRPr="002B7386">
        <w:rPr>
          <w:rFonts w:cstheme="minorHAnsi"/>
          <w:sz w:val="20"/>
          <w:szCs w:val="20"/>
        </w:rPr>
        <w:t xml:space="preserve">The definition of business purpose </w:t>
      </w:r>
      <w:proofErr w:type="gramStart"/>
      <w:r w:rsidRPr="002B7386">
        <w:rPr>
          <w:rFonts w:cstheme="minorHAnsi"/>
          <w:sz w:val="20"/>
          <w:szCs w:val="20"/>
        </w:rPr>
        <w:t>excludes:</w:t>
      </w:r>
      <w:proofErr w:type="gramEnd"/>
      <w:r w:rsidRPr="002B7386">
        <w:rPr>
          <w:rFonts w:cstheme="minorHAnsi"/>
          <w:sz w:val="20"/>
          <w:szCs w:val="20"/>
        </w:rPr>
        <w:t xml:space="preserve"> activities that relate to acquiring or holding passive investments, such as commercial real estate ownership and the purchase of securities; and lobbying activities, as defined in Section 3(7) of the Lobbying Disclosure Act of 1995, P.L. 104-65, as amended.</w:t>
      </w:r>
      <w:r w:rsidRPr="002B7386">
        <w:rPr>
          <w:rFonts w:cstheme="minorHAnsi"/>
          <w:sz w:val="20"/>
          <w:szCs w:val="20"/>
        </w:rPr>
        <w:br/>
      </w:r>
    </w:p>
    <w:p w:rsidR="00E7572A" w:rsidRDefault="00D502D4" w:rsidP="00F341B3">
      <w:pPr>
        <w:pStyle w:val="ListParagraph"/>
        <w:numPr>
          <w:ilvl w:val="0"/>
          <w:numId w:val="17"/>
        </w:numPr>
        <w:spacing w:after="0"/>
        <w:ind w:left="360"/>
        <w:rPr>
          <w:rFonts w:cstheme="minorHAnsi"/>
          <w:sz w:val="20"/>
          <w:szCs w:val="20"/>
        </w:rPr>
      </w:pPr>
      <w:r w:rsidRPr="002B7386">
        <w:rPr>
          <w:rFonts w:cstheme="minorHAnsi"/>
          <w:sz w:val="20"/>
          <w:szCs w:val="20"/>
        </w:rPr>
        <w:t>The loan or investmen</w:t>
      </w:r>
      <w:r w:rsidR="00E618B4">
        <w:rPr>
          <w:rFonts w:cstheme="minorHAnsi"/>
          <w:sz w:val="20"/>
          <w:szCs w:val="20"/>
        </w:rPr>
        <w:t>t proceeds will not be used to:</w:t>
      </w:r>
    </w:p>
    <w:p w:rsidR="00E7572A" w:rsidRDefault="00D502D4" w:rsidP="00F341B3">
      <w:pPr>
        <w:pStyle w:val="ListParagraph"/>
        <w:numPr>
          <w:ilvl w:val="1"/>
          <w:numId w:val="17"/>
        </w:numPr>
        <w:spacing w:after="0"/>
        <w:ind w:left="1080"/>
        <w:rPr>
          <w:rFonts w:cstheme="minorHAnsi"/>
          <w:sz w:val="20"/>
          <w:szCs w:val="20"/>
        </w:rPr>
      </w:pPr>
      <w:r w:rsidRPr="002B7386">
        <w:rPr>
          <w:rFonts w:cstheme="minorHAnsi"/>
          <w:sz w:val="20"/>
          <w:szCs w:val="20"/>
        </w:rPr>
        <w:t>repay a delinquent federal or state income taxes unless the Borrower has a payment plan in place with th</w:t>
      </w:r>
      <w:r w:rsidR="00E618B4">
        <w:rPr>
          <w:rFonts w:cstheme="minorHAnsi"/>
          <w:sz w:val="20"/>
          <w:szCs w:val="20"/>
        </w:rPr>
        <w:t>e relevant taxing authority; or</w:t>
      </w:r>
    </w:p>
    <w:p w:rsidR="00E7572A" w:rsidRDefault="00D502D4" w:rsidP="00F341B3">
      <w:pPr>
        <w:pStyle w:val="ListParagraph"/>
        <w:numPr>
          <w:ilvl w:val="1"/>
          <w:numId w:val="17"/>
        </w:numPr>
        <w:spacing w:after="0"/>
        <w:ind w:left="1080"/>
        <w:rPr>
          <w:rFonts w:cstheme="minorHAnsi"/>
          <w:sz w:val="20"/>
          <w:szCs w:val="20"/>
        </w:rPr>
      </w:pPr>
      <w:r w:rsidRPr="002B7386">
        <w:rPr>
          <w:rFonts w:cstheme="minorHAnsi"/>
          <w:sz w:val="20"/>
          <w:szCs w:val="20"/>
        </w:rPr>
        <w:t xml:space="preserve">repay taxes held in trust or escrow, </w:t>
      </w:r>
      <w:r w:rsidR="00E618B4">
        <w:rPr>
          <w:rFonts w:cstheme="minorHAnsi"/>
          <w:sz w:val="20"/>
          <w:szCs w:val="20"/>
        </w:rPr>
        <w:t>e.g. payroll or sales taxes; or</w:t>
      </w:r>
    </w:p>
    <w:p w:rsidR="00E7572A" w:rsidRDefault="00D502D4" w:rsidP="00F341B3">
      <w:pPr>
        <w:pStyle w:val="ListParagraph"/>
        <w:numPr>
          <w:ilvl w:val="1"/>
          <w:numId w:val="17"/>
        </w:numPr>
        <w:spacing w:after="0"/>
        <w:ind w:left="1080"/>
        <w:rPr>
          <w:rFonts w:cstheme="minorHAnsi"/>
          <w:sz w:val="20"/>
          <w:szCs w:val="20"/>
        </w:rPr>
      </w:pPr>
      <w:r w:rsidRPr="002B7386">
        <w:rPr>
          <w:rFonts w:cstheme="minorHAnsi"/>
          <w:sz w:val="20"/>
          <w:szCs w:val="20"/>
        </w:rPr>
        <w:t>reimburse funds owed to any owner, including any equity injection or injection of capital for the busi</w:t>
      </w:r>
      <w:r w:rsidR="00E618B4">
        <w:rPr>
          <w:rFonts w:cstheme="minorHAnsi"/>
          <w:sz w:val="20"/>
          <w:szCs w:val="20"/>
        </w:rPr>
        <w:t>ness’ continuance; or</w:t>
      </w:r>
    </w:p>
    <w:p w:rsidR="00E7572A" w:rsidRDefault="00D502D4" w:rsidP="00F341B3">
      <w:pPr>
        <w:pStyle w:val="ListParagraph"/>
        <w:numPr>
          <w:ilvl w:val="1"/>
          <w:numId w:val="17"/>
        </w:numPr>
        <w:spacing w:after="0"/>
        <w:ind w:left="1080"/>
        <w:rPr>
          <w:rFonts w:cstheme="minorHAnsi"/>
          <w:sz w:val="20"/>
          <w:szCs w:val="20"/>
        </w:rPr>
      </w:pPr>
      <w:proofErr w:type="gramStart"/>
      <w:r w:rsidRPr="002B7386">
        <w:rPr>
          <w:rFonts w:cstheme="minorHAnsi"/>
          <w:sz w:val="20"/>
          <w:szCs w:val="20"/>
        </w:rPr>
        <w:t>to</w:t>
      </w:r>
      <w:proofErr w:type="gramEnd"/>
      <w:r w:rsidRPr="002B7386">
        <w:rPr>
          <w:rFonts w:cstheme="minorHAnsi"/>
          <w:sz w:val="20"/>
          <w:szCs w:val="20"/>
        </w:rPr>
        <w:t xml:space="preserve"> purchase any portion of the ownership interest of any owner of the business.</w:t>
      </w:r>
      <w:r w:rsidRPr="002B7386">
        <w:rPr>
          <w:rFonts w:cstheme="minorHAnsi"/>
          <w:sz w:val="20"/>
          <w:szCs w:val="20"/>
        </w:rPr>
        <w:br/>
      </w:r>
    </w:p>
    <w:p w:rsidR="00E7572A" w:rsidRDefault="00D502D4" w:rsidP="00F341B3">
      <w:pPr>
        <w:pStyle w:val="ListParagraph"/>
        <w:numPr>
          <w:ilvl w:val="0"/>
          <w:numId w:val="17"/>
        </w:numPr>
        <w:spacing w:after="0"/>
        <w:ind w:left="360"/>
        <w:rPr>
          <w:rFonts w:cstheme="minorHAnsi"/>
          <w:sz w:val="20"/>
          <w:szCs w:val="20"/>
        </w:rPr>
      </w:pPr>
      <w:r w:rsidRPr="002B7386">
        <w:rPr>
          <w:rFonts w:cstheme="minorHAnsi"/>
          <w:sz w:val="20"/>
          <w:szCs w:val="20"/>
        </w:rPr>
        <w:t>The borrower or investee is not:</w:t>
      </w:r>
    </w:p>
    <w:p w:rsidR="00E7572A" w:rsidRDefault="00D502D4" w:rsidP="00F341B3">
      <w:pPr>
        <w:pStyle w:val="ListParagraph"/>
        <w:numPr>
          <w:ilvl w:val="1"/>
          <w:numId w:val="17"/>
        </w:numPr>
        <w:spacing w:after="0"/>
        <w:ind w:left="1080"/>
        <w:rPr>
          <w:rFonts w:cstheme="minorHAnsi"/>
          <w:sz w:val="20"/>
          <w:szCs w:val="20"/>
        </w:rPr>
      </w:pPr>
      <w:r w:rsidRPr="002B7386">
        <w:rPr>
          <w:rFonts w:cstheme="minorHAnsi"/>
          <w:sz w:val="20"/>
          <w:szCs w:val="20"/>
        </w:rPr>
        <w:t xml:space="preserve">an executive officer, director, or principal shareholder of the </w:t>
      </w:r>
      <w:r w:rsidR="00B04F78">
        <w:rPr>
          <w:rFonts w:cstheme="minorHAnsi"/>
          <w:sz w:val="20"/>
          <w:szCs w:val="20"/>
        </w:rPr>
        <w:t>lender</w:t>
      </w:r>
      <w:r w:rsidR="00E618B4">
        <w:rPr>
          <w:rFonts w:cstheme="minorHAnsi"/>
          <w:sz w:val="20"/>
          <w:szCs w:val="20"/>
        </w:rPr>
        <w:t>; or</w:t>
      </w:r>
    </w:p>
    <w:p w:rsidR="00E7572A" w:rsidRDefault="00C12A22" w:rsidP="00F341B3">
      <w:pPr>
        <w:pStyle w:val="ListParagraph"/>
        <w:numPr>
          <w:ilvl w:val="1"/>
          <w:numId w:val="17"/>
        </w:numPr>
        <w:spacing w:after="0"/>
        <w:ind w:left="1080"/>
        <w:rPr>
          <w:rFonts w:cstheme="minorHAnsi"/>
          <w:sz w:val="20"/>
          <w:szCs w:val="20"/>
        </w:rPr>
      </w:pPr>
      <w:r>
        <w:rPr>
          <w:rFonts w:cstheme="minorHAnsi"/>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18.6pt;margin-top:245.1pt;width:429.6pt;height:156.25pt;rotation:315;z-index:-251651072;mso-position-horizontal-relative:margin;mso-position-vertical-relative:margin" strokecolor="#d8d8d8 [2732]">
            <v:fill opacity="19661f"/>
            <v:shadow color="#868686"/>
            <v:textpath style="font-family:&quot;Arial Black&quot;;v-text-kern:t" trim="t" fitpath="t" string="SAMPLE"/>
            <w10:wrap anchorx="margin" anchory="margin"/>
            <w10:anchorlock/>
          </v:shape>
        </w:pict>
      </w:r>
      <w:r w:rsidR="00D502D4" w:rsidRPr="002B7386">
        <w:rPr>
          <w:rFonts w:cstheme="minorHAnsi"/>
          <w:sz w:val="20"/>
          <w:szCs w:val="20"/>
        </w:rPr>
        <w:t xml:space="preserve">a member of the immediate family of an executive officer, director, or principal shareholder of the </w:t>
      </w:r>
      <w:r w:rsidR="00B04F78">
        <w:rPr>
          <w:rFonts w:cstheme="minorHAnsi"/>
          <w:sz w:val="20"/>
          <w:szCs w:val="20"/>
        </w:rPr>
        <w:t>lender</w:t>
      </w:r>
      <w:r w:rsidR="00E618B4">
        <w:rPr>
          <w:rFonts w:cstheme="minorHAnsi"/>
          <w:sz w:val="20"/>
          <w:szCs w:val="20"/>
        </w:rPr>
        <w:t>s; or</w:t>
      </w:r>
    </w:p>
    <w:p w:rsidR="00E7572A" w:rsidRDefault="00D502D4" w:rsidP="00F341B3">
      <w:pPr>
        <w:pStyle w:val="ListParagraph"/>
        <w:numPr>
          <w:ilvl w:val="1"/>
          <w:numId w:val="17"/>
        </w:numPr>
        <w:spacing w:after="0"/>
        <w:ind w:left="1080"/>
        <w:rPr>
          <w:rFonts w:cstheme="minorHAnsi"/>
          <w:sz w:val="20"/>
          <w:szCs w:val="20"/>
        </w:rPr>
      </w:pPr>
      <w:proofErr w:type="gramStart"/>
      <w:r w:rsidRPr="002B7386">
        <w:rPr>
          <w:rFonts w:cstheme="minorHAnsi"/>
          <w:sz w:val="20"/>
          <w:szCs w:val="20"/>
        </w:rPr>
        <w:t>a</w:t>
      </w:r>
      <w:proofErr w:type="gramEnd"/>
      <w:r w:rsidRPr="002B7386">
        <w:rPr>
          <w:rFonts w:cstheme="minorHAnsi"/>
          <w:sz w:val="20"/>
          <w:szCs w:val="20"/>
        </w:rPr>
        <w:t xml:space="preserve"> related interest of an such executive officer, director, principal shareholder, or member of the immediate family.</w:t>
      </w:r>
      <w:r w:rsidRPr="002B7386">
        <w:rPr>
          <w:rFonts w:cstheme="minorHAnsi"/>
          <w:sz w:val="20"/>
          <w:szCs w:val="20"/>
        </w:rPr>
        <w:br/>
      </w:r>
    </w:p>
    <w:p w:rsidR="00D502D4" w:rsidRPr="002B7386" w:rsidRDefault="00D502D4" w:rsidP="00F341B3">
      <w:pPr>
        <w:ind w:left="720"/>
        <w:rPr>
          <w:rFonts w:cstheme="minorHAnsi"/>
          <w:sz w:val="20"/>
          <w:szCs w:val="20"/>
        </w:rPr>
      </w:pPr>
      <w:r w:rsidRPr="002B7386">
        <w:rPr>
          <w:rFonts w:cstheme="minorHAnsi"/>
          <w:sz w:val="20"/>
          <w:szCs w:val="20"/>
        </w:rPr>
        <w:t xml:space="preserve">For the purposes of these three restrictions, the terms “executive officer”,  “director”, “principal shareholder”, “immediate family”, and “related interest” refer to the same relationship to a </w:t>
      </w:r>
      <w:r w:rsidR="00B04F78">
        <w:rPr>
          <w:rFonts w:cstheme="minorHAnsi"/>
          <w:sz w:val="20"/>
          <w:szCs w:val="20"/>
        </w:rPr>
        <w:t>lender</w:t>
      </w:r>
      <w:r w:rsidRPr="002B7386">
        <w:rPr>
          <w:rFonts w:cstheme="minorHAnsi"/>
          <w:sz w:val="20"/>
          <w:szCs w:val="20"/>
        </w:rPr>
        <w:t xml:space="preserve"> as the relationship described in part 215 of title 12 of the Code of Federal Regulations, or any successor to such part.</w:t>
      </w:r>
    </w:p>
    <w:p w:rsidR="00E7572A" w:rsidRDefault="00D502D4" w:rsidP="00F341B3">
      <w:pPr>
        <w:pStyle w:val="ListParagraph"/>
        <w:numPr>
          <w:ilvl w:val="0"/>
          <w:numId w:val="17"/>
        </w:numPr>
        <w:spacing w:after="0"/>
        <w:ind w:left="360"/>
        <w:rPr>
          <w:rFonts w:cstheme="minorHAnsi"/>
          <w:sz w:val="20"/>
          <w:szCs w:val="20"/>
        </w:rPr>
      </w:pPr>
      <w:r w:rsidRPr="002B7386">
        <w:rPr>
          <w:rFonts w:cstheme="minorHAnsi"/>
          <w:sz w:val="20"/>
          <w:szCs w:val="20"/>
        </w:rPr>
        <w:t>The borrower or investee</w:t>
      </w:r>
      <w:r w:rsidRPr="002B7386">
        <w:rPr>
          <w:rStyle w:val="FootnoteReference"/>
          <w:rFonts w:cstheme="minorHAnsi"/>
          <w:sz w:val="20"/>
          <w:szCs w:val="20"/>
        </w:rPr>
        <w:t xml:space="preserve"> </w:t>
      </w:r>
      <w:r w:rsidRPr="002B7386">
        <w:rPr>
          <w:rFonts w:cstheme="minorHAnsi"/>
          <w:sz w:val="20"/>
          <w:szCs w:val="20"/>
        </w:rPr>
        <w:t>is not:</w:t>
      </w:r>
    </w:p>
    <w:p w:rsidR="00E7572A" w:rsidRDefault="00D502D4" w:rsidP="00F341B3">
      <w:pPr>
        <w:pStyle w:val="ListParagraph"/>
        <w:numPr>
          <w:ilvl w:val="1"/>
          <w:numId w:val="17"/>
        </w:numPr>
        <w:spacing w:before="120" w:after="0"/>
        <w:ind w:left="1080"/>
        <w:rPr>
          <w:rFonts w:cstheme="minorHAnsi"/>
          <w:sz w:val="20"/>
          <w:szCs w:val="20"/>
        </w:rPr>
      </w:pPr>
      <w:r w:rsidRPr="002B7386">
        <w:rPr>
          <w:rFonts w:cstheme="minorHAnsi"/>
          <w:sz w:val="20"/>
          <w:szCs w:val="20"/>
        </w:rPr>
        <w:t>a business engaged in speculative activities that develop profits from fluctuations in price rather than through normal course of trade, such as wildcatting for oil and dealing in commodities futures, unless those activities are incidental to the regular activities of the business and part of a legitimate risk management strategy to guard against price fluctuations related to the regular activities of the busin</w:t>
      </w:r>
      <w:r w:rsidR="00E618B4">
        <w:rPr>
          <w:rFonts w:cstheme="minorHAnsi"/>
          <w:sz w:val="20"/>
          <w:szCs w:val="20"/>
        </w:rPr>
        <w:t>ess; or</w:t>
      </w:r>
    </w:p>
    <w:p w:rsidR="00E7572A" w:rsidRDefault="00D502D4" w:rsidP="00F341B3">
      <w:pPr>
        <w:pStyle w:val="ListParagraph"/>
        <w:numPr>
          <w:ilvl w:val="1"/>
          <w:numId w:val="17"/>
        </w:numPr>
        <w:spacing w:before="120" w:after="0"/>
        <w:ind w:left="1080"/>
        <w:rPr>
          <w:rFonts w:cstheme="minorHAnsi"/>
          <w:sz w:val="20"/>
          <w:szCs w:val="20"/>
        </w:rPr>
      </w:pPr>
      <w:r w:rsidRPr="002B7386">
        <w:rPr>
          <w:rFonts w:cstheme="minorHAnsi"/>
          <w:sz w:val="20"/>
          <w:szCs w:val="20"/>
        </w:rPr>
        <w:lastRenderedPageBreak/>
        <w:t>a business that earns more than half of its annual net revenue from lending activities; unless the business is a non-bank or non-bank holding company Community Develop</w:t>
      </w:r>
      <w:r w:rsidR="00E618B4">
        <w:rPr>
          <w:rFonts w:cstheme="minorHAnsi"/>
          <w:sz w:val="20"/>
          <w:szCs w:val="20"/>
        </w:rPr>
        <w:t>ment Financial Institutions; or</w:t>
      </w:r>
    </w:p>
    <w:p w:rsidR="00E7572A" w:rsidRDefault="00D502D4" w:rsidP="00F341B3">
      <w:pPr>
        <w:pStyle w:val="ListParagraph"/>
        <w:numPr>
          <w:ilvl w:val="1"/>
          <w:numId w:val="17"/>
        </w:numPr>
        <w:spacing w:before="120" w:after="0"/>
        <w:ind w:left="1080"/>
        <w:rPr>
          <w:rFonts w:cstheme="minorHAnsi"/>
          <w:sz w:val="20"/>
          <w:szCs w:val="20"/>
        </w:rPr>
      </w:pPr>
      <w:r w:rsidRPr="002B7386">
        <w:rPr>
          <w:rFonts w:cstheme="minorHAnsi"/>
          <w:sz w:val="20"/>
          <w:szCs w:val="20"/>
        </w:rPr>
        <w:t>a business engaged in pyramid sales, where a participant's primary incentive is based on the sales made by an ever-increa</w:t>
      </w:r>
      <w:r w:rsidR="00E618B4">
        <w:rPr>
          <w:rFonts w:cstheme="minorHAnsi"/>
          <w:sz w:val="20"/>
          <w:szCs w:val="20"/>
        </w:rPr>
        <w:t>sing number of participants; or</w:t>
      </w:r>
    </w:p>
    <w:p w:rsidR="00E7572A" w:rsidRDefault="00D502D4" w:rsidP="00F341B3">
      <w:pPr>
        <w:pStyle w:val="ListParagraph"/>
        <w:numPr>
          <w:ilvl w:val="1"/>
          <w:numId w:val="17"/>
        </w:numPr>
        <w:spacing w:before="120" w:after="0"/>
        <w:ind w:left="1080"/>
        <w:rPr>
          <w:rFonts w:cstheme="minorHAnsi"/>
          <w:sz w:val="20"/>
          <w:szCs w:val="20"/>
        </w:rPr>
      </w:pPr>
      <w:proofErr w:type="gramStart"/>
      <w:r w:rsidRPr="002B7386">
        <w:rPr>
          <w:rFonts w:cstheme="minorHAnsi"/>
          <w:sz w:val="20"/>
          <w:szCs w:val="20"/>
        </w:rPr>
        <w:t>a</w:t>
      </w:r>
      <w:proofErr w:type="gramEnd"/>
      <w:r w:rsidRPr="002B7386">
        <w:rPr>
          <w:rFonts w:cstheme="minorHAnsi"/>
          <w:sz w:val="20"/>
          <w:szCs w:val="20"/>
        </w:rPr>
        <w:t xml:space="preserve"> business engaged in activities that are prohibited by federal law or applicable law in the jurisdiction where the business is located or conducted.  (Included in these activities is the production, servicing, or distribution of otherwise legal products that are to be used in connection with an illegal activity, such as selling drug paraphernalia or operating a motel that knowingly permits illegal pro</w:t>
      </w:r>
      <w:r w:rsidR="00E618B4">
        <w:rPr>
          <w:rFonts w:cstheme="minorHAnsi"/>
          <w:sz w:val="20"/>
          <w:szCs w:val="20"/>
        </w:rPr>
        <w:t>stitution); or</w:t>
      </w:r>
    </w:p>
    <w:p w:rsidR="00E7572A" w:rsidRDefault="00D502D4" w:rsidP="00F341B3">
      <w:pPr>
        <w:pStyle w:val="ListParagraph"/>
        <w:numPr>
          <w:ilvl w:val="1"/>
          <w:numId w:val="17"/>
        </w:numPr>
        <w:spacing w:before="120" w:after="0"/>
        <w:ind w:left="1080"/>
        <w:rPr>
          <w:rFonts w:cstheme="minorHAnsi"/>
          <w:sz w:val="20"/>
          <w:szCs w:val="20"/>
        </w:rPr>
      </w:pPr>
      <w:proofErr w:type="gramStart"/>
      <w:r w:rsidRPr="002B7386">
        <w:rPr>
          <w:rFonts w:cstheme="minorHAnsi"/>
          <w:sz w:val="20"/>
          <w:szCs w:val="20"/>
        </w:rPr>
        <w:t>a</w:t>
      </w:r>
      <w:proofErr w:type="gramEnd"/>
      <w:r w:rsidRPr="002B7386">
        <w:rPr>
          <w:rFonts w:cstheme="minorHAnsi"/>
          <w:sz w:val="20"/>
          <w:szCs w:val="20"/>
        </w:rPr>
        <w:t xml:space="preserve"> business engaged in gambling enterprises, unless the business earns less than 33% of its annual net revenue from lottery sales.</w:t>
      </w:r>
      <w:r w:rsidRPr="002B7386">
        <w:rPr>
          <w:rFonts w:cstheme="minorHAnsi"/>
          <w:sz w:val="20"/>
          <w:szCs w:val="20"/>
        </w:rPr>
        <w:br/>
      </w:r>
    </w:p>
    <w:p w:rsidR="00D33697" w:rsidRPr="00D33697" w:rsidRDefault="00D33697" w:rsidP="00F341B3">
      <w:pPr>
        <w:tabs>
          <w:tab w:val="left" w:pos="4320"/>
        </w:tabs>
        <w:ind w:left="3600"/>
        <w:rPr>
          <w:rFonts w:cstheme="minorHAnsi"/>
          <w:sz w:val="20"/>
          <w:szCs w:val="20"/>
        </w:rPr>
      </w:pPr>
      <w:r w:rsidRPr="00D33697">
        <w:rPr>
          <w:rFonts w:cstheme="minorHAnsi"/>
          <w:sz w:val="20"/>
          <w:szCs w:val="20"/>
        </w:rPr>
        <w:t>Legal Name:</w:t>
      </w:r>
    </w:p>
    <w:p w:rsidR="00D33697" w:rsidRPr="00D33697" w:rsidRDefault="00D33697" w:rsidP="00F341B3">
      <w:pPr>
        <w:tabs>
          <w:tab w:val="left" w:pos="4320"/>
        </w:tabs>
        <w:ind w:left="3600"/>
        <w:rPr>
          <w:rFonts w:cstheme="minorHAnsi"/>
          <w:sz w:val="20"/>
          <w:szCs w:val="20"/>
          <w:u w:val="single"/>
        </w:rPr>
      </w:pP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p>
    <w:p w:rsidR="00D33697" w:rsidRPr="00D33697" w:rsidRDefault="00D33697" w:rsidP="00F341B3">
      <w:pPr>
        <w:tabs>
          <w:tab w:val="left" w:pos="4320"/>
        </w:tabs>
        <w:ind w:left="3600"/>
        <w:rPr>
          <w:rFonts w:cstheme="minorHAnsi"/>
          <w:sz w:val="20"/>
          <w:szCs w:val="20"/>
        </w:rPr>
      </w:pPr>
    </w:p>
    <w:p w:rsidR="00D33697" w:rsidRPr="00D33697" w:rsidRDefault="00D33697" w:rsidP="00F341B3">
      <w:pPr>
        <w:tabs>
          <w:tab w:val="left" w:pos="4320"/>
        </w:tabs>
        <w:ind w:left="3600"/>
        <w:rPr>
          <w:rFonts w:cstheme="minorHAnsi"/>
          <w:sz w:val="20"/>
          <w:szCs w:val="20"/>
        </w:rPr>
      </w:pPr>
      <w:r w:rsidRPr="00D33697">
        <w:rPr>
          <w:rFonts w:cstheme="minorHAnsi"/>
          <w:sz w:val="20"/>
          <w:szCs w:val="20"/>
        </w:rPr>
        <w:t>By:</w:t>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p>
    <w:p w:rsidR="00D33697" w:rsidRPr="00D33697" w:rsidRDefault="00D33697" w:rsidP="00F341B3">
      <w:pPr>
        <w:tabs>
          <w:tab w:val="left" w:pos="4320"/>
        </w:tabs>
        <w:ind w:left="3600"/>
        <w:rPr>
          <w:rFonts w:cstheme="minorHAnsi"/>
          <w:sz w:val="20"/>
          <w:szCs w:val="20"/>
        </w:rPr>
      </w:pPr>
      <w:r w:rsidRPr="00D33697">
        <w:rPr>
          <w:rFonts w:cstheme="minorHAnsi"/>
          <w:sz w:val="20"/>
          <w:szCs w:val="20"/>
        </w:rPr>
        <w:tab/>
        <w:t>Authorized Signatory</w:t>
      </w:r>
    </w:p>
    <w:p w:rsidR="00D33697" w:rsidRPr="00D33697" w:rsidRDefault="00D33697" w:rsidP="00F341B3">
      <w:pPr>
        <w:tabs>
          <w:tab w:val="left" w:pos="4320"/>
        </w:tabs>
        <w:ind w:left="3600"/>
        <w:rPr>
          <w:rFonts w:cstheme="minorHAnsi"/>
          <w:sz w:val="20"/>
          <w:szCs w:val="20"/>
        </w:rPr>
      </w:pPr>
    </w:p>
    <w:p w:rsidR="00D33697" w:rsidRPr="00D33697" w:rsidRDefault="00D33697" w:rsidP="00F341B3">
      <w:pPr>
        <w:tabs>
          <w:tab w:val="left" w:pos="4320"/>
        </w:tabs>
        <w:ind w:left="3600"/>
        <w:rPr>
          <w:rFonts w:cstheme="minorHAnsi"/>
          <w:sz w:val="20"/>
          <w:szCs w:val="20"/>
        </w:rPr>
      </w:pPr>
      <w:r w:rsidRPr="00D33697">
        <w:rPr>
          <w:rFonts w:cstheme="minorHAnsi"/>
          <w:sz w:val="20"/>
          <w:szCs w:val="20"/>
        </w:rPr>
        <w:t>Name:</w:t>
      </w:r>
      <w:r w:rsidRPr="00D33697">
        <w:rPr>
          <w:rFonts w:cstheme="minorHAnsi"/>
          <w:sz w:val="20"/>
          <w:szCs w:val="20"/>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p>
    <w:p w:rsidR="00D33697" w:rsidRPr="00D33697" w:rsidRDefault="00D33697" w:rsidP="00F341B3">
      <w:pPr>
        <w:tabs>
          <w:tab w:val="left" w:pos="4320"/>
        </w:tabs>
        <w:ind w:left="3600"/>
        <w:rPr>
          <w:rFonts w:cstheme="minorHAnsi"/>
          <w:sz w:val="20"/>
          <w:szCs w:val="20"/>
        </w:rPr>
      </w:pPr>
    </w:p>
    <w:p w:rsidR="00D33697" w:rsidRPr="00D33697" w:rsidRDefault="00D33697" w:rsidP="00F341B3">
      <w:pPr>
        <w:tabs>
          <w:tab w:val="left" w:pos="4320"/>
        </w:tabs>
        <w:ind w:left="3600"/>
        <w:rPr>
          <w:rFonts w:cstheme="minorHAnsi"/>
          <w:sz w:val="20"/>
          <w:szCs w:val="20"/>
        </w:rPr>
      </w:pPr>
      <w:r w:rsidRPr="00D33697">
        <w:rPr>
          <w:rFonts w:cstheme="minorHAnsi"/>
          <w:sz w:val="20"/>
          <w:szCs w:val="20"/>
        </w:rPr>
        <w:t>Title:</w:t>
      </w:r>
      <w:r w:rsidRPr="00D33697">
        <w:rPr>
          <w:rFonts w:cstheme="minorHAnsi"/>
          <w:sz w:val="20"/>
          <w:szCs w:val="20"/>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p>
    <w:p w:rsidR="00D33697" w:rsidRPr="00D33697" w:rsidRDefault="00D33697" w:rsidP="00F341B3">
      <w:pPr>
        <w:tabs>
          <w:tab w:val="left" w:pos="4320"/>
        </w:tabs>
        <w:ind w:left="3600"/>
        <w:rPr>
          <w:rFonts w:cstheme="minorHAnsi"/>
          <w:sz w:val="20"/>
          <w:szCs w:val="20"/>
        </w:rPr>
      </w:pPr>
    </w:p>
    <w:p w:rsidR="00D502D4" w:rsidRPr="002B7386" w:rsidRDefault="00C12A22" w:rsidP="00F341B3">
      <w:pPr>
        <w:tabs>
          <w:tab w:val="left" w:pos="4320"/>
        </w:tabs>
        <w:ind w:left="3600"/>
        <w:rPr>
          <w:rFonts w:cstheme="minorHAnsi"/>
          <w:sz w:val="20"/>
          <w:szCs w:val="20"/>
        </w:rPr>
      </w:pPr>
      <w:r>
        <w:rPr>
          <w:rFonts w:cstheme="minorHAnsi"/>
          <w:noProof/>
          <w:sz w:val="20"/>
          <w:szCs w:val="20"/>
        </w:rPr>
        <w:pict>
          <v:shape id="_x0000_s1037" type="#_x0000_t136" style="position:absolute;left:0;text-align:left;margin-left:-6.4pt;margin-top:202.95pt;width:429.6pt;height:156.25pt;rotation:315;z-index:-251648000;mso-position-horizontal-relative:margin;mso-position-vertical-relative:margin" strokecolor="#d8d8d8 [2732]">
            <v:fill opacity="19661f"/>
            <v:shadow color="#868686"/>
            <v:textpath style="font-family:&quot;Arial Black&quot;;v-text-kern:t" trim="t" fitpath="t" string="SAMPLE"/>
            <w10:wrap anchorx="margin" anchory="margin"/>
            <w10:anchorlock/>
          </v:shape>
        </w:pict>
      </w:r>
      <w:r w:rsidR="00D33697" w:rsidRPr="00D33697">
        <w:rPr>
          <w:rFonts w:cstheme="minorHAnsi"/>
          <w:sz w:val="20"/>
          <w:szCs w:val="20"/>
        </w:rPr>
        <w:t>Date:</w:t>
      </w:r>
      <w:r w:rsidR="00D33697" w:rsidRPr="00D33697">
        <w:rPr>
          <w:rFonts w:cstheme="minorHAnsi"/>
          <w:sz w:val="20"/>
          <w:szCs w:val="20"/>
        </w:rPr>
        <w:tab/>
      </w:r>
      <w:r w:rsidR="00D33697" w:rsidRPr="00D33697">
        <w:rPr>
          <w:rFonts w:cstheme="minorHAnsi"/>
          <w:sz w:val="20"/>
          <w:szCs w:val="20"/>
          <w:u w:val="single"/>
        </w:rPr>
        <w:tab/>
      </w:r>
      <w:r w:rsidR="00D33697" w:rsidRPr="00D33697">
        <w:rPr>
          <w:rFonts w:cstheme="minorHAnsi"/>
          <w:sz w:val="20"/>
          <w:szCs w:val="20"/>
          <w:u w:val="single"/>
        </w:rPr>
        <w:tab/>
      </w:r>
      <w:r w:rsidR="00D33697" w:rsidRPr="00D33697">
        <w:rPr>
          <w:rFonts w:cstheme="minorHAnsi"/>
          <w:sz w:val="20"/>
          <w:szCs w:val="20"/>
          <w:u w:val="single"/>
        </w:rPr>
        <w:tab/>
      </w:r>
      <w:r w:rsidR="00D33697" w:rsidRPr="00D33697">
        <w:rPr>
          <w:rFonts w:cstheme="minorHAnsi"/>
          <w:sz w:val="20"/>
          <w:szCs w:val="20"/>
          <w:u w:val="single"/>
        </w:rPr>
        <w:tab/>
      </w:r>
      <w:r w:rsidR="00D33697" w:rsidRPr="00D33697">
        <w:rPr>
          <w:rFonts w:cstheme="minorHAnsi"/>
          <w:sz w:val="20"/>
          <w:szCs w:val="20"/>
          <w:u w:val="single"/>
        </w:rPr>
        <w:tab/>
      </w:r>
    </w:p>
    <w:p w:rsidR="00D33697" w:rsidRDefault="00D33697" w:rsidP="00F341B3">
      <w:pPr>
        <w:ind w:firstLine="360"/>
        <w:rPr>
          <w:rFonts w:cstheme="minorHAnsi"/>
          <w:sz w:val="20"/>
          <w:szCs w:val="20"/>
        </w:rPr>
        <w:sectPr w:rsidR="00D33697" w:rsidSect="00A52C02">
          <w:headerReference w:type="even" r:id="rId18"/>
          <w:headerReference w:type="default" r:id="rId19"/>
          <w:footerReference w:type="default" r:id="rId20"/>
          <w:headerReference w:type="first" r:id="rId21"/>
          <w:pgSz w:w="12240" w:h="15840"/>
          <w:pgMar w:top="1440" w:right="1800" w:bottom="1440" w:left="1800" w:header="720" w:footer="720" w:gutter="0"/>
          <w:pgNumType w:start="1" w:chapStyle="3"/>
          <w:cols w:space="720"/>
          <w:docGrid w:linePitch="360"/>
        </w:sectPr>
      </w:pPr>
    </w:p>
    <w:p w:rsidR="00F341B3" w:rsidRDefault="00C12A22" w:rsidP="00F341B3">
      <w:pPr>
        <w:pStyle w:val="Heading3"/>
        <w:spacing w:before="600" w:after="0"/>
        <w:jc w:val="center"/>
      </w:pPr>
      <w:r w:rsidRPr="00C12A22">
        <w:rPr>
          <w:rFonts w:cstheme="minorHAnsi"/>
          <w:noProof/>
          <w:sz w:val="20"/>
          <w:szCs w:val="20"/>
        </w:rPr>
        <w:lastRenderedPageBreak/>
        <w:pict>
          <v:shape id="Text Box 3" o:spid="_x0000_s1027" type="#_x0000_t202" style="position:absolute;left:0;text-align:left;margin-left:0;margin-top:0;width:457.15pt;height:93.2pt;z-index:251659264;visibility:visible;mso-position-horizontal:center;mso-position-horizontal-relative:margin;mso-position-vertical:top;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">
            <v:textbox>
              <w:txbxContent>
                <w:p w:rsidR="00F42D89" w:rsidRPr="00D33697" w:rsidRDefault="00F42D89" w:rsidP="00E618B4">
                  <w:pPr>
                    <w:jc w:val="both"/>
                    <w:rPr>
                      <w:i/>
                    </w:rPr>
                  </w:pPr>
                  <w:r w:rsidRPr="00D33697">
                    <w:rPr>
                      <w:i/>
                      <w:sz w:val="20"/>
                    </w:rPr>
                    <w:t>Treasury has created th</w:t>
                  </w:r>
                  <w:r>
                    <w:rPr>
                      <w:i/>
                      <w:sz w:val="20"/>
                    </w:rPr>
                    <w:t>is</w:t>
                  </w:r>
                  <w:r w:rsidRPr="00D33697">
                    <w:rPr>
                      <w:i/>
                      <w:sz w:val="20"/>
                    </w:rPr>
                    <w:t xml:space="preserve"> sample self-certification that a participating state, territory or municipality may use in order to obtain certification </w:t>
                  </w:r>
                  <w:r>
                    <w:rPr>
                      <w:i/>
                      <w:sz w:val="20"/>
                    </w:rPr>
                    <w:t xml:space="preserve">from lenders, investors, and </w:t>
                  </w:r>
                  <w:r w:rsidRPr="00D33697">
                    <w:rPr>
                      <w:i/>
                      <w:sz w:val="20"/>
                    </w:rPr>
                    <w:t>small business borrowers or investees.  Th</w:t>
                  </w:r>
                  <w:r>
                    <w:rPr>
                      <w:i/>
                      <w:sz w:val="20"/>
                    </w:rPr>
                    <w:t>is</w:t>
                  </w:r>
                  <w:r w:rsidRPr="00D33697">
                    <w:rPr>
                      <w:i/>
                      <w:sz w:val="20"/>
                    </w:rPr>
                    <w:t xml:space="preserve"> certification</w:t>
                  </w:r>
                  <w:r>
                    <w:rPr>
                      <w:i/>
                      <w:sz w:val="20"/>
                    </w:rPr>
                    <w:t xml:space="preserve"> </w:t>
                  </w:r>
                  <w:proofErr w:type="gramStart"/>
                  <w:r>
                    <w:rPr>
                      <w:i/>
                      <w:sz w:val="20"/>
                    </w:rPr>
                    <w:t>is</w:t>
                  </w:r>
                  <w:r w:rsidRPr="00D33697">
                    <w:rPr>
                      <w:i/>
                      <w:sz w:val="20"/>
                    </w:rPr>
                    <w:t xml:space="preserve"> not intended</w:t>
                  </w:r>
                  <w:proofErr w:type="gramEnd"/>
                  <w:r w:rsidRPr="00D33697">
                    <w:rPr>
                      <w:i/>
                      <w:sz w:val="20"/>
                    </w:rPr>
                    <w:t xml:space="preserve"> to replace or supersede any internal controls the participating state, territory, or municipality has in place.  Rather, </w:t>
                  </w:r>
                  <w:proofErr w:type="gramStart"/>
                  <w:r>
                    <w:rPr>
                      <w:i/>
                      <w:sz w:val="20"/>
                    </w:rPr>
                    <w:t>this</w:t>
                  </w:r>
                  <w:proofErr w:type="gramEnd"/>
                  <w:r w:rsidRPr="00D33697">
                    <w:rPr>
                      <w:i/>
                      <w:sz w:val="20"/>
                    </w:rPr>
                    <w:t xml:space="preserve"> certifications </w:t>
                  </w:r>
                  <w:r>
                    <w:rPr>
                      <w:i/>
                      <w:sz w:val="20"/>
                    </w:rPr>
                    <w:t>is</w:t>
                  </w:r>
                  <w:r w:rsidRPr="00D33697">
                    <w:rPr>
                      <w:i/>
                      <w:sz w:val="20"/>
                    </w:rPr>
                    <w:t xml:space="preserve"> provided for illustrative purposes and </w:t>
                  </w:r>
                  <w:r>
                    <w:rPr>
                      <w:i/>
                      <w:sz w:val="20"/>
                    </w:rPr>
                    <w:t>is</w:t>
                  </w:r>
                  <w:r w:rsidRPr="00D33697">
                    <w:rPr>
                      <w:i/>
                      <w:sz w:val="20"/>
                    </w:rPr>
                    <w:t xml:space="preserve"> available for use by the participating state, territory, or municipality according to their discretion.  These sample certifications </w:t>
                  </w:r>
                  <w:proofErr w:type="gramStart"/>
                  <w:r w:rsidRPr="00D33697">
                    <w:rPr>
                      <w:i/>
                      <w:sz w:val="20"/>
                    </w:rPr>
                    <w:t>are also attached</w:t>
                  </w:r>
                  <w:proofErr w:type="gramEnd"/>
                  <w:r w:rsidRPr="00D33697">
                    <w:rPr>
                      <w:i/>
                      <w:sz w:val="20"/>
                    </w:rPr>
                    <w:t xml:space="preserve"> as Annexes to </w:t>
                  </w:r>
                  <w:r>
                    <w:rPr>
                      <w:i/>
                      <w:sz w:val="20"/>
                    </w:rPr>
                    <w:t xml:space="preserve">the </w:t>
                  </w:r>
                  <w:r w:rsidRPr="00D33697">
                    <w:rPr>
                      <w:i/>
                      <w:sz w:val="20"/>
                    </w:rPr>
                    <w:t>SSBCI Frequently Asked Questions Document</w:t>
                  </w:r>
                  <w:r>
                    <w:rPr>
                      <w:i/>
                      <w:sz w:val="20"/>
                    </w:rPr>
                    <w:t xml:space="preserve"> available at </w:t>
                  </w:r>
                  <w:hyperlink r:id="rId22" w:history="1">
                    <w:r w:rsidRPr="00E618B4">
                      <w:rPr>
                        <w:rStyle w:val="Hyperlink"/>
                        <w:i/>
                        <w:sz w:val="20"/>
                      </w:rPr>
                      <w:t>www.treasury.gov/ssbci</w:t>
                    </w:r>
                  </w:hyperlink>
                  <w:r w:rsidRPr="00D33697">
                    <w:rPr>
                      <w:i/>
                      <w:sz w:val="20"/>
                    </w:rPr>
                    <w:t>.</w:t>
                  </w:r>
                </w:p>
                <w:p w:rsidR="00F42D89" w:rsidRPr="00E618B4" w:rsidRDefault="00F42D89" w:rsidP="00E618B4"/>
              </w:txbxContent>
            </v:textbox>
            <w10:wrap type="square" anchorx="margin" anchory="margin"/>
            <w10:anchorlock/>
          </v:shape>
        </w:pict>
      </w:r>
      <w:r w:rsidR="00353FAD" w:rsidRPr="002B7386">
        <w:t xml:space="preserve">Example Sex Offender Certification </w:t>
      </w:r>
    </w:p>
    <w:p w:rsidR="00353FAD" w:rsidRPr="007E0BD4" w:rsidRDefault="00353FAD" w:rsidP="00F341B3">
      <w:pPr>
        <w:pStyle w:val="Heading3"/>
        <w:spacing w:before="0"/>
        <w:jc w:val="center"/>
        <w:rPr>
          <w:rFonts w:cstheme="minorHAnsi"/>
          <w:sz w:val="20"/>
          <w:szCs w:val="20"/>
        </w:rPr>
      </w:pPr>
      <w:r w:rsidRPr="002B7386">
        <w:t>(May be Used for Both Borrowers/Investees and Lenders/Investors)</w:t>
      </w:r>
    </w:p>
    <w:p w:rsidR="00353FAD" w:rsidRPr="002B7386" w:rsidRDefault="00353FAD" w:rsidP="00F341B3">
      <w:pPr>
        <w:rPr>
          <w:rFonts w:cstheme="minorHAnsi"/>
          <w:sz w:val="20"/>
          <w:szCs w:val="20"/>
        </w:rPr>
      </w:pPr>
      <w:r w:rsidRPr="002B7386">
        <w:rPr>
          <w:rFonts w:cstheme="minorHAnsi"/>
          <w:sz w:val="20"/>
          <w:szCs w:val="20"/>
        </w:rPr>
        <w:t xml:space="preserve">This certification is required by Section 3011(c)(2) of the Small Business Jobs Act of 2010 from any private entity that receives a loan, a loan guarantee, or other financial assistance using funds received by a participating State under the State Small Business Credit Initiative. </w:t>
      </w:r>
    </w:p>
    <w:p w:rsidR="00A52C02" w:rsidRDefault="00187FDC" w:rsidP="00F341B3">
      <w:pPr>
        <w:rPr>
          <w:rFonts w:cstheme="minorHAnsi"/>
          <w:sz w:val="20"/>
          <w:szCs w:val="20"/>
        </w:rPr>
      </w:pPr>
      <w:r w:rsidRPr="002B7386">
        <w:rPr>
          <w:rFonts w:cstheme="minorHAnsi"/>
          <w:sz w:val="20"/>
          <w:szCs w:val="20"/>
        </w:rPr>
        <w:t xml:space="preserve">Legal name of entity: </w:t>
      </w:r>
    </w:p>
    <w:p w:rsidR="00353FAD" w:rsidRPr="002B7386" w:rsidRDefault="00187FDC" w:rsidP="00F341B3">
      <w:pPr>
        <w:rPr>
          <w:rFonts w:cstheme="minorHAnsi"/>
          <w:sz w:val="20"/>
          <w:szCs w:val="20"/>
        </w:rPr>
      </w:pPr>
      <w:r w:rsidRPr="002B7386">
        <w:rPr>
          <w:rFonts w:cstheme="minorHAnsi"/>
          <w:sz w:val="20"/>
          <w:szCs w:val="20"/>
        </w:rPr>
        <w:t>___________________________________________________________________</w:t>
      </w:r>
    </w:p>
    <w:p w:rsidR="00F016E1" w:rsidRDefault="00C12A22" w:rsidP="00F016E1">
      <w:pPr>
        <w:rPr>
          <w:rFonts w:cstheme="minorHAnsi"/>
          <w:sz w:val="20"/>
          <w:szCs w:val="20"/>
        </w:rPr>
      </w:pPr>
      <w:r>
        <w:rPr>
          <w:rFonts w:cstheme="minorHAnsi"/>
          <w:noProof/>
          <w:sz w:val="20"/>
          <w:szCs w:val="20"/>
        </w:rPr>
        <w:pict>
          <v:shape id="_x0000_s1035" type="#_x0000_t136" style="position:absolute;margin-left:-5.75pt;margin-top:219.25pt;width:429.6pt;height:156.25pt;rotation:315;z-index:-251650048;mso-position-horizontal-relative:margin;mso-position-vertical-relative:margin" strokecolor="#d8d8d8 [2732]">
            <v:fill opacity="19661f"/>
            <v:shadow color="#868686"/>
            <v:textpath style="font-family:&quot;Arial Black&quot;;v-text-kern:t" trim="t" fitpath="t" string="SAMPLE"/>
            <w10:wrap anchorx="margin" anchory="margin"/>
            <w10:anchorlock/>
          </v:shape>
        </w:pict>
      </w:r>
      <w:proofErr w:type="gramStart"/>
      <w:r w:rsidR="00353FAD" w:rsidRPr="002B7386">
        <w:rPr>
          <w:rFonts w:cstheme="minorHAnsi"/>
          <w:sz w:val="20"/>
          <w:szCs w:val="20"/>
        </w:rPr>
        <w:t>As required by Section 3011(c)(2) of the Small Business Jobs Act of 2010, the private entity hereby certifies to the participating State that the Principals of the private entity have not been convicted of a sex offense against a minor (as such terms are defined in section 111 of the Sex Offender Registration and Notification Act (42 U.S.C. 16911)).</w:t>
      </w:r>
      <w:proofErr w:type="gramEnd"/>
      <w:r w:rsidR="00353FAD" w:rsidRPr="002B7386">
        <w:rPr>
          <w:rFonts w:cstheme="minorHAnsi"/>
          <w:sz w:val="20"/>
          <w:szCs w:val="20"/>
        </w:rPr>
        <w:t xml:space="preserve">  </w:t>
      </w:r>
      <w:proofErr w:type="gramStart"/>
      <w:r w:rsidR="00353FAD" w:rsidRPr="002B7386">
        <w:rPr>
          <w:rFonts w:cstheme="minorHAnsi"/>
          <w:sz w:val="20"/>
          <w:szCs w:val="20"/>
        </w:rPr>
        <w:t xml:space="preserve">For the purposes of this Certification, Principal means the following: </w:t>
      </w:r>
      <w:r w:rsidR="00F016E1" w:rsidRPr="00F016E1">
        <w:rPr>
          <w:rFonts w:cstheme="minorHAnsi"/>
          <w:sz w:val="20"/>
          <w:szCs w:val="20"/>
        </w:rPr>
        <w:t>if a sole proprietorship, the proprietor; if a partnership, each managing partner and each partner who is a natural person and holds a 20% or more ownership interest in the partnership; and if a corporation, limited liability company, association or a development company, each director, each of the five most highly compensated executives or officers of the entity, and each natural person who is a direct or indirect holder of 20% or more of the ownership stock or stock equivalent of the entity.</w:t>
      </w:r>
      <w:proofErr w:type="gramEnd"/>
    </w:p>
    <w:p w:rsidR="007E0BD4" w:rsidRPr="00D33697" w:rsidRDefault="007E0BD4" w:rsidP="00F016E1">
      <w:pPr>
        <w:ind w:left="2880" w:firstLine="720"/>
        <w:rPr>
          <w:rFonts w:cstheme="minorHAnsi"/>
          <w:sz w:val="20"/>
          <w:szCs w:val="20"/>
        </w:rPr>
      </w:pPr>
      <w:r w:rsidRPr="00D33697">
        <w:rPr>
          <w:rFonts w:cstheme="minorHAnsi"/>
          <w:sz w:val="20"/>
          <w:szCs w:val="20"/>
        </w:rPr>
        <w:t>Legal Name:</w:t>
      </w:r>
    </w:p>
    <w:p w:rsidR="007E0BD4" w:rsidRPr="00D33697" w:rsidRDefault="007E0BD4" w:rsidP="00F341B3">
      <w:pPr>
        <w:tabs>
          <w:tab w:val="left" w:pos="4320"/>
        </w:tabs>
        <w:ind w:left="3600"/>
        <w:rPr>
          <w:rFonts w:cstheme="minorHAnsi"/>
          <w:sz w:val="20"/>
          <w:szCs w:val="20"/>
          <w:u w:val="single"/>
        </w:rPr>
      </w:pP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p>
    <w:p w:rsidR="007E0BD4" w:rsidRPr="00D33697" w:rsidRDefault="007E0BD4" w:rsidP="00F341B3">
      <w:pPr>
        <w:tabs>
          <w:tab w:val="left" w:pos="4320"/>
        </w:tabs>
        <w:ind w:left="3600"/>
        <w:rPr>
          <w:rFonts w:cstheme="minorHAnsi"/>
          <w:sz w:val="20"/>
          <w:szCs w:val="20"/>
        </w:rPr>
      </w:pPr>
    </w:p>
    <w:p w:rsidR="007E0BD4" w:rsidRPr="00D33697" w:rsidRDefault="007E0BD4" w:rsidP="00F341B3">
      <w:pPr>
        <w:tabs>
          <w:tab w:val="left" w:pos="4320"/>
        </w:tabs>
        <w:ind w:left="3600"/>
        <w:rPr>
          <w:rFonts w:cstheme="minorHAnsi"/>
          <w:sz w:val="20"/>
          <w:szCs w:val="20"/>
        </w:rPr>
      </w:pPr>
      <w:r w:rsidRPr="00D33697">
        <w:rPr>
          <w:rFonts w:cstheme="minorHAnsi"/>
          <w:sz w:val="20"/>
          <w:szCs w:val="20"/>
        </w:rPr>
        <w:t>By:</w:t>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p>
    <w:p w:rsidR="007E0BD4" w:rsidRPr="00D33697" w:rsidRDefault="007E0BD4" w:rsidP="00F341B3">
      <w:pPr>
        <w:tabs>
          <w:tab w:val="left" w:pos="4320"/>
        </w:tabs>
        <w:ind w:left="3600"/>
        <w:rPr>
          <w:rFonts w:cstheme="minorHAnsi"/>
          <w:sz w:val="20"/>
          <w:szCs w:val="20"/>
        </w:rPr>
      </w:pPr>
      <w:r w:rsidRPr="00D33697">
        <w:rPr>
          <w:rFonts w:cstheme="minorHAnsi"/>
          <w:sz w:val="20"/>
          <w:szCs w:val="20"/>
        </w:rPr>
        <w:tab/>
        <w:t>Authorized Signatory</w:t>
      </w:r>
    </w:p>
    <w:p w:rsidR="007E0BD4" w:rsidRPr="00D33697" w:rsidRDefault="007E0BD4" w:rsidP="00F341B3">
      <w:pPr>
        <w:tabs>
          <w:tab w:val="left" w:pos="4320"/>
        </w:tabs>
        <w:ind w:left="3600"/>
        <w:rPr>
          <w:rFonts w:cstheme="minorHAnsi"/>
          <w:sz w:val="20"/>
          <w:szCs w:val="20"/>
        </w:rPr>
      </w:pPr>
    </w:p>
    <w:p w:rsidR="007E0BD4" w:rsidRPr="00D33697" w:rsidRDefault="007E0BD4" w:rsidP="00F341B3">
      <w:pPr>
        <w:tabs>
          <w:tab w:val="left" w:pos="4320"/>
        </w:tabs>
        <w:ind w:left="3600"/>
        <w:rPr>
          <w:rFonts w:cstheme="minorHAnsi"/>
          <w:sz w:val="20"/>
          <w:szCs w:val="20"/>
        </w:rPr>
      </w:pPr>
      <w:r w:rsidRPr="00D33697">
        <w:rPr>
          <w:rFonts w:cstheme="minorHAnsi"/>
          <w:sz w:val="20"/>
          <w:szCs w:val="20"/>
        </w:rPr>
        <w:t>Name:</w:t>
      </w:r>
      <w:r w:rsidRPr="00D33697">
        <w:rPr>
          <w:rFonts w:cstheme="minorHAnsi"/>
          <w:sz w:val="20"/>
          <w:szCs w:val="20"/>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p>
    <w:p w:rsidR="007E0BD4" w:rsidRPr="00D33697" w:rsidRDefault="007E0BD4" w:rsidP="00F341B3">
      <w:pPr>
        <w:tabs>
          <w:tab w:val="left" w:pos="4320"/>
        </w:tabs>
        <w:ind w:left="3600"/>
        <w:rPr>
          <w:rFonts w:cstheme="minorHAnsi"/>
          <w:sz w:val="20"/>
          <w:szCs w:val="20"/>
        </w:rPr>
      </w:pPr>
    </w:p>
    <w:p w:rsidR="007E0BD4" w:rsidRPr="00D33697" w:rsidRDefault="007E0BD4" w:rsidP="00F341B3">
      <w:pPr>
        <w:tabs>
          <w:tab w:val="left" w:pos="4320"/>
        </w:tabs>
        <w:ind w:left="3600"/>
        <w:rPr>
          <w:rFonts w:cstheme="minorHAnsi"/>
          <w:sz w:val="20"/>
          <w:szCs w:val="20"/>
        </w:rPr>
      </w:pPr>
      <w:r w:rsidRPr="00D33697">
        <w:rPr>
          <w:rFonts w:cstheme="minorHAnsi"/>
          <w:sz w:val="20"/>
          <w:szCs w:val="20"/>
        </w:rPr>
        <w:t>Title:</w:t>
      </w:r>
      <w:r w:rsidRPr="00D33697">
        <w:rPr>
          <w:rFonts w:cstheme="minorHAnsi"/>
          <w:sz w:val="20"/>
          <w:szCs w:val="20"/>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p>
    <w:p w:rsidR="007E0BD4" w:rsidRPr="00D33697" w:rsidRDefault="007E0BD4" w:rsidP="00F341B3">
      <w:pPr>
        <w:tabs>
          <w:tab w:val="left" w:pos="4320"/>
        </w:tabs>
        <w:ind w:left="3600"/>
        <w:rPr>
          <w:rFonts w:cstheme="minorHAnsi"/>
          <w:sz w:val="20"/>
          <w:szCs w:val="20"/>
        </w:rPr>
      </w:pPr>
    </w:p>
    <w:p w:rsidR="007E0BD4" w:rsidRPr="002B7386" w:rsidRDefault="007E0BD4" w:rsidP="00F341B3">
      <w:pPr>
        <w:tabs>
          <w:tab w:val="left" w:pos="4320"/>
        </w:tabs>
        <w:ind w:left="3600"/>
        <w:rPr>
          <w:rFonts w:cstheme="minorHAnsi"/>
          <w:sz w:val="20"/>
          <w:szCs w:val="20"/>
        </w:rPr>
      </w:pPr>
      <w:r w:rsidRPr="00D33697">
        <w:rPr>
          <w:rFonts w:cstheme="minorHAnsi"/>
          <w:sz w:val="20"/>
          <w:szCs w:val="20"/>
        </w:rPr>
        <w:t>Date:</w:t>
      </w:r>
      <w:r w:rsidRPr="00D33697">
        <w:rPr>
          <w:rFonts w:cstheme="minorHAnsi"/>
          <w:sz w:val="20"/>
          <w:szCs w:val="20"/>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r w:rsidRPr="00D33697">
        <w:rPr>
          <w:rFonts w:cstheme="minorHAnsi"/>
          <w:sz w:val="20"/>
          <w:szCs w:val="20"/>
          <w:u w:val="single"/>
        </w:rPr>
        <w:tab/>
      </w:r>
    </w:p>
    <w:p w:rsidR="007E0BD4" w:rsidRDefault="007E0BD4" w:rsidP="00F341B3">
      <w:pPr>
        <w:rPr>
          <w:rFonts w:cstheme="minorHAnsi"/>
          <w:sz w:val="20"/>
          <w:szCs w:val="20"/>
        </w:rPr>
        <w:sectPr w:rsidR="007E0BD4" w:rsidSect="00A52C02">
          <w:headerReference w:type="even" r:id="rId23"/>
          <w:headerReference w:type="default" r:id="rId24"/>
          <w:footerReference w:type="default" r:id="rId25"/>
          <w:headerReference w:type="first" r:id="rId26"/>
          <w:pgSz w:w="12240" w:h="15840"/>
          <w:pgMar w:top="1440" w:right="1800" w:bottom="1440" w:left="1800" w:header="720" w:footer="720" w:gutter="0"/>
          <w:pgNumType w:start="1"/>
          <w:cols w:space="720"/>
          <w:docGrid w:linePitch="360"/>
        </w:sectPr>
      </w:pPr>
    </w:p>
    <w:p w:rsidR="007E0BD4" w:rsidRPr="007E0BD4" w:rsidRDefault="007E0BD4" w:rsidP="00F341B3">
      <w:pPr>
        <w:pStyle w:val="Heading3"/>
        <w:jc w:val="center"/>
        <w:rPr>
          <w:szCs w:val="40"/>
        </w:rPr>
      </w:pPr>
      <w:r w:rsidRPr="007E0BD4">
        <w:rPr>
          <w:rStyle w:val="SubtleEmphasis"/>
          <w:i w:val="0"/>
          <w:iCs w:val="0"/>
          <w:color w:val="4F81BD" w:themeColor="accent1"/>
        </w:rPr>
        <w:lastRenderedPageBreak/>
        <w:t>Example Lender/Investor Certification for Use of Proceeds</w:t>
      </w:r>
    </w:p>
    <w:p w:rsidR="00187FDC" w:rsidRPr="002B7386" w:rsidRDefault="00C12A22" w:rsidP="00F341B3">
      <w:pPr>
        <w:rPr>
          <w:rFonts w:cstheme="minorHAnsi"/>
          <w:sz w:val="20"/>
          <w:szCs w:val="20"/>
        </w:rPr>
      </w:pPr>
      <w:r w:rsidRPr="00C12A22">
        <w:rPr>
          <w:rFonts w:asciiTheme="majorHAnsi" w:eastAsiaTheme="majorEastAsia" w:hAnsiTheme="majorHAnsi" w:cstheme="majorBidi"/>
          <w:b/>
          <w:bCs/>
          <w:noProof/>
          <w:color w:val="4F81BD" w:themeColor="accent1"/>
        </w:rPr>
        <w:pict>
          <v:shape id="Text Box 4" o:spid="_x0000_s1028" type="#_x0000_t202" style="position:absolute;margin-left:0;margin-top:0;width:457.15pt;height:81.3pt;z-index:251660288;visibility:visible;mso-position-horizontal:center;mso-position-horizontal-relative:margin;mso-position-vertical:top;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">
            <v:textbox>
              <w:txbxContent>
                <w:p w:rsidR="00F42D89" w:rsidRPr="00D33697" w:rsidRDefault="00F42D89" w:rsidP="00E618B4">
                  <w:pPr>
                    <w:jc w:val="both"/>
                    <w:rPr>
                      <w:i/>
                    </w:rPr>
                  </w:pPr>
                  <w:r w:rsidRPr="00D33697">
                    <w:rPr>
                      <w:i/>
                      <w:sz w:val="20"/>
                    </w:rPr>
                    <w:t>Treasury has created th</w:t>
                  </w:r>
                  <w:r>
                    <w:rPr>
                      <w:i/>
                      <w:sz w:val="20"/>
                    </w:rPr>
                    <w:t>is</w:t>
                  </w:r>
                  <w:r w:rsidRPr="00D33697">
                    <w:rPr>
                      <w:i/>
                      <w:sz w:val="20"/>
                    </w:rPr>
                    <w:t xml:space="preserve"> sample self-certification that a participating state, territory or municipality may use in order to obtain certification </w:t>
                  </w:r>
                  <w:r>
                    <w:rPr>
                      <w:i/>
                      <w:sz w:val="20"/>
                    </w:rPr>
                    <w:t>from lenders or investors</w:t>
                  </w:r>
                  <w:r w:rsidRPr="00D33697">
                    <w:rPr>
                      <w:i/>
                      <w:sz w:val="20"/>
                    </w:rPr>
                    <w:t>.  Th</w:t>
                  </w:r>
                  <w:r>
                    <w:rPr>
                      <w:i/>
                      <w:sz w:val="20"/>
                    </w:rPr>
                    <w:t>is</w:t>
                  </w:r>
                  <w:r w:rsidRPr="00D33697">
                    <w:rPr>
                      <w:i/>
                      <w:sz w:val="20"/>
                    </w:rPr>
                    <w:t xml:space="preserve"> certification</w:t>
                  </w:r>
                  <w:r>
                    <w:rPr>
                      <w:i/>
                      <w:sz w:val="20"/>
                    </w:rPr>
                    <w:t xml:space="preserve"> </w:t>
                  </w:r>
                  <w:proofErr w:type="gramStart"/>
                  <w:r>
                    <w:rPr>
                      <w:i/>
                      <w:sz w:val="20"/>
                    </w:rPr>
                    <w:t>is</w:t>
                  </w:r>
                  <w:r w:rsidRPr="00D33697">
                    <w:rPr>
                      <w:i/>
                      <w:sz w:val="20"/>
                    </w:rPr>
                    <w:t xml:space="preserve"> not intended</w:t>
                  </w:r>
                  <w:proofErr w:type="gramEnd"/>
                  <w:r w:rsidRPr="00D33697">
                    <w:rPr>
                      <w:i/>
                      <w:sz w:val="20"/>
                    </w:rPr>
                    <w:t xml:space="preserve"> to replace or supersede any internal controls the participating state, territory, or municipality has in place.  Rather, </w:t>
                  </w:r>
                  <w:proofErr w:type="gramStart"/>
                  <w:r>
                    <w:rPr>
                      <w:i/>
                      <w:sz w:val="20"/>
                    </w:rPr>
                    <w:t>this</w:t>
                  </w:r>
                  <w:proofErr w:type="gramEnd"/>
                  <w:r w:rsidRPr="00D33697">
                    <w:rPr>
                      <w:i/>
                      <w:sz w:val="20"/>
                    </w:rPr>
                    <w:t xml:space="preserve"> certifications </w:t>
                  </w:r>
                  <w:r>
                    <w:rPr>
                      <w:i/>
                      <w:sz w:val="20"/>
                    </w:rPr>
                    <w:t>is</w:t>
                  </w:r>
                  <w:r w:rsidRPr="00D33697">
                    <w:rPr>
                      <w:i/>
                      <w:sz w:val="20"/>
                    </w:rPr>
                    <w:t xml:space="preserve"> provided for illustrative purposes and </w:t>
                  </w:r>
                  <w:r>
                    <w:rPr>
                      <w:i/>
                      <w:sz w:val="20"/>
                    </w:rPr>
                    <w:t>is</w:t>
                  </w:r>
                  <w:r w:rsidRPr="00D33697">
                    <w:rPr>
                      <w:i/>
                      <w:sz w:val="20"/>
                    </w:rPr>
                    <w:t xml:space="preserve"> available for use by the participating state, territory, or municipality according to their discretion.  These sample certifications </w:t>
                  </w:r>
                  <w:proofErr w:type="gramStart"/>
                  <w:r w:rsidRPr="00D33697">
                    <w:rPr>
                      <w:i/>
                      <w:sz w:val="20"/>
                    </w:rPr>
                    <w:t>are also attached</w:t>
                  </w:r>
                  <w:proofErr w:type="gramEnd"/>
                  <w:r w:rsidRPr="00D33697">
                    <w:rPr>
                      <w:i/>
                      <w:sz w:val="20"/>
                    </w:rPr>
                    <w:t xml:space="preserve"> as Annexes to </w:t>
                  </w:r>
                  <w:r>
                    <w:rPr>
                      <w:i/>
                      <w:sz w:val="20"/>
                    </w:rPr>
                    <w:t xml:space="preserve">the </w:t>
                  </w:r>
                  <w:r w:rsidRPr="00D33697">
                    <w:rPr>
                      <w:i/>
                      <w:sz w:val="20"/>
                    </w:rPr>
                    <w:t>SSBCI Frequently Asked Questions Document</w:t>
                  </w:r>
                  <w:r>
                    <w:rPr>
                      <w:i/>
                      <w:sz w:val="20"/>
                    </w:rPr>
                    <w:t xml:space="preserve"> available at </w:t>
                  </w:r>
                  <w:hyperlink r:id="rId27" w:history="1">
                    <w:r w:rsidRPr="00E618B4">
                      <w:rPr>
                        <w:rStyle w:val="Hyperlink"/>
                        <w:i/>
                        <w:sz w:val="20"/>
                      </w:rPr>
                      <w:t>www.treasury.gov/ssbci</w:t>
                    </w:r>
                  </w:hyperlink>
                  <w:r w:rsidRPr="00D33697">
                    <w:rPr>
                      <w:i/>
                      <w:sz w:val="20"/>
                    </w:rPr>
                    <w:t>.</w:t>
                  </w:r>
                </w:p>
                <w:p w:rsidR="00F42D89" w:rsidRPr="00E618B4" w:rsidRDefault="00F42D89" w:rsidP="00E618B4"/>
              </w:txbxContent>
            </v:textbox>
            <w10:wrap type="square" anchorx="margin" anchory="margin"/>
            <w10:anchorlock/>
          </v:shape>
        </w:pict>
      </w:r>
      <w:r w:rsidR="00187FDC" w:rsidRPr="002B7386">
        <w:rPr>
          <w:rFonts w:cstheme="minorHAnsi"/>
          <w:sz w:val="20"/>
          <w:szCs w:val="20"/>
        </w:rPr>
        <w:t>This Assurance is referenced by Section 3005(e</w:t>
      </w:r>
      <w:proofErr w:type="gramStart"/>
      <w:r w:rsidR="00187FDC" w:rsidRPr="002B7386">
        <w:rPr>
          <w:rFonts w:cstheme="minorHAnsi"/>
          <w:sz w:val="20"/>
          <w:szCs w:val="20"/>
        </w:rPr>
        <w:t>)(</w:t>
      </w:r>
      <w:proofErr w:type="gramEnd"/>
      <w:r w:rsidR="00187FDC" w:rsidRPr="002B7386">
        <w:rPr>
          <w:rFonts w:cstheme="minorHAnsi"/>
          <w:sz w:val="20"/>
          <w:szCs w:val="20"/>
        </w:rPr>
        <w:t>7) of the Small Business Jobs Act of 2010.</w:t>
      </w:r>
    </w:p>
    <w:p w:rsidR="00E618B4" w:rsidRDefault="00187FDC" w:rsidP="00F341B3">
      <w:pPr>
        <w:rPr>
          <w:rFonts w:cstheme="minorHAnsi"/>
          <w:sz w:val="20"/>
          <w:szCs w:val="20"/>
        </w:rPr>
      </w:pPr>
      <w:r w:rsidRPr="002B7386">
        <w:rPr>
          <w:rFonts w:cstheme="minorHAnsi"/>
          <w:sz w:val="20"/>
          <w:szCs w:val="20"/>
        </w:rPr>
        <w:t xml:space="preserve">Legal name of </w:t>
      </w:r>
      <w:r w:rsidR="00B04F78">
        <w:rPr>
          <w:rFonts w:cstheme="minorHAnsi"/>
          <w:sz w:val="20"/>
          <w:szCs w:val="20"/>
        </w:rPr>
        <w:t>lender</w:t>
      </w:r>
      <w:r w:rsidRPr="002B7386">
        <w:rPr>
          <w:rFonts w:cstheme="minorHAnsi"/>
          <w:sz w:val="20"/>
          <w:szCs w:val="20"/>
        </w:rPr>
        <w:t xml:space="preserve"> or investor: </w:t>
      </w:r>
    </w:p>
    <w:p w:rsidR="00A52C02" w:rsidRPr="002B7386" w:rsidRDefault="00A52C02" w:rsidP="00F341B3">
      <w:pPr>
        <w:rPr>
          <w:rFonts w:cstheme="minorHAnsi"/>
          <w:sz w:val="20"/>
          <w:szCs w:val="20"/>
        </w:rPr>
      </w:pPr>
      <w:r w:rsidRPr="002B7386">
        <w:rPr>
          <w:rFonts w:cstheme="minorHAnsi"/>
          <w:sz w:val="20"/>
          <w:szCs w:val="20"/>
        </w:rPr>
        <w:t>___________________________________________________________________</w:t>
      </w:r>
    </w:p>
    <w:p w:rsidR="00187FDC" w:rsidRPr="002B7386" w:rsidRDefault="00187FDC" w:rsidP="00F341B3">
      <w:pPr>
        <w:rPr>
          <w:rFonts w:cstheme="minorHAnsi"/>
          <w:sz w:val="20"/>
          <w:szCs w:val="20"/>
        </w:rPr>
      </w:pPr>
      <w:r w:rsidRPr="002B7386">
        <w:rPr>
          <w:rFonts w:cstheme="minorHAnsi"/>
          <w:sz w:val="20"/>
          <w:szCs w:val="20"/>
        </w:rPr>
        <w:t>The Lender/Investor hereby certifies to the Part</w:t>
      </w:r>
      <w:r w:rsidR="00E618B4">
        <w:rPr>
          <w:rFonts w:cstheme="minorHAnsi"/>
          <w:sz w:val="20"/>
          <w:szCs w:val="20"/>
        </w:rPr>
        <w:t xml:space="preserve">icipating State the following: </w:t>
      </w:r>
    </w:p>
    <w:p w:rsidR="00E7572A" w:rsidRDefault="00187FDC" w:rsidP="00F341B3">
      <w:pPr>
        <w:numPr>
          <w:ilvl w:val="0"/>
          <w:numId w:val="18"/>
        </w:numPr>
        <w:spacing w:after="0"/>
        <w:ind w:left="720"/>
        <w:rPr>
          <w:rFonts w:cstheme="minorHAnsi"/>
          <w:sz w:val="20"/>
          <w:szCs w:val="20"/>
        </w:rPr>
      </w:pPr>
      <w:r w:rsidRPr="002B7386">
        <w:rPr>
          <w:rFonts w:cstheme="minorHAnsi"/>
          <w:sz w:val="20"/>
          <w:szCs w:val="20"/>
        </w:rPr>
        <w:t xml:space="preserve">The loan or investment has not been made in order to place under the protection of the approved state program prior debt that is not covered under the approved state program and that is or was owed by the borrower to the </w:t>
      </w:r>
      <w:r w:rsidR="00B04F78">
        <w:rPr>
          <w:rFonts w:cstheme="minorHAnsi"/>
          <w:sz w:val="20"/>
          <w:szCs w:val="20"/>
        </w:rPr>
        <w:t>lender</w:t>
      </w:r>
      <w:r w:rsidRPr="002B7386">
        <w:rPr>
          <w:rFonts w:cstheme="minorHAnsi"/>
          <w:sz w:val="20"/>
          <w:szCs w:val="20"/>
        </w:rPr>
        <w:t xml:space="preserve"> or to an affiliate of the </w:t>
      </w:r>
      <w:r w:rsidR="00B04F78">
        <w:rPr>
          <w:rFonts w:cstheme="minorHAnsi"/>
          <w:sz w:val="20"/>
          <w:szCs w:val="20"/>
        </w:rPr>
        <w:t>lender</w:t>
      </w:r>
      <w:proofErr w:type="gramStart"/>
      <w:r w:rsidRPr="002B7386">
        <w:rPr>
          <w:rFonts w:cstheme="minorHAnsi"/>
          <w:sz w:val="20"/>
          <w:szCs w:val="20"/>
        </w:rPr>
        <w:t xml:space="preserve">. </w:t>
      </w:r>
      <w:proofErr w:type="gramEnd"/>
      <w:r w:rsidRPr="002B7386">
        <w:rPr>
          <w:rFonts w:cstheme="minorHAnsi"/>
          <w:sz w:val="20"/>
          <w:szCs w:val="20"/>
        </w:rPr>
        <w:br/>
      </w:r>
    </w:p>
    <w:p w:rsidR="00E7572A" w:rsidRDefault="00C12A22" w:rsidP="00F341B3">
      <w:pPr>
        <w:numPr>
          <w:ilvl w:val="0"/>
          <w:numId w:val="18"/>
        </w:numPr>
        <w:spacing w:after="0"/>
        <w:ind w:left="720"/>
        <w:rPr>
          <w:rFonts w:cstheme="minorHAnsi"/>
          <w:sz w:val="20"/>
          <w:szCs w:val="20"/>
        </w:rPr>
      </w:pPr>
      <w:r>
        <w:rPr>
          <w:rFonts w:cstheme="minorHAnsi"/>
          <w:noProof/>
          <w:sz w:val="20"/>
          <w:szCs w:val="20"/>
        </w:rPr>
        <w:pict>
          <v:shape id="_x0000_s1036" type="#_x0000_t136" style="position:absolute;left:0;text-align:left;margin-left:7.2pt;margin-top:261.95pt;width:429.6pt;height:156.25pt;rotation:315;z-index:-251649024;mso-position-horizontal-relative:margin;mso-position-vertical-relative:margin" strokecolor="#d8d8d8 [2732]">
            <v:fill opacity="19661f"/>
            <v:shadow color="#868686"/>
            <v:textpath style="font-family:&quot;Arial Black&quot;;v-text-kern:t" trim="t" fitpath="t" string="SAMPLE"/>
            <w10:wrap anchorx="margin" anchory="margin"/>
            <w10:anchorlock/>
          </v:shape>
        </w:pict>
      </w:r>
      <w:r w:rsidR="00187FDC" w:rsidRPr="002B7386">
        <w:rPr>
          <w:rFonts w:cstheme="minorHAnsi"/>
          <w:sz w:val="20"/>
          <w:szCs w:val="20"/>
        </w:rPr>
        <w:t xml:space="preserve">The loan or investment is not a refinancing of a loan or investment previously made to that borrower by the </w:t>
      </w:r>
      <w:r w:rsidR="00B04F78">
        <w:rPr>
          <w:rFonts w:cstheme="minorHAnsi"/>
          <w:sz w:val="20"/>
          <w:szCs w:val="20"/>
        </w:rPr>
        <w:t>lender</w:t>
      </w:r>
      <w:r w:rsidR="00187FDC" w:rsidRPr="002B7386">
        <w:rPr>
          <w:rFonts w:cstheme="minorHAnsi"/>
          <w:sz w:val="20"/>
          <w:szCs w:val="20"/>
        </w:rPr>
        <w:t xml:space="preserve"> or an affiliate of the </w:t>
      </w:r>
      <w:r w:rsidR="00B04F78">
        <w:rPr>
          <w:rFonts w:cstheme="minorHAnsi"/>
          <w:sz w:val="20"/>
          <w:szCs w:val="20"/>
        </w:rPr>
        <w:t>lender</w:t>
      </w:r>
      <w:r w:rsidR="00187FDC" w:rsidRPr="002B7386">
        <w:rPr>
          <w:rFonts w:cstheme="minorHAnsi"/>
          <w:sz w:val="20"/>
          <w:szCs w:val="20"/>
        </w:rPr>
        <w:t>.</w:t>
      </w:r>
      <w:r w:rsidR="00187FDC" w:rsidRPr="002B7386">
        <w:rPr>
          <w:rFonts w:cstheme="minorHAnsi"/>
          <w:sz w:val="20"/>
          <w:szCs w:val="20"/>
        </w:rPr>
        <w:br/>
      </w:r>
    </w:p>
    <w:p w:rsidR="00E7572A" w:rsidRDefault="00187FDC" w:rsidP="00F341B3">
      <w:pPr>
        <w:numPr>
          <w:ilvl w:val="0"/>
          <w:numId w:val="18"/>
        </w:numPr>
        <w:spacing w:after="0"/>
        <w:ind w:left="720"/>
        <w:rPr>
          <w:rFonts w:cstheme="minorHAnsi"/>
          <w:sz w:val="20"/>
          <w:szCs w:val="20"/>
        </w:rPr>
      </w:pPr>
      <w:r w:rsidRPr="002B7386">
        <w:rPr>
          <w:sz w:val="20"/>
          <w:szCs w:val="20"/>
        </w:rPr>
        <w:t xml:space="preserve">The </w:t>
      </w:r>
      <w:r w:rsidR="00B04F78">
        <w:rPr>
          <w:sz w:val="20"/>
          <w:szCs w:val="20"/>
        </w:rPr>
        <w:t>lender</w:t>
      </w:r>
      <w:r w:rsidRPr="002B7386">
        <w:rPr>
          <w:sz w:val="20"/>
          <w:szCs w:val="20"/>
        </w:rPr>
        <w:t xml:space="preserve"> is not attempting to enroll the unguaranteed portions of SBA-guaranteed loans.</w:t>
      </w:r>
      <w:r w:rsidRPr="002B7386">
        <w:rPr>
          <w:rFonts w:cstheme="minorHAnsi"/>
          <w:sz w:val="20"/>
          <w:szCs w:val="20"/>
        </w:rPr>
        <w:br/>
      </w:r>
    </w:p>
    <w:p w:rsidR="00E618B4" w:rsidRPr="00E618B4" w:rsidRDefault="00E618B4" w:rsidP="00E618B4">
      <w:pPr>
        <w:tabs>
          <w:tab w:val="left" w:pos="4320"/>
        </w:tabs>
        <w:ind w:left="3600" w:right="720"/>
        <w:rPr>
          <w:rFonts w:cstheme="minorHAnsi"/>
          <w:sz w:val="20"/>
          <w:szCs w:val="20"/>
        </w:rPr>
      </w:pPr>
      <w:r w:rsidRPr="00E618B4">
        <w:rPr>
          <w:rFonts w:cstheme="minorHAnsi"/>
          <w:sz w:val="20"/>
          <w:szCs w:val="20"/>
        </w:rPr>
        <w:t>Legal Name:</w:t>
      </w:r>
    </w:p>
    <w:p w:rsidR="00E618B4" w:rsidRPr="00E618B4" w:rsidRDefault="00E618B4" w:rsidP="00E618B4">
      <w:pPr>
        <w:tabs>
          <w:tab w:val="left" w:pos="4320"/>
        </w:tabs>
        <w:ind w:left="3600" w:right="720"/>
        <w:rPr>
          <w:rFonts w:cstheme="minorHAnsi"/>
          <w:sz w:val="20"/>
          <w:szCs w:val="20"/>
          <w:u w:val="single"/>
        </w:rPr>
      </w:pP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p>
    <w:p w:rsidR="00E618B4" w:rsidRPr="00E618B4" w:rsidRDefault="00E618B4" w:rsidP="00E618B4">
      <w:pPr>
        <w:tabs>
          <w:tab w:val="left" w:pos="4320"/>
        </w:tabs>
        <w:ind w:left="3600" w:right="720"/>
        <w:rPr>
          <w:rFonts w:cstheme="minorHAnsi"/>
          <w:sz w:val="20"/>
          <w:szCs w:val="20"/>
        </w:rPr>
      </w:pPr>
    </w:p>
    <w:p w:rsidR="00E618B4" w:rsidRPr="00E618B4" w:rsidRDefault="00E618B4" w:rsidP="00E618B4">
      <w:pPr>
        <w:tabs>
          <w:tab w:val="left" w:pos="4320"/>
        </w:tabs>
        <w:ind w:left="3600" w:right="720"/>
        <w:rPr>
          <w:rFonts w:cstheme="minorHAnsi"/>
          <w:sz w:val="20"/>
          <w:szCs w:val="20"/>
        </w:rPr>
      </w:pPr>
      <w:r w:rsidRPr="00E618B4">
        <w:rPr>
          <w:rFonts w:cstheme="minorHAnsi"/>
          <w:sz w:val="20"/>
          <w:szCs w:val="20"/>
        </w:rPr>
        <w:t>By:</w:t>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p>
    <w:p w:rsidR="00E618B4" w:rsidRPr="00E618B4" w:rsidRDefault="00E618B4" w:rsidP="00E618B4">
      <w:pPr>
        <w:tabs>
          <w:tab w:val="left" w:pos="4320"/>
        </w:tabs>
        <w:ind w:left="3600" w:right="720"/>
        <w:rPr>
          <w:rFonts w:cstheme="minorHAnsi"/>
          <w:sz w:val="20"/>
          <w:szCs w:val="20"/>
        </w:rPr>
      </w:pPr>
      <w:r w:rsidRPr="00E618B4">
        <w:rPr>
          <w:rFonts w:cstheme="minorHAnsi"/>
          <w:sz w:val="20"/>
          <w:szCs w:val="20"/>
        </w:rPr>
        <w:tab/>
        <w:t>Authorized Signatory</w:t>
      </w:r>
    </w:p>
    <w:p w:rsidR="00E618B4" w:rsidRPr="00E618B4" w:rsidRDefault="00E618B4" w:rsidP="00E618B4">
      <w:pPr>
        <w:tabs>
          <w:tab w:val="left" w:pos="4320"/>
        </w:tabs>
        <w:ind w:left="3600" w:right="720"/>
        <w:rPr>
          <w:rFonts w:cstheme="minorHAnsi"/>
          <w:sz w:val="20"/>
          <w:szCs w:val="20"/>
        </w:rPr>
      </w:pPr>
    </w:p>
    <w:p w:rsidR="00E618B4" w:rsidRPr="00E618B4" w:rsidRDefault="00E618B4" w:rsidP="00E618B4">
      <w:pPr>
        <w:tabs>
          <w:tab w:val="left" w:pos="4320"/>
        </w:tabs>
        <w:ind w:left="3600" w:right="720"/>
        <w:rPr>
          <w:rFonts w:cstheme="minorHAnsi"/>
          <w:sz w:val="20"/>
          <w:szCs w:val="20"/>
        </w:rPr>
      </w:pPr>
      <w:r w:rsidRPr="00E618B4">
        <w:rPr>
          <w:rFonts w:cstheme="minorHAnsi"/>
          <w:sz w:val="20"/>
          <w:szCs w:val="20"/>
        </w:rPr>
        <w:t>Name:</w:t>
      </w:r>
      <w:r w:rsidRPr="00E618B4">
        <w:rPr>
          <w:rFonts w:cstheme="minorHAnsi"/>
          <w:sz w:val="20"/>
          <w:szCs w:val="20"/>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p>
    <w:p w:rsidR="00E618B4" w:rsidRPr="00E618B4" w:rsidRDefault="00E618B4" w:rsidP="00E618B4">
      <w:pPr>
        <w:tabs>
          <w:tab w:val="left" w:pos="4320"/>
        </w:tabs>
        <w:ind w:left="3600" w:right="720"/>
        <w:rPr>
          <w:rFonts w:cstheme="minorHAnsi"/>
          <w:sz w:val="20"/>
          <w:szCs w:val="20"/>
        </w:rPr>
      </w:pPr>
    </w:p>
    <w:p w:rsidR="00E618B4" w:rsidRPr="00E618B4" w:rsidRDefault="00E618B4" w:rsidP="00E618B4">
      <w:pPr>
        <w:tabs>
          <w:tab w:val="left" w:pos="4320"/>
        </w:tabs>
        <w:ind w:left="3600" w:right="720"/>
        <w:rPr>
          <w:rFonts w:cstheme="minorHAnsi"/>
          <w:sz w:val="20"/>
          <w:szCs w:val="20"/>
        </w:rPr>
      </w:pPr>
      <w:r w:rsidRPr="00E618B4">
        <w:rPr>
          <w:rFonts w:cstheme="minorHAnsi"/>
          <w:sz w:val="20"/>
          <w:szCs w:val="20"/>
        </w:rPr>
        <w:t>Title:</w:t>
      </w:r>
      <w:r w:rsidRPr="00E618B4">
        <w:rPr>
          <w:rFonts w:cstheme="minorHAnsi"/>
          <w:sz w:val="20"/>
          <w:szCs w:val="20"/>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p>
    <w:p w:rsidR="00E618B4" w:rsidRPr="00E618B4" w:rsidRDefault="00E618B4" w:rsidP="00E618B4">
      <w:pPr>
        <w:tabs>
          <w:tab w:val="left" w:pos="4320"/>
        </w:tabs>
        <w:ind w:left="3600" w:right="720"/>
        <w:rPr>
          <w:rFonts w:cstheme="minorHAnsi"/>
          <w:sz w:val="20"/>
          <w:szCs w:val="20"/>
        </w:rPr>
      </w:pPr>
    </w:p>
    <w:p w:rsidR="00A52C02" w:rsidRDefault="00E618B4" w:rsidP="00A52C02">
      <w:pPr>
        <w:tabs>
          <w:tab w:val="left" w:pos="4320"/>
        </w:tabs>
        <w:ind w:left="3600" w:right="720"/>
        <w:rPr>
          <w:rFonts w:cstheme="minorHAnsi"/>
          <w:sz w:val="20"/>
          <w:szCs w:val="20"/>
          <w:u w:val="single"/>
        </w:rPr>
        <w:sectPr w:rsidR="00A52C02" w:rsidSect="00A52C02">
          <w:headerReference w:type="even" r:id="rId28"/>
          <w:headerReference w:type="default" r:id="rId29"/>
          <w:footerReference w:type="default" r:id="rId30"/>
          <w:headerReference w:type="first" r:id="rId31"/>
          <w:pgSz w:w="12240" w:h="15840"/>
          <w:pgMar w:top="1440" w:right="1800" w:bottom="1440" w:left="1800" w:header="720" w:footer="720" w:gutter="0"/>
          <w:pgNumType w:start="1"/>
          <w:cols w:space="720"/>
          <w:docGrid w:linePitch="360"/>
        </w:sectPr>
      </w:pPr>
      <w:r w:rsidRPr="00E618B4">
        <w:rPr>
          <w:rFonts w:cstheme="minorHAnsi"/>
          <w:sz w:val="20"/>
          <w:szCs w:val="20"/>
        </w:rPr>
        <w:t>Date:</w:t>
      </w:r>
      <w:r w:rsidRPr="00E618B4">
        <w:rPr>
          <w:rFonts w:cstheme="minorHAnsi"/>
          <w:sz w:val="20"/>
          <w:szCs w:val="20"/>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r w:rsidRPr="00E618B4">
        <w:rPr>
          <w:rFonts w:cstheme="minorHAnsi"/>
          <w:sz w:val="20"/>
          <w:szCs w:val="20"/>
          <w:u w:val="single"/>
        </w:rPr>
        <w:tab/>
      </w:r>
    </w:p>
    <w:p w:rsidR="007C6591" w:rsidRPr="00F341B3" w:rsidRDefault="008B0DEE" w:rsidP="00B04F78">
      <w:pPr>
        <w:pStyle w:val="Heading5"/>
        <w:ind w:left="-450"/>
        <w:rPr>
          <w:rFonts w:asciiTheme="minorHAnsi" w:hAnsiTheme="minorHAnsi" w:cstheme="minorHAnsi"/>
          <w:b/>
          <w:i/>
          <w:color w:val="auto"/>
        </w:rPr>
      </w:pPr>
      <w:proofErr w:type="gramStart"/>
      <w:r w:rsidRPr="00F341B3">
        <w:rPr>
          <w:rFonts w:asciiTheme="minorHAnsi" w:hAnsiTheme="minorHAnsi" w:cstheme="minorHAnsi"/>
          <w:b/>
          <w:i/>
          <w:color w:val="auto"/>
        </w:rPr>
        <w:lastRenderedPageBreak/>
        <w:t>§__</w:t>
      </w:r>
      <w:r w:rsidR="007C6591" w:rsidRPr="00F341B3">
        <w:rPr>
          <w:rFonts w:asciiTheme="minorHAnsi" w:hAnsiTheme="minorHAnsi" w:cstheme="minorHAnsi"/>
          <w:b/>
          <w:i/>
          <w:color w:val="auto"/>
        </w:rPr>
        <w:t>.20   Standards for financial management systems.</w:t>
      </w:r>
      <w:proofErr w:type="gramEnd"/>
    </w:p>
    <w:p w:rsidR="007C6591" w:rsidRPr="002B7386" w:rsidRDefault="007C6591" w:rsidP="00B04F78">
      <w:pPr>
        <w:pStyle w:val="NormalWeb"/>
        <w:spacing w:before="120" w:beforeAutospacing="0" w:after="0" w:afterAutospacing="0"/>
        <w:ind w:right="720"/>
        <w:jc w:val="both"/>
        <w:rPr>
          <w:rFonts w:asciiTheme="minorHAnsi" w:hAnsiTheme="minorHAnsi" w:cstheme="minorHAnsi"/>
          <w:i/>
          <w:sz w:val="22"/>
          <w:szCs w:val="22"/>
        </w:rPr>
      </w:pPr>
      <w:r w:rsidRPr="002B7386">
        <w:rPr>
          <w:rFonts w:asciiTheme="minorHAnsi" w:hAnsiTheme="minorHAnsi" w:cstheme="minorHAnsi"/>
          <w:i/>
          <w:sz w:val="22"/>
          <w:szCs w:val="22"/>
        </w:rPr>
        <w:t>(a) A State must expand and account for grant funds in accordance with State laws and procedures for expending and accounting for its own funds</w:t>
      </w:r>
      <w:proofErr w:type="gramStart"/>
      <w:r w:rsidRPr="002B7386">
        <w:rPr>
          <w:rFonts w:asciiTheme="minorHAnsi" w:hAnsiTheme="minorHAnsi" w:cstheme="minorHAnsi"/>
          <w:i/>
          <w:sz w:val="22"/>
          <w:szCs w:val="22"/>
        </w:rPr>
        <w:t xml:space="preserve">. </w:t>
      </w:r>
      <w:proofErr w:type="gramEnd"/>
      <w:r w:rsidRPr="002B7386">
        <w:rPr>
          <w:rFonts w:asciiTheme="minorHAnsi" w:hAnsiTheme="minorHAnsi" w:cstheme="minorHAnsi"/>
          <w:i/>
          <w:sz w:val="22"/>
          <w:szCs w:val="22"/>
        </w:rPr>
        <w:t xml:space="preserve">Fiscal control and accounting procedures of the State, as well as its </w:t>
      </w:r>
      <w:proofErr w:type="spellStart"/>
      <w:r w:rsidRPr="002B7386">
        <w:rPr>
          <w:rFonts w:asciiTheme="minorHAnsi" w:hAnsiTheme="minorHAnsi" w:cstheme="minorHAnsi"/>
          <w:i/>
          <w:sz w:val="22"/>
          <w:szCs w:val="22"/>
        </w:rPr>
        <w:t>subgrantees</w:t>
      </w:r>
      <w:proofErr w:type="spellEnd"/>
      <w:r w:rsidRPr="002B7386">
        <w:rPr>
          <w:rFonts w:asciiTheme="minorHAnsi" w:hAnsiTheme="minorHAnsi" w:cstheme="minorHAnsi"/>
          <w:i/>
          <w:sz w:val="22"/>
          <w:szCs w:val="22"/>
        </w:rPr>
        <w:t xml:space="preserve"> and cost-type </w:t>
      </w:r>
      <w:r w:rsidR="00E75605">
        <w:rPr>
          <w:rFonts w:asciiTheme="minorHAnsi" w:hAnsiTheme="minorHAnsi" w:cstheme="minorHAnsi"/>
          <w:i/>
          <w:sz w:val="22"/>
          <w:szCs w:val="22"/>
        </w:rPr>
        <w:t>administering entit</w:t>
      </w:r>
      <w:r w:rsidR="00B81B2F" w:rsidRPr="002B7386">
        <w:rPr>
          <w:rFonts w:asciiTheme="minorHAnsi" w:hAnsiTheme="minorHAnsi" w:cstheme="minorHAnsi"/>
          <w:i/>
          <w:sz w:val="22"/>
          <w:szCs w:val="22"/>
        </w:rPr>
        <w:t>ies</w:t>
      </w:r>
      <w:r w:rsidRPr="002B7386">
        <w:rPr>
          <w:rFonts w:asciiTheme="minorHAnsi" w:hAnsiTheme="minorHAnsi" w:cstheme="minorHAnsi"/>
          <w:i/>
          <w:sz w:val="22"/>
          <w:szCs w:val="22"/>
        </w:rPr>
        <w:t>, must be sufficient to—</w:t>
      </w:r>
    </w:p>
    <w:p w:rsidR="007C6591" w:rsidRPr="002B7386" w:rsidRDefault="007C6591" w:rsidP="00B04F78">
      <w:pPr>
        <w:pStyle w:val="NormalWeb"/>
        <w:spacing w:before="120" w:beforeAutospacing="0" w:after="0" w:afterAutospacing="0"/>
        <w:ind w:left="720" w:right="720"/>
        <w:jc w:val="both"/>
        <w:rPr>
          <w:rFonts w:asciiTheme="minorHAnsi" w:hAnsiTheme="minorHAnsi" w:cstheme="minorHAnsi"/>
          <w:i/>
          <w:sz w:val="22"/>
          <w:szCs w:val="22"/>
        </w:rPr>
      </w:pPr>
      <w:r w:rsidRPr="002B7386">
        <w:rPr>
          <w:rFonts w:asciiTheme="minorHAnsi" w:hAnsiTheme="minorHAnsi" w:cstheme="minorHAnsi"/>
          <w:i/>
          <w:sz w:val="22"/>
          <w:szCs w:val="22"/>
        </w:rPr>
        <w:t>(1) Permit preparation of reports required by this part and the statutes authorizing the grant, and</w:t>
      </w:r>
    </w:p>
    <w:p w:rsidR="007C6591" w:rsidRPr="002B7386" w:rsidRDefault="007C6591" w:rsidP="00B04F78">
      <w:pPr>
        <w:pStyle w:val="NormalWeb"/>
        <w:spacing w:before="120" w:beforeAutospacing="0" w:after="0" w:afterAutospacing="0"/>
        <w:ind w:left="720" w:right="720"/>
        <w:jc w:val="both"/>
        <w:rPr>
          <w:rFonts w:asciiTheme="minorHAnsi" w:hAnsiTheme="minorHAnsi" w:cstheme="minorHAnsi"/>
          <w:i/>
          <w:sz w:val="22"/>
          <w:szCs w:val="22"/>
        </w:rPr>
      </w:pPr>
      <w:r w:rsidRPr="002B7386">
        <w:rPr>
          <w:rFonts w:asciiTheme="minorHAnsi" w:hAnsiTheme="minorHAnsi" w:cstheme="minorHAnsi"/>
          <w:i/>
          <w:sz w:val="22"/>
          <w:szCs w:val="22"/>
        </w:rPr>
        <w:t xml:space="preserve">(2) Permit the tracing of funds to a level of expenditures adequate to establish that such funds </w:t>
      </w:r>
      <w:proofErr w:type="gramStart"/>
      <w:r w:rsidRPr="002B7386">
        <w:rPr>
          <w:rFonts w:asciiTheme="minorHAnsi" w:hAnsiTheme="minorHAnsi" w:cstheme="minorHAnsi"/>
          <w:i/>
          <w:sz w:val="22"/>
          <w:szCs w:val="22"/>
        </w:rPr>
        <w:t>have not been used</w:t>
      </w:r>
      <w:proofErr w:type="gramEnd"/>
      <w:r w:rsidRPr="002B7386">
        <w:rPr>
          <w:rFonts w:asciiTheme="minorHAnsi" w:hAnsiTheme="minorHAnsi" w:cstheme="minorHAnsi"/>
          <w:i/>
          <w:sz w:val="22"/>
          <w:szCs w:val="22"/>
        </w:rPr>
        <w:t xml:space="preserve"> in violation of the restrictions and prohibitions of applicable statutes.</w:t>
      </w:r>
    </w:p>
    <w:p w:rsidR="007C6591" w:rsidRPr="002B7386" w:rsidRDefault="007C6591" w:rsidP="00B04F78">
      <w:pPr>
        <w:pStyle w:val="NormalWeb"/>
        <w:spacing w:before="120" w:beforeAutospacing="0" w:after="0" w:afterAutospacing="0"/>
        <w:ind w:right="720"/>
        <w:jc w:val="both"/>
        <w:rPr>
          <w:rFonts w:asciiTheme="minorHAnsi" w:hAnsiTheme="minorHAnsi" w:cstheme="minorHAnsi"/>
          <w:i/>
          <w:sz w:val="22"/>
          <w:szCs w:val="22"/>
        </w:rPr>
      </w:pPr>
      <w:r w:rsidRPr="002B7386">
        <w:rPr>
          <w:rFonts w:asciiTheme="minorHAnsi" w:hAnsiTheme="minorHAnsi" w:cstheme="minorHAnsi"/>
          <w:i/>
          <w:sz w:val="22"/>
          <w:szCs w:val="22"/>
        </w:rPr>
        <w:t xml:space="preserve">(b) The financial management systems of other grantees and </w:t>
      </w:r>
      <w:proofErr w:type="spellStart"/>
      <w:r w:rsidRPr="002B7386">
        <w:rPr>
          <w:rFonts w:asciiTheme="minorHAnsi" w:hAnsiTheme="minorHAnsi" w:cstheme="minorHAnsi"/>
          <w:i/>
          <w:sz w:val="22"/>
          <w:szCs w:val="22"/>
        </w:rPr>
        <w:t>subgrantees</w:t>
      </w:r>
      <w:proofErr w:type="spellEnd"/>
      <w:r w:rsidRPr="002B7386">
        <w:rPr>
          <w:rFonts w:asciiTheme="minorHAnsi" w:hAnsiTheme="minorHAnsi" w:cstheme="minorHAnsi"/>
          <w:i/>
          <w:sz w:val="22"/>
          <w:szCs w:val="22"/>
        </w:rPr>
        <w:t xml:space="preserve"> must meet the following standards:</w:t>
      </w:r>
    </w:p>
    <w:p w:rsidR="007C6591" w:rsidRPr="002B7386" w:rsidRDefault="007C6591" w:rsidP="00B04F78">
      <w:pPr>
        <w:pStyle w:val="NormalWeb"/>
        <w:spacing w:before="120" w:beforeAutospacing="0" w:after="0" w:afterAutospacing="0"/>
        <w:ind w:left="720" w:right="720"/>
        <w:jc w:val="both"/>
        <w:rPr>
          <w:rFonts w:asciiTheme="minorHAnsi" w:hAnsiTheme="minorHAnsi" w:cstheme="minorHAnsi"/>
          <w:i/>
          <w:sz w:val="22"/>
          <w:szCs w:val="22"/>
        </w:rPr>
      </w:pPr>
      <w:r w:rsidRPr="002B7386">
        <w:rPr>
          <w:rFonts w:asciiTheme="minorHAnsi" w:hAnsiTheme="minorHAnsi" w:cstheme="minorHAnsi"/>
          <w:i/>
          <w:sz w:val="22"/>
          <w:szCs w:val="22"/>
        </w:rPr>
        <w:t xml:space="preserve">(1) </w:t>
      </w:r>
      <w:r w:rsidRPr="002B7386">
        <w:rPr>
          <w:rFonts w:asciiTheme="minorHAnsi" w:hAnsiTheme="minorHAnsi" w:cstheme="minorHAnsi"/>
          <w:i/>
          <w:iCs/>
          <w:sz w:val="22"/>
          <w:szCs w:val="22"/>
        </w:rPr>
        <w:t>Financial reporting</w:t>
      </w:r>
      <w:proofErr w:type="gramStart"/>
      <w:r w:rsidRPr="002B7386">
        <w:rPr>
          <w:rFonts w:asciiTheme="minorHAnsi" w:hAnsiTheme="minorHAnsi" w:cstheme="minorHAnsi"/>
          <w:i/>
          <w:iCs/>
          <w:sz w:val="22"/>
          <w:szCs w:val="22"/>
        </w:rPr>
        <w:t xml:space="preserve">. </w:t>
      </w:r>
      <w:proofErr w:type="gramEnd"/>
      <w:r w:rsidRPr="002B7386">
        <w:rPr>
          <w:rFonts w:asciiTheme="minorHAnsi" w:hAnsiTheme="minorHAnsi" w:cstheme="minorHAnsi"/>
          <w:i/>
          <w:sz w:val="22"/>
          <w:szCs w:val="22"/>
        </w:rPr>
        <w:t xml:space="preserve">Accurate, current, and complete disclosure of the financial results of financially assisted activities </w:t>
      </w:r>
      <w:proofErr w:type="gramStart"/>
      <w:r w:rsidRPr="002B7386">
        <w:rPr>
          <w:rFonts w:asciiTheme="minorHAnsi" w:hAnsiTheme="minorHAnsi" w:cstheme="minorHAnsi"/>
          <w:i/>
          <w:sz w:val="22"/>
          <w:szCs w:val="22"/>
        </w:rPr>
        <w:t>must be made</w:t>
      </w:r>
      <w:proofErr w:type="gramEnd"/>
      <w:r w:rsidRPr="002B7386">
        <w:rPr>
          <w:rFonts w:asciiTheme="minorHAnsi" w:hAnsiTheme="minorHAnsi" w:cstheme="minorHAnsi"/>
          <w:i/>
          <w:sz w:val="22"/>
          <w:szCs w:val="22"/>
        </w:rPr>
        <w:t xml:space="preserve"> in accordance with the financial reporting requirements of the grant or </w:t>
      </w:r>
      <w:proofErr w:type="spellStart"/>
      <w:r w:rsidRPr="002B7386">
        <w:rPr>
          <w:rFonts w:asciiTheme="minorHAnsi" w:hAnsiTheme="minorHAnsi" w:cstheme="minorHAnsi"/>
          <w:i/>
          <w:sz w:val="22"/>
          <w:szCs w:val="22"/>
        </w:rPr>
        <w:t>subgrant</w:t>
      </w:r>
      <w:proofErr w:type="spellEnd"/>
      <w:r w:rsidRPr="002B7386">
        <w:rPr>
          <w:rFonts w:asciiTheme="minorHAnsi" w:hAnsiTheme="minorHAnsi" w:cstheme="minorHAnsi"/>
          <w:i/>
          <w:sz w:val="22"/>
          <w:szCs w:val="22"/>
        </w:rPr>
        <w:t>.</w:t>
      </w:r>
    </w:p>
    <w:p w:rsidR="007C6591" w:rsidRPr="002B7386" w:rsidRDefault="007C6591" w:rsidP="00B04F78">
      <w:pPr>
        <w:pStyle w:val="NormalWeb"/>
        <w:spacing w:before="120" w:beforeAutospacing="0" w:after="0" w:afterAutospacing="0"/>
        <w:ind w:left="720" w:right="720"/>
        <w:jc w:val="both"/>
        <w:rPr>
          <w:rFonts w:asciiTheme="minorHAnsi" w:hAnsiTheme="minorHAnsi" w:cstheme="minorHAnsi"/>
          <w:i/>
          <w:sz w:val="22"/>
          <w:szCs w:val="22"/>
        </w:rPr>
      </w:pPr>
      <w:r w:rsidRPr="002B7386">
        <w:rPr>
          <w:rFonts w:asciiTheme="minorHAnsi" w:hAnsiTheme="minorHAnsi" w:cstheme="minorHAnsi"/>
          <w:i/>
          <w:sz w:val="22"/>
          <w:szCs w:val="22"/>
        </w:rPr>
        <w:t xml:space="preserve">(2) </w:t>
      </w:r>
      <w:r w:rsidRPr="002B7386">
        <w:rPr>
          <w:rFonts w:asciiTheme="minorHAnsi" w:hAnsiTheme="minorHAnsi" w:cstheme="minorHAnsi"/>
          <w:i/>
          <w:iCs/>
          <w:sz w:val="22"/>
          <w:szCs w:val="22"/>
        </w:rPr>
        <w:t>Accounting records</w:t>
      </w:r>
      <w:proofErr w:type="gramStart"/>
      <w:r w:rsidRPr="002B7386">
        <w:rPr>
          <w:rFonts w:asciiTheme="minorHAnsi" w:hAnsiTheme="minorHAnsi" w:cstheme="minorHAnsi"/>
          <w:i/>
          <w:iCs/>
          <w:sz w:val="22"/>
          <w:szCs w:val="22"/>
        </w:rPr>
        <w:t xml:space="preserve">. </w:t>
      </w:r>
      <w:proofErr w:type="gramEnd"/>
      <w:r w:rsidRPr="002B7386">
        <w:rPr>
          <w:rFonts w:asciiTheme="minorHAnsi" w:hAnsiTheme="minorHAnsi" w:cstheme="minorHAnsi"/>
          <w:i/>
          <w:sz w:val="22"/>
          <w:szCs w:val="22"/>
        </w:rPr>
        <w:t xml:space="preserve">Grantees and </w:t>
      </w:r>
      <w:proofErr w:type="spellStart"/>
      <w:r w:rsidRPr="002B7386">
        <w:rPr>
          <w:rFonts w:asciiTheme="minorHAnsi" w:hAnsiTheme="minorHAnsi" w:cstheme="minorHAnsi"/>
          <w:i/>
          <w:sz w:val="22"/>
          <w:szCs w:val="22"/>
        </w:rPr>
        <w:t>subgrantees</w:t>
      </w:r>
      <w:proofErr w:type="spellEnd"/>
      <w:r w:rsidRPr="002B7386">
        <w:rPr>
          <w:rFonts w:asciiTheme="minorHAnsi" w:hAnsiTheme="minorHAnsi" w:cstheme="minorHAnsi"/>
          <w:i/>
          <w:sz w:val="22"/>
          <w:szCs w:val="22"/>
        </w:rPr>
        <w:t xml:space="preserve"> must maintain records which adequately identify the source and application of funds provided for financially-assisted activities</w:t>
      </w:r>
      <w:proofErr w:type="gramStart"/>
      <w:r w:rsidRPr="002B7386">
        <w:rPr>
          <w:rFonts w:asciiTheme="minorHAnsi" w:hAnsiTheme="minorHAnsi" w:cstheme="minorHAnsi"/>
          <w:i/>
          <w:sz w:val="22"/>
          <w:szCs w:val="22"/>
        </w:rPr>
        <w:t xml:space="preserve">. </w:t>
      </w:r>
      <w:proofErr w:type="gramEnd"/>
      <w:r w:rsidRPr="002B7386">
        <w:rPr>
          <w:rFonts w:asciiTheme="minorHAnsi" w:hAnsiTheme="minorHAnsi" w:cstheme="minorHAnsi"/>
          <w:i/>
          <w:sz w:val="22"/>
          <w:szCs w:val="22"/>
        </w:rPr>
        <w:t xml:space="preserve">These records must contain information pertaining to grant or </w:t>
      </w:r>
      <w:proofErr w:type="spellStart"/>
      <w:r w:rsidRPr="002B7386">
        <w:rPr>
          <w:rFonts w:asciiTheme="minorHAnsi" w:hAnsiTheme="minorHAnsi" w:cstheme="minorHAnsi"/>
          <w:i/>
          <w:sz w:val="22"/>
          <w:szCs w:val="22"/>
        </w:rPr>
        <w:t>subgrant</w:t>
      </w:r>
      <w:proofErr w:type="spellEnd"/>
      <w:r w:rsidRPr="002B7386">
        <w:rPr>
          <w:rFonts w:asciiTheme="minorHAnsi" w:hAnsiTheme="minorHAnsi" w:cstheme="minorHAnsi"/>
          <w:i/>
          <w:sz w:val="22"/>
          <w:szCs w:val="22"/>
        </w:rPr>
        <w:t xml:space="preserve"> awards and authorizations, obligations, unobligated balances, assets, liabilities, outlays or expenditures, and income.</w:t>
      </w:r>
    </w:p>
    <w:p w:rsidR="007C6591" w:rsidRPr="002B7386" w:rsidRDefault="007C6591" w:rsidP="00B04F78">
      <w:pPr>
        <w:pStyle w:val="NormalWeb"/>
        <w:spacing w:before="120" w:beforeAutospacing="0" w:after="0" w:afterAutospacing="0"/>
        <w:ind w:left="720" w:right="720"/>
        <w:jc w:val="both"/>
        <w:rPr>
          <w:rFonts w:asciiTheme="minorHAnsi" w:hAnsiTheme="minorHAnsi" w:cstheme="minorHAnsi"/>
          <w:i/>
          <w:sz w:val="22"/>
          <w:szCs w:val="22"/>
        </w:rPr>
      </w:pPr>
      <w:r w:rsidRPr="002B7386">
        <w:rPr>
          <w:rFonts w:asciiTheme="minorHAnsi" w:hAnsiTheme="minorHAnsi" w:cstheme="minorHAnsi"/>
          <w:i/>
          <w:sz w:val="22"/>
          <w:szCs w:val="22"/>
        </w:rPr>
        <w:t xml:space="preserve">(3) </w:t>
      </w:r>
      <w:r w:rsidRPr="002B7386">
        <w:rPr>
          <w:rFonts w:asciiTheme="minorHAnsi" w:hAnsiTheme="minorHAnsi" w:cstheme="minorHAnsi"/>
          <w:i/>
          <w:iCs/>
          <w:sz w:val="22"/>
          <w:szCs w:val="22"/>
        </w:rPr>
        <w:t>Internal control</w:t>
      </w:r>
      <w:proofErr w:type="gramStart"/>
      <w:r w:rsidRPr="002B7386">
        <w:rPr>
          <w:rFonts w:asciiTheme="minorHAnsi" w:hAnsiTheme="minorHAnsi" w:cstheme="minorHAnsi"/>
          <w:i/>
          <w:iCs/>
          <w:sz w:val="22"/>
          <w:szCs w:val="22"/>
        </w:rPr>
        <w:t xml:space="preserve">. </w:t>
      </w:r>
      <w:proofErr w:type="gramEnd"/>
      <w:r w:rsidRPr="002B7386">
        <w:rPr>
          <w:rFonts w:asciiTheme="minorHAnsi" w:hAnsiTheme="minorHAnsi" w:cstheme="minorHAnsi"/>
          <w:i/>
          <w:sz w:val="22"/>
          <w:szCs w:val="22"/>
        </w:rPr>
        <w:t xml:space="preserve">Effective control and accountability must be maintained for all grant and </w:t>
      </w:r>
      <w:proofErr w:type="spellStart"/>
      <w:r w:rsidRPr="002B7386">
        <w:rPr>
          <w:rFonts w:asciiTheme="minorHAnsi" w:hAnsiTheme="minorHAnsi" w:cstheme="minorHAnsi"/>
          <w:i/>
          <w:sz w:val="22"/>
          <w:szCs w:val="22"/>
        </w:rPr>
        <w:t>subgrant</w:t>
      </w:r>
      <w:proofErr w:type="spellEnd"/>
      <w:r w:rsidRPr="002B7386">
        <w:rPr>
          <w:rFonts w:asciiTheme="minorHAnsi" w:hAnsiTheme="minorHAnsi" w:cstheme="minorHAnsi"/>
          <w:i/>
          <w:sz w:val="22"/>
          <w:szCs w:val="22"/>
        </w:rPr>
        <w:t xml:space="preserve"> cash, real and personal property, and other assets</w:t>
      </w:r>
      <w:proofErr w:type="gramStart"/>
      <w:r w:rsidRPr="002B7386">
        <w:rPr>
          <w:rFonts w:asciiTheme="minorHAnsi" w:hAnsiTheme="minorHAnsi" w:cstheme="minorHAnsi"/>
          <w:i/>
          <w:sz w:val="22"/>
          <w:szCs w:val="22"/>
        </w:rPr>
        <w:t xml:space="preserve">. </w:t>
      </w:r>
      <w:proofErr w:type="gramEnd"/>
      <w:r w:rsidRPr="002B7386">
        <w:rPr>
          <w:rFonts w:asciiTheme="minorHAnsi" w:hAnsiTheme="minorHAnsi" w:cstheme="minorHAnsi"/>
          <w:i/>
          <w:sz w:val="22"/>
          <w:szCs w:val="22"/>
        </w:rPr>
        <w:t xml:space="preserve">Grantees and </w:t>
      </w:r>
      <w:proofErr w:type="spellStart"/>
      <w:r w:rsidRPr="002B7386">
        <w:rPr>
          <w:rFonts w:asciiTheme="minorHAnsi" w:hAnsiTheme="minorHAnsi" w:cstheme="minorHAnsi"/>
          <w:i/>
          <w:sz w:val="22"/>
          <w:szCs w:val="22"/>
        </w:rPr>
        <w:t>subgrantees</w:t>
      </w:r>
      <w:proofErr w:type="spellEnd"/>
      <w:r w:rsidRPr="002B7386">
        <w:rPr>
          <w:rFonts w:asciiTheme="minorHAnsi" w:hAnsiTheme="minorHAnsi" w:cstheme="minorHAnsi"/>
          <w:i/>
          <w:sz w:val="22"/>
          <w:szCs w:val="22"/>
        </w:rPr>
        <w:t xml:space="preserve"> must adequately safeguard all such property and must assure that it </w:t>
      </w:r>
      <w:proofErr w:type="gramStart"/>
      <w:r w:rsidRPr="002B7386">
        <w:rPr>
          <w:rFonts w:asciiTheme="minorHAnsi" w:hAnsiTheme="minorHAnsi" w:cstheme="minorHAnsi"/>
          <w:i/>
          <w:sz w:val="22"/>
          <w:szCs w:val="22"/>
        </w:rPr>
        <w:t>is used</w:t>
      </w:r>
      <w:proofErr w:type="gramEnd"/>
      <w:r w:rsidRPr="002B7386">
        <w:rPr>
          <w:rFonts w:asciiTheme="minorHAnsi" w:hAnsiTheme="minorHAnsi" w:cstheme="minorHAnsi"/>
          <w:i/>
          <w:sz w:val="22"/>
          <w:szCs w:val="22"/>
        </w:rPr>
        <w:t xml:space="preserve"> solely for authorized purposes.</w:t>
      </w:r>
    </w:p>
    <w:p w:rsidR="007C6591" w:rsidRPr="002B7386" w:rsidRDefault="007C6591" w:rsidP="00B04F78">
      <w:pPr>
        <w:pStyle w:val="NormalWeb"/>
        <w:spacing w:before="120" w:beforeAutospacing="0" w:after="0" w:afterAutospacing="0"/>
        <w:ind w:left="720" w:right="720"/>
        <w:jc w:val="both"/>
        <w:rPr>
          <w:rFonts w:asciiTheme="minorHAnsi" w:hAnsiTheme="minorHAnsi" w:cstheme="minorHAnsi"/>
          <w:i/>
          <w:sz w:val="22"/>
          <w:szCs w:val="22"/>
        </w:rPr>
      </w:pPr>
      <w:r w:rsidRPr="002B7386">
        <w:rPr>
          <w:rFonts w:asciiTheme="minorHAnsi" w:hAnsiTheme="minorHAnsi" w:cstheme="minorHAnsi"/>
          <w:i/>
          <w:sz w:val="22"/>
          <w:szCs w:val="22"/>
        </w:rPr>
        <w:t xml:space="preserve">(4) </w:t>
      </w:r>
      <w:r w:rsidRPr="002B7386">
        <w:rPr>
          <w:rFonts w:asciiTheme="minorHAnsi" w:hAnsiTheme="minorHAnsi" w:cstheme="minorHAnsi"/>
          <w:i/>
          <w:iCs/>
          <w:sz w:val="22"/>
          <w:szCs w:val="22"/>
        </w:rPr>
        <w:t>Budget control</w:t>
      </w:r>
      <w:proofErr w:type="gramStart"/>
      <w:r w:rsidRPr="002B7386">
        <w:rPr>
          <w:rFonts w:asciiTheme="minorHAnsi" w:hAnsiTheme="minorHAnsi" w:cstheme="minorHAnsi"/>
          <w:i/>
          <w:iCs/>
          <w:sz w:val="22"/>
          <w:szCs w:val="22"/>
        </w:rPr>
        <w:t xml:space="preserve">. </w:t>
      </w:r>
      <w:proofErr w:type="gramEnd"/>
      <w:r w:rsidRPr="002B7386">
        <w:rPr>
          <w:rFonts w:asciiTheme="minorHAnsi" w:hAnsiTheme="minorHAnsi" w:cstheme="minorHAnsi"/>
          <w:i/>
          <w:sz w:val="22"/>
          <w:szCs w:val="22"/>
        </w:rPr>
        <w:t xml:space="preserve">Actual expenditures or outlays must be compared with budgeted amounts for each grant or </w:t>
      </w:r>
      <w:proofErr w:type="spellStart"/>
      <w:r w:rsidRPr="002B7386">
        <w:rPr>
          <w:rFonts w:asciiTheme="minorHAnsi" w:hAnsiTheme="minorHAnsi" w:cstheme="minorHAnsi"/>
          <w:i/>
          <w:sz w:val="22"/>
          <w:szCs w:val="22"/>
        </w:rPr>
        <w:t>subgrant</w:t>
      </w:r>
      <w:proofErr w:type="spellEnd"/>
      <w:proofErr w:type="gramStart"/>
      <w:r w:rsidRPr="002B7386">
        <w:rPr>
          <w:rFonts w:asciiTheme="minorHAnsi" w:hAnsiTheme="minorHAnsi" w:cstheme="minorHAnsi"/>
          <w:i/>
          <w:sz w:val="22"/>
          <w:szCs w:val="22"/>
        </w:rPr>
        <w:t xml:space="preserve">. </w:t>
      </w:r>
      <w:proofErr w:type="gramEnd"/>
      <w:r w:rsidRPr="002B7386">
        <w:rPr>
          <w:rFonts w:asciiTheme="minorHAnsi" w:hAnsiTheme="minorHAnsi" w:cstheme="minorHAnsi"/>
          <w:i/>
          <w:sz w:val="22"/>
          <w:szCs w:val="22"/>
        </w:rPr>
        <w:t xml:space="preserve">Financial information must be related to performance or productivity data, including the development of unit cost information whenever appropriate or specifically required in the grant or </w:t>
      </w:r>
      <w:proofErr w:type="spellStart"/>
      <w:r w:rsidRPr="002B7386">
        <w:rPr>
          <w:rFonts w:asciiTheme="minorHAnsi" w:hAnsiTheme="minorHAnsi" w:cstheme="minorHAnsi"/>
          <w:i/>
          <w:sz w:val="22"/>
          <w:szCs w:val="22"/>
        </w:rPr>
        <w:t>subgrant</w:t>
      </w:r>
      <w:proofErr w:type="spellEnd"/>
      <w:r w:rsidRPr="002B7386">
        <w:rPr>
          <w:rFonts w:asciiTheme="minorHAnsi" w:hAnsiTheme="minorHAnsi" w:cstheme="minorHAnsi"/>
          <w:i/>
          <w:sz w:val="22"/>
          <w:szCs w:val="22"/>
        </w:rPr>
        <w:t xml:space="preserve"> agreement</w:t>
      </w:r>
      <w:proofErr w:type="gramStart"/>
      <w:r w:rsidRPr="002B7386">
        <w:rPr>
          <w:rFonts w:asciiTheme="minorHAnsi" w:hAnsiTheme="minorHAnsi" w:cstheme="minorHAnsi"/>
          <w:i/>
          <w:sz w:val="22"/>
          <w:szCs w:val="22"/>
        </w:rPr>
        <w:t xml:space="preserve">. </w:t>
      </w:r>
      <w:proofErr w:type="gramEnd"/>
      <w:r w:rsidRPr="002B7386">
        <w:rPr>
          <w:rFonts w:asciiTheme="minorHAnsi" w:hAnsiTheme="minorHAnsi" w:cstheme="minorHAnsi"/>
          <w:i/>
          <w:sz w:val="22"/>
          <w:szCs w:val="22"/>
        </w:rPr>
        <w:t xml:space="preserve">If unit cost data are required, estimates based on available documentation </w:t>
      </w:r>
      <w:proofErr w:type="gramStart"/>
      <w:r w:rsidRPr="002B7386">
        <w:rPr>
          <w:rFonts w:asciiTheme="minorHAnsi" w:hAnsiTheme="minorHAnsi" w:cstheme="minorHAnsi"/>
          <w:i/>
          <w:sz w:val="22"/>
          <w:szCs w:val="22"/>
        </w:rPr>
        <w:t>will be accepted</w:t>
      </w:r>
      <w:proofErr w:type="gramEnd"/>
      <w:r w:rsidRPr="002B7386">
        <w:rPr>
          <w:rFonts w:asciiTheme="minorHAnsi" w:hAnsiTheme="minorHAnsi" w:cstheme="minorHAnsi"/>
          <w:i/>
          <w:sz w:val="22"/>
          <w:szCs w:val="22"/>
        </w:rPr>
        <w:t xml:space="preserve"> whenever possible.</w:t>
      </w:r>
    </w:p>
    <w:p w:rsidR="007C6591" w:rsidRPr="002B7386" w:rsidRDefault="007C6591" w:rsidP="00B04F78">
      <w:pPr>
        <w:pStyle w:val="NormalWeb"/>
        <w:spacing w:before="120" w:beforeAutospacing="0" w:after="0" w:afterAutospacing="0"/>
        <w:ind w:left="720" w:right="720"/>
        <w:jc w:val="both"/>
        <w:rPr>
          <w:rFonts w:asciiTheme="minorHAnsi" w:hAnsiTheme="minorHAnsi" w:cstheme="minorHAnsi"/>
          <w:i/>
          <w:sz w:val="22"/>
          <w:szCs w:val="22"/>
        </w:rPr>
      </w:pPr>
      <w:r w:rsidRPr="002B7386">
        <w:rPr>
          <w:rFonts w:asciiTheme="minorHAnsi" w:hAnsiTheme="minorHAnsi" w:cstheme="minorHAnsi"/>
          <w:i/>
          <w:sz w:val="22"/>
          <w:szCs w:val="22"/>
        </w:rPr>
        <w:t xml:space="preserve">(5) </w:t>
      </w:r>
      <w:r w:rsidRPr="002B7386">
        <w:rPr>
          <w:rFonts w:asciiTheme="minorHAnsi" w:hAnsiTheme="minorHAnsi" w:cstheme="minorHAnsi"/>
          <w:i/>
          <w:iCs/>
          <w:sz w:val="22"/>
          <w:szCs w:val="22"/>
        </w:rPr>
        <w:t>Allowable cost</w:t>
      </w:r>
      <w:proofErr w:type="gramStart"/>
      <w:r w:rsidRPr="002B7386">
        <w:rPr>
          <w:rFonts w:asciiTheme="minorHAnsi" w:hAnsiTheme="minorHAnsi" w:cstheme="minorHAnsi"/>
          <w:i/>
          <w:iCs/>
          <w:sz w:val="22"/>
          <w:szCs w:val="22"/>
        </w:rPr>
        <w:t xml:space="preserve">. </w:t>
      </w:r>
      <w:proofErr w:type="gramEnd"/>
      <w:r w:rsidRPr="002B7386">
        <w:rPr>
          <w:rFonts w:asciiTheme="minorHAnsi" w:hAnsiTheme="minorHAnsi" w:cstheme="minorHAnsi"/>
          <w:i/>
          <w:sz w:val="22"/>
          <w:szCs w:val="22"/>
        </w:rPr>
        <w:t xml:space="preserve">Applicable OMB cost principles, agency program regulations, and the terms of grant and </w:t>
      </w:r>
      <w:proofErr w:type="spellStart"/>
      <w:r w:rsidRPr="002B7386">
        <w:rPr>
          <w:rFonts w:asciiTheme="minorHAnsi" w:hAnsiTheme="minorHAnsi" w:cstheme="minorHAnsi"/>
          <w:i/>
          <w:sz w:val="22"/>
          <w:szCs w:val="22"/>
        </w:rPr>
        <w:t>subgrant</w:t>
      </w:r>
      <w:proofErr w:type="spellEnd"/>
      <w:r w:rsidRPr="002B7386">
        <w:rPr>
          <w:rFonts w:asciiTheme="minorHAnsi" w:hAnsiTheme="minorHAnsi" w:cstheme="minorHAnsi"/>
          <w:i/>
          <w:sz w:val="22"/>
          <w:szCs w:val="22"/>
        </w:rPr>
        <w:t xml:space="preserve"> agreements </w:t>
      </w:r>
      <w:proofErr w:type="gramStart"/>
      <w:r w:rsidRPr="002B7386">
        <w:rPr>
          <w:rFonts w:asciiTheme="minorHAnsi" w:hAnsiTheme="minorHAnsi" w:cstheme="minorHAnsi"/>
          <w:i/>
          <w:sz w:val="22"/>
          <w:szCs w:val="22"/>
        </w:rPr>
        <w:t>will be followed</w:t>
      </w:r>
      <w:proofErr w:type="gramEnd"/>
      <w:r w:rsidRPr="002B7386">
        <w:rPr>
          <w:rFonts w:asciiTheme="minorHAnsi" w:hAnsiTheme="minorHAnsi" w:cstheme="minorHAnsi"/>
          <w:i/>
          <w:sz w:val="22"/>
          <w:szCs w:val="22"/>
        </w:rPr>
        <w:t xml:space="preserve"> in determining the reasonableness, </w:t>
      </w:r>
      <w:proofErr w:type="spellStart"/>
      <w:r w:rsidRPr="002B7386">
        <w:rPr>
          <w:rFonts w:asciiTheme="minorHAnsi" w:hAnsiTheme="minorHAnsi" w:cstheme="minorHAnsi"/>
          <w:i/>
          <w:sz w:val="22"/>
          <w:szCs w:val="22"/>
        </w:rPr>
        <w:t>allowability</w:t>
      </w:r>
      <w:proofErr w:type="spellEnd"/>
      <w:r w:rsidRPr="002B7386">
        <w:rPr>
          <w:rFonts w:asciiTheme="minorHAnsi" w:hAnsiTheme="minorHAnsi" w:cstheme="minorHAnsi"/>
          <w:i/>
          <w:sz w:val="22"/>
          <w:szCs w:val="22"/>
        </w:rPr>
        <w:t xml:space="preserve">, and </w:t>
      </w:r>
      <w:proofErr w:type="spellStart"/>
      <w:r w:rsidRPr="002B7386">
        <w:rPr>
          <w:rFonts w:asciiTheme="minorHAnsi" w:hAnsiTheme="minorHAnsi" w:cstheme="minorHAnsi"/>
          <w:i/>
          <w:sz w:val="22"/>
          <w:szCs w:val="22"/>
        </w:rPr>
        <w:t>allocability</w:t>
      </w:r>
      <w:proofErr w:type="spellEnd"/>
      <w:r w:rsidRPr="002B7386">
        <w:rPr>
          <w:rFonts w:asciiTheme="minorHAnsi" w:hAnsiTheme="minorHAnsi" w:cstheme="minorHAnsi"/>
          <w:i/>
          <w:sz w:val="22"/>
          <w:szCs w:val="22"/>
        </w:rPr>
        <w:t xml:space="preserve"> of costs.</w:t>
      </w:r>
    </w:p>
    <w:p w:rsidR="007C6591" w:rsidRPr="002B7386" w:rsidRDefault="007C6591" w:rsidP="00B04F78">
      <w:pPr>
        <w:pStyle w:val="NormalWeb"/>
        <w:spacing w:before="120" w:beforeAutospacing="0" w:after="0" w:afterAutospacing="0"/>
        <w:ind w:left="720" w:right="720"/>
        <w:jc w:val="both"/>
        <w:rPr>
          <w:rFonts w:asciiTheme="minorHAnsi" w:hAnsiTheme="minorHAnsi" w:cstheme="minorHAnsi"/>
          <w:i/>
          <w:sz w:val="22"/>
          <w:szCs w:val="22"/>
        </w:rPr>
      </w:pPr>
      <w:r w:rsidRPr="002B7386">
        <w:rPr>
          <w:rFonts w:asciiTheme="minorHAnsi" w:hAnsiTheme="minorHAnsi" w:cstheme="minorHAnsi"/>
          <w:i/>
          <w:sz w:val="22"/>
          <w:szCs w:val="22"/>
        </w:rPr>
        <w:t xml:space="preserve">(6) </w:t>
      </w:r>
      <w:r w:rsidRPr="002B7386">
        <w:rPr>
          <w:rFonts w:asciiTheme="minorHAnsi" w:hAnsiTheme="minorHAnsi" w:cstheme="minorHAnsi"/>
          <w:i/>
          <w:iCs/>
          <w:sz w:val="22"/>
          <w:szCs w:val="22"/>
        </w:rPr>
        <w:t>Source documentation</w:t>
      </w:r>
      <w:proofErr w:type="gramStart"/>
      <w:r w:rsidRPr="002B7386">
        <w:rPr>
          <w:rFonts w:asciiTheme="minorHAnsi" w:hAnsiTheme="minorHAnsi" w:cstheme="minorHAnsi"/>
          <w:i/>
          <w:iCs/>
          <w:sz w:val="22"/>
          <w:szCs w:val="22"/>
        </w:rPr>
        <w:t xml:space="preserve">. </w:t>
      </w:r>
      <w:proofErr w:type="gramEnd"/>
      <w:r w:rsidRPr="002B7386">
        <w:rPr>
          <w:rFonts w:asciiTheme="minorHAnsi" w:hAnsiTheme="minorHAnsi" w:cstheme="minorHAnsi"/>
          <w:i/>
          <w:sz w:val="22"/>
          <w:szCs w:val="22"/>
        </w:rPr>
        <w:t xml:space="preserve">Accounting records </w:t>
      </w:r>
      <w:proofErr w:type="gramStart"/>
      <w:r w:rsidRPr="002B7386">
        <w:rPr>
          <w:rFonts w:asciiTheme="minorHAnsi" w:hAnsiTheme="minorHAnsi" w:cstheme="minorHAnsi"/>
          <w:i/>
          <w:sz w:val="22"/>
          <w:szCs w:val="22"/>
        </w:rPr>
        <w:t>must be supported</w:t>
      </w:r>
      <w:proofErr w:type="gramEnd"/>
      <w:r w:rsidRPr="002B7386">
        <w:rPr>
          <w:rFonts w:asciiTheme="minorHAnsi" w:hAnsiTheme="minorHAnsi" w:cstheme="minorHAnsi"/>
          <w:i/>
          <w:sz w:val="22"/>
          <w:szCs w:val="22"/>
        </w:rPr>
        <w:t xml:space="preserve"> by such source documentation as cancelled checks, paid bills, payrolls, time and attendance records, contract and </w:t>
      </w:r>
      <w:proofErr w:type="spellStart"/>
      <w:r w:rsidRPr="002B7386">
        <w:rPr>
          <w:rFonts w:asciiTheme="minorHAnsi" w:hAnsiTheme="minorHAnsi" w:cstheme="minorHAnsi"/>
          <w:i/>
          <w:sz w:val="22"/>
          <w:szCs w:val="22"/>
        </w:rPr>
        <w:t>subgrant</w:t>
      </w:r>
      <w:proofErr w:type="spellEnd"/>
      <w:r w:rsidRPr="002B7386">
        <w:rPr>
          <w:rFonts w:asciiTheme="minorHAnsi" w:hAnsiTheme="minorHAnsi" w:cstheme="minorHAnsi"/>
          <w:i/>
          <w:sz w:val="22"/>
          <w:szCs w:val="22"/>
        </w:rPr>
        <w:t xml:space="preserve"> award documents, etc.</w:t>
      </w:r>
    </w:p>
    <w:p w:rsidR="007C6591" w:rsidRDefault="007C6591" w:rsidP="00B04F78">
      <w:pPr>
        <w:pStyle w:val="NormalWeb"/>
        <w:spacing w:before="120" w:beforeAutospacing="0" w:after="0" w:afterAutospacing="0"/>
        <w:ind w:right="720"/>
        <w:jc w:val="both"/>
        <w:rPr>
          <w:rFonts w:asciiTheme="minorHAnsi" w:hAnsiTheme="minorHAnsi" w:cstheme="minorHAnsi"/>
          <w:i/>
          <w:sz w:val="22"/>
          <w:szCs w:val="22"/>
        </w:rPr>
      </w:pPr>
      <w:r w:rsidRPr="002B7386">
        <w:rPr>
          <w:rFonts w:asciiTheme="minorHAnsi" w:hAnsiTheme="minorHAnsi" w:cstheme="minorHAnsi"/>
          <w:i/>
          <w:sz w:val="22"/>
          <w:szCs w:val="22"/>
        </w:rPr>
        <w:t xml:space="preserve">(c) An awarding agency may review the adequacy of the financial management system of any applicant for financial assistance as part of a </w:t>
      </w:r>
      <w:proofErr w:type="spellStart"/>
      <w:r w:rsidRPr="002B7386">
        <w:rPr>
          <w:rFonts w:asciiTheme="minorHAnsi" w:hAnsiTheme="minorHAnsi" w:cstheme="minorHAnsi"/>
          <w:i/>
          <w:sz w:val="22"/>
          <w:szCs w:val="22"/>
        </w:rPr>
        <w:t>preaward</w:t>
      </w:r>
      <w:proofErr w:type="spellEnd"/>
      <w:r w:rsidRPr="002B7386">
        <w:rPr>
          <w:rFonts w:asciiTheme="minorHAnsi" w:hAnsiTheme="minorHAnsi" w:cstheme="minorHAnsi"/>
          <w:i/>
          <w:sz w:val="22"/>
          <w:szCs w:val="22"/>
        </w:rPr>
        <w:t xml:space="preserve"> review or at any time subsequent to award.</w:t>
      </w:r>
    </w:p>
    <w:p w:rsidR="00597758" w:rsidRDefault="00597758" w:rsidP="00187FDC">
      <w:pPr>
        <w:pStyle w:val="Default"/>
        <w:ind w:left="720"/>
        <w:rPr>
          <w:sz w:val="22"/>
          <w:szCs w:val="22"/>
        </w:rPr>
      </w:pPr>
    </w:p>
    <w:p w:rsidR="00597758" w:rsidRDefault="00597758" w:rsidP="00187FDC">
      <w:pPr>
        <w:pStyle w:val="Default"/>
        <w:ind w:left="720"/>
        <w:rPr>
          <w:sz w:val="22"/>
          <w:szCs w:val="22"/>
        </w:rPr>
      </w:pPr>
    </w:p>
    <w:p w:rsidR="00210607" w:rsidRDefault="00210607" w:rsidP="00187FDC">
      <w:pPr>
        <w:ind w:left="720"/>
      </w:pPr>
    </w:p>
    <w:sectPr w:rsidR="00210607" w:rsidSect="00A52C02">
      <w:headerReference w:type="even" r:id="rId32"/>
      <w:headerReference w:type="default" r:id="rId33"/>
      <w:footerReference w:type="default" r:id="rId34"/>
      <w:headerReference w:type="first" r:id="rId35"/>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5BE" w:rsidRDefault="002935BE" w:rsidP="009F789D">
      <w:pPr>
        <w:spacing w:after="0"/>
      </w:pPr>
      <w:r>
        <w:separator/>
      </w:r>
    </w:p>
  </w:endnote>
  <w:endnote w:type="continuationSeparator" w:id="0">
    <w:p w:rsidR="002935BE" w:rsidRDefault="002935BE" w:rsidP="009F78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rsidP="00E31735">
    <w:pPr>
      <w:pStyle w:val="Footer"/>
      <w:tabs>
        <w:tab w:val="left" w:pos="-810"/>
      </w:tabs>
      <w:jc w:val="right"/>
    </w:pPr>
    <w:r>
      <w:tab/>
    </w:r>
  </w:p>
  <w:p w:rsidR="00F42D89" w:rsidRPr="00FF5E84" w:rsidRDefault="00F42D89" w:rsidP="00E31735">
    <w:pPr>
      <w:pStyle w:val="Footer"/>
      <w:tabs>
        <w:tab w:val="clear" w:pos="9360"/>
        <w:tab w:val="right" w:pos="9720"/>
      </w:tabs>
      <w:ind w:left="-360"/>
      <w:rPr>
        <w:rStyle w:val="IntenseEmphasis"/>
        <w:sz w:val="20"/>
      </w:rPr>
    </w:pPr>
    <w:r>
      <w:rPr>
        <w:b/>
        <w:bCs/>
        <w:i/>
        <w:iCs/>
        <w:noProof/>
        <w:color w:val="4F81BD" w:themeColor="accent1"/>
        <w:sz w:val="20"/>
      </w:rPr>
      <w:pict>
        <v:shapetype id="_x0000_t32" coordsize="21600,21600" o:spt="32" o:oned="t" path="m,l21600,21600e" filled="f">
          <v:path arrowok="t" fillok="f" o:connecttype="none"/>
          <o:lock v:ext="edit" shapetype="t"/>
        </v:shapetype>
        <v:shape id="AutoShape 28" o:spid="_x0000_s6150" type="#_x0000_t32" style="position:absolute;left:0;text-align:left;margin-left:-18.3pt;margin-top:-.6pt;width:479.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fG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"/>
      </w:pict>
    </w:r>
    <w:r w:rsidRPr="00FF5E84">
      <w:rPr>
        <w:rStyle w:val="IntenseEmphasis"/>
        <w:sz w:val="20"/>
      </w:rPr>
      <w:t>SSBCI National Standards for Compliance and Oversight</w:t>
    </w:r>
    <w:r>
      <w:rPr>
        <w:rStyle w:val="IntenseEmphasis"/>
        <w:sz w:val="20"/>
      </w:rPr>
      <w:tab/>
    </w:r>
    <w:r>
      <w:rPr>
        <w:rStyle w:val="IntenseEmphasis"/>
        <w:sz w:val="20"/>
      </w:rPr>
      <w:tab/>
    </w:r>
    <w:fldSimple w:instr=" PAGE   \* MERGEFORMAT ">
      <w:r w:rsidR="005C7C84">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rsidP="00E31735">
    <w:pPr>
      <w:pStyle w:val="Footer"/>
      <w:tabs>
        <w:tab w:val="left" w:pos="-810"/>
      </w:tabs>
      <w:ind w:left="-720"/>
      <w:jc w:val="right"/>
    </w:pPr>
    <w:r>
      <w:tab/>
    </w:r>
  </w:p>
  <w:p w:rsidR="00F42D89" w:rsidRPr="00FF5E84" w:rsidRDefault="00F42D89" w:rsidP="00E31735">
    <w:pPr>
      <w:pStyle w:val="Footer"/>
      <w:tabs>
        <w:tab w:val="clear" w:pos="9360"/>
        <w:tab w:val="right" w:pos="9720"/>
      </w:tabs>
      <w:ind w:left="-360"/>
      <w:rPr>
        <w:rStyle w:val="IntenseEmphasis"/>
        <w:sz w:val="20"/>
      </w:rPr>
    </w:pPr>
    <w:r>
      <w:rPr>
        <w:b/>
        <w:bCs/>
        <w:i/>
        <w:iCs/>
        <w:noProof/>
        <w:color w:val="4F81BD" w:themeColor="accent1"/>
        <w:sz w:val="20"/>
      </w:rPr>
      <w:pict>
        <v:shapetype id="_x0000_t32" coordsize="21600,21600" o:spt="32" o:oned="t" path="m,l21600,21600e" filled="f">
          <v:path arrowok="t" fillok="f" o:connecttype="none"/>
          <o:lock v:ext="edit" shapetype="t"/>
        </v:shapetype>
        <v:shape id="AutoShape 30" o:spid="_x0000_s6149" type="#_x0000_t32" style="position:absolute;left:0;text-align:left;margin-left:-17.95pt;margin-top:-.6pt;width:479.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aV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"/>
      </w:pict>
    </w:r>
    <w:r w:rsidRPr="00FF5E84">
      <w:rPr>
        <w:rStyle w:val="IntenseEmphasis"/>
        <w:sz w:val="20"/>
      </w:rPr>
      <w:t>SSBCI National Standards for Compliance and Oversight</w:t>
    </w:r>
    <w:r>
      <w:rPr>
        <w:rStyle w:val="IntenseEmphasis"/>
        <w:sz w:val="20"/>
      </w:rPr>
      <w:tab/>
    </w:r>
    <w:r>
      <w:rPr>
        <w:rStyle w:val="IntenseEmphasis"/>
        <w:sz w:val="20"/>
      </w:rPr>
      <w:tab/>
    </w:r>
    <w:fldSimple w:instr=" PAGE   \* MERGEFORMAT ">
      <w:r>
        <w:rPr>
          <w:noProof/>
        </w:rPr>
        <w:t>7</w:t>
      </w:r>
    </w:fldSimple>
  </w:p>
  <w:p w:rsidR="00F42D89" w:rsidRDefault="00F42D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rsidP="00E31735">
    <w:pPr>
      <w:pStyle w:val="Footer"/>
      <w:tabs>
        <w:tab w:val="left" w:pos="-720"/>
      </w:tabs>
      <w:ind w:left="-720"/>
      <w:rPr>
        <w:rStyle w:val="IntenseEmphasis"/>
        <w:sz w:val="20"/>
      </w:rPr>
    </w:pPr>
  </w:p>
  <w:p w:rsidR="00F42D89" w:rsidRDefault="00F42D89" w:rsidP="00E31735">
    <w:pPr>
      <w:pStyle w:val="Footer"/>
      <w:tabs>
        <w:tab w:val="left" w:pos="-720"/>
      </w:tabs>
      <w:ind w:left="-720"/>
      <w:rPr>
        <w:rStyle w:val="IntenseEmphasis"/>
        <w:sz w:val="20"/>
      </w:rPr>
    </w:pPr>
  </w:p>
  <w:p w:rsidR="00F42D89" w:rsidRDefault="00F42D89" w:rsidP="00E31735">
    <w:pPr>
      <w:pStyle w:val="Footer"/>
      <w:tabs>
        <w:tab w:val="left" w:pos="-720"/>
      </w:tabs>
      <w:ind w:left="-720"/>
    </w:pPr>
    <w:r w:rsidRPr="00C12A22">
      <w:rPr>
        <w:b/>
        <w:bCs/>
        <w:i/>
        <w:iCs/>
        <w:noProof/>
        <w:color w:val="4F81BD" w:themeColor="accent1"/>
        <w:sz w:val="20"/>
      </w:rPr>
      <w:pict>
        <v:shapetype id="_x0000_t32" coordsize="21600,21600" o:spt="32" o:oned="t" path="m,l21600,21600e" filled="f">
          <v:path arrowok="t" fillok="f" o:connecttype="none"/>
          <o:lock v:ext="edit" shapetype="t"/>
        </v:shapetype>
        <v:shape id="AutoShape 32" o:spid="_x0000_s6148" type="#_x0000_t32" style="position:absolute;left:0;text-align:left;margin-left:-35.5pt;margin-top:-.6pt;width:479.6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qX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"/>
      </w:pict>
    </w:r>
    <w:r w:rsidRPr="00E31735">
      <w:rPr>
        <w:rStyle w:val="IntenseEmphasis"/>
        <w:sz w:val="20"/>
      </w:rPr>
      <w:t>SSBCI National Standards for Compliance and Oversight</w:t>
    </w:r>
    <w:r>
      <w:rPr>
        <w:rStyle w:val="IntenseEmphasis"/>
      </w:rPr>
      <w:tab/>
    </w:r>
    <w:r w:rsidRPr="00E31735">
      <w:t xml:space="preserve"> </w:t>
    </w:r>
    <w:r>
      <w:tab/>
      <w:t>A-</w:t>
    </w:r>
    <w:fldSimple w:instr=" PAGE   \* MERGEFORMAT ">
      <w:r w:rsidR="005C7C84">
        <w:rPr>
          <w:noProof/>
        </w:rPr>
        <w:t>2</w:t>
      </w:r>
    </w:fldSimple>
  </w:p>
  <w:p w:rsidR="00F42D89" w:rsidRPr="00867073" w:rsidRDefault="00F42D89" w:rsidP="00867073">
    <w:pPr>
      <w:pStyle w:val="Footer"/>
      <w:ind w:left="-1080"/>
      <w:rPr>
        <w:b/>
        <w:bCs/>
        <w:i/>
        <w:iCs/>
        <w:color w:val="4F81BD" w:themeColor="accent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rsidP="00E31735">
    <w:pPr>
      <w:pStyle w:val="Footer"/>
      <w:tabs>
        <w:tab w:val="left" w:pos="-720"/>
      </w:tabs>
      <w:ind w:left="-720"/>
    </w:pPr>
    <w:r w:rsidRPr="00C12A22">
      <w:rPr>
        <w:b/>
        <w:bCs/>
        <w:i/>
        <w:iCs/>
        <w:noProof/>
        <w:color w:val="4F81BD" w:themeColor="accent1"/>
        <w:sz w:val="20"/>
      </w:rPr>
      <w:pict>
        <v:shapetype id="_x0000_t32" coordsize="21600,21600" o:spt="32" o:oned="t" path="m,l21600,21600e" filled="f">
          <v:path arrowok="t" fillok="f" o:connecttype="none"/>
          <o:lock v:ext="edit" shapetype="t"/>
        </v:shapetype>
        <v:shape id="AutoShape 33" o:spid="_x0000_s6147" type="#_x0000_t32" style="position:absolute;left:0;text-align:left;margin-left:-35.5pt;margin-top:-.6pt;width:479.6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iZ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"/>
      </w:pict>
    </w:r>
    <w:r w:rsidRPr="00E31735">
      <w:rPr>
        <w:rStyle w:val="IntenseEmphasis"/>
        <w:sz w:val="20"/>
      </w:rPr>
      <w:t>SSBCI National Standards for Compliance and Oversight</w:t>
    </w:r>
    <w:r>
      <w:rPr>
        <w:rStyle w:val="IntenseEmphasis"/>
      </w:rPr>
      <w:tab/>
    </w:r>
    <w:r w:rsidRPr="00E31735">
      <w:t xml:space="preserve"> </w:t>
    </w:r>
    <w:r>
      <w:tab/>
      <w:t>B-</w:t>
    </w:r>
    <w:fldSimple w:instr=" PAGE   \* MERGEFORMAT ">
      <w:r w:rsidR="005C7C84">
        <w:rPr>
          <w:noProof/>
        </w:rPr>
        <w:t>1</w:t>
      </w:r>
    </w:fldSimple>
  </w:p>
  <w:p w:rsidR="00F42D89" w:rsidRPr="00E31735" w:rsidRDefault="00F42D89" w:rsidP="00E3173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rsidP="00E31735">
    <w:pPr>
      <w:pStyle w:val="Footer"/>
      <w:tabs>
        <w:tab w:val="left" w:pos="-720"/>
      </w:tabs>
      <w:ind w:left="-720"/>
    </w:pPr>
    <w:r w:rsidRPr="00C12A22">
      <w:rPr>
        <w:b/>
        <w:bCs/>
        <w:i/>
        <w:iCs/>
        <w:noProof/>
        <w:color w:val="4F81BD" w:themeColor="accent1"/>
        <w:sz w:val="20"/>
      </w:rPr>
      <w:pict>
        <v:shapetype id="_x0000_t32" coordsize="21600,21600" o:spt="32" o:oned="t" path="m,l21600,21600e" filled="f">
          <v:path arrowok="t" fillok="f" o:connecttype="none"/>
          <o:lock v:ext="edit" shapetype="t"/>
        </v:shapetype>
        <v:shape id="AutoShape 34" o:spid="_x0000_s6146" type="#_x0000_t32" style="position:absolute;left:0;text-align:left;margin-left:-35.5pt;margin-top:-.6pt;width:479.6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aw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"/>
      </w:pict>
    </w:r>
    <w:r w:rsidRPr="00E31735">
      <w:rPr>
        <w:rStyle w:val="IntenseEmphasis"/>
        <w:sz w:val="20"/>
      </w:rPr>
      <w:t>SSBCI National Standards for Compliance and Oversight</w:t>
    </w:r>
    <w:r>
      <w:rPr>
        <w:rStyle w:val="IntenseEmphasis"/>
      </w:rPr>
      <w:tab/>
    </w:r>
    <w:r w:rsidRPr="00E31735">
      <w:t xml:space="preserve"> </w:t>
    </w:r>
    <w:r>
      <w:tab/>
      <w:t>C-</w:t>
    </w:r>
    <w:fldSimple w:instr=" PAGE   \* MERGEFORMAT ">
      <w:r w:rsidR="005C7C84">
        <w:rPr>
          <w:noProof/>
        </w:rPr>
        <w:t>1</w:t>
      </w:r>
    </w:fldSimple>
  </w:p>
  <w:p w:rsidR="00F42D89" w:rsidRPr="00E31735" w:rsidRDefault="00F42D89" w:rsidP="00E3173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rsidP="00E31735">
    <w:pPr>
      <w:pStyle w:val="Footer"/>
      <w:tabs>
        <w:tab w:val="left" w:pos="-720"/>
      </w:tabs>
      <w:ind w:left="-720"/>
    </w:pPr>
    <w:r w:rsidRPr="00C12A22">
      <w:rPr>
        <w:b/>
        <w:bCs/>
        <w:i/>
        <w:iCs/>
        <w:noProof/>
        <w:color w:val="4F81BD" w:themeColor="accent1"/>
        <w:sz w:val="20"/>
      </w:rPr>
      <w:pict>
        <v:shapetype id="_x0000_t32" coordsize="21600,21600" o:spt="32" o:oned="t" path="m,l21600,21600e" filled="f">
          <v:path arrowok="t" fillok="f" o:connecttype="none"/>
          <o:lock v:ext="edit" shapetype="t"/>
        </v:shapetype>
        <v:shape id="AutoShape 35" o:spid="_x0000_s6145" type="#_x0000_t32" style="position:absolute;left:0;text-align:left;margin-left:-35.5pt;margin-top:-.6pt;width:479.6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"/>
      </w:pict>
    </w:r>
    <w:r w:rsidRPr="00E31735">
      <w:rPr>
        <w:rStyle w:val="IntenseEmphasis"/>
        <w:sz w:val="20"/>
      </w:rPr>
      <w:t>SSBCI National Standards for Compliance and Oversight</w:t>
    </w:r>
    <w:r>
      <w:rPr>
        <w:rStyle w:val="IntenseEmphasis"/>
      </w:rPr>
      <w:tab/>
    </w:r>
    <w:r w:rsidRPr="00E31735">
      <w:t xml:space="preserve"> </w:t>
    </w:r>
    <w:r>
      <w:tab/>
      <w:t>D-</w:t>
    </w:r>
    <w:fldSimple w:instr=" PAGE   \* MERGEFORMAT ">
      <w:r w:rsidR="005C7C84">
        <w:rPr>
          <w:noProof/>
        </w:rPr>
        <w:t>1</w:t>
      </w:r>
    </w:fldSimple>
  </w:p>
  <w:p w:rsidR="00F42D89" w:rsidRPr="00E31735" w:rsidRDefault="00F42D89" w:rsidP="00E317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5BE" w:rsidRDefault="002935BE" w:rsidP="009F789D">
      <w:pPr>
        <w:spacing w:after="0"/>
      </w:pPr>
      <w:r>
        <w:separator/>
      </w:r>
    </w:p>
  </w:footnote>
  <w:footnote w:type="continuationSeparator" w:id="0">
    <w:p w:rsidR="002935BE" w:rsidRDefault="002935BE" w:rsidP="009F789D">
      <w:pPr>
        <w:spacing w:after="0"/>
      </w:pPr>
      <w:r>
        <w:continuationSeparator/>
      </w:r>
    </w:p>
  </w:footnote>
  <w:footnote w:id="1">
    <w:p w:rsidR="00F42D89" w:rsidRDefault="00F42D89" w:rsidP="00BF7A51">
      <w:pPr>
        <w:pStyle w:val="FootnoteText"/>
        <w:ind w:left="-720"/>
      </w:pPr>
      <w:r>
        <w:rPr>
          <w:rStyle w:val="FootnoteReference"/>
        </w:rPr>
        <w:footnoteRef/>
      </w:r>
      <w:r>
        <w:t xml:space="preserve"> </w:t>
      </w:r>
      <w:r w:rsidRPr="00EA417A">
        <w:t>Capitalized terms used herein and not defined herein shall have the respective meanings ascribed to them in the Allocation Agreement</w:t>
      </w:r>
      <w:r>
        <w:t>.</w:t>
      </w:r>
    </w:p>
  </w:footnote>
  <w:footnote w:id="2">
    <w:p w:rsidR="00F42D89" w:rsidRDefault="00F42D89" w:rsidP="002C0731">
      <w:pPr>
        <w:pStyle w:val="FootnoteText"/>
      </w:pPr>
      <w:r>
        <w:rPr>
          <w:rStyle w:val="FootnoteReference"/>
        </w:rPr>
        <w:footnoteRef/>
      </w:r>
      <w:r>
        <w:t xml:space="preserve"> For the purposes of this document, “investor” refers to any private venture capital, seed stage, mezzanine, or angel fund participating in an Approved State Program.  This term does not refer to individual investors in a fund.</w:t>
      </w:r>
    </w:p>
    <w:p w:rsidR="00F42D89" w:rsidRDefault="00F42D89">
      <w:pPr>
        <w:pStyle w:val="FootnoteText"/>
      </w:pPr>
    </w:p>
  </w:footnote>
  <w:footnote w:id="3">
    <w:p w:rsidR="00F42D89" w:rsidRDefault="00F42D89" w:rsidP="00557DD1">
      <w:pPr>
        <w:pStyle w:val="FootnoteText"/>
      </w:pPr>
      <w:r>
        <w:rPr>
          <w:rStyle w:val="FootnoteReference"/>
        </w:rPr>
        <w:footnoteRef/>
      </w:r>
      <w:r>
        <w:t xml:space="preserve"> While this GAO document </w:t>
      </w:r>
      <w:proofErr w:type="gramStart"/>
      <w:r>
        <w:t>is directed</w:t>
      </w:r>
      <w:proofErr w:type="gramEnd"/>
      <w:r>
        <w:t xml:space="preserve"> at federal executive branch agencies, rather than Sates, Treasury has identified this as a relevant and concise definition for the term “control activities” that may be helpful to Participating States.</w:t>
      </w:r>
    </w:p>
  </w:footnote>
  <w:footnote w:id="4">
    <w:p w:rsidR="00F42D89" w:rsidRDefault="00F42D89" w:rsidP="00557DD1">
      <w:pPr>
        <w:pStyle w:val="FootnoteText"/>
      </w:pPr>
      <w:r>
        <w:rPr>
          <w:rStyle w:val="FootnoteReference"/>
        </w:rPr>
        <w:footnoteRef/>
      </w:r>
      <w:r>
        <w:t xml:space="preserve"> GAO/AIMD-00-21.3.1 (11/99)</w:t>
      </w:r>
    </w:p>
  </w:footnote>
  <w:footnote w:id="5">
    <w:p w:rsidR="00F42D89" w:rsidRDefault="00F42D89" w:rsidP="008C19ED">
      <w:pPr>
        <w:pStyle w:val="FootnoteText"/>
      </w:pPr>
      <w:r>
        <w:rPr>
          <w:rStyle w:val="FootnoteReference"/>
        </w:rPr>
        <w:footnoteRef/>
      </w:r>
      <w:r>
        <w:t xml:space="preserve"> For most control activities, the universe of records will be the number of SSBCI-supported loans or investments</w:t>
      </w:r>
      <w:proofErr w:type="gramStart"/>
      <w:r>
        <w:t xml:space="preserve">. </w:t>
      </w:r>
      <w:proofErr w:type="gramEnd"/>
      <w:r>
        <w:t>However, for some risks, the universe of records may be other types of documents</w:t>
      </w:r>
      <w:proofErr w:type="gramStart"/>
      <w:r>
        <w:t xml:space="preserve">. </w:t>
      </w:r>
      <w:proofErr w:type="gramEnd"/>
      <w:r>
        <w:t xml:space="preserve">For example, to test compliance with the mandatory control activity for the “Inadequate oversight of administering entities” risk, a Participating State could evaluate the written agreement with the applicable entities against minimum requirements.  See the next section, </w:t>
      </w:r>
      <w:r w:rsidRPr="00B510C5">
        <w:rPr>
          <w:i/>
        </w:rPr>
        <w:t>Treasury Guidance on Key Compliance and Oversight Risks</w:t>
      </w:r>
      <w:r>
        <w:t>, for further details on mitigating this risk.</w:t>
      </w:r>
    </w:p>
  </w:footnote>
  <w:footnote w:id="6">
    <w:p w:rsidR="00F42D89" w:rsidRDefault="00F42D89">
      <w:pPr>
        <w:pStyle w:val="FootnoteText"/>
      </w:pPr>
      <w:r>
        <w:rPr>
          <w:rStyle w:val="FootnoteReference"/>
        </w:rPr>
        <w:footnoteRef/>
      </w:r>
      <w:r>
        <w:t xml:space="preserve"> There are nine risks that Treasury believes are applicable to all Participating States</w:t>
      </w:r>
      <w:proofErr w:type="gramStart"/>
      <w:r>
        <w:t xml:space="preserve">. </w:t>
      </w:r>
      <w:proofErr w:type="gramEnd"/>
      <w:r>
        <w:t>Two additional risks may not be applicable to all Participating States: (1) ”Inadequate Oversight of Administering Entities” only applies to those Participating States that have an entity other than the implementing entity listed in Section 1B of the Participating State’s application administering the program(s).  Administering entities are listed in Annex 1 of the Participating State’s Allocation Agreement</w:t>
      </w:r>
      <w:proofErr w:type="gramStart"/>
      <w:r>
        <w:t xml:space="preserve">. </w:t>
      </w:r>
      <w:proofErr w:type="gramEnd"/>
      <w:r>
        <w:t xml:space="preserve">(2)”Lack of Adequate Justification for Loans or Investments </w:t>
      </w:r>
      <w:proofErr w:type="gramStart"/>
      <w:r>
        <w:t>Made</w:t>
      </w:r>
      <w:proofErr w:type="gramEnd"/>
      <w:r>
        <w:t xml:space="preserve"> Outside of Municipal Boundaries” applies only to municipalities participating in SSBCI.</w:t>
      </w:r>
    </w:p>
  </w:footnote>
  <w:footnote w:id="7">
    <w:p w:rsidR="00F42D89" w:rsidRDefault="00F42D89" w:rsidP="003E2F47">
      <w:pPr>
        <w:pStyle w:val="FootnoteText"/>
      </w:pPr>
      <w:r>
        <w:rPr>
          <w:rStyle w:val="FootnoteReference"/>
        </w:rPr>
        <w:footnoteRef/>
      </w:r>
      <w:r>
        <w:t xml:space="preserve"> While certifications may be scanned PDFs, they must contain a signature.</w:t>
      </w:r>
    </w:p>
  </w:footnote>
  <w:footnote w:id="8">
    <w:p w:rsidR="00F42D89" w:rsidRDefault="00F42D89" w:rsidP="00246E77">
      <w:pPr>
        <w:pStyle w:val="FootnoteText"/>
      </w:pPr>
      <w:r>
        <w:rPr>
          <w:rStyle w:val="FootnoteReference"/>
        </w:rPr>
        <w:footnoteRef/>
      </w:r>
      <w:r>
        <w:t xml:space="preserve"> As noted previously, for the purposes of this document, “investor” refers to any private venture capital, seed stage, mezzanine, or angel fund participating in an Approved State Program.  This term does not refer to individual investors in a fund.</w:t>
      </w:r>
    </w:p>
  </w:footnote>
  <w:footnote w:id="9">
    <w:p w:rsidR="00F42D89" w:rsidRDefault="00F42D89">
      <w:pPr>
        <w:pStyle w:val="FootnoteText"/>
      </w:pPr>
      <w:r>
        <w:rPr>
          <w:rStyle w:val="FootnoteReference"/>
        </w:rPr>
        <w:footnoteRef/>
      </w:r>
      <w:r>
        <w:t xml:space="preserve"> When a Participating State makes a direct loan or a companion loan under an approved direct loan or loan participation program, three use of proceeds forms must be executed: one by the borrower (see previous section), one by the Participating State  (since the Participating State is a lender in this case), and one by the lender making the companion loan.  Similarly, if the Participating State makes a direct venture capital investment in a small business, three </w:t>
      </w:r>
      <w:proofErr w:type="gramStart"/>
      <w:r>
        <w:t>use</w:t>
      </w:r>
      <w:proofErr w:type="gramEnd"/>
      <w:r>
        <w:t xml:space="preserve"> of proceeds forms must be executed: one by the investee, one by the Participating State, and one by the venture capital firm.</w:t>
      </w:r>
    </w:p>
  </w:footnote>
  <w:footnote w:id="10">
    <w:p w:rsidR="00F42D89" w:rsidRDefault="00F42D89">
      <w:pPr>
        <w:pStyle w:val="FootnoteText"/>
      </w:pPr>
      <w:r>
        <w:rPr>
          <w:rStyle w:val="FootnoteReference"/>
        </w:rPr>
        <w:footnoteRef/>
      </w:r>
      <w:r>
        <w:t xml:space="preserve"> As noted above, for the purposes of this document, “investor” refers to any private venture capital, seed stage, mezzanine, or angel fund participating in an Approved State Program.  This term does not refer to individual investors in a fund.  However, each principal of the private fund must execute a sex offender certification.</w:t>
      </w:r>
    </w:p>
  </w:footnote>
  <w:footnote w:id="11">
    <w:p w:rsidR="00F42D89" w:rsidRDefault="00F42D89" w:rsidP="003E2F47">
      <w:pPr>
        <w:pStyle w:val="FootnoteText"/>
      </w:pPr>
      <w:r>
        <w:rPr>
          <w:rStyle w:val="FootnoteReference"/>
        </w:rPr>
        <w:footnoteRef/>
      </w:r>
      <w:r>
        <w:t xml:space="preserve"> While certifications may be scanned PDFs, they must contain a signature.</w:t>
      </w:r>
    </w:p>
  </w:footnote>
  <w:footnote w:id="12">
    <w:p w:rsidR="00F42D89" w:rsidRDefault="00F42D89">
      <w:pPr>
        <w:pStyle w:val="FootnoteText"/>
      </w:pPr>
      <w:r>
        <w:rPr>
          <w:rStyle w:val="FootnoteReference"/>
        </w:rPr>
        <w:footnoteRef/>
      </w:r>
      <w:r>
        <w:t xml:space="preserve"> The Participating State should do so by using the same language that is included in Articles IV and VI of the Allocation Agreement, except for substituting the name of the administering entity for the name of the Participating State.</w:t>
      </w:r>
    </w:p>
  </w:footnote>
  <w:footnote w:id="13">
    <w:p w:rsidR="00F42D89" w:rsidRDefault="00F42D89">
      <w:pPr>
        <w:pStyle w:val="FootnoteText"/>
      </w:pPr>
      <w:r>
        <w:rPr>
          <w:rStyle w:val="FootnoteReference"/>
        </w:rPr>
        <w:footnoteRef/>
      </w:r>
      <w:r>
        <w:t xml:space="preserve"> The </w:t>
      </w:r>
      <w:proofErr w:type="gramStart"/>
      <w:r>
        <w:t>cognizant</w:t>
      </w:r>
      <w:proofErr w:type="gramEnd"/>
      <w:r>
        <w:t xml:space="preserve"> agency for all Participating States and most municipalities is the Department of Health and Human Services.</w:t>
      </w:r>
    </w:p>
  </w:footnote>
  <w:footnote w:id="14">
    <w:p w:rsidR="00F42D89" w:rsidRDefault="00F42D89">
      <w:pPr>
        <w:pStyle w:val="FootnoteText"/>
      </w:pPr>
      <w:r>
        <w:rPr>
          <w:rStyle w:val="FootnoteReference"/>
        </w:rPr>
        <w:footnoteRef/>
      </w:r>
      <w:r>
        <w:t xml:space="preserve"> Section 8.2 of the Allocation Agreement states that the “application including any attachments, exhibits, appendices and supplements thereto, any attachments, schedules, annexes, appendices, and supplements to the Allocation Agreement, and said Allocation notice letter are incorporated in and made a part of this Agreement.”</w:t>
      </w:r>
    </w:p>
  </w:footnote>
  <w:footnote w:id="15">
    <w:p w:rsidR="00F42D89" w:rsidRDefault="00F42D89">
      <w:pPr>
        <w:pStyle w:val="FootnoteText"/>
      </w:pPr>
      <w:r>
        <w:rPr>
          <w:rStyle w:val="FootnoteReference"/>
        </w:rPr>
        <w:footnoteRef/>
      </w:r>
      <w:r>
        <w:t xml:space="preserve"> </w:t>
      </w:r>
      <w:r w:rsidRPr="00EC3961">
        <w:rPr>
          <w:bCs/>
        </w:rPr>
        <w:t>Cash equivalents</w:t>
      </w:r>
      <w:r>
        <w:t xml:space="preserve"> are very low risk, </w:t>
      </w:r>
      <w:proofErr w:type="gramStart"/>
      <w:r>
        <w:t>highly liquid</w:t>
      </w:r>
      <w:proofErr w:type="gramEnd"/>
      <w:r>
        <w:t xml:space="preserve"> assets, such as money market holdings, short-term government bonds or Treasury bills, marketable securities and commercial paper.  The maturity period must be no more than 3 months.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rsidP="009F3595">
    <w:pPr>
      <w:pStyle w:val="Header"/>
      <w:ind w:left="-72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Pr="007523A2" w:rsidRDefault="00F42D89" w:rsidP="00E618B4">
    <w:pPr>
      <w:ind w:left="-720"/>
      <w:rPr>
        <w:rStyle w:val="SubtleEmphasis"/>
      </w:rPr>
    </w:pPr>
    <w:r w:rsidRPr="00A52C02">
      <w:rPr>
        <w:rStyle w:val="Heading3Char"/>
      </w:rPr>
      <w:t>Appendix B</w:t>
    </w:r>
    <w:r>
      <w:t xml:space="preserve"> – </w:t>
    </w:r>
    <w:r w:rsidRPr="007523A2">
      <w:rPr>
        <w:rStyle w:val="SubtleEmphasis"/>
      </w:rPr>
      <w:t xml:space="preserve">Sample </w:t>
    </w:r>
    <w:r>
      <w:rPr>
        <w:rStyle w:val="SubtleEmphasis"/>
      </w:rPr>
      <w:t xml:space="preserve">Sex Offender </w:t>
    </w:r>
    <w:r w:rsidRPr="007523A2">
      <w:rPr>
        <w:rStyle w:val="SubtleEmphasis"/>
      </w:rPr>
      <w:t>Certification</w:t>
    </w:r>
  </w:p>
  <w:p w:rsidR="00F42D89" w:rsidRDefault="00F42D89" w:rsidP="007523A2">
    <w:pPr>
      <w:pStyle w:val="Heading1"/>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Pr="002B7386" w:rsidRDefault="00F42D89" w:rsidP="00E618B4">
    <w:pPr>
      <w:ind w:left="-720"/>
      <w:rPr>
        <w:rFonts w:cstheme="minorHAnsi"/>
        <w:b/>
        <w:u w:val="single"/>
      </w:rPr>
    </w:pPr>
    <w:r w:rsidRPr="00A52C02">
      <w:rPr>
        <w:rStyle w:val="Heading3Char"/>
      </w:rPr>
      <w:t xml:space="preserve">Appendix C </w:t>
    </w:r>
    <w:r>
      <w:t xml:space="preserve">– </w:t>
    </w:r>
    <w:r>
      <w:rPr>
        <w:rStyle w:val="SubtleEmphasis"/>
      </w:rPr>
      <w:t>Example Lender/Investor Certification for Use of Proceeds</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Pr="002B7386" w:rsidRDefault="00F42D89" w:rsidP="00E618B4">
    <w:pPr>
      <w:ind w:left="-720"/>
      <w:rPr>
        <w:rFonts w:cstheme="minorHAnsi"/>
        <w:b/>
        <w:u w:val="single"/>
      </w:rPr>
    </w:pPr>
    <w:r w:rsidRPr="00A52C02">
      <w:rPr>
        <w:rStyle w:val="Heading3Char"/>
      </w:rPr>
      <w:t>Appendix D</w:t>
    </w:r>
    <w:r>
      <w:t xml:space="preserve"> – </w:t>
    </w:r>
    <w:r w:rsidRPr="00A52C02">
      <w:rPr>
        <w:rStyle w:val="SubtleEmphasis"/>
      </w:rPr>
      <w:t>Financial Management Systems Requirements from the Grants Management Common Rule</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rsidP="00442777">
    <w:pPr>
      <w:pStyle w:val="Title"/>
      <w:spacing w:before="240"/>
      <w:ind w:left="720"/>
    </w:pPr>
    <w:r w:rsidRPr="009F3595">
      <w:rPr>
        <w:noProof/>
      </w:rPr>
      <w:drawing>
        <wp:anchor distT="0" distB="0" distL="114300" distR="114300" simplePos="0" relativeHeight="251658240" behindDoc="0" locked="0" layoutInCell="1" allowOverlap="1">
          <wp:simplePos x="0" y="0"/>
          <wp:positionH relativeFrom="column">
            <wp:posOffset>-476250</wp:posOffset>
          </wp:positionH>
          <wp:positionV relativeFrom="paragraph">
            <wp:posOffset>0</wp:posOffset>
          </wp:positionV>
          <wp:extent cx="828675" cy="828675"/>
          <wp:effectExtent l="1905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anchor>
      </w:drawing>
    </w:r>
    <w:r w:rsidRPr="00AC7D83">
      <w:t xml:space="preserve">SSBCI National Standards </w:t>
    </w:r>
  </w:p>
  <w:p w:rsidR="00F42D89" w:rsidRPr="00442777" w:rsidRDefault="00F42D89" w:rsidP="00442777">
    <w:pPr>
      <w:pStyle w:val="Title"/>
      <w:ind w:left="720"/>
      <w:rPr>
        <w:i/>
        <w:iCs/>
        <w:color w:val="4F81BD" w:themeColor="accent1"/>
        <w:spacing w:val="15"/>
        <w:sz w:val="24"/>
        <w:szCs w:val="24"/>
      </w:rPr>
    </w:pPr>
    <w:r w:rsidRPr="00AC7D83">
      <w:rPr>
        <w:rStyle w:val="SubtitleChar"/>
      </w:rPr>
      <w:t>Compliance and Ove</w:t>
    </w:r>
    <w:r>
      <w:rPr>
        <w:rStyle w:val="SubtitleChar"/>
      </w:rPr>
      <w:t>rsight for Participating States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Pr="00B04F78" w:rsidRDefault="00F42D89">
    <w:pPr>
      <w:pStyle w:val="Header"/>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rsidP="009F3595">
    <w:pPr>
      <w:pStyle w:val="Header"/>
      <w:tabs>
        <w:tab w:val="left" w:pos="-720"/>
      </w:tabs>
      <w:ind w:left="-7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Pr="007523A2" w:rsidRDefault="00F42D89" w:rsidP="007E0BD4">
    <w:pPr>
      <w:ind w:left="-720"/>
      <w:rPr>
        <w:rStyle w:val="SubtleEmphasis"/>
      </w:rPr>
    </w:pPr>
    <w:r w:rsidRPr="00A52C02">
      <w:rPr>
        <w:rStyle w:val="Heading3Char"/>
      </w:rPr>
      <w:t>Appendix A</w:t>
    </w:r>
    <w:r>
      <w:t xml:space="preserve"> – </w:t>
    </w:r>
    <w:r w:rsidRPr="007523A2">
      <w:rPr>
        <w:rStyle w:val="SubtleEmphasis"/>
      </w:rPr>
      <w:t>Sample Small Business Borrower/Investee Certification for Use of Proceeds</w:t>
    </w:r>
    <w:r w:rsidRPr="007523A2" w:rsidDel="007523A2">
      <w:rPr>
        <w:rStyle w:val="SubtleEmphasis"/>
      </w:rPr>
      <w:t xml:space="preserve"> </w:t>
    </w:r>
  </w:p>
  <w:p w:rsidR="00F42D89" w:rsidRDefault="00F42D89" w:rsidP="007523A2">
    <w:pPr>
      <w:pStyle w:val="Heading1"/>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89" w:rsidRDefault="00F42D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6061"/>
    <w:multiLevelType w:val="hybridMultilevel"/>
    <w:tmpl w:val="5100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8017E"/>
    <w:multiLevelType w:val="hybridMultilevel"/>
    <w:tmpl w:val="E5E07A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10437"/>
    <w:multiLevelType w:val="hybridMultilevel"/>
    <w:tmpl w:val="D24E7392"/>
    <w:lvl w:ilvl="0" w:tplc="55701FA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130B3"/>
    <w:multiLevelType w:val="hybridMultilevel"/>
    <w:tmpl w:val="E0780B00"/>
    <w:lvl w:ilvl="0" w:tplc="04090011">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225E20EA"/>
    <w:multiLevelType w:val="hybridMultilevel"/>
    <w:tmpl w:val="B0C04B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84233E5"/>
    <w:multiLevelType w:val="hybridMultilevel"/>
    <w:tmpl w:val="34064070"/>
    <w:lvl w:ilvl="0" w:tplc="04090011">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29461C7D"/>
    <w:multiLevelType w:val="hybridMultilevel"/>
    <w:tmpl w:val="CEDE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4A23"/>
    <w:multiLevelType w:val="hybridMultilevel"/>
    <w:tmpl w:val="EC1C6C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009F3"/>
    <w:multiLevelType w:val="hybridMultilevel"/>
    <w:tmpl w:val="B6AA3968"/>
    <w:lvl w:ilvl="0" w:tplc="04090001">
      <w:start w:val="1"/>
      <w:numFmt w:val="bullet"/>
      <w:lvlText w:val=""/>
      <w:lvlJc w:val="left"/>
      <w:pPr>
        <w:ind w:left="750" w:hanging="360"/>
      </w:pPr>
      <w:rPr>
        <w:rFonts w:ascii="Symbol" w:hAnsi="Symbo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nsid w:val="363260BE"/>
    <w:multiLevelType w:val="hybridMultilevel"/>
    <w:tmpl w:val="FE780C38"/>
    <w:lvl w:ilvl="0" w:tplc="12E0A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D3EBB"/>
    <w:multiLevelType w:val="hybridMultilevel"/>
    <w:tmpl w:val="972013E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2329F4"/>
    <w:multiLevelType w:val="hybridMultilevel"/>
    <w:tmpl w:val="6D665964"/>
    <w:lvl w:ilvl="0" w:tplc="04090011">
      <w:start w:val="1"/>
      <w:numFmt w:val="decimal"/>
      <w:lvlText w:val="%1)"/>
      <w:lvlJc w:val="left"/>
      <w:pPr>
        <w:ind w:left="99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13A64"/>
    <w:multiLevelType w:val="hybridMultilevel"/>
    <w:tmpl w:val="F67A344C"/>
    <w:lvl w:ilvl="0" w:tplc="A5B8175E">
      <w:start w:val="1"/>
      <w:numFmt w:val="decimal"/>
      <w:lvlText w:val="%1."/>
      <w:lvlJc w:val="left"/>
      <w:pPr>
        <w:ind w:left="2160" w:hanging="360"/>
      </w:pPr>
      <w:rPr>
        <w:rFonts w:ascii="Calibri" w:eastAsia="Times New Roman" w:hAnsi="Calibri" w:cs="Calibri"/>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D1D4A12"/>
    <w:multiLevelType w:val="hybridMultilevel"/>
    <w:tmpl w:val="0FC076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A6ED1"/>
    <w:multiLevelType w:val="hybridMultilevel"/>
    <w:tmpl w:val="53A65E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064498"/>
    <w:multiLevelType w:val="hybridMultilevel"/>
    <w:tmpl w:val="96ACE5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026EA4"/>
    <w:multiLevelType w:val="hybridMultilevel"/>
    <w:tmpl w:val="9580EB40"/>
    <w:lvl w:ilvl="0" w:tplc="04090001">
      <w:start w:val="1"/>
      <w:numFmt w:val="bullet"/>
      <w:lvlText w:val=""/>
      <w:lvlJc w:val="left"/>
      <w:pPr>
        <w:ind w:left="750" w:hanging="360"/>
      </w:pPr>
      <w:rPr>
        <w:rFonts w:ascii="Symbol" w:hAnsi="Symbo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nsid w:val="5A787D4C"/>
    <w:multiLevelType w:val="hybridMultilevel"/>
    <w:tmpl w:val="3E94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75E52"/>
    <w:multiLevelType w:val="hybridMultilevel"/>
    <w:tmpl w:val="6F32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143E1E"/>
    <w:multiLevelType w:val="hybridMultilevel"/>
    <w:tmpl w:val="9AD41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DD66D4"/>
    <w:multiLevelType w:val="hybridMultilevel"/>
    <w:tmpl w:val="6D34E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142C22"/>
    <w:multiLevelType w:val="hybridMultilevel"/>
    <w:tmpl w:val="62941D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96F25E4"/>
    <w:multiLevelType w:val="hybridMultilevel"/>
    <w:tmpl w:val="A32EB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10527D7"/>
    <w:multiLevelType w:val="hybridMultilevel"/>
    <w:tmpl w:val="C8AC1144"/>
    <w:lvl w:ilvl="0" w:tplc="71BE0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613E2"/>
    <w:multiLevelType w:val="hybridMultilevel"/>
    <w:tmpl w:val="11BA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3D3E43"/>
    <w:multiLevelType w:val="hybridMultilevel"/>
    <w:tmpl w:val="11B2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E93872"/>
    <w:multiLevelType w:val="hybridMultilevel"/>
    <w:tmpl w:val="4DB8EE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8"/>
  </w:num>
  <w:num w:numId="3">
    <w:abstractNumId w:val="5"/>
  </w:num>
  <w:num w:numId="4">
    <w:abstractNumId w:val="3"/>
  </w:num>
  <w:num w:numId="5">
    <w:abstractNumId w:val="25"/>
  </w:num>
  <w:num w:numId="6">
    <w:abstractNumId w:val="20"/>
  </w:num>
  <w:num w:numId="7">
    <w:abstractNumId w:val="0"/>
  </w:num>
  <w:num w:numId="8">
    <w:abstractNumId w:val="24"/>
  </w:num>
  <w:num w:numId="9">
    <w:abstractNumId w:val="2"/>
  </w:num>
  <w:num w:numId="10">
    <w:abstractNumId w:val="6"/>
  </w:num>
  <w:num w:numId="11">
    <w:abstractNumId w:val="17"/>
  </w:num>
  <w:num w:numId="12">
    <w:abstractNumId w:val="19"/>
  </w:num>
  <w:num w:numId="13">
    <w:abstractNumId w:val="15"/>
  </w:num>
  <w:num w:numId="14">
    <w:abstractNumId w:val="21"/>
  </w:num>
  <w:num w:numId="15">
    <w:abstractNumId w:val="26"/>
  </w:num>
  <w:num w:numId="16">
    <w:abstractNumId w:val="22"/>
  </w:num>
  <w:num w:numId="17">
    <w:abstractNumId w:val="12"/>
  </w:num>
  <w:num w:numId="18">
    <w:abstractNumId w:val="4"/>
  </w:num>
  <w:num w:numId="19">
    <w:abstractNumId w:val="9"/>
  </w:num>
  <w:num w:numId="20">
    <w:abstractNumId w:val="11"/>
  </w:num>
  <w:num w:numId="21">
    <w:abstractNumId w:val="14"/>
  </w:num>
  <w:num w:numId="22">
    <w:abstractNumId w:val="10"/>
  </w:num>
  <w:num w:numId="23">
    <w:abstractNumId w:val="7"/>
  </w:num>
  <w:num w:numId="24">
    <w:abstractNumId w:val="1"/>
  </w:num>
  <w:num w:numId="25">
    <w:abstractNumId w:val="8"/>
  </w:num>
  <w:num w:numId="26">
    <w:abstractNumId w:val="16"/>
  </w:num>
  <w:num w:numId="27">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removePersonalInformation/>
  <w:removeDateAndTime/>
  <w:proofState w:spelling="clean" w:grammar="clean"/>
  <w:doNotTrackFormatting/>
  <w:defaultTabStop w:val="720"/>
  <w:drawingGridHorizontalSpacing w:val="110"/>
  <w:displayHorizontalDrawingGridEvery w:val="2"/>
  <w:characterSpacingControl w:val="doNotCompress"/>
  <w:hdrShapeDefaults>
    <o:shapedefaults v:ext="edit" spidmax="9218"/>
    <o:shapelayout v:ext="edit">
      <o:idmap v:ext="edit" data="6"/>
      <o:rules v:ext="edit">
        <o:r id="V:Rule7" type="connector" idref="#AutoShape 28"/>
        <o:r id="V:Rule8" type="connector" idref="#AutoShape 32"/>
        <o:r id="V:Rule9" type="connector" idref="#AutoShape 30"/>
        <o:r id="V:Rule10" type="connector" idref="#AutoShape 35"/>
        <o:r id="V:Rule11" type="connector" idref="#AutoShape 33"/>
        <o:r id="V:Rule12" type="connector" idref="#AutoShape 34"/>
      </o:rules>
    </o:shapelayout>
  </w:hdrShapeDefaults>
  <w:footnotePr>
    <w:footnote w:id="-1"/>
    <w:footnote w:id="0"/>
  </w:footnotePr>
  <w:endnotePr>
    <w:endnote w:id="-1"/>
    <w:endnote w:id="0"/>
  </w:endnotePr>
  <w:compat/>
  <w:rsids>
    <w:rsidRoot w:val="009F789D"/>
    <w:rsid w:val="00002E7E"/>
    <w:rsid w:val="00006D43"/>
    <w:rsid w:val="00010242"/>
    <w:rsid w:val="00011511"/>
    <w:rsid w:val="00014B73"/>
    <w:rsid w:val="00024D3A"/>
    <w:rsid w:val="0004040C"/>
    <w:rsid w:val="00060384"/>
    <w:rsid w:val="00062029"/>
    <w:rsid w:val="0006653D"/>
    <w:rsid w:val="00073888"/>
    <w:rsid w:val="00073C86"/>
    <w:rsid w:val="000810AB"/>
    <w:rsid w:val="00086007"/>
    <w:rsid w:val="00086DDC"/>
    <w:rsid w:val="00090FFD"/>
    <w:rsid w:val="000952CA"/>
    <w:rsid w:val="000B350A"/>
    <w:rsid w:val="000B7D6A"/>
    <w:rsid w:val="000C4DAC"/>
    <w:rsid w:val="000E5206"/>
    <w:rsid w:val="000E63B5"/>
    <w:rsid w:val="000F5641"/>
    <w:rsid w:val="00100472"/>
    <w:rsid w:val="00124F02"/>
    <w:rsid w:val="00133218"/>
    <w:rsid w:val="00137DB0"/>
    <w:rsid w:val="0014160F"/>
    <w:rsid w:val="00152AD2"/>
    <w:rsid w:val="001561AC"/>
    <w:rsid w:val="00161A3A"/>
    <w:rsid w:val="00162161"/>
    <w:rsid w:val="0016631D"/>
    <w:rsid w:val="00173DC6"/>
    <w:rsid w:val="001751FF"/>
    <w:rsid w:val="00181AA8"/>
    <w:rsid w:val="00187FDC"/>
    <w:rsid w:val="00192A38"/>
    <w:rsid w:val="001A5FC1"/>
    <w:rsid w:val="001B2133"/>
    <w:rsid w:val="001B3F98"/>
    <w:rsid w:val="001C1225"/>
    <w:rsid w:val="001C58B8"/>
    <w:rsid w:val="001D2265"/>
    <w:rsid w:val="001D5587"/>
    <w:rsid w:val="001E0EC8"/>
    <w:rsid w:val="001E1248"/>
    <w:rsid w:val="001E1666"/>
    <w:rsid w:val="001F02FA"/>
    <w:rsid w:val="001F7A7D"/>
    <w:rsid w:val="00201907"/>
    <w:rsid w:val="00203DFF"/>
    <w:rsid w:val="002058C9"/>
    <w:rsid w:val="00210607"/>
    <w:rsid w:val="00211BF2"/>
    <w:rsid w:val="00215469"/>
    <w:rsid w:val="00216B7F"/>
    <w:rsid w:val="00223746"/>
    <w:rsid w:val="00227E0E"/>
    <w:rsid w:val="0023494E"/>
    <w:rsid w:val="00246E77"/>
    <w:rsid w:val="00284347"/>
    <w:rsid w:val="00284705"/>
    <w:rsid w:val="00290C39"/>
    <w:rsid w:val="002935BE"/>
    <w:rsid w:val="00295862"/>
    <w:rsid w:val="002A2318"/>
    <w:rsid w:val="002A380B"/>
    <w:rsid w:val="002A76A4"/>
    <w:rsid w:val="002B7386"/>
    <w:rsid w:val="002B78C0"/>
    <w:rsid w:val="002C0731"/>
    <w:rsid w:val="002C245F"/>
    <w:rsid w:val="002C2ED1"/>
    <w:rsid w:val="002C3010"/>
    <w:rsid w:val="002C6B76"/>
    <w:rsid w:val="002D032A"/>
    <w:rsid w:val="002D3074"/>
    <w:rsid w:val="002D50B4"/>
    <w:rsid w:val="002D51BA"/>
    <w:rsid w:val="002D6D4F"/>
    <w:rsid w:val="002D712C"/>
    <w:rsid w:val="002E3F8D"/>
    <w:rsid w:val="002F2439"/>
    <w:rsid w:val="002F471C"/>
    <w:rsid w:val="002F676C"/>
    <w:rsid w:val="00301C36"/>
    <w:rsid w:val="00304496"/>
    <w:rsid w:val="003158E8"/>
    <w:rsid w:val="00315964"/>
    <w:rsid w:val="00320F8C"/>
    <w:rsid w:val="00321065"/>
    <w:rsid w:val="00330D73"/>
    <w:rsid w:val="003435B8"/>
    <w:rsid w:val="00353FAD"/>
    <w:rsid w:val="00374C13"/>
    <w:rsid w:val="00375427"/>
    <w:rsid w:val="00383955"/>
    <w:rsid w:val="00386743"/>
    <w:rsid w:val="003868EC"/>
    <w:rsid w:val="00390081"/>
    <w:rsid w:val="00390361"/>
    <w:rsid w:val="00391C98"/>
    <w:rsid w:val="00395718"/>
    <w:rsid w:val="003A276C"/>
    <w:rsid w:val="003B1C6A"/>
    <w:rsid w:val="003B39FA"/>
    <w:rsid w:val="003B40B5"/>
    <w:rsid w:val="003B740D"/>
    <w:rsid w:val="003C032C"/>
    <w:rsid w:val="003C10BA"/>
    <w:rsid w:val="003D097D"/>
    <w:rsid w:val="003D61D8"/>
    <w:rsid w:val="003E2F47"/>
    <w:rsid w:val="003E2FAB"/>
    <w:rsid w:val="003E4D39"/>
    <w:rsid w:val="003E7896"/>
    <w:rsid w:val="0040025A"/>
    <w:rsid w:val="00405D84"/>
    <w:rsid w:val="00407099"/>
    <w:rsid w:val="00416960"/>
    <w:rsid w:val="00416AE5"/>
    <w:rsid w:val="00430869"/>
    <w:rsid w:val="004348E4"/>
    <w:rsid w:val="00442777"/>
    <w:rsid w:val="00455D08"/>
    <w:rsid w:val="0045785D"/>
    <w:rsid w:val="004646E2"/>
    <w:rsid w:val="0047322C"/>
    <w:rsid w:val="00482A09"/>
    <w:rsid w:val="004847F9"/>
    <w:rsid w:val="0048775A"/>
    <w:rsid w:val="00494A69"/>
    <w:rsid w:val="00494CDD"/>
    <w:rsid w:val="004A15AA"/>
    <w:rsid w:val="004A1F39"/>
    <w:rsid w:val="004B095F"/>
    <w:rsid w:val="004C5849"/>
    <w:rsid w:val="004D00F0"/>
    <w:rsid w:val="004D2EA5"/>
    <w:rsid w:val="004D55E9"/>
    <w:rsid w:val="004E20FD"/>
    <w:rsid w:val="004E2D49"/>
    <w:rsid w:val="004E4BEB"/>
    <w:rsid w:val="004F0912"/>
    <w:rsid w:val="004F3FB8"/>
    <w:rsid w:val="004F7454"/>
    <w:rsid w:val="004F7DC9"/>
    <w:rsid w:val="00500331"/>
    <w:rsid w:val="005012D3"/>
    <w:rsid w:val="00502BAC"/>
    <w:rsid w:val="00503EA4"/>
    <w:rsid w:val="00515379"/>
    <w:rsid w:val="00515FB7"/>
    <w:rsid w:val="00524357"/>
    <w:rsid w:val="00535CD4"/>
    <w:rsid w:val="00546EC4"/>
    <w:rsid w:val="00557AFF"/>
    <w:rsid w:val="00557DD1"/>
    <w:rsid w:val="00583870"/>
    <w:rsid w:val="00584274"/>
    <w:rsid w:val="0058454C"/>
    <w:rsid w:val="00591938"/>
    <w:rsid w:val="00597758"/>
    <w:rsid w:val="005B4395"/>
    <w:rsid w:val="005C312B"/>
    <w:rsid w:val="005C32C2"/>
    <w:rsid w:val="005C717C"/>
    <w:rsid w:val="005C7C84"/>
    <w:rsid w:val="005D1E44"/>
    <w:rsid w:val="005D2398"/>
    <w:rsid w:val="00616419"/>
    <w:rsid w:val="0061719E"/>
    <w:rsid w:val="00625FEE"/>
    <w:rsid w:val="00631528"/>
    <w:rsid w:val="00632015"/>
    <w:rsid w:val="0063384F"/>
    <w:rsid w:val="00635BE8"/>
    <w:rsid w:val="006413F2"/>
    <w:rsid w:val="00645A10"/>
    <w:rsid w:val="006562D8"/>
    <w:rsid w:val="00673F28"/>
    <w:rsid w:val="006845EB"/>
    <w:rsid w:val="006B43E2"/>
    <w:rsid w:val="006C1E5E"/>
    <w:rsid w:val="006C1E5F"/>
    <w:rsid w:val="006C28E0"/>
    <w:rsid w:val="006C7170"/>
    <w:rsid w:val="006D0F4F"/>
    <w:rsid w:val="006D19E0"/>
    <w:rsid w:val="006D3AB4"/>
    <w:rsid w:val="006D53E4"/>
    <w:rsid w:val="006D5C22"/>
    <w:rsid w:val="006E7A68"/>
    <w:rsid w:val="007307EA"/>
    <w:rsid w:val="00740DB5"/>
    <w:rsid w:val="00750C29"/>
    <w:rsid w:val="00751D02"/>
    <w:rsid w:val="007523A2"/>
    <w:rsid w:val="00753009"/>
    <w:rsid w:val="00770747"/>
    <w:rsid w:val="0077689C"/>
    <w:rsid w:val="007A565D"/>
    <w:rsid w:val="007B0929"/>
    <w:rsid w:val="007B4626"/>
    <w:rsid w:val="007B6AF8"/>
    <w:rsid w:val="007C020E"/>
    <w:rsid w:val="007C6591"/>
    <w:rsid w:val="007E0BD4"/>
    <w:rsid w:val="007E292F"/>
    <w:rsid w:val="007E534E"/>
    <w:rsid w:val="007E5D0E"/>
    <w:rsid w:val="007F0912"/>
    <w:rsid w:val="007F227C"/>
    <w:rsid w:val="007F47E4"/>
    <w:rsid w:val="007F70F5"/>
    <w:rsid w:val="00805DE7"/>
    <w:rsid w:val="008078A9"/>
    <w:rsid w:val="0081006D"/>
    <w:rsid w:val="00812B45"/>
    <w:rsid w:val="00814FA9"/>
    <w:rsid w:val="008257FA"/>
    <w:rsid w:val="008277A0"/>
    <w:rsid w:val="008277FE"/>
    <w:rsid w:val="00835252"/>
    <w:rsid w:val="008558FF"/>
    <w:rsid w:val="008608D8"/>
    <w:rsid w:val="00862D54"/>
    <w:rsid w:val="00867073"/>
    <w:rsid w:val="00877B74"/>
    <w:rsid w:val="00891AB8"/>
    <w:rsid w:val="008928E9"/>
    <w:rsid w:val="00893BBF"/>
    <w:rsid w:val="008B0DEE"/>
    <w:rsid w:val="008C19ED"/>
    <w:rsid w:val="008C3CEA"/>
    <w:rsid w:val="008D4438"/>
    <w:rsid w:val="008D5F5F"/>
    <w:rsid w:val="008E0483"/>
    <w:rsid w:val="008E0820"/>
    <w:rsid w:val="0091759E"/>
    <w:rsid w:val="00925909"/>
    <w:rsid w:val="00934D8F"/>
    <w:rsid w:val="00943707"/>
    <w:rsid w:val="009643BE"/>
    <w:rsid w:val="0097167E"/>
    <w:rsid w:val="00974DC3"/>
    <w:rsid w:val="00986CA0"/>
    <w:rsid w:val="009B1748"/>
    <w:rsid w:val="009B2160"/>
    <w:rsid w:val="009B7829"/>
    <w:rsid w:val="009C527C"/>
    <w:rsid w:val="009C6B2B"/>
    <w:rsid w:val="009E6E0F"/>
    <w:rsid w:val="009F1981"/>
    <w:rsid w:val="009F1A9C"/>
    <w:rsid w:val="009F3595"/>
    <w:rsid w:val="009F789D"/>
    <w:rsid w:val="00A01CEC"/>
    <w:rsid w:val="00A105F7"/>
    <w:rsid w:val="00A10D88"/>
    <w:rsid w:val="00A15901"/>
    <w:rsid w:val="00A32BEA"/>
    <w:rsid w:val="00A3432C"/>
    <w:rsid w:val="00A37E6E"/>
    <w:rsid w:val="00A50C8B"/>
    <w:rsid w:val="00A52C02"/>
    <w:rsid w:val="00A53632"/>
    <w:rsid w:val="00A71A16"/>
    <w:rsid w:val="00A83DCC"/>
    <w:rsid w:val="00A97E25"/>
    <w:rsid w:val="00AA1858"/>
    <w:rsid w:val="00AA4333"/>
    <w:rsid w:val="00AA75E4"/>
    <w:rsid w:val="00AB04F1"/>
    <w:rsid w:val="00AB139C"/>
    <w:rsid w:val="00AB58E9"/>
    <w:rsid w:val="00AC36B0"/>
    <w:rsid w:val="00AC59D7"/>
    <w:rsid w:val="00AC7D83"/>
    <w:rsid w:val="00AE4363"/>
    <w:rsid w:val="00AE43A7"/>
    <w:rsid w:val="00B04ECB"/>
    <w:rsid w:val="00B04F78"/>
    <w:rsid w:val="00B1222D"/>
    <w:rsid w:val="00B12BC1"/>
    <w:rsid w:val="00B143E5"/>
    <w:rsid w:val="00B15882"/>
    <w:rsid w:val="00B16C6B"/>
    <w:rsid w:val="00B230B5"/>
    <w:rsid w:val="00B2499B"/>
    <w:rsid w:val="00B510C5"/>
    <w:rsid w:val="00B70B1F"/>
    <w:rsid w:val="00B807D4"/>
    <w:rsid w:val="00B81B2F"/>
    <w:rsid w:val="00B850D1"/>
    <w:rsid w:val="00B87A29"/>
    <w:rsid w:val="00BA0CC5"/>
    <w:rsid w:val="00BA1EF7"/>
    <w:rsid w:val="00BB0B32"/>
    <w:rsid w:val="00BB13CF"/>
    <w:rsid w:val="00BB1FE8"/>
    <w:rsid w:val="00BB342A"/>
    <w:rsid w:val="00BC5400"/>
    <w:rsid w:val="00BD2F68"/>
    <w:rsid w:val="00BD58F5"/>
    <w:rsid w:val="00BD612D"/>
    <w:rsid w:val="00BD68DE"/>
    <w:rsid w:val="00BF1D55"/>
    <w:rsid w:val="00BF7A51"/>
    <w:rsid w:val="00C12068"/>
    <w:rsid w:val="00C12A22"/>
    <w:rsid w:val="00C24905"/>
    <w:rsid w:val="00C379EE"/>
    <w:rsid w:val="00C53031"/>
    <w:rsid w:val="00C551DF"/>
    <w:rsid w:val="00C560C9"/>
    <w:rsid w:val="00C65CE0"/>
    <w:rsid w:val="00C66D68"/>
    <w:rsid w:val="00C7224D"/>
    <w:rsid w:val="00C74FE8"/>
    <w:rsid w:val="00C76151"/>
    <w:rsid w:val="00C813B1"/>
    <w:rsid w:val="00C85472"/>
    <w:rsid w:val="00C85B8D"/>
    <w:rsid w:val="00C86224"/>
    <w:rsid w:val="00C911D4"/>
    <w:rsid w:val="00C92583"/>
    <w:rsid w:val="00C94038"/>
    <w:rsid w:val="00C94F9E"/>
    <w:rsid w:val="00C97C9D"/>
    <w:rsid w:val="00CB0115"/>
    <w:rsid w:val="00CB0858"/>
    <w:rsid w:val="00CB4CD5"/>
    <w:rsid w:val="00CB72FD"/>
    <w:rsid w:val="00CC290F"/>
    <w:rsid w:val="00CD3B5C"/>
    <w:rsid w:val="00CD7ADD"/>
    <w:rsid w:val="00CE13B7"/>
    <w:rsid w:val="00CE6FE8"/>
    <w:rsid w:val="00CE7990"/>
    <w:rsid w:val="00CF1BF6"/>
    <w:rsid w:val="00CF653C"/>
    <w:rsid w:val="00D13A40"/>
    <w:rsid w:val="00D24CB2"/>
    <w:rsid w:val="00D266D1"/>
    <w:rsid w:val="00D26C8D"/>
    <w:rsid w:val="00D30E88"/>
    <w:rsid w:val="00D33697"/>
    <w:rsid w:val="00D47D92"/>
    <w:rsid w:val="00D502D4"/>
    <w:rsid w:val="00D84A5C"/>
    <w:rsid w:val="00D95214"/>
    <w:rsid w:val="00DA310F"/>
    <w:rsid w:val="00DB470E"/>
    <w:rsid w:val="00DB7B06"/>
    <w:rsid w:val="00DC3D96"/>
    <w:rsid w:val="00DD41F7"/>
    <w:rsid w:val="00E14F8F"/>
    <w:rsid w:val="00E24737"/>
    <w:rsid w:val="00E31735"/>
    <w:rsid w:val="00E34F06"/>
    <w:rsid w:val="00E433F5"/>
    <w:rsid w:val="00E44D5D"/>
    <w:rsid w:val="00E54141"/>
    <w:rsid w:val="00E55969"/>
    <w:rsid w:val="00E618B4"/>
    <w:rsid w:val="00E639BE"/>
    <w:rsid w:val="00E6564E"/>
    <w:rsid w:val="00E65BDC"/>
    <w:rsid w:val="00E75605"/>
    <w:rsid w:val="00E7572A"/>
    <w:rsid w:val="00E76A55"/>
    <w:rsid w:val="00E76CC7"/>
    <w:rsid w:val="00E82108"/>
    <w:rsid w:val="00EA5BC2"/>
    <w:rsid w:val="00EA767E"/>
    <w:rsid w:val="00EB3927"/>
    <w:rsid w:val="00EC3250"/>
    <w:rsid w:val="00EC3961"/>
    <w:rsid w:val="00ED05B9"/>
    <w:rsid w:val="00ED2427"/>
    <w:rsid w:val="00ED3FA9"/>
    <w:rsid w:val="00EE37AB"/>
    <w:rsid w:val="00EE7824"/>
    <w:rsid w:val="00EE7F79"/>
    <w:rsid w:val="00EF6378"/>
    <w:rsid w:val="00EF722E"/>
    <w:rsid w:val="00F016E1"/>
    <w:rsid w:val="00F1524E"/>
    <w:rsid w:val="00F269CD"/>
    <w:rsid w:val="00F3243B"/>
    <w:rsid w:val="00F341B3"/>
    <w:rsid w:val="00F42D89"/>
    <w:rsid w:val="00F51593"/>
    <w:rsid w:val="00F55C46"/>
    <w:rsid w:val="00F74FAB"/>
    <w:rsid w:val="00F765E9"/>
    <w:rsid w:val="00F912DC"/>
    <w:rsid w:val="00F97358"/>
    <w:rsid w:val="00FC3ADD"/>
    <w:rsid w:val="00FC723F"/>
    <w:rsid w:val="00FD21BB"/>
    <w:rsid w:val="00FD35BC"/>
    <w:rsid w:val="00FE3960"/>
    <w:rsid w:val="00FE3D8D"/>
    <w:rsid w:val="00FE696D"/>
    <w:rsid w:val="00FF4165"/>
    <w:rsid w:val="00FF4E09"/>
    <w:rsid w:val="00FF5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074"/>
    <w:pPr>
      <w:spacing w:after="200"/>
    </w:pPr>
    <w:rPr>
      <w:rFonts w:ascii="Calibri" w:hAnsi="Calibri"/>
      <w:sz w:val="22"/>
      <w:szCs w:val="22"/>
    </w:rPr>
  </w:style>
  <w:style w:type="paragraph" w:styleId="Heading1">
    <w:name w:val="heading 1"/>
    <w:basedOn w:val="Normal"/>
    <w:next w:val="Normal"/>
    <w:link w:val="Heading1Char"/>
    <w:uiPriority w:val="9"/>
    <w:qFormat/>
    <w:rsid w:val="00B04F78"/>
    <w:pPr>
      <w:keepNext/>
      <w:keepLines/>
      <w:spacing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D05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76A4"/>
    <w:pPr>
      <w:keepNext/>
      <w:keepLines/>
      <w:spacing w:before="360" w:after="12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73F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4F78"/>
    <w:rPr>
      <w:rFonts w:ascii="Cambria" w:eastAsia="Times New Roman" w:hAnsi="Cambria"/>
      <w:b/>
      <w:bCs/>
      <w:color w:val="365F91"/>
      <w:sz w:val="28"/>
      <w:szCs w:val="28"/>
    </w:rPr>
  </w:style>
  <w:style w:type="character" w:styleId="Hyperlink">
    <w:name w:val="Hyperlink"/>
    <w:uiPriority w:val="99"/>
    <w:unhideWhenUsed/>
    <w:rsid w:val="009F789D"/>
    <w:rPr>
      <w:color w:val="0000FF"/>
      <w:u w:val="single"/>
    </w:rPr>
  </w:style>
  <w:style w:type="paragraph" w:styleId="ListParagraph">
    <w:name w:val="List Paragraph"/>
    <w:basedOn w:val="Normal"/>
    <w:uiPriority w:val="99"/>
    <w:qFormat/>
    <w:rsid w:val="009F789D"/>
    <w:pPr>
      <w:ind w:left="720"/>
      <w:contextualSpacing/>
    </w:pPr>
  </w:style>
  <w:style w:type="paragraph" w:styleId="FootnoteText">
    <w:name w:val="footnote text"/>
    <w:basedOn w:val="Normal"/>
    <w:link w:val="FootnoteTextChar"/>
    <w:uiPriority w:val="99"/>
    <w:semiHidden/>
    <w:unhideWhenUsed/>
    <w:rsid w:val="009F789D"/>
    <w:pPr>
      <w:spacing w:after="0"/>
    </w:pPr>
    <w:rPr>
      <w:sz w:val="20"/>
      <w:szCs w:val="20"/>
    </w:rPr>
  </w:style>
  <w:style w:type="character" w:customStyle="1" w:styleId="FootnoteTextChar">
    <w:name w:val="Footnote Text Char"/>
    <w:link w:val="FootnoteText"/>
    <w:uiPriority w:val="99"/>
    <w:semiHidden/>
    <w:rsid w:val="009F789D"/>
    <w:rPr>
      <w:rFonts w:ascii="Calibri" w:eastAsia="Calibri" w:hAnsi="Calibri" w:cs="Times New Roman"/>
      <w:sz w:val="20"/>
      <w:szCs w:val="20"/>
    </w:rPr>
  </w:style>
  <w:style w:type="character" w:styleId="FootnoteReference">
    <w:name w:val="footnote reference"/>
    <w:uiPriority w:val="99"/>
    <w:semiHidden/>
    <w:unhideWhenUsed/>
    <w:rsid w:val="009F789D"/>
    <w:rPr>
      <w:vertAlign w:val="superscript"/>
    </w:rPr>
  </w:style>
  <w:style w:type="character" w:styleId="CommentReference">
    <w:name w:val="annotation reference"/>
    <w:uiPriority w:val="99"/>
    <w:semiHidden/>
    <w:unhideWhenUsed/>
    <w:rsid w:val="009F789D"/>
    <w:rPr>
      <w:sz w:val="16"/>
      <w:szCs w:val="16"/>
    </w:rPr>
  </w:style>
  <w:style w:type="paragraph" w:styleId="CommentText">
    <w:name w:val="annotation text"/>
    <w:basedOn w:val="Normal"/>
    <w:link w:val="CommentTextChar"/>
    <w:uiPriority w:val="99"/>
    <w:semiHidden/>
    <w:unhideWhenUsed/>
    <w:rsid w:val="009F789D"/>
    <w:rPr>
      <w:sz w:val="20"/>
      <w:szCs w:val="20"/>
    </w:rPr>
  </w:style>
  <w:style w:type="character" w:customStyle="1" w:styleId="CommentTextChar">
    <w:name w:val="Comment Text Char"/>
    <w:link w:val="CommentText"/>
    <w:uiPriority w:val="99"/>
    <w:semiHidden/>
    <w:rsid w:val="009F789D"/>
    <w:rPr>
      <w:rFonts w:ascii="Calibri" w:eastAsia="Calibri" w:hAnsi="Calibri" w:cs="Times New Roman"/>
      <w:sz w:val="20"/>
      <w:szCs w:val="20"/>
    </w:rPr>
  </w:style>
  <w:style w:type="paragraph" w:styleId="Footer">
    <w:name w:val="footer"/>
    <w:basedOn w:val="Normal"/>
    <w:link w:val="FooterChar"/>
    <w:uiPriority w:val="99"/>
    <w:unhideWhenUsed/>
    <w:rsid w:val="009F789D"/>
    <w:pPr>
      <w:tabs>
        <w:tab w:val="center" w:pos="4680"/>
        <w:tab w:val="right" w:pos="9360"/>
      </w:tabs>
      <w:spacing w:after="0"/>
    </w:pPr>
  </w:style>
  <w:style w:type="character" w:customStyle="1" w:styleId="FooterChar">
    <w:name w:val="Footer Char"/>
    <w:link w:val="Footer"/>
    <w:uiPriority w:val="99"/>
    <w:rsid w:val="009F789D"/>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789D"/>
    <w:pPr>
      <w:spacing w:after="0"/>
    </w:pPr>
    <w:rPr>
      <w:rFonts w:ascii="Tahoma" w:hAnsi="Tahoma" w:cs="Tahoma"/>
      <w:sz w:val="16"/>
      <w:szCs w:val="16"/>
    </w:rPr>
  </w:style>
  <w:style w:type="character" w:customStyle="1" w:styleId="BalloonTextChar">
    <w:name w:val="Balloon Text Char"/>
    <w:link w:val="BalloonText"/>
    <w:uiPriority w:val="99"/>
    <w:semiHidden/>
    <w:rsid w:val="009F789D"/>
    <w:rPr>
      <w:rFonts w:ascii="Tahoma" w:eastAsia="Calibri" w:hAnsi="Tahoma" w:cs="Tahoma"/>
      <w:sz w:val="16"/>
      <w:szCs w:val="16"/>
    </w:rPr>
  </w:style>
  <w:style w:type="paragraph" w:styleId="Header">
    <w:name w:val="header"/>
    <w:basedOn w:val="Normal"/>
    <w:link w:val="HeaderChar"/>
    <w:uiPriority w:val="99"/>
    <w:unhideWhenUsed/>
    <w:rsid w:val="00DD41F7"/>
    <w:pPr>
      <w:tabs>
        <w:tab w:val="center" w:pos="4680"/>
        <w:tab w:val="right" w:pos="9360"/>
      </w:tabs>
      <w:spacing w:after="0"/>
    </w:pPr>
  </w:style>
  <w:style w:type="character" w:customStyle="1" w:styleId="HeaderChar">
    <w:name w:val="Header Char"/>
    <w:link w:val="Header"/>
    <w:uiPriority w:val="99"/>
    <w:rsid w:val="00DD41F7"/>
    <w:rPr>
      <w:rFonts w:ascii="Calibri" w:eastAsia="Calibr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500331"/>
    <w:rPr>
      <w:b/>
      <w:bCs/>
    </w:rPr>
  </w:style>
  <w:style w:type="character" w:customStyle="1" w:styleId="CommentSubjectChar">
    <w:name w:val="Comment Subject Char"/>
    <w:link w:val="CommentSubject"/>
    <w:uiPriority w:val="99"/>
    <w:semiHidden/>
    <w:rsid w:val="00500331"/>
    <w:rPr>
      <w:rFonts w:ascii="Calibri" w:eastAsia="Calibri" w:hAnsi="Calibri" w:cs="Times New Roman"/>
      <w:b/>
      <w:bCs/>
      <w:sz w:val="20"/>
      <w:szCs w:val="20"/>
    </w:rPr>
  </w:style>
  <w:style w:type="paragraph" w:customStyle="1" w:styleId="Default">
    <w:name w:val="Default"/>
    <w:rsid w:val="002C3010"/>
    <w:pPr>
      <w:autoSpaceDE w:val="0"/>
      <w:autoSpaceDN w:val="0"/>
      <w:adjustRightInd w:val="0"/>
    </w:pPr>
    <w:rPr>
      <w:rFonts w:ascii="Calibri" w:hAnsi="Calibri" w:cs="Calibri"/>
      <w:color w:val="000000"/>
      <w:sz w:val="24"/>
      <w:szCs w:val="24"/>
    </w:rPr>
  </w:style>
  <w:style w:type="paragraph" w:styleId="NoSpacing">
    <w:name w:val="No Spacing"/>
    <w:uiPriority w:val="1"/>
    <w:qFormat/>
    <w:rsid w:val="00EE7F79"/>
    <w:rPr>
      <w:rFonts w:ascii="Calibri" w:hAnsi="Calibri"/>
      <w:sz w:val="22"/>
      <w:szCs w:val="22"/>
    </w:rPr>
  </w:style>
  <w:style w:type="character" w:customStyle="1" w:styleId="Heading5Char">
    <w:name w:val="Heading 5 Char"/>
    <w:basedOn w:val="DefaultParagraphFont"/>
    <w:link w:val="Heading5"/>
    <w:uiPriority w:val="9"/>
    <w:semiHidden/>
    <w:rsid w:val="00673F28"/>
    <w:rPr>
      <w:rFonts w:asciiTheme="majorHAnsi" w:eastAsiaTheme="majorEastAsia" w:hAnsiTheme="majorHAnsi" w:cstheme="majorBidi"/>
      <w:color w:val="243F60" w:themeColor="accent1" w:themeShade="7F"/>
      <w:sz w:val="22"/>
      <w:szCs w:val="22"/>
    </w:rPr>
  </w:style>
  <w:style w:type="paragraph" w:styleId="NormalWeb">
    <w:name w:val="Normal (Web)"/>
    <w:basedOn w:val="Normal"/>
    <w:uiPriority w:val="99"/>
    <w:unhideWhenUsed/>
    <w:rsid w:val="00673F28"/>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230B5"/>
    <w:rPr>
      <w:color w:val="800080" w:themeColor="followedHyperlink"/>
      <w:u w:val="single"/>
    </w:rPr>
  </w:style>
  <w:style w:type="paragraph" w:styleId="Title">
    <w:name w:val="Title"/>
    <w:basedOn w:val="Normal"/>
    <w:next w:val="Normal"/>
    <w:link w:val="TitleChar"/>
    <w:uiPriority w:val="10"/>
    <w:qFormat/>
    <w:rsid w:val="00AC7D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7D8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C7D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7D83"/>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ED05B9"/>
    <w:rPr>
      <w:b/>
      <w:bCs/>
      <w:i/>
      <w:iCs/>
      <w:color w:val="4F81BD" w:themeColor="accent1"/>
    </w:rPr>
  </w:style>
  <w:style w:type="character" w:customStyle="1" w:styleId="Heading2Char">
    <w:name w:val="Heading 2 Char"/>
    <w:basedOn w:val="DefaultParagraphFont"/>
    <w:link w:val="Heading2"/>
    <w:uiPriority w:val="9"/>
    <w:rsid w:val="00ED05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76A4"/>
    <w:rPr>
      <w:rFonts w:asciiTheme="majorHAnsi" w:eastAsiaTheme="majorEastAsia" w:hAnsiTheme="majorHAnsi" w:cstheme="majorBidi"/>
      <w:b/>
      <w:bCs/>
      <w:color w:val="4F81BD" w:themeColor="accent1"/>
      <w:sz w:val="22"/>
      <w:szCs w:val="22"/>
    </w:rPr>
  </w:style>
  <w:style w:type="character" w:styleId="Strong">
    <w:name w:val="Strong"/>
    <w:basedOn w:val="DefaultParagraphFont"/>
    <w:uiPriority w:val="22"/>
    <w:qFormat/>
    <w:rsid w:val="00D13A40"/>
    <w:rPr>
      <w:b/>
      <w:bCs/>
    </w:rPr>
  </w:style>
  <w:style w:type="character" w:styleId="SubtleEmphasis">
    <w:name w:val="Subtle Emphasis"/>
    <w:basedOn w:val="DefaultParagraphFont"/>
    <w:uiPriority w:val="19"/>
    <w:qFormat/>
    <w:rsid w:val="00986CA0"/>
    <w:rPr>
      <w:i/>
      <w:iCs/>
      <w:color w:val="808080" w:themeColor="text1" w:themeTint="7F"/>
    </w:rPr>
  </w:style>
  <w:style w:type="paragraph" w:styleId="Revision">
    <w:name w:val="Revision"/>
    <w:hidden/>
    <w:uiPriority w:val="99"/>
    <w:semiHidden/>
    <w:rsid w:val="00591938"/>
    <w:rPr>
      <w:rFonts w:ascii="Calibri" w:hAnsi="Calibri"/>
      <w:sz w:val="22"/>
      <w:szCs w:val="22"/>
    </w:rPr>
  </w:style>
  <w:style w:type="paragraph" w:styleId="BodyText">
    <w:name w:val="Body Text"/>
    <w:basedOn w:val="Normal"/>
    <w:link w:val="BodyTextChar"/>
    <w:semiHidden/>
    <w:rsid w:val="00835252"/>
    <w:pPr>
      <w:spacing w:after="240" w:line="240" w:lineRule="atLeast"/>
      <w:ind w:firstLine="360"/>
      <w:jc w:val="both"/>
    </w:pPr>
    <w:rPr>
      <w:rFonts w:ascii="Garamond" w:eastAsia="Times New Roman" w:hAnsi="Garamond"/>
      <w:szCs w:val="20"/>
    </w:rPr>
  </w:style>
  <w:style w:type="character" w:customStyle="1" w:styleId="BodyTextChar">
    <w:name w:val="Body Text Char"/>
    <w:basedOn w:val="DefaultParagraphFont"/>
    <w:link w:val="BodyText"/>
    <w:semiHidden/>
    <w:rsid w:val="00835252"/>
    <w:rPr>
      <w:rFonts w:ascii="Garamond" w:eastAsia="Times New Roman" w:hAnsi="Garamond"/>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074"/>
    <w:pPr>
      <w:spacing w:after="200"/>
    </w:pPr>
    <w:rPr>
      <w:rFonts w:ascii="Calibri" w:hAnsi="Calibri"/>
      <w:sz w:val="22"/>
      <w:szCs w:val="22"/>
    </w:rPr>
  </w:style>
  <w:style w:type="paragraph" w:styleId="Heading1">
    <w:name w:val="heading 1"/>
    <w:basedOn w:val="Normal"/>
    <w:next w:val="Normal"/>
    <w:link w:val="Heading1Char"/>
    <w:uiPriority w:val="9"/>
    <w:qFormat/>
    <w:rsid w:val="00B04F78"/>
    <w:pPr>
      <w:keepNext/>
      <w:keepLines/>
      <w:spacing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D05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76A4"/>
    <w:pPr>
      <w:keepNext/>
      <w:keepLines/>
      <w:spacing w:before="360" w:after="12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73F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4F78"/>
    <w:rPr>
      <w:rFonts w:ascii="Cambria" w:eastAsia="Times New Roman" w:hAnsi="Cambria"/>
      <w:b/>
      <w:bCs/>
      <w:color w:val="365F91"/>
      <w:sz w:val="28"/>
      <w:szCs w:val="28"/>
    </w:rPr>
  </w:style>
  <w:style w:type="character" w:styleId="Hyperlink">
    <w:name w:val="Hyperlink"/>
    <w:uiPriority w:val="99"/>
    <w:unhideWhenUsed/>
    <w:rsid w:val="009F789D"/>
    <w:rPr>
      <w:color w:val="0000FF"/>
      <w:u w:val="single"/>
    </w:rPr>
  </w:style>
  <w:style w:type="paragraph" w:styleId="ListParagraph">
    <w:name w:val="List Paragraph"/>
    <w:basedOn w:val="Normal"/>
    <w:uiPriority w:val="99"/>
    <w:qFormat/>
    <w:rsid w:val="009F789D"/>
    <w:pPr>
      <w:ind w:left="720"/>
      <w:contextualSpacing/>
    </w:pPr>
  </w:style>
  <w:style w:type="paragraph" w:styleId="FootnoteText">
    <w:name w:val="footnote text"/>
    <w:basedOn w:val="Normal"/>
    <w:link w:val="FootnoteTextChar"/>
    <w:uiPriority w:val="99"/>
    <w:semiHidden/>
    <w:unhideWhenUsed/>
    <w:rsid w:val="009F789D"/>
    <w:pPr>
      <w:spacing w:after="0"/>
    </w:pPr>
    <w:rPr>
      <w:sz w:val="20"/>
      <w:szCs w:val="20"/>
    </w:rPr>
  </w:style>
  <w:style w:type="character" w:customStyle="1" w:styleId="FootnoteTextChar">
    <w:name w:val="Footnote Text Char"/>
    <w:link w:val="FootnoteText"/>
    <w:uiPriority w:val="99"/>
    <w:semiHidden/>
    <w:rsid w:val="009F789D"/>
    <w:rPr>
      <w:rFonts w:ascii="Calibri" w:eastAsia="Calibri" w:hAnsi="Calibri" w:cs="Times New Roman"/>
      <w:sz w:val="20"/>
      <w:szCs w:val="20"/>
    </w:rPr>
  </w:style>
  <w:style w:type="character" w:styleId="FootnoteReference">
    <w:name w:val="footnote reference"/>
    <w:uiPriority w:val="99"/>
    <w:semiHidden/>
    <w:unhideWhenUsed/>
    <w:rsid w:val="009F789D"/>
    <w:rPr>
      <w:vertAlign w:val="superscript"/>
    </w:rPr>
  </w:style>
  <w:style w:type="character" w:styleId="CommentReference">
    <w:name w:val="annotation reference"/>
    <w:uiPriority w:val="99"/>
    <w:semiHidden/>
    <w:unhideWhenUsed/>
    <w:rsid w:val="009F789D"/>
    <w:rPr>
      <w:sz w:val="16"/>
      <w:szCs w:val="16"/>
    </w:rPr>
  </w:style>
  <w:style w:type="paragraph" w:styleId="CommentText">
    <w:name w:val="annotation text"/>
    <w:basedOn w:val="Normal"/>
    <w:link w:val="CommentTextChar"/>
    <w:uiPriority w:val="99"/>
    <w:semiHidden/>
    <w:unhideWhenUsed/>
    <w:rsid w:val="009F789D"/>
    <w:rPr>
      <w:sz w:val="20"/>
      <w:szCs w:val="20"/>
    </w:rPr>
  </w:style>
  <w:style w:type="character" w:customStyle="1" w:styleId="CommentTextChar">
    <w:name w:val="Comment Text Char"/>
    <w:link w:val="CommentText"/>
    <w:uiPriority w:val="99"/>
    <w:semiHidden/>
    <w:rsid w:val="009F789D"/>
    <w:rPr>
      <w:rFonts w:ascii="Calibri" w:eastAsia="Calibri" w:hAnsi="Calibri" w:cs="Times New Roman"/>
      <w:sz w:val="20"/>
      <w:szCs w:val="20"/>
    </w:rPr>
  </w:style>
  <w:style w:type="paragraph" w:styleId="Footer">
    <w:name w:val="footer"/>
    <w:basedOn w:val="Normal"/>
    <w:link w:val="FooterChar"/>
    <w:uiPriority w:val="99"/>
    <w:unhideWhenUsed/>
    <w:rsid w:val="009F789D"/>
    <w:pPr>
      <w:tabs>
        <w:tab w:val="center" w:pos="4680"/>
        <w:tab w:val="right" w:pos="9360"/>
      </w:tabs>
      <w:spacing w:after="0"/>
    </w:pPr>
  </w:style>
  <w:style w:type="character" w:customStyle="1" w:styleId="FooterChar">
    <w:name w:val="Footer Char"/>
    <w:link w:val="Footer"/>
    <w:uiPriority w:val="99"/>
    <w:rsid w:val="009F789D"/>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789D"/>
    <w:pPr>
      <w:spacing w:after="0"/>
    </w:pPr>
    <w:rPr>
      <w:rFonts w:ascii="Tahoma" w:hAnsi="Tahoma" w:cs="Tahoma"/>
      <w:sz w:val="16"/>
      <w:szCs w:val="16"/>
    </w:rPr>
  </w:style>
  <w:style w:type="character" w:customStyle="1" w:styleId="BalloonTextChar">
    <w:name w:val="Balloon Text Char"/>
    <w:link w:val="BalloonText"/>
    <w:uiPriority w:val="99"/>
    <w:semiHidden/>
    <w:rsid w:val="009F789D"/>
    <w:rPr>
      <w:rFonts w:ascii="Tahoma" w:eastAsia="Calibri" w:hAnsi="Tahoma" w:cs="Tahoma"/>
      <w:sz w:val="16"/>
      <w:szCs w:val="16"/>
    </w:rPr>
  </w:style>
  <w:style w:type="paragraph" w:styleId="Header">
    <w:name w:val="header"/>
    <w:basedOn w:val="Normal"/>
    <w:link w:val="HeaderChar"/>
    <w:uiPriority w:val="99"/>
    <w:unhideWhenUsed/>
    <w:rsid w:val="00DD41F7"/>
    <w:pPr>
      <w:tabs>
        <w:tab w:val="center" w:pos="4680"/>
        <w:tab w:val="right" w:pos="9360"/>
      </w:tabs>
      <w:spacing w:after="0"/>
    </w:pPr>
  </w:style>
  <w:style w:type="character" w:customStyle="1" w:styleId="HeaderChar">
    <w:name w:val="Header Char"/>
    <w:link w:val="Header"/>
    <w:uiPriority w:val="99"/>
    <w:rsid w:val="00DD41F7"/>
    <w:rPr>
      <w:rFonts w:ascii="Calibri" w:eastAsia="Calibr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500331"/>
    <w:rPr>
      <w:b/>
      <w:bCs/>
    </w:rPr>
  </w:style>
  <w:style w:type="character" w:customStyle="1" w:styleId="CommentSubjectChar">
    <w:name w:val="Comment Subject Char"/>
    <w:link w:val="CommentSubject"/>
    <w:uiPriority w:val="99"/>
    <w:semiHidden/>
    <w:rsid w:val="00500331"/>
    <w:rPr>
      <w:rFonts w:ascii="Calibri" w:eastAsia="Calibri" w:hAnsi="Calibri" w:cs="Times New Roman"/>
      <w:b/>
      <w:bCs/>
      <w:sz w:val="20"/>
      <w:szCs w:val="20"/>
    </w:rPr>
  </w:style>
  <w:style w:type="paragraph" w:customStyle="1" w:styleId="Default">
    <w:name w:val="Default"/>
    <w:rsid w:val="002C3010"/>
    <w:pPr>
      <w:autoSpaceDE w:val="0"/>
      <w:autoSpaceDN w:val="0"/>
      <w:adjustRightInd w:val="0"/>
    </w:pPr>
    <w:rPr>
      <w:rFonts w:ascii="Calibri" w:hAnsi="Calibri" w:cs="Calibri"/>
      <w:color w:val="000000"/>
      <w:sz w:val="24"/>
      <w:szCs w:val="24"/>
    </w:rPr>
  </w:style>
  <w:style w:type="paragraph" w:styleId="NoSpacing">
    <w:name w:val="No Spacing"/>
    <w:uiPriority w:val="1"/>
    <w:qFormat/>
    <w:rsid w:val="00EE7F79"/>
    <w:rPr>
      <w:rFonts w:ascii="Calibri" w:hAnsi="Calibri"/>
      <w:sz w:val="22"/>
      <w:szCs w:val="22"/>
    </w:rPr>
  </w:style>
  <w:style w:type="character" w:customStyle="1" w:styleId="Heading5Char">
    <w:name w:val="Heading 5 Char"/>
    <w:basedOn w:val="DefaultParagraphFont"/>
    <w:link w:val="Heading5"/>
    <w:uiPriority w:val="9"/>
    <w:semiHidden/>
    <w:rsid w:val="00673F28"/>
    <w:rPr>
      <w:rFonts w:asciiTheme="majorHAnsi" w:eastAsiaTheme="majorEastAsia" w:hAnsiTheme="majorHAnsi" w:cstheme="majorBidi"/>
      <w:color w:val="243F60" w:themeColor="accent1" w:themeShade="7F"/>
      <w:sz w:val="22"/>
      <w:szCs w:val="22"/>
    </w:rPr>
  </w:style>
  <w:style w:type="paragraph" w:styleId="NormalWeb">
    <w:name w:val="Normal (Web)"/>
    <w:basedOn w:val="Normal"/>
    <w:uiPriority w:val="99"/>
    <w:unhideWhenUsed/>
    <w:rsid w:val="00673F28"/>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230B5"/>
    <w:rPr>
      <w:color w:val="800080" w:themeColor="followedHyperlink"/>
      <w:u w:val="single"/>
    </w:rPr>
  </w:style>
  <w:style w:type="paragraph" w:styleId="Title">
    <w:name w:val="Title"/>
    <w:basedOn w:val="Normal"/>
    <w:next w:val="Normal"/>
    <w:link w:val="TitleChar"/>
    <w:uiPriority w:val="10"/>
    <w:qFormat/>
    <w:rsid w:val="00AC7D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7D8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C7D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7D83"/>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ED05B9"/>
    <w:rPr>
      <w:b/>
      <w:bCs/>
      <w:i/>
      <w:iCs/>
      <w:color w:val="4F81BD" w:themeColor="accent1"/>
    </w:rPr>
  </w:style>
  <w:style w:type="character" w:customStyle="1" w:styleId="Heading2Char">
    <w:name w:val="Heading 2 Char"/>
    <w:basedOn w:val="DefaultParagraphFont"/>
    <w:link w:val="Heading2"/>
    <w:uiPriority w:val="9"/>
    <w:rsid w:val="00ED05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76A4"/>
    <w:rPr>
      <w:rFonts w:asciiTheme="majorHAnsi" w:eastAsiaTheme="majorEastAsia" w:hAnsiTheme="majorHAnsi" w:cstheme="majorBidi"/>
      <w:b/>
      <w:bCs/>
      <w:color w:val="4F81BD" w:themeColor="accent1"/>
      <w:sz w:val="22"/>
      <w:szCs w:val="22"/>
    </w:rPr>
  </w:style>
  <w:style w:type="character" w:styleId="Strong">
    <w:name w:val="Strong"/>
    <w:basedOn w:val="DefaultParagraphFont"/>
    <w:uiPriority w:val="22"/>
    <w:qFormat/>
    <w:rsid w:val="00D13A40"/>
    <w:rPr>
      <w:b/>
      <w:bCs/>
    </w:rPr>
  </w:style>
  <w:style w:type="character" w:styleId="SubtleEmphasis">
    <w:name w:val="Subtle Emphasis"/>
    <w:basedOn w:val="DefaultParagraphFont"/>
    <w:uiPriority w:val="19"/>
    <w:qFormat/>
    <w:rsid w:val="00986CA0"/>
    <w:rPr>
      <w:i/>
      <w:iCs/>
      <w:color w:val="808080" w:themeColor="text1" w:themeTint="7F"/>
    </w:rPr>
  </w:style>
  <w:style w:type="paragraph" w:styleId="Revision">
    <w:name w:val="Revision"/>
    <w:hidden/>
    <w:uiPriority w:val="99"/>
    <w:semiHidden/>
    <w:rsid w:val="00591938"/>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ssbci"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treasury.gov/services/report-fwa/Pages/ReportFWA.aspx" TargetMode="External"/><Relationship Id="rId17" Type="http://schemas.openxmlformats.org/officeDocument/2006/relationships/hyperlink" Target="file:///C:\Users\biegerp\AppData\Local\Microsoft\Windows\Temporary%20Internet%20Files\Content.Outlook\XLOCCTSE\www.treasury.gov\ssbci" TargetMode="External"/><Relationship Id="rId25" Type="http://schemas.openxmlformats.org/officeDocument/2006/relationships/footer" Target="footer4.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file:///C:\Users\biegerp\AppData\Local\Microsoft\Windows\Temporary%20Internet%20Files\Content.Outlook\XLOCCTSE\www.treasury.gov\ssbci" TargetMode="External"/><Relationship Id="rId27" Type="http://schemas.openxmlformats.org/officeDocument/2006/relationships/hyperlink" Target="file:///C:\Users\biegerp\AppData\Local\Microsoft\Windows\Temporary%20Internet%20Files\Content.Outlook\XLOCCTSE\www.treasury.gov\ssbci" TargetMode="External"/><Relationship Id="rId30" Type="http://schemas.openxmlformats.org/officeDocument/2006/relationships/footer" Target="footer5.xml"/><Relationship Id="rId35" Type="http://schemas.openxmlformats.org/officeDocument/2006/relationships/header" Target="header17.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9ADE2-ADE8-459A-89DE-EF4CDC4F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9348</Words>
  <Characters>53284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62507</CharactersWithSpaces>
  <SharedDoc>false</SharedDoc>
  <HLinks>
    <vt:vector size="18" baseType="variant">
      <vt:variant>
        <vt:i4>6553614</vt:i4>
      </vt:variant>
      <vt:variant>
        <vt:i4>6</vt:i4>
      </vt:variant>
      <vt:variant>
        <vt:i4>0</vt:i4>
      </vt:variant>
      <vt:variant>
        <vt:i4>5</vt:i4>
      </vt:variant>
      <vt:variant>
        <vt:lpwstr>http://www.macorr.com/ss_calculator.htm</vt:lpwstr>
      </vt:variant>
      <vt:variant>
        <vt:lpwstr/>
      </vt:variant>
      <vt:variant>
        <vt:i4>8192058</vt:i4>
      </vt:variant>
      <vt:variant>
        <vt:i4>3</vt:i4>
      </vt:variant>
      <vt:variant>
        <vt:i4>0</vt:i4>
      </vt:variant>
      <vt:variant>
        <vt:i4>5</vt:i4>
      </vt:variant>
      <vt:variant>
        <vt:lpwstr>http://www.dcaa.mil/ezquant.htm</vt:lpwstr>
      </vt:variant>
      <vt:variant>
        <vt:lpwstr/>
      </vt:variant>
      <vt:variant>
        <vt:i4>4522063</vt:i4>
      </vt:variant>
      <vt:variant>
        <vt:i4>0</vt:i4>
      </vt:variant>
      <vt:variant>
        <vt:i4>0</vt:i4>
      </vt:variant>
      <vt:variant>
        <vt:i4>5</vt:i4>
      </vt:variant>
      <vt:variant>
        <vt:lpwstr>http://www.treasury.gov/ssbci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2012-03-01T20:34:00Z</dcterms:created>
  <dcterms:modified xsi:type="dcterms:W3CDTF">2012-03-01T20:34:00Z</dcterms:modified>
</cp:coreProperties>
</file>