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3D" w:rsidRPr="00FF722F" w:rsidRDefault="00A01190">
      <w:pPr>
        <w:pStyle w:val="BodyText3"/>
        <w:rPr>
          <w:rFonts w:ascii="Times New Roman" w:hAnsi="Times New Roman"/>
          <w:b/>
          <w:bCs/>
          <w:sz w:val="24"/>
          <w:szCs w:val="24"/>
        </w:rPr>
      </w:pPr>
      <w:r w:rsidRPr="00A01190">
        <w:rPr>
          <w:rFonts w:ascii="Times New Roman" w:hAnsi="Times New Roman"/>
          <w:b/>
          <w:bCs/>
        </w:rPr>
        <w:t>Memorandum</w:t>
      </w:r>
      <w:r w:rsidRPr="00A01190">
        <w:rPr>
          <w:rFonts w:ascii="Times New Roman" w:hAnsi="Times New Roman"/>
          <w:b/>
          <w:bCs/>
          <w:sz w:val="24"/>
        </w:rPr>
        <w:t xml:space="preserve"> </w:t>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rPr>
        <w:tab/>
      </w:r>
      <w:r w:rsidRPr="00A01190">
        <w:rPr>
          <w:rFonts w:ascii="Times New Roman" w:hAnsi="Times New Roman"/>
          <w:b/>
          <w:bCs/>
          <w:sz w:val="24"/>
          <w:szCs w:val="24"/>
        </w:rPr>
        <w:t>United States Department of Education</w:t>
      </w:r>
    </w:p>
    <w:p w:rsidR="00C2153D" w:rsidRPr="00FF722F" w:rsidRDefault="00A01190">
      <w:pPr>
        <w:pStyle w:val="BodyText3"/>
        <w:ind w:left="3600" w:firstLine="720"/>
        <w:rPr>
          <w:rFonts w:ascii="Times New Roman" w:hAnsi="Times New Roman"/>
          <w:b/>
          <w:bCs/>
          <w:sz w:val="24"/>
          <w:szCs w:val="24"/>
        </w:rPr>
      </w:pPr>
      <w:r w:rsidRPr="00A01190">
        <w:rPr>
          <w:rFonts w:ascii="Times New Roman" w:hAnsi="Times New Roman"/>
          <w:b/>
          <w:bCs/>
          <w:sz w:val="24"/>
          <w:szCs w:val="24"/>
        </w:rPr>
        <w:tab/>
        <w:t>Institute of Education Sciences</w:t>
      </w:r>
    </w:p>
    <w:p w:rsidR="00C2153D" w:rsidRPr="00FF722F" w:rsidRDefault="00A01190">
      <w:pPr>
        <w:pStyle w:val="Heading8"/>
        <w:pBdr>
          <w:bottom w:val="single" w:sz="12" w:space="1" w:color="auto"/>
        </w:pBdr>
      </w:pPr>
      <w:r w:rsidRPr="00A01190">
        <w:tab/>
      </w:r>
      <w:r w:rsidRPr="00A01190">
        <w:tab/>
      </w:r>
      <w:r w:rsidRPr="00A01190">
        <w:tab/>
      </w:r>
      <w:r w:rsidRPr="00A01190">
        <w:tab/>
      </w:r>
      <w:r w:rsidRPr="00A01190">
        <w:tab/>
      </w:r>
      <w:r w:rsidRPr="00A01190">
        <w:tab/>
      </w:r>
      <w:r w:rsidRPr="00A01190">
        <w:tab/>
        <w:t>National Center for Education Statistics</w:t>
      </w:r>
    </w:p>
    <w:p w:rsidR="00C2153D" w:rsidRPr="00FF722F" w:rsidRDefault="00C2153D"/>
    <w:p w:rsidR="00C2153D" w:rsidRPr="00FF722F" w:rsidRDefault="00C2153D"/>
    <w:p w:rsidR="00C2153D" w:rsidRPr="00FF722F" w:rsidRDefault="00C2153D" w:rsidP="009A6F75">
      <w:r w:rsidRPr="00FF722F">
        <w:t>DATE:</w:t>
      </w:r>
      <w:r w:rsidRPr="00FF722F">
        <w:tab/>
      </w:r>
      <w:r w:rsidRPr="00FF722F">
        <w:tab/>
      </w:r>
      <w:r w:rsidR="009A6F75" w:rsidRPr="00FF722F">
        <w:t xml:space="preserve">October </w:t>
      </w:r>
      <w:r w:rsidR="00C1044C">
        <w:t>28</w:t>
      </w:r>
      <w:r w:rsidR="00EB1D0F" w:rsidRPr="00FF722F">
        <w:t xml:space="preserve">, 2011 </w:t>
      </w:r>
    </w:p>
    <w:p w:rsidR="00C2153D" w:rsidRPr="00FF722F" w:rsidRDefault="00C2153D"/>
    <w:p w:rsidR="00026D24" w:rsidRPr="005B79D4" w:rsidRDefault="00026D24" w:rsidP="00026D24">
      <w:r w:rsidRPr="005B79D4">
        <w:t>TO:</w:t>
      </w:r>
      <w:r w:rsidRPr="005B79D4">
        <w:tab/>
      </w:r>
      <w:r w:rsidRPr="005B79D4">
        <w:tab/>
      </w:r>
      <w:r>
        <w:t>Shelly Martinez, OMB</w:t>
      </w:r>
      <w:r w:rsidRPr="005B79D4">
        <w:t xml:space="preserve">  </w:t>
      </w:r>
    </w:p>
    <w:p w:rsidR="00026D24" w:rsidRDefault="00026D24"/>
    <w:p w:rsidR="000E3482" w:rsidRPr="00FF722F" w:rsidRDefault="00026D24">
      <w:r>
        <w:t>THROUGH</w:t>
      </w:r>
      <w:r w:rsidR="00C2153D" w:rsidRPr="00FF722F">
        <w:t>:</w:t>
      </w:r>
      <w:r>
        <w:tab/>
      </w:r>
      <w:r w:rsidR="000E3482" w:rsidRPr="00FF722F">
        <w:t>Kashka Kubzdela</w:t>
      </w:r>
    </w:p>
    <w:p w:rsidR="00C2153D" w:rsidRPr="00FF722F" w:rsidRDefault="000E3482" w:rsidP="000E3482">
      <w:pPr>
        <w:ind w:left="720" w:firstLine="720"/>
      </w:pPr>
      <w:r w:rsidRPr="00FF722F">
        <w:t xml:space="preserve">Office of the Commissioner, </w:t>
      </w:r>
      <w:r w:rsidR="00C2153D" w:rsidRPr="00FF722F">
        <w:t>NCES</w:t>
      </w:r>
    </w:p>
    <w:p w:rsidR="00C2153D" w:rsidRPr="00FF722F" w:rsidRDefault="00C2153D"/>
    <w:p w:rsidR="00C2153D" w:rsidRPr="00FF722F" w:rsidRDefault="00C2153D" w:rsidP="00EB1D0F">
      <w:r w:rsidRPr="00FF722F">
        <w:t>FROM:</w:t>
      </w:r>
      <w:r w:rsidRPr="00FF722F">
        <w:tab/>
      </w:r>
      <w:r w:rsidR="00EB1D0F" w:rsidRPr="00FF722F">
        <w:t xml:space="preserve">Tracy Hunt White </w:t>
      </w:r>
    </w:p>
    <w:p w:rsidR="00C2153D" w:rsidRPr="00FF722F" w:rsidRDefault="000E3482" w:rsidP="000E3482">
      <w:r w:rsidRPr="00FF722F">
        <w:tab/>
      </w:r>
      <w:r w:rsidRPr="00FF722F">
        <w:tab/>
        <w:t>Postsecondary, Adult, and Career Education Division</w:t>
      </w:r>
      <w:r w:rsidR="00C2153D" w:rsidRPr="00FF722F">
        <w:t>, NCES</w:t>
      </w:r>
    </w:p>
    <w:p w:rsidR="00C2153D" w:rsidRPr="00FF722F" w:rsidRDefault="00C2153D">
      <w:pPr>
        <w:pStyle w:val="NormalWeb"/>
      </w:pPr>
    </w:p>
    <w:p w:rsidR="00C2153D" w:rsidRPr="00FF722F" w:rsidRDefault="00C2153D" w:rsidP="000D00E3">
      <w:pPr>
        <w:pStyle w:val="Heading1"/>
        <w:ind w:left="1440" w:hanging="1440"/>
        <w:rPr>
          <w:b w:val="0"/>
          <w:bCs w:val="0"/>
          <w:u w:val="none"/>
        </w:rPr>
      </w:pPr>
      <w:r w:rsidRPr="00FF722F">
        <w:rPr>
          <w:b w:val="0"/>
          <w:bCs w:val="0"/>
          <w:u w:val="none"/>
        </w:rPr>
        <w:t>SUBJECT:</w:t>
      </w:r>
      <w:r w:rsidRPr="00FF722F">
        <w:rPr>
          <w:b w:val="0"/>
          <w:bCs w:val="0"/>
          <w:u w:val="none"/>
        </w:rPr>
        <w:tab/>
        <w:t>Su</w:t>
      </w:r>
      <w:r w:rsidR="0007600F" w:rsidRPr="00FF722F">
        <w:rPr>
          <w:b w:val="0"/>
          <w:bCs w:val="0"/>
          <w:u w:val="none"/>
        </w:rPr>
        <w:t xml:space="preserve">mmary of changes </w:t>
      </w:r>
      <w:r w:rsidR="000E6B74" w:rsidRPr="00FF722F">
        <w:rPr>
          <w:b w:val="0"/>
          <w:bCs w:val="0"/>
          <w:u w:val="none"/>
        </w:rPr>
        <w:t xml:space="preserve">to </w:t>
      </w:r>
      <w:r w:rsidR="0007600F" w:rsidRPr="00FF722F">
        <w:rPr>
          <w:b w:val="0"/>
          <w:bCs w:val="0"/>
          <w:u w:val="none"/>
        </w:rPr>
        <w:t xml:space="preserve">the NPSAS:12 full-scale </w:t>
      </w:r>
      <w:r w:rsidR="000D00E3" w:rsidRPr="00FF722F">
        <w:rPr>
          <w:b w:val="0"/>
          <w:bCs w:val="0"/>
          <w:u w:val="none"/>
        </w:rPr>
        <w:t xml:space="preserve">student interview and student records </w:t>
      </w:r>
      <w:r w:rsidR="0007600F" w:rsidRPr="00FF722F">
        <w:rPr>
          <w:b w:val="0"/>
          <w:bCs w:val="0"/>
          <w:u w:val="none"/>
        </w:rPr>
        <w:t>collection for Office of Management and Budget (OMB) forms clearance</w:t>
      </w:r>
      <w:r w:rsidR="00EB1D0F" w:rsidRPr="00FF722F">
        <w:rPr>
          <w:b w:val="0"/>
          <w:bCs w:val="0"/>
          <w:u w:val="none"/>
        </w:rPr>
        <w:t xml:space="preserve"> </w:t>
      </w:r>
    </w:p>
    <w:p w:rsidR="00C2153D" w:rsidRPr="00770A91" w:rsidRDefault="00C2153D" w:rsidP="004867A0">
      <w:pPr>
        <w:pStyle w:val="Bodytextnoindent"/>
        <w:spacing w:beforeLines="120" w:afterLines="120"/>
        <w:ind w:firstLine="720"/>
        <w:rPr>
          <w:szCs w:val="24"/>
        </w:rPr>
      </w:pPr>
      <w:r w:rsidRPr="00FF722F">
        <w:rPr>
          <w:szCs w:val="24"/>
        </w:rPr>
        <w:t>OMB forms clearance (No. 1850-0</w:t>
      </w:r>
      <w:r w:rsidR="00EB1D0F" w:rsidRPr="00FF722F">
        <w:rPr>
          <w:szCs w:val="24"/>
        </w:rPr>
        <w:t>666</w:t>
      </w:r>
      <w:r w:rsidR="009A6F75" w:rsidRPr="00FF722F">
        <w:rPr>
          <w:szCs w:val="24"/>
        </w:rPr>
        <w:t xml:space="preserve"> v.8</w:t>
      </w:r>
      <w:r w:rsidRPr="00FF722F">
        <w:rPr>
          <w:szCs w:val="24"/>
        </w:rPr>
        <w:t>) was received in</w:t>
      </w:r>
      <w:r w:rsidR="00955759" w:rsidRPr="00FF722F">
        <w:rPr>
          <w:szCs w:val="24"/>
        </w:rPr>
        <w:t xml:space="preserve"> March</w:t>
      </w:r>
      <w:r w:rsidR="00A5639F" w:rsidRPr="00FF722F">
        <w:rPr>
          <w:szCs w:val="24"/>
        </w:rPr>
        <w:t xml:space="preserve"> 2011</w:t>
      </w:r>
      <w:r w:rsidR="00955759" w:rsidRPr="00FF722F">
        <w:rPr>
          <w:szCs w:val="24"/>
        </w:rPr>
        <w:t xml:space="preserve"> </w:t>
      </w:r>
      <w:r w:rsidRPr="00FF722F">
        <w:rPr>
          <w:szCs w:val="24"/>
        </w:rPr>
        <w:t>for the field test</w:t>
      </w:r>
      <w:r w:rsidRPr="00770A91">
        <w:rPr>
          <w:szCs w:val="24"/>
        </w:rPr>
        <w:t xml:space="preserve"> </w:t>
      </w:r>
      <w:r w:rsidR="009A6F75" w:rsidRPr="00770A91">
        <w:rPr>
          <w:szCs w:val="24"/>
        </w:rPr>
        <w:t xml:space="preserve">student interview and student records collection </w:t>
      </w:r>
      <w:r w:rsidR="0007600F" w:rsidRPr="00770A91">
        <w:rPr>
          <w:szCs w:val="24"/>
        </w:rPr>
        <w:t xml:space="preserve">activities </w:t>
      </w:r>
      <w:r w:rsidR="000E6B74" w:rsidRPr="00770A91">
        <w:rPr>
          <w:szCs w:val="24"/>
        </w:rPr>
        <w:t xml:space="preserve">of </w:t>
      </w:r>
      <w:r w:rsidR="00EB1D0F" w:rsidRPr="00770A91">
        <w:rPr>
          <w:szCs w:val="24"/>
        </w:rPr>
        <w:t>the 201</w:t>
      </w:r>
      <w:r w:rsidR="000E6B74" w:rsidRPr="00770A91">
        <w:rPr>
          <w:szCs w:val="24"/>
        </w:rPr>
        <w:t>1-1</w:t>
      </w:r>
      <w:r w:rsidR="00EB1D0F" w:rsidRPr="00770A91">
        <w:rPr>
          <w:szCs w:val="24"/>
        </w:rPr>
        <w:t>2 National Postsecondary Student Aid Study (NPSAS:12)</w:t>
      </w:r>
      <w:r w:rsidR="000D00E3" w:rsidRPr="00770A91">
        <w:rPr>
          <w:szCs w:val="24"/>
        </w:rPr>
        <w:t>.  Th</w:t>
      </w:r>
      <w:r w:rsidR="00450CC6" w:rsidRPr="00770A91">
        <w:rPr>
          <w:szCs w:val="24"/>
        </w:rPr>
        <w:t>is memorandum summarizes changes between the full-scale and field test submissions and also presents results from</w:t>
      </w:r>
      <w:r w:rsidR="000D00E3" w:rsidRPr="00770A91">
        <w:rPr>
          <w:szCs w:val="24"/>
        </w:rPr>
        <w:t xml:space="preserve"> field test </w:t>
      </w:r>
      <w:r w:rsidR="00450CC6" w:rsidRPr="00770A91">
        <w:rPr>
          <w:szCs w:val="24"/>
        </w:rPr>
        <w:t xml:space="preserve">experiments designed to </w:t>
      </w:r>
      <w:r w:rsidR="000D00E3" w:rsidRPr="00770A91">
        <w:rPr>
          <w:szCs w:val="24"/>
        </w:rPr>
        <w:t xml:space="preserve">address declining survey response rates and concerns about </w:t>
      </w:r>
      <w:proofErr w:type="spellStart"/>
      <w:r w:rsidR="000D00E3" w:rsidRPr="00770A91">
        <w:rPr>
          <w:szCs w:val="24"/>
        </w:rPr>
        <w:t>nonresponse</w:t>
      </w:r>
      <w:proofErr w:type="spellEnd"/>
      <w:r w:rsidR="000D2D03" w:rsidRPr="00770A91">
        <w:rPr>
          <w:szCs w:val="24"/>
        </w:rPr>
        <w:t xml:space="preserve">.  </w:t>
      </w:r>
    </w:p>
    <w:p w:rsidR="00781B23" w:rsidRPr="00450CC6" w:rsidRDefault="00781B23" w:rsidP="00781B23">
      <w:pPr>
        <w:pStyle w:val="H1"/>
        <w:rPr>
          <w:rFonts w:ascii="Times New Roman" w:hAnsi="Times New Roman" w:cs="Times New Roman"/>
        </w:rPr>
      </w:pPr>
      <w:r w:rsidRPr="00450CC6">
        <w:rPr>
          <w:rFonts w:ascii="Times New Roman" w:hAnsi="Times New Roman" w:cs="Times New Roman"/>
        </w:rPr>
        <w:t>Changes to Full-scale Methodology</w:t>
      </w:r>
    </w:p>
    <w:p w:rsidR="00E95109" w:rsidRPr="00FF722F" w:rsidRDefault="0005249A" w:rsidP="004867A0">
      <w:pPr>
        <w:pStyle w:val="Bodytextnoindent"/>
        <w:spacing w:beforeLines="120" w:afterLines="120"/>
        <w:ind w:firstLine="720"/>
        <w:rPr>
          <w:szCs w:val="24"/>
        </w:rPr>
      </w:pPr>
      <w:r>
        <w:rPr>
          <w:szCs w:val="24"/>
        </w:rPr>
        <w:t xml:space="preserve">We have implemented very few </w:t>
      </w:r>
      <w:r w:rsidR="00781B23" w:rsidRPr="00450CC6">
        <w:rPr>
          <w:szCs w:val="24"/>
        </w:rPr>
        <w:t xml:space="preserve">changes to the NPSAS:12 </w:t>
      </w:r>
      <w:r>
        <w:rPr>
          <w:szCs w:val="24"/>
        </w:rPr>
        <w:t xml:space="preserve">full-scale </w:t>
      </w:r>
      <w:r w:rsidR="00781B23" w:rsidRPr="00450CC6">
        <w:rPr>
          <w:szCs w:val="24"/>
        </w:rPr>
        <w:t xml:space="preserve">methodology </w:t>
      </w:r>
      <w:r>
        <w:rPr>
          <w:szCs w:val="24"/>
        </w:rPr>
        <w:t>relative to what was employed for the field test</w:t>
      </w:r>
      <w:r w:rsidR="00781B23" w:rsidRPr="00450CC6">
        <w:rPr>
          <w:szCs w:val="24"/>
        </w:rPr>
        <w:t xml:space="preserve">.  </w:t>
      </w:r>
      <w:r w:rsidR="00D55096">
        <w:rPr>
          <w:szCs w:val="24"/>
        </w:rPr>
        <w:t xml:space="preserve">Notably, the following </w:t>
      </w:r>
      <w:r w:rsidR="001E3C6D" w:rsidRPr="00450CC6">
        <w:rPr>
          <w:szCs w:val="24"/>
        </w:rPr>
        <w:t xml:space="preserve">changes </w:t>
      </w:r>
      <w:r w:rsidR="00D55096">
        <w:rPr>
          <w:szCs w:val="24"/>
        </w:rPr>
        <w:t xml:space="preserve">have been made since </w:t>
      </w:r>
      <w:r w:rsidR="00D55096" w:rsidRPr="00FF722F">
        <w:rPr>
          <w:szCs w:val="24"/>
        </w:rPr>
        <w:t>the field test</w:t>
      </w:r>
      <w:r w:rsidR="001E3C6D" w:rsidRPr="00FF722F">
        <w:rPr>
          <w:szCs w:val="24"/>
        </w:rPr>
        <w:t>:</w:t>
      </w:r>
    </w:p>
    <w:p w:rsidR="00D55096" w:rsidRPr="00FF722F" w:rsidRDefault="00A01190" w:rsidP="004867A0">
      <w:pPr>
        <w:pStyle w:val="Bodytextnoindent"/>
        <w:numPr>
          <w:ilvl w:val="0"/>
          <w:numId w:val="22"/>
        </w:numPr>
        <w:spacing w:beforeLines="120" w:afterLines="120"/>
        <w:rPr>
          <w:szCs w:val="24"/>
        </w:rPr>
      </w:pPr>
      <w:r w:rsidRPr="00A01190">
        <w:rPr>
          <w:szCs w:val="24"/>
        </w:rPr>
        <w:t>As described in the first OMB submission for NPSAS:12 institution contacting, the sizes of both the institution and student samples in the three for-profit strata will increase.  We will also oversample certificate seeking first time, beginning college students (FTBs) and graduate students enrolled in science, technology, engineering, and mathematics (STEM) programs.</w:t>
      </w:r>
    </w:p>
    <w:p w:rsidR="00D55096" w:rsidRPr="00FF722F" w:rsidRDefault="002C080B" w:rsidP="004867A0">
      <w:pPr>
        <w:pStyle w:val="Bodytextnoindent"/>
        <w:numPr>
          <w:ilvl w:val="0"/>
          <w:numId w:val="22"/>
        </w:numPr>
        <w:spacing w:beforeLines="120" w:afterLines="120"/>
        <w:rPr>
          <w:szCs w:val="24"/>
        </w:rPr>
      </w:pPr>
      <w:r>
        <w:rPr>
          <w:szCs w:val="24"/>
        </w:rPr>
        <w:t>The process of identifying FTBs prior to sampling will be continued for the full-scale data collection with two modifications.  First, in addition to matching to the National Student Loan Data System (NSLDS), we will also match to the Central Processing System (CPS) which contains all Free Applications for Federal Student Aid (FAFSA) data.  Matching to CPS was piloted on a smaller scale during the field test, but the data proved helpful to identifying first time freshmen.   Second, t</w:t>
      </w:r>
      <w:r w:rsidR="00A01190" w:rsidRPr="00A01190">
        <w:rPr>
          <w:szCs w:val="24"/>
        </w:rPr>
        <w:t xml:space="preserve">o contain costs, the process of matching potential FTBs to </w:t>
      </w:r>
      <w:r>
        <w:rPr>
          <w:szCs w:val="24"/>
        </w:rPr>
        <w:t xml:space="preserve">National Student Clearinghouse </w:t>
      </w:r>
      <w:r w:rsidR="00D1591F">
        <w:rPr>
          <w:szCs w:val="24"/>
        </w:rPr>
        <w:t xml:space="preserve">(NSC) </w:t>
      </w:r>
      <w:r>
        <w:rPr>
          <w:szCs w:val="24"/>
        </w:rPr>
        <w:t xml:space="preserve">records </w:t>
      </w:r>
      <w:r w:rsidR="00A01190" w:rsidRPr="00A01190">
        <w:rPr>
          <w:szCs w:val="24"/>
        </w:rPr>
        <w:t xml:space="preserve">will be streamlined to target </w:t>
      </w:r>
      <w:r>
        <w:rPr>
          <w:szCs w:val="24"/>
        </w:rPr>
        <w:t xml:space="preserve">a subset of remaining potentially-eligible FTBs.  As the budget allows, </w:t>
      </w:r>
      <w:r w:rsidR="00A01190" w:rsidRPr="00A01190">
        <w:rPr>
          <w:szCs w:val="24"/>
        </w:rPr>
        <w:t xml:space="preserve">students over the age of 18 enrolled in public 2-year institutions </w:t>
      </w:r>
      <w:r>
        <w:rPr>
          <w:szCs w:val="24"/>
        </w:rPr>
        <w:t>and</w:t>
      </w:r>
      <w:r w:rsidRPr="00A01190">
        <w:rPr>
          <w:szCs w:val="24"/>
        </w:rPr>
        <w:t xml:space="preserve"> </w:t>
      </w:r>
      <w:r w:rsidR="00A01190" w:rsidRPr="00A01190">
        <w:rPr>
          <w:szCs w:val="24"/>
        </w:rPr>
        <w:t>in any of the for-profit institutions</w:t>
      </w:r>
      <w:r>
        <w:rPr>
          <w:szCs w:val="24"/>
        </w:rPr>
        <w:t xml:space="preserve"> who remain potential FTBs after matching to NSLDS and CPS will be sent to NSC</w:t>
      </w:r>
      <w:r w:rsidR="00D1591F">
        <w:rPr>
          <w:szCs w:val="24"/>
        </w:rPr>
        <w:t xml:space="preserve">.  Further </w:t>
      </w:r>
      <w:proofErr w:type="spellStart"/>
      <w:r w:rsidR="00D1591F">
        <w:rPr>
          <w:szCs w:val="24"/>
        </w:rPr>
        <w:t>subsetting</w:t>
      </w:r>
      <w:proofErr w:type="spellEnd"/>
      <w:r w:rsidR="00D1591F">
        <w:rPr>
          <w:szCs w:val="24"/>
        </w:rPr>
        <w:t xml:space="preserve"> may be required, depending on </w:t>
      </w:r>
      <w:r w:rsidR="00890169">
        <w:rPr>
          <w:szCs w:val="24"/>
        </w:rPr>
        <w:t xml:space="preserve">the </w:t>
      </w:r>
      <w:r w:rsidR="00D1591F">
        <w:rPr>
          <w:szCs w:val="24"/>
        </w:rPr>
        <w:t xml:space="preserve">NSC </w:t>
      </w:r>
      <w:r w:rsidR="00890169">
        <w:rPr>
          <w:szCs w:val="24"/>
        </w:rPr>
        <w:t xml:space="preserve">costs per case </w:t>
      </w:r>
      <w:r w:rsidR="00D1591F">
        <w:rPr>
          <w:szCs w:val="24"/>
        </w:rPr>
        <w:t>(</w:t>
      </w:r>
      <w:r w:rsidR="00890169">
        <w:rPr>
          <w:szCs w:val="24"/>
        </w:rPr>
        <w:t xml:space="preserve">which are </w:t>
      </w:r>
      <w:r w:rsidR="0048302C">
        <w:rPr>
          <w:szCs w:val="24"/>
        </w:rPr>
        <w:t xml:space="preserve">not fixed, but rather </w:t>
      </w:r>
      <w:r w:rsidR="00890169">
        <w:rPr>
          <w:szCs w:val="24"/>
        </w:rPr>
        <w:t>set based on the number of cases in each match</w:t>
      </w:r>
      <w:r w:rsidR="00D1591F">
        <w:rPr>
          <w:szCs w:val="24"/>
        </w:rPr>
        <w:t>).</w:t>
      </w:r>
    </w:p>
    <w:p w:rsidR="00000000" w:rsidRDefault="00A01190" w:rsidP="004867A0">
      <w:pPr>
        <w:pStyle w:val="Bodytextnoindent"/>
        <w:numPr>
          <w:ilvl w:val="0"/>
          <w:numId w:val="22"/>
        </w:numPr>
        <w:spacing w:beforeLines="120" w:afterLines="120"/>
        <w:rPr>
          <w:szCs w:val="24"/>
        </w:rPr>
      </w:pPr>
      <w:r w:rsidRPr="00A01190">
        <w:rPr>
          <w:szCs w:val="24"/>
        </w:rPr>
        <w:lastRenderedPageBreak/>
        <w:t>A small number of items in the student interview have been added, modified, or dropped</w:t>
      </w:r>
      <w:r w:rsidRPr="00A01190">
        <w:rPr>
          <w:color w:val="000000" w:themeColor="text1"/>
          <w:szCs w:val="24"/>
        </w:rPr>
        <w:t>. These changes to the interview were a result of information learned in the field test and in cognitive interviewing, and were also based on recommendations received from the technical review panel during a meeting of the panel held on August 16 and 17, 2011.</w:t>
      </w:r>
    </w:p>
    <w:p w:rsidR="00000000" w:rsidRDefault="003479C8" w:rsidP="004867A0">
      <w:pPr>
        <w:pStyle w:val="Bodytextnoindent"/>
        <w:spacing w:beforeLines="120" w:afterLines="120"/>
        <w:rPr>
          <w:szCs w:val="24"/>
        </w:rPr>
      </w:pPr>
      <w:r>
        <w:rPr>
          <w:szCs w:val="24"/>
        </w:rPr>
        <w:t xml:space="preserve">Changes to NPSAS:12 methodology </w:t>
      </w:r>
      <w:r w:rsidR="0025543A">
        <w:rPr>
          <w:szCs w:val="24"/>
        </w:rPr>
        <w:t>are</w:t>
      </w:r>
      <w:r>
        <w:rPr>
          <w:szCs w:val="24"/>
        </w:rPr>
        <w:t xml:space="preserve"> highlighted in the accompanying clearance package.</w:t>
      </w:r>
    </w:p>
    <w:p w:rsidR="00D574CE" w:rsidRDefault="00D574CE" w:rsidP="00D574CE">
      <w:pPr>
        <w:pStyle w:val="H1"/>
        <w:rPr>
          <w:rFonts w:ascii="Times New Roman" w:hAnsi="Times New Roman" w:cs="Times New Roman"/>
        </w:rPr>
      </w:pPr>
      <w:r w:rsidRPr="00450CC6">
        <w:rPr>
          <w:rFonts w:ascii="Times New Roman" w:hAnsi="Times New Roman" w:cs="Times New Roman"/>
        </w:rPr>
        <w:t xml:space="preserve">Field Test </w:t>
      </w:r>
      <w:r w:rsidR="00450CC6" w:rsidRPr="00450CC6">
        <w:rPr>
          <w:rFonts w:ascii="Times New Roman" w:hAnsi="Times New Roman" w:cs="Times New Roman"/>
        </w:rPr>
        <w:t xml:space="preserve">Experiment </w:t>
      </w:r>
      <w:r w:rsidRPr="00450CC6">
        <w:rPr>
          <w:rFonts w:ascii="Times New Roman" w:hAnsi="Times New Roman" w:cs="Times New Roman"/>
        </w:rPr>
        <w:t xml:space="preserve">Results </w:t>
      </w:r>
    </w:p>
    <w:p w:rsidR="00423961" w:rsidRDefault="00423961" w:rsidP="00423961">
      <w:pPr>
        <w:pStyle w:val="BodyText"/>
        <w:rPr>
          <w:b w:val="0"/>
          <w:bCs w:val="0"/>
        </w:rPr>
      </w:pPr>
    </w:p>
    <w:p w:rsidR="003308B7" w:rsidRDefault="00423961">
      <w:pPr>
        <w:ind w:firstLine="720"/>
      </w:pPr>
      <w:r>
        <w:t xml:space="preserve">The NPSAS:12 </w:t>
      </w:r>
      <w:r w:rsidRPr="00423961">
        <w:t>field test include</w:t>
      </w:r>
      <w:r>
        <w:t>d</w:t>
      </w:r>
      <w:r w:rsidRPr="00423961">
        <w:t xml:space="preserve"> two data collection experiments</w:t>
      </w:r>
      <w:r w:rsidR="00955759">
        <w:t xml:space="preserve">.  The </w:t>
      </w:r>
      <w:r w:rsidRPr="00423961">
        <w:t xml:space="preserve">first </w:t>
      </w:r>
      <w:r w:rsidR="00955759">
        <w:t>introduced</w:t>
      </w:r>
      <w:r w:rsidRPr="00423961">
        <w:t xml:space="preserve"> an informational video during the initial contact with sample members to increase </w:t>
      </w:r>
      <w:r w:rsidR="00955759">
        <w:t xml:space="preserve">their </w:t>
      </w:r>
      <w:r w:rsidRPr="00423961">
        <w:t xml:space="preserve">participation </w:t>
      </w:r>
      <w:r w:rsidR="00955759">
        <w:t xml:space="preserve">in NPSAS </w:t>
      </w:r>
      <w:r w:rsidRPr="00423961">
        <w:t xml:space="preserve">and to establish “branding” for </w:t>
      </w:r>
      <w:r w:rsidR="00955759">
        <w:t xml:space="preserve">sample members selected for participation in </w:t>
      </w:r>
      <w:r w:rsidRPr="00423961">
        <w:t xml:space="preserve">the </w:t>
      </w:r>
      <w:r w:rsidR="00955759">
        <w:t>Beginning Postsecondary Students Longitudinal Study (BPS:12)</w:t>
      </w:r>
      <w:r w:rsidRPr="00423961">
        <w:t xml:space="preserve">. The second experiment </w:t>
      </w:r>
      <w:r w:rsidR="00955759">
        <w:t>tested</w:t>
      </w:r>
      <w:r w:rsidRPr="00423961">
        <w:t xml:space="preserve"> a new approach </w:t>
      </w:r>
      <w:r w:rsidR="00955759">
        <w:t>that uses</w:t>
      </w:r>
      <w:r w:rsidRPr="00423961">
        <w:t xml:space="preserve"> incentives to minimize </w:t>
      </w:r>
      <w:proofErr w:type="spellStart"/>
      <w:r w:rsidRPr="00423961">
        <w:t>nonresponse</w:t>
      </w:r>
      <w:proofErr w:type="spellEnd"/>
      <w:r w:rsidRPr="00423961">
        <w:t xml:space="preserve"> bias </w:t>
      </w:r>
      <w:r w:rsidR="00955759">
        <w:t xml:space="preserve">among low responding groups </w:t>
      </w:r>
      <w:r w:rsidRPr="00423961">
        <w:t xml:space="preserve">rather than to </w:t>
      </w:r>
      <w:r w:rsidR="0062790F">
        <w:t xml:space="preserve">simply </w:t>
      </w:r>
      <w:r w:rsidRPr="00423961">
        <w:t xml:space="preserve">increase response rates. </w:t>
      </w:r>
      <w:r>
        <w:t xml:space="preserve">Results </w:t>
      </w:r>
      <w:r w:rsidR="00955759">
        <w:t xml:space="preserve">from </w:t>
      </w:r>
      <w:r>
        <w:t>the</w:t>
      </w:r>
      <w:r w:rsidRPr="00423961">
        <w:t xml:space="preserve"> two experiments, which </w:t>
      </w:r>
      <w:r>
        <w:t>were</w:t>
      </w:r>
      <w:r w:rsidRPr="00423961">
        <w:t xml:space="preserve"> independent of each other</w:t>
      </w:r>
      <w:r>
        <w:t xml:space="preserve">, are </w:t>
      </w:r>
      <w:r w:rsidR="00955759">
        <w:t xml:space="preserve">summarized </w:t>
      </w:r>
      <w:r>
        <w:t xml:space="preserve">below.  </w:t>
      </w:r>
    </w:p>
    <w:p w:rsidR="003308B7" w:rsidRDefault="00A01190">
      <w:pPr>
        <w:pStyle w:val="H1"/>
        <w:rPr>
          <w:rFonts w:ascii="Times New Roman" w:hAnsi="Times New Roman" w:cs="Times New Roman"/>
          <w:b w:val="0"/>
          <w:i/>
        </w:rPr>
      </w:pPr>
      <w:r w:rsidRPr="00A01190">
        <w:rPr>
          <w:rFonts w:ascii="Times New Roman" w:hAnsi="Times New Roman" w:cs="Times New Roman"/>
          <w:b w:val="0"/>
          <w:i/>
        </w:rPr>
        <w:t>Informational Video</w:t>
      </w:r>
    </w:p>
    <w:p w:rsidR="006852AD" w:rsidRPr="00A65D32" w:rsidRDefault="006852AD" w:rsidP="00423961">
      <w:pPr>
        <w:rPr>
          <w:b/>
          <w:bCs/>
        </w:rPr>
      </w:pPr>
    </w:p>
    <w:p w:rsidR="003308B7" w:rsidRDefault="00584B04">
      <w:pPr>
        <w:ind w:firstLine="720"/>
      </w:pPr>
      <w:r>
        <w:t>A</w:t>
      </w:r>
      <w:r w:rsidR="00423961" w:rsidRPr="00201B4E">
        <w:t xml:space="preserve"> </w:t>
      </w:r>
      <w:r>
        <w:t xml:space="preserve">stop-action, </w:t>
      </w:r>
      <w:r w:rsidR="00423961" w:rsidRPr="00201B4E">
        <w:t xml:space="preserve">informational video was </w:t>
      </w:r>
      <w:r>
        <w:t xml:space="preserve">developed using Lego blocks </w:t>
      </w:r>
      <w:r w:rsidR="00201B4E" w:rsidRPr="00201B4E">
        <w:t>to communicate survey information</w:t>
      </w:r>
      <w:r w:rsidR="00920369">
        <w:t xml:space="preserve"> to sample members.  </w:t>
      </w:r>
      <w:r>
        <w:t>Half of the field test sample, selected at random, served as the control group</w:t>
      </w:r>
      <w:r w:rsidR="007C73ED">
        <w:t>. The control group received</w:t>
      </w:r>
      <w:r>
        <w:t xml:space="preserve"> a set of </w:t>
      </w:r>
      <w:r w:rsidR="007C73ED">
        <w:t xml:space="preserve">contacting </w:t>
      </w:r>
      <w:r>
        <w:t>materials prior to and during data collection</w:t>
      </w:r>
      <w:r w:rsidR="00AC42BD">
        <w:t xml:space="preserve"> that included </w:t>
      </w:r>
      <w:r w:rsidR="007C73ED">
        <w:t xml:space="preserve">a standard </w:t>
      </w:r>
      <w:r>
        <w:t xml:space="preserve">data collection announcement letter, a study brochure, and follow-up emails and postcards to </w:t>
      </w:r>
      <w:proofErr w:type="spellStart"/>
      <w:r>
        <w:t>nonrespondents</w:t>
      </w:r>
      <w:proofErr w:type="spellEnd"/>
      <w:r>
        <w:t xml:space="preserve">.  </w:t>
      </w:r>
      <w:r w:rsidR="00AC42BD">
        <w:t>The half of the sample</w:t>
      </w:r>
      <w:r w:rsidR="007C73ED">
        <w:t xml:space="preserve"> randomly assigned to </w:t>
      </w:r>
      <w:r w:rsidR="00AC42BD">
        <w:t xml:space="preserve">the experimental group </w:t>
      </w:r>
      <w:r w:rsidRPr="00920369">
        <w:t>receive</w:t>
      </w:r>
      <w:r>
        <w:t>d</w:t>
      </w:r>
      <w:r w:rsidRPr="00920369">
        <w:t xml:space="preserve"> </w:t>
      </w:r>
      <w:r w:rsidR="007C73ED">
        <w:t xml:space="preserve">contacting </w:t>
      </w:r>
      <w:r w:rsidR="00AC42BD">
        <w:t xml:space="preserve">materials </w:t>
      </w:r>
      <w:r w:rsidR="007C73ED">
        <w:t xml:space="preserve">that </w:t>
      </w:r>
      <w:r w:rsidR="00AC42BD">
        <w:t xml:space="preserve">invited </w:t>
      </w:r>
      <w:r w:rsidR="007C73ED">
        <w:t xml:space="preserve">them </w:t>
      </w:r>
      <w:r w:rsidR="00AC42BD">
        <w:t xml:space="preserve">to view the study video on </w:t>
      </w:r>
      <w:r>
        <w:t>YouTube</w:t>
      </w:r>
      <w:r w:rsidRPr="006852AD">
        <w:t>.</w:t>
      </w:r>
      <w:r>
        <w:t xml:space="preserve">  </w:t>
      </w:r>
    </w:p>
    <w:p w:rsidR="003308B7" w:rsidRDefault="003308B7"/>
    <w:p w:rsidR="001B6BD2" w:rsidRDefault="00AC42BD" w:rsidP="00FF722F">
      <w:pPr>
        <w:ind w:firstLine="720"/>
      </w:pPr>
      <w:r>
        <w:t>S</w:t>
      </w:r>
      <w:r w:rsidR="00584B04">
        <w:t xml:space="preserve">ample members who received the </w:t>
      </w:r>
      <w:r w:rsidR="00920369">
        <w:t xml:space="preserve">video </w:t>
      </w:r>
      <w:r>
        <w:t xml:space="preserve">link were expected to </w:t>
      </w:r>
      <w:r w:rsidR="00584B04">
        <w:t xml:space="preserve">participate in the NPSAS:12 field test </w:t>
      </w:r>
      <w:r>
        <w:t xml:space="preserve">at higher rates </w:t>
      </w:r>
      <w:r w:rsidR="00584B04">
        <w:t>than sample members who received study information conveyed only through the study brochure and other mailings</w:t>
      </w:r>
      <w:r w:rsidR="00201B4E" w:rsidRPr="00920369">
        <w:t>.</w:t>
      </w:r>
      <w:r w:rsidR="004F3308">
        <w:t xml:space="preserve"> However, n</w:t>
      </w:r>
      <w:r w:rsidR="006852AD" w:rsidRPr="006852AD">
        <w:t xml:space="preserve">o </w:t>
      </w:r>
      <w:r w:rsidR="007C73ED">
        <w:t>statistically significant</w:t>
      </w:r>
      <w:r w:rsidR="007C73ED" w:rsidRPr="006852AD">
        <w:t xml:space="preserve"> </w:t>
      </w:r>
      <w:r w:rsidR="006852AD" w:rsidRPr="006852AD">
        <w:t xml:space="preserve">difference </w:t>
      </w:r>
      <w:r w:rsidR="00584B04">
        <w:t xml:space="preserve">in rates </w:t>
      </w:r>
      <w:r w:rsidR="006852AD" w:rsidRPr="006852AD">
        <w:t xml:space="preserve">was </w:t>
      </w:r>
      <w:r w:rsidR="006B787D">
        <w:t xml:space="preserve">found </w:t>
      </w:r>
      <w:r w:rsidR="006852AD" w:rsidRPr="006852AD">
        <w:t xml:space="preserve">between </w:t>
      </w:r>
      <w:r w:rsidR="00584B04">
        <w:t xml:space="preserve">those </w:t>
      </w:r>
      <w:r w:rsidR="006852AD" w:rsidRPr="006852AD">
        <w:t xml:space="preserve">informed about the video </w:t>
      </w:r>
      <w:r w:rsidR="007C73ED">
        <w:t xml:space="preserve">(64.0%) </w:t>
      </w:r>
      <w:r w:rsidR="006852AD" w:rsidRPr="006852AD">
        <w:t xml:space="preserve">and those </w:t>
      </w:r>
      <w:r w:rsidR="00584B04">
        <w:t xml:space="preserve">who </w:t>
      </w:r>
      <w:r w:rsidR="006852AD" w:rsidRPr="006852AD">
        <w:t>were not</w:t>
      </w:r>
      <w:r w:rsidR="007C73ED">
        <w:t xml:space="preserve"> (64.4%), either overall or by institution sector.</w:t>
      </w:r>
    </w:p>
    <w:p w:rsidR="003308B7" w:rsidRDefault="003308B7"/>
    <w:p w:rsidR="003308B7" w:rsidRDefault="004F3308" w:rsidP="00760CD9">
      <w:pPr>
        <w:ind w:firstLine="720"/>
        <w:rPr>
          <w:i/>
        </w:rPr>
      </w:pPr>
      <w:r>
        <w:t xml:space="preserve">To test the second “branding” hypothesis, </w:t>
      </w:r>
      <w:r w:rsidR="00760CD9">
        <w:t xml:space="preserve">participation rates among BPS:12 field test cohort </w:t>
      </w:r>
      <w:r w:rsidR="001B6BD2">
        <w:t>t</w:t>
      </w:r>
      <w:r w:rsidR="001B6BD2" w:rsidRPr="00201B4E">
        <w:t xml:space="preserve">reatment </w:t>
      </w:r>
      <w:r w:rsidR="001B6BD2">
        <w:t xml:space="preserve">and control </w:t>
      </w:r>
      <w:r w:rsidR="001B6BD2" w:rsidRPr="00201B4E">
        <w:t>group</w:t>
      </w:r>
      <w:r w:rsidR="00760CD9">
        <w:t>s</w:t>
      </w:r>
      <w:r w:rsidR="001B6BD2" w:rsidRPr="00201B4E">
        <w:t xml:space="preserve"> </w:t>
      </w:r>
      <w:r w:rsidR="00760CD9">
        <w:t xml:space="preserve">will be compared during </w:t>
      </w:r>
      <w:r w:rsidR="001B6BD2" w:rsidRPr="00201B4E">
        <w:t xml:space="preserve">maintenance and interviewing </w:t>
      </w:r>
      <w:r w:rsidR="00760CD9">
        <w:t>activities</w:t>
      </w:r>
      <w:r w:rsidR="001B6BD2">
        <w:t>.</w:t>
      </w:r>
      <w:r w:rsidR="004F373B">
        <w:t xml:space="preserve"> If no statistically significant differences are noted there, use of the video will be discontinued for the BPS first</w:t>
      </w:r>
      <w:r w:rsidR="00760CD9">
        <w:t xml:space="preserve"> </w:t>
      </w:r>
      <w:r w:rsidR="004F373B">
        <w:t xml:space="preserve">follow-up full-scale data collection. However, because the results of that test cannot be known </w:t>
      </w:r>
      <w:r w:rsidR="004F373B">
        <w:rPr>
          <w:i/>
        </w:rPr>
        <w:t>a priori</w:t>
      </w:r>
      <w:r w:rsidR="004F373B">
        <w:t xml:space="preserve">, and because BPS eligibility must be confirmed via </w:t>
      </w:r>
      <w:r w:rsidR="007054CC">
        <w:t>subsequent interviewing</w:t>
      </w:r>
      <w:r w:rsidR="004F373B">
        <w:t xml:space="preserve">, all NPSAS:12 full-scale cohort members </w:t>
      </w:r>
      <w:r w:rsidR="0014681F">
        <w:t>will be</w:t>
      </w:r>
      <w:r w:rsidR="004F373B">
        <w:t xml:space="preserve"> exposed to the video in case benefits are found.</w:t>
      </w:r>
    </w:p>
    <w:p w:rsidR="003308B7" w:rsidRDefault="00A01190">
      <w:pPr>
        <w:pStyle w:val="H1"/>
        <w:spacing w:after="240"/>
        <w:rPr>
          <w:rFonts w:ascii="Times New Roman" w:hAnsi="Times New Roman" w:cs="Times New Roman"/>
          <w:i/>
        </w:rPr>
      </w:pPr>
      <w:r w:rsidRPr="00A01190">
        <w:rPr>
          <w:rFonts w:ascii="Times New Roman" w:hAnsi="Times New Roman" w:cs="Times New Roman"/>
          <w:i/>
        </w:rPr>
        <w:t>Response Propensity</w:t>
      </w:r>
    </w:p>
    <w:p w:rsidR="00482476" w:rsidRDefault="00482476" w:rsidP="007A035A">
      <w:pPr>
        <w:ind w:firstLine="360"/>
        <w:rPr>
          <w:bCs/>
          <w:snapToGrid w:val="0"/>
        </w:rPr>
      </w:pPr>
      <w:r w:rsidRPr="00482476">
        <w:rPr>
          <w:bCs/>
          <w:snapToGrid w:val="0"/>
        </w:rPr>
        <w:t xml:space="preserve">The objective of the response propensity </w:t>
      </w:r>
      <w:r w:rsidR="00164B62">
        <w:rPr>
          <w:bCs/>
          <w:snapToGrid w:val="0"/>
        </w:rPr>
        <w:t>experiment</w:t>
      </w:r>
      <w:r w:rsidR="00164B62" w:rsidRPr="00482476">
        <w:rPr>
          <w:bCs/>
          <w:snapToGrid w:val="0"/>
        </w:rPr>
        <w:t xml:space="preserve"> </w:t>
      </w:r>
      <w:r w:rsidRPr="00482476">
        <w:rPr>
          <w:bCs/>
          <w:snapToGrid w:val="0"/>
        </w:rPr>
        <w:t xml:space="preserve">was to </w:t>
      </w:r>
      <w:r w:rsidR="00164B62">
        <w:rPr>
          <w:bCs/>
          <w:snapToGrid w:val="0"/>
        </w:rPr>
        <w:t xml:space="preserve">reduce </w:t>
      </w:r>
      <w:proofErr w:type="spellStart"/>
      <w:r w:rsidR="00164B62">
        <w:rPr>
          <w:bCs/>
          <w:snapToGrid w:val="0"/>
        </w:rPr>
        <w:t>nonresponse</w:t>
      </w:r>
      <w:proofErr w:type="spellEnd"/>
      <w:r w:rsidR="00164B62">
        <w:rPr>
          <w:bCs/>
          <w:snapToGrid w:val="0"/>
        </w:rPr>
        <w:t xml:space="preserve"> bias through targeted use of incentives. </w:t>
      </w:r>
      <w:r w:rsidR="000E3EE7">
        <w:rPr>
          <w:bCs/>
          <w:snapToGrid w:val="0"/>
        </w:rPr>
        <w:t xml:space="preserve">Using data from NPSAS:04, we identified variables available prior to data collection which were predictive of response likelihood.  </w:t>
      </w:r>
      <w:r w:rsidR="00164B62">
        <w:rPr>
          <w:bCs/>
          <w:snapToGrid w:val="0"/>
        </w:rPr>
        <w:t xml:space="preserve">These variables were used to </w:t>
      </w:r>
      <w:r w:rsidR="000E3EE7">
        <w:rPr>
          <w:bCs/>
          <w:snapToGrid w:val="0"/>
        </w:rPr>
        <w:t>estimate</w:t>
      </w:r>
      <w:r w:rsidR="00164B62">
        <w:rPr>
          <w:bCs/>
          <w:snapToGrid w:val="0"/>
        </w:rPr>
        <w:t xml:space="preserve"> </w:t>
      </w:r>
      <w:r w:rsidR="000E3EE7">
        <w:rPr>
          <w:bCs/>
          <w:snapToGrid w:val="0"/>
        </w:rPr>
        <w:t xml:space="preserve">sample member’s response propensity.  </w:t>
      </w:r>
      <w:r w:rsidR="000520EB">
        <w:rPr>
          <w:bCs/>
          <w:snapToGrid w:val="0"/>
        </w:rPr>
        <w:t xml:space="preserve">Sample members </w:t>
      </w:r>
      <w:r w:rsidR="000E3EE7">
        <w:rPr>
          <w:bCs/>
          <w:snapToGrid w:val="0"/>
        </w:rPr>
        <w:t xml:space="preserve">with a low response propensity were sorted at random into either a control group, which was offered the usual $30 incentive for participation, </w:t>
      </w:r>
      <w:r w:rsidR="00164B62">
        <w:rPr>
          <w:bCs/>
          <w:snapToGrid w:val="0"/>
        </w:rPr>
        <w:t xml:space="preserve">or </w:t>
      </w:r>
      <w:r w:rsidR="000E3EE7">
        <w:rPr>
          <w:bCs/>
          <w:snapToGrid w:val="0"/>
        </w:rPr>
        <w:t>an experimental group</w:t>
      </w:r>
      <w:r w:rsidR="000520EB">
        <w:rPr>
          <w:bCs/>
          <w:snapToGrid w:val="0"/>
        </w:rPr>
        <w:t>,</w:t>
      </w:r>
      <w:r w:rsidR="000E3EE7">
        <w:rPr>
          <w:bCs/>
          <w:snapToGrid w:val="0"/>
        </w:rPr>
        <w:t xml:space="preserve"> which was offered $45.  The high response propensity sample members were sorted at random into a control group that was offered $30 </w:t>
      </w:r>
      <w:r w:rsidR="00164B62">
        <w:rPr>
          <w:bCs/>
          <w:snapToGrid w:val="0"/>
        </w:rPr>
        <w:t xml:space="preserve">or </w:t>
      </w:r>
      <w:r w:rsidR="000E3EE7">
        <w:rPr>
          <w:bCs/>
          <w:snapToGrid w:val="0"/>
        </w:rPr>
        <w:t>an experimental group that was offered $15.</w:t>
      </w:r>
      <w:r w:rsidR="00081A1A">
        <w:rPr>
          <w:bCs/>
          <w:snapToGrid w:val="0"/>
        </w:rPr>
        <w:t xml:space="preserve">  Following data </w:t>
      </w:r>
      <w:r w:rsidR="00081A1A">
        <w:rPr>
          <w:bCs/>
          <w:snapToGrid w:val="0"/>
        </w:rPr>
        <w:lastRenderedPageBreak/>
        <w:t>collection, we e</w:t>
      </w:r>
      <w:r w:rsidRPr="00482476">
        <w:rPr>
          <w:bCs/>
          <w:snapToGrid w:val="0"/>
        </w:rPr>
        <w:t>valuate</w:t>
      </w:r>
      <w:r w:rsidR="00081A1A">
        <w:rPr>
          <w:bCs/>
          <w:snapToGrid w:val="0"/>
        </w:rPr>
        <w:t>d</w:t>
      </w:r>
      <w:r w:rsidRPr="00482476">
        <w:rPr>
          <w:bCs/>
          <w:snapToGrid w:val="0"/>
        </w:rPr>
        <w:t xml:space="preserve"> the predictive ability of the response propensity model and determine</w:t>
      </w:r>
      <w:r w:rsidR="00081A1A">
        <w:rPr>
          <w:bCs/>
          <w:snapToGrid w:val="0"/>
        </w:rPr>
        <w:t>d</w:t>
      </w:r>
      <w:r w:rsidRPr="00482476">
        <w:rPr>
          <w:bCs/>
          <w:snapToGrid w:val="0"/>
        </w:rPr>
        <w:t xml:space="preserve"> if bias is reduced in </w:t>
      </w:r>
      <w:r w:rsidR="00081A1A">
        <w:rPr>
          <w:bCs/>
          <w:snapToGrid w:val="0"/>
        </w:rPr>
        <w:t xml:space="preserve">the </w:t>
      </w:r>
      <w:r w:rsidRPr="00482476">
        <w:rPr>
          <w:bCs/>
          <w:snapToGrid w:val="0"/>
        </w:rPr>
        <w:t xml:space="preserve">experimental cases.  </w:t>
      </w:r>
    </w:p>
    <w:p w:rsidR="00164B62" w:rsidRDefault="00164B62" w:rsidP="007A035A">
      <w:pPr>
        <w:ind w:firstLine="360"/>
        <w:rPr>
          <w:bCs/>
          <w:snapToGrid w:val="0"/>
        </w:rPr>
      </w:pPr>
    </w:p>
    <w:p w:rsidR="00164B62" w:rsidRPr="000520EB" w:rsidRDefault="00A01190" w:rsidP="00164B62">
      <w:pPr>
        <w:rPr>
          <w:bCs/>
          <w:i/>
        </w:rPr>
      </w:pPr>
      <w:r w:rsidRPr="00A01190">
        <w:rPr>
          <w:bCs/>
          <w:i/>
        </w:rPr>
        <w:t xml:space="preserve">Review of </w:t>
      </w:r>
      <w:r w:rsidR="000520EB">
        <w:rPr>
          <w:bCs/>
          <w:i/>
        </w:rPr>
        <w:t xml:space="preserve">the model’s predictive </w:t>
      </w:r>
      <w:r w:rsidR="00CF418E">
        <w:rPr>
          <w:bCs/>
          <w:i/>
        </w:rPr>
        <w:t>ability</w:t>
      </w:r>
    </w:p>
    <w:p w:rsidR="00164B62" w:rsidRPr="00450CC6" w:rsidRDefault="00164B62" w:rsidP="00164B62"/>
    <w:p w:rsidR="00164B62" w:rsidRDefault="00164B62" w:rsidP="00164B62">
      <w:pPr>
        <w:ind w:firstLine="720"/>
      </w:pPr>
      <w:r w:rsidRPr="00450CC6">
        <w:t xml:space="preserve">The model used to assign propensity to cases in the NPSAS:12 FT was developed </w:t>
      </w:r>
      <w:r>
        <w:t xml:space="preserve">using </w:t>
      </w:r>
      <w:r w:rsidRPr="00450CC6">
        <w:t xml:space="preserve">NPSAS:04 data.  As shown in </w:t>
      </w:r>
      <w:r w:rsidR="00B70610">
        <w:t>T</w:t>
      </w:r>
      <w:r w:rsidRPr="00450CC6">
        <w:t xml:space="preserve">able </w:t>
      </w:r>
      <w:r w:rsidR="00B70610">
        <w:t>1</w:t>
      </w:r>
      <w:r w:rsidRPr="00450CC6">
        <w:t xml:space="preserve">, the odds ratios from the predictive model used to categorize cases corresponds well with the actual values from the NPSAS:12 </w:t>
      </w:r>
      <w:r>
        <w:t xml:space="preserve">field test </w:t>
      </w:r>
      <w:r w:rsidRPr="00450CC6">
        <w:t xml:space="preserve">data collection.  </w:t>
      </w:r>
      <w:r>
        <w:t>T</w:t>
      </w:r>
      <w:r w:rsidRPr="00450CC6">
        <w:t xml:space="preserve">he model successfully distinguished between high and low propensity cases in terms of response rate.  </w:t>
      </w:r>
      <w:r w:rsidRPr="00B7681D">
        <w:t xml:space="preserve">The </w:t>
      </w:r>
      <w:proofErr w:type="spellStart"/>
      <w:r w:rsidRPr="00B7681D">
        <w:t>unweighted</w:t>
      </w:r>
      <w:proofErr w:type="spellEnd"/>
      <w:r w:rsidRPr="00B7681D">
        <w:t xml:space="preserve"> low propensity response rate was </w:t>
      </w:r>
      <w:r>
        <w:t>57</w:t>
      </w:r>
      <w:r w:rsidR="00EF2EC7">
        <w:t>.</w:t>
      </w:r>
      <w:r>
        <w:t>7</w:t>
      </w:r>
      <w:r w:rsidR="00EF2EC7">
        <w:t>%</w:t>
      </w:r>
      <w:r w:rsidRPr="00B7681D">
        <w:t xml:space="preserve"> and the </w:t>
      </w:r>
      <w:proofErr w:type="spellStart"/>
      <w:r w:rsidRPr="00B7681D">
        <w:t>unweighted</w:t>
      </w:r>
      <w:proofErr w:type="spellEnd"/>
      <w:r w:rsidRPr="00B7681D">
        <w:t xml:space="preserve"> high pr</w:t>
      </w:r>
      <w:r>
        <w:t>opensity response rate was 67</w:t>
      </w:r>
      <w:r w:rsidR="00EF2EC7">
        <w:t>.7%</w:t>
      </w:r>
      <w:r w:rsidRPr="00B7681D">
        <w:t xml:space="preserve">.  This difference was statistically significant (χ2 = </w:t>
      </w:r>
      <w:r>
        <w:t>42.00</w:t>
      </w:r>
      <w:r w:rsidR="00EF2EC7">
        <w:t>3</w:t>
      </w:r>
      <w:r w:rsidRPr="00B7681D">
        <w:t xml:space="preserve">, p &lt; .0001).  </w:t>
      </w:r>
    </w:p>
    <w:p w:rsidR="000520EB" w:rsidRPr="00450CC6" w:rsidRDefault="000520EB" w:rsidP="00164B62">
      <w:pPr>
        <w:ind w:firstLine="720"/>
      </w:pPr>
    </w:p>
    <w:p w:rsidR="00164B62" w:rsidRDefault="00A01190" w:rsidP="00164B62">
      <w:pPr>
        <w:autoSpaceDE w:val="0"/>
        <w:autoSpaceDN w:val="0"/>
        <w:adjustRightInd w:val="0"/>
        <w:rPr>
          <w:rFonts w:ascii="Arial" w:hAnsi="Arial" w:cs="Arial"/>
          <w:sz w:val="18"/>
          <w:szCs w:val="18"/>
        </w:rPr>
      </w:pPr>
      <w:r w:rsidRPr="00A01190">
        <w:rPr>
          <w:rFonts w:ascii="Arial" w:hAnsi="Arial" w:cs="Arial"/>
          <w:sz w:val="18"/>
          <w:szCs w:val="18"/>
        </w:rPr>
        <w:t>Table 1</w:t>
      </w:r>
      <w:r w:rsidR="00296BF9">
        <w:rPr>
          <w:rFonts w:ascii="Arial" w:hAnsi="Arial" w:cs="Arial"/>
          <w:sz w:val="18"/>
          <w:szCs w:val="18"/>
        </w:rPr>
        <w:t xml:space="preserve">. </w:t>
      </w:r>
      <w:r w:rsidRPr="00A01190">
        <w:rPr>
          <w:rFonts w:ascii="Arial" w:hAnsi="Arial" w:cs="Arial"/>
          <w:sz w:val="18"/>
          <w:szCs w:val="18"/>
        </w:rPr>
        <w:t>Comparing NPSAS:04 Predictor Variable Estimates to Values in NPSAS:12</w:t>
      </w:r>
    </w:p>
    <w:p w:rsidR="00296BF9" w:rsidRDefault="00296BF9" w:rsidP="00164B62">
      <w:pPr>
        <w:autoSpaceDE w:val="0"/>
        <w:autoSpaceDN w:val="0"/>
        <w:adjustRightInd w:val="0"/>
        <w:rPr>
          <w:rFonts w:ascii="Arial" w:hAnsi="Arial" w:cs="Arial"/>
          <w:sz w:val="18"/>
          <w:szCs w:val="18"/>
        </w:rPr>
      </w:pPr>
    </w:p>
    <w:tbl>
      <w:tblPr>
        <w:tblW w:w="8220" w:type="dxa"/>
        <w:tblInd w:w="95" w:type="dxa"/>
        <w:tblLook w:val="04A0"/>
      </w:tblPr>
      <w:tblGrid>
        <w:gridCol w:w="4380"/>
        <w:gridCol w:w="1920"/>
        <w:gridCol w:w="1920"/>
      </w:tblGrid>
      <w:tr w:rsidR="00296BF9" w:rsidRPr="00296BF9" w:rsidTr="00296BF9">
        <w:trPr>
          <w:trHeight w:val="480"/>
        </w:trPr>
        <w:tc>
          <w:tcPr>
            <w:tcW w:w="4380" w:type="dxa"/>
            <w:tcBorders>
              <w:top w:val="single" w:sz="4" w:space="0" w:color="auto"/>
              <w:left w:val="nil"/>
              <w:bottom w:val="single" w:sz="4" w:space="0" w:color="auto"/>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color w:val="000000"/>
                <w:sz w:val="18"/>
                <w:szCs w:val="18"/>
              </w:rPr>
              <w:t>Predictor Variable</w:t>
            </w:r>
          </w:p>
        </w:tc>
        <w:tc>
          <w:tcPr>
            <w:tcW w:w="1920" w:type="dxa"/>
            <w:tcBorders>
              <w:top w:val="single" w:sz="4" w:space="0" w:color="auto"/>
              <w:left w:val="nil"/>
              <w:bottom w:val="single" w:sz="4" w:space="0" w:color="auto"/>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color w:val="000000"/>
                <w:sz w:val="18"/>
                <w:szCs w:val="18"/>
              </w:rPr>
              <w:t xml:space="preserve">Odds Ratio </w:t>
            </w:r>
            <w:r w:rsidRPr="00296BF9">
              <w:rPr>
                <w:rFonts w:ascii="Arial" w:hAnsi="Arial" w:cs="Arial"/>
                <w:color w:val="000000"/>
                <w:sz w:val="18"/>
                <w:szCs w:val="18"/>
              </w:rPr>
              <w:br/>
              <w:t>from NPSAS:04</w:t>
            </w:r>
          </w:p>
        </w:tc>
        <w:tc>
          <w:tcPr>
            <w:tcW w:w="1920" w:type="dxa"/>
            <w:tcBorders>
              <w:top w:val="single" w:sz="4" w:space="0" w:color="auto"/>
              <w:left w:val="nil"/>
              <w:bottom w:val="single" w:sz="4" w:space="0" w:color="auto"/>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color w:val="000000"/>
                <w:sz w:val="18"/>
                <w:szCs w:val="18"/>
              </w:rPr>
              <w:t xml:space="preserve">Odds Ratio </w:t>
            </w:r>
            <w:r w:rsidRPr="00296BF9">
              <w:rPr>
                <w:rFonts w:ascii="Arial" w:hAnsi="Arial" w:cs="Arial"/>
                <w:color w:val="000000"/>
                <w:sz w:val="18"/>
                <w:szCs w:val="18"/>
              </w:rPr>
              <w:br/>
              <w:t>from NPSAS:12</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Four year institution</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1.614</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1.590</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Public institution</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1.092</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0.731</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Full time student status</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1.051</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1.142</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First time beginner</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1.004</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1.046</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Private for profit institution</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0.755</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0.377</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Under graduate status</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0.828</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0.893</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Doctoral student status</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1.727</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1.587</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Mother is a college graduate</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1.069</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1.342</w:t>
            </w:r>
          </w:p>
        </w:tc>
      </w:tr>
      <w:tr w:rsidR="00296BF9" w:rsidRPr="00296BF9" w:rsidTr="00296BF9">
        <w:trPr>
          <w:trHeight w:val="300"/>
        </w:trPr>
        <w:tc>
          <w:tcPr>
            <w:tcW w:w="4380" w:type="dxa"/>
            <w:tcBorders>
              <w:top w:val="nil"/>
              <w:left w:val="nil"/>
              <w:bottom w:val="nil"/>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Father is a college graduate</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1.127</w:t>
            </w:r>
          </w:p>
        </w:tc>
        <w:tc>
          <w:tcPr>
            <w:tcW w:w="1920" w:type="dxa"/>
            <w:tcBorders>
              <w:top w:val="nil"/>
              <w:left w:val="nil"/>
              <w:bottom w:val="nil"/>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1.033</w:t>
            </w:r>
          </w:p>
        </w:tc>
      </w:tr>
      <w:tr w:rsidR="00296BF9" w:rsidRPr="00296BF9" w:rsidTr="00296BF9">
        <w:trPr>
          <w:trHeight w:val="300"/>
        </w:trPr>
        <w:tc>
          <w:tcPr>
            <w:tcW w:w="4380" w:type="dxa"/>
            <w:tcBorders>
              <w:top w:val="nil"/>
              <w:left w:val="nil"/>
              <w:bottom w:val="single" w:sz="4" w:space="0" w:color="auto"/>
              <w:right w:val="nil"/>
            </w:tcBorders>
            <w:shd w:val="clear" w:color="auto" w:fill="auto"/>
            <w:vAlign w:val="bottom"/>
            <w:hideMark/>
          </w:tcPr>
          <w:p w:rsidR="00296BF9" w:rsidRPr="00296BF9" w:rsidRDefault="00296BF9" w:rsidP="00296BF9">
            <w:pPr>
              <w:rPr>
                <w:rFonts w:ascii="Arial" w:hAnsi="Arial" w:cs="Arial"/>
                <w:color w:val="000000"/>
                <w:sz w:val="18"/>
                <w:szCs w:val="18"/>
              </w:rPr>
            </w:pPr>
            <w:r w:rsidRPr="00296BF9">
              <w:rPr>
                <w:rFonts w:ascii="Arial" w:hAnsi="Arial" w:cs="Arial"/>
                <w:bCs/>
                <w:color w:val="000000"/>
                <w:sz w:val="18"/>
                <w:szCs w:val="18"/>
              </w:rPr>
              <w:t>Case is missing CPS data</w:t>
            </w:r>
          </w:p>
        </w:tc>
        <w:tc>
          <w:tcPr>
            <w:tcW w:w="1920" w:type="dxa"/>
            <w:tcBorders>
              <w:top w:val="nil"/>
              <w:left w:val="nil"/>
              <w:bottom w:val="single" w:sz="4" w:space="0" w:color="auto"/>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0.621</w:t>
            </w:r>
          </w:p>
        </w:tc>
        <w:tc>
          <w:tcPr>
            <w:tcW w:w="1920" w:type="dxa"/>
            <w:tcBorders>
              <w:top w:val="nil"/>
              <w:left w:val="nil"/>
              <w:bottom w:val="single" w:sz="4" w:space="0" w:color="auto"/>
              <w:right w:val="nil"/>
            </w:tcBorders>
            <w:shd w:val="clear" w:color="auto" w:fill="auto"/>
            <w:vAlign w:val="bottom"/>
            <w:hideMark/>
          </w:tcPr>
          <w:p w:rsidR="00296BF9" w:rsidRPr="00296BF9" w:rsidRDefault="00296BF9" w:rsidP="00296BF9">
            <w:pPr>
              <w:jc w:val="right"/>
              <w:rPr>
                <w:rFonts w:ascii="Arial" w:hAnsi="Arial" w:cs="Arial"/>
                <w:color w:val="000000"/>
                <w:sz w:val="18"/>
                <w:szCs w:val="18"/>
              </w:rPr>
            </w:pPr>
            <w:r w:rsidRPr="00296BF9">
              <w:rPr>
                <w:rFonts w:ascii="Arial" w:hAnsi="Arial" w:cs="Arial"/>
                <w:bCs/>
                <w:color w:val="000000"/>
                <w:sz w:val="18"/>
                <w:szCs w:val="18"/>
              </w:rPr>
              <w:t>0.732</w:t>
            </w:r>
          </w:p>
        </w:tc>
      </w:tr>
    </w:tbl>
    <w:p w:rsidR="00164B62" w:rsidRDefault="00164B62" w:rsidP="00164B62"/>
    <w:p w:rsidR="008210EE" w:rsidRDefault="008210EE" w:rsidP="00164B62">
      <w:pPr>
        <w:rPr>
          <w:bCs/>
          <w:i/>
        </w:rPr>
      </w:pPr>
    </w:p>
    <w:p w:rsidR="00164B62" w:rsidRPr="000520EB" w:rsidRDefault="00A01190" w:rsidP="00164B62">
      <w:pPr>
        <w:rPr>
          <w:bCs/>
          <w:i/>
        </w:rPr>
      </w:pPr>
      <w:r w:rsidRPr="00A01190">
        <w:rPr>
          <w:bCs/>
          <w:i/>
        </w:rPr>
        <w:t>Effects on bias of any differential response patterns</w:t>
      </w:r>
    </w:p>
    <w:p w:rsidR="00164B62" w:rsidRDefault="00164B62" w:rsidP="00164B62">
      <w:pPr>
        <w:ind w:firstLine="720"/>
      </w:pPr>
    </w:p>
    <w:p w:rsidR="00EF2EC7" w:rsidRDefault="00EF2EC7" w:rsidP="00164B62">
      <w:pPr>
        <w:ind w:firstLine="720"/>
      </w:pPr>
      <w:r>
        <w:t>T</w:t>
      </w:r>
      <w:r w:rsidR="00164B62" w:rsidRPr="00450CC6">
        <w:t>he primary goal of</w:t>
      </w:r>
      <w:r>
        <w:t xml:space="preserve"> our</w:t>
      </w:r>
      <w:r w:rsidR="00164B62">
        <w:t xml:space="preserve"> </w:t>
      </w:r>
      <w:r>
        <w:t>response propensity approach wa</w:t>
      </w:r>
      <w:r w:rsidR="00164B62" w:rsidRPr="00450CC6">
        <w:t xml:space="preserve">s to reduce bias in key estimates.  </w:t>
      </w:r>
      <w:r>
        <w:t>To determine if bias was reduced, w</w:t>
      </w:r>
      <w:r w:rsidR="00164B62" w:rsidRPr="00450CC6">
        <w:t>e examined actual differences between the low propensity experimental and control groups</w:t>
      </w:r>
      <w:r>
        <w:t xml:space="preserve"> across a range of variables. An example, focused on grant aid, appears in Table 2.</w:t>
      </w:r>
      <w:r>
        <w:br/>
      </w:r>
    </w:p>
    <w:p w:rsidR="00EF2EC7" w:rsidRDefault="00EF2EC7" w:rsidP="00EF2EC7">
      <w:pPr>
        <w:rPr>
          <w:rFonts w:ascii="Arial" w:hAnsi="Arial" w:cs="Arial"/>
          <w:bCs/>
          <w:color w:val="000000"/>
          <w:sz w:val="18"/>
          <w:szCs w:val="18"/>
        </w:rPr>
      </w:pPr>
      <w:r>
        <w:rPr>
          <w:rFonts w:ascii="Arial" w:hAnsi="Arial" w:cs="Arial"/>
          <w:bCs/>
          <w:color w:val="000000"/>
          <w:sz w:val="18"/>
          <w:szCs w:val="18"/>
        </w:rPr>
        <w:t xml:space="preserve">Table 2. </w:t>
      </w:r>
      <w:r w:rsidR="00A01190" w:rsidRPr="00A01190">
        <w:rPr>
          <w:rFonts w:ascii="Arial" w:hAnsi="Arial" w:cs="Arial"/>
          <w:bCs/>
          <w:color w:val="000000"/>
          <w:sz w:val="18"/>
          <w:szCs w:val="18"/>
        </w:rPr>
        <w:t>Estimates of Substantive Variables by Low Propensity Group</w:t>
      </w:r>
    </w:p>
    <w:p w:rsidR="00EF2EC7" w:rsidRDefault="00EF2EC7" w:rsidP="00EF2EC7">
      <w:pPr>
        <w:rPr>
          <w:rFonts w:ascii="Arial" w:hAnsi="Arial" w:cs="Arial"/>
          <w:bCs/>
          <w:color w:val="000000"/>
          <w:sz w:val="18"/>
          <w:szCs w:val="18"/>
        </w:rPr>
      </w:pPr>
    </w:p>
    <w:tbl>
      <w:tblPr>
        <w:tblW w:w="8220" w:type="dxa"/>
        <w:tblInd w:w="95" w:type="dxa"/>
        <w:tblLook w:val="04A0"/>
      </w:tblPr>
      <w:tblGrid>
        <w:gridCol w:w="4380"/>
        <w:gridCol w:w="2237"/>
        <w:gridCol w:w="1603"/>
      </w:tblGrid>
      <w:tr w:rsidR="00EF2EC7" w:rsidRPr="00EF2EC7" w:rsidTr="00EF2EC7">
        <w:trPr>
          <w:trHeight w:val="300"/>
        </w:trPr>
        <w:tc>
          <w:tcPr>
            <w:tcW w:w="4380" w:type="dxa"/>
            <w:tcBorders>
              <w:top w:val="single" w:sz="4" w:space="0" w:color="auto"/>
              <w:left w:val="nil"/>
              <w:bottom w:val="nil"/>
              <w:right w:val="nil"/>
            </w:tcBorders>
            <w:shd w:val="clear" w:color="auto" w:fill="auto"/>
            <w:noWrap/>
            <w:vAlign w:val="bottom"/>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 </w:t>
            </w:r>
          </w:p>
        </w:tc>
        <w:tc>
          <w:tcPr>
            <w:tcW w:w="3840" w:type="dxa"/>
            <w:gridSpan w:val="2"/>
            <w:tcBorders>
              <w:top w:val="single" w:sz="4" w:space="0" w:color="auto"/>
              <w:left w:val="nil"/>
              <w:bottom w:val="single" w:sz="4" w:space="0" w:color="auto"/>
              <w:right w:val="nil"/>
            </w:tcBorders>
            <w:shd w:val="clear" w:color="auto" w:fill="auto"/>
            <w:noWrap/>
            <w:vAlign w:val="bottom"/>
            <w:hideMark/>
          </w:tcPr>
          <w:p w:rsidR="00EF2EC7" w:rsidRPr="00EF2EC7" w:rsidRDefault="00EF2EC7" w:rsidP="00EF2EC7">
            <w:pPr>
              <w:jc w:val="center"/>
              <w:rPr>
                <w:rFonts w:ascii="Arial" w:hAnsi="Arial" w:cs="Arial"/>
                <w:color w:val="000000"/>
                <w:sz w:val="18"/>
                <w:szCs w:val="18"/>
              </w:rPr>
            </w:pPr>
            <w:r w:rsidRPr="00EF2EC7">
              <w:rPr>
                <w:rFonts w:ascii="Arial" w:hAnsi="Arial" w:cs="Arial"/>
                <w:color w:val="000000"/>
                <w:sz w:val="18"/>
                <w:szCs w:val="18"/>
              </w:rPr>
              <w:t>Low Propensity Group</w:t>
            </w:r>
          </w:p>
        </w:tc>
      </w:tr>
      <w:tr w:rsidR="00EF2EC7" w:rsidRPr="00EF2EC7" w:rsidTr="00EF2EC7">
        <w:trPr>
          <w:trHeight w:val="300"/>
        </w:trPr>
        <w:tc>
          <w:tcPr>
            <w:tcW w:w="4380" w:type="dxa"/>
            <w:tcBorders>
              <w:top w:val="nil"/>
              <w:left w:val="nil"/>
              <w:bottom w:val="single" w:sz="4" w:space="0" w:color="auto"/>
              <w:right w:val="nil"/>
            </w:tcBorders>
            <w:shd w:val="clear" w:color="auto" w:fill="auto"/>
            <w:noWrap/>
            <w:vAlign w:val="bottom"/>
            <w:hideMark/>
          </w:tcPr>
          <w:p w:rsidR="00EF2EC7" w:rsidRPr="00EF2EC7" w:rsidRDefault="00EF2EC7" w:rsidP="00EF2EC7">
            <w:pPr>
              <w:rPr>
                <w:rFonts w:ascii="Arial" w:hAnsi="Arial" w:cs="Arial"/>
                <w:color w:val="000000"/>
                <w:sz w:val="18"/>
                <w:szCs w:val="18"/>
              </w:rPr>
            </w:pPr>
            <w:r w:rsidRPr="00EF2EC7">
              <w:rPr>
                <w:rFonts w:ascii="Arial" w:hAnsi="Arial" w:cs="Arial"/>
                <w:color w:val="000000"/>
                <w:sz w:val="18"/>
                <w:szCs w:val="18"/>
              </w:rPr>
              <w:t>Variable</w:t>
            </w:r>
          </w:p>
        </w:tc>
        <w:tc>
          <w:tcPr>
            <w:tcW w:w="2237" w:type="dxa"/>
            <w:tcBorders>
              <w:top w:val="nil"/>
              <w:left w:val="nil"/>
              <w:bottom w:val="single" w:sz="4" w:space="0" w:color="auto"/>
              <w:right w:val="nil"/>
            </w:tcBorders>
            <w:shd w:val="clear" w:color="auto" w:fill="auto"/>
            <w:noWrap/>
            <w:vAlign w:val="bottom"/>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Treatment</w:t>
            </w:r>
          </w:p>
        </w:tc>
        <w:tc>
          <w:tcPr>
            <w:tcW w:w="1603" w:type="dxa"/>
            <w:tcBorders>
              <w:top w:val="nil"/>
              <w:left w:val="nil"/>
              <w:bottom w:val="single" w:sz="4" w:space="0" w:color="auto"/>
              <w:right w:val="nil"/>
            </w:tcBorders>
            <w:shd w:val="clear" w:color="auto" w:fill="auto"/>
            <w:noWrap/>
            <w:vAlign w:val="bottom"/>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Control</w:t>
            </w:r>
          </w:p>
        </w:tc>
      </w:tr>
      <w:tr w:rsidR="00EF2EC7" w:rsidRPr="00EF2EC7" w:rsidTr="00EF2EC7">
        <w:trPr>
          <w:trHeight w:val="300"/>
        </w:trPr>
        <w:tc>
          <w:tcPr>
            <w:tcW w:w="4380" w:type="dxa"/>
            <w:tcBorders>
              <w:top w:val="nil"/>
              <w:left w:val="nil"/>
              <w:bottom w:val="nil"/>
              <w:right w:val="nil"/>
            </w:tcBorders>
            <w:shd w:val="clear" w:color="auto" w:fill="auto"/>
            <w:noWrap/>
            <w:vAlign w:val="bottom"/>
            <w:hideMark/>
          </w:tcPr>
          <w:p w:rsidR="00EF2EC7" w:rsidRPr="00EF2EC7" w:rsidRDefault="00EF2EC7" w:rsidP="00EF2EC7">
            <w:pPr>
              <w:rPr>
                <w:rFonts w:ascii="Arial" w:hAnsi="Arial" w:cs="Arial"/>
                <w:color w:val="000000"/>
                <w:sz w:val="18"/>
                <w:szCs w:val="18"/>
              </w:rPr>
            </w:pPr>
            <w:r w:rsidRPr="00EF2EC7">
              <w:rPr>
                <w:rFonts w:ascii="Arial" w:hAnsi="Arial" w:cs="Arial"/>
                <w:color w:val="000000"/>
                <w:sz w:val="18"/>
                <w:szCs w:val="18"/>
              </w:rPr>
              <w:t>Percent Receiving an Employer Grant</w:t>
            </w:r>
          </w:p>
        </w:tc>
        <w:tc>
          <w:tcPr>
            <w:tcW w:w="2237" w:type="dxa"/>
            <w:tcBorders>
              <w:top w:val="nil"/>
              <w:left w:val="nil"/>
              <w:bottom w:val="nil"/>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8.4%</w:t>
            </w:r>
          </w:p>
        </w:tc>
        <w:tc>
          <w:tcPr>
            <w:tcW w:w="1603" w:type="dxa"/>
            <w:tcBorders>
              <w:top w:val="nil"/>
              <w:left w:val="nil"/>
              <w:bottom w:val="nil"/>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7.9%</w:t>
            </w:r>
          </w:p>
        </w:tc>
      </w:tr>
      <w:tr w:rsidR="00EF2EC7" w:rsidRPr="00EF2EC7" w:rsidTr="00EF2EC7">
        <w:trPr>
          <w:cantSplit/>
          <w:trHeight w:val="300"/>
        </w:trPr>
        <w:tc>
          <w:tcPr>
            <w:tcW w:w="4380" w:type="dxa"/>
            <w:tcBorders>
              <w:top w:val="nil"/>
              <w:left w:val="nil"/>
              <w:bottom w:val="nil"/>
              <w:right w:val="nil"/>
            </w:tcBorders>
            <w:shd w:val="clear" w:color="auto" w:fill="auto"/>
            <w:noWrap/>
            <w:vAlign w:val="bottom"/>
            <w:hideMark/>
          </w:tcPr>
          <w:p w:rsidR="00EF2EC7" w:rsidRPr="00EF2EC7" w:rsidRDefault="00EF2EC7" w:rsidP="00EF2EC7">
            <w:pPr>
              <w:rPr>
                <w:rFonts w:ascii="Arial" w:hAnsi="Arial" w:cs="Arial"/>
                <w:color w:val="000000"/>
                <w:sz w:val="18"/>
                <w:szCs w:val="18"/>
              </w:rPr>
            </w:pPr>
            <w:r w:rsidRPr="00EF2EC7">
              <w:rPr>
                <w:rFonts w:ascii="Arial" w:hAnsi="Arial" w:cs="Arial"/>
                <w:color w:val="000000"/>
                <w:sz w:val="18"/>
                <w:szCs w:val="18"/>
              </w:rPr>
              <w:t>Percent Receiving a Private Grant</w:t>
            </w:r>
          </w:p>
        </w:tc>
        <w:tc>
          <w:tcPr>
            <w:tcW w:w="2237" w:type="dxa"/>
            <w:tcBorders>
              <w:top w:val="nil"/>
              <w:left w:val="nil"/>
              <w:bottom w:val="nil"/>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22.4%</w:t>
            </w:r>
          </w:p>
        </w:tc>
        <w:tc>
          <w:tcPr>
            <w:tcW w:w="1603" w:type="dxa"/>
            <w:tcBorders>
              <w:top w:val="nil"/>
              <w:left w:val="nil"/>
              <w:bottom w:val="nil"/>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22.8%</w:t>
            </w:r>
          </w:p>
        </w:tc>
      </w:tr>
      <w:tr w:rsidR="00EF2EC7" w:rsidRPr="00EF2EC7" w:rsidTr="00EF2EC7">
        <w:trPr>
          <w:cantSplit/>
          <w:trHeight w:val="300"/>
        </w:trPr>
        <w:tc>
          <w:tcPr>
            <w:tcW w:w="4380" w:type="dxa"/>
            <w:tcBorders>
              <w:top w:val="nil"/>
              <w:left w:val="nil"/>
              <w:bottom w:val="single" w:sz="4" w:space="0" w:color="auto"/>
              <w:right w:val="nil"/>
            </w:tcBorders>
            <w:shd w:val="clear" w:color="auto" w:fill="auto"/>
            <w:noWrap/>
            <w:vAlign w:val="bottom"/>
            <w:hideMark/>
          </w:tcPr>
          <w:p w:rsidR="00EF2EC7" w:rsidRPr="00EF2EC7" w:rsidRDefault="00EF2EC7" w:rsidP="00EF2EC7">
            <w:pPr>
              <w:rPr>
                <w:rFonts w:ascii="Arial" w:hAnsi="Arial" w:cs="Arial"/>
                <w:color w:val="000000"/>
                <w:sz w:val="18"/>
                <w:szCs w:val="18"/>
              </w:rPr>
            </w:pPr>
            <w:r w:rsidRPr="00EF2EC7">
              <w:rPr>
                <w:rFonts w:ascii="Arial" w:hAnsi="Arial" w:cs="Arial"/>
                <w:color w:val="000000"/>
                <w:sz w:val="18"/>
                <w:szCs w:val="18"/>
              </w:rPr>
              <w:t>Percent Receiving Any Grant</w:t>
            </w:r>
          </w:p>
        </w:tc>
        <w:tc>
          <w:tcPr>
            <w:tcW w:w="2237" w:type="dxa"/>
            <w:tcBorders>
              <w:top w:val="nil"/>
              <w:left w:val="nil"/>
              <w:bottom w:val="single" w:sz="4" w:space="0" w:color="auto"/>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26.4%</w:t>
            </w:r>
          </w:p>
        </w:tc>
        <w:tc>
          <w:tcPr>
            <w:tcW w:w="1603" w:type="dxa"/>
            <w:tcBorders>
              <w:top w:val="nil"/>
              <w:left w:val="nil"/>
              <w:bottom w:val="single" w:sz="4" w:space="0" w:color="auto"/>
              <w:right w:val="nil"/>
            </w:tcBorders>
            <w:shd w:val="clear" w:color="auto" w:fill="auto"/>
            <w:noWrap/>
            <w:hideMark/>
          </w:tcPr>
          <w:p w:rsidR="00EF2EC7" w:rsidRPr="00EF2EC7" w:rsidRDefault="00EF2EC7" w:rsidP="00EF2EC7">
            <w:pPr>
              <w:jc w:val="right"/>
              <w:rPr>
                <w:rFonts w:ascii="Arial" w:hAnsi="Arial" w:cs="Arial"/>
                <w:color w:val="000000"/>
                <w:sz w:val="18"/>
                <w:szCs w:val="18"/>
              </w:rPr>
            </w:pPr>
            <w:r w:rsidRPr="00EF2EC7">
              <w:rPr>
                <w:rFonts w:ascii="Arial" w:hAnsi="Arial" w:cs="Arial"/>
                <w:color w:val="000000"/>
                <w:sz w:val="18"/>
                <w:szCs w:val="18"/>
              </w:rPr>
              <w:t>26.4%</w:t>
            </w:r>
          </w:p>
        </w:tc>
      </w:tr>
    </w:tbl>
    <w:p w:rsidR="00EF2EC7" w:rsidRPr="00EF2EC7" w:rsidRDefault="00EF2EC7" w:rsidP="00EF2EC7">
      <w:pPr>
        <w:rPr>
          <w:rFonts w:ascii="Arial" w:hAnsi="Arial" w:cs="Arial"/>
          <w:bCs/>
          <w:color w:val="000000"/>
          <w:sz w:val="18"/>
          <w:szCs w:val="18"/>
        </w:rPr>
      </w:pPr>
    </w:p>
    <w:p w:rsidR="00164B62" w:rsidRPr="00450CC6" w:rsidRDefault="00164B62" w:rsidP="00164B62">
      <w:pPr>
        <w:ind w:firstLine="720"/>
      </w:pPr>
      <w:r w:rsidRPr="00450CC6">
        <w:t xml:space="preserve">  </w:t>
      </w:r>
    </w:p>
    <w:p w:rsidR="003308B7" w:rsidRDefault="00164B62">
      <w:pPr>
        <w:ind w:firstLine="720"/>
      </w:pPr>
      <w:r w:rsidRPr="00450CC6">
        <w:t>The</w:t>
      </w:r>
      <w:r w:rsidR="003D5E60">
        <w:t xml:space="preserve"> </w:t>
      </w:r>
      <w:r w:rsidRPr="00450CC6">
        <w:t xml:space="preserve">results </w:t>
      </w:r>
      <w:r w:rsidR="003D5E60">
        <w:t xml:space="preserve">highlighted above are indicative of </w:t>
      </w:r>
      <w:r w:rsidRPr="00450CC6">
        <w:t>all of the key variables we examined.  The weighted estimate</w:t>
      </w:r>
      <w:r>
        <w:t>s</w:t>
      </w:r>
      <w:r w:rsidRPr="00450CC6">
        <w:t xml:space="preserve"> in both the low propensity control and treatment groups are virtually identical</w:t>
      </w:r>
      <w:r w:rsidR="003D5E60">
        <w:t>,</w:t>
      </w:r>
      <w:r w:rsidRPr="00450CC6">
        <w:t xml:space="preserve"> suggesting that </w:t>
      </w:r>
      <w:r w:rsidR="003D5E60">
        <w:t xml:space="preserve">differential incentives </w:t>
      </w:r>
      <w:r w:rsidRPr="00450CC6">
        <w:t xml:space="preserve">did not have any effect on bias in this variable.  </w:t>
      </w:r>
    </w:p>
    <w:p w:rsidR="00EF2EC7" w:rsidRDefault="00EF2EC7" w:rsidP="00164B62"/>
    <w:p w:rsidR="00EF2EC7" w:rsidRDefault="003D5E60" w:rsidP="008210EE">
      <w:r>
        <w:tab/>
        <w:t xml:space="preserve">Although this experiment was not designed to increase response rates </w:t>
      </w:r>
      <w:r>
        <w:rPr>
          <w:i/>
        </w:rPr>
        <w:t>per se</w:t>
      </w:r>
      <w:r>
        <w:t xml:space="preserve">, response rates by incentive amount within propensity groups were tested. Within the low propensity group, no statistically </w:t>
      </w:r>
      <w:r>
        <w:lastRenderedPageBreak/>
        <w:t>significant difference between experimental and control groups was noted</w:t>
      </w:r>
      <w:r w:rsidR="008210EE">
        <w:t xml:space="preserve"> χ2 = 2.527, </w:t>
      </w:r>
      <w:r>
        <w:t>p &gt; .05</w:t>
      </w:r>
      <w:r w:rsidR="008210EE">
        <w:t xml:space="preserve">). </w:t>
      </w:r>
      <w:r w:rsidR="00EF2EC7">
        <w:t>However, t</w:t>
      </w:r>
      <w:r w:rsidR="00EF2EC7" w:rsidRPr="00450CC6">
        <w:t xml:space="preserve">he difference observed between high propensity control and treatment </w:t>
      </w:r>
      <w:r w:rsidR="00EF2EC7">
        <w:t xml:space="preserve">groups </w:t>
      </w:r>
      <w:r w:rsidR="00EF2EC7" w:rsidRPr="00450CC6">
        <w:t>was st</w:t>
      </w:r>
      <w:r w:rsidR="00EF2EC7">
        <w:t>atist</w:t>
      </w:r>
      <w:r w:rsidR="008210EE">
        <w:t>ically significant, with lower incentives being associated with lower response rates (χ2 = 13.576,</w:t>
      </w:r>
      <w:r w:rsidR="00EF2EC7">
        <w:t xml:space="preserve"> p &lt; .0</w:t>
      </w:r>
      <w:r w:rsidR="008210EE">
        <w:t xml:space="preserve">01). </w:t>
      </w:r>
    </w:p>
    <w:p w:rsidR="00D964E4" w:rsidRDefault="00D964E4" w:rsidP="008210EE"/>
    <w:p w:rsidR="001F12F2" w:rsidRDefault="00D964E4">
      <w:pPr>
        <w:pStyle w:val="BodyText"/>
        <w:jc w:val="left"/>
        <w:rPr>
          <w:b w:val="0"/>
          <w:bCs w:val="0"/>
        </w:rPr>
      </w:pPr>
      <w:r>
        <w:tab/>
      </w:r>
      <w:r w:rsidRPr="00D10131">
        <w:rPr>
          <w:b w:val="0"/>
          <w:bCs w:val="0"/>
        </w:rPr>
        <w:t xml:space="preserve">While </w:t>
      </w:r>
      <w:proofErr w:type="spellStart"/>
      <w:r w:rsidRPr="00D10131">
        <w:rPr>
          <w:b w:val="0"/>
          <w:bCs w:val="0"/>
        </w:rPr>
        <w:t>paradata</w:t>
      </w:r>
      <w:proofErr w:type="spellEnd"/>
      <w:r w:rsidRPr="00D10131">
        <w:rPr>
          <w:b w:val="0"/>
          <w:bCs w:val="0"/>
        </w:rPr>
        <w:t xml:space="preserve"> could not be included in the response propensity model (it was developed before data collection), we investigate</w:t>
      </w:r>
      <w:r w:rsidR="00204EC3" w:rsidRPr="00D10131">
        <w:rPr>
          <w:b w:val="0"/>
          <w:bCs w:val="0"/>
        </w:rPr>
        <w:t>d</w:t>
      </w:r>
      <w:r w:rsidRPr="00D10131">
        <w:rPr>
          <w:b w:val="0"/>
          <w:bCs w:val="0"/>
        </w:rPr>
        <w:t xml:space="preserve"> four </w:t>
      </w:r>
      <w:proofErr w:type="spellStart"/>
      <w:r w:rsidRPr="00D10131">
        <w:rPr>
          <w:b w:val="0"/>
          <w:bCs w:val="0"/>
        </w:rPr>
        <w:t>paradata</w:t>
      </w:r>
      <w:proofErr w:type="spellEnd"/>
      <w:r w:rsidRPr="00D10131">
        <w:rPr>
          <w:b w:val="0"/>
          <w:bCs w:val="0"/>
        </w:rPr>
        <w:t xml:space="preserve"> variables after data collection. The goal was to determine how valuable </w:t>
      </w:r>
      <w:proofErr w:type="spellStart"/>
      <w:r w:rsidRPr="00D10131">
        <w:rPr>
          <w:b w:val="0"/>
          <w:bCs w:val="0"/>
        </w:rPr>
        <w:t>paradata</w:t>
      </w:r>
      <w:proofErr w:type="spellEnd"/>
      <w:r w:rsidRPr="00D10131">
        <w:rPr>
          <w:b w:val="0"/>
          <w:bCs w:val="0"/>
        </w:rPr>
        <w:t xml:space="preserve"> could be in predicting response propensity. T</w:t>
      </w:r>
      <w:r w:rsidR="00D10131" w:rsidRPr="00D10131">
        <w:rPr>
          <w:b w:val="0"/>
          <w:bCs w:val="0"/>
        </w:rPr>
        <w:t>he four variables examined were:</w:t>
      </w:r>
    </w:p>
    <w:p w:rsidR="001F12F2" w:rsidRDefault="00D964E4">
      <w:pPr>
        <w:pStyle w:val="bulletround"/>
        <w:numPr>
          <w:ilvl w:val="0"/>
          <w:numId w:val="29"/>
        </w:numPr>
      </w:pPr>
      <w:r>
        <w:t>A positive match to the NCOA database meaning the sample member had an address change</w:t>
      </w:r>
    </w:p>
    <w:p w:rsidR="001F12F2" w:rsidRDefault="00D964E4">
      <w:pPr>
        <w:pStyle w:val="bulletround"/>
        <w:numPr>
          <w:ilvl w:val="0"/>
          <w:numId w:val="29"/>
        </w:numPr>
      </w:pPr>
      <w:r>
        <w:t>The number of valid email addresses on file</w:t>
      </w:r>
    </w:p>
    <w:p w:rsidR="001F12F2" w:rsidRDefault="00D964E4">
      <w:pPr>
        <w:pStyle w:val="bulletround"/>
        <w:numPr>
          <w:ilvl w:val="0"/>
          <w:numId w:val="29"/>
        </w:numPr>
      </w:pPr>
      <w:r>
        <w:t>If the sample member ever logged in and then quit at the beginning of the survey</w:t>
      </w:r>
    </w:p>
    <w:p w:rsidR="001F12F2" w:rsidRDefault="00D964E4">
      <w:pPr>
        <w:pStyle w:val="bulletround"/>
        <w:numPr>
          <w:ilvl w:val="0"/>
          <w:numId w:val="29"/>
        </w:numPr>
      </w:pPr>
      <w:r>
        <w:t xml:space="preserve">If the sample member was ever far enough along to be considered a partial complete </w:t>
      </w:r>
    </w:p>
    <w:p w:rsidR="005C415F" w:rsidRDefault="005C415F">
      <w:pPr>
        <w:pStyle w:val="BodyText"/>
        <w:ind w:firstLine="720"/>
        <w:jc w:val="left"/>
        <w:rPr>
          <w:b w:val="0"/>
          <w:bCs w:val="0"/>
        </w:rPr>
      </w:pPr>
    </w:p>
    <w:p w:rsidR="001F12F2" w:rsidRDefault="00D964E4">
      <w:pPr>
        <w:pStyle w:val="BodyText"/>
        <w:ind w:firstLine="720"/>
        <w:jc w:val="left"/>
        <w:rPr>
          <w:b w:val="0"/>
          <w:bCs w:val="0"/>
        </w:rPr>
      </w:pPr>
      <w:r w:rsidRPr="00D10131">
        <w:rPr>
          <w:b w:val="0"/>
          <w:bCs w:val="0"/>
        </w:rPr>
        <w:t>The last two variables contained little variation so the analysis focused on NCOA matches and the number of emails on file. We first investigated how a match to the NCOA database and the number of valid email addresses could improve the predictive ability of our original model. The odds ratios showed that these variables would improve the predictive ability of the model. For a match to the NCOA database, the odds ratio predicting response outcome is .817 (confidence interval, .679 to .983).</w:t>
      </w:r>
      <w:r w:rsidR="00204EC3" w:rsidRPr="00D10131">
        <w:rPr>
          <w:b w:val="0"/>
          <w:bCs w:val="0"/>
        </w:rPr>
        <w:t xml:space="preserve"> This odds ratio value indicated that a match to NCOA made</w:t>
      </w:r>
      <w:r w:rsidRPr="00D10131">
        <w:rPr>
          <w:b w:val="0"/>
          <w:bCs w:val="0"/>
        </w:rPr>
        <w:t xml:space="preserve"> a case significantly less likely to be a respondent</w:t>
      </w:r>
      <w:r w:rsidR="00204EC3" w:rsidRPr="00D10131">
        <w:rPr>
          <w:b w:val="0"/>
          <w:bCs w:val="0"/>
        </w:rPr>
        <w:t>. For the number of valid email</w:t>
      </w:r>
      <w:r w:rsidRPr="00D10131">
        <w:rPr>
          <w:b w:val="0"/>
          <w:bCs w:val="0"/>
        </w:rPr>
        <w:t xml:space="preserve"> addresses on file, the odds ratio predicting response outcome is 1.231 (confidence interval, 1.116 to 1.357). This </w:t>
      </w:r>
      <w:r w:rsidR="00204EC3" w:rsidRPr="00D10131">
        <w:rPr>
          <w:b w:val="0"/>
          <w:bCs w:val="0"/>
        </w:rPr>
        <w:t>odds ratio value indicated</w:t>
      </w:r>
      <w:r w:rsidRPr="00D10131">
        <w:rPr>
          <w:b w:val="0"/>
          <w:bCs w:val="0"/>
        </w:rPr>
        <w:t xml:space="preserve"> that the </w:t>
      </w:r>
      <w:r w:rsidR="00204EC3" w:rsidRPr="00D10131">
        <w:rPr>
          <w:b w:val="0"/>
          <w:bCs w:val="0"/>
        </w:rPr>
        <w:t xml:space="preserve">more </w:t>
      </w:r>
      <w:r w:rsidRPr="00D10131">
        <w:rPr>
          <w:b w:val="0"/>
          <w:bCs w:val="0"/>
        </w:rPr>
        <w:t xml:space="preserve">email addresses on file </w:t>
      </w:r>
      <w:r w:rsidR="00204EC3" w:rsidRPr="00D10131">
        <w:rPr>
          <w:b w:val="0"/>
          <w:bCs w:val="0"/>
        </w:rPr>
        <w:t xml:space="preserve">the </w:t>
      </w:r>
      <w:r w:rsidRPr="00D10131">
        <w:rPr>
          <w:b w:val="0"/>
          <w:bCs w:val="0"/>
        </w:rPr>
        <w:t xml:space="preserve">more likely </w:t>
      </w:r>
      <w:r w:rsidR="00A54EBE" w:rsidRPr="00D10131">
        <w:rPr>
          <w:b w:val="0"/>
          <w:bCs w:val="0"/>
        </w:rPr>
        <w:t>the case wa</w:t>
      </w:r>
      <w:r w:rsidR="00204EC3" w:rsidRPr="00D10131">
        <w:rPr>
          <w:b w:val="0"/>
          <w:bCs w:val="0"/>
        </w:rPr>
        <w:t xml:space="preserve">s </w:t>
      </w:r>
      <w:r w:rsidRPr="00D10131">
        <w:rPr>
          <w:b w:val="0"/>
          <w:bCs w:val="0"/>
        </w:rPr>
        <w:t xml:space="preserve">to be a respondent. </w:t>
      </w:r>
    </w:p>
    <w:p w:rsidR="00C1044C" w:rsidRDefault="00C1044C">
      <w:pPr>
        <w:pStyle w:val="BodyText"/>
        <w:ind w:firstLine="720"/>
        <w:jc w:val="left"/>
        <w:rPr>
          <w:b w:val="0"/>
          <w:bCs w:val="0"/>
        </w:rPr>
      </w:pPr>
    </w:p>
    <w:p w:rsidR="001F12F2" w:rsidRDefault="00D964E4">
      <w:pPr>
        <w:ind w:firstLine="720"/>
        <w:rPr>
          <w:bCs/>
          <w:snapToGrid w:val="0"/>
        </w:rPr>
      </w:pPr>
      <w:r>
        <w:t xml:space="preserve">Of interest is also how these </w:t>
      </w:r>
      <w:r w:rsidR="00A54EBE">
        <w:t xml:space="preserve">same </w:t>
      </w:r>
      <w:r>
        <w:t xml:space="preserve">variables impacted response among low propensity respondents. </w:t>
      </w:r>
      <w:r w:rsidR="008A7CE5">
        <w:t xml:space="preserve"> </w:t>
      </w:r>
      <w:r>
        <w:t xml:space="preserve">For </w:t>
      </w:r>
      <w:r w:rsidR="00204EC3">
        <w:t>low propensity respondents, 42.4</w:t>
      </w:r>
      <w:r>
        <w:t xml:space="preserve"> percent had multiple emails whereas 30.</w:t>
      </w:r>
      <w:r w:rsidR="00204EC3">
        <w:t>7</w:t>
      </w:r>
      <w:r>
        <w:t xml:space="preserve"> percent of low propensity </w:t>
      </w:r>
      <w:proofErr w:type="spellStart"/>
      <w:r>
        <w:t>nonrespondents</w:t>
      </w:r>
      <w:proofErr w:type="spellEnd"/>
      <w:r>
        <w:t xml:space="preserve"> had multiple emails. </w:t>
      </w:r>
      <w:r w:rsidR="00A54EBE">
        <w:t xml:space="preserve">Differences evaluated based on </w:t>
      </w:r>
      <w:r>
        <w:t>NCOA match</w:t>
      </w:r>
      <w:r w:rsidR="00A54EBE">
        <w:t xml:space="preserve"> were not statistically significant</w:t>
      </w:r>
      <w:r>
        <w:t xml:space="preserve">. </w:t>
      </w:r>
      <w:r w:rsidR="00A54EBE">
        <w:t xml:space="preserve">  Therefore, i</w:t>
      </w:r>
      <w:r w:rsidR="00BD2A45">
        <w:t>f the response propensity approach were being proposed for the NPSAS:12 full-scale data collection, t</w:t>
      </w:r>
      <w:r>
        <w:t xml:space="preserve">he number of email addresses on file could </w:t>
      </w:r>
      <w:r w:rsidR="00BD2A45">
        <w:t>help</w:t>
      </w:r>
      <w:r>
        <w:t xml:space="preserve"> to </w:t>
      </w:r>
      <w:r w:rsidR="00BD2A45">
        <w:t xml:space="preserve">assign cases to </w:t>
      </w:r>
      <w:r>
        <w:t>high and low propensity</w:t>
      </w:r>
      <w:r w:rsidR="00BD2A45">
        <w:t xml:space="preserve"> groups</w:t>
      </w:r>
      <w:r>
        <w:t xml:space="preserve">. </w:t>
      </w:r>
      <w:r w:rsidR="00BD2A45">
        <w:t xml:space="preserve"> </w:t>
      </w:r>
    </w:p>
    <w:p w:rsidR="00150A36" w:rsidRDefault="00150A36">
      <w:pPr>
        <w:rPr>
          <w:bCs/>
          <w:i/>
        </w:rPr>
      </w:pPr>
    </w:p>
    <w:p w:rsidR="003308B7" w:rsidRDefault="00A01190">
      <w:pPr>
        <w:rPr>
          <w:bCs/>
          <w:i/>
        </w:rPr>
      </w:pPr>
      <w:r w:rsidRPr="00A01190">
        <w:rPr>
          <w:bCs/>
          <w:i/>
        </w:rPr>
        <w:t>Cost effectiveness of the tested approaches</w:t>
      </w:r>
    </w:p>
    <w:p w:rsidR="00450CC6" w:rsidRPr="00450CC6" w:rsidRDefault="00450CC6" w:rsidP="00450CC6"/>
    <w:p w:rsidR="00450CC6" w:rsidRDefault="00002263" w:rsidP="00002263">
      <w:pPr>
        <w:ind w:firstLine="720"/>
      </w:pPr>
      <w:r>
        <w:t>In response to OMB concerns expressed during the field test</w:t>
      </w:r>
      <w:r w:rsidR="0087130D">
        <w:t xml:space="preserve"> clearance process</w:t>
      </w:r>
      <w:r>
        <w:t xml:space="preserve">, we analyzed costs of different incentive plans relative to the </w:t>
      </w:r>
      <w:r w:rsidR="00CF418E">
        <w:t>method employed</w:t>
      </w:r>
      <w:r>
        <w:t xml:space="preserve"> in the field test.  T</w:t>
      </w:r>
      <w:r w:rsidR="00450CC6" w:rsidRPr="00450CC6">
        <w:t xml:space="preserve">he approach </w:t>
      </w:r>
      <w:r w:rsidR="007A10B5">
        <w:t xml:space="preserve">used in the field test </w:t>
      </w:r>
      <w:r w:rsidR="00450CC6" w:rsidRPr="00450CC6">
        <w:t xml:space="preserve">cost </w:t>
      </w:r>
      <w:r w:rsidR="007A10B5">
        <w:t xml:space="preserve">a total </w:t>
      </w:r>
      <w:r w:rsidR="00450CC6" w:rsidRPr="00450CC6">
        <w:t>of $70,800</w:t>
      </w:r>
      <w:r w:rsidR="007A10B5">
        <w:t xml:space="preserve"> in incentives</w:t>
      </w:r>
      <w:r w:rsidR="00450CC6" w:rsidRPr="00450CC6">
        <w:t xml:space="preserve">.  </w:t>
      </w:r>
      <w:r w:rsidR="007A10B5">
        <w:t xml:space="preserve">Had </w:t>
      </w:r>
      <w:r w:rsidR="00450CC6" w:rsidRPr="00450CC6">
        <w:t xml:space="preserve">all high propensity cases </w:t>
      </w:r>
      <w:r w:rsidR="007A10B5">
        <w:t xml:space="preserve">been </w:t>
      </w:r>
      <w:r w:rsidR="00450CC6" w:rsidRPr="00450CC6">
        <w:t xml:space="preserve">given $30, </w:t>
      </w:r>
      <w:r w:rsidR="007A10B5">
        <w:t xml:space="preserve">rather than experimenting with a $15 incentive amount for cases likely to participate, </w:t>
      </w:r>
      <w:r w:rsidR="00450CC6" w:rsidRPr="00450CC6">
        <w:t xml:space="preserve">incentive costs would have been $88,930.  </w:t>
      </w:r>
      <w:r w:rsidR="007A10B5">
        <w:t>H</w:t>
      </w:r>
      <w:r w:rsidR="00450CC6" w:rsidRPr="00450CC6">
        <w:t xml:space="preserve">ad </w:t>
      </w:r>
      <w:r w:rsidR="007A10B5">
        <w:t xml:space="preserve">we </w:t>
      </w:r>
      <w:r w:rsidR="00450CC6" w:rsidRPr="00450CC6">
        <w:t xml:space="preserve">given $50 to all students in private for profit </w:t>
      </w:r>
      <w:r w:rsidR="007A10B5">
        <w:t xml:space="preserve">institutions </w:t>
      </w:r>
      <w:r w:rsidR="00450CC6" w:rsidRPr="00450CC6">
        <w:t>(</w:t>
      </w:r>
      <w:r w:rsidR="007A10B5">
        <w:t xml:space="preserve">the institutions which showed the </w:t>
      </w:r>
      <w:r w:rsidR="00450CC6" w:rsidRPr="00450CC6">
        <w:t xml:space="preserve">lowest propensity </w:t>
      </w:r>
      <w:r w:rsidR="007A10B5">
        <w:t>rates overall</w:t>
      </w:r>
      <w:r w:rsidR="00450CC6" w:rsidRPr="00450CC6">
        <w:t xml:space="preserve">) and $30 to </w:t>
      </w:r>
      <w:r w:rsidR="007A10B5">
        <w:t>students in all other institutions</w:t>
      </w:r>
      <w:r w:rsidR="00450CC6" w:rsidRPr="00450CC6">
        <w:t xml:space="preserve">, incentive costs would have been $94,430.  If we had given $30 to all four year </w:t>
      </w:r>
      <w:r w:rsidR="007A10B5">
        <w:t xml:space="preserve">institutions </w:t>
      </w:r>
      <w:r w:rsidR="00450CC6" w:rsidRPr="00450CC6">
        <w:t>(</w:t>
      </w:r>
      <w:r w:rsidR="007A10B5">
        <w:t xml:space="preserve">those with the </w:t>
      </w:r>
      <w:r w:rsidR="00450CC6" w:rsidRPr="00450CC6">
        <w:t xml:space="preserve">highest propensity </w:t>
      </w:r>
      <w:r w:rsidR="007A10B5">
        <w:t>rates overall</w:t>
      </w:r>
      <w:r w:rsidR="00450CC6" w:rsidRPr="00450CC6">
        <w:t xml:space="preserve">) and $50 to </w:t>
      </w:r>
      <w:r w:rsidR="00450CC6" w:rsidRPr="008A7CE5">
        <w:t>everyone else, incentive costs would have been $107,670.</w:t>
      </w:r>
    </w:p>
    <w:p w:rsidR="00C1044C" w:rsidRPr="008A7CE5" w:rsidRDefault="00C1044C" w:rsidP="00002263">
      <w:pPr>
        <w:ind w:firstLine="720"/>
      </w:pPr>
    </w:p>
    <w:p w:rsidR="00F6376D" w:rsidRPr="008A7CE5" w:rsidRDefault="006C4B87" w:rsidP="00D51340">
      <w:pPr>
        <w:ind w:firstLine="720"/>
        <w:rPr>
          <w:rFonts w:asciiTheme="majorBidi" w:hAnsiTheme="majorBidi" w:cstheme="majorBidi"/>
          <w:color w:val="000000" w:themeColor="text1"/>
        </w:rPr>
      </w:pPr>
      <w:r w:rsidRPr="006C4B87">
        <w:rPr>
          <w:rFonts w:asciiTheme="majorBidi" w:hAnsiTheme="majorBidi" w:cstheme="majorBidi"/>
          <w:color w:val="000000" w:themeColor="text1"/>
        </w:rPr>
        <w:t xml:space="preserve">The terms of OMB clearance requested that </w:t>
      </w:r>
      <w:r w:rsidR="00E77498" w:rsidRPr="008A7CE5">
        <w:rPr>
          <w:rFonts w:asciiTheme="majorBidi" w:hAnsiTheme="majorBidi" w:cstheme="majorBidi"/>
          <w:color w:val="000000" w:themeColor="text1"/>
        </w:rPr>
        <w:t xml:space="preserve">a cost </w:t>
      </w:r>
      <w:r w:rsidRPr="006C4B87">
        <w:rPr>
          <w:rFonts w:asciiTheme="majorBidi" w:hAnsiTheme="majorBidi" w:cstheme="majorBidi"/>
          <w:color w:val="000000" w:themeColor="text1"/>
        </w:rPr>
        <w:t xml:space="preserve">“analysis should include a separate discussion of differences in both number of cases that would have switched conditions and the cost difference, if the design had included offering the same incentive to all participants within a single institution…”  To ensure that all low propensity cases receive the higher incentive amounts, all cases within an institution were set to “low propensity” if at least one low propensity case was identified at the institution.  In total, 3,897 cases would be eligible for the low propensity incentive amounts ($30 for low propensity control; </w:t>
      </w:r>
      <w:r w:rsidRPr="006C4B87">
        <w:rPr>
          <w:rFonts w:asciiTheme="majorBidi" w:hAnsiTheme="majorBidi" w:cstheme="majorBidi"/>
          <w:color w:val="000000" w:themeColor="text1"/>
        </w:rPr>
        <w:lastRenderedPageBreak/>
        <w:t xml:space="preserve">$45 for low propensity experimental) for an approximate cost of $146,145 (assigning entire institutions to either the experimental or control group).  Of these cases, 2,497 were originally modeled to be high propensity and, therefore, would switch conditions into the low propensity group.  Only 693 cases were high propensity, for a total cost of $15,585.  Total cost of this field test incentive plan would have been $161,730.  </w:t>
      </w:r>
    </w:p>
    <w:p w:rsidR="00EF2EC7" w:rsidRPr="00450CC6" w:rsidRDefault="00EF2EC7" w:rsidP="00450CC6"/>
    <w:p w:rsidR="00450CC6" w:rsidRPr="000520EB" w:rsidRDefault="000520EB" w:rsidP="00450CC6">
      <w:pPr>
        <w:rPr>
          <w:bCs/>
          <w:i/>
        </w:rPr>
      </w:pPr>
      <w:r>
        <w:rPr>
          <w:bCs/>
          <w:i/>
        </w:rPr>
        <w:t>Plans for full-scale data collection</w:t>
      </w:r>
    </w:p>
    <w:p w:rsidR="00450CC6" w:rsidRPr="00450CC6" w:rsidRDefault="00450CC6" w:rsidP="00450CC6">
      <w:pPr>
        <w:rPr>
          <w:b/>
          <w:bCs/>
        </w:rPr>
      </w:pPr>
    </w:p>
    <w:p w:rsidR="003308B7" w:rsidRDefault="00D07FA6" w:rsidP="00602EA4">
      <w:pPr>
        <w:ind w:firstLine="720"/>
      </w:pPr>
      <w:r>
        <w:t>Given the equivocal results of the response propensity experiment</w:t>
      </w:r>
      <w:r w:rsidR="007451A6">
        <w:t xml:space="preserve"> and the apparent lack of effectiveness of a monetary treatment</w:t>
      </w:r>
      <w:r>
        <w:t>, RTI International is proposing to simplify the incentive plan for the NPSAS:12 full</w:t>
      </w:r>
      <w:r w:rsidR="007451A6">
        <w:t>-</w:t>
      </w:r>
      <w:r>
        <w:t>scale data collection</w:t>
      </w:r>
      <w:r w:rsidR="007451A6">
        <w:t>: r</w:t>
      </w:r>
      <w:r>
        <w:t xml:space="preserve">ather than offering different incentive amounts based on modeled propensity, </w:t>
      </w:r>
      <w:r w:rsidR="00CF418E">
        <w:t>a $30 i</w:t>
      </w:r>
      <w:r>
        <w:t xml:space="preserve">ncentive will be offered </w:t>
      </w:r>
      <w:r w:rsidR="00CF418E">
        <w:t xml:space="preserve">to </w:t>
      </w:r>
      <w:r>
        <w:t xml:space="preserve">all students.  </w:t>
      </w:r>
      <w:r w:rsidR="00AE20C8">
        <w:t>(Note that w</w:t>
      </w:r>
      <w:r w:rsidR="00AE20C8" w:rsidRPr="00450CC6">
        <w:t xml:space="preserve">e did not receive any complaints </w:t>
      </w:r>
      <w:r w:rsidR="00AE20C8">
        <w:t xml:space="preserve">about </w:t>
      </w:r>
      <w:r w:rsidR="00AE20C8" w:rsidRPr="00450CC6">
        <w:t xml:space="preserve">different incentive </w:t>
      </w:r>
      <w:r w:rsidR="00AE20C8">
        <w:t xml:space="preserve">amounts being offered </w:t>
      </w:r>
      <w:r w:rsidR="00AE20C8" w:rsidRPr="00450CC6">
        <w:t>within the same institution</w:t>
      </w:r>
      <w:r w:rsidR="00AE20C8">
        <w:t xml:space="preserve"> during the field test</w:t>
      </w:r>
      <w:r w:rsidR="00AE20C8" w:rsidRPr="00450CC6">
        <w:t>.</w:t>
      </w:r>
      <w:r w:rsidR="00AE20C8">
        <w:t>)</w:t>
      </w:r>
      <w:r w:rsidR="009B0AEC">
        <w:t xml:space="preserve">  As a result, no </w:t>
      </w:r>
      <w:r w:rsidR="00602EA4">
        <w:t xml:space="preserve">pre-data collection </w:t>
      </w:r>
      <w:r w:rsidR="009B0AEC">
        <w:t xml:space="preserve">modeling of either responses or </w:t>
      </w:r>
      <w:proofErr w:type="spellStart"/>
      <w:r w:rsidR="009B0AEC">
        <w:t>paradata</w:t>
      </w:r>
      <w:proofErr w:type="spellEnd"/>
      <w:r w:rsidR="009B0AEC">
        <w:t xml:space="preserve"> would be required.</w:t>
      </w:r>
    </w:p>
    <w:p w:rsidR="003308B7" w:rsidRDefault="003308B7">
      <w:pPr>
        <w:ind w:firstLine="720"/>
      </w:pPr>
    </w:p>
    <w:p w:rsidR="00450CC6" w:rsidRPr="00A738C5" w:rsidRDefault="00524385" w:rsidP="00A738C5">
      <w:pPr>
        <w:ind w:firstLine="720"/>
        <w:rPr>
          <w:color w:val="000000"/>
        </w:rPr>
      </w:pPr>
      <w:r>
        <w:rPr>
          <w:color w:val="000000"/>
        </w:rPr>
        <w:t xml:space="preserve">Because </w:t>
      </w:r>
      <w:proofErr w:type="spellStart"/>
      <w:r>
        <w:rPr>
          <w:color w:val="000000"/>
        </w:rPr>
        <w:t>nonresponse</w:t>
      </w:r>
      <w:proofErr w:type="spellEnd"/>
      <w:r>
        <w:rPr>
          <w:color w:val="000000"/>
        </w:rPr>
        <w:t xml:space="preserve"> still threatens to introduce bias in study estimates, RTI will customize their data collection approach according to response likelihood, or propensity.  A review of prior NPSAS data collections suggests institution sector (e.g., public, 2-year) can serve as a reasonable proxy for response propensity, therefore RTI will customize their approach accordingly.  For example, students in public, 4-year institutions, with historically higher response rates, will be approached via the typical data collection plan: three weeks of online-only interviewing followed by outbound calling to </w:t>
      </w:r>
      <w:proofErr w:type="spellStart"/>
      <w:r>
        <w:rPr>
          <w:color w:val="000000"/>
        </w:rPr>
        <w:t>nonrespondents</w:t>
      </w:r>
      <w:proofErr w:type="spellEnd"/>
      <w:r>
        <w:rPr>
          <w:color w:val="000000"/>
        </w:rPr>
        <w:t>.  In contrast, students in institutions with historically lower response rates and a lower likelihood of responding online, will move immediately to outbound calling, shortening the time to initial contact and, if necessary, referral to intensive tracing.  While all students will be offered the same $30 incentive and receive the same data collection materials (i.e., letters, postcards, emails), the timing and method of contacts, after the initial data collection announcement, will be determined for each sector separately, rather than applying the same approach to all students in all sectors.  Other steps taken over the course of data collection will be similarly applied by sector.</w:t>
      </w:r>
    </w:p>
    <w:sectPr w:rsidR="00450CC6" w:rsidRPr="00A738C5" w:rsidSect="005C415F">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720" w:left="100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90" w:rsidRDefault="00870190">
      <w:r>
        <w:separator/>
      </w:r>
    </w:p>
  </w:endnote>
  <w:endnote w:type="continuationSeparator" w:id="0">
    <w:p w:rsidR="00870190" w:rsidRDefault="00870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89" w:rsidRDefault="00BD7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54240"/>
      <w:docPartObj>
        <w:docPartGallery w:val="Page Numbers (Bottom of Page)"/>
        <w:docPartUnique/>
      </w:docPartObj>
    </w:sdtPr>
    <w:sdtContent>
      <w:p w:rsidR="00BD7A89" w:rsidRDefault="0087099A">
        <w:pPr>
          <w:pStyle w:val="Footer"/>
          <w:jc w:val="center"/>
        </w:pPr>
        <w:r>
          <w:fldChar w:fldCharType="begin"/>
        </w:r>
        <w:r w:rsidR="00BD7A89">
          <w:instrText xml:space="preserve"> PAGE   \* MERGEFORMAT </w:instrText>
        </w:r>
        <w:r>
          <w:fldChar w:fldCharType="separate"/>
        </w:r>
        <w:r w:rsidR="004867A0">
          <w:rPr>
            <w:noProof/>
          </w:rPr>
          <w:t>5</w:t>
        </w:r>
        <w:r>
          <w:fldChar w:fldCharType="end"/>
        </w:r>
      </w:p>
    </w:sdtContent>
  </w:sdt>
  <w:p w:rsidR="00BD7A89" w:rsidRDefault="00BD7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89" w:rsidRDefault="00BD7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90" w:rsidRDefault="00870190">
      <w:r>
        <w:separator/>
      </w:r>
    </w:p>
  </w:footnote>
  <w:footnote w:type="continuationSeparator" w:id="0">
    <w:p w:rsidR="00870190" w:rsidRDefault="00870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89" w:rsidRDefault="00BD7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C3" w:rsidRDefault="00204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C3" w:rsidRDefault="00204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8DA8552"/>
    <w:lvl w:ilvl="0">
      <w:start w:val="1"/>
      <w:numFmt w:val="bullet"/>
      <w:lvlText w:val=""/>
      <w:lvlJc w:val="left"/>
      <w:pPr>
        <w:tabs>
          <w:tab w:val="num" w:pos="-450"/>
        </w:tabs>
        <w:ind w:left="-450" w:hanging="360"/>
      </w:pPr>
      <w:rPr>
        <w:rFonts w:ascii="Symbol" w:hAnsi="Symbol" w:hint="default"/>
      </w:rPr>
    </w:lvl>
  </w:abstractNum>
  <w:abstractNum w:abstractNumId="1">
    <w:nsid w:val="FFFFFF89"/>
    <w:multiLevelType w:val="singleLevel"/>
    <w:tmpl w:val="4CE2D872"/>
    <w:lvl w:ilvl="0">
      <w:start w:val="1"/>
      <w:numFmt w:val="decimal"/>
      <w:lvlText w:val="%1."/>
      <w:lvlJc w:val="left"/>
      <w:pPr>
        <w:tabs>
          <w:tab w:val="num" w:pos="1080"/>
        </w:tabs>
        <w:ind w:left="1080" w:hanging="360"/>
      </w:pPr>
      <w:rPr>
        <w:rFonts w:cs="Times New Roman" w:hint="default"/>
      </w:rPr>
    </w:lvl>
  </w:abstractNum>
  <w:abstractNum w:abstractNumId="2">
    <w:nsid w:val="01C7621C"/>
    <w:multiLevelType w:val="hybridMultilevel"/>
    <w:tmpl w:val="2E2EE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557B14"/>
    <w:multiLevelType w:val="hybridMultilevel"/>
    <w:tmpl w:val="F16C82F2"/>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3B0017"/>
    <w:multiLevelType w:val="hybridMultilevel"/>
    <w:tmpl w:val="4BC64666"/>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73478D9"/>
    <w:multiLevelType w:val="hybridMultilevel"/>
    <w:tmpl w:val="F746D056"/>
    <w:lvl w:ilvl="0" w:tplc="F35A4F16">
      <w:start w:val="1"/>
      <w:numFmt w:val="bullet"/>
      <w:lvlText w:val=""/>
      <w:lvlJc w:val="left"/>
      <w:pPr>
        <w:tabs>
          <w:tab w:val="num" w:pos="1080"/>
        </w:tabs>
        <w:ind w:left="1080" w:hanging="360"/>
      </w:pPr>
      <w:rPr>
        <w:rFonts w:ascii="Symbol" w:eastAsia="Arial Unicode MS" w:hAnsi="Symbol" w:cs="Verdana"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07962780"/>
    <w:multiLevelType w:val="hybridMultilevel"/>
    <w:tmpl w:val="03F88134"/>
    <w:lvl w:ilvl="0" w:tplc="3AD0C2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EE4E63"/>
    <w:multiLevelType w:val="multilevel"/>
    <w:tmpl w:val="3932ADCC"/>
    <w:lvl w:ilvl="0">
      <w:start w:val="1"/>
      <w:numFmt w:val="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0E685F7A"/>
    <w:multiLevelType w:val="multilevel"/>
    <w:tmpl w:val="4BC64666"/>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07C06BD"/>
    <w:multiLevelType w:val="hybridMultilevel"/>
    <w:tmpl w:val="3D6A7450"/>
    <w:lvl w:ilvl="0" w:tplc="4CE2D872">
      <w:start w:val="1"/>
      <w:numFmt w:val="decimal"/>
      <w:pStyle w:val="Listbullet2"/>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E57B46"/>
    <w:multiLevelType w:val="hybridMultilevel"/>
    <w:tmpl w:val="E8385B7A"/>
    <w:lvl w:ilvl="0" w:tplc="2F04399E">
      <w:numFmt w:val="bullet"/>
      <w:lvlText w:val=""/>
      <w:lvlJc w:val="left"/>
      <w:pPr>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17E5E76"/>
    <w:multiLevelType w:val="hybridMultilevel"/>
    <w:tmpl w:val="D06C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22091B"/>
    <w:multiLevelType w:val="hybridMultilevel"/>
    <w:tmpl w:val="185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619CB"/>
    <w:multiLevelType w:val="hybridMultilevel"/>
    <w:tmpl w:val="2388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E19C1"/>
    <w:multiLevelType w:val="hybridMultilevel"/>
    <w:tmpl w:val="810C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8FA6A08"/>
    <w:multiLevelType w:val="hybridMultilevel"/>
    <w:tmpl w:val="FE386C12"/>
    <w:lvl w:ilvl="0" w:tplc="09F0813E">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5E5991"/>
    <w:multiLevelType w:val="hybridMultilevel"/>
    <w:tmpl w:val="39141F70"/>
    <w:lvl w:ilvl="0" w:tplc="4C9EC712">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A6EAB"/>
    <w:multiLevelType w:val="hybridMultilevel"/>
    <w:tmpl w:val="E79E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854C21"/>
    <w:multiLevelType w:val="hybridMultilevel"/>
    <w:tmpl w:val="72E65D56"/>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8F6185"/>
    <w:multiLevelType w:val="hybridMultilevel"/>
    <w:tmpl w:val="E4C63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2BF77D6"/>
    <w:multiLevelType w:val="hybridMultilevel"/>
    <w:tmpl w:val="62FE33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0BA6BD4"/>
    <w:multiLevelType w:val="hybridMultilevel"/>
    <w:tmpl w:val="C4488A38"/>
    <w:lvl w:ilvl="0" w:tplc="09F0813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080D0F"/>
    <w:multiLevelType w:val="hybridMultilevel"/>
    <w:tmpl w:val="32706B28"/>
    <w:lvl w:ilvl="0" w:tplc="F83A6468">
      <w:start w:val="1"/>
      <w:numFmt w:val="decimal"/>
      <w:lvlText w:val="(%1) "/>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0"/>
  </w:num>
  <w:num w:numId="4">
    <w:abstractNumId w:val="6"/>
  </w:num>
  <w:num w:numId="5">
    <w:abstractNumId w:val="26"/>
  </w:num>
  <w:num w:numId="6">
    <w:abstractNumId w:val="15"/>
  </w:num>
  <w:num w:numId="7">
    <w:abstractNumId w:val="18"/>
  </w:num>
  <w:num w:numId="8">
    <w:abstractNumId w:val="0"/>
  </w:num>
  <w:num w:numId="9">
    <w:abstractNumId w:val="1"/>
  </w:num>
  <w:num w:numId="10">
    <w:abstractNumId w:val="9"/>
  </w:num>
  <w:num w:numId="11">
    <w:abstractNumId w:val="14"/>
  </w:num>
  <w:num w:numId="12">
    <w:abstractNumId w:val="7"/>
  </w:num>
  <w:num w:numId="13">
    <w:abstractNumId w:val="4"/>
  </w:num>
  <w:num w:numId="14">
    <w:abstractNumId w:val="8"/>
  </w:num>
  <w:num w:numId="15">
    <w:abstractNumId w:val="5"/>
  </w:num>
  <w:num w:numId="16">
    <w:abstractNumId w:val="21"/>
  </w:num>
  <w:num w:numId="17">
    <w:abstractNumId w:val="23"/>
  </w:num>
  <w:num w:numId="18">
    <w:abstractNumId w:val="20"/>
  </w:num>
  <w:num w:numId="19">
    <w:abstractNumId w:val="17"/>
  </w:num>
  <w:num w:numId="20">
    <w:abstractNumId w:val="24"/>
  </w:num>
  <w:num w:numId="21">
    <w:abstractNumId w:val="3"/>
  </w:num>
  <w:num w:numId="22">
    <w:abstractNumId w:val="12"/>
  </w:num>
  <w:num w:numId="23">
    <w:abstractNumId w:val="19"/>
  </w:num>
  <w:num w:numId="24">
    <w:abstractNumId w:val="1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markup="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1F4030"/>
    <w:rsid w:val="000003C4"/>
    <w:rsid w:val="00002263"/>
    <w:rsid w:val="00004942"/>
    <w:rsid w:val="00026D24"/>
    <w:rsid w:val="00043BAF"/>
    <w:rsid w:val="000520EB"/>
    <w:rsid w:val="0005249A"/>
    <w:rsid w:val="00054505"/>
    <w:rsid w:val="00071633"/>
    <w:rsid w:val="00075654"/>
    <w:rsid w:val="0007600F"/>
    <w:rsid w:val="00081A1A"/>
    <w:rsid w:val="0008530A"/>
    <w:rsid w:val="00085D18"/>
    <w:rsid w:val="000A2EB9"/>
    <w:rsid w:val="000A64CB"/>
    <w:rsid w:val="000A65A0"/>
    <w:rsid w:val="000D00E3"/>
    <w:rsid w:val="000D2D03"/>
    <w:rsid w:val="000E3482"/>
    <w:rsid w:val="000E3EE7"/>
    <w:rsid w:val="000E6B74"/>
    <w:rsid w:val="000F1D53"/>
    <w:rsid w:val="001022E0"/>
    <w:rsid w:val="0011040D"/>
    <w:rsid w:val="001107AC"/>
    <w:rsid w:val="00134806"/>
    <w:rsid w:val="0014681F"/>
    <w:rsid w:val="00150A36"/>
    <w:rsid w:val="00156F2C"/>
    <w:rsid w:val="00164B62"/>
    <w:rsid w:val="0019187E"/>
    <w:rsid w:val="001A269D"/>
    <w:rsid w:val="001A60C7"/>
    <w:rsid w:val="001A7C89"/>
    <w:rsid w:val="001B6BD2"/>
    <w:rsid w:val="001C443B"/>
    <w:rsid w:val="001C4FA2"/>
    <w:rsid w:val="001D48CF"/>
    <w:rsid w:val="001D5696"/>
    <w:rsid w:val="001E3C6D"/>
    <w:rsid w:val="001F12F2"/>
    <w:rsid w:val="001F4030"/>
    <w:rsid w:val="002008EF"/>
    <w:rsid w:val="00201B4E"/>
    <w:rsid w:val="00204EC3"/>
    <w:rsid w:val="00241713"/>
    <w:rsid w:val="002526C7"/>
    <w:rsid w:val="0025543A"/>
    <w:rsid w:val="00267F0C"/>
    <w:rsid w:val="002717E7"/>
    <w:rsid w:val="00276F00"/>
    <w:rsid w:val="00296BF9"/>
    <w:rsid w:val="002B3840"/>
    <w:rsid w:val="002C080B"/>
    <w:rsid w:val="002C3312"/>
    <w:rsid w:val="002E5E18"/>
    <w:rsid w:val="002E6593"/>
    <w:rsid w:val="002F059C"/>
    <w:rsid w:val="002F4659"/>
    <w:rsid w:val="003029B7"/>
    <w:rsid w:val="003308B7"/>
    <w:rsid w:val="00332A11"/>
    <w:rsid w:val="003479C8"/>
    <w:rsid w:val="00355F38"/>
    <w:rsid w:val="00363842"/>
    <w:rsid w:val="003761BF"/>
    <w:rsid w:val="00383320"/>
    <w:rsid w:val="00384346"/>
    <w:rsid w:val="003B36CE"/>
    <w:rsid w:val="003D0EE1"/>
    <w:rsid w:val="003D4730"/>
    <w:rsid w:val="003D5E60"/>
    <w:rsid w:val="003D737C"/>
    <w:rsid w:val="003F4DB8"/>
    <w:rsid w:val="003F6EF4"/>
    <w:rsid w:val="00404267"/>
    <w:rsid w:val="00410846"/>
    <w:rsid w:val="00411E1B"/>
    <w:rsid w:val="00416CCB"/>
    <w:rsid w:val="00423961"/>
    <w:rsid w:val="00450CC6"/>
    <w:rsid w:val="00463F87"/>
    <w:rsid w:val="00473DB3"/>
    <w:rsid w:val="004770ED"/>
    <w:rsid w:val="00482476"/>
    <w:rsid w:val="0048302C"/>
    <w:rsid w:val="004862BB"/>
    <w:rsid w:val="004867A0"/>
    <w:rsid w:val="004961A0"/>
    <w:rsid w:val="004A25B4"/>
    <w:rsid w:val="004C1457"/>
    <w:rsid w:val="004C4CBD"/>
    <w:rsid w:val="004C730D"/>
    <w:rsid w:val="004D2FA4"/>
    <w:rsid w:val="004F3308"/>
    <w:rsid w:val="004F373B"/>
    <w:rsid w:val="004F6A0B"/>
    <w:rsid w:val="00510645"/>
    <w:rsid w:val="00524385"/>
    <w:rsid w:val="00532758"/>
    <w:rsid w:val="00540294"/>
    <w:rsid w:val="005472FC"/>
    <w:rsid w:val="00562224"/>
    <w:rsid w:val="00584B04"/>
    <w:rsid w:val="005966E0"/>
    <w:rsid w:val="005A13AF"/>
    <w:rsid w:val="005B0D6F"/>
    <w:rsid w:val="005C415F"/>
    <w:rsid w:val="006006C7"/>
    <w:rsid w:val="00602EA4"/>
    <w:rsid w:val="00606EDA"/>
    <w:rsid w:val="00611991"/>
    <w:rsid w:val="0062790F"/>
    <w:rsid w:val="00627E50"/>
    <w:rsid w:val="00633C76"/>
    <w:rsid w:val="00642580"/>
    <w:rsid w:val="00656B8E"/>
    <w:rsid w:val="006852AD"/>
    <w:rsid w:val="006A3425"/>
    <w:rsid w:val="006B787D"/>
    <w:rsid w:val="006C4B87"/>
    <w:rsid w:val="006E02B4"/>
    <w:rsid w:val="006E0A9E"/>
    <w:rsid w:val="006E292A"/>
    <w:rsid w:val="006F605E"/>
    <w:rsid w:val="007054CC"/>
    <w:rsid w:val="00706349"/>
    <w:rsid w:val="00711D1A"/>
    <w:rsid w:val="00715D8F"/>
    <w:rsid w:val="00717268"/>
    <w:rsid w:val="00724ADF"/>
    <w:rsid w:val="00726185"/>
    <w:rsid w:val="00737E25"/>
    <w:rsid w:val="007451A6"/>
    <w:rsid w:val="007517A3"/>
    <w:rsid w:val="00760990"/>
    <w:rsid w:val="00760CD9"/>
    <w:rsid w:val="00770A91"/>
    <w:rsid w:val="0077427A"/>
    <w:rsid w:val="00781B23"/>
    <w:rsid w:val="00783191"/>
    <w:rsid w:val="007978E6"/>
    <w:rsid w:val="007A035A"/>
    <w:rsid w:val="007A10B5"/>
    <w:rsid w:val="007A2F9B"/>
    <w:rsid w:val="007B22AF"/>
    <w:rsid w:val="007B7257"/>
    <w:rsid w:val="007C4E0F"/>
    <w:rsid w:val="007C6FC7"/>
    <w:rsid w:val="007C73ED"/>
    <w:rsid w:val="007D2586"/>
    <w:rsid w:val="007D637B"/>
    <w:rsid w:val="008027A9"/>
    <w:rsid w:val="00812778"/>
    <w:rsid w:val="0081647D"/>
    <w:rsid w:val="008210EE"/>
    <w:rsid w:val="00833193"/>
    <w:rsid w:val="008412D6"/>
    <w:rsid w:val="00841D7F"/>
    <w:rsid w:val="0084372C"/>
    <w:rsid w:val="00850AAE"/>
    <w:rsid w:val="00860449"/>
    <w:rsid w:val="00870190"/>
    <w:rsid w:val="0087099A"/>
    <w:rsid w:val="0087130D"/>
    <w:rsid w:val="00876579"/>
    <w:rsid w:val="00890169"/>
    <w:rsid w:val="00897DF7"/>
    <w:rsid w:val="008A7CE5"/>
    <w:rsid w:val="008F3E6E"/>
    <w:rsid w:val="008F77D6"/>
    <w:rsid w:val="00900196"/>
    <w:rsid w:val="00900919"/>
    <w:rsid w:val="00905A84"/>
    <w:rsid w:val="00920369"/>
    <w:rsid w:val="00921113"/>
    <w:rsid w:val="00954A86"/>
    <w:rsid w:val="00955759"/>
    <w:rsid w:val="00961E2D"/>
    <w:rsid w:val="00970A9E"/>
    <w:rsid w:val="00973AEC"/>
    <w:rsid w:val="009A1FEF"/>
    <w:rsid w:val="009A6F75"/>
    <w:rsid w:val="009B0AEC"/>
    <w:rsid w:val="009D23A9"/>
    <w:rsid w:val="009E06C0"/>
    <w:rsid w:val="00A01190"/>
    <w:rsid w:val="00A27030"/>
    <w:rsid w:val="00A47692"/>
    <w:rsid w:val="00A47FD7"/>
    <w:rsid w:val="00A54EBE"/>
    <w:rsid w:val="00A5639F"/>
    <w:rsid w:val="00A738C5"/>
    <w:rsid w:val="00A75303"/>
    <w:rsid w:val="00A7716F"/>
    <w:rsid w:val="00A77AFB"/>
    <w:rsid w:val="00A963BC"/>
    <w:rsid w:val="00AB165B"/>
    <w:rsid w:val="00AB72F9"/>
    <w:rsid w:val="00AC1706"/>
    <w:rsid w:val="00AC42BD"/>
    <w:rsid w:val="00AD6427"/>
    <w:rsid w:val="00AE20C8"/>
    <w:rsid w:val="00B26977"/>
    <w:rsid w:val="00B42518"/>
    <w:rsid w:val="00B452EF"/>
    <w:rsid w:val="00B52FB6"/>
    <w:rsid w:val="00B6159B"/>
    <w:rsid w:val="00B70610"/>
    <w:rsid w:val="00B95A8E"/>
    <w:rsid w:val="00BB2467"/>
    <w:rsid w:val="00BD2A45"/>
    <w:rsid w:val="00BD7A89"/>
    <w:rsid w:val="00BE14C6"/>
    <w:rsid w:val="00BE526A"/>
    <w:rsid w:val="00C1044C"/>
    <w:rsid w:val="00C2153D"/>
    <w:rsid w:val="00C311CF"/>
    <w:rsid w:val="00C36A1E"/>
    <w:rsid w:val="00C40B43"/>
    <w:rsid w:val="00C436F5"/>
    <w:rsid w:val="00C46BC0"/>
    <w:rsid w:val="00C56A4A"/>
    <w:rsid w:val="00C729FA"/>
    <w:rsid w:val="00C749F7"/>
    <w:rsid w:val="00C8430A"/>
    <w:rsid w:val="00CA754B"/>
    <w:rsid w:val="00CC5C68"/>
    <w:rsid w:val="00CE7988"/>
    <w:rsid w:val="00CF140A"/>
    <w:rsid w:val="00CF418E"/>
    <w:rsid w:val="00D011E4"/>
    <w:rsid w:val="00D07FA6"/>
    <w:rsid w:val="00D10131"/>
    <w:rsid w:val="00D1192E"/>
    <w:rsid w:val="00D1591F"/>
    <w:rsid w:val="00D24D0D"/>
    <w:rsid w:val="00D323D0"/>
    <w:rsid w:val="00D46398"/>
    <w:rsid w:val="00D51340"/>
    <w:rsid w:val="00D55096"/>
    <w:rsid w:val="00D574CE"/>
    <w:rsid w:val="00D615B8"/>
    <w:rsid w:val="00D7644A"/>
    <w:rsid w:val="00D81FC1"/>
    <w:rsid w:val="00D964E4"/>
    <w:rsid w:val="00D96B2D"/>
    <w:rsid w:val="00DB0B39"/>
    <w:rsid w:val="00DB7C18"/>
    <w:rsid w:val="00DC738C"/>
    <w:rsid w:val="00DC77AA"/>
    <w:rsid w:val="00DD2458"/>
    <w:rsid w:val="00DD3FFC"/>
    <w:rsid w:val="00DF4952"/>
    <w:rsid w:val="00DF6873"/>
    <w:rsid w:val="00E047BE"/>
    <w:rsid w:val="00E06602"/>
    <w:rsid w:val="00E1456F"/>
    <w:rsid w:val="00E237BA"/>
    <w:rsid w:val="00E2391B"/>
    <w:rsid w:val="00E54656"/>
    <w:rsid w:val="00E77498"/>
    <w:rsid w:val="00E852AF"/>
    <w:rsid w:val="00E92D07"/>
    <w:rsid w:val="00E95109"/>
    <w:rsid w:val="00EB1D0F"/>
    <w:rsid w:val="00EB7058"/>
    <w:rsid w:val="00EC4172"/>
    <w:rsid w:val="00EC7658"/>
    <w:rsid w:val="00EF0525"/>
    <w:rsid w:val="00EF2EC7"/>
    <w:rsid w:val="00F07F99"/>
    <w:rsid w:val="00F1251E"/>
    <w:rsid w:val="00F6376D"/>
    <w:rsid w:val="00F83DE3"/>
    <w:rsid w:val="00FA4ED2"/>
    <w:rsid w:val="00FF01C3"/>
    <w:rsid w:val="00FF7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qFormat/>
    <w:rsid w:val="00463F87"/>
    <w:pPr>
      <w:keepNext/>
      <w:outlineLvl w:val="0"/>
    </w:pPr>
    <w:rPr>
      <w:b/>
      <w:bCs/>
      <w:u w:val="single"/>
    </w:rPr>
  </w:style>
  <w:style w:type="paragraph" w:styleId="Heading2">
    <w:name w:val="heading 2"/>
    <w:basedOn w:val="Normal"/>
    <w:next w:val="Normal"/>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semiHidden/>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5"/>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kern w:val="2"/>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semiHidden/>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semiHidden/>
    <w:rsid w:val="00463F87"/>
    <w:rPr>
      <w:sz w:val="16"/>
      <w:szCs w:val="16"/>
    </w:rPr>
  </w:style>
  <w:style w:type="paragraph" w:styleId="CommentText">
    <w:name w:val="annotation text"/>
    <w:basedOn w:val="Normal"/>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
    <w:name w:val="List bullet 2"/>
    <w:basedOn w:val="ListBullet"/>
    <w:rsid w:val="00463F87"/>
    <w:pPr>
      <w:numPr>
        <w:numId w:val="10"/>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s>
</file>

<file path=word/webSettings.xml><?xml version="1.0" encoding="utf-8"?>
<w:webSettings xmlns:r="http://schemas.openxmlformats.org/officeDocument/2006/relationships" xmlns:w="http://schemas.openxmlformats.org/wordprocessingml/2006/main">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2199</Words>
  <Characters>12347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kashka.kubzdela</cp:lastModifiedBy>
  <cp:revision>3</cp:revision>
  <cp:lastPrinted>2011-10-28T18:17:00Z</cp:lastPrinted>
  <dcterms:created xsi:type="dcterms:W3CDTF">2012-01-09T18:32:00Z</dcterms:created>
  <dcterms:modified xsi:type="dcterms:W3CDTF">2012-01-10T12:57:00Z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