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D3" w:rsidRPr="002861D3" w:rsidRDefault="002861D3" w:rsidP="002861D3">
      <w:pPr>
        <w:spacing w:after="60" w:line="360" w:lineRule="exact"/>
        <w:ind w:left="5112" w:firstLine="0"/>
        <w:jc w:val="left"/>
        <w:rPr>
          <w:rFonts w:ascii="Lucida Sans" w:hAnsi="Lucida Sans"/>
          <w:b/>
          <w:sz w:val="22"/>
          <w:szCs w:val="22"/>
        </w:rPr>
      </w:pPr>
      <w:bookmarkStart w:id="0" w:name="_Toc276390660"/>
      <w:bookmarkStart w:id="1" w:name="_Toc213228313"/>
    </w:p>
    <w:p w:rsidR="002861D3" w:rsidRPr="00432E0D" w:rsidRDefault="002861D3" w:rsidP="002861D3">
      <w:pPr>
        <w:spacing w:after="144" w:line="312" w:lineRule="auto"/>
        <w:ind w:left="5112" w:right="360" w:firstLine="0"/>
        <w:jc w:val="left"/>
        <w:rPr>
          <w:rFonts w:ascii="Lucida Sans" w:hAnsi="Lucida Sans"/>
          <w:b/>
          <w:sz w:val="22"/>
          <w:szCs w:val="22"/>
        </w:rPr>
      </w:pPr>
      <w:bookmarkStart w:id="2" w:name="RepTitle"/>
      <w:bookmarkEnd w:id="2"/>
      <w:r w:rsidRPr="00432E0D">
        <w:rPr>
          <w:rFonts w:ascii="Lucida Sans" w:hAnsi="Lucida Sans"/>
          <w:b/>
          <w:sz w:val="22"/>
          <w:szCs w:val="22"/>
        </w:rPr>
        <w:t xml:space="preserve">Supporting Statement for Paperwork Reduction Act Submission </w:t>
      </w:r>
      <w:r w:rsidR="00B33801" w:rsidRPr="00432E0D">
        <w:rPr>
          <w:rFonts w:ascii="Lucida Sans" w:hAnsi="Lucida Sans"/>
          <w:b/>
          <w:sz w:val="22"/>
          <w:szCs w:val="22"/>
        </w:rPr>
        <w:t xml:space="preserve">National </w:t>
      </w:r>
      <w:r w:rsidR="00FB367F" w:rsidRPr="00432E0D">
        <w:rPr>
          <w:rFonts w:ascii="Lucida Sans" w:hAnsi="Lucida Sans"/>
          <w:b/>
          <w:sz w:val="22"/>
          <w:szCs w:val="22"/>
        </w:rPr>
        <w:t>Longitudinal Transition Study</w:t>
      </w:r>
      <w:r w:rsidR="00972188" w:rsidRPr="00432E0D">
        <w:rPr>
          <w:color w:val="1F497D"/>
        </w:rPr>
        <w:t xml:space="preserve"> </w:t>
      </w:r>
      <w:r w:rsidR="00FF005F" w:rsidRPr="00432E0D">
        <w:rPr>
          <w:rFonts w:ascii="Lucida Sans" w:hAnsi="Lucida Sans"/>
          <w:b/>
          <w:sz w:val="22"/>
          <w:szCs w:val="22"/>
        </w:rPr>
        <w:t>2012</w:t>
      </w:r>
      <w:r w:rsidR="00064C58">
        <w:rPr>
          <w:rFonts w:ascii="Lucida Sans" w:hAnsi="Lucida Sans"/>
          <w:b/>
          <w:sz w:val="22"/>
          <w:szCs w:val="22"/>
        </w:rPr>
        <w:t xml:space="preserve"> Baseline Data Collection</w:t>
      </w:r>
    </w:p>
    <w:p w:rsidR="002861D3" w:rsidRPr="00432E0D" w:rsidRDefault="002861D3" w:rsidP="002069E5">
      <w:pPr>
        <w:tabs>
          <w:tab w:val="left" w:pos="7770"/>
        </w:tabs>
        <w:spacing w:after="144" w:line="312" w:lineRule="auto"/>
        <w:ind w:left="5112" w:right="360" w:firstLine="0"/>
        <w:jc w:val="left"/>
        <w:rPr>
          <w:rFonts w:ascii="Lucida Sans" w:hAnsi="Lucida Sans"/>
          <w:b/>
          <w:sz w:val="22"/>
          <w:szCs w:val="22"/>
        </w:rPr>
      </w:pPr>
      <w:r w:rsidRPr="00432E0D">
        <w:rPr>
          <w:rFonts w:ascii="Lucida Sans" w:hAnsi="Lucida Sans"/>
          <w:b/>
          <w:sz w:val="22"/>
          <w:szCs w:val="22"/>
        </w:rPr>
        <w:t>Part A</w:t>
      </w:r>
      <w:r w:rsidR="002069E5">
        <w:rPr>
          <w:rFonts w:ascii="Lucida Sans" w:hAnsi="Lucida Sans"/>
          <w:b/>
          <w:sz w:val="22"/>
          <w:szCs w:val="22"/>
        </w:rPr>
        <w:tab/>
      </w:r>
    </w:p>
    <w:p w:rsidR="002861D3" w:rsidRDefault="0046799C" w:rsidP="002861D3">
      <w:pPr>
        <w:spacing w:line="280" w:lineRule="exact"/>
        <w:ind w:left="5115" w:right="360" w:firstLine="0"/>
        <w:rPr>
          <w:rFonts w:ascii="Lucida Sans" w:hAnsi="Lucida Sans"/>
          <w:sz w:val="22"/>
          <w:szCs w:val="22"/>
        </w:rPr>
      </w:pPr>
      <w:bookmarkStart w:id="3" w:name="RepType"/>
      <w:bookmarkStart w:id="4" w:name="DateMark"/>
      <w:bookmarkStart w:id="5" w:name="StartingPoint"/>
      <w:bookmarkEnd w:id="3"/>
      <w:bookmarkEnd w:id="4"/>
      <w:bookmarkEnd w:id="5"/>
      <w:r>
        <w:rPr>
          <w:rFonts w:ascii="Lucida Sans" w:hAnsi="Lucida Sans"/>
          <w:sz w:val="22"/>
          <w:szCs w:val="22"/>
        </w:rPr>
        <w:t xml:space="preserve">October </w:t>
      </w:r>
      <w:r w:rsidR="00222FF4">
        <w:rPr>
          <w:rFonts w:ascii="Lucida Sans" w:hAnsi="Lucida Sans"/>
          <w:sz w:val="22"/>
          <w:szCs w:val="22"/>
        </w:rPr>
        <w:t>11</w:t>
      </w:r>
      <w:r>
        <w:rPr>
          <w:rFonts w:ascii="Lucida Sans" w:hAnsi="Lucida Sans"/>
          <w:sz w:val="22"/>
          <w:szCs w:val="22"/>
        </w:rPr>
        <w:t>, 2011</w:t>
      </w:r>
    </w:p>
    <w:p w:rsidR="00064C58" w:rsidRDefault="00064C58" w:rsidP="002861D3">
      <w:pPr>
        <w:spacing w:line="280" w:lineRule="exact"/>
        <w:ind w:left="5115" w:right="360" w:firstLine="0"/>
        <w:rPr>
          <w:rFonts w:ascii="Lucida Sans" w:hAnsi="Lucida Sans"/>
          <w:sz w:val="22"/>
          <w:szCs w:val="22"/>
        </w:rPr>
      </w:pPr>
    </w:p>
    <w:p w:rsidR="00064C58" w:rsidRPr="00432E0D" w:rsidRDefault="00064C58" w:rsidP="00064C58">
      <w:pPr>
        <w:spacing w:after="144" w:line="312" w:lineRule="auto"/>
        <w:ind w:left="5112" w:right="360" w:firstLine="0"/>
        <w:jc w:val="left"/>
        <w:rPr>
          <w:rFonts w:ascii="Lucida Sans" w:hAnsi="Lucida Sans"/>
          <w:b/>
          <w:sz w:val="22"/>
          <w:szCs w:val="22"/>
        </w:rPr>
      </w:pPr>
    </w:p>
    <w:p w:rsidR="00064C58" w:rsidRPr="00432E0D" w:rsidRDefault="00064C58" w:rsidP="002861D3">
      <w:pPr>
        <w:spacing w:line="280" w:lineRule="exact"/>
        <w:ind w:left="5115" w:right="360" w:firstLine="0"/>
        <w:rPr>
          <w:rFonts w:ascii="Lucida Sans" w:hAnsi="Lucida Sans"/>
          <w:sz w:val="20"/>
          <w:szCs w:val="20"/>
        </w:rPr>
      </w:pPr>
    </w:p>
    <w:p w:rsidR="002861D3" w:rsidRPr="00432E0D" w:rsidRDefault="002861D3" w:rsidP="002861D3">
      <w:pPr>
        <w:spacing w:line="280" w:lineRule="exact"/>
        <w:ind w:left="5225" w:firstLine="0"/>
        <w:rPr>
          <w:rFonts w:ascii="Lucida Sans" w:hAnsi="Lucida Sans"/>
          <w:sz w:val="20"/>
          <w:szCs w:val="20"/>
        </w:rPr>
      </w:pPr>
      <w:r w:rsidRPr="00432E0D">
        <w:rPr>
          <w:rFonts w:ascii="Lucida Sans" w:hAnsi="Lucida Sans"/>
          <w:noProof/>
          <w:sz w:val="20"/>
          <w:szCs w:val="20"/>
        </w:rPr>
        <w:drawing>
          <wp:anchor distT="0" distB="0" distL="114300" distR="114300" simplePos="0" relativeHeight="251655680" behindDoc="0" locked="1" layoutInCell="1" allowOverlap="1">
            <wp:simplePos x="0" y="0"/>
            <wp:positionH relativeFrom="page">
              <wp:posOffset>4103370</wp:posOffset>
            </wp:positionH>
            <wp:positionV relativeFrom="page">
              <wp:posOffset>6629400</wp:posOffset>
            </wp:positionV>
            <wp:extent cx="1809750" cy="579120"/>
            <wp:effectExtent l="19050" t="0" r="0" b="0"/>
            <wp:wrapThrough wrapText="bothSides">
              <wp:wrapPolygon edited="0">
                <wp:start x="-227" y="0"/>
                <wp:lineTo x="-227" y="20605"/>
                <wp:lineTo x="21600" y="20605"/>
                <wp:lineTo x="21600" y="0"/>
                <wp:lineTo x="-227" y="0"/>
              </wp:wrapPolygon>
            </wp:wrapThrough>
            <wp:docPr id="1" name="Picture 4"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hematica Policy Research logo."/>
                    <pic:cNvPicPr>
                      <a:picLocks noChangeAspect="1" noChangeArrowheads="1"/>
                    </pic:cNvPicPr>
                  </pic:nvPicPr>
                  <pic:blipFill>
                    <a:blip r:embed="rId11" cstate="print"/>
                    <a:srcRect/>
                    <a:stretch>
                      <a:fillRect/>
                    </a:stretch>
                  </pic:blipFill>
                  <pic:spPr bwMode="auto">
                    <a:xfrm>
                      <a:off x="0" y="0"/>
                      <a:ext cx="1809750" cy="579120"/>
                    </a:xfrm>
                    <a:prstGeom prst="rect">
                      <a:avLst/>
                    </a:prstGeom>
                    <a:noFill/>
                  </pic:spPr>
                </pic:pic>
              </a:graphicData>
            </a:graphic>
          </wp:anchor>
        </w:drawing>
      </w:r>
      <w:r w:rsidRPr="00432E0D">
        <w:rPr>
          <w:rFonts w:ascii="Lucida Sans" w:hAnsi="Lucida Sans"/>
          <w:noProof/>
          <w:sz w:val="20"/>
          <w:szCs w:val="20"/>
        </w:rPr>
        <w:drawing>
          <wp:anchor distT="0" distB="0" distL="114300" distR="114300" simplePos="0" relativeHeight="251653632" behindDoc="0" locked="1" layoutInCell="1" allowOverlap="1">
            <wp:simplePos x="0" y="0"/>
            <wp:positionH relativeFrom="page">
              <wp:posOffset>0</wp:posOffset>
            </wp:positionH>
            <wp:positionV relativeFrom="page">
              <wp:posOffset>5715000</wp:posOffset>
            </wp:positionV>
            <wp:extent cx="7802880" cy="2562225"/>
            <wp:effectExtent l="19050" t="0" r="7620" b="0"/>
            <wp:wrapThrough wrapText="bothSides">
              <wp:wrapPolygon edited="0">
                <wp:start x="-53" y="0"/>
                <wp:lineTo x="-53" y="21520"/>
                <wp:lineTo x="21621" y="21520"/>
                <wp:lineTo x="21621" y="0"/>
                <wp:lineTo x="-53"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7802880" cy="2562225"/>
                    </a:xfrm>
                    <a:prstGeom prst="rect">
                      <a:avLst/>
                    </a:prstGeom>
                    <a:noFill/>
                  </pic:spPr>
                </pic:pic>
              </a:graphicData>
            </a:graphic>
          </wp:anchor>
        </w:drawing>
      </w:r>
      <w:r w:rsidRPr="00432E0D">
        <w:rPr>
          <w:rFonts w:ascii="Lucida Sans" w:hAnsi="Lucida Sans"/>
          <w:sz w:val="20"/>
          <w:szCs w:val="20"/>
        </w:rPr>
        <w:t xml:space="preserve"> </w:t>
      </w:r>
    </w:p>
    <w:p w:rsidR="002861D3" w:rsidRPr="00432E0D" w:rsidRDefault="002861D3" w:rsidP="002861D3">
      <w:pPr>
        <w:spacing w:line="264" w:lineRule="auto"/>
        <w:ind w:left="5040" w:firstLine="0"/>
        <w:rPr>
          <w:rFonts w:ascii="Lucida Sans" w:hAnsi="Lucida Sans"/>
          <w:sz w:val="20"/>
          <w:szCs w:val="20"/>
        </w:rPr>
        <w:sectPr w:rsidR="002861D3" w:rsidRPr="00432E0D" w:rsidSect="002861D3">
          <w:footerReference w:type="default" r:id="rId13"/>
          <w:endnotePr>
            <w:numFmt w:val="decimal"/>
          </w:endnotePr>
          <w:pgSz w:w="12240" w:h="15840" w:code="1"/>
          <w:pgMar w:top="720" w:right="1440" w:bottom="576" w:left="1440" w:header="720" w:footer="576" w:gutter="0"/>
          <w:cols w:space="720"/>
          <w:docGrid w:linePitch="150"/>
        </w:sectPr>
      </w:pPr>
    </w:p>
    <w:tbl>
      <w:tblPr>
        <w:tblW w:w="0" w:type="auto"/>
        <w:tblInd w:w="1440" w:type="dxa"/>
        <w:tblLayout w:type="fixed"/>
        <w:tblCellMar>
          <w:left w:w="115" w:type="dxa"/>
          <w:right w:w="115" w:type="dxa"/>
        </w:tblCellMar>
        <w:tblLook w:val="04A0"/>
      </w:tblPr>
      <w:tblGrid>
        <w:gridCol w:w="3618"/>
        <w:gridCol w:w="4057"/>
      </w:tblGrid>
      <w:tr w:rsidR="002861D3" w:rsidRPr="00432E0D" w:rsidTr="002861D3">
        <w:tc>
          <w:tcPr>
            <w:tcW w:w="3618" w:type="dxa"/>
          </w:tcPr>
          <w:p w:rsidR="002861D3" w:rsidRPr="00432E0D" w:rsidRDefault="002861D3" w:rsidP="002861D3">
            <w:pPr>
              <w:spacing w:line="240" w:lineRule="exact"/>
              <w:ind w:firstLine="0"/>
              <w:jc w:val="left"/>
              <w:rPr>
                <w:rFonts w:ascii="Lucida Sans" w:hAnsi="Lucida Sans"/>
                <w:sz w:val="17"/>
                <w:szCs w:val="16"/>
              </w:rPr>
            </w:pPr>
            <w:r w:rsidRPr="00432E0D">
              <w:rPr>
                <w:rFonts w:ascii="Lucida Sans" w:hAnsi="Lucida Sans"/>
                <w:sz w:val="17"/>
                <w:szCs w:val="16"/>
              </w:rPr>
              <w:lastRenderedPageBreak/>
              <w:t>Contract Number:</w:t>
            </w:r>
          </w:p>
          <w:p w:rsidR="002861D3" w:rsidRPr="00432E0D" w:rsidRDefault="002861D3" w:rsidP="002861D3">
            <w:pPr>
              <w:spacing w:after="180" w:line="240" w:lineRule="exact"/>
              <w:ind w:firstLine="0"/>
              <w:jc w:val="left"/>
              <w:rPr>
                <w:rFonts w:ascii="Lucida Sans" w:hAnsi="Lucida Sans"/>
                <w:sz w:val="17"/>
                <w:szCs w:val="16"/>
              </w:rPr>
            </w:pPr>
            <w:bookmarkStart w:id="6" w:name="Contract"/>
            <w:bookmarkEnd w:id="6"/>
            <w:r w:rsidRPr="00432E0D">
              <w:rPr>
                <w:rFonts w:ascii="Lucida Sans" w:hAnsi="Lucida Sans"/>
                <w:sz w:val="17"/>
                <w:szCs w:val="16"/>
              </w:rPr>
              <w:t>ED-IES-10-C-0073</w:t>
            </w:r>
          </w:p>
          <w:p w:rsidR="002861D3" w:rsidRPr="00432E0D" w:rsidRDefault="002861D3" w:rsidP="002861D3">
            <w:pPr>
              <w:spacing w:line="240" w:lineRule="exact"/>
              <w:ind w:firstLine="0"/>
              <w:jc w:val="left"/>
              <w:rPr>
                <w:rFonts w:ascii="Lucida Sans" w:hAnsi="Lucida Sans"/>
                <w:sz w:val="17"/>
                <w:szCs w:val="16"/>
              </w:rPr>
            </w:pPr>
            <w:proofErr w:type="spellStart"/>
            <w:r w:rsidRPr="00432E0D">
              <w:rPr>
                <w:rFonts w:ascii="Lucida Sans" w:hAnsi="Lucida Sans"/>
                <w:sz w:val="17"/>
                <w:szCs w:val="16"/>
              </w:rPr>
              <w:t>Mathematica</w:t>
            </w:r>
            <w:proofErr w:type="spellEnd"/>
            <w:r w:rsidRPr="00432E0D">
              <w:rPr>
                <w:rFonts w:ascii="Lucida Sans" w:hAnsi="Lucida Sans"/>
                <w:sz w:val="17"/>
                <w:szCs w:val="16"/>
              </w:rPr>
              <w:t xml:space="preserve"> Reference Number:</w:t>
            </w:r>
          </w:p>
          <w:p w:rsidR="002861D3" w:rsidRPr="00432E0D" w:rsidRDefault="002861D3" w:rsidP="002861D3">
            <w:pPr>
              <w:spacing w:after="180" w:line="240" w:lineRule="exact"/>
              <w:ind w:firstLine="0"/>
              <w:jc w:val="left"/>
              <w:rPr>
                <w:rFonts w:ascii="Lucida Sans" w:hAnsi="Lucida Sans"/>
                <w:sz w:val="17"/>
                <w:szCs w:val="16"/>
              </w:rPr>
            </w:pPr>
            <w:bookmarkStart w:id="7" w:name="MPRRef"/>
            <w:bookmarkEnd w:id="7"/>
            <w:r w:rsidRPr="00432E0D">
              <w:rPr>
                <w:rFonts w:ascii="Lucida Sans" w:hAnsi="Lucida Sans"/>
                <w:sz w:val="17"/>
                <w:szCs w:val="16"/>
              </w:rPr>
              <w:t>06876.381</w:t>
            </w:r>
          </w:p>
          <w:p w:rsidR="002861D3" w:rsidRPr="00432E0D" w:rsidRDefault="002861D3" w:rsidP="002861D3">
            <w:pPr>
              <w:spacing w:line="240" w:lineRule="exact"/>
              <w:ind w:firstLine="0"/>
              <w:jc w:val="left"/>
              <w:rPr>
                <w:rFonts w:ascii="Lucida Sans" w:hAnsi="Lucida Sans"/>
                <w:sz w:val="17"/>
                <w:szCs w:val="16"/>
              </w:rPr>
            </w:pPr>
            <w:r w:rsidRPr="00432E0D">
              <w:rPr>
                <w:rFonts w:ascii="Lucida Sans" w:hAnsi="Lucida Sans"/>
                <w:sz w:val="17"/>
                <w:szCs w:val="16"/>
              </w:rPr>
              <w:t>Submitted to:</w:t>
            </w:r>
          </w:p>
          <w:p w:rsidR="002861D3" w:rsidRPr="00432E0D" w:rsidRDefault="002861D3" w:rsidP="002861D3">
            <w:pPr>
              <w:spacing w:line="240" w:lineRule="exact"/>
              <w:ind w:firstLine="0"/>
              <w:jc w:val="left"/>
              <w:rPr>
                <w:rFonts w:ascii="Lucida Sans" w:hAnsi="Lucida Sans"/>
                <w:sz w:val="17"/>
                <w:szCs w:val="16"/>
              </w:rPr>
            </w:pPr>
            <w:bookmarkStart w:id="8" w:name="Agency"/>
            <w:bookmarkEnd w:id="8"/>
            <w:r w:rsidRPr="00432E0D">
              <w:rPr>
                <w:rFonts w:ascii="Lucida Sans" w:hAnsi="Lucida Sans"/>
                <w:sz w:val="17"/>
                <w:szCs w:val="16"/>
              </w:rPr>
              <w:t>Institute of Education Sciences</w:t>
            </w:r>
          </w:p>
          <w:p w:rsidR="002861D3" w:rsidRPr="00432E0D" w:rsidRDefault="002861D3" w:rsidP="002861D3">
            <w:pPr>
              <w:spacing w:line="240" w:lineRule="exact"/>
              <w:ind w:firstLine="0"/>
              <w:jc w:val="left"/>
              <w:rPr>
                <w:rFonts w:ascii="Lucida Sans" w:hAnsi="Lucida Sans"/>
                <w:sz w:val="17"/>
                <w:szCs w:val="16"/>
              </w:rPr>
            </w:pPr>
            <w:bookmarkStart w:id="9" w:name="Address"/>
            <w:bookmarkEnd w:id="9"/>
            <w:r w:rsidRPr="00432E0D">
              <w:rPr>
                <w:rFonts w:ascii="Lucida Sans" w:hAnsi="Lucida Sans"/>
                <w:sz w:val="17"/>
                <w:szCs w:val="16"/>
              </w:rPr>
              <w:t>U.S. Department of Education</w:t>
            </w:r>
          </w:p>
          <w:p w:rsidR="002861D3" w:rsidRPr="00432E0D" w:rsidRDefault="002861D3" w:rsidP="002861D3">
            <w:pPr>
              <w:spacing w:line="240" w:lineRule="exact"/>
              <w:ind w:firstLine="0"/>
              <w:jc w:val="left"/>
              <w:rPr>
                <w:rFonts w:ascii="Lucida Sans" w:hAnsi="Lucida Sans"/>
                <w:sz w:val="17"/>
                <w:szCs w:val="16"/>
              </w:rPr>
            </w:pPr>
            <w:r w:rsidRPr="00432E0D">
              <w:rPr>
                <w:rFonts w:ascii="Lucida Sans" w:hAnsi="Lucida Sans"/>
                <w:sz w:val="17"/>
                <w:szCs w:val="16"/>
              </w:rPr>
              <w:t>555 New Jersey Ave., NW, Suite 502K</w:t>
            </w:r>
          </w:p>
          <w:p w:rsidR="002861D3" w:rsidRPr="00432E0D" w:rsidRDefault="002861D3" w:rsidP="002861D3">
            <w:pPr>
              <w:spacing w:line="240" w:lineRule="exact"/>
              <w:ind w:firstLine="0"/>
              <w:jc w:val="left"/>
              <w:rPr>
                <w:rFonts w:ascii="Lucida Sans" w:hAnsi="Lucida Sans"/>
                <w:sz w:val="17"/>
                <w:szCs w:val="16"/>
              </w:rPr>
            </w:pPr>
            <w:bookmarkStart w:id="10" w:name="Address2"/>
            <w:bookmarkEnd w:id="10"/>
            <w:r w:rsidRPr="00432E0D">
              <w:rPr>
                <w:rFonts w:ascii="Lucida Sans" w:hAnsi="Lucida Sans"/>
                <w:sz w:val="17"/>
                <w:szCs w:val="16"/>
              </w:rPr>
              <w:t>Washington, DC 20208</w:t>
            </w:r>
          </w:p>
          <w:p w:rsidR="002861D3" w:rsidRPr="00432E0D" w:rsidRDefault="002861D3" w:rsidP="002861D3">
            <w:pPr>
              <w:spacing w:after="180" w:line="240" w:lineRule="exact"/>
              <w:ind w:firstLine="0"/>
              <w:jc w:val="left"/>
              <w:rPr>
                <w:rFonts w:ascii="Lucida Sans" w:hAnsi="Lucida Sans"/>
                <w:sz w:val="17"/>
                <w:szCs w:val="16"/>
              </w:rPr>
            </w:pPr>
            <w:r w:rsidRPr="00432E0D">
              <w:rPr>
                <w:rFonts w:ascii="Lucida Sans" w:hAnsi="Lucida Sans"/>
                <w:sz w:val="17"/>
                <w:szCs w:val="16"/>
              </w:rPr>
              <w:t xml:space="preserve">Project Officer: </w:t>
            </w:r>
            <w:bookmarkStart w:id="11" w:name="ProjOff"/>
            <w:bookmarkEnd w:id="11"/>
            <w:r w:rsidRPr="00432E0D">
              <w:rPr>
                <w:rFonts w:ascii="Lucida Sans" w:hAnsi="Lucida Sans"/>
                <w:sz w:val="17"/>
                <w:szCs w:val="16"/>
              </w:rPr>
              <w:t>Amanda DeGraff, Ph.D.</w:t>
            </w:r>
          </w:p>
          <w:p w:rsidR="002861D3" w:rsidRPr="00432E0D" w:rsidRDefault="002861D3" w:rsidP="002861D3">
            <w:pPr>
              <w:spacing w:line="240" w:lineRule="exact"/>
              <w:ind w:firstLine="0"/>
              <w:jc w:val="left"/>
              <w:rPr>
                <w:rFonts w:ascii="Lucida Sans" w:hAnsi="Lucida Sans"/>
                <w:sz w:val="17"/>
                <w:szCs w:val="16"/>
              </w:rPr>
            </w:pPr>
            <w:r w:rsidRPr="00432E0D">
              <w:rPr>
                <w:rFonts w:ascii="Lucida Sans" w:hAnsi="Lucida Sans"/>
                <w:sz w:val="17"/>
                <w:szCs w:val="16"/>
              </w:rPr>
              <w:t>Submitted by:</w:t>
            </w:r>
          </w:p>
          <w:p w:rsidR="002861D3" w:rsidRPr="00432E0D" w:rsidRDefault="002861D3" w:rsidP="002861D3">
            <w:pPr>
              <w:spacing w:line="240" w:lineRule="exact"/>
              <w:ind w:firstLine="0"/>
              <w:jc w:val="left"/>
              <w:rPr>
                <w:rFonts w:ascii="Lucida Sans" w:hAnsi="Lucida Sans"/>
                <w:sz w:val="17"/>
                <w:szCs w:val="16"/>
              </w:rPr>
            </w:pPr>
            <w:proofErr w:type="spellStart"/>
            <w:r w:rsidRPr="00432E0D">
              <w:rPr>
                <w:rFonts w:ascii="Lucida Sans" w:hAnsi="Lucida Sans"/>
                <w:sz w:val="17"/>
                <w:szCs w:val="16"/>
              </w:rPr>
              <w:t>Mathematica</w:t>
            </w:r>
            <w:proofErr w:type="spellEnd"/>
            <w:r w:rsidRPr="00432E0D">
              <w:rPr>
                <w:rFonts w:ascii="Lucida Sans" w:hAnsi="Lucida Sans"/>
                <w:sz w:val="17"/>
                <w:szCs w:val="16"/>
              </w:rPr>
              <w:t xml:space="preserve"> Policy Research</w:t>
            </w:r>
          </w:p>
          <w:p w:rsidR="002861D3" w:rsidRPr="00432E0D" w:rsidRDefault="002861D3" w:rsidP="002861D3">
            <w:pPr>
              <w:spacing w:line="240" w:lineRule="exact"/>
              <w:ind w:firstLine="0"/>
              <w:jc w:val="left"/>
              <w:rPr>
                <w:rFonts w:ascii="Lucida Sans" w:hAnsi="Lucida Sans"/>
                <w:sz w:val="17"/>
                <w:szCs w:val="16"/>
              </w:rPr>
            </w:pPr>
            <w:bookmarkStart w:id="12" w:name="MPRAddress2"/>
            <w:bookmarkEnd w:id="12"/>
            <w:r w:rsidRPr="00432E0D">
              <w:rPr>
                <w:rFonts w:ascii="Lucida Sans" w:hAnsi="Lucida Sans"/>
                <w:sz w:val="17"/>
                <w:szCs w:val="16"/>
              </w:rPr>
              <w:t>P.O. Box 2393</w:t>
            </w:r>
          </w:p>
          <w:p w:rsidR="002861D3" w:rsidRPr="00432E0D" w:rsidRDefault="002861D3" w:rsidP="002861D3">
            <w:pPr>
              <w:spacing w:line="240" w:lineRule="exact"/>
              <w:ind w:firstLine="0"/>
              <w:jc w:val="left"/>
              <w:rPr>
                <w:rFonts w:ascii="Lucida Sans" w:hAnsi="Lucida Sans"/>
                <w:sz w:val="17"/>
                <w:szCs w:val="16"/>
              </w:rPr>
            </w:pPr>
            <w:r w:rsidRPr="00432E0D">
              <w:rPr>
                <w:rFonts w:ascii="Lucida Sans" w:hAnsi="Lucida Sans"/>
                <w:sz w:val="17"/>
                <w:szCs w:val="16"/>
              </w:rPr>
              <w:t>Princeton, NJ 08543-2393</w:t>
            </w:r>
          </w:p>
          <w:p w:rsidR="002861D3" w:rsidRPr="00432E0D" w:rsidRDefault="002861D3" w:rsidP="002861D3">
            <w:pPr>
              <w:spacing w:line="240" w:lineRule="exact"/>
              <w:ind w:firstLine="0"/>
              <w:jc w:val="left"/>
              <w:rPr>
                <w:rFonts w:ascii="Lucida Sans" w:hAnsi="Lucida Sans"/>
                <w:sz w:val="17"/>
                <w:szCs w:val="16"/>
              </w:rPr>
            </w:pPr>
            <w:r w:rsidRPr="00432E0D">
              <w:rPr>
                <w:rFonts w:ascii="Lucida Sans" w:hAnsi="Lucida Sans"/>
                <w:sz w:val="17"/>
                <w:szCs w:val="16"/>
              </w:rPr>
              <w:t>Telephone: (609) 799-3535</w:t>
            </w:r>
          </w:p>
          <w:p w:rsidR="002861D3" w:rsidRPr="00432E0D" w:rsidRDefault="002861D3" w:rsidP="002861D3">
            <w:pPr>
              <w:spacing w:line="240" w:lineRule="exact"/>
              <w:ind w:firstLine="0"/>
              <w:jc w:val="left"/>
              <w:rPr>
                <w:rFonts w:ascii="Lucida Sans" w:hAnsi="Lucida Sans"/>
                <w:sz w:val="17"/>
                <w:szCs w:val="16"/>
              </w:rPr>
            </w:pPr>
            <w:r w:rsidRPr="00432E0D">
              <w:rPr>
                <w:rFonts w:ascii="Lucida Sans" w:hAnsi="Lucida Sans"/>
                <w:sz w:val="17"/>
                <w:szCs w:val="16"/>
              </w:rPr>
              <w:t>Facsimile: (609) 799-0005</w:t>
            </w:r>
          </w:p>
          <w:p w:rsidR="002861D3" w:rsidRPr="00432E0D" w:rsidRDefault="002861D3" w:rsidP="002861D3">
            <w:pPr>
              <w:spacing w:after="180" w:line="240" w:lineRule="exact"/>
              <w:ind w:firstLine="0"/>
              <w:jc w:val="left"/>
              <w:rPr>
                <w:rFonts w:ascii="Lucida Sans" w:hAnsi="Lucida Sans"/>
                <w:sz w:val="16"/>
                <w:szCs w:val="16"/>
              </w:rPr>
            </w:pPr>
            <w:r w:rsidRPr="00432E0D">
              <w:rPr>
                <w:rFonts w:ascii="Lucida Sans" w:hAnsi="Lucida Sans"/>
                <w:sz w:val="17"/>
                <w:szCs w:val="16"/>
              </w:rPr>
              <w:t xml:space="preserve">Project Director: </w:t>
            </w:r>
            <w:bookmarkStart w:id="13" w:name="ProjDir"/>
            <w:bookmarkEnd w:id="13"/>
            <w:r w:rsidRPr="00432E0D">
              <w:rPr>
                <w:rFonts w:ascii="Lucida Sans" w:hAnsi="Lucida Sans"/>
                <w:sz w:val="17"/>
                <w:szCs w:val="16"/>
              </w:rPr>
              <w:t>John Burghardt</w:t>
            </w:r>
          </w:p>
        </w:tc>
        <w:tc>
          <w:tcPr>
            <w:tcW w:w="4057" w:type="dxa"/>
          </w:tcPr>
          <w:p w:rsidR="002861D3" w:rsidRPr="00432E0D" w:rsidRDefault="002861D3" w:rsidP="002861D3">
            <w:pPr>
              <w:spacing w:after="144" w:line="312" w:lineRule="auto"/>
              <w:ind w:left="58" w:firstLine="0"/>
              <w:jc w:val="left"/>
              <w:rPr>
                <w:rFonts w:ascii="Lucida Sans" w:hAnsi="Lucida Sans"/>
                <w:b/>
                <w:sz w:val="22"/>
                <w:szCs w:val="22"/>
              </w:rPr>
            </w:pPr>
            <w:bookmarkStart w:id="14" w:name="RepTitle2"/>
            <w:bookmarkEnd w:id="14"/>
            <w:r w:rsidRPr="00432E0D">
              <w:rPr>
                <w:rFonts w:ascii="Lucida Sans" w:hAnsi="Lucida Sans"/>
                <w:b/>
                <w:sz w:val="22"/>
                <w:szCs w:val="22"/>
              </w:rPr>
              <w:t xml:space="preserve">Supporting Statement for Paperwork Reduction Act Submission </w:t>
            </w:r>
            <w:r w:rsidR="00FB367F" w:rsidRPr="00432E0D">
              <w:rPr>
                <w:rFonts w:ascii="Lucida Sans" w:hAnsi="Lucida Sans"/>
                <w:b/>
                <w:sz w:val="22"/>
                <w:szCs w:val="22"/>
              </w:rPr>
              <w:t xml:space="preserve">National Longitudinal Transition Study </w:t>
            </w:r>
            <w:r w:rsidR="00A004C9">
              <w:rPr>
                <w:rFonts w:ascii="Lucida Sans" w:hAnsi="Lucida Sans"/>
                <w:b/>
                <w:sz w:val="22"/>
                <w:szCs w:val="22"/>
              </w:rPr>
              <w:t xml:space="preserve">(NLTS) </w:t>
            </w:r>
            <w:r w:rsidR="00AE1ADB" w:rsidRPr="00432E0D">
              <w:rPr>
                <w:rFonts w:ascii="Lucida Sans" w:hAnsi="Lucida Sans"/>
                <w:b/>
                <w:sz w:val="22"/>
                <w:szCs w:val="22"/>
              </w:rPr>
              <w:t>2012</w:t>
            </w:r>
            <w:r w:rsidR="004F1629" w:rsidRPr="00432E0D">
              <w:rPr>
                <w:rFonts w:ascii="Lucida Sans" w:hAnsi="Lucida Sans"/>
                <w:b/>
                <w:sz w:val="22"/>
                <w:szCs w:val="22"/>
              </w:rPr>
              <w:t xml:space="preserve"> </w:t>
            </w:r>
          </w:p>
          <w:p w:rsidR="002861D3" w:rsidRPr="00432E0D" w:rsidRDefault="002861D3" w:rsidP="002861D3">
            <w:pPr>
              <w:spacing w:after="144" w:line="312" w:lineRule="auto"/>
              <w:ind w:left="58" w:firstLine="0"/>
              <w:jc w:val="left"/>
              <w:rPr>
                <w:rFonts w:ascii="Lucida Sans" w:hAnsi="Lucida Sans"/>
                <w:b/>
                <w:sz w:val="22"/>
                <w:szCs w:val="22"/>
              </w:rPr>
            </w:pPr>
            <w:r w:rsidRPr="00432E0D">
              <w:rPr>
                <w:rFonts w:ascii="Lucida Sans" w:hAnsi="Lucida Sans"/>
                <w:b/>
                <w:sz w:val="22"/>
                <w:szCs w:val="22"/>
              </w:rPr>
              <w:t>Part A</w:t>
            </w:r>
          </w:p>
          <w:p w:rsidR="002861D3" w:rsidRPr="00432E0D" w:rsidRDefault="0046799C" w:rsidP="002861D3">
            <w:pPr>
              <w:spacing w:before="144" w:after="288" w:line="360" w:lineRule="exact"/>
              <w:ind w:left="58" w:firstLine="0"/>
              <w:jc w:val="left"/>
              <w:rPr>
                <w:rFonts w:ascii="Lucida Sans" w:hAnsi="Lucida Sans"/>
                <w:sz w:val="22"/>
                <w:szCs w:val="22"/>
              </w:rPr>
            </w:pPr>
            <w:bookmarkStart w:id="15" w:name="RepType2"/>
            <w:bookmarkStart w:id="16" w:name="DateMark2"/>
            <w:bookmarkEnd w:id="15"/>
            <w:bookmarkEnd w:id="16"/>
            <w:r>
              <w:rPr>
                <w:rFonts w:ascii="Lucida Sans" w:hAnsi="Lucida Sans"/>
                <w:sz w:val="22"/>
                <w:szCs w:val="22"/>
              </w:rPr>
              <w:t xml:space="preserve">October </w:t>
            </w:r>
            <w:r w:rsidR="00FF2E47">
              <w:rPr>
                <w:rFonts w:ascii="Lucida Sans" w:hAnsi="Lucida Sans"/>
                <w:sz w:val="22"/>
                <w:szCs w:val="22"/>
              </w:rPr>
              <w:t>11</w:t>
            </w:r>
            <w:r>
              <w:rPr>
                <w:rFonts w:ascii="Lucida Sans" w:hAnsi="Lucida Sans"/>
                <w:sz w:val="22"/>
                <w:szCs w:val="22"/>
              </w:rPr>
              <w:t>, 2011</w:t>
            </w:r>
          </w:p>
          <w:p w:rsidR="002861D3" w:rsidRPr="00432E0D" w:rsidRDefault="002861D3" w:rsidP="002861D3">
            <w:pPr>
              <w:spacing w:line="280" w:lineRule="exact"/>
              <w:ind w:left="58" w:firstLine="0"/>
              <w:jc w:val="left"/>
              <w:rPr>
                <w:rFonts w:ascii="Lucida Sans" w:hAnsi="Lucida Sans"/>
                <w:sz w:val="20"/>
                <w:szCs w:val="20"/>
              </w:rPr>
            </w:pPr>
          </w:p>
          <w:p w:rsidR="002861D3" w:rsidRPr="00432E0D" w:rsidRDefault="002861D3" w:rsidP="00A004C9">
            <w:pPr>
              <w:spacing w:line="264" w:lineRule="auto"/>
              <w:ind w:firstLine="0"/>
              <w:jc w:val="left"/>
              <w:rPr>
                <w:rFonts w:ascii="Lucida Sans" w:hAnsi="Lucida Sans"/>
                <w:sz w:val="20"/>
                <w:szCs w:val="20"/>
              </w:rPr>
            </w:pPr>
          </w:p>
          <w:p w:rsidR="002861D3" w:rsidRPr="00432E0D" w:rsidRDefault="002861D3" w:rsidP="002861D3">
            <w:pPr>
              <w:spacing w:line="264" w:lineRule="auto"/>
              <w:ind w:left="58" w:firstLine="0"/>
              <w:jc w:val="left"/>
              <w:rPr>
                <w:rFonts w:ascii="Lucida Sans" w:hAnsi="Lucida Sans"/>
                <w:sz w:val="22"/>
                <w:szCs w:val="22"/>
              </w:rPr>
            </w:pPr>
          </w:p>
        </w:tc>
      </w:tr>
    </w:tbl>
    <w:p w:rsidR="002861D3" w:rsidRPr="00432E0D" w:rsidRDefault="002861D3" w:rsidP="002861D3">
      <w:pPr>
        <w:tabs>
          <w:tab w:val="clear" w:pos="432"/>
          <w:tab w:val="left" w:pos="8255"/>
        </w:tabs>
        <w:spacing w:line="264" w:lineRule="auto"/>
        <w:ind w:firstLine="0"/>
        <w:rPr>
          <w:rFonts w:ascii="Lucida Sans" w:hAnsi="Lucida Sans"/>
          <w:sz w:val="22"/>
          <w:szCs w:val="22"/>
        </w:rPr>
      </w:pPr>
      <w:r w:rsidRPr="00432E0D">
        <w:rPr>
          <w:rFonts w:ascii="Lucida Sans" w:hAnsi="Lucida Sans"/>
          <w:sz w:val="22"/>
          <w:szCs w:val="22"/>
        </w:rPr>
        <w:tab/>
      </w:r>
    </w:p>
    <w:p w:rsidR="002861D3" w:rsidRPr="00432E0D" w:rsidRDefault="002861D3" w:rsidP="002861D3">
      <w:pPr>
        <w:spacing w:line="264" w:lineRule="auto"/>
        <w:ind w:firstLine="0"/>
        <w:rPr>
          <w:rFonts w:ascii="Lucida Sans" w:hAnsi="Lucida Sans"/>
          <w:sz w:val="22"/>
          <w:szCs w:val="22"/>
        </w:rPr>
      </w:pPr>
      <w:r w:rsidRPr="00432E0D">
        <w:rPr>
          <w:rFonts w:ascii="Lucida Sans" w:hAnsi="Lucida Sans"/>
          <w:noProof/>
        </w:rPr>
        <w:drawing>
          <wp:anchor distT="0" distB="0" distL="114300" distR="114300" simplePos="0" relativeHeight="251656704" behindDoc="0" locked="1" layoutInCell="1" allowOverlap="1">
            <wp:simplePos x="0" y="0"/>
            <wp:positionH relativeFrom="page">
              <wp:posOffset>4096385</wp:posOffset>
            </wp:positionH>
            <wp:positionV relativeFrom="page">
              <wp:posOffset>6638290</wp:posOffset>
            </wp:positionV>
            <wp:extent cx="1828800" cy="581025"/>
            <wp:effectExtent l="19050" t="0" r="0" b="0"/>
            <wp:wrapThrough wrapText="bothSides">
              <wp:wrapPolygon edited="0">
                <wp:start x="-225" y="0"/>
                <wp:lineTo x="-225" y="21246"/>
                <wp:lineTo x="21600" y="21246"/>
                <wp:lineTo x="21600" y="0"/>
                <wp:lineTo x="-225" y="0"/>
              </wp:wrapPolygon>
            </wp:wrapThrough>
            <wp:docPr id="3" name="Picture 7"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hematica Policy Research logo."/>
                    <pic:cNvPicPr>
                      <a:picLocks noChangeAspect="1" noChangeArrowheads="1"/>
                    </pic:cNvPicPr>
                  </pic:nvPicPr>
                  <pic:blipFill>
                    <a:blip r:embed="rId14" cstate="print"/>
                    <a:srcRect/>
                    <a:stretch>
                      <a:fillRect/>
                    </a:stretch>
                  </pic:blipFill>
                  <pic:spPr bwMode="auto">
                    <a:xfrm>
                      <a:off x="0" y="0"/>
                      <a:ext cx="1828800" cy="581025"/>
                    </a:xfrm>
                    <a:prstGeom prst="rect">
                      <a:avLst/>
                    </a:prstGeom>
                    <a:noFill/>
                  </pic:spPr>
                </pic:pic>
              </a:graphicData>
            </a:graphic>
          </wp:anchor>
        </w:drawing>
      </w:r>
      <w:r w:rsidRPr="00432E0D">
        <w:rPr>
          <w:rFonts w:ascii="Lucida Sans" w:hAnsi="Lucida Sans"/>
          <w:noProof/>
          <w:sz w:val="22"/>
          <w:szCs w:val="22"/>
        </w:rPr>
        <w:drawing>
          <wp:anchor distT="0" distB="0" distL="114300" distR="114300" simplePos="0" relativeHeight="251654656" behindDoc="0" locked="1" layoutInCell="1" allowOverlap="1">
            <wp:simplePos x="0" y="0"/>
            <wp:positionH relativeFrom="page">
              <wp:posOffset>0</wp:posOffset>
            </wp:positionH>
            <wp:positionV relativeFrom="page">
              <wp:posOffset>5723890</wp:posOffset>
            </wp:positionV>
            <wp:extent cx="7802880" cy="2562225"/>
            <wp:effectExtent l="19050" t="0" r="7620" b="0"/>
            <wp:wrapThrough wrapText="bothSides">
              <wp:wrapPolygon edited="0">
                <wp:start x="-53" y="0"/>
                <wp:lineTo x="-53" y="21520"/>
                <wp:lineTo x="21621" y="21520"/>
                <wp:lineTo x="21621" y="0"/>
                <wp:lineTo x="-53" y="0"/>
              </wp:wrapPolygon>
            </wp:wrapThrough>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7802880" cy="2562225"/>
                    </a:xfrm>
                    <a:prstGeom prst="rect">
                      <a:avLst/>
                    </a:prstGeom>
                    <a:noFill/>
                  </pic:spPr>
                </pic:pic>
              </a:graphicData>
            </a:graphic>
          </wp:anchor>
        </w:drawing>
      </w:r>
    </w:p>
    <w:p w:rsidR="002861D3" w:rsidRPr="00432E0D" w:rsidRDefault="002861D3" w:rsidP="002861D3">
      <w:pPr>
        <w:spacing w:line="240" w:lineRule="auto"/>
        <w:ind w:firstLine="0"/>
      </w:pPr>
    </w:p>
    <w:p w:rsidR="002861D3" w:rsidRPr="00432E0D" w:rsidRDefault="002861D3" w:rsidP="002861D3">
      <w:pPr>
        <w:spacing w:line="240" w:lineRule="auto"/>
        <w:ind w:firstLine="0"/>
      </w:pPr>
    </w:p>
    <w:p w:rsidR="002861D3" w:rsidRPr="00432E0D" w:rsidRDefault="002861D3" w:rsidP="002861D3">
      <w:pPr>
        <w:sectPr w:rsidR="002861D3" w:rsidRPr="00432E0D" w:rsidSect="007C0CD8">
          <w:footerReference w:type="default" r:id="rId16"/>
          <w:endnotePr>
            <w:numFmt w:val="decimal"/>
          </w:endnotePr>
          <w:pgSz w:w="12240" w:h="15840" w:code="1"/>
          <w:pgMar w:top="1440" w:right="1440" w:bottom="576" w:left="1440" w:header="720" w:footer="576" w:gutter="0"/>
          <w:cols w:space="720"/>
          <w:docGrid w:linePitch="326"/>
        </w:sectPr>
      </w:pPr>
    </w:p>
    <w:p w:rsidR="002861D3" w:rsidRPr="00432E0D" w:rsidRDefault="002861D3" w:rsidP="004171DB">
      <w:pPr>
        <w:pStyle w:val="Heading1Black"/>
        <w:spacing w:after="480"/>
      </w:pPr>
      <w:bookmarkStart w:id="17" w:name="_Toc276988149"/>
      <w:bookmarkStart w:id="18" w:name="_Toc277079568"/>
      <w:bookmarkStart w:id="19" w:name="_Toc283908708"/>
      <w:bookmarkStart w:id="20" w:name="_Toc298415676"/>
      <w:bookmarkStart w:id="21" w:name="_Toc298418557"/>
      <w:r w:rsidRPr="00432E0D">
        <w:lastRenderedPageBreak/>
        <w:t>CONTENTS</w:t>
      </w:r>
      <w:bookmarkEnd w:id="0"/>
      <w:bookmarkEnd w:id="17"/>
      <w:bookmarkEnd w:id="18"/>
      <w:bookmarkEnd w:id="19"/>
      <w:bookmarkEnd w:id="20"/>
      <w:bookmarkEnd w:id="21"/>
      <w:r w:rsidR="007C3366">
        <w:t xml:space="preserve"> </w:t>
      </w:r>
    </w:p>
    <w:p w:rsidR="004171DB" w:rsidRDefault="004171DB" w:rsidP="00A50614">
      <w:pPr>
        <w:pStyle w:val="TOC1"/>
        <w:rPr>
          <w:rFonts w:asciiTheme="minorHAnsi" w:eastAsiaTheme="minorEastAsia" w:hAnsiTheme="minorHAnsi" w:cstheme="minorBidi"/>
          <w:noProof/>
          <w:sz w:val="22"/>
          <w:szCs w:val="22"/>
        </w:rPr>
      </w:pPr>
      <w:r>
        <w:rPr>
          <w:noProof/>
        </w:rPr>
        <w:tab/>
        <w:t>INTRODUCTION</w:t>
      </w:r>
      <w:r>
        <w:rPr>
          <w:noProof/>
        </w:rPr>
        <w:tab/>
        <w:t>1</w:t>
      </w:r>
    </w:p>
    <w:p w:rsidR="004171DB" w:rsidRDefault="004171DB" w:rsidP="004171DB">
      <w:pPr>
        <w:pStyle w:val="TOC2"/>
        <w:tabs>
          <w:tab w:val="left" w:pos="1008"/>
        </w:tabs>
        <w:rPr>
          <w:rFonts w:asciiTheme="minorHAnsi" w:eastAsiaTheme="minorEastAsia" w:hAnsiTheme="minorHAnsi" w:cstheme="minorBidi"/>
          <w:sz w:val="22"/>
          <w:szCs w:val="22"/>
        </w:rPr>
      </w:pPr>
      <w:r>
        <w:t>RESEARCH QUESTIONS</w:t>
      </w:r>
      <w:r>
        <w:tab/>
        <w:t>1</w:t>
      </w:r>
    </w:p>
    <w:p w:rsidR="004171DB" w:rsidRDefault="004171DB" w:rsidP="004171DB">
      <w:pPr>
        <w:pStyle w:val="TOC2"/>
        <w:tabs>
          <w:tab w:val="left" w:pos="1008"/>
        </w:tabs>
        <w:rPr>
          <w:rFonts w:asciiTheme="minorHAnsi" w:eastAsiaTheme="minorEastAsia" w:hAnsiTheme="minorHAnsi" w:cstheme="minorBidi"/>
          <w:sz w:val="22"/>
          <w:szCs w:val="22"/>
        </w:rPr>
      </w:pPr>
      <w:r>
        <w:t>OVERVIEW</w:t>
      </w:r>
      <w:r>
        <w:tab/>
        <w:t>2</w:t>
      </w:r>
    </w:p>
    <w:p w:rsidR="004171DB" w:rsidRDefault="004171DB" w:rsidP="004171DB">
      <w:pPr>
        <w:pStyle w:val="TOC2"/>
        <w:tabs>
          <w:tab w:val="left" w:pos="1008"/>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JUSTIFICATION</w:t>
      </w:r>
      <w:r>
        <w:tab/>
        <w:t>4</w:t>
      </w:r>
    </w:p>
    <w:p w:rsidR="00785832" w:rsidRDefault="00785832" w:rsidP="00785832">
      <w:pPr>
        <w:pStyle w:val="TOC3"/>
        <w:tabs>
          <w:tab w:val="left" w:pos="1008"/>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Circumstances Necessitating Collection of Information</w:t>
      </w:r>
      <w:r>
        <w:rPr>
          <w:noProof/>
        </w:rPr>
        <w:tab/>
        <w:t>4</w:t>
      </w:r>
    </w:p>
    <w:p w:rsidR="00785832" w:rsidRDefault="00785832" w:rsidP="00785832">
      <w:pPr>
        <w:pStyle w:val="TOC3"/>
        <w:tabs>
          <w:tab w:val="left" w:pos="1008"/>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How, by Whom, and for What Purpose the Information Is to Be Used</w:t>
      </w:r>
      <w:r>
        <w:rPr>
          <w:noProof/>
        </w:rPr>
        <w:tab/>
        <w:t>5</w:t>
      </w:r>
    </w:p>
    <w:p w:rsidR="00785832" w:rsidRDefault="00785832" w:rsidP="00785832">
      <w:pPr>
        <w:pStyle w:val="TOC3"/>
        <w:tabs>
          <w:tab w:val="left" w:pos="1008"/>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Use of Technology to Reduce Burden</w:t>
      </w:r>
      <w:r>
        <w:rPr>
          <w:noProof/>
        </w:rPr>
        <w:tab/>
        <w:t>11</w:t>
      </w:r>
    </w:p>
    <w:p w:rsidR="00785832" w:rsidRDefault="00785832" w:rsidP="00785832">
      <w:pPr>
        <w:pStyle w:val="TOC3"/>
        <w:tabs>
          <w:tab w:val="left" w:pos="1008"/>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Efforts to Avoid Duplication of Effort</w:t>
      </w:r>
      <w:r>
        <w:rPr>
          <w:noProof/>
        </w:rPr>
        <w:tab/>
        <w:t>12</w:t>
      </w:r>
    </w:p>
    <w:p w:rsidR="00785832" w:rsidRDefault="00785832" w:rsidP="00785832">
      <w:pPr>
        <w:pStyle w:val="TOC3"/>
        <w:tabs>
          <w:tab w:val="left" w:pos="1008"/>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Methods of Minimizing Burden on Small Entities</w:t>
      </w:r>
      <w:r>
        <w:rPr>
          <w:noProof/>
        </w:rPr>
        <w:tab/>
        <w:t>12</w:t>
      </w:r>
    </w:p>
    <w:p w:rsidR="00785832" w:rsidRDefault="00785832" w:rsidP="00785832">
      <w:pPr>
        <w:pStyle w:val="TOC3"/>
        <w:tabs>
          <w:tab w:val="left" w:pos="1008"/>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Consequences of Not Collecting Data</w:t>
      </w:r>
      <w:r>
        <w:rPr>
          <w:noProof/>
        </w:rPr>
        <w:tab/>
        <w:t>13</w:t>
      </w:r>
    </w:p>
    <w:p w:rsidR="00785832" w:rsidRDefault="00785832" w:rsidP="00785832">
      <w:pPr>
        <w:pStyle w:val="TOC3"/>
        <w:tabs>
          <w:tab w:val="left" w:pos="1008"/>
        </w:tabs>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Special Circumstances</w:t>
      </w:r>
      <w:r>
        <w:rPr>
          <w:noProof/>
        </w:rPr>
        <w:tab/>
        <w:t>13</w:t>
      </w:r>
    </w:p>
    <w:p w:rsidR="00785832" w:rsidRDefault="00785832" w:rsidP="00785832">
      <w:pPr>
        <w:pStyle w:val="TOC3"/>
        <w:tabs>
          <w:tab w:val="left" w:pos="1008"/>
        </w:tabs>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sidRPr="00E97B9E">
        <w:rPr>
          <w:i/>
          <w:noProof/>
        </w:rPr>
        <w:t>Federal Register</w:t>
      </w:r>
      <w:r>
        <w:rPr>
          <w:noProof/>
        </w:rPr>
        <w:t xml:space="preserve"> Announcement and Consultation</w:t>
      </w:r>
      <w:r>
        <w:rPr>
          <w:noProof/>
        </w:rPr>
        <w:tab/>
        <w:t>13</w:t>
      </w:r>
    </w:p>
    <w:p w:rsidR="00785832" w:rsidRDefault="00785832" w:rsidP="00785832">
      <w:pPr>
        <w:pStyle w:val="TOC3"/>
        <w:tabs>
          <w:tab w:val="left" w:pos="1008"/>
        </w:tabs>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Payment or Gift to Respondents</w:t>
      </w:r>
      <w:r>
        <w:rPr>
          <w:noProof/>
        </w:rPr>
        <w:tab/>
        <w:t>15</w:t>
      </w:r>
    </w:p>
    <w:p w:rsidR="00785832" w:rsidRDefault="00785832" w:rsidP="00785832">
      <w:pPr>
        <w:pStyle w:val="TOC3"/>
        <w:tabs>
          <w:tab w:val="left" w:pos="1008"/>
        </w:tabs>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Confidentiality of the Data</w:t>
      </w:r>
      <w:r>
        <w:rPr>
          <w:noProof/>
        </w:rPr>
        <w:tab/>
        <w:t>17</w:t>
      </w:r>
    </w:p>
    <w:p w:rsidR="00785832" w:rsidRDefault="00785832" w:rsidP="00785832">
      <w:pPr>
        <w:pStyle w:val="TOC3"/>
        <w:tabs>
          <w:tab w:val="left" w:pos="1008"/>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Additional Justification for Sensitive Questions</w:t>
      </w:r>
      <w:r>
        <w:rPr>
          <w:noProof/>
        </w:rPr>
        <w:tab/>
        <w:t>19</w:t>
      </w:r>
    </w:p>
    <w:p w:rsidR="00785832" w:rsidRDefault="00785832" w:rsidP="00785832">
      <w:pPr>
        <w:pStyle w:val="TOC3"/>
        <w:tabs>
          <w:tab w:val="left" w:pos="1008"/>
        </w:tabs>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Estimates of Hours Burden</w:t>
      </w:r>
      <w:r>
        <w:rPr>
          <w:noProof/>
        </w:rPr>
        <w:tab/>
        <w:t>19</w:t>
      </w:r>
    </w:p>
    <w:p w:rsidR="00785832" w:rsidRDefault="00785832" w:rsidP="00785832">
      <w:pPr>
        <w:pStyle w:val="TOC3"/>
        <w:tabs>
          <w:tab w:val="left" w:pos="1008"/>
        </w:tabs>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Estimate of Total Annual Cost Burden to Respondents or Recordkeepers</w:t>
      </w:r>
      <w:r>
        <w:rPr>
          <w:noProof/>
        </w:rPr>
        <w:tab/>
        <w:t>20</w:t>
      </w:r>
    </w:p>
    <w:p w:rsidR="00785832" w:rsidRDefault="00785832" w:rsidP="00785832">
      <w:pPr>
        <w:pStyle w:val="TOC3"/>
        <w:tabs>
          <w:tab w:val="left" w:pos="1008"/>
        </w:tabs>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Estimates of Annualized Cost to the Federal Government</w:t>
      </w:r>
      <w:r>
        <w:rPr>
          <w:noProof/>
        </w:rPr>
        <w:tab/>
        <w:t>20</w:t>
      </w:r>
    </w:p>
    <w:p w:rsidR="00785832" w:rsidRDefault="00785832" w:rsidP="00785832">
      <w:pPr>
        <w:pStyle w:val="TOC3"/>
        <w:tabs>
          <w:tab w:val="left" w:pos="1008"/>
        </w:tabs>
        <w:rPr>
          <w:rFonts w:asciiTheme="minorHAnsi" w:eastAsiaTheme="minorEastAsia" w:hAnsiTheme="minorHAnsi" w:cstheme="minorBidi"/>
          <w:noProof/>
          <w:sz w:val="22"/>
          <w:szCs w:val="22"/>
        </w:rPr>
      </w:pPr>
      <w:r>
        <w:rPr>
          <w:noProof/>
        </w:rPr>
        <w:t>15.</w:t>
      </w:r>
      <w:r>
        <w:rPr>
          <w:rFonts w:asciiTheme="minorHAnsi" w:eastAsiaTheme="minorEastAsia" w:hAnsiTheme="minorHAnsi" w:cstheme="minorBidi"/>
          <w:noProof/>
          <w:sz w:val="22"/>
          <w:szCs w:val="22"/>
        </w:rPr>
        <w:tab/>
      </w:r>
      <w:r>
        <w:rPr>
          <w:noProof/>
        </w:rPr>
        <w:t>Reasons for Program Changes or Adjustments</w:t>
      </w:r>
      <w:r>
        <w:rPr>
          <w:noProof/>
        </w:rPr>
        <w:tab/>
        <w:t>20</w:t>
      </w:r>
    </w:p>
    <w:p w:rsidR="00785832" w:rsidRDefault="00785832" w:rsidP="00785832">
      <w:pPr>
        <w:pStyle w:val="TOC3"/>
        <w:tabs>
          <w:tab w:val="left" w:pos="1008"/>
        </w:tabs>
        <w:rPr>
          <w:rFonts w:asciiTheme="minorHAnsi" w:eastAsiaTheme="minorEastAsia" w:hAnsiTheme="minorHAnsi" w:cstheme="minorBidi"/>
          <w:noProof/>
          <w:sz w:val="22"/>
          <w:szCs w:val="22"/>
        </w:rPr>
      </w:pPr>
      <w:r>
        <w:rPr>
          <w:noProof/>
        </w:rPr>
        <w:t>16.</w:t>
      </w:r>
      <w:r>
        <w:rPr>
          <w:rFonts w:asciiTheme="minorHAnsi" w:eastAsiaTheme="minorEastAsia" w:hAnsiTheme="minorHAnsi" w:cstheme="minorBidi"/>
          <w:noProof/>
          <w:sz w:val="22"/>
          <w:szCs w:val="22"/>
        </w:rPr>
        <w:tab/>
      </w:r>
      <w:r>
        <w:rPr>
          <w:noProof/>
        </w:rPr>
        <w:t>Tabulation, Publication Plans, and Time Schedules</w:t>
      </w:r>
      <w:r>
        <w:rPr>
          <w:noProof/>
        </w:rPr>
        <w:tab/>
        <w:t>20</w:t>
      </w:r>
    </w:p>
    <w:p w:rsidR="00785832" w:rsidRDefault="00785832" w:rsidP="00785832">
      <w:pPr>
        <w:pStyle w:val="TOC3"/>
        <w:tabs>
          <w:tab w:val="left" w:pos="1008"/>
        </w:tabs>
        <w:rPr>
          <w:rFonts w:asciiTheme="minorHAnsi" w:eastAsiaTheme="minorEastAsia" w:hAnsiTheme="minorHAnsi" w:cstheme="minorBidi"/>
          <w:noProof/>
          <w:sz w:val="22"/>
          <w:szCs w:val="22"/>
        </w:rPr>
      </w:pPr>
      <w:r>
        <w:rPr>
          <w:noProof/>
        </w:rPr>
        <w:t>17.</w:t>
      </w:r>
      <w:r>
        <w:rPr>
          <w:rFonts w:asciiTheme="minorHAnsi" w:eastAsiaTheme="minorEastAsia" w:hAnsiTheme="minorHAnsi" w:cstheme="minorBidi"/>
          <w:noProof/>
          <w:sz w:val="22"/>
          <w:szCs w:val="22"/>
        </w:rPr>
        <w:tab/>
      </w:r>
      <w:r>
        <w:rPr>
          <w:noProof/>
        </w:rPr>
        <w:t>Approval Not to Display the Expiration Date for OMB Approval</w:t>
      </w:r>
      <w:r>
        <w:rPr>
          <w:noProof/>
        </w:rPr>
        <w:tab/>
        <w:t>24</w:t>
      </w:r>
    </w:p>
    <w:p w:rsidR="004171DB" w:rsidRDefault="00785832" w:rsidP="00785832">
      <w:pPr>
        <w:pStyle w:val="TOC3"/>
        <w:tabs>
          <w:tab w:val="left" w:pos="1008"/>
        </w:tabs>
        <w:rPr>
          <w:rFonts w:asciiTheme="minorHAnsi" w:eastAsiaTheme="minorEastAsia" w:hAnsiTheme="minorHAnsi" w:cstheme="minorBidi"/>
          <w:noProof/>
          <w:sz w:val="22"/>
          <w:szCs w:val="22"/>
        </w:rPr>
      </w:pPr>
      <w:r>
        <w:rPr>
          <w:noProof/>
        </w:rPr>
        <w:t>18.</w:t>
      </w:r>
      <w:r>
        <w:rPr>
          <w:rFonts w:asciiTheme="minorHAnsi" w:eastAsiaTheme="minorEastAsia" w:hAnsiTheme="minorHAnsi" w:cstheme="minorBidi"/>
          <w:noProof/>
          <w:sz w:val="22"/>
          <w:szCs w:val="22"/>
        </w:rPr>
        <w:tab/>
      </w:r>
      <w:r>
        <w:rPr>
          <w:noProof/>
        </w:rPr>
        <w:t>Exception to the Certification Statement</w:t>
      </w:r>
      <w:r>
        <w:rPr>
          <w:noProof/>
        </w:rPr>
        <w:tab/>
        <w:t>24</w:t>
      </w:r>
    </w:p>
    <w:p w:rsidR="00565748" w:rsidRPr="00432E0D" w:rsidRDefault="00565748" w:rsidP="00565748">
      <w:pPr>
        <w:pStyle w:val="TOC3"/>
        <w:rPr>
          <w:rFonts w:eastAsiaTheme="minorEastAsia"/>
          <w:noProof/>
          <w:szCs w:val="22"/>
        </w:rPr>
      </w:pPr>
    </w:p>
    <w:p w:rsidR="00520C04" w:rsidRDefault="00520C04">
      <w:pPr>
        <w:tabs>
          <w:tab w:val="clear" w:pos="432"/>
        </w:tabs>
        <w:spacing w:line="240" w:lineRule="auto"/>
        <w:ind w:firstLine="0"/>
        <w:jc w:val="left"/>
        <w:rPr>
          <w:b/>
          <w:caps/>
          <w:noProof/>
          <w:sz w:val="22"/>
        </w:rPr>
      </w:pPr>
      <w:r>
        <w:br w:type="page"/>
      </w:r>
    </w:p>
    <w:p w:rsidR="00605805" w:rsidRPr="00A50614" w:rsidRDefault="00A50614" w:rsidP="00A50614">
      <w:pPr>
        <w:pStyle w:val="NormalSS"/>
        <w:spacing w:after="480"/>
        <w:jc w:val="center"/>
        <w:rPr>
          <w:b/>
        </w:rPr>
      </w:pPr>
      <w:r w:rsidRPr="00A50614">
        <w:rPr>
          <w:b/>
        </w:rPr>
        <w:lastRenderedPageBreak/>
        <w:t>APPENDICES</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8"/>
        <w:gridCol w:w="8190"/>
      </w:tblGrid>
      <w:tr w:rsidR="00605805" w:rsidTr="009B4964">
        <w:tc>
          <w:tcPr>
            <w:tcW w:w="1548" w:type="dxa"/>
            <w:vAlign w:val="center"/>
          </w:tcPr>
          <w:p w:rsidR="00605805" w:rsidRDefault="00605805" w:rsidP="009B4964">
            <w:pPr>
              <w:ind w:firstLine="0"/>
              <w:jc w:val="center"/>
            </w:pPr>
            <w:r w:rsidRPr="00432E0D">
              <w:rPr>
                <w:szCs w:val="22"/>
              </w:rPr>
              <w:t>Appendix</w:t>
            </w:r>
            <w:r>
              <w:t xml:space="preserve"> A</w:t>
            </w:r>
          </w:p>
        </w:tc>
        <w:tc>
          <w:tcPr>
            <w:tcW w:w="8190" w:type="dxa"/>
          </w:tcPr>
          <w:p w:rsidR="00605805" w:rsidRDefault="00605805" w:rsidP="00330A3F">
            <w:pPr>
              <w:spacing w:line="240" w:lineRule="auto"/>
              <w:ind w:firstLine="0"/>
              <w:contextualSpacing/>
              <w:jc w:val="left"/>
            </w:pPr>
            <w:r>
              <w:t>Individuals with Disabilities Education Improvement Act, Section 664(e)</w:t>
            </w:r>
          </w:p>
        </w:tc>
      </w:tr>
      <w:tr w:rsidR="00605805" w:rsidTr="009B4964">
        <w:tc>
          <w:tcPr>
            <w:tcW w:w="1548" w:type="dxa"/>
            <w:vAlign w:val="center"/>
          </w:tcPr>
          <w:p w:rsidR="00605805" w:rsidRDefault="00605805" w:rsidP="009B4964">
            <w:pPr>
              <w:ind w:firstLine="0"/>
              <w:jc w:val="center"/>
            </w:pPr>
            <w:r w:rsidRPr="00432E0D">
              <w:rPr>
                <w:szCs w:val="22"/>
              </w:rPr>
              <w:t>Appendix</w:t>
            </w:r>
            <w:r>
              <w:t xml:space="preserve"> B</w:t>
            </w:r>
          </w:p>
        </w:tc>
        <w:tc>
          <w:tcPr>
            <w:tcW w:w="8190" w:type="dxa"/>
          </w:tcPr>
          <w:p w:rsidR="00605805" w:rsidRDefault="00605805" w:rsidP="00330A3F">
            <w:pPr>
              <w:spacing w:line="240" w:lineRule="auto"/>
              <w:ind w:firstLine="0"/>
              <w:contextualSpacing/>
              <w:jc w:val="left"/>
            </w:pPr>
            <w:r>
              <w:t>Individuals with Disabilities Education Improvement Act, Section 664(a)</w:t>
            </w:r>
          </w:p>
        </w:tc>
      </w:tr>
      <w:tr w:rsidR="00605805" w:rsidTr="009B4964">
        <w:tc>
          <w:tcPr>
            <w:tcW w:w="1548" w:type="dxa"/>
            <w:vAlign w:val="center"/>
          </w:tcPr>
          <w:p w:rsidR="00605805" w:rsidRDefault="00605805" w:rsidP="009B4964">
            <w:pPr>
              <w:ind w:firstLine="0"/>
              <w:jc w:val="center"/>
            </w:pPr>
            <w:r w:rsidRPr="00432E0D">
              <w:rPr>
                <w:szCs w:val="22"/>
              </w:rPr>
              <w:t>Appendix</w:t>
            </w:r>
            <w:r>
              <w:t xml:space="preserve"> C</w:t>
            </w:r>
          </w:p>
        </w:tc>
        <w:tc>
          <w:tcPr>
            <w:tcW w:w="8190" w:type="dxa"/>
          </w:tcPr>
          <w:p w:rsidR="00605805" w:rsidRDefault="00B005AC" w:rsidP="00330A3F">
            <w:pPr>
              <w:spacing w:line="240" w:lineRule="auto"/>
              <w:ind w:firstLine="0"/>
              <w:contextualSpacing/>
              <w:jc w:val="left"/>
            </w:pPr>
            <w:r w:rsidRPr="00B005AC">
              <w:rPr>
                <w:i/>
              </w:rPr>
              <w:t>Federal Register</w:t>
            </w:r>
            <w:r w:rsidR="00605805">
              <w:t xml:space="preserve"> Notice</w:t>
            </w:r>
          </w:p>
        </w:tc>
      </w:tr>
      <w:tr w:rsidR="00605805" w:rsidTr="009B4964">
        <w:tc>
          <w:tcPr>
            <w:tcW w:w="1548" w:type="dxa"/>
            <w:vAlign w:val="center"/>
          </w:tcPr>
          <w:p w:rsidR="00605805" w:rsidRDefault="00605805" w:rsidP="009B4964">
            <w:pPr>
              <w:ind w:firstLine="0"/>
              <w:jc w:val="center"/>
            </w:pPr>
            <w:r w:rsidRPr="00432E0D">
              <w:rPr>
                <w:szCs w:val="22"/>
              </w:rPr>
              <w:t>Appendix</w:t>
            </w:r>
            <w:r>
              <w:t xml:space="preserve"> D</w:t>
            </w:r>
          </w:p>
        </w:tc>
        <w:tc>
          <w:tcPr>
            <w:tcW w:w="8190" w:type="dxa"/>
          </w:tcPr>
          <w:p w:rsidR="00605805" w:rsidRDefault="00605805" w:rsidP="00330A3F">
            <w:pPr>
              <w:spacing w:line="240" w:lineRule="auto"/>
              <w:ind w:firstLine="0"/>
              <w:contextualSpacing/>
              <w:jc w:val="left"/>
            </w:pPr>
            <w:r>
              <w:t>Advance Mailing (Letter and Brochure) for Parent, Math/Language Arts Teacher, Principal, and School Program Respondent</w:t>
            </w:r>
          </w:p>
        </w:tc>
      </w:tr>
      <w:tr w:rsidR="00605805" w:rsidTr="009B4964">
        <w:tc>
          <w:tcPr>
            <w:tcW w:w="1548" w:type="dxa"/>
            <w:vAlign w:val="center"/>
          </w:tcPr>
          <w:p w:rsidR="00605805" w:rsidRDefault="00605805" w:rsidP="009B4964">
            <w:pPr>
              <w:ind w:firstLine="0"/>
              <w:jc w:val="center"/>
            </w:pPr>
            <w:r w:rsidRPr="00432E0D">
              <w:rPr>
                <w:szCs w:val="22"/>
              </w:rPr>
              <w:t>Appendix</w:t>
            </w:r>
            <w:r>
              <w:t xml:space="preserve"> E</w:t>
            </w:r>
          </w:p>
        </w:tc>
        <w:tc>
          <w:tcPr>
            <w:tcW w:w="8190" w:type="dxa"/>
          </w:tcPr>
          <w:p w:rsidR="00605805" w:rsidRDefault="00605805" w:rsidP="00330A3F">
            <w:pPr>
              <w:spacing w:line="240" w:lineRule="auto"/>
              <w:ind w:firstLine="0"/>
              <w:contextualSpacing/>
              <w:jc w:val="left"/>
            </w:pPr>
            <w:r>
              <w:t xml:space="preserve">Consent </w:t>
            </w:r>
            <w:r w:rsidR="00330A3F">
              <w:t xml:space="preserve">Form from </w:t>
            </w:r>
            <w:r>
              <w:t xml:space="preserve">Districts </w:t>
            </w:r>
            <w:r w:rsidR="00330A3F">
              <w:t>Requiring Active Consent of Parents</w:t>
            </w:r>
          </w:p>
        </w:tc>
      </w:tr>
      <w:tr w:rsidR="00605805" w:rsidTr="009B4964">
        <w:tc>
          <w:tcPr>
            <w:tcW w:w="1548" w:type="dxa"/>
            <w:vAlign w:val="center"/>
          </w:tcPr>
          <w:p w:rsidR="00605805" w:rsidRDefault="00605805" w:rsidP="009B4964">
            <w:pPr>
              <w:ind w:firstLine="0"/>
              <w:jc w:val="center"/>
            </w:pPr>
            <w:r w:rsidRPr="00432E0D">
              <w:rPr>
                <w:szCs w:val="22"/>
              </w:rPr>
              <w:t>Appendix</w:t>
            </w:r>
            <w:r>
              <w:t xml:space="preserve"> F</w:t>
            </w:r>
          </w:p>
        </w:tc>
        <w:tc>
          <w:tcPr>
            <w:tcW w:w="8190" w:type="dxa"/>
          </w:tcPr>
          <w:p w:rsidR="00605805" w:rsidRDefault="00605805" w:rsidP="00330A3F">
            <w:pPr>
              <w:spacing w:line="240" w:lineRule="auto"/>
              <w:ind w:firstLine="0"/>
              <w:contextualSpacing/>
              <w:jc w:val="left"/>
            </w:pPr>
            <w:r>
              <w:t>Thank You Letters for Parent, Student, Math/Language Arts Teacher, Principal, and School Program Respondent</w:t>
            </w:r>
          </w:p>
        </w:tc>
      </w:tr>
      <w:tr w:rsidR="00605805" w:rsidTr="009B4964">
        <w:tc>
          <w:tcPr>
            <w:tcW w:w="1548" w:type="dxa"/>
            <w:vAlign w:val="center"/>
          </w:tcPr>
          <w:p w:rsidR="00605805" w:rsidRDefault="00605805" w:rsidP="009B4964">
            <w:pPr>
              <w:ind w:firstLine="0"/>
              <w:jc w:val="center"/>
            </w:pPr>
            <w:r w:rsidRPr="00432E0D">
              <w:rPr>
                <w:szCs w:val="22"/>
              </w:rPr>
              <w:t>Appendix</w:t>
            </w:r>
            <w:r>
              <w:t xml:space="preserve"> G</w:t>
            </w:r>
          </w:p>
        </w:tc>
        <w:tc>
          <w:tcPr>
            <w:tcW w:w="8190" w:type="dxa"/>
          </w:tcPr>
          <w:p w:rsidR="00605805" w:rsidRDefault="00605805" w:rsidP="00330A3F">
            <w:pPr>
              <w:spacing w:line="240" w:lineRule="auto"/>
              <w:ind w:firstLine="0"/>
              <w:contextualSpacing/>
              <w:jc w:val="left"/>
            </w:pPr>
            <w:r>
              <w:t>Documentation of Consent/Assent for Parent and Student</w:t>
            </w:r>
          </w:p>
        </w:tc>
      </w:tr>
      <w:tr w:rsidR="00605805" w:rsidTr="009B4964">
        <w:tc>
          <w:tcPr>
            <w:tcW w:w="1548" w:type="dxa"/>
            <w:vAlign w:val="center"/>
          </w:tcPr>
          <w:p w:rsidR="00605805" w:rsidRDefault="00605805" w:rsidP="009B4964">
            <w:pPr>
              <w:ind w:firstLine="0"/>
              <w:jc w:val="center"/>
            </w:pPr>
            <w:r w:rsidRPr="00432E0D">
              <w:rPr>
                <w:szCs w:val="22"/>
              </w:rPr>
              <w:t>Appendix</w:t>
            </w:r>
            <w:r>
              <w:t xml:space="preserve"> H</w:t>
            </w:r>
          </w:p>
        </w:tc>
        <w:tc>
          <w:tcPr>
            <w:tcW w:w="8190" w:type="dxa"/>
          </w:tcPr>
          <w:p w:rsidR="00605805" w:rsidRDefault="00605805" w:rsidP="00330A3F">
            <w:pPr>
              <w:spacing w:line="240" w:lineRule="auto"/>
              <w:ind w:firstLine="0"/>
              <w:contextualSpacing/>
              <w:jc w:val="left"/>
            </w:pPr>
            <w:proofErr w:type="spellStart"/>
            <w:r>
              <w:t>Mathematica</w:t>
            </w:r>
            <w:proofErr w:type="spellEnd"/>
            <w:r>
              <w:t xml:space="preserve"> Confidentiality Pledge</w:t>
            </w:r>
          </w:p>
        </w:tc>
      </w:tr>
      <w:tr w:rsidR="00605805" w:rsidTr="009B4964">
        <w:tc>
          <w:tcPr>
            <w:tcW w:w="1548" w:type="dxa"/>
            <w:vAlign w:val="center"/>
          </w:tcPr>
          <w:p w:rsidR="00605805" w:rsidRDefault="00605805" w:rsidP="009B4964">
            <w:pPr>
              <w:ind w:firstLine="0"/>
              <w:jc w:val="center"/>
            </w:pPr>
            <w:r w:rsidRPr="00432E0D">
              <w:rPr>
                <w:szCs w:val="22"/>
              </w:rPr>
              <w:t>Appendix</w:t>
            </w:r>
            <w:r>
              <w:t xml:space="preserve"> I</w:t>
            </w:r>
          </w:p>
        </w:tc>
        <w:tc>
          <w:tcPr>
            <w:tcW w:w="8190" w:type="dxa"/>
          </w:tcPr>
          <w:p w:rsidR="00605805" w:rsidRDefault="00605805" w:rsidP="00330A3F">
            <w:pPr>
              <w:spacing w:line="240" w:lineRule="auto"/>
              <w:ind w:firstLine="0"/>
              <w:contextualSpacing/>
              <w:jc w:val="left"/>
            </w:pPr>
            <w:r>
              <w:t>School Characteristi</w:t>
            </w:r>
            <w:r w:rsidR="00EC05FD">
              <w:t>cs Survey Instrument (Principal</w:t>
            </w:r>
            <w:r>
              <w:t>)</w:t>
            </w:r>
          </w:p>
        </w:tc>
      </w:tr>
      <w:tr w:rsidR="00605805" w:rsidTr="009B4964">
        <w:tc>
          <w:tcPr>
            <w:tcW w:w="1548" w:type="dxa"/>
            <w:vAlign w:val="center"/>
          </w:tcPr>
          <w:p w:rsidR="00605805" w:rsidRDefault="00605805" w:rsidP="009B4964">
            <w:pPr>
              <w:ind w:firstLine="0"/>
              <w:jc w:val="center"/>
            </w:pPr>
            <w:r w:rsidRPr="00432E0D">
              <w:rPr>
                <w:szCs w:val="22"/>
              </w:rPr>
              <w:t>Appendix</w:t>
            </w:r>
            <w:r>
              <w:t xml:space="preserve"> J</w:t>
            </w:r>
          </w:p>
        </w:tc>
        <w:tc>
          <w:tcPr>
            <w:tcW w:w="8190" w:type="dxa"/>
          </w:tcPr>
          <w:p w:rsidR="00605805" w:rsidRDefault="00605805" w:rsidP="00330A3F">
            <w:pPr>
              <w:spacing w:line="240" w:lineRule="auto"/>
              <w:ind w:firstLine="0"/>
              <w:contextualSpacing/>
              <w:jc w:val="left"/>
            </w:pPr>
            <w:r>
              <w:t xml:space="preserve">Math or Language Arts Teacher Survey Instrument </w:t>
            </w:r>
          </w:p>
        </w:tc>
      </w:tr>
      <w:tr w:rsidR="00605805" w:rsidTr="009B4964">
        <w:tc>
          <w:tcPr>
            <w:tcW w:w="1548" w:type="dxa"/>
            <w:vAlign w:val="center"/>
          </w:tcPr>
          <w:p w:rsidR="00605805" w:rsidRDefault="00605805" w:rsidP="009B4964">
            <w:pPr>
              <w:ind w:firstLine="0"/>
              <w:jc w:val="center"/>
            </w:pPr>
            <w:r w:rsidRPr="00432E0D">
              <w:rPr>
                <w:szCs w:val="22"/>
              </w:rPr>
              <w:t>Appendix</w:t>
            </w:r>
            <w:r>
              <w:t xml:space="preserve"> K</w:t>
            </w:r>
          </w:p>
        </w:tc>
        <w:tc>
          <w:tcPr>
            <w:tcW w:w="8190" w:type="dxa"/>
          </w:tcPr>
          <w:p w:rsidR="00605805" w:rsidRDefault="00605805" w:rsidP="00330A3F">
            <w:pPr>
              <w:spacing w:line="240" w:lineRule="auto"/>
              <w:ind w:firstLine="0"/>
              <w:contextualSpacing/>
              <w:jc w:val="left"/>
            </w:pPr>
            <w:r>
              <w:t>School Program Survey Instrument</w:t>
            </w:r>
            <w:r w:rsidR="00FA059D">
              <w:t xml:space="preserve"> (Special Education Teacher)</w:t>
            </w:r>
          </w:p>
        </w:tc>
      </w:tr>
      <w:tr w:rsidR="00605805" w:rsidTr="009B4964">
        <w:tc>
          <w:tcPr>
            <w:tcW w:w="1548" w:type="dxa"/>
            <w:vAlign w:val="center"/>
          </w:tcPr>
          <w:p w:rsidR="00605805" w:rsidRDefault="00605805" w:rsidP="009B4964">
            <w:pPr>
              <w:ind w:firstLine="0"/>
              <w:jc w:val="center"/>
            </w:pPr>
            <w:r w:rsidRPr="00432E0D">
              <w:rPr>
                <w:szCs w:val="22"/>
              </w:rPr>
              <w:t>Appendix</w:t>
            </w:r>
            <w:r>
              <w:t xml:space="preserve"> L</w:t>
            </w:r>
          </w:p>
        </w:tc>
        <w:tc>
          <w:tcPr>
            <w:tcW w:w="8190" w:type="dxa"/>
          </w:tcPr>
          <w:p w:rsidR="00605805" w:rsidRDefault="00605805" w:rsidP="00330A3F">
            <w:pPr>
              <w:spacing w:line="240" w:lineRule="auto"/>
              <w:ind w:firstLine="0"/>
              <w:contextualSpacing/>
              <w:jc w:val="left"/>
            </w:pPr>
            <w:r>
              <w:t xml:space="preserve">Baseline Parent Survey Instrument </w:t>
            </w:r>
          </w:p>
        </w:tc>
      </w:tr>
      <w:tr w:rsidR="00605805" w:rsidTr="009B4964">
        <w:tc>
          <w:tcPr>
            <w:tcW w:w="1548" w:type="dxa"/>
            <w:vAlign w:val="center"/>
          </w:tcPr>
          <w:p w:rsidR="00605805" w:rsidRDefault="00605805" w:rsidP="009B4964">
            <w:pPr>
              <w:ind w:firstLine="0"/>
              <w:jc w:val="center"/>
            </w:pPr>
            <w:r w:rsidRPr="00432E0D">
              <w:rPr>
                <w:szCs w:val="22"/>
              </w:rPr>
              <w:t>Appendix</w:t>
            </w:r>
            <w:r>
              <w:t xml:space="preserve"> L</w:t>
            </w:r>
          </w:p>
        </w:tc>
        <w:tc>
          <w:tcPr>
            <w:tcW w:w="8190" w:type="dxa"/>
          </w:tcPr>
          <w:p w:rsidR="00605805" w:rsidRDefault="00605805" w:rsidP="00330A3F">
            <w:pPr>
              <w:spacing w:line="240" w:lineRule="auto"/>
              <w:ind w:firstLine="0"/>
              <w:contextualSpacing/>
              <w:jc w:val="left"/>
            </w:pPr>
            <w:r>
              <w:t>Baseline Student Survey Instrument</w:t>
            </w:r>
          </w:p>
        </w:tc>
      </w:tr>
      <w:tr w:rsidR="00BA4312" w:rsidTr="009B4964">
        <w:tc>
          <w:tcPr>
            <w:tcW w:w="1548" w:type="dxa"/>
            <w:vAlign w:val="center"/>
          </w:tcPr>
          <w:p w:rsidR="00BA4312" w:rsidRPr="00432E0D" w:rsidRDefault="00BA4312" w:rsidP="009B4964">
            <w:pPr>
              <w:ind w:firstLine="0"/>
              <w:jc w:val="center"/>
              <w:rPr>
                <w:szCs w:val="22"/>
              </w:rPr>
            </w:pPr>
            <w:r>
              <w:rPr>
                <w:szCs w:val="22"/>
              </w:rPr>
              <w:t>Appendix M</w:t>
            </w:r>
          </w:p>
        </w:tc>
        <w:tc>
          <w:tcPr>
            <w:tcW w:w="8190" w:type="dxa"/>
          </w:tcPr>
          <w:p w:rsidR="00BA4312" w:rsidRDefault="00BA4312" w:rsidP="00330A3F">
            <w:pPr>
              <w:spacing w:line="240" w:lineRule="auto"/>
              <w:ind w:firstLine="0"/>
              <w:contextualSpacing/>
              <w:jc w:val="left"/>
            </w:pPr>
            <w:r>
              <w:t>Variables Measuring Student Characteristics, School Resources and Student Experiences, and Perceived Barriers</w:t>
            </w:r>
          </w:p>
        </w:tc>
      </w:tr>
    </w:tbl>
    <w:p w:rsidR="002861D3" w:rsidRPr="00432E0D" w:rsidRDefault="002861D3" w:rsidP="002861D3"/>
    <w:p w:rsidR="002861D3" w:rsidRPr="00432E0D" w:rsidRDefault="002861D3" w:rsidP="002861D3">
      <w:pPr>
        <w:sectPr w:rsidR="002861D3" w:rsidRPr="00432E0D" w:rsidSect="00C92371">
          <w:headerReference w:type="default" r:id="rId17"/>
          <w:footerReference w:type="default" r:id="rId18"/>
          <w:endnotePr>
            <w:numFmt w:val="decimal"/>
          </w:endnotePr>
          <w:pgSz w:w="12240" w:h="15840" w:code="1"/>
          <w:pgMar w:top="1440" w:right="1440" w:bottom="576" w:left="1440" w:header="720" w:footer="576" w:gutter="0"/>
          <w:pgNumType w:fmt="lowerRoman" w:start="3"/>
          <w:cols w:space="720"/>
          <w:docGrid w:linePitch="326"/>
        </w:sectPr>
      </w:pPr>
    </w:p>
    <w:p w:rsidR="009F55ED" w:rsidRPr="009F55ED" w:rsidRDefault="009F55ED" w:rsidP="009F55ED">
      <w:pPr>
        <w:pStyle w:val="NormalSS"/>
        <w:spacing w:after="480"/>
        <w:jc w:val="center"/>
        <w:rPr>
          <w:b/>
        </w:rPr>
      </w:pPr>
      <w:bookmarkStart w:id="22" w:name="_Toc298415677"/>
      <w:bookmarkStart w:id="23" w:name="_Toc298418558"/>
      <w:bookmarkStart w:id="24" w:name="_Toc63827176"/>
      <w:bookmarkStart w:id="25" w:name="_Toc70752925"/>
      <w:bookmarkStart w:id="26" w:name="_Toc213228317"/>
      <w:bookmarkStart w:id="27" w:name="_Toc276390665"/>
      <w:bookmarkStart w:id="28" w:name="_Toc276988154"/>
      <w:bookmarkStart w:id="29" w:name="_Toc277079573"/>
      <w:bookmarkStart w:id="30" w:name="_Toc283908713"/>
      <w:bookmarkEnd w:id="1"/>
      <w:r w:rsidRPr="009F55ED">
        <w:rPr>
          <w:b/>
        </w:rPr>
        <w:lastRenderedPageBreak/>
        <w:t>TABLES</w:t>
      </w:r>
    </w:p>
    <w:p w:rsidR="00072276" w:rsidRDefault="00072276" w:rsidP="00072276">
      <w:pPr>
        <w:pStyle w:val="TableofFigures"/>
        <w:rPr>
          <w:rFonts w:asciiTheme="minorHAnsi" w:eastAsiaTheme="minorEastAsia" w:hAnsiTheme="minorHAnsi" w:cstheme="minorBidi"/>
          <w:noProof/>
          <w:sz w:val="22"/>
          <w:szCs w:val="22"/>
        </w:rPr>
      </w:pPr>
      <w:r>
        <w:rPr>
          <w:noProof/>
        </w:rPr>
        <w:t>A.1.</w:t>
      </w:r>
      <w:r>
        <w:rPr>
          <w:noProof/>
        </w:rPr>
        <w:tab/>
        <w:t>NLTS 2010 Phase I Data Collection Plan</w:t>
      </w:r>
      <w:r>
        <w:rPr>
          <w:noProof/>
        </w:rPr>
        <w:tab/>
        <w:t>3</w:t>
      </w:r>
    </w:p>
    <w:p w:rsidR="00072276" w:rsidRDefault="00072276" w:rsidP="00072276">
      <w:pPr>
        <w:pStyle w:val="TableofFigures"/>
        <w:rPr>
          <w:rFonts w:asciiTheme="minorHAnsi" w:eastAsiaTheme="minorEastAsia" w:hAnsiTheme="minorHAnsi" w:cstheme="minorBidi"/>
          <w:noProof/>
          <w:sz w:val="22"/>
          <w:szCs w:val="22"/>
        </w:rPr>
      </w:pPr>
      <w:r>
        <w:rPr>
          <w:noProof/>
        </w:rPr>
        <w:t>A.2.</w:t>
      </w:r>
      <w:r>
        <w:rPr>
          <w:noProof/>
        </w:rPr>
        <w:tab/>
        <w:t>Key Academic, Social, and Economic Outcomes for NLTS 2012</w:t>
      </w:r>
      <w:r>
        <w:rPr>
          <w:noProof/>
        </w:rPr>
        <w:tab/>
        <w:t>9</w:t>
      </w:r>
    </w:p>
    <w:p w:rsidR="00072276" w:rsidRDefault="00072276" w:rsidP="00072276">
      <w:pPr>
        <w:pStyle w:val="TableofFigures"/>
        <w:rPr>
          <w:rFonts w:asciiTheme="minorHAnsi" w:eastAsiaTheme="minorEastAsia" w:hAnsiTheme="minorHAnsi" w:cstheme="minorBidi"/>
          <w:noProof/>
          <w:sz w:val="22"/>
          <w:szCs w:val="22"/>
        </w:rPr>
      </w:pPr>
      <w:r>
        <w:rPr>
          <w:noProof/>
        </w:rPr>
        <w:t>A.3.</w:t>
      </w:r>
      <w:r>
        <w:rPr>
          <w:noProof/>
        </w:rPr>
        <w:tab/>
        <w:t>Baseline Data Collection Summary by Instrument</w:t>
      </w:r>
      <w:r>
        <w:rPr>
          <w:noProof/>
        </w:rPr>
        <w:tab/>
        <w:t>15</w:t>
      </w:r>
    </w:p>
    <w:p w:rsidR="00072276" w:rsidRDefault="00072276" w:rsidP="00072276">
      <w:pPr>
        <w:pStyle w:val="TableofFigures"/>
        <w:rPr>
          <w:rFonts w:asciiTheme="minorHAnsi" w:eastAsiaTheme="minorEastAsia" w:hAnsiTheme="minorHAnsi" w:cstheme="minorBidi"/>
          <w:noProof/>
          <w:sz w:val="22"/>
          <w:szCs w:val="22"/>
        </w:rPr>
      </w:pPr>
      <w:r>
        <w:rPr>
          <w:noProof/>
        </w:rPr>
        <w:t>A.4.</w:t>
      </w:r>
      <w:r>
        <w:rPr>
          <w:noProof/>
        </w:rPr>
        <w:tab/>
        <w:t>2012 Burden Associated with Baseline Data Collection Activities to Be Completed</w:t>
      </w:r>
      <w:r>
        <w:rPr>
          <w:noProof/>
        </w:rPr>
        <w:tab/>
        <w:t>19</w:t>
      </w:r>
    </w:p>
    <w:p w:rsidR="00072276" w:rsidRDefault="00072276" w:rsidP="00072276">
      <w:pPr>
        <w:pStyle w:val="TableofFigures"/>
        <w:rPr>
          <w:rFonts w:asciiTheme="minorHAnsi" w:eastAsiaTheme="minorEastAsia" w:hAnsiTheme="minorHAnsi" w:cstheme="minorBidi"/>
          <w:noProof/>
          <w:sz w:val="22"/>
          <w:szCs w:val="22"/>
        </w:rPr>
      </w:pPr>
      <w:r>
        <w:rPr>
          <w:noProof/>
        </w:rPr>
        <w:t>A.5.</w:t>
      </w:r>
      <w:r>
        <w:rPr>
          <w:noProof/>
        </w:rPr>
        <w:tab/>
        <w:t>Characteristics, School Programs, and School Outcomes at Baseline for Students with an IEP by Age Group</w:t>
      </w:r>
      <w:r>
        <w:rPr>
          <w:noProof/>
        </w:rPr>
        <w:tab/>
        <w:t>21</w:t>
      </w:r>
    </w:p>
    <w:p w:rsidR="00072276" w:rsidRDefault="00072276" w:rsidP="00072276">
      <w:pPr>
        <w:pStyle w:val="TableofFigures"/>
        <w:rPr>
          <w:rFonts w:asciiTheme="minorHAnsi" w:eastAsiaTheme="minorEastAsia" w:hAnsiTheme="minorHAnsi" w:cstheme="minorBidi"/>
          <w:noProof/>
          <w:sz w:val="22"/>
          <w:szCs w:val="22"/>
        </w:rPr>
      </w:pPr>
      <w:r>
        <w:rPr>
          <w:noProof/>
        </w:rPr>
        <w:t>A.6.</w:t>
      </w:r>
      <w:r>
        <w:rPr>
          <w:noProof/>
        </w:rPr>
        <w:tab/>
        <w:t>Characteristics, School Programs, Outcomes, and Perceived Challenges at Baseline of Students with an IEP and Students with No IEP</w:t>
      </w:r>
      <w:r>
        <w:rPr>
          <w:noProof/>
        </w:rPr>
        <w:tab/>
        <w:t>22</w:t>
      </w:r>
    </w:p>
    <w:p w:rsidR="00072276" w:rsidRDefault="00072276" w:rsidP="00072276">
      <w:pPr>
        <w:pStyle w:val="TableofFigures"/>
        <w:rPr>
          <w:rFonts w:asciiTheme="minorHAnsi" w:eastAsiaTheme="minorEastAsia" w:hAnsiTheme="minorHAnsi" w:cstheme="minorBidi"/>
          <w:noProof/>
          <w:sz w:val="22"/>
          <w:szCs w:val="22"/>
        </w:rPr>
      </w:pPr>
      <w:r>
        <w:rPr>
          <w:noProof/>
        </w:rPr>
        <w:t>A.7.</w:t>
      </w:r>
      <w:r>
        <w:rPr>
          <w:noProof/>
        </w:rPr>
        <w:tab/>
        <w:t>Characteristics, School Experiences, and Outcomes of Students with an IEP in 1987, 2001, and 2010</w:t>
      </w:r>
      <w:r>
        <w:rPr>
          <w:noProof/>
        </w:rPr>
        <w:tab/>
        <w:t>23</w:t>
      </w:r>
    </w:p>
    <w:p w:rsidR="00072276" w:rsidRDefault="00072276" w:rsidP="00072276">
      <w:pPr>
        <w:pStyle w:val="TableofFigures"/>
        <w:rPr>
          <w:rFonts w:asciiTheme="minorHAnsi" w:eastAsiaTheme="minorEastAsia" w:hAnsiTheme="minorHAnsi" w:cstheme="minorBidi"/>
          <w:noProof/>
          <w:sz w:val="22"/>
          <w:szCs w:val="22"/>
        </w:rPr>
      </w:pPr>
      <w:r>
        <w:rPr>
          <w:noProof/>
        </w:rPr>
        <w:t>A.8.</w:t>
      </w:r>
      <w:r>
        <w:rPr>
          <w:noProof/>
        </w:rPr>
        <w:tab/>
        <w:t>NLTS Timeline for Data Collection and Reporting</w:t>
      </w:r>
      <w:r>
        <w:rPr>
          <w:noProof/>
        </w:rPr>
        <w:tab/>
        <w:t>24</w:t>
      </w:r>
    </w:p>
    <w:p w:rsidR="009F55ED" w:rsidRPr="00912760" w:rsidRDefault="009F55ED" w:rsidP="009F55ED">
      <w:pPr>
        <w:pStyle w:val="TableofFigures"/>
        <w:tabs>
          <w:tab w:val="clear" w:pos="9360"/>
          <w:tab w:val="left" w:pos="1440"/>
          <w:tab w:val="right" w:leader="dot" w:pos="9346"/>
        </w:tabs>
        <w:rPr>
          <w:rFonts w:asciiTheme="minorHAnsi" w:eastAsiaTheme="minorEastAsia" w:hAnsiTheme="minorHAnsi" w:cstheme="minorBidi"/>
          <w:noProof/>
          <w:szCs w:val="22"/>
        </w:rPr>
      </w:pPr>
    </w:p>
    <w:p w:rsidR="009F55ED" w:rsidRPr="00912760" w:rsidRDefault="009F55ED" w:rsidP="009F55ED">
      <w:pPr>
        <w:pStyle w:val="Heading1Black"/>
        <w:sectPr w:rsidR="009F55ED" w:rsidRPr="00912760" w:rsidSect="00E24EDB">
          <w:footerReference w:type="default" r:id="rId19"/>
          <w:endnotePr>
            <w:numFmt w:val="decimal"/>
          </w:endnotePr>
          <w:pgSz w:w="12240" w:h="15840" w:code="1"/>
          <w:pgMar w:top="1440" w:right="1440" w:bottom="576" w:left="1440" w:header="720" w:footer="576" w:gutter="0"/>
          <w:pgNumType w:fmt="lowerRoman"/>
          <w:cols w:space="720"/>
          <w:docGrid w:linePitch="150"/>
        </w:sectPr>
      </w:pPr>
    </w:p>
    <w:p w:rsidR="007C3366" w:rsidRPr="007C3366" w:rsidRDefault="007C3366" w:rsidP="0075064E">
      <w:pPr>
        <w:pStyle w:val="Heading1Black"/>
      </w:pPr>
      <w:r w:rsidRPr="007C3366">
        <w:lastRenderedPageBreak/>
        <w:t>INTRODUCTION</w:t>
      </w:r>
      <w:bookmarkEnd w:id="22"/>
      <w:bookmarkEnd w:id="23"/>
    </w:p>
    <w:p w:rsidR="007C3366" w:rsidRPr="007C3366" w:rsidRDefault="007C3366" w:rsidP="007C3366">
      <w:pPr>
        <w:spacing w:after="240" w:line="240" w:lineRule="auto"/>
        <w:rPr>
          <w:bCs/>
        </w:rPr>
      </w:pPr>
      <w:r w:rsidRPr="007C3366">
        <w:rPr>
          <w:bCs/>
        </w:rPr>
        <w:t xml:space="preserve">The U.S. Department of Education (ED) is requesting Office of Management and Budget (OMB) </w:t>
      </w:r>
      <w:r w:rsidR="00BC5176">
        <w:rPr>
          <w:bCs/>
        </w:rPr>
        <w:t>approval</w:t>
      </w:r>
      <w:r w:rsidRPr="007C3366">
        <w:rPr>
          <w:bCs/>
        </w:rPr>
        <w:t xml:space="preserve"> for </w:t>
      </w:r>
      <w:r w:rsidR="0094240E">
        <w:rPr>
          <w:bCs/>
        </w:rPr>
        <w:t xml:space="preserve">baseline </w:t>
      </w:r>
      <w:r w:rsidR="00BC5176">
        <w:rPr>
          <w:bCs/>
        </w:rPr>
        <w:t xml:space="preserve">data collection as part of </w:t>
      </w:r>
      <w:r w:rsidRPr="007C3366">
        <w:rPr>
          <w:bCs/>
        </w:rPr>
        <w:t xml:space="preserve">the National Longitudinal Transition Study </w:t>
      </w:r>
      <w:r w:rsidRPr="007C3366">
        <w:rPr>
          <w:caps/>
        </w:rPr>
        <w:t>(NLTS) 2012</w:t>
      </w:r>
      <w:r w:rsidRPr="007C3366">
        <w:rPr>
          <w:bCs/>
        </w:rPr>
        <w:t>, Phase I</w:t>
      </w:r>
      <w:r w:rsidR="0094240E">
        <w:rPr>
          <w:bCs/>
        </w:rPr>
        <w:t>. NLTS 2012</w:t>
      </w:r>
      <w:r w:rsidR="000A3417">
        <w:rPr>
          <w:bCs/>
        </w:rPr>
        <w:t xml:space="preserve"> is</w:t>
      </w:r>
      <w:r w:rsidR="000A3417" w:rsidRPr="007C3366">
        <w:rPr>
          <w:bCs/>
        </w:rPr>
        <w:t xml:space="preserve"> </w:t>
      </w:r>
      <w:r w:rsidRPr="007C3366">
        <w:rPr>
          <w:bCs/>
        </w:rPr>
        <w:t xml:space="preserve">a longitudinal study focused on the educational experiences and transition from school of youth with disabilities between the ages of 13 and 21. </w:t>
      </w:r>
    </w:p>
    <w:p w:rsidR="007C3366" w:rsidRPr="007C3366" w:rsidRDefault="007C3366" w:rsidP="00BA4312">
      <w:pPr>
        <w:pStyle w:val="ParagraphSSLAST"/>
      </w:pPr>
      <w:r w:rsidRPr="007C3366">
        <w:t xml:space="preserve">The main objectives of the study are to describe the background, secondary school, transition, postsecondary experiences, and outcomes of youth who currently </w:t>
      </w:r>
      <w:r w:rsidR="00BC5176">
        <w:t xml:space="preserve">have an </w:t>
      </w:r>
      <w:r w:rsidR="0027673D">
        <w:t>individualized education plan (</w:t>
      </w:r>
      <w:r w:rsidR="00BC5176">
        <w:t>IEP</w:t>
      </w:r>
      <w:r w:rsidR="0027673D">
        <w:t>)</w:t>
      </w:r>
      <w:r w:rsidR="00BC5176">
        <w:t xml:space="preserve"> (and therefore </w:t>
      </w:r>
      <w:r w:rsidRPr="007C3366">
        <w:t xml:space="preserve">receive special education services under </w:t>
      </w:r>
      <w:r w:rsidR="00BC5176">
        <w:t xml:space="preserve">the </w:t>
      </w:r>
      <w:r w:rsidRPr="007C3366">
        <w:t>I</w:t>
      </w:r>
      <w:r w:rsidR="00BC5176">
        <w:t xml:space="preserve">ndividuals with </w:t>
      </w:r>
      <w:r w:rsidRPr="007C3366">
        <w:t>D</w:t>
      </w:r>
      <w:r w:rsidR="00BC5176">
        <w:t>isabilit</w:t>
      </w:r>
      <w:r w:rsidR="0027673D">
        <w:t>ies</w:t>
      </w:r>
      <w:r w:rsidR="00BC5176">
        <w:t xml:space="preserve"> </w:t>
      </w:r>
      <w:r w:rsidRPr="007C3366">
        <w:t>E</w:t>
      </w:r>
      <w:r w:rsidR="00BC5176">
        <w:t xml:space="preserve">ducation </w:t>
      </w:r>
      <w:r w:rsidRPr="007C3366">
        <w:t>A</w:t>
      </w:r>
      <w:r w:rsidR="00BC5176">
        <w:t>ct (IDEA))</w:t>
      </w:r>
      <w:r w:rsidR="000A3417">
        <w:t>. The study will compare</w:t>
      </w:r>
      <w:r w:rsidRPr="007C3366">
        <w:t xml:space="preserve"> this group </w:t>
      </w:r>
      <w:r w:rsidR="000A3417">
        <w:t xml:space="preserve">with </w:t>
      </w:r>
      <w:r w:rsidRPr="007C3366">
        <w:t xml:space="preserve">three other groups: (1) youth who have no identified disability, (2) youth who do not </w:t>
      </w:r>
      <w:r w:rsidR="00BC5176">
        <w:t xml:space="preserve">have an IEP </w:t>
      </w:r>
      <w:r w:rsidRPr="007C3366">
        <w:t>but who have a condition that qualifies them for accommodation under Section 504 of the Vocational Rehabilitation Act of 1973</w:t>
      </w:r>
      <w:r w:rsidR="0027673D">
        <w:t>,</w:t>
      </w:r>
      <w:r w:rsidRPr="007C3366">
        <w:t xml:space="preserve"> and (3) similar cohorts of youth</w:t>
      </w:r>
      <w:r w:rsidR="001C44EA" w:rsidRPr="00595CCE">
        <w:t xml:space="preserve"> with an IEP</w:t>
      </w:r>
      <w:r w:rsidR="00BC5176">
        <w:t xml:space="preserve"> </w:t>
      </w:r>
      <w:r w:rsidRPr="007C3366">
        <w:t>who were studied in the past.</w:t>
      </w:r>
    </w:p>
    <w:p w:rsidR="007C3366" w:rsidRPr="007C3366" w:rsidRDefault="0075064E" w:rsidP="0075064E">
      <w:pPr>
        <w:pStyle w:val="Heading2Black"/>
      </w:pPr>
      <w:bookmarkStart w:id="31" w:name="_Toc298415678"/>
      <w:bookmarkStart w:id="32" w:name="_Toc298418559"/>
      <w:r w:rsidRPr="007C3366">
        <w:t>RESEARCH QUESTIONS</w:t>
      </w:r>
      <w:bookmarkEnd w:id="31"/>
      <w:bookmarkEnd w:id="32"/>
    </w:p>
    <w:p w:rsidR="007C3366" w:rsidRPr="007C3366" w:rsidRDefault="007C3366" w:rsidP="007C3366">
      <w:pPr>
        <w:spacing w:line="240" w:lineRule="auto"/>
      </w:pPr>
      <w:r w:rsidRPr="007C3366">
        <w:t xml:space="preserve">The study will obtain information on three broad areas important for understanding the experiences of transition-age youth: (1) the characteristics of youth and their families; (2) the experiences of youth in high school (including their academic program and the services they receive to support acquisition of academic proficiencies as well as transition); and (3) youth outcomes (high school completion status, access to postsecondary education and employment, persistence in postsecondary education and employment, </w:t>
      </w:r>
      <w:r w:rsidR="000A3417">
        <w:t xml:space="preserve">independent living and </w:t>
      </w:r>
      <w:r w:rsidRPr="007C3366">
        <w:t>integration into the community, and access to and use of services to support positive outcomes). NLTS 2012 will address the following research questions under the three broad objectives:</w:t>
      </w:r>
    </w:p>
    <w:p w:rsidR="007C3366" w:rsidRPr="007C3366" w:rsidRDefault="007C3366" w:rsidP="007C3366">
      <w:pPr>
        <w:spacing w:line="240" w:lineRule="auto"/>
      </w:pPr>
    </w:p>
    <w:p w:rsidR="007C3366" w:rsidRPr="00F63796" w:rsidRDefault="007C3366" w:rsidP="007C3366">
      <w:pPr>
        <w:tabs>
          <w:tab w:val="clear" w:pos="432"/>
        </w:tabs>
        <w:spacing w:line="240" w:lineRule="auto"/>
        <w:ind w:firstLine="0"/>
        <w:rPr>
          <w:rFonts w:ascii="Times New Roman Bold" w:hAnsi="Times New Roman Bold"/>
          <w:b/>
          <w:i/>
          <w:szCs w:val="22"/>
        </w:rPr>
      </w:pPr>
      <w:r w:rsidRPr="00F63796">
        <w:rPr>
          <w:rFonts w:ascii="Times New Roman Bold" w:hAnsi="Times New Roman Bold"/>
          <w:b/>
          <w:i/>
          <w:szCs w:val="22"/>
        </w:rPr>
        <w:t>Describe Transition</w:t>
      </w:r>
      <w:r w:rsidR="00EC279C" w:rsidRPr="00F63796">
        <w:rPr>
          <w:rFonts w:ascii="Times New Roman Bold" w:hAnsi="Times New Roman Bold"/>
          <w:b/>
          <w:i/>
          <w:szCs w:val="22"/>
        </w:rPr>
        <w:t>-</w:t>
      </w:r>
      <w:r w:rsidRPr="00F63796">
        <w:rPr>
          <w:rFonts w:ascii="Times New Roman Bold" w:hAnsi="Times New Roman Bold"/>
          <w:b/>
          <w:i/>
          <w:szCs w:val="22"/>
        </w:rPr>
        <w:t xml:space="preserve">Age Students </w:t>
      </w:r>
      <w:r w:rsidR="00EC279C" w:rsidRPr="00F63796">
        <w:rPr>
          <w:rFonts w:ascii="Times New Roman Bold" w:hAnsi="Times New Roman Bold"/>
          <w:b/>
          <w:i/>
          <w:szCs w:val="22"/>
        </w:rPr>
        <w:t>w</w:t>
      </w:r>
      <w:r w:rsidRPr="00F63796">
        <w:rPr>
          <w:rFonts w:ascii="Times New Roman Bold" w:hAnsi="Times New Roman Bold"/>
          <w:b/>
          <w:i/>
          <w:szCs w:val="22"/>
        </w:rPr>
        <w:t>ith an IEP</w:t>
      </w:r>
    </w:p>
    <w:p w:rsidR="007C3366" w:rsidRPr="007C3366" w:rsidRDefault="007C3366" w:rsidP="007C3366">
      <w:pPr>
        <w:tabs>
          <w:tab w:val="clear" w:pos="432"/>
        </w:tabs>
        <w:spacing w:line="240" w:lineRule="auto"/>
        <w:ind w:firstLine="0"/>
        <w:rPr>
          <w:b/>
          <w:i/>
          <w:sz w:val="22"/>
          <w:szCs w:val="22"/>
        </w:rPr>
      </w:pPr>
    </w:p>
    <w:p w:rsidR="007C3366" w:rsidRPr="007C3366" w:rsidRDefault="007C3366" w:rsidP="007C3366">
      <w:pPr>
        <w:pStyle w:val="NumberedBullet"/>
      </w:pPr>
      <w:r w:rsidRPr="007C3366">
        <w:t>What are the personal, family, and school characteristics of this group?</w:t>
      </w:r>
    </w:p>
    <w:p w:rsidR="007C3366" w:rsidRPr="007C3366" w:rsidRDefault="007C3366" w:rsidP="007C3366">
      <w:pPr>
        <w:pStyle w:val="NumberedBullet"/>
      </w:pPr>
      <w:r w:rsidRPr="007C3366">
        <w:t xml:space="preserve">What are their courses of study, services and accommodations to support learning, and preparation for transition? What barriers and challenges do they encounter? </w:t>
      </w:r>
    </w:p>
    <w:p w:rsidR="007C3366" w:rsidRPr="007C3366" w:rsidRDefault="00BC5176" w:rsidP="007C3366">
      <w:pPr>
        <w:pStyle w:val="NumberedBullet"/>
      </w:pPr>
      <w:r>
        <w:t>What are the</w:t>
      </w:r>
      <w:r w:rsidR="007C3366" w:rsidRPr="007C3366">
        <w:t xml:space="preserve"> key academic, social, and economic outcomes in school and </w:t>
      </w:r>
      <w:r>
        <w:t>after leaving</w:t>
      </w:r>
      <w:r w:rsidR="007C3366" w:rsidRPr="007C3366">
        <w:t xml:space="preserve"> school for youth with disabilities?</w:t>
      </w:r>
    </w:p>
    <w:p w:rsidR="007C3366" w:rsidRPr="007C3366" w:rsidRDefault="007C3366" w:rsidP="007C3366">
      <w:pPr>
        <w:pStyle w:val="NumberedBullet"/>
      </w:pPr>
      <w:r w:rsidRPr="007C3366">
        <w:t>How do services, courses of study, barriers, and outcomes vary for subgroups defined by the nature of the youth’s disability, age, sex, race/ethnicity or characteristics of the student’s school or community?</w:t>
      </w:r>
    </w:p>
    <w:p w:rsidR="007C3366" w:rsidRPr="007C3366" w:rsidRDefault="007C3366" w:rsidP="007C3366">
      <w:pPr>
        <w:pStyle w:val="NumberedBullet"/>
        <w:spacing w:after="240"/>
      </w:pPr>
      <w:r w:rsidRPr="007C3366">
        <w:t>How do academic, social, and economic outcomes for youth with disabilities vary by their course of study and receipt of services and accommodations, accounting for preexisting youth characteristics?</w:t>
      </w:r>
    </w:p>
    <w:p w:rsidR="00D14E65" w:rsidRDefault="00D14E65">
      <w:pPr>
        <w:tabs>
          <w:tab w:val="clear" w:pos="432"/>
        </w:tabs>
        <w:spacing w:line="240" w:lineRule="auto"/>
        <w:ind w:firstLine="0"/>
        <w:jc w:val="left"/>
        <w:rPr>
          <w:b/>
          <w:i/>
        </w:rPr>
      </w:pPr>
      <w:r>
        <w:rPr>
          <w:b/>
          <w:i/>
        </w:rPr>
        <w:br w:type="page"/>
      </w:r>
    </w:p>
    <w:p w:rsidR="007C3366" w:rsidRPr="007C3366" w:rsidRDefault="007C3366" w:rsidP="007C3366">
      <w:pPr>
        <w:tabs>
          <w:tab w:val="clear" w:pos="432"/>
          <w:tab w:val="left" w:pos="360"/>
        </w:tabs>
        <w:spacing w:after="180" w:line="240" w:lineRule="auto"/>
        <w:ind w:firstLine="0"/>
        <w:rPr>
          <w:b/>
          <w:i/>
        </w:rPr>
      </w:pPr>
      <w:r w:rsidRPr="007C3366">
        <w:rPr>
          <w:b/>
          <w:i/>
        </w:rPr>
        <w:lastRenderedPageBreak/>
        <w:t xml:space="preserve">Compare Current Transition-Age Students </w:t>
      </w:r>
      <w:r w:rsidR="00EC279C">
        <w:rPr>
          <w:b/>
          <w:i/>
        </w:rPr>
        <w:t>w</w:t>
      </w:r>
      <w:r w:rsidRPr="007C3366">
        <w:rPr>
          <w:b/>
          <w:i/>
        </w:rPr>
        <w:t>ith an IEP to Their Peers in Prior Cohorts</w:t>
      </w:r>
    </w:p>
    <w:p w:rsidR="007C3366" w:rsidRPr="007C3366" w:rsidRDefault="007C3366" w:rsidP="003E73E6">
      <w:pPr>
        <w:pStyle w:val="NumberedBullet"/>
        <w:spacing w:after="240"/>
      </w:pPr>
      <w:r w:rsidRPr="007C3366">
        <w:t>How does receipt of services and accommodations and youth outcomes of the current cohort of special education students differ from those of previous cohorts of special education students?</w:t>
      </w:r>
    </w:p>
    <w:p w:rsidR="007C3366" w:rsidRPr="007C3366" w:rsidRDefault="007C3366" w:rsidP="007C3366">
      <w:pPr>
        <w:tabs>
          <w:tab w:val="clear" w:pos="432"/>
          <w:tab w:val="left" w:pos="360"/>
        </w:tabs>
        <w:spacing w:after="180" w:line="240" w:lineRule="auto"/>
        <w:ind w:firstLine="0"/>
        <w:rPr>
          <w:b/>
          <w:i/>
        </w:rPr>
      </w:pPr>
      <w:r w:rsidRPr="007C3366">
        <w:rPr>
          <w:b/>
          <w:i/>
        </w:rPr>
        <w:t xml:space="preserve">Compare Transition-Age Students </w:t>
      </w:r>
      <w:r w:rsidR="00EC279C">
        <w:rPr>
          <w:b/>
          <w:i/>
        </w:rPr>
        <w:t>w</w:t>
      </w:r>
      <w:r w:rsidRPr="007C3366">
        <w:rPr>
          <w:b/>
          <w:i/>
        </w:rPr>
        <w:t>ith an IEP to Their Peers Who Do Not Have an IEP</w:t>
      </w:r>
    </w:p>
    <w:p w:rsidR="00BC5176" w:rsidRDefault="00BC5176" w:rsidP="00BC5176">
      <w:pPr>
        <w:pStyle w:val="NumberedBullet"/>
      </w:pPr>
      <w:r w:rsidRPr="007C3366">
        <w:t xml:space="preserve">What are the characteristics, school and </w:t>
      </w:r>
      <w:r>
        <w:t>transition experiences</w:t>
      </w:r>
      <w:r w:rsidR="00EC279C">
        <w:t>,</w:t>
      </w:r>
      <w:r>
        <w:t xml:space="preserve"> and post</w:t>
      </w:r>
      <w:r w:rsidRPr="007C3366">
        <w:t>secondary</w:t>
      </w:r>
      <w:r w:rsidR="00A4089E">
        <w:t xml:space="preserve"> </w:t>
      </w:r>
      <w:r w:rsidRPr="007C3366">
        <w:t xml:space="preserve">outcomes of youth with plans </w:t>
      </w:r>
      <w:r w:rsidR="00EC279C">
        <w:t xml:space="preserve">that </w:t>
      </w:r>
      <w:r>
        <w:t xml:space="preserve">provide </w:t>
      </w:r>
      <w:r w:rsidRPr="007C3366">
        <w:t>accommodations under Section 504 of the Rehabilitation Act of 1973?</w:t>
      </w:r>
    </w:p>
    <w:p w:rsidR="007C3366" w:rsidRDefault="007C3366" w:rsidP="003E73E6">
      <w:pPr>
        <w:pStyle w:val="NumberedBullet"/>
        <w:spacing w:after="240"/>
      </w:pPr>
      <w:r w:rsidRPr="007C3366">
        <w:t xml:space="preserve">How do characteristics, courses of study, receipt of services and accommodations, and key outcomes for transition-age youth with an IEP differ from </w:t>
      </w:r>
      <w:r w:rsidRPr="007C3366">
        <w:rPr>
          <w:i/>
        </w:rPr>
        <w:t>students with Section 504 plans</w:t>
      </w:r>
      <w:r w:rsidRPr="007C3366">
        <w:t xml:space="preserve"> and from </w:t>
      </w:r>
      <w:r w:rsidRPr="007C3366">
        <w:rPr>
          <w:i/>
        </w:rPr>
        <w:t>students with no Section 504 Plan and no IEP</w:t>
      </w:r>
      <w:r w:rsidRPr="007C3366">
        <w:t>?</w:t>
      </w:r>
    </w:p>
    <w:p w:rsidR="007C3366" w:rsidRPr="007C3366" w:rsidRDefault="007C3366" w:rsidP="007C3366">
      <w:pPr>
        <w:spacing w:after="480" w:line="240" w:lineRule="auto"/>
      </w:pPr>
      <w:r w:rsidRPr="007C3366">
        <w:t>In NLTS 2012 Phase I, a sample of school districts and nationally representative sample of students will be selected and recruited for the study, and baseline data collection and first follow-up data collection will be completed. ED has not finalized the plan for Phase II</w:t>
      </w:r>
      <w:r w:rsidR="00A4089E">
        <w:t>.</w:t>
      </w:r>
      <w:r w:rsidRPr="007C3366">
        <w:t xml:space="preserve"> This Supporting Statement requests OMB clearance for securing consent and assent of students and their parents for participation in the study and conducting the baseline data collection. The next section provides an overview of Phase I of </w:t>
      </w:r>
      <w:r w:rsidR="00BC5176">
        <w:t>NLTS 2012</w:t>
      </w:r>
      <w:r w:rsidRPr="007C3366">
        <w:t>.</w:t>
      </w:r>
    </w:p>
    <w:p w:rsidR="007C3366" w:rsidRPr="007C3366" w:rsidRDefault="007C3366" w:rsidP="0075064E">
      <w:pPr>
        <w:pStyle w:val="Heading2Black"/>
      </w:pPr>
      <w:bookmarkStart w:id="33" w:name="_Toc298415679"/>
      <w:bookmarkStart w:id="34" w:name="_Toc298418560"/>
      <w:r w:rsidRPr="007C3366">
        <w:t>OVERVIEW</w:t>
      </w:r>
      <w:bookmarkEnd w:id="33"/>
      <w:bookmarkEnd w:id="34"/>
    </w:p>
    <w:p w:rsidR="007C3366" w:rsidRPr="007C3366" w:rsidRDefault="007C3366" w:rsidP="007C3366">
      <w:pPr>
        <w:spacing w:after="240" w:line="240" w:lineRule="auto"/>
        <w:rPr>
          <w:bCs/>
        </w:rPr>
      </w:pPr>
      <w:r w:rsidRPr="007C3366">
        <w:t>The study will provide policymakers and educators with critical information that is not available from other sources.</w:t>
      </w:r>
      <w:r w:rsidR="00A4089E">
        <w:t xml:space="preserve"> </w:t>
      </w:r>
      <w:r w:rsidRPr="007C3366">
        <w:t>The study will provide up</w:t>
      </w:r>
      <w:r w:rsidR="00A4089E">
        <w:t>-</w:t>
      </w:r>
      <w:r w:rsidRPr="007C3366">
        <w:t>to</w:t>
      </w:r>
      <w:r w:rsidR="00A4089E">
        <w:t>-</w:t>
      </w:r>
      <w:r w:rsidRPr="007C3366">
        <w:t>date information on the barriers and challenges youth with disabilities encounter during and after high school; the services and support they receive to help them overcome these barriers from their families, community service providers, secondary and postsecondary schools, and employers; and the extent to which youth make a successful transition to postsecondary education, employment, and independent living. The study will examine these issues from multiple perspectives</w:t>
      </w:r>
      <w:r w:rsidR="00A4089E">
        <w:t>,</w:t>
      </w:r>
      <w:r w:rsidRPr="007C3366">
        <w:t xml:space="preserve"> including those of school staff, parents, and the youth themselves.</w:t>
      </w:r>
      <w:r w:rsidR="00A4089E">
        <w:t xml:space="preserve"> </w:t>
      </w:r>
      <w:r w:rsidRPr="007C3366">
        <w:t xml:space="preserve">By comparing the experiences of a current cohort to those of previous cohorts, the study will be able to describe changes in the composition of students with disabilities over time as well as changes in their school experiences and outcomes. </w:t>
      </w:r>
    </w:p>
    <w:p w:rsidR="007C3366" w:rsidRPr="007C3366" w:rsidRDefault="007C3366" w:rsidP="007C3366">
      <w:pPr>
        <w:spacing w:after="240" w:line="240" w:lineRule="auto"/>
        <w:rPr>
          <w:bCs/>
        </w:rPr>
      </w:pPr>
      <w:r w:rsidRPr="007C3366">
        <w:rPr>
          <w:bCs/>
        </w:rPr>
        <w:t>A nationally representative sample of 15,000 students who are between the ages of 13 and 21 in December 2011 and enrolled in public school districts with grades 7</w:t>
      </w:r>
      <w:r w:rsidR="00A4089E">
        <w:rPr>
          <w:bCs/>
        </w:rPr>
        <w:t>–</w:t>
      </w:r>
      <w:r w:rsidRPr="007C3366">
        <w:rPr>
          <w:bCs/>
        </w:rPr>
        <w:t>12 will be selected and recruited in two stages. The study team will first select and recruit a nationally representative sample of approximately 500 local education agencies (school districts, charter schools, and special schools).</w:t>
      </w:r>
      <w:r w:rsidR="00A4089E">
        <w:rPr>
          <w:bCs/>
        </w:rPr>
        <w:t xml:space="preserve"> </w:t>
      </w:r>
      <w:r w:rsidRPr="007C3366">
        <w:rPr>
          <w:bCs/>
        </w:rPr>
        <w:t>Using student lists provided by participating districts, the team will sample and recruit students. The student sample is designed to provide precision for describing all IEP students and all students with no IEP, as well as for important subgroups</w:t>
      </w:r>
      <w:r w:rsidR="00EF1E98">
        <w:rPr>
          <w:bCs/>
        </w:rPr>
        <w:t>,</w:t>
      </w:r>
      <w:r w:rsidRPr="007C3366">
        <w:rPr>
          <w:bCs/>
        </w:rPr>
        <w:t xml:space="preserve"> including each of the 12 </w:t>
      </w:r>
      <w:r w:rsidR="003866F4">
        <w:rPr>
          <w:bCs/>
        </w:rPr>
        <w:t xml:space="preserve">IDEA </w:t>
      </w:r>
      <w:r w:rsidRPr="007C3366">
        <w:rPr>
          <w:bCs/>
        </w:rPr>
        <w:t xml:space="preserve">disability categories </w:t>
      </w:r>
      <w:r w:rsidR="003866F4">
        <w:rPr>
          <w:bCs/>
        </w:rPr>
        <w:t xml:space="preserve">in which transition-age students are served </w:t>
      </w:r>
      <w:r w:rsidRPr="007C3366">
        <w:rPr>
          <w:bCs/>
        </w:rPr>
        <w:t>and students who have a Section 504 plan</w:t>
      </w:r>
      <w:r w:rsidR="00A4089E">
        <w:rPr>
          <w:bCs/>
        </w:rPr>
        <w:t xml:space="preserve"> </w:t>
      </w:r>
      <w:r w:rsidRPr="007C3366">
        <w:rPr>
          <w:bCs/>
        </w:rPr>
        <w:t xml:space="preserve">but do not have an IEP. </w:t>
      </w:r>
    </w:p>
    <w:p w:rsidR="007C3366" w:rsidRDefault="007C3366" w:rsidP="007C3366">
      <w:pPr>
        <w:spacing w:after="240" w:line="240" w:lineRule="auto"/>
      </w:pPr>
      <w:r w:rsidRPr="007C3366">
        <w:rPr>
          <w:bCs/>
        </w:rPr>
        <w:t>The first wave of d</w:t>
      </w:r>
      <w:r w:rsidRPr="007C3366">
        <w:t>ata collection will begin in January 2012 and the second in January 2014, when sample members will be between 13 and 21</w:t>
      </w:r>
      <w:r w:rsidR="00EF1E98">
        <w:t xml:space="preserve"> years old</w:t>
      </w:r>
      <w:r w:rsidRPr="007C3366">
        <w:t xml:space="preserve"> and 15 and 23</w:t>
      </w:r>
      <w:r w:rsidR="0095303E">
        <w:t xml:space="preserve"> years old, respectively. Table </w:t>
      </w:r>
      <w:r w:rsidR="005C047E">
        <w:t>A.</w:t>
      </w:r>
      <w:r w:rsidRPr="007C3366">
        <w:t>1 summarizes the Phase I data collection design.</w:t>
      </w:r>
    </w:p>
    <w:p w:rsidR="007C3366" w:rsidRPr="007C3366" w:rsidRDefault="007C3366" w:rsidP="009311E0">
      <w:pPr>
        <w:pStyle w:val="MarkforTableHeading"/>
      </w:pPr>
      <w:bookmarkStart w:id="35" w:name="_Toc298421286"/>
      <w:r w:rsidRPr="007C3366">
        <w:lastRenderedPageBreak/>
        <w:t xml:space="preserve">Table </w:t>
      </w:r>
      <w:r w:rsidR="005C047E">
        <w:t>A.</w:t>
      </w:r>
      <w:r w:rsidRPr="007C3366">
        <w:t>1.</w:t>
      </w:r>
      <w:r w:rsidR="00A4089E">
        <w:t xml:space="preserve"> </w:t>
      </w:r>
      <w:r w:rsidRPr="007C3366">
        <w:t>NLTS 2010 Phase I Data Collection Plan</w:t>
      </w:r>
      <w:bookmarkEnd w:id="35"/>
    </w:p>
    <w:tbl>
      <w:tblPr>
        <w:tblStyle w:val="TableGrid"/>
        <w:tblW w:w="5000" w:type="pct"/>
        <w:tblLook w:val="04A0"/>
      </w:tblPr>
      <w:tblGrid>
        <w:gridCol w:w="2267"/>
        <w:gridCol w:w="2530"/>
        <w:gridCol w:w="1967"/>
        <w:gridCol w:w="2812"/>
      </w:tblGrid>
      <w:tr w:rsidR="007C3366" w:rsidRPr="007C3366" w:rsidTr="00E24EDB">
        <w:trPr>
          <w:cantSplit/>
          <w:tblHeader/>
        </w:trPr>
        <w:tc>
          <w:tcPr>
            <w:tcW w:w="1184" w:type="pct"/>
          </w:tcPr>
          <w:p w:rsidR="007C3366" w:rsidRPr="007C3366" w:rsidRDefault="007C3366" w:rsidP="007C3366">
            <w:pPr>
              <w:pStyle w:val="TableHeaderLeft"/>
            </w:pPr>
            <w:r w:rsidRPr="007C3366">
              <w:t>Respondent</w:t>
            </w:r>
          </w:p>
        </w:tc>
        <w:tc>
          <w:tcPr>
            <w:tcW w:w="1321" w:type="pct"/>
          </w:tcPr>
          <w:p w:rsidR="007C3366" w:rsidRPr="007C3366" w:rsidRDefault="007C3366" w:rsidP="007C3366">
            <w:pPr>
              <w:pStyle w:val="TableHeaderCenter"/>
            </w:pPr>
            <w:r w:rsidRPr="007C3366">
              <w:t>Mode</w:t>
            </w:r>
          </w:p>
        </w:tc>
        <w:tc>
          <w:tcPr>
            <w:tcW w:w="1027" w:type="pct"/>
          </w:tcPr>
          <w:p w:rsidR="007C3366" w:rsidRPr="007C3366" w:rsidRDefault="007C3366" w:rsidP="007C3366">
            <w:pPr>
              <w:pStyle w:val="TableHeaderCenter"/>
            </w:pPr>
            <w:r w:rsidRPr="007C3366">
              <w:t>Timeline</w:t>
            </w:r>
          </w:p>
        </w:tc>
        <w:tc>
          <w:tcPr>
            <w:tcW w:w="1468" w:type="pct"/>
          </w:tcPr>
          <w:p w:rsidR="007C3366" w:rsidRPr="007C3366" w:rsidRDefault="007C3366" w:rsidP="007C3366">
            <w:pPr>
              <w:pStyle w:val="TableHeaderCenter"/>
            </w:pPr>
            <w:r w:rsidRPr="007C3366">
              <w:t>Key Data</w:t>
            </w:r>
          </w:p>
        </w:tc>
      </w:tr>
      <w:tr w:rsidR="007C3366" w:rsidRPr="007C3366" w:rsidTr="00E24EDB">
        <w:trPr>
          <w:cantSplit/>
        </w:trPr>
        <w:tc>
          <w:tcPr>
            <w:tcW w:w="1184" w:type="pct"/>
          </w:tcPr>
          <w:p w:rsidR="007C3366" w:rsidRPr="007C3366" w:rsidRDefault="007C3366" w:rsidP="007C3366">
            <w:pPr>
              <w:pStyle w:val="TableText"/>
            </w:pPr>
            <w:r w:rsidRPr="007C3366">
              <w:t>Parents</w:t>
            </w:r>
          </w:p>
        </w:tc>
        <w:tc>
          <w:tcPr>
            <w:tcW w:w="1321" w:type="pct"/>
          </w:tcPr>
          <w:p w:rsidR="007C3366" w:rsidRPr="007C3366" w:rsidRDefault="007C3366" w:rsidP="007C3366">
            <w:pPr>
              <w:pStyle w:val="TableText"/>
            </w:pPr>
            <w:r w:rsidRPr="007C3366">
              <w:t>Telephone survey</w:t>
            </w:r>
          </w:p>
        </w:tc>
        <w:tc>
          <w:tcPr>
            <w:tcW w:w="1027" w:type="pct"/>
          </w:tcPr>
          <w:p w:rsidR="007C3366" w:rsidRPr="007C3366" w:rsidRDefault="007C3366" w:rsidP="007C3366">
            <w:pPr>
              <w:pStyle w:val="TableText"/>
            </w:pPr>
            <w:r w:rsidRPr="007C3366">
              <w:t>Spring 2012</w:t>
            </w:r>
          </w:p>
        </w:tc>
        <w:tc>
          <w:tcPr>
            <w:tcW w:w="1468" w:type="pct"/>
          </w:tcPr>
          <w:p w:rsidR="007C3366" w:rsidRPr="007C3366" w:rsidRDefault="007C3366" w:rsidP="0094240E">
            <w:pPr>
              <w:pStyle w:val="TableText"/>
            </w:pPr>
            <w:r w:rsidRPr="007C3366">
              <w:t>Characteristics of youth and educational</w:t>
            </w:r>
            <w:r w:rsidR="00A4089E">
              <w:t xml:space="preserve"> </w:t>
            </w:r>
            <w:r w:rsidRPr="007C3366">
              <w:t>expectation</w:t>
            </w:r>
            <w:r w:rsidR="0094240E">
              <w:t>s</w:t>
            </w:r>
            <w:r w:rsidRPr="007C3366">
              <w:t xml:space="preserve"> for child</w:t>
            </w:r>
            <w:r w:rsidR="0094240E">
              <w:t>,</w:t>
            </w:r>
            <w:r w:rsidRPr="007C3366">
              <w:t xml:space="preserve"> involvement </w:t>
            </w:r>
            <w:r w:rsidR="0094240E">
              <w:t xml:space="preserve">in </w:t>
            </w:r>
            <w:r w:rsidRPr="007C3366">
              <w:t>transition planning</w:t>
            </w:r>
          </w:p>
        </w:tc>
      </w:tr>
      <w:tr w:rsidR="007C3366" w:rsidRPr="007C3366" w:rsidTr="00E24EDB">
        <w:trPr>
          <w:cantSplit/>
        </w:trPr>
        <w:tc>
          <w:tcPr>
            <w:tcW w:w="1184" w:type="pct"/>
          </w:tcPr>
          <w:p w:rsidR="007C3366" w:rsidRPr="007C3366" w:rsidRDefault="007C3366" w:rsidP="007C3366">
            <w:pPr>
              <w:pStyle w:val="TableText"/>
            </w:pPr>
            <w:r w:rsidRPr="007C3366">
              <w:t>Students</w:t>
            </w:r>
          </w:p>
        </w:tc>
        <w:tc>
          <w:tcPr>
            <w:tcW w:w="1321" w:type="pct"/>
          </w:tcPr>
          <w:p w:rsidR="007C3366" w:rsidRPr="007C3366" w:rsidRDefault="007C3366" w:rsidP="007C3366">
            <w:pPr>
              <w:pStyle w:val="TableText"/>
            </w:pPr>
            <w:r w:rsidRPr="007C3366">
              <w:t>Telephone survey (all)</w:t>
            </w:r>
          </w:p>
          <w:p w:rsidR="007C3366" w:rsidRPr="007C3366" w:rsidRDefault="007C3366" w:rsidP="007C3366">
            <w:pPr>
              <w:pStyle w:val="TableText"/>
            </w:pPr>
          </w:p>
          <w:p w:rsidR="00A70088" w:rsidRDefault="00A70088" w:rsidP="007C3366">
            <w:pPr>
              <w:pStyle w:val="TableText"/>
            </w:pPr>
          </w:p>
          <w:p w:rsidR="00A70088" w:rsidRDefault="00A70088" w:rsidP="007C3366">
            <w:pPr>
              <w:pStyle w:val="TableText"/>
            </w:pPr>
          </w:p>
          <w:p w:rsidR="00A70088" w:rsidRDefault="00A70088" w:rsidP="007C3366">
            <w:pPr>
              <w:pStyle w:val="TableText"/>
            </w:pPr>
          </w:p>
          <w:p w:rsidR="007C3366" w:rsidRPr="007C3366" w:rsidRDefault="007C3366" w:rsidP="0046799C">
            <w:pPr>
              <w:pStyle w:val="TableText"/>
            </w:pPr>
            <w:r w:rsidRPr="007C3366">
              <w:t>Academic assessment (16 and older)</w:t>
            </w:r>
          </w:p>
        </w:tc>
        <w:tc>
          <w:tcPr>
            <w:tcW w:w="1027" w:type="pct"/>
          </w:tcPr>
          <w:p w:rsidR="007C3366" w:rsidRPr="007C3366" w:rsidRDefault="007C3366" w:rsidP="007C3366">
            <w:pPr>
              <w:pStyle w:val="TableText"/>
            </w:pPr>
            <w:r w:rsidRPr="007C3366">
              <w:t>Spring 2012</w:t>
            </w:r>
          </w:p>
        </w:tc>
        <w:tc>
          <w:tcPr>
            <w:tcW w:w="1468" w:type="pct"/>
          </w:tcPr>
          <w:p w:rsidR="007C3366" w:rsidRDefault="007C3366" w:rsidP="007C3366">
            <w:pPr>
              <w:pStyle w:val="TableText"/>
            </w:pPr>
            <w:r w:rsidRPr="007C3366">
              <w:t>Experiences and perceptions of school career and educational expectations, engagement in school, community</w:t>
            </w:r>
            <w:r w:rsidR="00EF1E98">
              <w:t>,</w:t>
            </w:r>
            <w:r w:rsidRPr="007C3366">
              <w:t xml:space="preserve"> </w:t>
            </w:r>
            <w:proofErr w:type="spellStart"/>
            <w:r w:rsidR="0046799C" w:rsidRPr="007C3366">
              <w:t>self</w:t>
            </w:r>
            <w:r w:rsidR="0046799C">
              <w:noBreakHyphen/>
            </w:r>
            <w:r w:rsidR="0046799C" w:rsidRPr="007C3366">
              <w:t>determination</w:t>
            </w:r>
            <w:proofErr w:type="spellEnd"/>
            <w:r w:rsidR="0046799C" w:rsidRPr="007C3366">
              <w:t xml:space="preserve"> </w:t>
            </w:r>
            <w:r w:rsidRPr="007C3366">
              <w:t>and work</w:t>
            </w:r>
          </w:p>
          <w:p w:rsidR="00E24EDB" w:rsidRDefault="00E24EDB" w:rsidP="007C3366">
            <w:pPr>
              <w:pStyle w:val="TableText"/>
            </w:pPr>
          </w:p>
          <w:p w:rsidR="00A70088" w:rsidRPr="007C3366" w:rsidRDefault="00A70088" w:rsidP="00A13C75">
            <w:pPr>
              <w:pStyle w:val="TableText"/>
            </w:pPr>
            <w:r w:rsidRPr="007C3366">
              <w:t>Assess academic skills</w:t>
            </w:r>
          </w:p>
        </w:tc>
      </w:tr>
      <w:tr w:rsidR="006D2CC3" w:rsidRPr="007C3366" w:rsidTr="00E24EDB">
        <w:trPr>
          <w:cantSplit/>
        </w:trPr>
        <w:tc>
          <w:tcPr>
            <w:tcW w:w="1184" w:type="pct"/>
          </w:tcPr>
          <w:p w:rsidR="006D2CC3" w:rsidRPr="007C3366" w:rsidRDefault="006D2CC3" w:rsidP="007C3366">
            <w:pPr>
              <w:pStyle w:val="TableText"/>
            </w:pPr>
            <w:r w:rsidRPr="007C3366">
              <w:t>Student’s School Principal</w:t>
            </w:r>
          </w:p>
        </w:tc>
        <w:tc>
          <w:tcPr>
            <w:tcW w:w="1321" w:type="pct"/>
          </w:tcPr>
          <w:p w:rsidR="006D2CC3" w:rsidRPr="007C3366" w:rsidRDefault="006D2CC3" w:rsidP="007C3366">
            <w:pPr>
              <w:pStyle w:val="TableText"/>
            </w:pPr>
            <w:r w:rsidRPr="007C3366">
              <w:t>Web survey with telephone follow-up</w:t>
            </w:r>
          </w:p>
        </w:tc>
        <w:tc>
          <w:tcPr>
            <w:tcW w:w="1027" w:type="pct"/>
          </w:tcPr>
          <w:p w:rsidR="006D2CC3" w:rsidRPr="007C3366" w:rsidRDefault="006D2CC3" w:rsidP="007C3366">
            <w:pPr>
              <w:pStyle w:val="TableText"/>
            </w:pPr>
            <w:r w:rsidRPr="007C3366">
              <w:t>Spring 2012</w:t>
            </w:r>
          </w:p>
        </w:tc>
        <w:tc>
          <w:tcPr>
            <w:tcW w:w="1468" w:type="pct"/>
          </w:tcPr>
          <w:p w:rsidR="006D2CC3" w:rsidRPr="007C3366" w:rsidRDefault="006D2CC3" w:rsidP="00E24EDB">
            <w:pPr>
              <w:pStyle w:val="TableText"/>
            </w:pPr>
            <w:r w:rsidRPr="007C3366">
              <w:t>Policies</w:t>
            </w:r>
            <w:r>
              <w:t>,</w:t>
            </w:r>
            <w:r w:rsidRPr="007C3366">
              <w:t xml:space="preserve"> programs, staffing, and resources at student’s school</w:t>
            </w:r>
          </w:p>
        </w:tc>
      </w:tr>
      <w:tr w:rsidR="006D2CC3" w:rsidRPr="007C3366" w:rsidTr="00E24EDB">
        <w:trPr>
          <w:cantSplit/>
        </w:trPr>
        <w:tc>
          <w:tcPr>
            <w:tcW w:w="1184" w:type="pct"/>
          </w:tcPr>
          <w:p w:rsidR="006D2CC3" w:rsidRPr="007C3366" w:rsidRDefault="006D2CC3" w:rsidP="007C3366">
            <w:pPr>
              <w:pStyle w:val="TableText"/>
            </w:pPr>
            <w:r w:rsidRPr="007C3366">
              <w:t>Student’s Math or Language Arts Teacher</w:t>
            </w:r>
          </w:p>
        </w:tc>
        <w:tc>
          <w:tcPr>
            <w:tcW w:w="1321" w:type="pct"/>
          </w:tcPr>
          <w:p w:rsidR="006D2CC3" w:rsidRPr="007C3366" w:rsidRDefault="006D2CC3" w:rsidP="007C3366">
            <w:pPr>
              <w:pStyle w:val="TableText"/>
            </w:pPr>
            <w:r w:rsidRPr="007C3366">
              <w:t>Web survey with telephone follow-up</w:t>
            </w:r>
          </w:p>
        </w:tc>
        <w:tc>
          <w:tcPr>
            <w:tcW w:w="1027" w:type="pct"/>
          </w:tcPr>
          <w:p w:rsidR="006D2CC3" w:rsidRPr="007C3366" w:rsidRDefault="006D2CC3" w:rsidP="007C3366">
            <w:pPr>
              <w:pStyle w:val="TableText"/>
            </w:pPr>
            <w:r w:rsidRPr="007C3366">
              <w:t>Spring 2012</w:t>
            </w:r>
          </w:p>
        </w:tc>
        <w:tc>
          <w:tcPr>
            <w:tcW w:w="1468" w:type="pct"/>
          </w:tcPr>
          <w:p w:rsidR="006D2CC3" w:rsidRPr="007C3366" w:rsidRDefault="00E24EDB" w:rsidP="007C3366">
            <w:pPr>
              <w:pStyle w:val="TableText"/>
            </w:pPr>
            <w:r>
              <w:t>Class and teacher characteristics, instructional practices, services supports and accommodations, student engagement</w:t>
            </w:r>
          </w:p>
        </w:tc>
      </w:tr>
      <w:tr w:rsidR="006D2CC3" w:rsidRPr="007C3366" w:rsidTr="00E24EDB">
        <w:trPr>
          <w:cantSplit/>
        </w:trPr>
        <w:tc>
          <w:tcPr>
            <w:tcW w:w="1184" w:type="pct"/>
          </w:tcPr>
          <w:p w:rsidR="006D2CC3" w:rsidRPr="007C3366" w:rsidRDefault="006D2CC3" w:rsidP="007C3366">
            <w:pPr>
              <w:pStyle w:val="TableText"/>
            </w:pPr>
            <w:r w:rsidRPr="007C3366">
              <w:t>Student’s Special Education Teacher</w:t>
            </w:r>
          </w:p>
        </w:tc>
        <w:tc>
          <w:tcPr>
            <w:tcW w:w="1321" w:type="pct"/>
          </w:tcPr>
          <w:p w:rsidR="006D2CC3" w:rsidRPr="007C3366" w:rsidRDefault="006D2CC3" w:rsidP="007C3366">
            <w:pPr>
              <w:pStyle w:val="TableText"/>
            </w:pPr>
            <w:r w:rsidRPr="007C3366">
              <w:t>Web survey with telephone follow-up (students with IEP)</w:t>
            </w:r>
          </w:p>
        </w:tc>
        <w:tc>
          <w:tcPr>
            <w:tcW w:w="1027" w:type="pct"/>
          </w:tcPr>
          <w:p w:rsidR="006D2CC3" w:rsidRPr="007C3366" w:rsidRDefault="006D2CC3" w:rsidP="007C3366">
            <w:pPr>
              <w:pStyle w:val="TableText"/>
            </w:pPr>
            <w:r w:rsidRPr="007C3366">
              <w:t>Spring 2012</w:t>
            </w:r>
          </w:p>
        </w:tc>
        <w:tc>
          <w:tcPr>
            <w:tcW w:w="1468" w:type="pct"/>
          </w:tcPr>
          <w:p w:rsidR="006D2CC3" w:rsidRPr="007C3366" w:rsidRDefault="006D2CC3" w:rsidP="007C3366">
            <w:pPr>
              <w:pStyle w:val="TableText"/>
            </w:pPr>
            <w:r>
              <w:t>School program and supports for students with IEP</w:t>
            </w:r>
          </w:p>
        </w:tc>
      </w:tr>
      <w:tr w:rsidR="006D2CC3" w:rsidRPr="007C3366" w:rsidTr="00E24EDB">
        <w:trPr>
          <w:cantSplit/>
        </w:trPr>
        <w:tc>
          <w:tcPr>
            <w:tcW w:w="1184" w:type="pct"/>
          </w:tcPr>
          <w:p w:rsidR="006D2CC3" w:rsidRPr="007C3366" w:rsidRDefault="006D2CC3" w:rsidP="007C3366">
            <w:pPr>
              <w:pStyle w:val="TableText"/>
            </w:pPr>
            <w:r w:rsidRPr="007C3366">
              <w:t>Student School Information</w:t>
            </w:r>
          </w:p>
        </w:tc>
        <w:tc>
          <w:tcPr>
            <w:tcW w:w="1321" w:type="pct"/>
          </w:tcPr>
          <w:p w:rsidR="006D2CC3" w:rsidRPr="007C3366" w:rsidRDefault="006D2CC3" w:rsidP="007C3366">
            <w:pPr>
              <w:pStyle w:val="TableText"/>
            </w:pPr>
            <w:r w:rsidRPr="007C3366">
              <w:t>School records</w:t>
            </w:r>
          </w:p>
        </w:tc>
        <w:tc>
          <w:tcPr>
            <w:tcW w:w="1027" w:type="pct"/>
          </w:tcPr>
          <w:p w:rsidR="006D2CC3" w:rsidRPr="007C3366" w:rsidRDefault="006D2CC3" w:rsidP="007C3366">
            <w:pPr>
              <w:pStyle w:val="TableText"/>
            </w:pPr>
            <w:r w:rsidRPr="007C3366">
              <w:t>Winter 2012</w:t>
            </w:r>
          </w:p>
        </w:tc>
        <w:tc>
          <w:tcPr>
            <w:tcW w:w="1468" w:type="pct"/>
          </w:tcPr>
          <w:p w:rsidR="006D2CC3" w:rsidRPr="007C3366" w:rsidRDefault="006D2CC3" w:rsidP="007C3366">
            <w:pPr>
              <w:pStyle w:val="TableText"/>
            </w:pPr>
            <w:r w:rsidRPr="007C3366">
              <w:t>Student characteristics</w:t>
            </w:r>
          </w:p>
        </w:tc>
      </w:tr>
      <w:tr w:rsidR="006D2CC3" w:rsidRPr="007C3366" w:rsidTr="00E24EDB">
        <w:trPr>
          <w:cantSplit/>
        </w:trPr>
        <w:tc>
          <w:tcPr>
            <w:tcW w:w="1184" w:type="pct"/>
          </w:tcPr>
          <w:p w:rsidR="006D2CC3" w:rsidRPr="007C3366" w:rsidRDefault="006D2CC3" w:rsidP="007C3366">
            <w:pPr>
              <w:pStyle w:val="TableText"/>
            </w:pPr>
            <w:r w:rsidRPr="007C3366">
              <w:t>Parent</w:t>
            </w:r>
          </w:p>
        </w:tc>
        <w:tc>
          <w:tcPr>
            <w:tcW w:w="1321" w:type="pct"/>
          </w:tcPr>
          <w:p w:rsidR="006D2CC3" w:rsidRPr="007C3366" w:rsidRDefault="006D2CC3" w:rsidP="007C3366">
            <w:pPr>
              <w:pStyle w:val="TableText"/>
            </w:pPr>
            <w:r w:rsidRPr="007C3366">
              <w:t>Telephone survey</w:t>
            </w:r>
          </w:p>
        </w:tc>
        <w:tc>
          <w:tcPr>
            <w:tcW w:w="1027" w:type="pct"/>
          </w:tcPr>
          <w:p w:rsidR="006D2CC3" w:rsidRPr="007C3366" w:rsidRDefault="006D2CC3" w:rsidP="007C3366">
            <w:pPr>
              <w:pStyle w:val="TableText"/>
            </w:pPr>
            <w:r w:rsidRPr="007C3366">
              <w:t>Spring 2014</w:t>
            </w:r>
          </w:p>
        </w:tc>
        <w:tc>
          <w:tcPr>
            <w:tcW w:w="1468" w:type="pct"/>
          </w:tcPr>
          <w:p w:rsidR="006D2CC3" w:rsidRPr="007C3366" w:rsidRDefault="006D2CC3" w:rsidP="00EF1E98">
            <w:pPr>
              <w:pStyle w:val="TableText"/>
            </w:pPr>
            <w:r>
              <w:t>Youth’s experiences in school and postsecondary</w:t>
            </w:r>
          </w:p>
        </w:tc>
      </w:tr>
      <w:tr w:rsidR="006D2CC3" w:rsidRPr="007C3366" w:rsidTr="00E24EDB">
        <w:trPr>
          <w:cantSplit/>
        </w:trPr>
        <w:tc>
          <w:tcPr>
            <w:tcW w:w="1184" w:type="pct"/>
          </w:tcPr>
          <w:p w:rsidR="006D2CC3" w:rsidRPr="007C3366" w:rsidRDefault="006D2CC3" w:rsidP="007C3366">
            <w:pPr>
              <w:pStyle w:val="TableText"/>
            </w:pPr>
            <w:r w:rsidRPr="007C3366">
              <w:t>Student</w:t>
            </w:r>
          </w:p>
        </w:tc>
        <w:tc>
          <w:tcPr>
            <w:tcW w:w="1321" w:type="pct"/>
          </w:tcPr>
          <w:p w:rsidR="006D2CC3" w:rsidRPr="007C3366" w:rsidRDefault="006D2CC3" w:rsidP="007C3366">
            <w:pPr>
              <w:pStyle w:val="TableText"/>
            </w:pPr>
            <w:r w:rsidRPr="007C3366">
              <w:t>Telephone survey (all)</w:t>
            </w:r>
          </w:p>
          <w:p w:rsidR="006D2CC3" w:rsidRPr="007C3366" w:rsidRDefault="006D2CC3" w:rsidP="007C3366">
            <w:pPr>
              <w:pStyle w:val="TableText"/>
            </w:pPr>
          </w:p>
          <w:p w:rsidR="00E24EDB" w:rsidRDefault="00E24EDB" w:rsidP="007C3366">
            <w:pPr>
              <w:pStyle w:val="TableText"/>
            </w:pPr>
          </w:p>
          <w:p w:rsidR="006D2CC3" w:rsidRPr="007C3366" w:rsidRDefault="006D2CC3" w:rsidP="0046799C">
            <w:pPr>
              <w:pStyle w:val="TableText"/>
            </w:pPr>
            <w:r w:rsidRPr="007C3366">
              <w:t>Academic assessment (16 and older)</w:t>
            </w:r>
          </w:p>
        </w:tc>
        <w:tc>
          <w:tcPr>
            <w:tcW w:w="1027" w:type="pct"/>
          </w:tcPr>
          <w:p w:rsidR="006D2CC3" w:rsidRDefault="006D2CC3" w:rsidP="007C3366">
            <w:pPr>
              <w:pStyle w:val="TableText"/>
            </w:pPr>
            <w:r w:rsidRPr="007C3366">
              <w:t>Spring 2014</w:t>
            </w:r>
          </w:p>
          <w:p w:rsidR="006D2CC3" w:rsidRDefault="006D2CC3" w:rsidP="007C3366">
            <w:pPr>
              <w:pStyle w:val="TableText"/>
            </w:pPr>
          </w:p>
          <w:p w:rsidR="00E24EDB" w:rsidRDefault="00E24EDB" w:rsidP="007C3366">
            <w:pPr>
              <w:pStyle w:val="TableText"/>
            </w:pPr>
          </w:p>
          <w:p w:rsidR="006D2CC3" w:rsidRPr="007C3366" w:rsidRDefault="006D2CC3" w:rsidP="007C3366">
            <w:pPr>
              <w:pStyle w:val="TableText"/>
            </w:pPr>
            <w:r>
              <w:t>Spring 2014</w:t>
            </w:r>
            <w:r w:rsidR="0046799C">
              <w:t xml:space="preserve"> (if not done in Spring 2012)</w:t>
            </w:r>
          </w:p>
        </w:tc>
        <w:tc>
          <w:tcPr>
            <w:tcW w:w="1468" w:type="pct"/>
          </w:tcPr>
          <w:p w:rsidR="00E24EDB" w:rsidRDefault="006D2CC3" w:rsidP="007C3366">
            <w:pPr>
              <w:pStyle w:val="TableText"/>
            </w:pPr>
            <w:r>
              <w:t>Youth’s experiences in school and postsecondary</w:t>
            </w:r>
            <w:r w:rsidR="0046799C">
              <w:t xml:space="preserve"> </w:t>
            </w:r>
          </w:p>
          <w:p w:rsidR="0046799C" w:rsidRDefault="0046799C" w:rsidP="0046799C">
            <w:pPr>
              <w:pStyle w:val="TableText"/>
            </w:pPr>
          </w:p>
          <w:p w:rsidR="0046799C" w:rsidRDefault="0046799C" w:rsidP="0046799C">
            <w:pPr>
              <w:pStyle w:val="TableText"/>
            </w:pPr>
          </w:p>
          <w:p w:rsidR="006D2CC3" w:rsidRPr="007C3366" w:rsidRDefault="00734D5E" w:rsidP="0046799C">
            <w:pPr>
              <w:pStyle w:val="TableText"/>
            </w:pPr>
            <w:r>
              <w:t xml:space="preserve">Academic </w:t>
            </w:r>
            <w:r w:rsidR="006D2CC3">
              <w:t>skills</w:t>
            </w:r>
          </w:p>
        </w:tc>
      </w:tr>
      <w:tr w:rsidR="006D2CC3" w:rsidRPr="007C3366" w:rsidTr="00E24EDB">
        <w:trPr>
          <w:cantSplit/>
        </w:trPr>
        <w:tc>
          <w:tcPr>
            <w:tcW w:w="1184" w:type="pct"/>
          </w:tcPr>
          <w:p w:rsidR="006D2CC3" w:rsidRPr="007C3366" w:rsidRDefault="006D2CC3" w:rsidP="007C3366">
            <w:pPr>
              <w:pStyle w:val="TableText"/>
            </w:pPr>
            <w:r w:rsidRPr="007C3366">
              <w:t>Student’s Special Education Teacher</w:t>
            </w:r>
          </w:p>
        </w:tc>
        <w:tc>
          <w:tcPr>
            <w:tcW w:w="1321" w:type="pct"/>
          </w:tcPr>
          <w:p w:rsidR="006D2CC3" w:rsidRPr="007C3366" w:rsidRDefault="006D2CC3" w:rsidP="007C3366">
            <w:pPr>
              <w:pStyle w:val="TableText"/>
            </w:pPr>
            <w:r w:rsidRPr="007C3366">
              <w:t>Telephone survey</w:t>
            </w:r>
          </w:p>
        </w:tc>
        <w:tc>
          <w:tcPr>
            <w:tcW w:w="1027" w:type="pct"/>
          </w:tcPr>
          <w:p w:rsidR="006D2CC3" w:rsidRPr="007C3366" w:rsidRDefault="006D2CC3" w:rsidP="007C3366">
            <w:pPr>
              <w:pStyle w:val="TableText"/>
            </w:pPr>
            <w:r w:rsidRPr="007C3366">
              <w:t>Spring 2014</w:t>
            </w:r>
          </w:p>
        </w:tc>
        <w:tc>
          <w:tcPr>
            <w:tcW w:w="1468" w:type="pct"/>
          </w:tcPr>
          <w:p w:rsidR="006D2CC3" w:rsidRPr="007C3366" w:rsidRDefault="006D2CC3" w:rsidP="0094240E">
            <w:pPr>
              <w:pStyle w:val="TableText"/>
            </w:pPr>
            <w:r>
              <w:t>School program and supports for students with IEP</w:t>
            </w:r>
          </w:p>
        </w:tc>
      </w:tr>
      <w:tr w:rsidR="006D2CC3" w:rsidRPr="007C3366" w:rsidTr="00E24EDB">
        <w:trPr>
          <w:cantSplit/>
        </w:trPr>
        <w:tc>
          <w:tcPr>
            <w:tcW w:w="1184" w:type="pct"/>
          </w:tcPr>
          <w:p w:rsidR="006D2CC3" w:rsidRPr="007C3366" w:rsidRDefault="006D2CC3" w:rsidP="007C3366">
            <w:pPr>
              <w:pStyle w:val="TableText"/>
            </w:pPr>
            <w:r w:rsidRPr="007C3366">
              <w:t>Student School Information</w:t>
            </w:r>
          </w:p>
        </w:tc>
        <w:tc>
          <w:tcPr>
            <w:tcW w:w="1321" w:type="pct"/>
          </w:tcPr>
          <w:p w:rsidR="006D2CC3" w:rsidRPr="007C3366" w:rsidRDefault="006D2CC3" w:rsidP="007C3366">
            <w:pPr>
              <w:pStyle w:val="TableText"/>
            </w:pPr>
            <w:r w:rsidRPr="007C3366">
              <w:t>School records</w:t>
            </w:r>
          </w:p>
        </w:tc>
        <w:tc>
          <w:tcPr>
            <w:tcW w:w="1027" w:type="pct"/>
          </w:tcPr>
          <w:p w:rsidR="006D2CC3" w:rsidRPr="007C3366" w:rsidRDefault="006D2CC3" w:rsidP="007C3366">
            <w:pPr>
              <w:pStyle w:val="TableText"/>
            </w:pPr>
            <w:r w:rsidRPr="007C3366">
              <w:t>Spring 2014</w:t>
            </w:r>
          </w:p>
        </w:tc>
        <w:tc>
          <w:tcPr>
            <w:tcW w:w="1468" w:type="pct"/>
          </w:tcPr>
          <w:p w:rsidR="006D2CC3" w:rsidRPr="007C3366" w:rsidRDefault="006D2CC3" w:rsidP="0064185E">
            <w:pPr>
              <w:pStyle w:val="TableText"/>
            </w:pPr>
            <w:r w:rsidRPr="007C3366">
              <w:t>Attendance</w:t>
            </w:r>
            <w:r>
              <w:t xml:space="preserve">, </w:t>
            </w:r>
            <w:r w:rsidRPr="007C3366">
              <w:t>transcript</w:t>
            </w:r>
            <w:r>
              <w:t>s</w:t>
            </w:r>
          </w:p>
        </w:tc>
      </w:tr>
    </w:tbl>
    <w:p w:rsidR="007C3366" w:rsidRPr="007C3366" w:rsidRDefault="007C3366" w:rsidP="007C3366">
      <w:pPr>
        <w:tabs>
          <w:tab w:val="clear" w:pos="432"/>
          <w:tab w:val="left" w:pos="720"/>
        </w:tabs>
        <w:spacing w:line="240" w:lineRule="auto"/>
        <w:ind w:firstLine="0"/>
        <w:rPr>
          <w:smallCaps/>
          <w:sz w:val="20"/>
        </w:rPr>
      </w:pPr>
    </w:p>
    <w:p w:rsidR="007C3366" w:rsidRPr="007C3366" w:rsidRDefault="007C3366" w:rsidP="007C3366">
      <w:pPr>
        <w:pStyle w:val="NormalSS"/>
      </w:pPr>
      <w:r w:rsidRPr="007C3366">
        <w:t xml:space="preserve">The study design and data collections for NLTS 2012 Phase I are similar to prior longitudinal studies of students with disabilities in order to address the third broad objective of comparing the characteristics, experiences, and outcomes of students with an IEP over time. However, ED seeks to improve on these prior studies in </w:t>
      </w:r>
      <w:r w:rsidR="0094240E">
        <w:t>three</w:t>
      </w:r>
      <w:r w:rsidRPr="007C3366">
        <w:t xml:space="preserve"> important ways: </w:t>
      </w:r>
      <w:r w:rsidR="00EF1E98">
        <w:t>(</w:t>
      </w:r>
      <w:r w:rsidRPr="007C3366">
        <w:t>1) by using innovative methods of securing parental consent for youth participation to increase rates of sample participation,</w:t>
      </w:r>
      <w:r w:rsidR="00A4089E">
        <w:t xml:space="preserve"> </w:t>
      </w:r>
      <w:r w:rsidR="00EF1E98">
        <w:t>(</w:t>
      </w:r>
      <w:r w:rsidR="0094240E">
        <w:t>2</w:t>
      </w:r>
      <w:r w:rsidRPr="007C3366">
        <w:t>) by including students with no IEP (both students who have</w:t>
      </w:r>
      <w:r w:rsidR="00A4089E">
        <w:t xml:space="preserve"> </w:t>
      </w:r>
      <w:r w:rsidRPr="007C3366">
        <w:t xml:space="preserve">a condition that qualifies them for a Section 504 plan and students with no </w:t>
      </w:r>
      <w:r w:rsidR="00F06337">
        <w:t xml:space="preserve">identified </w:t>
      </w:r>
      <w:r w:rsidR="0094240E">
        <w:t xml:space="preserve">disability), and </w:t>
      </w:r>
      <w:r w:rsidR="00EF1E98">
        <w:t>(</w:t>
      </w:r>
      <w:r w:rsidR="0094240E">
        <w:t>3</w:t>
      </w:r>
      <w:r w:rsidRPr="007C3366">
        <w:t xml:space="preserve">) </w:t>
      </w:r>
      <w:r w:rsidR="00E82798">
        <w:t xml:space="preserve">by </w:t>
      </w:r>
      <w:r w:rsidRPr="007C3366">
        <w:t>seeking more information on student barriers and activities that support transition.</w:t>
      </w:r>
    </w:p>
    <w:p w:rsidR="007C3366" w:rsidRDefault="007C3366" w:rsidP="007C3366">
      <w:pPr>
        <w:pStyle w:val="ParagraphSSLAST"/>
      </w:pPr>
      <w:r w:rsidRPr="007C3366">
        <w:t>As noted, this Supporting</w:t>
      </w:r>
      <w:r w:rsidR="00A4089E">
        <w:t xml:space="preserve"> </w:t>
      </w:r>
      <w:r w:rsidRPr="007C3366">
        <w:t xml:space="preserve">Statement requests OMB clearance to obtain parental consent and student assent to participate in the study, and to collect baseline data. </w:t>
      </w:r>
      <w:r w:rsidR="0094240E">
        <w:t xml:space="preserve">OMB has approved a prior request to select and recruit districts and acquire lists of students for selecting the student sample (OMB 1850-0882). </w:t>
      </w:r>
      <w:r w:rsidRPr="007C3366">
        <w:t>A future submission will request clearance for conducting first follow-up data collection.</w:t>
      </w:r>
    </w:p>
    <w:p w:rsidR="00AA2B00" w:rsidRPr="00AA2B00" w:rsidRDefault="00AA2B00" w:rsidP="0075064E">
      <w:pPr>
        <w:pStyle w:val="Heading2Black"/>
      </w:pPr>
      <w:bookmarkStart w:id="36" w:name="_Toc298415680"/>
      <w:bookmarkStart w:id="37" w:name="_Toc298418561"/>
      <w:r w:rsidRPr="00AA2B00">
        <w:lastRenderedPageBreak/>
        <w:t>A.</w:t>
      </w:r>
      <w:r w:rsidRPr="00AA2B00">
        <w:tab/>
        <w:t>JUSTIFICATION</w:t>
      </w:r>
      <w:bookmarkEnd w:id="36"/>
      <w:bookmarkEnd w:id="37"/>
    </w:p>
    <w:p w:rsidR="00AA2B00" w:rsidRPr="00AA2B00" w:rsidRDefault="00AA2B00" w:rsidP="00215B33">
      <w:pPr>
        <w:pStyle w:val="Heading3"/>
      </w:pPr>
      <w:bookmarkStart w:id="38" w:name="_Toc298415681"/>
      <w:bookmarkStart w:id="39" w:name="_Toc298418562"/>
      <w:r w:rsidRPr="00AA2B00">
        <w:t>1.</w:t>
      </w:r>
      <w:r w:rsidRPr="00AA2B00">
        <w:tab/>
        <w:t xml:space="preserve">Circumstances Necessitating Collection of </w:t>
      </w:r>
      <w:r w:rsidRPr="00215B33">
        <w:t>Information</w:t>
      </w:r>
      <w:bookmarkEnd w:id="38"/>
      <w:bookmarkEnd w:id="39"/>
    </w:p>
    <w:p w:rsidR="00AA2B00" w:rsidRPr="00AA2B00" w:rsidRDefault="00AA2B00" w:rsidP="00215B33">
      <w:pPr>
        <w:pStyle w:val="NormalSS"/>
      </w:pPr>
      <w:r w:rsidRPr="00AA2B00">
        <w:t xml:space="preserve">More than 2.7 million youth with disabilities between the ages of 13 and 21 receive special education services funded under Part B of IDEA. In addition to the challenges all youth encounter as they leave high school and become young adults, this group </w:t>
      </w:r>
      <w:r w:rsidR="00E82798">
        <w:t xml:space="preserve">sometimes </w:t>
      </w:r>
      <w:r w:rsidRPr="00AA2B00">
        <w:t xml:space="preserve">faces barriers related to health, social isolation, service needs, and access to supports. </w:t>
      </w:r>
    </w:p>
    <w:p w:rsidR="00AA2B00" w:rsidRPr="00AA2B00" w:rsidRDefault="00AA2B00" w:rsidP="00215B33">
      <w:pPr>
        <w:pStyle w:val="NormalSS"/>
        <w:rPr>
          <w:bCs/>
        </w:rPr>
      </w:pPr>
      <w:r w:rsidRPr="00AA2B00">
        <w:rPr>
          <w:bCs/>
        </w:rPr>
        <w:t>The 2004 authorization of IDEA was signed into law (P.L. 108-446) on December 3, 2004. Section 664(e) of IDEA 2004 authorizes studies and evaluations of transitional services and results, including postsecondary placement and employment, for individuals with disabilities identified for services under IDEA (Appendix A). Section 664(a) of IDEA 2004 instructs the Secretary of Education to delegate responsibility for such studies to the Institute of Education Sciences (IES) (Appendix B). The findings from this study will complement those from other IES studies initiated under Section 664 of IDEA 2004 as well as previous studies supported by ED. The study will provide critical information on the characteristics of youth receiving special education services under IDEA, their courses of study, the transition and other services and accommodations they receive, the barriers and challenges they face, and their postsecondary education and employment outcomes. Findings will help to address a national goal of significantly increasing the number of students entering and completing postsecondary education.</w:t>
      </w:r>
    </w:p>
    <w:p w:rsidR="00AA2B00" w:rsidRPr="00AA2B00" w:rsidRDefault="00AA2B00" w:rsidP="00215B33">
      <w:pPr>
        <w:pStyle w:val="NormalSS"/>
        <w:rPr>
          <w:bCs/>
        </w:rPr>
      </w:pPr>
      <w:r w:rsidRPr="00AA2B00">
        <w:t xml:space="preserve">In addition to describing a current cohort of transition-age students receiving special education, the study will </w:t>
      </w:r>
      <w:r w:rsidR="00E82798">
        <w:t>achieve three other objectives</w:t>
      </w:r>
      <w:r w:rsidR="00E5391C">
        <w:t>:</w:t>
      </w:r>
      <w:r w:rsidR="00A4089E">
        <w:t xml:space="preserve"> </w:t>
      </w:r>
      <w:r w:rsidR="00E5391C">
        <w:t xml:space="preserve">(1) </w:t>
      </w:r>
      <w:r w:rsidR="00E82798">
        <w:t xml:space="preserve">It will </w:t>
      </w:r>
      <w:r w:rsidRPr="00AA2B00">
        <w:t xml:space="preserve">provide the only available information specifically on the characteristics, transition experiences, and outcomes of students with Section 504 plans. </w:t>
      </w:r>
      <w:r w:rsidR="00E5391C">
        <w:t xml:space="preserve">(2) </w:t>
      </w:r>
      <w:r w:rsidRPr="00AA2B00">
        <w:t>Information on a national probability sample of transition</w:t>
      </w:r>
      <w:r w:rsidR="008D50F9">
        <w:t>-</w:t>
      </w:r>
      <w:r w:rsidRPr="00AA2B00">
        <w:t xml:space="preserve">age students without </w:t>
      </w:r>
      <w:r w:rsidR="002140A9" w:rsidRPr="00AA2B00">
        <w:t>disabilit</w:t>
      </w:r>
      <w:r w:rsidR="002140A9">
        <w:t>ies</w:t>
      </w:r>
      <w:r w:rsidR="002140A9" w:rsidRPr="00AA2B00">
        <w:t xml:space="preserve"> </w:t>
      </w:r>
      <w:r w:rsidRPr="00AA2B00">
        <w:t>from the same school districts as the special education student sample will provide a benchmark for assessing national progress in meeting the academic and other needs of all students, and a base of information for better understanding the pathways youth follow as the</w:t>
      </w:r>
      <w:r w:rsidR="002140A9">
        <w:t>y</w:t>
      </w:r>
      <w:r w:rsidRPr="00AA2B00">
        <w:t xml:space="preserve"> move from high school to young adulthood. </w:t>
      </w:r>
      <w:r w:rsidR="00E5391C">
        <w:t xml:space="preserve">(3) </w:t>
      </w:r>
      <w:r w:rsidR="00E5391C">
        <w:rPr>
          <w:bCs/>
        </w:rPr>
        <w:t>T</w:t>
      </w:r>
      <w:r w:rsidRPr="00AA2B00">
        <w:rPr>
          <w:bCs/>
        </w:rPr>
        <w:t xml:space="preserve">he comparisons between a current cohort of special education students and a prior cohort who were transition-age in 2001 provide a basis for assessing how the experiences and outcomes of youth with disabilities are changing, gauging the effectiveness of efforts over the last decade to ensure that all students have access to a rigorous academic program, and developing new programs and policies to support national goals. </w:t>
      </w:r>
    </w:p>
    <w:p w:rsidR="00AA2B00" w:rsidRPr="00AA2B00" w:rsidRDefault="00AA2B00" w:rsidP="00215B33">
      <w:pPr>
        <w:pStyle w:val="NormalSS"/>
        <w:rPr>
          <w:bCs/>
        </w:rPr>
      </w:pPr>
      <w:r w:rsidRPr="00AA2B00">
        <w:rPr>
          <w:bCs/>
        </w:rPr>
        <w:t>A major challenge in developing policies and improving practice to assist transition-age youth is securing reliable and complete information on their diverse needs, school experiences, and postsecondary paths. The primary data sources to date have been the longitudinal surveys of special education students funded by ED, the NLTS and NLTS2.</w:t>
      </w:r>
      <w:r w:rsidR="00FD28E9">
        <w:rPr>
          <w:rStyle w:val="FootnoteReference"/>
          <w:bCs/>
        </w:rPr>
        <w:footnoteReference w:id="2"/>
      </w:r>
      <w:r w:rsidRPr="00AA2B00">
        <w:rPr>
          <w:bCs/>
        </w:rPr>
        <w:t xml:space="preserve"> The current study will focus </w:t>
      </w:r>
      <w:r w:rsidRPr="00AA2B00">
        <w:rPr>
          <w:bCs/>
        </w:rPr>
        <w:lastRenderedPageBreak/>
        <w:t xml:space="preserve">on a new cohort of special education students to assess their needs and determine how much progress has been made addressing them. While the focus of the study will be similar in some respects to NLTS2, the study will also address new policy priorities. </w:t>
      </w:r>
    </w:p>
    <w:p w:rsidR="00AA2B00" w:rsidRDefault="00AA2B00" w:rsidP="009B24B5">
      <w:pPr>
        <w:pStyle w:val="ParagraphSSLAST"/>
        <w:spacing w:after="0"/>
      </w:pPr>
      <w:r w:rsidRPr="00AA2B00">
        <w:t xml:space="preserve">The 2001 No Child Left Behind Act (NCLB) was intended to improve the education of disadvantaged students, including those with disabilities, by holding districts accountable for their academic proficiency. The 2004 amendments to IDEA continued the emphasis on access to the general curriculum and accountability standards for students with disabilities. The IDEA amendments were part of a broader disability policy reform effort to support independent living and employment, reflecting the intent of the 1990 Americans with Disabilities Act, including implementation of the 1999 Ticket to Work and Work Incentives Improvement Act and new disability provisions in the Workforce Investment Act. The emphasis these policies place on preparing students for postsecondary education and employment </w:t>
      </w:r>
      <w:r w:rsidR="002140A9" w:rsidRPr="00AA2B00">
        <w:t>ha</w:t>
      </w:r>
      <w:r w:rsidR="002140A9">
        <w:t>s</w:t>
      </w:r>
      <w:r w:rsidR="002140A9" w:rsidRPr="00AA2B00">
        <w:t xml:space="preserve"> </w:t>
      </w:r>
      <w:r w:rsidRPr="00AA2B00">
        <w:t>heightened the interest in understanding and addressing the array of barriers students face as they leave high school and consider various educational and career options. New data are needed to understand the challenges youth encounter as they prepare for postsecondary education and careers. The study will examine the school experiences and outcomes of special education students and how they are changing. The study will allow federal and state policymakers to gauge progress in meeting the goals of NCLB and IDEA and the needs of transition-age youth with disabilities, and it will inform their efforts to improve programs and services. It will also inform the efforts of special educators and other service providers charged with assisting out-of-school youth with disabilities, as well as youth and their parents, to understand needs and improve practices.</w:t>
      </w:r>
    </w:p>
    <w:p w:rsidR="009B24B5" w:rsidRPr="009B24B5" w:rsidRDefault="009B24B5" w:rsidP="009B24B5">
      <w:pPr>
        <w:spacing w:line="240" w:lineRule="auto"/>
      </w:pPr>
    </w:p>
    <w:p w:rsidR="00AA2B00" w:rsidRPr="00AA2B00" w:rsidRDefault="00AA2B00" w:rsidP="00215B33">
      <w:pPr>
        <w:pStyle w:val="Heading3"/>
      </w:pPr>
      <w:bookmarkStart w:id="40" w:name="_Toc298415682"/>
      <w:bookmarkStart w:id="41" w:name="_Toc298418563"/>
      <w:r w:rsidRPr="00AA2B00">
        <w:t>2.</w:t>
      </w:r>
      <w:r w:rsidR="00215B33">
        <w:tab/>
      </w:r>
      <w:r w:rsidRPr="00AA2B00">
        <w:t xml:space="preserve">How, by </w:t>
      </w:r>
      <w:r w:rsidR="00215B33">
        <w:t>W</w:t>
      </w:r>
      <w:r w:rsidRPr="00AA2B00">
        <w:t>hom</w:t>
      </w:r>
      <w:r w:rsidR="002140A9">
        <w:t>,</w:t>
      </w:r>
      <w:r w:rsidRPr="00AA2B00">
        <w:t xml:space="preserve"> and for </w:t>
      </w:r>
      <w:r w:rsidR="00215B33" w:rsidRPr="00AA2B00">
        <w:t xml:space="preserve">What Purpose </w:t>
      </w:r>
      <w:r w:rsidRPr="00AA2B00">
        <w:t xml:space="preserve">the </w:t>
      </w:r>
      <w:r w:rsidR="00215B33" w:rsidRPr="00AA2B00">
        <w:t xml:space="preserve">Information </w:t>
      </w:r>
      <w:r w:rsidR="002140A9">
        <w:t>I</w:t>
      </w:r>
      <w:r w:rsidR="00215B33" w:rsidRPr="00AA2B00">
        <w:t xml:space="preserve">s </w:t>
      </w:r>
      <w:r w:rsidRPr="00AA2B00">
        <w:t xml:space="preserve">to </w:t>
      </w:r>
      <w:r w:rsidR="002140A9">
        <w:t>B</w:t>
      </w:r>
      <w:r w:rsidRPr="00AA2B00">
        <w:t xml:space="preserve">e </w:t>
      </w:r>
      <w:r w:rsidR="00215B33">
        <w:t>U</w:t>
      </w:r>
      <w:r w:rsidRPr="00AA2B00">
        <w:t>sed</w:t>
      </w:r>
      <w:bookmarkEnd w:id="40"/>
      <w:bookmarkEnd w:id="41"/>
    </w:p>
    <w:p w:rsidR="00E15DD4" w:rsidRDefault="00AA2B00" w:rsidP="009B24B5">
      <w:pPr>
        <w:pStyle w:val="ParagraphSSLAST"/>
        <w:spacing w:after="0"/>
      </w:pPr>
      <w:r w:rsidRPr="00AA2B00">
        <w:t xml:space="preserve">The information will collected by </w:t>
      </w:r>
      <w:proofErr w:type="spellStart"/>
      <w:r w:rsidRPr="00AA2B00">
        <w:t>Mathematica</w:t>
      </w:r>
      <w:proofErr w:type="spellEnd"/>
      <w:r w:rsidRPr="00AA2B00">
        <w:t xml:space="preserve"> Policy Research and its subcontractor Decision Information Resources (DIR), and analyzed by </w:t>
      </w:r>
      <w:proofErr w:type="spellStart"/>
      <w:r w:rsidRPr="00AA2B00">
        <w:t>Mathematica</w:t>
      </w:r>
      <w:proofErr w:type="spellEnd"/>
      <w:r w:rsidRPr="00AA2B00">
        <w:t xml:space="preserve"> and its subcontractor the Institute on Community Integration, University of Minnesota</w:t>
      </w:r>
      <w:r w:rsidR="002140A9">
        <w:t>,</w:t>
      </w:r>
      <w:r w:rsidRPr="00AA2B00">
        <w:t xml:space="preserve"> under contract with ED (contract number ED-IES-10-C-0073). Below we </w:t>
      </w:r>
      <w:r w:rsidR="00E15DD4">
        <w:t xml:space="preserve">first </w:t>
      </w:r>
      <w:r w:rsidRPr="00AA2B00">
        <w:t xml:space="preserve">describe how the baseline data summarized in Table </w:t>
      </w:r>
      <w:r w:rsidR="005C047E">
        <w:t>A.</w:t>
      </w:r>
      <w:r w:rsidRPr="00AA2B00">
        <w:t xml:space="preserve">1 will be collected </w:t>
      </w:r>
      <w:r w:rsidR="00E82798">
        <w:t xml:space="preserve">and then describe </w:t>
      </w:r>
      <w:r w:rsidR="00E15DD4">
        <w:t>how, by whom</w:t>
      </w:r>
      <w:r w:rsidR="002140A9">
        <w:t>,</w:t>
      </w:r>
      <w:r w:rsidR="00E15DD4">
        <w:t xml:space="preserve"> and for what purpose it will be </w:t>
      </w:r>
      <w:r w:rsidRPr="00AA2B00">
        <w:t>used.</w:t>
      </w:r>
    </w:p>
    <w:p w:rsidR="009B24B5" w:rsidRPr="009B24B5" w:rsidRDefault="009B24B5" w:rsidP="009B24B5">
      <w:pPr>
        <w:spacing w:line="240" w:lineRule="auto"/>
      </w:pPr>
    </w:p>
    <w:p w:rsidR="00AA2B00" w:rsidRDefault="009B24B5" w:rsidP="009B24B5">
      <w:pPr>
        <w:pStyle w:val="ParagraphSSLAST"/>
        <w:spacing w:after="0"/>
        <w:ind w:firstLine="0"/>
        <w:rPr>
          <w:b/>
        </w:rPr>
      </w:pPr>
      <w:r>
        <w:rPr>
          <w:b/>
        </w:rPr>
        <w:t>a.</w:t>
      </w:r>
      <w:r>
        <w:rPr>
          <w:b/>
        </w:rPr>
        <w:tab/>
      </w:r>
      <w:r w:rsidR="00E15DD4">
        <w:rPr>
          <w:b/>
        </w:rPr>
        <w:t xml:space="preserve">Baseline </w:t>
      </w:r>
      <w:r w:rsidR="00E15DD4" w:rsidRPr="00E15DD4">
        <w:rPr>
          <w:b/>
        </w:rPr>
        <w:t>Data Collection Overview</w:t>
      </w:r>
      <w:r w:rsidR="00AA2B00" w:rsidRPr="00E15DD4">
        <w:rPr>
          <w:b/>
        </w:rPr>
        <w:t xml:space="preserve"> </w:t>
      </w:r>
    </w:p>
    <w:p w:rsidR="009B24B5" w:rsidRPr="009B24B5" w:rsidRDefault="009B24B5" w:rsidP="009B24B5">
      <w:pPr>
        <w:spacing w:line="240" w:lineRule="auto"/>
      </w:pPr>
    </w:p>
    <w:p w:rsidR="00AA2B00" w:rsidRPr="00215B33" w:rsidRDefault="00AA2B00" w:rsidP="00215B33">
      <w:pPr>
        <w:pStyle w:val="NormalSS"/>
        <w:ind w:firstLine="0"/>
        <w:rPr>
          <w:b/>
        </w:rPr>
      </w:pPr>
      <w:r w:rsidRPr="00215B33">
        <w:rPr>
          <w:b/>
        </w:rPr>
        <w:t>Parent</w:t>
      </w:r>
      <w:r w:rsidR="00215B33" w:rsidRPr="00215B33">
        <w:rPr>
          <w:b/>
        </w:rPr>
        <w:t xml:space="preserve">/Student Consent </w:t>
      </w:r>
      <w:r w:rsidR="00215B33">
        <w:rPr>
          <w:b/>
        </w:rPr>
        <w:t>a</w:t>
      </w:r>
      <w:r w:rsidR="00215B33" w:rsidRPr="00215B33">
        <w:rPr>
          <w:b/>
        </w:rPr>
        <w:t xml:space="preserve">nd Assent </w:t>
      </w:r>
      <w:r w:rsidR="00215B33">
        <w:rPr>
          <w:b/>
        </w:rPr>
        <w:t>a</w:t>
      </w:r>
      <w:r w:rsidR="00215B33" w:rsidRPr="00215B33">
        <w:rPr>
          <w:b/>
        </w:rPr>
        <w:t>nd Baseline Interviews</w:t>
      </w:r>
    </w:p>
    <w:p w:rsidR="00B56DE8" w:rsidRDefault="00AA2B00" w:rsidP="00B56DE8">
      <w:pPr>
        <w:pStyle w:val="NormalSS"/>
      </w:pPr>
      <w:r w:rsidRPr="00AA2B00">
        <w:t>All of the baseline data collection will be completed between January and June 2012 (spring 2012)</w:t>
      </w:r>
      <w:r w:rsidR="00233C47">
        <w:t>.</w:t>
      </w:r>
      <w:r w:rsidRPr="00AA2B00">
        <w:t xml:space="preserve"> As the first step in data collection, </w:t>
      </w:r>
      <w:proofErr w:type="spellStart"/>
      <w:r w:rsidRPr="00AA2B00">
        <w:t>Mathematica</w:t>
      </w:r>
      <w:proofErr w:type="spellEnd"/>
      <w:r w:rsidRPr="00AA2B00">
        <w:t xml:space="preserve"> will obtain oral, digitally recorded consent by telephone from parents and</w:t>
      </w:r>
      <w:r w:rsidR="002140A9">
        <w:t>,</w:t>
      </w:r>
      <w:r w:rsidRPr="00AA2B00">
        <w:t xml:space="preserve"> depending on their age, assent or consent from the students. A script will be read </w:t>
      </w:r>
      <w:r w:rsidR="00B56DE8">
        <w:t>(Appendix G)</w:t>
      </w:r>
      <w:r w:rsidR="00041967">
        <w:t>,</w:t>
      </w:r>
      <w:r w:rsidR="00B56DE8">
        <w:t xml:space="preserve"> </w:t>
      </w:r>
      <w:r w:rsidRPr="00AA2B00">
        <w:t>and the reading and consent (or refusal of consent) will be digitally recorded. Written documentation of the oral consent will be sent to participants for their records. Parents or students will be able to change their minds about participation after they examine the written document or at any time during the study.</w:t>
      </w:r>
      <w:r w:rsidR="00A4089E">
        <w:t xml:space="preserve"> </w:t>
      </w:r>
      <w:r w:rsidR="00B56DE8">
        <w:t xml:space="preserve">If a district’s research procedures do not allow </w:t>
      </w:r>
      <w:r w:rsidR="00437066">
        <w:t xml:space="preserve">digitally recorded </w:t>
      </w:r>
      <w:r w:rsidR="00B56DE8">
        <w:t>oral consent and they require written parental consent, we will work out with the district a procedure for accomplishing this.</w:t>
      </w:r>
      <w:r w:rsidR="00A4089E">
        <w:t xml:space="preserve"> </w:t>
      </w:r>
      <w:r w:rsidR="00B56DE8">
        <w:t xml:space="preserve">We anticipate that the process will include </w:t>
      </w:r>
      <w:r w:rsidR="00437066">
        <w:t>(</w:t>
      </w:r>
      <w:r w:rsidR="00B56DE8">
        <w:t>1) mailing a description of the study and consent form to the parents</w:t>
      </w:r>
      <w:r w:rsidR="00437066">
        <w:t>,</w:t>
      </w:r>
      <w:r w:rsidR="00B56DE8">
        <w:t xml:space="preserve"> </w:t>
      </w:r>
      <w:r w:rsidR="00437066">
        <w:t>(</w:t>
      </w:r>
      <w:r w:rsidR="00B56DE8">
        <w:t>2) contacting the parent by telephone to explain the study and answer any questions the parent may have</w:t>
      </w:r>
      <w:r w:rsidR="00437066">
        <w:t>,</w:t>
      </w:r>
      <w:r w:rsidR="00B56DE8">
        <w:t xml:space="preserve"> and </w:t>
      </w:r>
      <w:r w:rsidR="00437066">
        <w:t>(</w:t>
      </w:r>
      <w:r w:rsidR="00B56DE8">
        <w:t>3) receipt of the signed consent form via mail from the parent.</w:t>
      </w:r>
    </w:p>
    <w:p w:rsidR="00AA2B00" w:rsidRPr="00AA2B00" w:rsidRDefault="00B56DE8" w:rsidP="00F97123">
      <w:pPr>
        <w:pStyle w:val="NormalSS"/>
      </w:pPr>
      <w:r>
        <w:lastRenderedPageBreak/>
        <w:t>T</w:t>
      </w:r>
      <w:r w:rsidR="00AA2B00" w:rsidRPr="00AA2B00">
        <w:t xml:space="preserve">he parent interview </w:t>
      </w:r>
      <w:r>
        <w:t>(Appendix L)</w:t>
      </w:r>
      <w:r w:rsidR="00AA2B00" w:rsidRPr="00AA2B00">
        <w:t xml:space="preserve"> is expected to take 40 minutes</w:t>
      </w:r>
      <w:r w:rsidR="00437066">
        <w:t>,</w:t>
      </w:r>
      <w:r w:rsidR="00AA2B00" w:rsidRPr="00AA2B00">
        <w:t xml:space="preserve"> and the student interview </w:t>
      </w:r>
      <w:r>
        <w:t>(Appendix L)</w:t>
      </w:r>
      <w:r w:rsidR="00AA2B00" w:rsidRPr="00AA2B00">
        <w:t xml:space="preserve"> is expected to take about 30 minutes. When agreeable to the parent and student, the parent and student interviews will be conducted in succession during a single session.</w:t>
      </w:r>
      <w:r w:rsidR="00A4089E">
        <w:t xml:space="preserve"> </w:t>
      </w:r>
    </w:p>
    <w:p w:rsidR="00AA2B00" w:rsidRPr="00AA2B00" w:rsidRDefault="00AA2B00" w:rsidP="00F97123">
      <w:pPr>
        <w:pStyle w:val="NormalSS"/>
      </w:pPr>
      <w:r w:rsidRPr="00AA2B00">
        <w:t xml:space="preserve">All questions will be designed to be answered by persons with disabilities. Questions will avoid high-frequency sounds, offer simple probes if the respondent does not understand the main questions, and accept ranges if exact response categories are unknown. Interviewers will assess the respondent’s emotional and physical state to offer breaks if necessary. If a student’s disability prohibits self-response, interviewers will ask the parent or guardian to proxy for </w:t>
      </w:r>
      <w:proofErr w:type="spellStart"/>
      <w:r w:rsidRPr="00AA2B00">
        <w:t>nonsubjective</w:t>
      </w:r>
      <w:proofErr w:type="spellEnd"/>
      <w:r w:rsidRPr="00AA2B00">
        <w:t xml:space="preserve"> questions. </w:t>
      </w:r>
    </w:p>
    <w:p w:rsidR="001F232A" w:rsidRDefault="00AA2B00" w:rsidP="00E86715">
      <w:pPr>
        <w:pStyle w:val="NormalSS"/>
      </w:pPr>
      <w:r w:rsidRPr="00AA2B00">
        <w:t>Parents will be asked to provide information about the student’s disability profile</w:t>
      </w:r>
      <w:r w:rsidR="00233C47">
        <w:t xml:space="preserve">, </w:t>
      </w:r>
      <w:r w:rsidRPr="00AA2B00">
        <w:t>services related to a disability, expectations for the student in the future, barriers or challenges the student faces, and household characteristics. Youth will be asked about their experiences in and out of school (including classroom engagement, paid employment, and extracurricular activities), as well as their goals and expectations for their future. Both youth who have an IEP and their parents will be asked about their involvement in the IEP process, as well as questions to gather contact information for the next round of data collection in 2014.</w:t>
      </w:r>
      <w:r w:rsidR="00E86715">
        <w:t xml:space="preserve"> All</w:t>
      </w:r>
      <w:r w:rsidR="00E86715" w:rsidRPr="00FD28E9">
        <w:t xml:space="preserve"> students will be asked to complete a brief scale based on the ARC Self-Determination Scale and the Adolescent Self-Determination Assessment. Self-determination refers to the conscious exercise of intention and choice. People who are self determined engage in goal-directed, self-regulated, autonomous behavior. A growing literature has 1) established that students with intellectual disability, learning disabilities, emotional and behavioral disabilities, and autism are less self determined than their non-disabled peers, 2) demonstrated that instruction can promote self-determination, and 3) revealed associations between higher levels of self-determination and more positive outcomes for students in the disability groups with low self-determination. By including the planned measure of self-determination, NLTS 2012 will build on work begun with NLTS2 to build a base of information to better understand the relationship of self-determination and youth outcomes. </w:t>
      </w:r>
    </w:p>
    <w:p w:rsidR="00AA2B00" w:rsidRDefault="00AA2B00" w:rsidP="009B24B5">
      <w:pPr>
        <w:pStyle w:val="ParagraphSSLAST"/>
        <w:spacing w:after="0"/>
      </w:pPr>
      <w:r w:rsidRPr="00AA2B00">
        <w:t xml:space="preserve">We considered completing the student survey as part of the in-person session at which the direct assessment is conducted, but we do not recommend this approach. We believe it is less burdensome and more efficient to complete the student survey by telephone at the time we obtain consent and complete the parent survey. Our reasoning is that </w:t>
      </w:r>
      <w:r w:rsidR="00517080">
        <w:t>(</w:t>
      </w:r>
      <w:r w:rsidRPr="00AA2B00">
        <w:t>1) the in-person assessments can take a class period or more for many students and, like schools and parents, we want the students to miss as little class time as possible</w:t>
      </w:r>
      <w:r w:rsidR="00517080">
        <w:t>;</w:t>
      </w:r>
      <w:r w:rsidRPr="00AA2B00">
        <w:t xml:space="preserve"> </w:t>
      </w:r>
      <w:r w:rsidR="00517080">
        <w:t>(</w:t>
      </w:r>
      <w:r w:rsidRPr="00AA2B00">
        <w:t>2) because the assessment will only be given to students when they are 16 years or older</w:t>
      </w:r>
      <w:r w:rsidR="00517080">
        <w:t>,</w:t>
      </w:r>
      <w:r w:rsidRPr="00AA2B00">
        <w:t xml:space="preserve"> we will not be able to interview the entire sample at baseline if the interview is linked to the academic assessment</w:t>
      </w:r>
      <w:r w:rsidR="00517080">
        <w:t>;</w:t>
      </w:r>
      <w:r w:rsidRPr="00AA2B00">
        <w:t xml:space="preserve"> and </w:t>
      </w:r>
      <w:r w:rsidR="00517080">
        <w:t>(</w:t>
      </w:r>
      <w:r w:rsidRPr="00AA2B00">
        <w:t>3) some students who try the student interview may need assistance from an adult in responding to some questions</w:t>
      </w:r>
      <w:r w:rsidR="00517080">
        <w:t>,</w:t>
      </w:r>
      <w:r w:rsidRPr="00AA2B00">
        <w:t xml:space="preserve"> and the parent is a more appropriate person for this role given the nature of some of the questions. However, if we have not completed the student interview by phone when the in-person assessment is being administered, we will either ask the student to complete the interview after completing the assessment if time permits or set up an appointment to contact the youth to complete the interview. Information relating to appointments would then be immediately transferred to the telephone center to log the appointment in the electronic call management system. </w:t>
      </w:r>
    </w:p>
    <w:p w:rsidR="009B24B5" w:rsidRPr="009B24B5" w:rsidRDefault="009B24B5" w:rsidP="009B24B5">
      <w:pPr>
        <w:spacing w:line="240" w:lineRule="auto"/>
      </w:pPr>
    </w:p>
    <w:p w:rsidR="0075608D" w:rsidRDefault="0075608D">
      <w:pPr>
        <w:tabs>
          <w:tab w:val="clear" w:pos="432"/>
        </w:tabs>
        <w:spacing w:line="240" w:lineRule="auto"/>
        <w:ind w:firstLine="0"/>
        <w:jc w:val="left"/>
        <w:rPr>
          <w:b/>
        </w:rPr>
      </w:pPr>
      <w:r>
        <w:rPr>
          <w:b/>
        </w:rPr>
        <w:br w:type="page"/>
      </w:r>
    </w:p>
    <w:p w:rsidR="00AA2B00" w:rsidRPr="00215B33" w:rsidRDefault="00AA2B00" w:rsidP="00215B33">
      <w:pPr>
        <w:pStyle w:val="NormalSS"/>
        <w:ind w:firstLine="0"/>
        <w:rPr>
          <w:b/>
        </w:rPr>
      </w:pPr>
      <w:r w:rsidRPr="00215B33">
        <w:rPr>
          <w:b/>
        </w:rPr>
        <w:lastRenderedPageBreak/>
        <w:t xml:space="preserve">School </w:t>
      </w:r>
      <w:r w:rsidR="00215B33" w:rsidRPr="00215B33">
        <w:rPr>
          <w:b/>
        </w:rPr>
        <w:t>Staff Baseline Surveys</w:t>
      </w:r>
    </w:p>
    <w:p w:rsidR="00AA2B00" w:rsidRPr="00AA2B00" w:rsidRDefault="00AA2B00" w:rsidP="00215B33">
      <w:pPr>
        <w:pStyle w:val="NormalSS"/>
      </w:pPr>
      <w:r w:rsidRPr="00AA2B00">
        <w:t>Baseline surveys will be conducted with the principal or a designee of the sample member’s school, the sample member</w:t>
      </w:r>
      <w:r w:rsidR="00B56DE8">
        <w:t>’</w:t>
      </w:r>
      <w:r w:rsidRPr="00AA2B00">
        <w:t>s math or language arts teacher, and</w:t>
      </w:r>
      <w:r w:rsidR="00AA0035">
        <w:t>,</w:t>
      </w:r>
      <w:r w:rsidRPr="00AA2B00">
        <w:t xml:space="preserve"> if the student has an IEP</w:t>
      </w:r>
      <w:r w:rsidR="00AA0035">
        <w:t>,</w:t>
      </w:r>
      <w:r w:rsidRPr="00AA2B00">
        <w:t xml:space="preserve"> a special education teacher or other person who is most familiar with the student’s overall program. Each of these school staff will be asked to complete a web survey, with telephone follow-up of respondents who do not complete the self-administered web survey. Respondents will also be offered the option of completing a hard copy</w:t>
      </w:r>
      <w:r w:rsidR="00AA0035">
        <w:t>,</w:t>
      </w:r>
      <w:r w:rsidRPr="00AA2B00">
        <w:t xml:space="preserve"> which is mailed or faxed.</w:t>
      </w:r>
      <w:r w:rsidR="00A4089E">
        <w:t xml:space="preserve"> </w:t>
      </w:r>
      <w:r w:rsidRPr="00AA2B00">
        <w:t xml:space="preserve">In each of these school staff surveys, the elements of informed consent will be presented upon log-in to the web survey (introduction). </w:t>
      </w:r>
      <w:r w:rsidR="001B507C">
        <w:t>T</w:t>
      </w:r>
      <w:r w:rsidRPr="00AA2B00">
        <w:t>heir consent to participate will be captured electronically by having the respondent respond to a yes/no question, confirming their intent. Those completing the instrument by fax or mail will demonstrate passive consent by returning their completed instrument and those completing by phone will provide verbal consent prior to administration.</w:t>
      </w:r>
    </w:p>
    <w:p w:rsidR="00B56DE8" w:rsidRDefault="00AA2B00" w:rsidP="00F97123">
      <w:pPr>
        <w:pStyle w:val="BulletBlack"/>
      </w:pPr>
      <w:r w:rsidRPr="00AA2B00">
        <w:t xml:space="preserve">The </w:t>
      </w:r>
      <w:r w:rsidRPr="00B56DE8">
        <w:rPr>
          <w:b/>
        </w:rPr>
        <w:t>School Characteristics Survey</w:t>
      </w:r>
      <w:r w:rsidRPr="00AA2B00">
        <w:t xml:space="preserve"> (completed by the principal or designee) will furnish data on school programs, policies, and resources. The survey of principals will focus on the characteristics of the school and school environment.</w:t>
      </w:r>
      <w:r w:rsidR="00B56DE8">
        <w:t xml:space="preserve"> (Appendix I)</w:t>
      </w:r>
      <w:r w:rsidRPr="00AA2B00">
        <w:t xml:space="preserve"> </w:t>
      </w:r>
    </w:p>
    <w:p w:rsidR="00B56DE8" w:rsidRPr="00AA2B00" w:rsidRDefault="00AA2B00" w:rsidP="00B56DE8">
      <w:pPr>
        <w:pStyle w:val="BulletBlack"/>
      </w:pPr>
      <w:r w:rsidRPr="00AA2B00">
        <w:t xml:space="preserve">The </w:t>
      </w:r>
      <w:r w:rsidRPr="00B56DE8">
        <w:rPr>
          <w:b/>
        </w:rPr>
        <w:t>Mathematics/Language Arts Teacher Survey</w:t>
      </w:r>
      <w:r w:rsidRPr="00AA2B00">
        <w:t xml:space="preserve"> (</w:t>
      </w:r>
      <w:proofErr w:type="spellStart"/>
      <w:r w:rsidRPr="00AA2B00">
        <w:t>Mathematica</w:t>
      </w:r>
      <w:proofErr w:type="spellEnd"/>
      <w:r w:rsidRPr="00AA2B00">
        <w:t xml:space="preserve"> will random</w:t>
      </w:r>
      <w:r w:rsidR="00B56DE8">
        <w:t>ly</w:t>
      </w:r>
      <w:r w:rsidRPr="00AA2B00">
        <w:t xml:space="preserve"> select whether the math or language arts teacher will respond; if the selected teacher does not respond</w:t>
      </w:r>
      <w:r w:rsidR="00B56DE8">
        <w:t>,</w:t>
      </w:r>
      <w:r w:rsidRPr="00AA2B00">
        <w:t xml:space="preserve"> the other will be asked to substitute.) The survey will focus on classroom characteristics; instructional practices; services, supports, and accommodations; school engagement and parent communications; and teacher characteristics.</w:t>
      </w:r>
      <w:r w:rsidR="00B56DE8">
        <w:t xml:space="preserve"> (Appendix J)</w:t>
      </w:r>
      <w:r w:rsidR="00B56DE8" w:rsidRPr="00AA2B00">
        <w:t xml:space="preserve"> </w:t>
      </w:r>
    </w:p>
    <w:p w:rsidR="00B56DE8" w:rsidRPr="00B56DE8" w:rsidRDefault="00E4705D" w:rsidP="00735D58">
      <w:pPr>
        <w:pStyle w:val="BulletBlack"/>
        <w:rPr>
          <w:b/>
        </w:rPr>
      </w:pPr>
      <w:r>
        <w:t>I</w:t>
      </w:r>
      <w:r w:rsidR="00AA2B00" w:rsidRPr="00AA2B00">
        <w:t xml:space="preserve">n the </w:t>
      </w:r>
      <w:r w:rsidR="00AA2B00" w:rsidRPr="00B56DE8">
        <w:rPr>
          <w:b/>
        </w:rPr>
        <w:t>School Program Survey</w:t>
      </w:r>
      <w:r w:rsidR="00B005AC" w:rsidRPr="00B005AC">
        <w:t>,</w:t>
      </w:r>
      <w:r w:rsidR="00AA2B00" w:rsidRPr="00AA2B00">
        <w:t xml:space="preserve"> the special education teacher most familiar with the sample member’s program will provide additional information about the student’s school program; supports and accommodations; barriers the student may face in pursuit of postsecondary education, competitive employment, or independent living; and transition services provided.</w:t>
      </w:r>
      <w:r w:rsidR="00B56DE8">
        <w:t xml:space="preserve"> (Appendix K)</w:t>
      </w:r>
    </w:p>
    <w:p w:rsidR="00AA2B00" w:rsidRPr="00735D58" w:rsidRDefault="00AA2B00" w:rsidP="00735D58">
      <w:pPr>
        <w:pStyle w:val="BulletBlack"/>
        <w:rPr>
          <w:b/>
        </w:rPr>
      </w:pPr>
      <w:r w:rsidRPr="00AA2B00">
        <w:t xml:space="preserve">In addition to the surveys with school staff, the baseline data collection effort will also include acquisition of </w:t>
      </w:r>
      <w:r w:rsidR="00B005AC" w:rsidRPr="00B005AC">
        <w:rPr>
          <w:b/>
        </w:rPr>
        <w:t>school records</w:t>
      </w:r>
      <w:r w:rsidRPr="00AA2B00">
        <w:t xml:space="preserve"> for each selected student. At the start of the study, schools or districts will be asked to provide for each sample member </w:t>
      </w:r>
      <w:r w:rsidR="00AD5F31">
        <w:t>(</w:t>
      </w:r>
      <w:r w:rsidRPr="00AA2B00">
        <w:t>1) the student’s free or reduced</w:t>
      </w:r>
      <w:r w:rsidR="00AD5F31">
        <w:t>-</w:t>
      </w:r>
      <w:r w:rsidRPr="00AA2B00">
        <w:t xml:space="preserve">price lunch status, </w:t>
      </w:r>
      <w:r w:rsidR="00AD5F31">
        <w:t>(</w:t>
      </w:r>
      <w:r w:rsidRPr="00AA2B00">
        <w:t xml:space="preserve">2) whether the student receives instruction as an English </w:t>
      </w:r>
      <w:r w:rsidR="00AD5F31">
        <w:t>l</w:t>
      </w:r>
      <w:r w:rsidRPr="00AA2B00">
        <w:t xml:space="preserve">anguage </w:t>
      </w:r>
      <w:r w:rsidR="00AD5F31">
        <w:t>l</w:t>
      </w:r>
      <w:r w:rsidRPr="00AA2B00">
        <w:t xml:space="preserve">earner, and </w:t>
      </w:r>
      <w:r w:rsidR="00481450">
        <w:t>(</w:t>
      </w:r>
      <w:r w:rsidR="00FD28E9">
        <w:t>3</w:t>
      </w:r>
      <w:r w:rsidRPr="00AA2B00">
        <w:t>) whether the student has received out</w:t>
      </w:r>
      <w:r w:rsidR="00481450">
        <w:t>-</w:t>
      </w:r>
      <w:r w:rsidRPr="00AA2B00">
        <w:t>of</w:t>
      </w:r>
      <w:r w:rsidR="00481450">
        <w:t>-</w:t>
      </w:r>
      <w:r w:rsidRPr="00AA2B00">
        <w:t>school suspension or been expelled in the current school year.</w:t>
      </w:r>
    </w:p>
    <w:p w:rsidR="00735D58" w:rsidRPr="00B56DE8" w:rsidRDefault="00735D58" w:rsidP="00735D58">
      <w:pPr>
        <w:pStyle w:val="BulletBlack"/>
        <w:numPr>
          <w:ilvl w:val="0"/>
          <w:numId w:val="0"/>
        </w:numPr>
        <w:spacing w:after="0"/>
        <w:ind w:left="792"/>
        <w:rPr>
          <w:b/>
        </w:rPr>
      </w:pPr>
    </w:p>
    <w:p w:rsidR="00AA2B00" w:rsidRDefault="00AA2B00" w:rsidP="009B24B5">
      <w:pPr>
        <w:pStyle w:val="ParagraphSSLAST"/>
        <w:spacing w:after="0"/>
      </w:pPr>
      <w:r w:rsidRPr="00AA2B00">
        <w:t>After the 2011</w:t>
      </w:r>
      <w:r w:rsidR="00481450">
        <w:t>–</w:t>
      </w:r>
      <w:r w:rsidRPr="00AA2B00">
        <w:t>2012 school year, we will request transcripts and attendance information for students who have completed school, are not expected to return, or who have reported in the parent or student interview that they have left</w:t>
      </w:r>
      <w:r w:rsidR="00B56DE8">
        <w:t xml:space="preserve"> school</w:t>
      </w:r>
      <w:r w:rsidRPr="00AA2B00">
        <w:t>. We anticipate that some sample members will graduate or drop out between the point of sample selection in fall 2011 and the end of the 2011</w:t>
      </w:r>
      <w:r w:rsidR="00481450">
        <w:t>–</w:t>
      </w:r>
      <w:r w:rsidRPr="00AA2B00">
        <w:t>2012 school year. At the first follow-up interview (and each subsequent round of follow-up data collection)</w:t>
      </w:r>
      <w:r w:rsidR="00043833">
        <w:t>,</w:t>
      </w:r>
      <w:r w:rsidRPr="00AA2B00">
        <w:t xml:space="preserve"> transcripts, performance on state-mandated tests, and attendance information will be requested for students who have left school since the prior round of data collection.</w:t>
      </w:r>
    </w:p>
    <w:p w:rsidR="009B24B5" w:rsidRPr="009B24B5" w:rsidRDefault="009B24B5" w:rsidP="009B24B5">
      <w:pPr>
        <w:spacing w:line="240" w:lineRule="auto"/>
      </w:pPr>
    </w:p>
    <w:p w:rsidR="00AA2B00" w:rsidRPr="00F97123" w:rsidRDefault="00B56DE8" w:rsidP="00F97123">
      <w:pPr>
        <w:pStyle w:val="NormalSS"/>
        <w:ind w:firstLine="0"/>
        <w:rPr>
          <w:b/>
        </w:rPr>
      </w:pPr>
      <w:r>
        <w:rPr>
          <w:b/>
        </w:rPr>
        <w:t>Direct Assessment</w:t>
      </w:r>
      <w:r w:rsidR="00AA2B00" w:rsidRPr="00F97123">
        <w:rPr>
          <w:b/>
        </w:rPr>
        <w:t xml:space="preserve"> of Student</w:t>
      </w:r>
      <w:r>
        <w:rPr>
          <w:b/>
        </w:rPr>
        <w:t>s</w:t>
      </w:r>
    </w:p>
    <w:p w:rsidR="00AA2B00" w:rsidRPr="00AA2B00" w:rsidRDefault="00AA2B00" w:rsidP="00215B33">
      <w:pPr>
        <w:pStyle w:val="NormalSS"/>
      </w:pPr>
      <w:r w:rsidRPr="00AA2B00">
        <w:t xml:space="preserve">Student’s academic proficiencies and ability to act on their own behalf in a self-determined way are major student outcomes and may condition the opportunities youth will have for </w:t>
      </w:r>
      <w:r w:rsidRPr="00AA2B00">
        <w:lastRenderedPageBreak/>
        <w:t>postsecondary education, employment, community involvement</w:t>
      </w:r>
      <w:r w:rsidR="00043833">
        <w:t>,</w:t>
      </w:r>
      <w:r w:rsidRPr="00AA2B00">
        <w:t xml:space="preserve"> and independent living.</w:t>
      </w:r>
      <w:r w:rsidR="00A4089E">
        <w:t xml:space="preserve"> </w:t>
      </w:r>
      <w:r w:rsidRPr="00AA2B00">
        <w:t>To better understand academic proficiency of students with and without disabilities and to examine trends over time in the average proficiencies of youth with disabilities, the study will conduct direct assessments of students</w:t>
      </w:r>
      <w:r w:rsidR="00B56DE8">
        <w:t>’</w:t>
      </w:r>
      <w:r w:rsidRPr="00AA2B00">
        <w:t xml:space="preserve"> academic proficiencies. We considered using state assessments for this purpose, but </w:t>
      </w:r>
      <w:r w:rsidR="00043833">
        <w:t xml:space="preserve">based </w:t>
      </w:r>
      <w:r w:rsidRPr="00AA2B00">
        <w:t xml:space="preserve">on advice </w:t>
      </w:r>
      <w:r w:rsidR="00043833">
        <w:t>from</w:t>
      </w:r>
      <w:r w:rsidRPr="00AA2B00">
        <w:t xml:space="preserve"> the study’s technical work group</w:t>
      </w:r>
      <w:r w:rsidR="00043833">
        <w:t>, we</w:t>
      </w:r>
      <w:r w:rsidRPr="00AA2B00">
        <w:t xml:space="preserve"> concluded that direct assessment was necessary to ensure consistent measurement across all sample members and comparability with NLTS2. </w:t>
      </w:r>
    </w:p>
    <w:p w:rsidR="00FD28E9" w:rsidRDefault="00AA2B00" w:rsidP="00FD28E9">
      <w:pPr>
        <w:pStyle w:val="NormalSS"/>
      </w:pPr>
      <w:r w:rsidRPr="00AA2B00">
        <w:t xml:space="preserve">The in-person, direct assessments will be conducted by either school psychologists or professionally trained staff from </w:t>
      </w:r>
      <w:proofErr w:type="spellStart"/>
      <w:r w:rsidRPr="00AA2B00">
        <w:t>Mathematica</w:t>
      </w:r>
      <w:proofErr w:type="spellEnd"/>
      <w:r w:rsidRPr="00AA2B00">
        <w:t>, depending on what can be arranged through the school district. Sample members who are 16 to 21 years old at baseline will be asked to complete the direct assessment in spring 2012. Direct assessment of sample members who are 13 to 15 years old at baseline will be conducted at the first follow-up in spring 2014 when most will be 16 to 17 years old. We will conduct the assessment primarily on school campuses, but</w:t>
      </w:r>
      <w:r w:rsidR="00043833">
        <w:t xml:space="preserve"> we</w:t>
      </w:r>
      <w:r w:rsidRPr="00AA2B00">
        <w:t xml:space="preserve"> will remain open to using other public spaces (</w:t>
      </w:r>
      <w:r w:rsidR="006254EB">
        <w:t>such as</w:t>
      </w:r>
      <w:r w:rsidRPr="00AA2B00">
        <w:t xml:space="preserve"> libraries, community centers) as alternatives. The Woodcock</w:t>
      </w:r>
      <w:r w:rsidR="006254EB">
        <w:t>-</w:t>
      </w:r>
      <w:r w:rsidRPr="00AA2B00">
        <w:t xml:space="preserve">Johnson III Normative Update will be used to allow comparison with NLTS2. Students who would not be able to participate in such an academic assessment will receive the Learning Characteristics Inventory, completed as part of their special education teacher’s survey (approximately </w:t>
      </w:r>
      <w:r w:rsidR="006254EB">
        <w:t>10</w:t>
      </w:r>
      <w:r w:rsidR="006254EB" w:rsidRPr="00AA2B00">
        <w:t xml:space="preserve"> </w:t>
      </w:r>
      <w:r w:rsidRPr="00AA2B00">
        <w:t>percent of the sample).</w:t>
      </w:r>
    </w:p>
    <w:p w:rsidR="003B694D" w:rsidRDefault="00AA2B00" w:rsidP="003B694D">
      <w:pPr>
        <w:pStyle w:val="NormalSS"/>
      </w:pPr>
      <w:r w:rsidRPr="00AA2B00">
        <w:t xml:space="preserve">We have </w:t>
      </w:r>
      <w:r w:rsidR="008F1189">
        <w:t xml:space="preserve">not </w:t>
      </w:r>
      <w:r w:rsidRPr="00AA2B00">
        <w:t xml:space="preserve">included completion of the </w:t>
      </w:r>
      <w:r w:rsidR="009D6ABF" w:rsidRPr="00AA2B00">
        <w:t>Learn</w:t>
      </w:r>
      <w:r w:rsidR="009D6ABF">
        <w:t>ing</w:t>
      </w:r>
      <w:r w:rsidR="009D6ABF" w:rsidRPr="00AA2B00">
        <w:t xml:space="preserve"> </w:t>
      </w:r>
      <w:r w:rsidRPr="00AA2B00">
        <w:t>Characteristics Inventory by the teachers of students unable to complete the Woodcock</w:t>
      </w:r>
      <w:r w:rsidR="006254EB">
        <w:t>-</w:t>
      </w:r>
      <w:r w:rsidRPr="00AA2B00">
        <w:t>Johnson III N</w:t>
      </w:r>
      <w:r w:rsidR="006254EB">
        <w:t xml:space="preserve">ormative </w:t>
      </w:r>
      <w:r w:rsidRPr="00AA2B00">
        <w:t>U</w:t>
      </w:r>
      <w:r w:rsidR="006254EB">
        <w:t>pdate</w:t>
      </w:r>
      <w:r w:rsidR="008F1189">
        <w:t>,</w:t>
      </w:r>
      <w:r w:rsidR="00314C9F">
        <w:t xml:space="preserve"> </w:t>
      </w:r>
      <w:r w:rsidRPr="00AA2B00">
        <w:t xml:space="preserve"> </w:t>
      </w:r>
      <w:r w:rsidR="008F1189">
        <w:t xml:space="preserve">or </w:t>
      </w:r>
      <w:proofErr w:type="spellStart"/>
      <w:r w:rsidR="008F1189">
        <w:t>completetion</w:t>
      </w:r>
      <w:proofErr w:type="spellEnd"/>
      <w:r w:rsidR="008F1189">
        <w:t xml:space="preserve"> of</w:t>
      </w:r>
      <w:r w:rsidR="002069E5">
        <w:t xml:space="preserve"> </w:t>
      </w:r>
      <w:r w:rsidRPr="00AA2B00">
        <w:t>Woodcock</w:t>
      </w:r>
      <w:r w:rsidR="006254EB">
        <w:t>-</w:t>
      </w:r>
      <w:r w:rsidRPr="00AA2B00">
        <w:t>Johnson III N</w:t>
      </w:r>
      <w:r w:rsidR="006254EB">
        <w:t xml:space="preserve">ormative </w:t>
      </w:r>
      <w:r w:rsidRPr="00AA2B00">
        <w:t>U</w:t>
      </w:r>
      <w:r w:rsidR="006254EB">
        <w:t>pdate</w:t>
      </w:r>
      <w:r w:rsidRPr="00AA2B00">
        <w:t xml:space="preserve"> </w:t>
      </w:r>
      <w:r w:rsidR="008F1189">
        <w:t xml:space="preserve">in our estimate of </w:t>
      </w:r>
      <w:proofErr w:type="spellStart"/>
      <w:r w:rsidR="008F1189">
        <w:t>burdent</w:t>
      </w:r>
      <w:proofErr w:type="spellEnd"/>
      <w:r w:rsidR="008F1189">
        <w:t xml:space="preserve"> as these are all measures of student </w:t>
      </w:r>
      <w:r w:rsidRPr="00AA2B00">
        <w:t>proficiency</w:t>
      </w:r>
      <w:r w:rsidR="008F1189">
        <w:t xml:space="preserve"> or aptitude</w:t>
      </w:r>
      <w:r w:rsidR="006254EB">
        <w:t>,</w:t>
      </w:r>
      <w:r w:rsidRPr="00AA2B00">
        <w:t xml:space="preserve"> </w:t>
      </w:r>
      <w:r w:rsidR="002069E5">
        <w:t xml:space="preserve">and therefore, </w:t>
      </w:r>
      <w:r w:rsidR="008F1189">
        <w:t>not required by OMB to be part of the burden estimates.</w:t>
      </w:r>
    </w:p>
    <w:p w:rsidR="003B694D" w:rsidRPr="001D4BEA" w:rsidRDefault="009B24B5" w:rsidP="003B694D">
      <w:pPr>
        <w:tabs>
          <w:tab w:val="clear" w:pos="432"/>
        </w:tabs>
        <w:spacing w:line="240" w:lineRule="auto"/>
        <w:ind w:firstLine="0"/>
        <w:jc w:val="left"/>
        <w:rPr>
          <w:b/>
          <w:bCs/>
        </w:rPr>
      </w:pPr>
      <w:r>
        <w:rPr>
          <w:b/>
          <w:bCs/>
        </w:rPr>
        <w:t>b.</w:t>
      </w:r>
      <w:r>
        <w:rPr>
          <w:b/>
          <w:bCs/>
        </w:rPr>
        <w:tab/>
      </w:r>
      <w:r w:rsidR="003B694D" w:rsidRPr="001D4BEA">
        <w:rPr>
          <w:b/>
          <w:bCs/>
        </w:rPr>
        <w:t xml:space="preserve">How </w:t>
      </w:r>
      <w:r w:rsidR="006254EB">
        <w:rPr>
          <w:b/>
          <w:bCs/>
        </w:rPr>
        <w:t>t</w:t>
      </w:r>
      <w:r w:rsidR="003B694D">
        <w:rPr>
          <w:b/>
          <w:bCs/>
        </w:rPr>
        <w:t xml:space="preserve">he </w:t>
      </w:r>
      <w:r w:rsidR="00E15DD4">
        <w:rPr>
          <w:b/>
          <w:bCs/>
        </w:rPr>
        <w:t xml:space="preserve">Information </w:t>
      </w:r>
      <w:r w:rsidR="003B694D" w:rsidRPr="001D4BEA">
        <w:rPr>
          <w:b/>
          <w:bCs/>
        </w:rPr>
        <w:t>Will Be Used</w:t>
      </w:r>
    </w:p>
    <w:p w:rsidR="003B694D" w:rsidRDefault="003B694D" w:rsidP="003B694D">
      <w:pPr>
        <w:tabs>
          <w:tab w:val="clear" w:pos="432"/>
        </w:tabs>
        <w:spacing w:line="240" w:lineRule="auto"/>
        <w:ind w:firstLine="0"/>
        <w:jc w:val="left"/>
        <w:rPr>
          <w:bCs/>
        </w:rPr>
      </w:pPr>
    </w:p>
    <w:p w:rsidR="003B694D" w:rsidRDefault="003B694D" w:rsidP="009B24B5">
      <w:pPr>
        <w:tabs>
          <w:tab w:val="clear" w:pos="432"/>
        </w:tabs>
        <w:spacing w:line="240" w:lineRule="auto"/>
        <w:rPr>
          <w:bCs/>
        </w:rPr>
      </w:pPr>
      <w:r>
        <w:t>NLTS 2012 will provide up-to-date information on the characteristics, transition experiences, and transition outcomes of youth with disabilities that will help policymakers, educators</w:t>
      </w:r>
      <w:r w:rsidR="00071648">
        <w:t>,</w:t>
      </w:r>
      <w:r>
        <w:t xml:space="preserve"> and parents improve policy and education practice to support successful outcomes. It will describe the secondary and postsecondary trajectories of youth with IEPs and how they differ from those of youth with Section 504 plans and youth with no identified disability. The study will inform policy, practice, and future research by examining the needs of various subgroups of youth with disabilities; how those needs are being addressed by schools and other organizations; barriers perceived by youth, parents, and school staff; and how youth outcomes are related to specific competencies, school experiences, and the services and supports youth receive. </w:t>
      </w:r>
      <w:r>
        <w:rPr>
          <w:bCs/>
        </w:rPr>
        <w:t xml:space="preserve">The study will also examine the extent to which school experiences and outcomes are changing in ways consistent with the goals of IDEA. In addition to supporting the specific analyses planned as part of NLTS 2012 </w:t>
      </w:r>
      <w:r w:rsidR="00DA08F4">
        <w:rPr>
          <w:bCs/>
        </w:rPr>
        <w:t>Phase I</w:t>
      </w:r>
      <w:r>
        <w:rPr>
          <w:bCs/>
        </w:rPr>
        <w:t xml:space="preserve">, the data will be made available </w:t>
      </w:r>
      <w:r w:rsidR="00E4705D">
        <w:rPr>
          <w:bCs/>
        </w:rPr>
        <w:t>to other researchers and practit</w:t>
      </w:r>
      <w:r>
        <w:rPr>
          <w:bCs/>
        </w:rPr>
        <w:t>ioners through well-documented restricted use files.</w:t>
      </w:r>
    </w:p>
    <w:p w:rsidR="003B694D" w:rsidRDefault="003B694D" w:rsidP="009B24B5">
      <w:pPr>
        <w:tabs>
          <w:tab w:val="clear" w:pos="432"/>
        </w:tabs>
        <w:spacing w:line="240" w:lineRule="auto"/>
        <w:ind w:firstLine="0"/>
        <w:rPr>
          <w:bCs/>
        </w:rPr>
      </w:pPr>
    </w:p>
    <w:p w:rsidR="003B694D" w:rsidRDefault="003B694D" w:rsidP="00A34D09">
      <w:pPr>
        <w:tabs>
          <w:tab w:val="clear" w:pos="432"/>
        </w:tabs>
        <w:spacing w:line="240" w:lineRule="auto"/>
        <w:rPr>
          <w:bCs/>
        </w:rPr>
      </w:pPr>
      <w:r>
        <w:rPr>
          <w:bCs/>
        </w:rPr>
        <w:t xml:space="preserve">Table </w:t>
      </w:r>
      <w:r w:rsidR="00B56DE8">
        <w:rPr>
          <w:bCs/>
        </w:rPr>
        <w:t>A.</w:t>
      </w:r>
      <w:r>
        <w:rPr>
          <w:bCs/>
        </w:rPr>
        <w:t xml:space="preserve">2 summarizes the main </w:t>
      </w:r>
      <w:r w:rsidRPr="0037287F">
        <w:rPr>
          <w:bCs/>
          <w:i/>
        </w:rPr>
        <w:t>youth outcomes</w:t>
      </w:r>
      <w:r>
        <w:rPr>
          <w:bCs/>
        </w:rPr>
        <w:t xml:space="preserve"> that will be captured in the NLTS 2012 data.</w:t>
      </w:r>
      <w:r w:rsidR="00A4089E">
        <w:rPr>
          <w:bCs/>
        </w:rPr>
        <w:t xml:space="preserve"> </w:t>
      </w:r>
      <w:r w:rsidR="00B56DE8">
        <w:rPr>
          <w:bCs/>
        </w:rPr>
        <w:t>Appendix T</w:t>
      </w:r>
      <w:r w:rsidRPr="00B56DE8">
        <w:rPr>
          <w:bCs/>
        </w:rPr>
        <w:t xml:space="preserve">ables </w:t>
      </w:r>
      <w:r w:rsidR="00B56DE8">
        <w:rPr>
          <w:bCs/>
        </w:rPr>
        <w:t xml:space="preserve">M.1, M.2, </w:t>
      </w:r>
      <w:r w:rsidR="006A5748">
        <w:rPr>
          <w:bCs/>
        </w:rPr>
        <w:t xml:space="preserve">and </w:t>
      </w:r>
      <w:r w:rsidR="00B56DE8">
        <w:rPr>
          <w:bCs/>
        </w:rPr>
        <w:t>M.3</w:t>
      </w:r>
      <w:r>
        <w:rPr>
          <w:bCs/>
        </w:rPr>
        <w:t xml:space="preserve"> list the main variables relating to </w:t>
      </w:r>
      <w:r w:rsidRPr="0037287F">
        <w:rPr>
          <w:bCs/>
          <w:i/>
        </w:rPr>
        <w:t>student characteristics</w:t>
      </w:r>
      <w:r>
        <w:rPr>
          <w:bCs/>
        </w:rPr>
        <w:t xml:space="preserve">, </w:t>
      </w:r>
      <w:r w:rsidRPr="0037287F">
        <w:rPr>
          <w:bCs/>
          <w:i/>
        </w:rPr>
        <w:t>school resources and experiences</w:t>
      </w:r>
      <w:r>
        <w:rPr>
          <w:bCs/>
        </w:rPr>
        <w:t xml:space="preserve">, and </w:t>
      </w:r>
      <w:r w:rsidRPr="0037287F">
        <w:rPr>
          <w:bCs/>
          <w:i/>
        </w:rPr>
        <w:t>perceived barriers</w:t>
      </w:r>
      <w:r>
        <w:rPr>
          <w:bCs/>
        </w:rPr>
        <w:t>.</w:t>
      </w:r>
    </w:p>
    <w:p w:rsidR="003B694D" w:rsidRDefault="003B694D" w:rsidP="003B694D">
      <w:pPr>
        <w:tabs>
          <w:tab w:val="clear" w:pos="432"/>
        </w:tabs>
        <w:spacing w:line="240" w:lineRule="auto"/>
        <w:ind w:firstLine="0"/>
        <w:jc w:val="left"/>
        <w:rPr>
          <w:bCs/>
        </w:rPr>
      </w:pPr>
    </w:p>
    <w:p w:rsidR="003B694D" w:rsidRDefault="003B694D" w:rsidP="00553F49">
      <w:pPr>
        <w:tabs>
          <w:tab w:val="clear" w:pos="432"/>
        </w:tabs>
        <w:spacing w:line="240" w:lineRule="auto"/>
      </w:pPr>
      <w:r>
        <w:t xml:space="preserve"> </w:t>
      </w:r>
    </w:p>
    <w:p w:rsidR="00AA2B00" w:rsidRPr="003B694D" w:rsidRDefault="00AA2B00" w:rsidP="00AA6D3B">
      <w:pPr>
        <w:pStyle w:val="NormalSS"/>
        <w:ind w:firstLine="0"/>
      </w:pPr>
    </w:p>
    <w:p w:rsidR="009679F6" w:rsidRDefault="009679F6" w:rsidP="009311E0">
      <w:pPr>
        <w:pStyle w:val="MarkforTableHeading"/>
        <w:sectPr w:rsidR="009679F6" w:rsidSect="00BE1B60">
          <w:headerReference w:type="default" r:id="rId20"/>
          <w:footerReference w:type="default" r:id="rId21"/>
          <w:endnotePr>
            <w:numFmt w:val="decimal"/>
          </w:endnotePr>
          <w:pgSz w:w="12240" w:h="15840" w:code="1"/>
          <w:pgMar w:top="1440" w:right="1440" w:bottom="576" w:left="1440" w:header="720" w:footer="576" w:gutter="0"/>
          <w:pgNumType w:start="1"/>
          <w:cols w:space="720"/>
          <w:docGrid w:linePitch="326"/>
        </w:sectPr>
      </w:pPr>
    </w:p>
    <w:p w:rsidR="00AA2B00" w:rsidRPr="00AA2B00" w:rsidRDefault="00AA2B00" w:rsidP="009311E0">
      <w:pPr>
        <w:pStyle w:val="MarkforTableHeading"/>
      </w:pPr>
      <w:bookmarkStart w:id="42" w:name="_Toc298421287"/>
      <w:r w:rsidRPr="00AA2B00">
        <w:lastRenderedPageBreak/>
        <w:t xml:space="preserve">Table </w:t>
      </w:r>
      <w:r w:rsidR="005C047E">
        <w:t>A.</w:t>
      </w:r>
      <w:r w:rsidR="009311E0">
        <w:t xml:space="preserve">2. </w:t>
      </w:r>
      <w:r w:rsidR="009311E0" w:rsidRPr="00AA2B00">
        <w:t xml:space="preserve">Key Academic, Social, </w:t>
      </w:r>
      <w:r w:rsidR="009311E0">
        <w:t>a</w:t>
      </w:r>
      <w:r w:rsidR="009311E0" w:rsidRPr="00AA2B00">
        <w:t xml:space="preserve">nd Economic Outcomes </w:t>
      </w:r>
      <w:r w:rsidR="009311E0">
        <w:t>f</w:t>
      </w:r>
      <w:r w:rsidR="009311E0" w:rsidRPr="00AA2B00">
        <w:t xml:space="preserve">or </w:t>
      </w:r>
      <w:r w:rsidRPr="00AA2B00">
        <w:t>NLTS 2012</w:t>
      </w:r>
      <w:bookmarkEnd w:id="42"/>
    </w:p>
    <w:tbl>
      <w:tblPr>
        <w:tblW w:w="9658" w:type="dxa"/>
        <w:tblInd w:w="94" w:type="dxa"/>
        <w:tblLook w:val="04A0"/>
      </w:tblPr>
      <w:tblGrid>
        <w:gridCol w:w="275"/>
        <w:gridCol w:w="99"/>
        <w:gridCol w:w="6262"/>
        <w:gridCol w:w="3022"/>
      </w:tblGrid>
      <w:tr w:rsidR="00AA2B00" w:rsidRPr="00AA2B00" w:rsidTr="00DC7B69">
        <w:trPr>
          <w:trHeight w:val="255"/>
        </w:trPr>
        <w:tc>
          <w:tcPr>
            <w:tcW w:w="6636" w:type="dxa"/>
            <w:gridSpan w:val="3"/>
            <w:tcBorders>
              <w:top w:val="single" w:sz="4" w:space="0" w:color="auto"/>
              <w:left w:val="nil"/>
              <w:bottom w:val="single" w:sz="4" w:space="0" w:color="auto"/>
              <w:right w:val="nil"/>
            </w:tcBorders>
            <w:shd w:val="clear" w:color="auto" w:fill="auto"/>
            <w:noWrap/>
            <w:vAlign w:val="bottom"/>
            <w:hideMark/>
          </w:tcPr>
          <w:p w:rsidR="00AA2B00" w:rsidRPr="00AA2B00" w:rsidRDefault="00AA2B00" w:rsidP="009311E0">
            <w:pPr>
              <w:pStyle w:val="TableHeaderLeft"/>
            </w:pPr>
            <w:r w:rsidRPr="00AA2B00">
              <w:t>Outcome for Youth</w:t>
            </w:r>
          </w:p>
        </w:tc>
        <w:tc>
          <w:tcPr>
            <w:tcW w:w="3022" w:type="dxa"/>
            <w:tcBorders>
              <w:top w:val="single" w:sz="4" w:space="0" w:color="auto"/>
              <w:left w:val="nil"/>
              <w:bottom w:val="single" w:sz="4" w:space="0" w:color="auto"/>
              <w:right w:val="nil"/>
            </w:tcBorders>
            <w:shd w:val="clear" w:color="auto" w:fill="auto"/>
            <w:noWrap/>
            <w:vAlign w:val="bottom"/>
            <w:hideMark/>
          </w:tcPr>
          <w:p w:rsidR="00AA2B00" w:rsidRPr="00AA2B00" w:rsidRDefault="00AA2B00" w:rsidP="009311E0">
            <w:pPr>
              <w:pStyle w:val="TableHeaderCenter"/>
            </w:pPr>
            <w:r w:rsidRPr="00AA2B00">
              <w:t>Data Source</w:t>
            </w:r>
          </w:p>
        </w:tc>
      </w:tr>
      <w:tr w:rsidR="00AA2B00" w:rsidRPr="00AA2B00" w:rsidTr="00DC7B69">
        <w:trPr>
          <w:trHeight w:val="255"/>
        </w:trPr>
        <w:tc>
          <w:tcPr>
            <w:tcW w:w="6636" w:type="dxa"/>
            <w:gridSpan w:val="3"/>
            <w:tcBorders>
              <w:top w:val="nil"/>
              <w:left w:val="nil"/>
              <w:bottom w:val="nil"/>
              <w:right w:val="nil"/>
            </w:tcBorders>
            <w:shd w:val="clear" w:color="auto" w:fill="auto"/>
            <w:noWrap/>
            <w:vAlign w:val="bottom"/>
            <w:hideMark/>
          </w:tcPr>
          <w:p w:rsidR="00AA2B00" w:rsidRPr="00275E20" w:rsidRDefault="00AA2B00" w:rsidP="009311E0">
            <w:pPr>
              <w:pStyle w:val="TableText"/>
              <w:rPr>
                <w:b/>
              </w:rPr>
            </w:pPr>
            <w:r w:rsidRPr="00275E20">
              <w:rPr>
                <w:b/>
              </w:rPr>
              <w:t>Academic Skills and School Engagement</w:t>
            </w:r>
          </w:p>
        </w:tc>
        <w:tc>
          <w:tcPr>
            <w:tcW w:w="3022" w:type="dxa"/>
            <w:tcBorders>
              <w:top w:val="nil"/>
              <w:left w:val="nil"/>
              <w:bottom w:val="nil"/>
              <w:right w:val="nil"/>
            </w:tcBorders>
            <w:shd w:val="clear" w:color="auto" w:fill="auto"/>
            <w:noWrap/>
            <w:vAlign w:val="bottom"/>
            <w:hideMark/>
          </w:tcPr>
          <w:p w:rsidR="00AA2B00" w:rsidRPr="00AA2B00" w:rsidRDefault="00AA2B00" w:rsidP="009311E0">
            <w:pPr>
              <w:pStyle w:val="TableText"/>
            </w:pPr>
          </w:p>
        </w:tc>
      </w:tr>
      <w:tr w:rsidR="00AA2B00" w:rsidRPr="00AA2B00" w:rsidTr="00DC7B69">
        <w:trPr>
          <w:trHeight w:val="255"/>
        </w:trPr>
        <w:tc>
          <w:tcPr>
            <w:tcW w:w="374" w:type="dxa"/>
            <w:gridSpan w:val="2"/>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262" w:type="dxa"/>
            <w:tcBorders>
              <w:top w:val="nil"/>
              <w:left w:val="nil"/>
              <w:bottom w:val="nil"/>
              <w:right w:val="nil"/>
            </w:tcBorders>
            <w:shd w:val="clear" w:color="auto" w:fill="auto"/>
            <w:noWrap/>
            <w:vAlign w:val="bottom"/>
            <w:hideMark/>
          </w:tcPr>
          <w:p w:rsidR="00AA2B00" w:rsidRPr="00AA2B00" w:rsidRDefault="00AA2B00" w:rsidP="00071648">
            <w:pPr>
              <w:pStyle w:val="TableText"/>
            </w:pPr>
            <w:r w:rsidRPr="00AA2B00">
              <w:t xml:space="preserve">Math and </w:t>
            </w:r>
            <w:r w:rsidR="00071648">
              <w:t>l</w:t>
            </w:r>
            <w:r w:rsidRPr="00AA2B00">
              <w:t xml:space="preserve">anguage </w:t>
            </w:r>
            <w:r w:rsidR="00071648">
              <w:t>a</w:t>
            </w:r>
            <w:r w:rsidRPr="00AA2B00">
              <w:t xml:space="preserve">rts </w:t>
            </w:r>
            <w:r w:rsidR="00071648">
              <w:t>c</w:t>
            </w:r>
            <w:r w:rsidRPr="00AA2B00">
              <w:t>ompetencies</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Direct Assessment</w:t>
            </w:r>
          </w:p>
        </w:tc>
      </w:tr>
      <w:tr w:rsidR="00AA2B00" w:rsidRPr="00AA2B00" w:rsidTr="00DC7B69">
        <w:trPr>
          <w:trHeight w:val="255"/>
        </w:trPr>
        <w:tc>
          <w:tcPr>
            <w:tcW w:w="374" w:type="dxa"/>
            <w:gridSpan w:val="2"/>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262" w:type="dxa"/>
            <w:tcBorders>
              <w:top w:val="nil"/>
              <w:left w:val="nil"/>
              <w:bottom w:val="nil"/>
              <w:right w:val="nil"/>
            </w:tcBorders>
            <w:shd w:val="clear" w:color="auto" w:fill="auto"/>
            <w:noWrap/>
            <w:vAlign w:val="bottom"/>
            <w:hideMark/>
          </w:tcPr>
          <w:p w:rsidR="00AA2B00" w:rsidRPr="00AA2B00" w:rsidRDefault="00AA2B00" w:rsidP="009311E0">
            <w:pPr>
              <w:pStyle w:val="TableText"/>
            </w:pPr>
            <w:r w:rsidRPr="00AA2B00">
              <w:t xml:space="preserve">Scores on state academic assessments </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Transcript</w:t>
            </w:r>
          </w:p>
        </w:tc>
      </w:tr>
      <w:tr w:rsidR="00AA2B00" w:rsidRPr="00AA2B00" w:rsidTr="00DC7B69">
        <w:trPr>
          <w:trHeight w:val="255"/>
        </w:trPr>
        <w:tc>
          <w:tcPr>
            <w:tcW w:w="374" w:type="dxa"/>
            <w:gridSpan w:val="2"/>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262" w:type="dxa"/>
            <w:tcBorders>
              <w:top w:val="nil"/>
              <w:left w:val="nil"/>
              <w:bottom w:val="nil"/>
              <w:right w:val="nil"/>
            </w:tcBorders>
            <w:shd w:val="clear" w:color="auto" w:fill="auto"/>
            <w:noWrap/>
            <w:vAlign w:val="bottom"/>
            <w:hideMark/>
          </w:tcPr>
          <w:p w:rsidR="00AA2B00" w:rsidRPr="00AA2B00" w:rsidRDefault="00AA2B00" w:rsidP="009311E0">
            <w:pPr>
              <w:pStyle w:val="TableText"/>
            </w:pPr>
            <w:r w:rsidRPr="00AA2B00">
              <w:t>Grade point average</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Transcript</w:t>
            </w:r>
          </w:p>
        </w:tc>
      </w:tr>
      <w:tr w:rsidR="00AA2B00" w:rsidRPr="00AA2B00" w:rsidTr="00DC7B69">
        <w:trPr>
          <w:trHeight w:val="255"/>
        </w:trPr>
        <w:tc>
          <w:tcPr>
            <w:tcW w:w="374" w:type="dxa"/>
            <w:gridSpan w:val="2"/>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262" w:type="dxa"/>
            <w:tcBorders>
              <w:top w:val="nil"/>
              <w:left w:val="nil"/>
              <w:bottom w:val="nil"/>
              <w:right w:val="nil"/>
            </w:tcBorders>
            <w:shd w:val="clear" w:color="auto" w:fill="auto"/>
            <w:noWrap/>
            <w:vAlign w:val="bottom"/>
            <w:hideMark/>
          </w:tcPr>
          <w:p w:rsidR="00AA2B00" w:rsidRPr="00AA2B00" w:rsidRDefault="00AA2B00" w:rsidP="009311E0">
            <w:pPr>
              <w:pStyle w:val="TableText"/>
            </w:pPr>
            <w:r w:rsidRPr="00AA2B00">
              <w:t>Whether math/language arts class is at, above, or below grade level</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 xml:space="preserve">Math/LEA Teacher </w:t>
            </w:r>
            <w:r w:rsidR="003E73E6">
              <w:t>S</w:t>
            </w:r>
            <w:r w:rsidRPr="00AA2B00">
              <w:t>urvey</w:t>
            </w:r>
          </w:p>
        </w:tc>
      </w:tr>
      <w:tr w:rsidR="00AA2B00" w:rsidRPr="00AA2B00" w:rsidTr="00DC7B69">
        <w:trPr>
          <w:trHeight w:val="255"/>
        </w:trPr>
        <w:tc>
          <w:tcPr>
            <w:tcW w:w="374" w:type="dxa"/>
            <w:gridSpan w:val="2"/>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262" w:type="dxa"/>
            <w:tcBorders>
              <w:top w:val="nil"/>
              <w:left w:val="nil"/>
              <w:bottom w:val="nil"/>
              <w:right w:val="nil"/>
            </w:tcBorders>
            <w:shd w:val="clear" w:color="auto" w:fill="auto"/>
            <w:noWrap/>
            <w:vAlign w:val="bottom"/>
            <w:hideMark/>
          </w:tcPr>
          <w:p w:rsidR="00AA2B00" w:rsidRPr="00AA2B00" w:rsidRDefault="00AA2B00" w:rsidP="009311E0">
            <w:pPr>
              <w:pStyle w:val="TableText"/>
            </w:pPr>
            <w:r w:rsidRPr="00AA2B00">
              <w:t>High school credits by subject and by level for math</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Transcript</w:t>
            </w:r>
          </w:p>
        </w:tc>
      </w:tr>
      <w:tr w:rsidR="00AA2B00" w:rsidRPr="00AA2B00" w:rsidTr="00DC7B69">
        <w:tc>
          <w:tcPr>
            <w:tcW w:w="374" w:type="dxa"/>
            <w:gridSpan w:val="2"/>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262" w:type="dxa"/>
            <w:tcBorders>
              <w:top w:val="nil"/>
              <w:left w:val="nil"/>
              <w:bottom w:val="nil"/>
              <w:right w:val="nil"/>
            </w:tcBorders>
            <w:shd w:val="clear" w:color="auto" w:fill="auto"/>
            <w:vAlign w:val="bottom"/>
            <w:hideMark/>
          </w:tcPr>
          <w:p w:rsidR="00AA2B00" w:rsidRPr="00AA2B00" w:rsidRDefault="00DA08F4" w:rsidP="00DA08F4">
            <w:pPr>
              <w:pStyle w:val="TableText"/>
            </w:pPr>
            <w:r>
              <w:t>Student effort and participation in class</w:t>
            </w:r>
            <w:r w:rsidR="00A4089E">
              <w:t xml:space="preserve"> </w:t>
            </w:r>
            <w:r w:rsidR="00AA2B00" w:rsidRPr="00AA2B00">
              <w:t xml:space="preserve"> </w:t>
            </w:r>
          </w:p>
        </w:tc>
        <w:tc>
          <w:tcPr>
            <w:tcW w:w="3022" w:type="dxa"/>
            <w:tcBorders>
              <w:top w:val="nil"/>
              <w:left w:val="nil"/>
              <w:bottom w:val="nil"/>
              <w:right w:val="nil"/>
            </w:tcBorders>
            <w:shd w:val="clear" w:color="auto" w:fill="auto"/>
            <w:noWrap/>
            <w:hideMark/>
          </w:tcPr>
          <w:p w:rsidR="00AA2B00" w:rsidRPr="00AA2B00" w:rsidRDefault="00AA2B00" w:rsidP="003E73E6">
            <w:pPr>
              <w:pStyle w:val="TableText"/>
              <w:ind w:left="290"/>
            </w:pPr>
            <w:r w:rsidRPr="00AA2B00">
              <w:t xml:space="preserve">Math/LEA Teacher </w:t>
            </w:r>
            <w:r w:rsidR="003E73E6">
              <w:t>S</w:t>
            </w:r>
            <w:r w:rsidRPr="00AA2B00">
              <w:t>urvey</w:t>
            </w:r>
          </w:p>
        </w:tc>
      </w:tr>
      <w:tr w:rsidR="00AA2B00" w:rsidRPr="00AA2B00" w:rsidTr="00DC7B69">
        <w:trPr>
          <w:trHeight w:val="255"/>
        </w:trPr>
        <w:tc>
          <w:tcPr>
            <w:tcW w:w="374" w:type="dxa"/>
            <w:gridSpan w:val="2"/>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262" w:type="dxa"/>
            <w:tcBorders>
              <w:top w:val="nil"/>
              <w:left w:val="nil"/>
              <w:bottom w:val="nil"/>
              <w:right w:val="nil"/>
            </w:tcBorders>
            <w:shd w:val="clear" w:color="auto" w:fill="auto"/>
            <w:noWrap/>
            <w:vAlign w:val="bottom"/>
            <w:hideMark/>
          </w:tcPr>
          <w:p w:rsidR="00AA2B00" w:rsidRPr="00AA2B00" w:rsidRDefault="00AA2B00" w:rsidP="009311E0">
            <w:pPr>
              <w:pStyle w:val="TableText"/>
            </w:pPr>
            <w:r w:rsidRPr="00AA2B00">
              <w:t>Typical homework hours per week</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Youth</w:t>
            </w:r>
          </w:p>
        </w:tc>
      </w:tr>
      <w:tr w:rsidR="00AA2B00" w:rsidRPr="00AA2B00" w:rsidTr="00DC7B69">
        <w:trPr>
          <w:trHeight w:val="255"/>
        </w:trPr>
        <w:tc>
          <w:tcPr>
            <w:tcW w:w="374" w:type="dxa"/>
            <w:gridSpan w:val="2"/>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262" w:type="dxa"/>
            <w:tcBorders>
              <w:top w:val="nil"/>
              <w:left w:val="nil"/>
              <w:bottom w:val="nil"/>
              <w:right w:val="nil"/>
            </w:tcBorders>
            <w:shd w:val="clear" w:color="auto" w:fill="auto"/>
            <w:noWrap/>
            <w:vAlign w:val="bottom"/>
            <w:hideMark/>
          </w:tcPr>
          <w:p w:rsidR="00AA2B00" w:rsidRPr="00AA2B00" w:rsidRDefault="00AA2B00" w:rsidP="00DC7B69">
            <w:pPr>
              <w:pStyle w:val="TableText"/>
            </w:pPr>
            <w:r w:rsidRPr="00AA2B00">
              <w:t>Repeating current grade level</w:t>
            </w:r>
            <w:r w:rsidR="00E86EF9">
              <w:rPr>
                <w:rStyle w:val="FootnoteReference"/>
              </w:rPr>
              <w:footnoteReference w:customMarkFollows="1" w:id="3"/>
              <w:sym w:font="Symbol" w:char="F02A"/>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Parent</w:t>
            </w:r>
          </w:p>
        </w:tc>
      </w:tr>
      <w:tr w:rsidR="00AA2B00" w:rsidRPr="00AA2B00" w:rsidTr="00DC7B69">
        <w:trPr>
          <w:trHeight w:val="255"/>
        </w:trPr>
        <w:tc>
          <w:tcPr>
            <w:tcW w:w="374" w:type="dxa"/>
            <w:gridSpan w:val="2"/>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262" w:type="dxa"/>
            <w:tcBorders>
              <w:top w:val="nil"/>
              <w:left w:val="nil"/>
              <w:bottom w:val="nil"/>
              <w:right w:val="nil"/>
            </w:tcBorders>
            <w:shd w:val="clear" w:color="auto" w:fill="auto"/>
            <w:noWrap/>
            <w:vAlign w:val="bottom"/>
            <w:hideMark/>
          </w:tcPr>
          <w:p w:rsidR="00AA2B00" w:rsidRPr="00AA2B00" w:rsidRDefault="00AA2B00" w:rsidP="00DC7B69">
            <w:pPr>
              <w:pStyle w:val="TableText"/>
            </w:pPr>
            <w:r w:rsidRPr="00AA2B00">
              <w:t>Ever expelled; suspended out of school</w:t>
            </w:r>
            <w:r w:rsidR="00A17C5D" w:rsidRPr="00A17C5D">
              <w:rPr>
                <w:vertAlign w:val="superscript"/>
              </w:rPr>
              <w:t>*</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Parent</w:t>
            </w:r>
          </w:p>
        </w:tc>
      </w:tr>
      <w:tr w:rsidR="00AA2B00" w:rsidRPr="00AA2B00" w:rsidTr="00DC7B69">
        <w:trPr>
          <w:trHeight w:val="255"/>
        </w:trPr>
        <w:tc>
          <w:tcPr>
            <w:tcW w:w="374" w:type="dxa"/>
            <w:gridSpan w:val="2"/>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262" w:type="dxa"/>
            <w:tcBorders>
              <w:top w:val="nil"/>
              <w:left w:val="nil"/>
              <w:bottom w:val="nil"/>
              <w:right w:val="nil"/>
            </w:tcBorders>
            <w:shd w:val="clear" w:color="auto" w:fill="auto"/>
            <w:noWrap/>
            <w:vAlign w:val="bottom"/>
            <w:hideMark/>
          </w:tcPr>
          <w:p w:rsidR="00AA2B00" w:rsidRPr="00AA2B00" w:rsidRDefault="00AA2B00" w:rsidP="00DC7B69">
            <w:pPr>
              <w:pStyle w:val="TableText"/>
            </w:pPr>
            <w:r w:rsidRPr="00AA2B00">
              <w:t>Out</w:t>
            </w:r>
            <w:r w:rsidR="00071648">
              <w:t>-</w:t>
            </w:r>
            <w:r w:rsidRPr="00AA2B00">
              <w:t>of</w:t>
            </w:r>
            <w:r w:rsidR="00071648">
              <w:t>-s</w:t>
            </w:r>
            <w:r w:rsidRPr="00AA2B00">
              <w:t xml:space="preserve">chool </w:t>
            </w:r>
            <w:r w:rsidR="00071648">
              <w:t>s</w:t>
            </w:r>
            <w:r w:rsidRPr="00AA2B00">
              <w:t>uspension</w:t>
            </w:r>
            <w:r w:rsidR="00A17C5D" w:rsidRPr="00A17C5D">
              <w:rPr>
                <w:vertAlign w:val="superscript"/>
              </w:rPr>
              <w:t>*</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 xml:space="preserve">Parent </w:t>
            </w:r>
          </w:p>
        </w:tc>
      </w:tr>
      <w:tr w:rsidR="00AA2B00" w:rsidRPr="00AA2B00" w:rsidTr="00DC7B69">
        <w:trPr>
          <w:trHeight w:val="255"/>
        </w:trPr>
        <w:tc>
          <w:tcPr>
            <w:tcW w:w="374" w:type="dxa"/>
            <w:gridSpan w:val="2"/>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262" w:type="dxa"/>
            <w:tcBorders>
              <w:top w:val="nil"/>
              <w:left w:val="nil"/>
              <w:bottom w:val="nil"/>
              <w:right w:val="nil"/>
            </w:tcBorders>
            <w:shd w:val="clear" w:color="auto" w:fill="auto"/>
            <w:noWrap/>
            <w:vAlign w:val="bottom"/>
            <w:hideMark/>
          </w:tcPr>
          <w:p w:rsidR="00AA2B00" w:rsidRPr="00AA2B00" w:rsidRDefault="00AA2B00" w:rsidP="009311E0">
            <w:pPr>
              <w:pStyle w:val="TableText"/>
            </w:pPr>
            <w:r w:rsidRPr="00AA2B00">
              <w:t>School attendance</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Transcript, Youth</w:t>
            </w:r>
          </w:p>
        </w:tc>
      </w:tr>
      <w:tr w:rsidR="00275E20" w:rsidRPr="00AA2B00" w:rsidTr="00DC7B69">
        <w:trPr>
          <w:trHeight w:val="255"/>
        </w:trPr>
        <w:tc>
          <w:tcPr>
            <w:tcW w:w="374" w:type="dxa"/>
            <w:gridSpan w:val="2"/>
            <w:tcBorders>
              <w:top w:val="nil"/>
              <w:left w:val="nil"/>
              <w:bottom w:val="nil"/>
              <w:right w:val="nil"/>
            </w:tcBorders>
            <w:shd w:val="clear" w:color="auto" w:fill="auto"/>
            <w:noWrap/>
            <w:vAlign w:val="bottom"/>
            <w:hideMark/>
          </w:tcPr>
          <w:p w:rsidR="00275E20" w:rsidRPr="00AA2B00" w:rsidRDefault="00275E20" w:rsidP="009311E0">
            <w:pPr>
              <w:pStyle w:val="TableText"/>
            </w:pPr>
          </w:p>
        </w:tc>
        <w:tc>
          <w:tcPr>
            <w:tcW w:w="6262" w:type="dxa"/>
            <w:tcBorders>
              <w:top w:val="nil"/>
              <w:left w:val="nil"/>
              <w:bottom w:val="nil"/>
              <w:right w:val="nil"/>
            </w:tcBorders>
            <w:shd w:val="clear" w:color="auto" w:fill="auto"/>
            <w:noWrap/>
            <w:vAlign w:val="bottom"/>
            <w:hideMark/>
          </w:tcPr>
          <w:p w:rsidR="00275E20" w:rsidRPr="00AA2B00" w:rsidRDefault="00275E20" w:rsidP="009311E0">
            <w:pPr>
              <w:pStyle w:val="TableText"/>
            </w:pPr>
          </w:p>
        </w:tc>
        <w:tc>
          <w:tcPr>
            <w:tcW w:w="3022" w:type="dxa"/>
            <w:tcBorders>
              <w:top w:val="nil"/>
              <w:left w:val="nil"/>
              <w:bottom w:val="nil"/>
              <w:right w:val="nil"/>
            </w:tcBorders>
            <w:shd w:val="clear" w:color="auto" w:fill="auto"/>
            <w:noWrap/>
            <w:vAlign w:val="bottom"/>
            <w:hideMark/>
          </w:tcPr>
          <w:p w:rsidR="00275E20" w:rsidRPr="00AA2B00" w:rsidRDefault="00275E20" w:rsidP="003E73E6">
            <w:pPr>
              <w:pStyle w:val="TableText"/>
              <w:ind w:left="290"/>
            </w:pPr>
          </w:p>
        </w:tc>
      </w:tr>
      <w:tr w:rsidR="00AA2B00" w:rsidRPr="00AA2B00" w:rsidTr="00DC7B69">
        <w:trPr>
          <w:trHeight w:val="255"/>
        </w:trPr>
        <w:tc>
          <w:tcPr>
            <w:tcW w:w="6636" w:type="dxa"/>
            <w:gridSpan w:val="3"/>
            <w:tcBorders>
              <w:top w:val="nil"/>
              <w:left w:val="nil"/>
              <w:bottom w:val="nil"/>
              <w:right w:val="nil"/>
            </w:tcBorders>
            <w:shd w:val="clear" w:color="auto" w:fill="auto"/>
            <w:noWrap/>
            <w:vAlign w:val="bottom"/>
            <w:hideMark/>
          </w:tcPr>
          <w:p w:rsidR="00AA2B00" w:rsidRPr="00275E20" w:rsidRDefault="00AA2B00" w:rsidP="009311E0">
            <w:pPr>
              <w:pStyle w:val="TableText"/>
              <w:rPr>
                <w:b/>
              </w:rPr>
            </w:pPr>
            <w:r w:rsidRPr="00275E20">
              <w:rPr>
                <w:b/>
              </w:rPr>
              <w:t>Social Skills, Self-Determination Skills, and Problem Behaviors</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p>
        </w:tc>
      </w:tr>
      <w:tr w:rsidR="00AA2B00" w:rsidRPr="00AA2B00" w:rsidTr="00DC7B69">
        <w:trPr>
          <w:trHeight w:val="255"/>
        </w:trPr>
        <w:tc>
          <w:tcPr>
            <w:tcW w:w="275" w:type="dxa"/>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361" w:type="dxa"/>
            <w:gridSpan w:val="2"/>
            <w:tcBorders>
              <w:top w:val="nil"/>
              <w:left w:val="nil"/>
              <w:bottom w:val="nil"/>
              <w:right w:val="nil"/>
            </w:tcBorders>
            <w:shd w:val="clear" w:color="auto" w:fill="auto"/>
            <w:noWrap/>
            <w:vAlign w:val="bottom"/>
            <w:hideMark/>
          </w:tcPr>
          <w:p w:rsidR="00AA2B00" w:rsidRPr="00AA2B00" w:rsidRDefault="00AA2B00" w:rsidP="009679F6">
            <w:pPr>
              <w:pStyle w:val="TableText"/>
              <w:ind w:left="180" w:hanging="180"/>
            </w:pPr>
            <w:r w:rsidRPr="00AA2B00">
              <w:t>Social Skills Improvement System subscales (communication, engagement, responsibility, externalizing)</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Youth</w:t>
            </w:r>
          </w:p>
        </w:tc>
      </w:tr>
      <w:tr w:rsidR="00AA2B00" w:rsidRPr="00AA2B00" w:rsidTr="00DC7B69">
        <w:trPr>
          <w:trHeight w:val="255"/>
        </w:trPr>
        <w:tc>
          <w:tcPr>
            <w:tcW w:w="275" w:type="dxa"/>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361" w:type="dxa"/>
            <w:gridSpan w:val="2"/>
            <w:tcBorders>
              <w:top w:val="nil"/>
              <w:left w:val="nil"/>
              <w:bottom w:val="nil"/>
              <w:right w:val="nil"/>
            </w:tcBorders>
            <w:shd w:val="clear" w:color="auto" w:fill="auto"/>
            <w:noWrap/>
            <w:vAlign w:val="bottom"/>
            <w:hideMark/>
          </w:tcPr>
          <w:p w:rsidR="00AA2B00" w:rsidRPr="00AA2B00" w:rsidRDefault="00AA2B00" w:rsidP="009679F6">
            <w:pPr>
              <w:pStyle w:val="TableText"/>
              <w:ind w:left="180" w:hanging="180"/>
            </w:pPr>
            <w:r w:rsidRPr="00AA2B00">
              <w:t>Self</w:t>
            </w:r>
            <w:r w:rsidR="00071648">
              <w:t>-</w:t>
            </w:r>
            <w:r w:rsidRPr="00AA2B00">
              <w:t xml:space="preserve">Determination Scales (autonomous function, psychological empowerment, self realization) </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Youth</w:t>
            </w:r>
          </w:p>
        </w:tc>
      </w:tr>
      <w:tr w:rsidR="00AA2B00" w:rsidRPr="00AA2B00" w:rsidTr="00DC7B69">
        <w:trPr>
          <w:trHeight w:val="255"/>
        </w:trPr>
        <w:tc>
          <w:tcPr>
            <w:tcW w:w="275" w:type="dxa"/>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361" w:type="dxa"/>
            <w:gridSpan w:val="2"/>
            <w:tcBorders>
              <w:top w:val="nil"/>
              <w:left w:val="nil"/>
              <w:bottom w:val="nil"/>
              <w:right w:val="nil"/>
            </w:tcBorders>
            <w:shd w:val="clear" w:color="auto" w:fill="auto"/>
            <w:noWrap/>
            <w:vAlign w:val="bottom"/>
            <w:hideMark/>
          </w:tcPr>
          <w:p w:rsidR="00AA2B00" w:rsidRPr="00AA2B00" w:rsidRDefault="00AA2B00" w:rsidP="003B0063">
            <w:pPr>
              <w:pStyle w:val="TableText"/>
              <w:ind w:left="180" w:hanging="180"/>
            </w:pPr>
            <w:r w:rsidRPr="00AA2B00">
              <w:t xml:space="preserve">Takes part in social activities (school, out-of-school group, volunteer) </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Youth</w:t>
            </w:r>
          </w:p>
        </w:tc>
      </w:tr>
      <w:tr w:rsidR="00AA2B00" w:rsidRPr="00AA2B00" w:rsidTr="00DC7B69">
        <w:trPr>
          <w:trHeight w:val="255"/>
        </w:trPr>
        <w:tc>
          <w:tcPr>
            <w:tcW w:w="275" w:type="dxa"/>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361" w:type="dxa"/>
            <w:gridSpan w:val="2"/>
            <w:tcBorders>
              <w:top w:val="nil"/>
              <w:left w:val="nil"/>
              <w:bottom w:val="nil"/>
              <w:right w:val="nil"/>
            </w:tcBorders>
            <w:shd w:val="clear" w:color="auto" w:fill="auto"/>
            <w:noWrap/>
            <w:vAlign w:val="bottom"/>
            <w:hideMark/>
          </w:tcPr>
          <w:p w:rsidR="00AA2B00" w:rsidRPr="00AA2B00" w:rsidRDefault="00AA2B00" w:rsidP="009679F6">
            <w:pPr>
              <w:pStyle w:val="TableText"/>
              <w:ind w:left="180" w:hanging="180"/>
            </w:pPr>
            <w:r w:rsidRPr="00AA2B00">
              <w:t>Days/w</w:t>
            </w:r>
            <w:r w:rsidR="00071648">
              <w:t>ee</w:t>
            </w:r>
            <w:r w:rsidRPr="00AA2B00">
              <w:t>k get together with friends</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Youth</w:t>
            </w:r>
          </w:p>
        </w:tc>
      </w:tr>
      <w:tr w:rsidR="00AA2B00" w:rsidRPr="00AA2B00" w:rsidTr="00DC7B69">
        <w:trPr>
          <w:trHeight w:val="255"/>
        </w:trPr>
        <w:tc>
          <w:tcPr>
            <w:tcW w:w="275" w:type="dxa"/>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361" w:type="dxa"/>
            <w:gridSpan w:val="2"/>
            <w:tcBorders>
              <w:top w:val="nil"/>
              <w:left w:val="nil"/>
              <w:bottom w:val="nil"/>
              <w:right w:val="nil"/>
            </w:tcBorders>
            <w:shd w:val="clear" w:color="auto" w:fill="auto"/>
            <w:noWrap/>
            <w:vAlign w:val="bottom"/>
            <w:hideMark/>
          </w:tcPr>
          <w:p w:rsidR="00AA2B00" w:rsidRPr="00AA2B00" w:rsidRDefault="00AA2B00" w:rsidP="009679F6">
            <w:pPr>
              <w:pStyle w:val="TableText"/>
              <w:ind w:left="180" w:hanging="180"/>
            </w:pPr>
            <w:r w:rsidRPr="00AA2B00">
              <w:t>Means of communicating with friends (phone, text, IM, email, social media)</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Youth</w:t>
            </w:r>
          </w:p>
        </w:tc>
      </w:tr>
      <w:tr w:rsidR="00AA2B00" w:rsidRPr="00AA2B00" w:rsidTr="00DC7B69">
        <w:trPr>
          <w:trHeight w:val="255"/>
        </w:trPr>
        <w:tc>
          <w:tcPr>
            <w:tcW w:w="275" w:type="dxa"/>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361" w:type="dxa"/>
            <w:gridSpan w:val="2"/>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p>
        </w:tc>
      </w:tr>
      <w:tr w:rsidR="00AA2B00" w:rsidRPr="00AA2B00" w:rsidTr="00DC7B69">
        <w:trPr>
          <w:trHeight w:val="255"/>
        </w:trPr>
        <w:tc>
          <w:tcPr>
            <w:tcW w:w="6636" w:type="dxa"/>
            <w:gridSpan w:val="3"/>
            <w:tcBorders>
              <w:top w:val="nil"/>
              <w:left w:val="nil"/>
              <w:bottom w:val="nil"/>
              <w:right w:val="nil"/>
            </w:tcBorders>
            <w:shd w:val="clear" w:color="auto" w:fill="auto"/>
            <w:noWrap/>
            <w:vAlign w:val="bottom"/>
            <w:hideMark/>
          </w:tcPr>
          <w:p w:rsidR="00AA2B00" w:rsidRPr="00275E20" w:rsidRDefault="00AA2B00" w:rsidP="009311E0">
            <w:pPr>
              <w:pStyle w:val="TableText"/>
              <w:rPr>
                <w:b/>
              </w:rPr>
            </w:pPr>
            <w:r w:rsidRPr="00275E20">
              <w:rPr>
                <w:b/>
              </w:rPr>
              <w:t>High School Completion</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p>
        </w:tc>
      </w:tr>
      <w:tr w:rsidR="00AA2B00" w:rsidRPr="00AA2B00" w:rsidTr="00DC7B69">
        <w:trPr>
          <w:trHeight w:val="255"/>
        </w:trPr>
        <w:tc>
          <w:tcPr>
            <w:tcW w:w="275" w:type="dxa"/>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361" w:type="dxa"/>
            <w:gridSpan w:val="2"/>
            <w:tcBorders>
              <w:top w:val="nil"/>
              <w:left w:val="nil"/>
              <w:bottom w:val="nil"/>
              <w:right w:val="nil"/>
            </w:tcBorders>
            <w:shd w:val="clear" w:color="auto" w:fill="auto"/>
            <w:noWrap/>
            <w:vAlign w:val="bottom"/>
            <w:hideMark/>
          </w:tcPr>
          <w:p w:rsidR="00AA2B00" w:rsidRPr="00DC7B69" w:rsidRDefault="00AA2B00" w:rsidP="009679F6">
            <w:pPr>
              <w:pStyle w:val="TableText"/>
              <w:ind w:left="187" w:hanging="187"/>
              <w:rPr>
                <w:vertAlign w:val="superscript"/>
              </w:rPr>
            </w:pPr>
            <w:r w:rsidRPr="00AA2B00">
              <w:t>Whether obtained diploma and type (regular diploma, GED, certificate of completion)</w:t>
            </w:r>
            <w:r w:rsidR="00DC7B69">
              <w:rPr>
                <w:vertAlign w:val="superscript"/>
              </w:rPr>
              <w:t>*</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Youth, Parent</w:t>
            </w:r>
          </w:p>
        </w:tc>
      </w:tr>
      <w:tr w:rsidR="00275E20" w:rsidRPr="00AA2B00" w:rsidTr="00DC7B69">
        <w:trPr>
          <w:trHeight w:val="255"/>
        </w:trPr>
        <w:tc>
          <w:tcPr>
            <w:tcW w:w="275" w:type="dxa"/>
            <w:tcBorders>
              <w:top w:val="nil"/>
              <w:left w:val="nil"/>
              <w:bottom w:val="nil"/>
              <w:right w:val="nil"/>
            </w:tcBorders>
            <w:shd w:val="clear" w:color="auto" w:fill="auto"/>
            <w:noWrap/>
            <w:vAlign w:val="bottom"/>
            <w:hideMark/>
          </w:tcPr>
          <w:p w:rsidR="00275E20" w:rsidRPr="00AA2B00" w:rsidRDefault="00275E20" w:rsidP="009311E0">
            <w:pPr>
              <w:pStyle w:val="TableText"/>
            </w:pPr>
          </w:p>
        </w:tc>
        <w:tc>
          <w:tcPr>
            <w:tcW w:w="6361" w:type="dxa"/>
            <w:gridSpan w:val="2"/>
            <w:tcBorders>
              <w:top w:val="nil"/>
              <w:left w:val="nil"/>
              <w:bottom w:val="nil"/>
              <w:right w:val="nil"/>
            </w:tcBorders>
            <w:shd w:val="clear" w:color="auto" w:fill="auto"/>
            <w:noWrap/>
            <w:vAlign w:val="bottom"/>
            <w:hideMark/>
          </w:tcPr>
          <w:p w:rsidR="00275E20" w:rsidRPr="00AA2B00" w:rsidRDefault="00275E20" w:rsidP="009679F6">
            <w:pPr>
              <w:pStyle w:val="TableText"/>
              <w:ind w:left="187" w:hanging="187"/>
            </w:pPr>
          </w:p>
        </w:tc>
        <w:tc>
          <w:tcPr>
            <w:tcW w:w="3022" w:type="dxa"/>
            <w:tcBorders>
              <w:top w:val="nil"/>
              <w:left w:val="nil"/>
              <w:bottom w:val="nil"/>
              <w:right w:val="nil"/>
            </w:tcBorders>
            <w:shd w:val="clear" w:color="auto" w:fill="auto"/>
            <w:noWrap/>
            <w:vAlign w:val="bottom"/>
            <w:hideMark/>
          </w:tcPr>
          <w:p w:rsidR="00275E20" w:rsidRPr="00AA2B00" w:rsidRDefault="00275E20" w:rsidP="003E73E6">
            <w:pPr>
              <w:pStyle w:val="TableText"/>
              <w:ind w:left="290"/>
            </w:pPr>
          </w:p>
        </w:tc>
      </w:tr>
      <w:tr w:rsidR="00AA2B00" w:rsidRPr="00AA2B00" w:rsidTr="00DC7B69">
        <w:trPr>
          <w:trHeight w:val="207"/>
        </w:trPr>
        <w:tc>
          <w:tcPr>
            <w:tcW w:w="6636" w:type="dxa"/>
            <w:gridSpan w:val="3"/>
            <w:tcBorders>
              <w:top w:val="nil"/>
              <w:left w:val="nil"/>
              <w:bottom w:val="nil"/>
              <w:right w:val="nil"/>
            </w:tcBorders>
            <w:shd w:val="clear" w:color="auto" w:fill="auto"/>
            <w:noWrap/>
            <w:vAlign w:val="bottom"/>
            <w:hideMark/>
          </w:tcPr>
          <w:p w:rsidR="00AA2B00" w:rsidRPr="00275E20" w:rsidRDefault="00AA2B00" w:rsidP="009679F6">
            <w:pPr>
              <w:pStyle w:val="TableText"/>
              <w:ind w:left="187" w:hanging="187"/>
              <w:rPr>
                <w:b/>
              </w:rPr>
            </w:pPr>
            <w:r w:rsidRPr="00275E20">
              <w:rPr>
                <w:b/>
              </w:rPr>
              <w:t>Postsecondary Education Enrollment</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p>
        </w:tc>
      </w:tr>
      <w:tr w:rsidR="00AA2B00" w:rsidRPr="00AA2B00" w:rsidTr="00DC7B69">
        <w:trPr>
          <w:trHeight w:val="207"/>
        </w:trPr>
        <w:tc>
          <w:tcPr>
            <w:tcW w:w="275" w:type="dxa"/>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361" w:type="dxa"/>
            <w:gridSpan w:val="2"/>
            <w:tcBorders>
              <w:top w:val="nil"/>
              <w:left w:val="nil"/>
              <w:bottom w:val="nil"/>
              <w:right w:val="nil"/>
            </w:tcBorders>
            <w:shd w:val="clear" w:color="auto" w:fill="auto"/>
            <w:vAlign w:val="bottom"/>
            <w:hideMark/>
          </w:tcPr>
          <w:p w:rsidR="00AA2B00" w:rsidRPr="00DC7B69" w:rsidRDefault="00AA2B00" w:rsidP="003B0063">
            <w:pPr>
              <w:pStyle w:val="TableText"/>
              <w:ind w:left="187" w:hanging="187"/>
              <w:rPr>
                <w:vertAlign w:val="superscript"/>
              </w:rPr>
            </w:pPr>
            <w:r w:rsidRPr="00AA2B00">
              <w:t>Enrollment by type of program (</w:t>
            </w:r>
            <w:r w:rsidR="003B0063">
              <w:t>two-</w:t>
            </w:r>
            <w:r w:rsidRPr="00AA2B00">
              <w:t xml:space="preserve">year, </w:t>
            </w:r>
            <w:r w:rsidR="003B0063">
              <w:t>four-</w:t>
            </w:r>
            <w:r w:rsidRPr="00AA2B00">
              <w:t>year, vocational certificate and degree completion by type of credential</w:t>
            </w:r>
            <w:r w:rsidR="003B0063">
              <w:t>)</w:t>
            </w:r>
            <w:r w:rsidR="00DC7B69">
              <w:rPr>
                <w:vertAlign w:val="superscript"/>
              </w:rPr>
              <w:t>*</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Youth, Parent</w:t>
            </w:r>
          </w:p>
        </w:tc>
      </w:tr>
      <w:tr w:rsidR="00275E20" w:rsidRPr="00AA2B00" w:rsidTr="00DC7B69">
        <w:trPr>
          <w:trHeight w:val="207"/>
        </w:trPr>
        <w:tc>
          <w:tcPr>
            <w:tcW w:w="275" w:type="dxa"/>
            <w:tcBorders>
              <w:top w:val="nil"/>
              <w:left w:val="nil"/>
              <w:bottom w:val="nil"/>
              <w:right w:val="nil"/>
            </w:tcBorders>
            <w:shd w:val="clear" w:color="auto" w:fill="auto"/>
            <w:noWrap/>
            <w:vAlign w:val="bottom"/>
            <w:hideMark/>
          </w:tcPr>
          <w:p w:rsidR="00275E20" w:rsidRPr="00AA2B00" w:rsidRDefault="00275E20" w:rsidP="009311E0">
            <w:pPr>
              <w:pStyle w:val="TableText"/>
            </w:pPr>
          </w:p>
        </w:tc>
        <w:tc>
          <w:tcPr>
            <w:tcW w:w="6361" w:type="dxa"/>
            <w:gridSpan w:val="2"/>
            <w:tcBorders>
              <w:top w:val="nil"/>
              <w:left w:val="nil"/>
              <w:bottom w:val="nil"/>
              <w:right w:val="nil"/>
            </w:tcBorders>
            <w:shd w:val="clear" w:color="auto" w:fill="auto"/>
            <w:vAlign w:val="bottom"/>
            <w:hideMark/>
          </w:tcPr>
          <w:p w:rsidR="00275E20" w:rsidRPr="00AA2B00" w:rsidRDefault="00275E20" w:rsidP="009679F6">
            <w:pPr>
              <w:pStyle w:val="TableText"/>
              <w:ind w:left="187" w:hanging="187"/>
            </w:pPr>
          </w:p>
        </w:tc>
        <w:tc>
          <w:tcPr>
            <w:tcW w:w="3022" w:type="dxa"/>
            <w:tcBorders>
              <w:top w:val="nil"/>
              <w:left w:val="nil"/>
              <w:bottom w:val="nil"/>
              <w:right w:val="nil"/>
            </w:tcBorders>
            <w:shd w:val="clear" w:color="auto" w:fill="auto"/>
            <w:noWrap/>
            <w:vAlign w:val="bottom"/>
            <w:hideMark/>
          </w:tcPr>
          <w:p w:rsidR="00275E20" w:rsidRPr="00AA2B00" w:rsidRDefault="00275E20" w:rsidP="003E73E6">
            <w:pPr>
              <w:pStyle w:val="TableText"/>
              <w:ind w:left="290"/>
            </w:pPr>
          </w:p>
        </w:tc>
      </w:tr>
      <w:tr w:rsidR="00AA2B00" w:rsidRPr="00AA2B00" w:rsidTr="00DC7B69">
        <w:trPr>
          <w:trHeight w:val="255"/>
        </w:trPr>
        <w:tc>
          <w:tcPr>
            <w:tcW w:w="6636" w:type="dxa"/>
            <w:gridSpan w:val="3"/>
            <w:tcBorders>
              <w:top w:val="nil"/>
              <w:left w:val="nil"/>
              <w:bottom w:val="nil"/>
              <w:right w:val="nil"/>
            </w:tcBorders>
            <w:shd w:val="clear" w:color="auto" w:fill="auto"/>
            <w:noWrap/>
            <w:vAlign w:val="bottom"/>
            <w:hideMark/>
          </w:tcPr>
          <w:p w:rsidR="00AA2B00" w:rsidRPr="00275E20" w:rsidRDefault="00AA2B00" w:rsidP="009679F6">
            <w:pPr>
              <w:pStyle w:val="TableText"/>
              <w:ind w:left="187" w:hanging="187"/>
              <w:rPr>
                <w:b/>
              </w:rPr>
            </w:pPr>
            <w:r w:rsidRPr="00275E20">
              <w:rPr>
                <w:b/>
              </w:rPr>
              <w:t>Employment</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p>
        </w:tc>
      </w:tr>
      <w:tr w:rsidR="00AA2B00" w:rsidRPr="00AA2B00" w:rsidTr="00DC7B69">
        <w:trPr>
          <w:trHeight w:val="255"/>
        </w:trPr>
        <w:tc>
          <w:tcPr>
            <w:tcW w:w="275" w:type="dxa"/>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361" w:type="dxa"/>
            <w:gridSpan w:val="2"/>
            <w:tcBorders>
              <w:top w:val="nil"/>
              <w:left w:val="nil"/>
              <w:bottom w:val="nil"/>
              <w:right w:val="nil"/>
            </w:tcBorders>
            <w:shd w:val="clear" w:color="auto" w:fill="auto"/>
            <w:noWrap/>
            <w:vAlign w:val="bottom"/>
            <w:hideMark/>
          </w:tcPr>
          <w:p w:rsidR="00AA2B00" w:rsidRPr="00AA2B00" w:rsidRDefault="00AA2B00" w:rsidP="009679F6">
            <w:pPr>
              <w:pStyle w:val="TableText"/>
              <w:ind w:left="187" w:hanging="187"/>
            </w:pPr>
            <w:r w:rsidRPr="00AA2B00">
              <w:t xml:space="preserve">Unpaid or school-sponsored employment </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Youth</w:t>
            </w:r>
          </w:p>
        </w:tc>
      </w:tr>
      <w:tr w:rsidR="00AA2B00" w:rsidRPr="00AA2B00" w:rsidTr="00DC7B69">
        <w:trPr>
          <w:trHeight w:val="255"/>
        </w:trPr>
        <w:tc>
          <w:tcPr>
            <w:tcW w:w="275" w:type="dxa"/>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361" w:type="dxa"/>
            <w:gridSpan w:val="2"/>
            <w:tcBorders>
              <w:top w:val="nil"/>
              <w:left w:val="nil"/>
              <w:bottom w:val="nil"/>
              <w:right w:val="nil"/>
            </w:tcBorders>
            <w:shd w:val="clear" w:color="auto" w:fill="auto"/>
            <w:noWrap/>
            <w:vAlign w:val="bottom"/>
            <w:hideMark/>
          </w:tcPr>
          <w:p w:rsidR="00AA2B00" w:rsidRPr="00AA2B00" w:rsidRDefault="00AA2B00" w:rsidP="003B0063">
            <w:pPr>
              <w:pStyle w:val="TableText"/>
              <w:ind w:left="187" w:hanging="187"/>
            </w:pPr>
            <w:r w:rsidRPr="00AA2B00">
              <w:t xml:space="preserve">Paid </w:t>
            </w:r>
            <w:r w:rsidR="003B0063">
              <w:t>e</w:t>
            </w:r>
            <w:r w:rsidRPr="00AA2B00">
              <w:t xml:space="preserve">mployment </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Youth</w:t>
            </w:r>
          </w:p>
        </w:tc>
      </w:tr>
      <w:tr w:rsidR="00AA2B00" w:rsidRPr="00AA2B00" w:rsidTr="00DC7B69">
        <w:trPr>
          <w:trHeight w:val="255"/>
        </w:trPr>
        <w:tc>
          <w:tcPr>
            <w:tcW w:w="275" w:type="dxa"/>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361" w:type="dxa"/>
            <w:gridSpan w:val="2"/>
            <w:tcBorders>
              <w:top w:val="nil"/>
              <w:left w:val="nil"/>
              <w:bottom w:val="nil"/>
              <w:right w:val="nil"/>
            </w:tcBorders>
            <w:shd w:val="clear" w:color="auto" w:fill="auto"/>
            <w:noWrap/>
            <w:vAlign w:val="bottom"/>
            <w:hideMark/>
          </w:tcPr>
          <w:p w:rsidR="00AA2B00" w:rsidRPr="00AA2B00" w:rsidRDefault="00AA2B00" w:rsidP="009679F6">
            <w:pPr>
              <w:pStyle w:val="TableText"/>
              <w:ind w:left="187" w:hanging="187"/>
            </w:pPr>
            <w:r w:rsidRPr="00AA2B00">
              <w:t xml:space="preserve">Wages </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Youth</w:t>
            </w:r>
          </w:p>
        </w:tc>
      </w:tr>
      <w:tr w:rsidR="00AA2B00" w:rsidRPr="00AA2B00" w:rsidTr="00DC7B69">
        <w:trPr>
          <w:trHeight w:val="255"/>
        </w:trPr>
        <w:tc>
          <w:tcPr>
            <w:tcW w:w="275" w:type="dxa"/>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361" w:type="dxa"/>
            <w:gridSpan w:val="2"/>
            <w:tcBorders>
              <w:top w:val="nil"/>
              <w:left w:val="nil"/>
              <w:bottom w:val="nil"/>
              <w:right w:val="nil"/>
            </w:tcBorders>
            <w:shd w:val="clear" w:color="auto" w:fill="auto"/>
            <w:noWrap/>
            <w:vAlign w:val="bottom"/>
            <w:hideMark/>
          </w:tcPr>
          <w:p w:rsidR="00AA2B00" w:rsidRPr="00AA2B00" w:rsidRDefault="00AA2B00" w:rsidP="009679F6">
            <w:pPr>
              <w:pStyle w:val="TableText"/>
              <w:ind w:left="187" w:hanging="187"/>
            </w:pPr>
            <w:r w:rsidRPr="00AA2B00">
              <w:t xml:space="preserve">Hours </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Youth</w:t>
            </w:r>
          </w:p>
        </w:tc>
      </w:tr>
      <w:tr w:rsidR="00AA2B00" w:rsidRPr="00AA2B00" w:rsidTr="00DC7B69">
        <w:trPr>
          <w:trHeight w:val="255"/>
        </w:trPr>
        <w:tc>
          <w:tcPr>
            <w:tcW w:w="275" w:type="dxa"/>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361" w:type="dxa"/>
            <w:gridSpan w:val="2"/>
            <w:tcBorders>
              <w:top w:val="nil"/>
              <w:left w:val="nil"/>
              <w:bottom w:val="nil"/>
              <w:right w:val="nil"/>
            </w:tcBorders>
            <w:shd w:val="clear" w:color="auto" w:fill="auto"/>
            <w:noWrap/>
            <w:vAlign w:val="bottom"/>
            <w:hideMark/>
          </w:tcPr>
          <w:p w:rsidR="00AA2B00" w:rsidRPr="00AA2B00" w:rsidRDefault="00AA2B00" w:rsidP="009679F6">
            <w:pPr>
              <w:pStyle w:val="TableText"/>
              <w:ind w:left="187" w:hanging="187"/>
            </w:pPr>
            <w:r w:rsidRPr="00AA2B00">
              <w:t xml:space="preserve">Type of job </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Youth</w:t>
            </w:r>
          </w:p>
        </w:tc>
      </w:tr>
      <w:tr w:rsidR="00AA2B00" w:rsidRPr="00AA2B00" w:rsidTr="00DC7B69">
        <w:trPr>
          <w:trHeight w:val="255"/>
        </w:trPr>
        <w:tc>
          <w:tcPr>
            <w:tcW w:w="275" w:type="dxa"/>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361" w:type="dxa"/>
            <w:gridSpan w:val="2"/>
            <w:tcBorders>
              <w:top w:val="nil"/>
              <w:left w:val="nil"/>
              <w:bottom w:val="nil"/>
              <w:right w:val="nil"/>
            </w:tcBorders>
            <w:shd w:val="clear" w:color="auto" w:fill="auto"/>
            <w:noWrap/>
            <w:vAlign w:val="bottom"/>
            <w:hideMark/>
          </w:tcPr>
          <w:p w:rsidR="00AA2B00" w:rsidRPr="00AA2B00" w:rsidRDefault="00AA2B00" w:rsidP="003B0063">
            <w:pPr>
              <w:pStyle w:val="TableText"/>
              <w:ind w:left="187" w:hanging="187"/>
            </w:pPr>
            <w:r w:rsidRPr="00AA2B00">
              <w:t xml:space="preserve">Fired from a job in last </w:t>
            </w:r>
            <w:r w:rsidR="003B0063">
              <w:t>two</w:t>
            </w:r>
            <w:r w:rsidRPr="00AA2B00">
              <w:t xml:space="preserve"> y</w:t>
            </w:r>
            <w:r w:rsidR="003B0063">
              <w:t>ea</w:t>
            </w:r>
            <w:r w:rsidRPr="00AA2B00">
              <w:t>rs</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Youth</w:t>
            </w:r>
          </w:p>
        </w:tc>
      </w:tr>
      <w:tr w:rsidR="00AA2B00" w:rsidRPr="00AA2B00" w:rsidTr="00DC7B69">
        <w:trPr>
          <w:trHeight w:val="255"/>
        </w:trPr>
        <w:tc>
          <w:tcPr>
            <w:tcW w:w="275" w:type="dxa"/>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361" w:type="dxa"/>
            <w:gridSpan w:val="2"/>
            <w:tcBorders>
              <w:top w:val="nil"/>
              <w:left w:val="nil"/>
              <w:bottom w:val="nil"/>
              <w:right w:val="nil"/>
            </w:tcBorders>
            <w:shd w:val="clear" w:color="auto" w:fill="auto"/>
            <w:noWrap/>
            <w:vAlign w:val="bottom"/>
            <w:hideMark/>
          </w:tcPr>
          <w:p w:rsidR="00AA2B00" w:rsidRPr="00AA2B00" w:rsidRDefault="00AA2B00" w:rsidP="009679F6">
            <w:pPr>
              <w:pStyle w:val="TableText"/>
              <w:ind w:left="187" w:hanging="187"/>
            </w:pPr>
            <w:r w:rsidRPr="00AA2B00">
              <w:t>Job search activities</w:t>
            </w:r>
          </w:p>
        </w:tc>
        <w:tc>
          <w:tcPr>
            <w:tcW w:w="3022" w:type="dxa"/>
            <w:tcBorders>
              <w:top w:val="nil"/>
              <w:left w:val="nil"/>
              <w:bottom w:val="nil"/>
              <w:right w:val="nil"/>
            </w:tcBorders>
            <w:shd w:val="clear" w:color="auto" w:fill="auto"/>
            <w:noWrap/>
            <w:vAlign w:val="bottom"/>
            <w:hideMark/>
          </w:tcPr>
          <w:p w:rsidR="00AA2B00" w:rsidRPr="00AA2B00" w:rsidRDefault="00E15DD4" w:rsidP="003E73E6">
            <w:pPr>
              <w:pStyle w:val="TableText"/>
              <w:ind w:left="290"/>
            </w:pPr>
            <w:r>
              <w:t>Youth</w:t>
            </w:r>
          </w:p>
        </w:tc>
      </w:tr>
      <w:tr w:rsidR="00275E20" w:rsidRPr="00AA2B00" w:rsidTr="00DC7B69">
        <w:trPr>
          <w:trHeight w:val="255"/>
        </w:trPr>
        <w:tc>
          <w:tcPr>
            <w:tcW w:w="275" w:type="dxa"/>
            <w:tcBorders>
              <w:top w:val="nil"/>
              <w:left w:val="nil"/>
              <w:bottom w:val="nil"/>
              <w:right w:val="nil"/>
            </w:tcBorders>
            <w:shd w:val="clear" w:color="auto" w:fill="auto"/>
            <w:noWrap/>
            <w:vAlign w:val="bottom"/>
            <w:hideMark/>
          </w:tcPr>
          <w:p w:rsidR="00275E20" w:rsidRPr="00AA2B00" w:rsidRDefault="00275E20" w:rsidP="009311E0">
            <w:pPr>
              <w:pStyle w:val="TableText"/>
            </w:pPr>
          </w:p>
        </w:tc>
        <w:tc>
          <w:tcPr>
            <w:tcW w:w="6361" w:type="dxa"/>
            <w:gridSpan w:val="2"/>
            <w:tcBorders>
              <w:top w:val="nil"/>
              <w:left w:val="nil"/>
              <w:bottom w:val="nil"/>
              <w:right w:val="nil"/>
            </w:tcBorders>
            <w:shd w:val="clear" w:color="auto" w:fill="auto"/>
            <w:noWrap/>
            <w:vAlign w:val="bottom"/>
            <w:hideMark/>
          </w:tcPr>
          <w:p w:rsidR="00275E20" w:rsidRPr="00AA2B00" w:rsidRDefault="00275E20" w:rsidP="009679F6">
            <w:pPr>
              <w:pStyle w:val="TableText"/>
              <w:ind w:left="187" w:hanging="187"/>
            </w:pPr>
          </w:p>
        </w:tc>
        <w:tc>
          <w:tcPr>
            <w:tcW w:w="3022" w:type="dxa"/>
            <w:tcBorders>
              <w:top w:val="nil"/>
              <w:left w:val="nil"/>
              <w:bottom w:val="nil"/>
              <w:right w:val="nil"/>
            </w:tcBorders>
            <w:shd w:val="clear" w:color="auto" w:fill="auto"/>
            <w:noWrap/>
            <w:vAlign w:val="bottom"/>
            <w:hideMark/>
          </w:tcPr>
          <w:p w:rsidR="00275E20" w:rsidRPr="00AA2B00" w:rsidRDefault="00275E20" w:rsidP="003E73E6">
            <w:pPr>
              <w:pStyle w:val="TableText"/>
              <w:ind w:left="290"/>
            </w:pPr>
          </w:p>
        </w:tc>
      </w:tr>
      <w:tr w:rsidR="00AA2B00" w:rsidRPr="00AA2B00" w:rsidTr="00DC7B69">
        <w:trPr>
          <w:trHeight w:val="255"/>
        </w:trPr>
        <w:tc>
          <w:tcPr>
            <w:tcW w:w="6636" w:type="dxa"/>
            <w:gridSpan w:val="3"/>
            <w:tcBorders>
              <w:top w:val="nil"/>
              <w:left w:val="nil"/>
              <w:bottom w:val="nil"/>
              <w:right w:val="nil"/>
            </w:tcBorders>
            <w:shd w:val="clear" w:color="auto" w:fill="auto"/>
            <w:noWrap/>
            <w:vAlign w:val="bottom"/>
          </w:tcPr>
          <w:p w:rsidR="00AA2B00" w:rsidRPr="00275E20" w:rsidRDefault="00AA2B00" w:rsidP="009679F6">
            <w:pPr>
              <w:pStyle w:val="TableText"/>
              <w:ind w:left="187" w:hanging="187"/>
              <w:rPr>
                <w:b/>
              </w:rPr>
            </w:pPr>
            <w:r w:rsidRPr="00275E20">
              <w:rPr>
                <w:b/>
              </w:rPr>
              <w:t>Independence</w:t>
            </w:r>
          </w:p>
        </w:tc>
        <w:tc>
          <w:tcPr>
            <w:tcW w:w="3022" w:type="dxa"/>
            <w:tcBorders>
              <w:top w:val="nil"/>
              <w:left w:val="nil"/>
              <w:bottom w:val="nil"/>
              <w:right w:val="nil"/>
            </w:tcBorders>
            <w:shd w:val="clear" w:color="auto" w:fill="auto"/>
            <w:noWrap/>
            <w:vAlign w:val="bottom"/>
          </w:tcPr>
          <w:p w:rsidR="00AA2B00" w:rsidRPr="00AA2B00" w:rsidRDefault="00AA2B00" w:rsidP="003E73E6">
            <w:pPr>
              <w:pStyle w:val="TableText"/>
              <w:ind w:left="290"/>
            </w:pPr>
          </w:p>
        </w:tc>
      </w:tr>
      <w:tr w:rsidR="00AA2B00" w:rsidRPr="00AA2B00" w:rsidTr="00DC7B69">
        <w:trPr>
          <w:trHeight w:val="255"/>
        </w:trPr>
        <w:tc>
          <w:tcPr>
            <w:tcW w:w="275" w:type="dxa"/>
            <w:tcBorders>
              <w:top w:val="nil"/>
              <w:left w:val="nil"/>
              <w:bottom w:val="nil"/>
              <w:right w:val="nil"/>
            </w:tcBorders>
            <w:shd w:val="clear" w:color="auto" w:fill="auto"/>
            <w:noWrap/>
            <w:vAlign w:val="bottom"/>
            <w:hideMark/>
          </w:tcPr>
          <w:p w:rsidR="00AA2B00" w:rsidRPr="00AA2B00" w:rsidRDefault="00AA2B00" w:rsidP="009311E0">
            <w:pPr>
              <w:pStyle w:val="TableText"/>
            </w:pPr>
          </w:p>
        </w:tc>
        <w:tc>
          <w:tcPr>
            <w:tcW w:w="6361" w:type="dxa"/>
            <w:gridSpan w:val="2"/>
            <w:tcBorders>
              <w:top w:val="nil"/>
              <w:left w:val="nil"/>
              <w:bottom w:val="nil"/>
              <w:right w:val="nil"/>
            </w:tcBorders>
            <w:shd w:val="clear" w:color="auto" w:fill="auto"/>
            <w:noWrap/>
            <w:vAlign w:val="bottom"/>
            <w:hideMark/>
          </w:tcPr>
          <w:p w:rsidR="00AA2B00" w:rsidRPr="00AA2B00" w:rsidRDefault="00AA2B00" w:rsidP="009679F6">
            <w:pPr>
              <w:pStyle w:val="TableText"/>
              <w:ind w:left="187" w:hanging="187"/>
            </w:pPr>
            <w:r w:rsidRPr="00AA2B00">
              <w:t>Living arrangement (independent living, with family members, supervised setting)</w:t>
            </w:r>
          </w:p>
        </w:tc>
        <w:tc>
          <w:tcPr>
            <w:tcW w:w="3022" w:type="dxa"/>
            <w:tcBorders>
              <w:top w:val="nil"/>
              <w:left w:val="nil"/>
              <w:bottom w:val="nil"/>
              <w:right w:val="nil"/>
            </w:tcBorders>
            <w:shd w:val="clear" w:color="auto" w:fill="auto"/>
            <w:noWrap/>
            <w:vAlign w:val="bottom"/>
            <w:hideMark/>
          </w:tcPr>
          <w:p w:rsidR="00AA2B00" w:rsidRPr="00AA2B00" w:rsidRDefault="00AA2B00" w:rsidP="003E73E6">
            <w:pPr>
              <w:pStyle w:val="TableText"/>
              <w:ind w:left="290"/>
            </w:pPr>
            <w:r w:rsidRPr="00AA2B00">
              <w:t>Youth, Parent</w:t>
            </w:r>
          </w:p>
        </w:tc>
      </w:tr>
      <w:tr w:rsidR="00AA2B00" w:rsidRPr="00AA2B00" w:rsidTr="00DC7B69">
        <w:trPr>
          <w:trHeight w:val="255"/>
        </w:trPr>
        <w:tc>
          <w:tcPr>
            <w:tcW w:w="275" w:type="dxa"/>
            <w:tcBorders>
              <w:top w:val="nil"/>
              <w:left w:val="nil"/>
              <w:right w:val="nil"/>
            </w:tcBorders>
            <w:shd w:val="clear" w:color="auto" w:fill="auto"/>
            <w:noWrap/>
            <w:vAlign w:val="bottom"/>
            <w:hideMark/>
          </w:tcPr>
          <w:p w:rsidR="00AA2B00" w:rsidRPr="00AA2B00" w:rsidRDefault="00AA2B00" w:rsidP="009311E0">
            <w:pPr>
              <w:pStyle w:val="TableText"/>
            </w:pPr>
          </w:p>
        </w:tc>
        <w:tc>
          <w:tcPr>
            <w:tcW w:w="6361" w:type="dxa"/>
            <w:gridSpan w:val="2"/>
            <w:tcBorders>
              <w:top w:val="nil"/>
              <w:left w:val="nil"/>
              <w:right w:val="nil"/>
            </w:tcBorders>
            <w:shd w:val="clear" w:color="auto" w:fill="auto"/>
            <w:noWrap/>
            <w:vAlign w:val="bottom"/>
            <w:hideMark/>
          </w:tcPr>
          <w:p w:rsidR="00AA2B00" w:rsidRPr="00AA2B00" w:rsidRDefault="00AA2B00" w:rsidP="009679F6">
            <w:pPr>
              <w:pStyle w:val="TableText"/>
              <w:ind w:left="187" w:hanging="187"/>
            </w:pPr>
            <w:r w:rsidRPr="00AA2B00">
              <w:t>Has health insurance</w:t>
            </w:r>
          </w:p>
        </w:tc>
        <w:tc>
          <w:tcPr>
            <w:tcW w:w="3022" w:type="dxa"/>
            <w:tcBorders>
              <w:top w:val="nil"/>
              <w:left w:val="nil"/>
              <w:right w:val="nil"/>
            </w:tcBorders>
            <w:shd w:val="clear" w:color="auto" w:fill="auto"/>
            <w:noWrap/>
            <w:vAlign w:val="bottom"/>
            <w:hideMark/>
          </w:tcPr>
          <w:p w:rsidR="00AA2B00" w:rsidRPr="00AA2B00" w:rsidRDefault="00AA2B00" w:rsidP="003E73E6">
            <w:pPr>
              <w:pStyle w:val="TableText"/>
              <w:ind w:left="290"/>
            </w:pPr>
            <w:r w:rsidRPr="00AA2B00">
              <w:t>Parent</w:t>
            </w:r>
          </w:p>
        </w:tc>
      </w:tr>
      <w:tr w:rsidR="00AA2B00" w:rsidRPr="00AA2B00" w:rsidTr="00DC7B69">
        <w:trPr>
          <w:trHeight w:val="255"/>
        </w:trPr>
        <w:tc>
          <w:tcPr>
            <w:tcW w:w="275" w:type="dxa"/>
            <w:tcBorders>
              <w:top w:val="nil"/>
              <w:left w:val="nil"/>
              <w:right w:val="nil"/>
            </w:tcBorders>
            <w:shd w:val="clear" w:color="auto" w:fill="auto"/>
            <w:noWrap/>
            <w:vAlign w:val="bottom"/>
            <w:hideMark/>
          </w:tcPr>
          <w:p w:rsidR="00AA2B00" w:rsidRPr="00AA2B00" w:rsidRDefault="00AA2B00" w:rsidP="009311E0">
            <w:pPr>
              <w:pStyle w:val="TableText"/>
            </w:pPr>
          </w:p>
        </w:tc>
        <w:tc>
          <w:tcPr>
            <w:tcW w:w="6361" w:type="dxa"/>
            <w:gridSpan w:val="2"/>
            <w:tcBorders>
              <w:top w:val="nil"/>
              <w:left w:val="nil"/>
              <w:right w:val="nil"/>
            </w:tcBorders>
            <w:shd w:val="clear" w:color="auto" w:fill="auto"/>
            <w:noWrap/>
            <w:vAlign w:val="bottom"/>
            <w:hideMark/>
          </w:tcPr>
          <w:p w:rsidR="00AA2B00" w:rsidRPr="00AA2B00" w:rsidRDefault="00AA2B00" w:rsidP="003B0063">
            <w:pPr>
              <w:pStyle w:val="TableText"/>
              <w:ind w:left="187" w:hanging="187"/>
            </w:pPr>
            <w:r w:rsidRPr="00AA2B00">
              <w:t>Has an allowance or money can spend; has checking/savings acc</w:t>
            </w:r>
            <w:r w:rsidR="003B0063">
              <w:t>ount</w:t>
            </w:r>
            <w:r w:rsidRPr="00AA2B00">
              <w:t>s; credit/debit care in name; gets bills in own name</w:t>
            </w:r>
          </w:p>
        </w:tc>
        <w:tc>
          <w:tcPr>
            <w:tcW w:w="3022" w:type="dxa"/>
            <w:tcBorders>
              <w:top w:val="nil"/>
              <w:left w:val="nil"/>
              <w:right w:val="nil"/>
            </w:tcBorders>
            <w:shd w:val="clear" w:color="auto" w:fill="auto"/>
            <w:noWrap/>
            <w:vAlign w:val="bottom"/>
            <w:hideMark/>
          </w:tcPr>
          <w:p w:rsidR="00AA2B00" w:rsidRPr="00AA2B00" w:rsidRDefault="00AA2B00" w:rsidP="003E73E6">
            <w:pPr>
              <w:pStyle w:val="TableText"/>
              <w:ind w:left="290"/>
            </w:pPr>
            <w:r w:rsidRPr="00AA2B00">
              <w:t>Youth</w:t>
            </w:r>
          </w:p>
        </w:tc>
      </w:tr>
      <w:tr w:rsidR="00AA2B00" w:rsidRPr="00AA2B00" w:rsidTr="00DC7B69">
        <w:trPr>
          <w:trHeight w:val="255"/>
        </w:trPr>
        <w:tc>
          <w:tcPr>
            <w:tcW w:w="275" w:type="dxa"/>
            <w:tcBorders>
              <w:left w:val="nil"/>
              <w:right w:val="nil"/>
            </w:tcBorders>
            <w:shd w:val="clear" w:color="auto" w:fill="auto"/>
            <w:noWrap/>
            <w:vAlign w:val="bottom"/>
            <w:hideMark/>
          </w:tcPr>
          <w:p w:rsidR="00AA2B00" w:rsidRPr="00AA2B00" w:rsidRDefault="00AA2B00" w:rsidP="009311E0">
            <w:pPr>
              <w:pStyle w:val="TableText"/>
            </w:pPr>
          </w:p>
        </w:tc>
        <w:tc>
          <w:tcPr>
            <w:tcW w:w="6361" w:type="dxa"/>
            <w:gridSpan w:val="2"/>
            <w:tcBorders>
              <w:left w:val="nil"/>
              <w:right w:val="nil"/>
            </w:tcBorders>
            <w:shd w:val="clear" w:color="auto" w:fill="auto"/>
            <w:noWrap/>
            <w:vAlign w:val="bottom"/>
            <w:hideMark/>
          </w:tcPr>
          <w:p w:rsidR="00AA2B00" w:rsidRPr="00AA2B00" w:rsidRDefault="00AA2B00" w:rsidP="009679F6">
            <w:pPr>
              <w:pStyle w:val="TableText"/>
              <w:ind w:left="187" w:hanging="187"/>
            </w:pPr>
            <w:r w:rsidRPr="00AA2B00">
              <w:t>Registered to vote</w:t>
            </w:r>
          </w:p>
        </w:tc>
        <w:tc>
          <w:tcPr>
            <w:tcW w:w="3022" w:type="dxa"/>
            <w:tcBorders>
              <w:left w:val="nil"/>
              <w:right w:val="nil"/>
            </w:tcBorders>
            <w:shd w:val="clear" w:color="auto" w:fill="auto"/>
            <w:noWrap/>
            <w:vAlign w:val="bottom"/>
            <w:hideMark/>
          </w:tcPr>
          <w:p w:rsidR="00AA2B00" w:rsidRPr="00AA2B00" w:rsidRDefault="00AA2B00" w:rsidP="003E73E6">
            <w:pPr>
              <w:pStyle w:val="TableText"/>
              <w:ind w:left="290"/>
            </w:pPr>
            <w:r w:rsidRPr="00AA2B00">
              <w:t>Youth</w:t>
            </w:r>
          </w:p>
        </w:tc>
      </w:tr>
      <w:tr w:rsidR="009679F6" w:rsidRPr="00AA2B00" w:rsidTr="00DC7B69">
        <w:trPr>
          <w:trHeight w:val="255"/>
        </w:trPr>
        <w:tc>
          <w:tcPr>
            <w:tcW w:w="275" w:type="dxa"/>
            <w:tcBorders>
              <w:left w:val="nil"/>
              <w:bottom w:val="single" w:sz="4" w:space="0" w:color="auto"/>
              <w:right w:val="nil"/>
            </w:tcBorders>
            <w:shd w:val="clear" w:color="auto" w:fill="auto"/>
            <w:noWrap/>
            <w:vAlign w:val="bottom"/>
            <w:hideMark/>
          </w:tcPr>
          <w:p w:rsidR="009679F6" w:rsidRPr="00AA2B00" w:rsidRDefault="009679F6" w:rsidP="009311E0">
            <w:pPr>
              <w:pStyle w:val="TableText"/>
            </w:pPr>
          </w:p>
        </w:tc>
        <w:tc>
          <w:tcPr>
            <w:tcW w:w="6361" w:type="dxa"/>
            <w:gridSpan w:val="2"/>
            <w:tcBorders>
              <w:left w:val="nil"/>
              <w:bottom w:val="single" w:sz="4" w:space="0" w:color="auto"/>
              <w:right w:val="nil"/>
            </w:tcBorders>
            <w:shd w:val="clear" w:color="auto" w:fill="auto"/>
            <w:noWrap/>
            <w:vAlign w:val="bottom"/>
            <w:hideMark/>
          </w:tcPr>
          <w:p w:rsidR="009679F6" w:rsidRPr="00AA2B00" w:rsidRDefault="009679F6" w:rsidP="003B0063">
            <w:pPr>
              <w:pStyle w:val="TableText"/>
              <w:ind w:left="187" w:hanging="187"/>
            </w:pPr>
            <w:r w:rsidRPr="00AA2B00">
              <w:t>Has/expects to get driver</w:t>
            </w:r>
            <w:r w:rsidR="003B0063">
              <w:t>’</w:t>
            </w:r>
            <w:r w:rsidRPr="00AA2B00">
              <w:t>s license</w:t>
            </w:r>
          </w:p>
        </w:tc>
        <w:tc>
          <w:tcPr>
            <w:tcW w:w="3022" w:type="dxa"/>
            <w:tcBorders>
              <w:left w:val="nil"/>
              <w:bottom w:val="single" w:sz="4" w:space="0" w:color="auto"/>
              <w:right w:val="nil"/>
            </w:tcBorders>
            <w:shd w:val="clear" w:color="auto" w:fill="auto"/>
            <w:noWrap/>
            <w:vAlign w:val="bottom"/>
            <w:hideMark/>
          </w:tcPr>
          <w:p w:rsidR="009679F6" w:rsidRPr="00AA2B00" w:rsidRDefault="009679F6" w:rsidP="003E73E6">
            <w:pPr>
              <w:pStyle w:val="TableText"/>
              <w:ind w:left="290"/>
            </w:pPr>
            <w:r w:rsidRPr="00AA2B00">
              <w:t>Youth, Parent</w:t>
            </w:r>
          </w:p>
        </w:tc>
      </w:tr>
    </w:tbl>
    <w:p w:rsidR="009679F6" w:rsidRDefault="009679F6" w:rsidP="00AA2B00">
      <w:pPr>
        <w:pStyle w:val="Heading3"/>
        <w:rPr>
          <w:bCs/>
          <w:caps/>
        </w:rPr>
        <w:sectPr w:rsidR="009679F6" w:rsidSect="009679F6">
          <w:footerReference w:type="default" r:id="rId22"/>
          <w:footnotePr>
            <w:numStart w:val="2"/>
          </w:footnotePr>
          <w:endnotePr>
            <w:numFmt w:val="decimal"/>
          </w:endnotePr>
          <w:pgSz w:w="12240" w:h="15840" w:code="1"/>
          <w:pgMar w:top="1296" w:right="1440" w:bottom="576" w:left="1440" w:header="720" w:footer="576" w:gutter="0"/>
          <w:cols w:space="720"/>
          <w:docGrid w:linePitch="326"/>
        </w:sectPr>
      </w:pPr>
    </w:p>
    <w:p w:rsidR="003E73E6" w:rsidRDefault="003E73E6" w:rsidP="003E73E6">
      <w:pPr>
        <w:tabs>
          <w:tab w:val="clear" w:pos="432"/>
        </w:tabs>
        <w:spacing w:line="240" w:lineRule="auto"/>
        <w:rPr>
          <w:bCs/>
        </w:rPr>
      </w:pPr>
      <w:r>
        <w:rPr>
          <w:bCs/>
        </w:rPr>
        <w:lastRenderedPageBreak/>
        <w:t xml:space="preserve">The NLTS 2012 study team will undertake three main types of analyses: (1) comparisons among subgroups, (2) description and decomposition of </w:t>
      </w:r>
      <w:proofErr w:type="spellStart"/>
      <w:r>
        <w:rPr>
          <w:bCs/>
        </w:rPr>
        <w:t>intercohort</w:t>
      </w:r>
      <w:proofErr w:type="spellEnd"/>
      <w:r>
        <w:rPr>
          <w:bCs/>
        </w:rPr>
        <w:t xml:space="preserve"> trends, (3) and identification of barriers and facilitators. We briefly describe these three kinds of analyses below. Section A.16 contains additional detail on the kinds of tabulations planned.</w:t>
      </w:r>
    </w:p>
    <w:p w:rsidR="003E73E6" w:rsidRDefault="003E73E6" w:rsidP="003E73E6">
      <w:pPr>
        <w:tabs>
          <w:tab w:val="clear" w:pos="432"/>
        </w:tabs>
        <w:spacing w:line="240" w:lineRule="auto"/>
        <w:ind w:firstLine="0"/>
        <w:jc w:val="left"/>
        <w:rPr>
          <w:bCs/>
        </w:rPr>
      </w:pPr>
    </w:p>
    <w:p w:rsidR="003E73E6" w:rsidRPr="009B2624" w:rsidRDefault="003E73E6" w:rsidP="003E73E6">
      <w:pPr>
        <w:tabs>
          <w:tab w:val="clear" w:pos="432"/>
        </w:tabs>
        <w:spacing w:line="240" w:lineRule="auto"/>
        <w:ind w:firstLine="0"/>
        <w:jc w:val="left"/>
        <w:rPr>
          <w:b/>
          <w:bCs/>
        </w:rPr>
      </w:pPr>
      <w:r w:rsidRPr="009B2624">
        <w:rPr>
          <w:b/>
          <w:bCs/>
        </w:rPr>
        <w:t xml:space="preserve">Subgroup Comparisons </w:t>
      </w:r>
    </w:p>
    <w:p w:rsidR="003E73E6" w:rsidRDefault="003E73E6" w:rsidP="003E73E6">
      <w:pPr>
        <w:tabs>
          <w:tab w:val="clear" w:pos="432"/>
        </w:tabs>
        <w:spacing w:line="240" w:lineRule="auto"/>
        <w:ind w:firstLine="0"/>
        <w:jc w:val="left"/>
        <w:rPr>
          <w:bCs/>
        </w:rPr>
      </w:pPr>
    </w:p>
    <w:p w:rsidR="003E73E6" w:rsidRDefault="003E73E6" w:rsidP="003E73E6">
      <w:pPr>
        <w:pStyle w:val="NormalSS"/>
      </w:pPr>
      <w:r>
        <w:t xml:space="preserve">The study will examine and compare the needs, barriers, experiences, and outcomes of various groups of students. First, to provide a high-level overview, </w:t>
      </w:r>
      <w:r w:rsidRPr="005A68F1">
        <w:t xml:space="preserve">the study will compare youth with an IEP with those with Section 504 plans </w:t>
      </w:r>
      <w:r>
        <w:t xml:space="preserve">as well as those </w:t>
      </w:r>
      <w:r w:rsidRPr="005A68F1">
        <w:t xml:space="preserve">with no </w:t>
      </w:r>
      <w:r>
        <w:t xml:space="preserve">identified disability. The inclusion of the latter two groups in the NLTS 2012 study sample is a significant enhancement relative to NLTS and NLTS2. </w:t>
      </w:r>
      <w:r w:rsidRPr="005A68F1">
        <w:t xml:space="preserve">Second, </w:t>
      </w:r>
      <w:r>
        <w:t xml:space="preserve">like the previous NLTS studies, the NLTS 2012 analysis </w:t>
      </w:r>
      <w:r w:rsidRPr="005A68F1">
        <w:t>will compare subgroups of youth wit</w:t>
      </w:r>
      <w:r>
        <w:t>h an IEP. The subgroups will include ones defined by the</w:t>
      </w:r>
      <w:r w:rsidRPr="00432E0D">
        <w:t xml:space="preserve"> </w:t>
      </w:r>
      <w:r>
        <w:t xml:space="preserve">federal disability categories; the youth’s </w:t>
      </w:r>
      <w:r w:rsidRPr="00432E0D">
        <w:t xml:space="preserve">age, </w:t>
      </w:r>
      <w:r>
        <w:t xml:space="preserve">gender, </w:t>
      </w:r>
      <w:r w:rsidRPr="00432E0D">
        <w:t>race/ethnicity</w:t>
      </w:r>
      <w:r>
        <w:t>, and family income; and characteristics of the school and district the youth attends.</w:t>
      </w:r>
      <w:r w:rsidR="00AA6D3B">
        <w:tab/>
      </w:r>
    </w:p>
    <w:p w:rsidR="003B694D" w:rsidRDefault="00AA6D3B" w:rsidP="003E73E6">
      <w:pPr>
        <w:pStyle w:val="NormalSS"/>
      </w:pPr>
      <w:r>
        <w:t xml:space="preserve">The study will contrast these groups in several ways. For example, the analysis of background characteristics will include comparisons of the groups’ living arrangements, </w:t>
      </w:r>
      <w:r w:rsidRPr="00AF6243">
        <w:t>household composition</w:t>
      </w:r>
      <w:r>
        <w:t xml:space="preserve">, parent education and employment, household income, receipt of government benefits, access to health coverage, and functional abilities. The study will also compare the </w:t>
      </w:r>
      <w:r w:rsidR="003B694D">
        <w:t>outcomes of these groups</w:t>
      </w:r>
      <w:r w:rsidR="003B0063">
        <w:t>,</w:t>
      </w:r>
      <w:r w:rsidR="003B694D">
        <w:t xml:space="preserve"> including their math and language arts test scores, social skills, self</w:t>
      </w:r>
      <w:r w:rsidR="003B0063">
        <w:t>-</w:t>
      </w:r>
      <w:r w:rsidR="003B694D">
        <w:t xml:space="preserve">determination, enrollment in and completion of postsecondary education, employment, and various dimensions of independence. The analysis will include statistical tests </w:t>
      </w:r>
      <w:r w:rsidR="003B0063">
        <w:t xml:space="preserve">that </w:t>
      </w:r>
      <w:r w:rsidR="003B694D">
        <w:t>measure the extent to which observed intergroup differences are statistically significant. (</w:t>
      </w:r>
      <w:r w:rsidR="006A5748">
        <w:t>Table A.5 and A.6</w:t>
      </w:r>
      <w:r w:rsidR="00A4089E">
        <w:t xml:space="preserve"> </w:t>
      </w:r>
      <w:r w:rsidR="003B694D">
        <w:t>in Section A.16</w:t>
      </w:r>
      <w:r w:rsidR="006A5748">
        <w:t xml:space="preserve"> illustrate how the data will be displayed</w:t>
      </w:r>
      <w:r w:rsidR="003B694D">
        <w:t>).</w:t>
      </w:r>
    </w:p>
    <w:p w:rsidR="003B694D" w:rsidRPr="009B2624" w:rsidRDefault="003B694D" w:rsidP="003B694D">
      <w:pPr>
        <w:pStyle w:val="NormalSS"/>
        <w:ind w:firstLine="0"/>
        <w:rPr>
          <w:b/>
        </w:rPr>
      </w:pPr>
      <w:r w:rsidRPr="009B2624">
        <w:rPr>
          <w:b/>
          <w:bCs/>
        </w:rPr>
        <w:t xml:space="preserve">Description and Decomposition of </w:t>
      </w:r>
      <w:proofErr w:type="spellStart"/>
      <w:r w:rsidRPr="009B2624">
        <w:rPr>
          <w:b/>
          <w:bCs/>
        </w:rPr>
        <w:t>Inter</w:t>
      </w:r>
      <w:r w:rsidR="003B0063">
        <w:rPr>
          <w:b/>
          <w:bCs/>
        </w:rPr>
        <w:t>c</w:t>
      </w:r>
      <w:r w:rsidRPr="009B2624">
        <w:rPr>
          <w:b/>
          <w:bCs/>
        </w:rPr>
        <w:t>ohort</w:t>
      </w:r>
      <w:proofErr w:type="spellEnd"/>
      <w:r w:rsidRPr="009B2624">
        <w:rPr>
          <w:b/>
          <w:bCs/>
        </w:rPr>
        <w:t xml:space="preserve"> Trends</w:t>
      </w:r>
      <w:r w:rsidRPr="009B2624">
        <w:rPr>
          <w:b/>
        </w:rPr>
        <w:t xml:space="preserve"> </w:t>
      </w:r>
    </w:p>
    <w:p w:rsidR="003B694D" w:rsidRDefault="003B694D" w:rsidP="003B694D">
      <w:pPr>
        <w:pStyle w:val="NormalSS"/>
      </w:pPr>
      <w:r>
        <w:rPr>
          <w:rFonts w:eastAsiaTheme="minorHAnsi" w:cs="Garamond"/>
        </w:rPr>
        <w:t xml:space="preserve">By combining the NLTS 2012 data with data from NLTS and NLTS2, the study will examine trends over time in the characteristics, school experiences, and outcomes of students with an IEP. The findings will increase understanding of the changing background, needs, and achievements of students with an IEP. For example, the findings will shed light on </w:t>
      </w:r>
      <w:proofErr w:type="spellStart"/>
      <w:r>
        <w:rPr>
          <w:rFonts w:eastAsiaTheme="minorHAnsi" w:cs="Garamond"/>
        </w:rPr>
        <w:t>intercohort</w:t>
      </w:r>
      <w:proofErr w:type="spellEnd"/>
      <w:r>
        <w:rPr>
          <w:rFonts w:eastAsiaTheme="minorHAnsi" w:cs="Garamond"/>
        </w:rPr>
        <w:t xml:space="preserve"> changes in family resources; the expectations of parents for their transition-age youth; </w:t>
      </w:r>
      <w:r w:rsidR="003B0063">
        <w:rPr>
          <w:rFonts w:eastAsiaTheme="minorHAnsi" w:cs="Garamond"/>
        </w:rPr>
        <w:t xml:space="preserve">and </w:t>
      </w:r>
      <w:r>
        <w:rPr>
          <w:rFonts w:eastAsiaTheme="minorHAnsi" w:cs="Garamond"/>
        </w:rPr>
        <w:t>the academic achievement and functional abilities of youth</w:t>
      </w:r>
      <w:r w:rsidR="003B0063">
        <w:rPr>
          <w:rFonts w:eastAsiaTheme="minorHAnsi" w:cs="Garamond"/>
        </w:rPr>
        <w:t xml:space="preserve"> as well as</w:t>
      </w:r>
      <w:r>
        <w:rPr>
          <w:rFonts w:eastAsiaTheme="minorHAnsi" w:cs="Garamond"/>
        </w:rPr>
        <w:t xml:space="preserve"> their social interactions with peers, postsecondary enrollment, and employment rates. </w:t>
      </w:r>
      <w:r>
        <w:t xml:space="preserve">The study will also examine the extent to which observed trends in outcomes appear to be partly attributable to </w:t>
      </w:r>
      <w:proofErr w:type="spellStart"/>
      <w:r>
        <w:t>intercohort</w:t>
      </w:r>
      <w:proofErr w:type="spellEnd"/>
      <w:r>
        <w:t xml:space="preserve"> changes in the background and characteristics of youth or their school experiences.</w:t>
      </w:r>
    </w:p>
    <w:p w:rsidR="003B694D" w:rsidRDefault="003B694D" w:rsidP="003B694D">
      <w:pPr>
        <w:tabs>
          <w:tab w:val="clear" w:pos="432"/>
        </w:tabs>
        <w:spacing w:line="240" w:lineRule="auto"/>
        <w:ind w:firstLine="0"/>
        <w:jc w:val="left"/>
        <w:rPr>
          <w:bCs/>
        </w:rPr>
      </w:pPr>
      <w:r>
        <w:rPr>
          <w:b/>
          <w:bCs/>
        </w:rPr>
        <w:t>Identification of Barriers and Facilitators</w:t>
      </w:r>
    </w:p>
    <w:p w:rsidR="003B694D" w:rsidRDefault="003B694D" w:rsidP="003B694D">
      <w:pPr>
        <w:tabs>
          <w:tab w:val="clear" w:pos="432"/>
        </w:tabs>
        <w:spacing w:line="240" w:lineRule="auto"/>
        <w:ind w:firstLine="0"/>
        <w:jc w:val="left"/>
        <w:rPr>
          <w:bCs/>
        </w:rPr>
      </w:pPr>
    </w:p>
    <w:p w:rsidR="003B694D" w:rsidRDefault="003B694D" w:rsidP="003B694D">
      <w:pPr>
        <w:pStyle w:val="NormalSS"/>
      </w:pPr>
      <w:r>
        <w:t>Key to improving the outcomes of youth with disabilities is to understand both the barriers they face and the factors associated with success in education, jobs, and independent living. The barriers (or challenges) can include anything that may impede a youth’s successful transition to independent living as an adult. Some barriers pertain directly to the condition</w:t>
      </w:r>
      <w:r w:rsidR="001B507C">
        <w:t>s</w:t>
      </w:r>
      <w:r>
        <w:t xml:space="preserve"> th</w:t>
      </w:r>
      <w:r w:rsidR="001B507C">
        <w:t>a</w:t>
      </w:r>
      <w:r>
        <w:t xml:space="preserve">t necessitate special education services, whereas others relate to broader social or family characteristics (such as household income or parental expectations for their child) and access to appropriate services, supports, and sources of information about opportunities. “Facilitators” are factors associated with success; they are often the flip side of barriers. For example, facilitators may include high </w:t>
      </w:r>
      <w:r>
        <w:lastRenderedPageBreak/>
        <w:t>levels of intellectual and social competencies, ambitious aspirations, and self-determination skills.</w:t>
      </w:r>
      <w:r w:rsidR="00A4089E">
        <w:t xml:space="preserve"> </w:t>
      </w:r>
    </w:p>
    <w:p w:rsidR="003B694D" w:rsidRDefault="003B694D" w:rsidP="003B694D">
      <w:pPr>
        <w:pStyle w:val="NormalSS"/>
      </w:pPr>
      <w:r>
        <w:t>The data will support two different kinds of analyses of barriers and facilitators.</w:t>
      </w:r>
      <w:r w:rsidR="00A4089E">
        <w:t xml:space="preserve"> </w:t>
      </w:r>
      <w:r>
        <w:t>First, drawing on the surveys, the study will describe transition challenges perceived by parents, youth, and school staff. The study will examine perceptions about the challenges youth face in several areas</w:t>
      </w:r>
      <w:r w:rsidR="0089763E">
        <w:t>,</w:t>
      </w:r>
      <w:r>
        <w:t xml:space="preserve"> including (1) developing post</w:t>
      </w:r>
      <w:r w:rsidR="0089763E">
        <w:t>–</w:t>
      </w:r>
      <w:r>
        <w:t xml:space="preserve">high school plans, (2) selecting, applying to, enrolling in, and </w:t>
      </w:r>
      <w:r w:rsidR="001B507C">
        <w:t xml:space="preserve">financing </w:t>
      </w:r>
      <w:r>
        <w:t>postsecondary education, (3) identifying and obtaining jobs, (4) engaging in social and recreational activities, and (5) living independently.</w:t>
      </w:r>
      <w:r w:rsidR="00A4089E">
        <w:t xml:space="preserve"> </w:t>
      </w:r>
      <w:r>
        <w:t>Since parents, teachers, and youth may view these challenges differently, the study will examine and contrast the challenges described by each of these respondent groups.</w:t>
      </w:r>
    </w:p>
    <w:p w:rsidR="003B694D" w:rsidRDefault="003B694D" w:rsidP="003B694D">
      <w:pPr>
        <w:pStyle w:val="NormalSS"/>
      </w:pPr>
      <w:r>
        <w:t>Second, i</w:t>
      </w:r>
      <w:r w:rsidRPr="00BA397A">
        <w:t xml:space="preserve">n addition to examining perceptions of challenges, </w:t>
      </w:r>
      <w:r>
        <w:t xml:space="preserve">the study will also examine the extent to which various </w:t>
      </w:r>
      <w:r w:rsidRPr="00BA397A">
        <w:t>factors are associated with negative or positive outcomes</w:t>
      </w:r>
      <w:r>
        <w:t>.</w:t>
      </w:r>
      <w:r w:rsidR="00A4089E">
        <w:t xml:space="preserve"> </w:t>
      </w:r>
      <w:r>
        <w:t>After conducting both the baseline and first follow</w:t>
      </w:r>
      <w:r w:rsidR="00CA2DF4">
        <w:t>-</w:t>
      </w:r>
      <w:r>
        <w:t>up surveys, the study team will examine the relationship between (a) youth baseline competencies, background characteristics, expectations for the future, and high school experiences and (b) various outcomes</w:t>
      </w:r>
      <w:r w:rsidR="00CA2DF4">
        <w:t>,</w:t>
      </w:r>
      <w:r>
        <w:t xml:space="preserve"> including postsecondary enrollment, employment and earnings, and the extent to which youth are living independently. </w:t>
      </w:r>
    </w:p>
    <w:p w:rsidR="003B694D" w:rsidRDefault="003B694D" w:rsidP="003B694D">
      <w:pPr>
        <w:pStyle w:val="NormalSS"/>
      </w:pPr>
      <w:r>
        <w:t>B</w:t>
      </w:r>
      <w:r w:rsidRPr="00BA397A">
        <w:t>y identifying predictors of postsecondary outcomes, this analysis can help educators gauge which students are more or less likely to achieve specific outcomes.</w:t>
      </w:r>
      <w:r>
        <w:t xml:space="preserve"> While the analysis cannot ascertain the causes of outcomes, it can inform hypotheses and future research about </w:t>
      </w:r>
      <w:r w:rsidRPr="00BA397A">
        <w:t xml:space="preserve">the </w:t>
      </w:r>
      <w:r>
        <w:t xml:space="preserve">kinds </w:t>
      </w:r>
      <w:r w:rsidRPr="00BA397A">
        <w:t xml:space="preserve">of </w:t>
      </w:r>
      <w:r>
        <w:t xml:space="preserve">efforts that might benefit youth. </w:t>
      </w:r>
      <w:r w:rsidRPr="00BA397A">
        <w:t xml:space="preserve">For example, </w:t>
      </w:r>
      <w:r>
        <w:t xml:space="preserve">gauging the extent to which specific competencies measured in high school are predictors of outcomes may shed light on the value of cultivating those skills. </w:t>
      </w:r>
    </w:p>
    <w:p w:rsidR="0073463C" w:rsidRPr="00432E0D" w:rsidRDefault="0073463C" w:rsidP="0073463C">
      <w:pPr>
        <w:pStyle w:val="Heading3"/>
      </w:pPr>
      <w:bookmarkStart w:id="43" w:name="_Toc298415683"/>
      <w:bookmarkStart w:id="44" w:name="_Toc298418564"/>
      <w:r w:rsidRPr="00432E0D">
        <w:t>3.</w:t>
      </w:r>
      <w:r w:rsidRPr="00432E0D">
        <w:tab/>
      </w:r>
      <w:bookmarkEnd w:id="24"/>
      <w:bookmarkEnd w:id="25"/>
      <w:bookmarkEnd w:id="26"/>
      <w:r w:rsidRPr="00432E0D">
        <w:t>Use of Technology to Reduce Burden</w:t>
      </w:r>
      <w:bookmarkEnd w:id="27"/>
      <w:bookmarkEnd w:id="28"/>
      <w:bookmarkEnd w:id="29"/>
      <w:bookmarkEnd w:id="30"/>
      <w:bookmarkEnd w:id="43"/>
      <w:bookmarkEnd w:id="44"/>
    </w:p>
    <w:p w:rsidR="00E07D6B" w:rsidRDefault="0073463C" w:rsidP="00D43A2C">
      <w:pPr>
        <w:pStyle w:val="NormalSS12"/>
        <w:rPr>
          <w:bCs/>
        </w:rPr>
      </w:pPr>
      <w:r w:rsidRPr="00432E0D">
        <w:rPr>
          <w:bCs/>
        </w:rPr>
        <w:t xml:space="preserve">The </w:t>
      </w:r>
      <w:r w:rsidR="006B6E92">
        <w:rPr>
          <w:bCs/>
        </w:rPr>
        <w:t xml:space="preserve">study </w:t>
      </w:r>
      <w:r w:rsidRPr="00432E0D">
        <w:rPr>
          <w:bCs/>
        </w:rPr>
        <w:t>will use a combination of mechanical and electronic technology to collect data. For each data collection task, the study team has selected the form of technology that will provide reliable information while minimizing respondent burden.</w:t>
      </w:r>
      <w:r w:rsidR="00BE16E5" w:rsidRPr="00432E0D">
        <w:rPr>
          <w:bCs/>
        </w:rPr>
        <w:t xml:space="preserve"> </w:t>
      </w:r>
      <w:r w:rsidR="00BE16E5" w:rsidRPr="004648D3">
        <w:rPr>
          <w:bCs/>
        </w:rPr>
        <w:t>This submission focuses primarily on protocols for obtaining consent and collecting data from parents, students, and school staff.</w:t>
      </w:r>
      <w:r w:rsidR="00D43A2C">
        <w:rPr>
          <w:bCs/>
        </w:rPr>
        <w:t xml:space="preserve"> </w:t>
      </w:r>
      <w:r w:rsidR="004648D3" w:rsidRPr="00432E0D">
        <w:rPr>
          <w:bCs/>
        </w:rPr>
        <w:t>Information technology will be</w:t>
      </w:r>
      <w:r w:rsidR="004648D3">
        <w:rPr>
          <w:bCs/>
        </w:rPr>
        <w:t xml:space="preserve"> heavily</w:t>
      </w:r>
      <w:r w:rsidR="004648D3" w:rsidRPr="00432E0D">
        <w:rPr>
          <w:bCs/>
        </w:rPr>
        <w:t xml:space="preserve"> used in data collection tasks. </w:t>
      </w:r>
      <w:r w:rsidR="00E07D6B">
        <w:rPr>
          <w:bCs/>
        </w:rPr>
        <w:t>Examples include</w:t>
      </w:r>
      <w:r w:rsidR="0066553C">
        <w:rPr>
          <w:bCs/>
        </w:rPr>
        <w:t xml:space="preserve"> the following</w:t>
      </w:r>
      <w:r w:rsidR="00E07D6B">
        <w:rPr>
          <w:bCs/>
        </w:rPr>
        <w:t xml:space="preserve">: </w:t>
      </w:r>
    </w:p>
    <w:p w:rsidR="00B77C7A" w:rsidRPr="00B77C7A" w:rsidRDefault="00B77C7A" w:rsidP="000F37E9">
      <w:pPr>
        <w:pStyle w:val="BulletBlack"/>
      </w:pPr>
      <w:r>
        <w:t xml:space="preserve">Electronic </w:t>
      </w:r>
      <w:r w:rsidRPr="00D43A2C">
        <w:rPr>
          <w:b/>
        </w:rPr>
        <w:t>sample management</w:t>
      </w:r>
      <w:r>
        <w:t xml:space="preserve"> database to track receipt of parental consent to efficiently monitor sample and ensure timely </w:t>
      </w:r>
      <w:r w:rsidR="006B6E92">
        <w:t xml:space="preserve">initiation </w:t>
      </w:r>
      <w:r>
        <w:t xml:space="preserve">of subsequent data collection activities. </w:t>
      </w:r>
      <w:r w:rsidR="0087381A">
        <w:t xml:space="preserve">This database will also identify where more than one student attends a given school, ensuring only one principal survey is released. </w:t>
      </w:r>
    </w:p>
    <w:p w:rsidR="00E07D6B" w:rsidRPr="00E07D6B" w:rsidRDefault="004648D3" w:rsidP="000F37E9">
      <w:pPr>
        <w:pStyle w:val="BulletBlack"/>
      </w:pPr>
      <w:r w:rsidRPr="00432E0D">
        <w:t xml:space="preserve">Parent and student surveys will use </w:t>
      </w:r>
      <w:r w:rsidRPr="003A7EA1">
        <w:rPr>
          <w:b/>
        </w:rPr>
        <w:t>computer-assiste</w:t>
      </w:r>
      <w:r w:rsidR="00BB3C50" w:rsidRPr="003A7EA1">
        <w:rPr>
          <w:b/>
        </w:rPr>
        <w:t>d telephone interviewing</w:t>
      </w:r>
      <w:r w:rsidR="00BB3C50">
        <w:t xml:space="preserve"> </w:t>
      </w:r>
      <w:r w:rsidR="006B6E92">
        <w:t xml:space="preserve">and </w:t>
      </w:r>
      <w:r w:rsidR="003A7EA1" w:rsidRPr="003A7EA1">
        <w:rPr>
          <w:b/>
        </w:rPr>
        <w:t>digital</w:t>
      </w:r>
      <w:r w:rsidR="00E07D6B" w:rsidRPr="003A7EA1">
        <w:rPr>
          <w:b/>
        </w:rPr>
        <w:t xml:space="preserve"> record</w:t>
      </w:r>
      <w:r w:rsidR="00BB3C50" w:rsidRPr="003A7EA1">
        <w:rPr>
          <w:b/>
        </w:rPr>
        <w:t>ing</w:t>
      </w:r>
      <w:r w:rsidR="00BB3C50">
        <w:t xml:space="preserve"> to capture</w:t>
      </w:r>
      <w:r w:rsidR="00E07D6B" w:rsidRPr="00432E0D">
        <w:t xml:space="preserve"> parent </w:t>
      </w:r>
      <w:r w:rsidR="00BB3C50">
        <w:t xml:space="preserve">consent </w:t>
      </w:r>
      <w:r w:rsidR="00E07D6B" w:rsidRPr="00432E0D">
        <w:t xml:space="preserve">and student </w:t>
      </w:r>
      <w:r w:rsidR="00BB3C50">
        <w:t xml:space="preserve">assent (or </w:t>
      </w:r>
      <w:r w:rsidR="00E07D6B" w:rsidRPr="00432E0D">
        <w:t>consent</w:t>
      </w:r>
      <w:r w:rsidR="00BB3C50">
        <w:t>)</w:t>
      </w:r>
      <w:r w:rsidR="00E07D6B" w:rsidRPr="00432E0D">
        <w:t xml:space="preserve"> conveyed verbally over the telephone.</w:t>
      </w:r>
      <w:r w:rsidR="00E07D6B">
        <w:t xml:space="preserve"> Written </w:t>
      </w:r>
      <w:r w:rsidR="00E07D6B" w:rsidRPr="002C47AA">
        <w:t>documentation</w:t>
      </w:r>
      <w:r w:rsidR="00E07D6B">
        <w:t xml:space="preserve"> of the consent will be sent to participants for their records (Appendix </w:t>
      </w:r>
      <w:r w:rsidR="006A5748">
        <w:t>G</w:t>
      </w:r>
      <w:r w:rsidR="00E07D6B">
        <w:t>)</w:t>
      </w:r>
      <w:r w:rsidR="00E07D6B" w:rsidRPr="002C47AA">
        <w:t xml:space="preserve">. </w:t>
      </w:r>
    </w:p>
    <w:p w:rsidR="00E07D6B" w:rsidRDefault="003A7EA1" w:rsidP="000F37E9">
      <w:pPr>
        <w:pStyle w:val="BulletBlack"/>
      </w:pPr>
      <w:r>
        <w:t>Teacher</w:t>
      </w:r>
      <w:r w:rsidR="006B6E92">
        <w:t>s</w:t>
      </w:r>
      <w:r>
        <w:t xml:space="preserve"> and principals will participate in their </w:t>
      </w:r>
      <w:r w:rsidR="004648D3" w:rsidRPr="00432E0D">
        <w:t xml:space="preserve">surveys </w:t>
      </w:r>
      <w:r>
        <w:t xml:space="preserve">online using </w:t>
      </w:r>
      <w:r w:rsidRPr="003A7EA1">
        <w:rPr>
          <w:b/>
        </w:rPr>
        <w:t>web-based surveys</w:t>
      </w:r>
      <w:r>
        <w:t>.</w:t>
      </w:r>
    </w:p>
    <w:p w:rsidR="004648D3" w:rsidRPr="003A7EA1" w:rsidRDefault="00E07D6B" w:rsidP="000F37E9">
      <w:pPr>
        <w:pStyle w:val="BulletBlack"/>
      </w:pPr>
      <w:r>
        <w:t xml:space="preserve">The study will have a </w:t>
      </w:r>
      <w:r w:rsidRPr="003A7EA1">
        <w:rPr>
          <w:b/>
        </w:rPr>
        <w:t>website</w:t>
      </w:r>
      <w:r w:rsidR="003A7EA1">
        <w:t>, hosted by IES,</w:t>
      </w:r>
      <w:r>
        <w:t xml:space="preserve"> where interested parties can </w:t>
      </w:r>
      <w:r w:rsidR="006B6E92">
        <w:t xml:space="preserve">obtain </w:t>
      </w:r>
      <w:r>
        <w:t xml:space="preserve">more information. </w:t>
      </w:r>
      <w:r w:rsidRPr="003A7EA1">
        <w:t xml:space="preserve">The study has a </w:t>
      </w:r>
      <w:r w:rsidRPr="003A7EA1">
        <w:rPr>
          <w:b/>
        </w:rPr>
        <w:t>toll-free number</w:t>
      </w:r>
      <w:r w:rsidRPr="003A7EA1">
        <w:t xml:space="preserve">, along with an </w:t>
      </w:r>
      <w:r w:rsidRPr="003A7EA1">
        <w:rPr>
          <w:b/>
        </w:rPr>
        <w:t>email address</w:t>
      </w:r>
      <w:r w:rsidRPr="003A7EA1">
        <w:t xml:space="preserve">, </w:t>
      </w:r>
      <w:r w:rsidRPr="003A7EA1">
        <w:lastRenderedPageBreak/>
        <w:t xml:space="preserve">both of which are hosted by </w:t>
      </w:r>
      <w:proofErr w:type="spellStart"/>
      <w:r w:rsidRPr="003A7EA1">
        <w:t>Mathematica</w:t>
      </w:r>
      <w:proofErr w:type="spellEnd"/>
      <w:r w:rsidRPr="003A7EA1">
        <w:t xml:space="preserve">. Staff from </w:t>
      </w:r>
      <w:proofErr w:type="spellStart"/>
      <w:r w:rsidRPr="003A7EA1">
        <w:t>Mathematica</w:t>
      </w:r>
      <w:proofErr w:type="spellEnd"/>
      <w:r w:rsidRPr="003A7EA1">
        <w:t xml:space="preserve"> will field inquiries to the toll-free number and study email account on a flow</w:t>
      </w:r>
      <w:r w:rsidR="0066553C">
        <w:t xml:space="preserve"> </w:t>
      </w:r>
      <w:r w:rsidRPr="003A7EA1">
        <w:t>basis across the life of the study</w:t>
      </w:r>
      <w:r w:rsidR="003A7EA1">
        <w:t>.</w:t>
      </w:r>
    </w:p>
    <w:p w:rsidR="003A7EA1" w:rsidRDefault="00070234" w:rsidP="000F37E9">
      <w:pPr>
        <w:pStyle w:val="BulletBlackLastSS"/>
      </w:pPr>
      <w:r>
        <w:t>Acquisition</w:t>
      </w:r>
      <w:r w:rsidR="003A7EA1">
        <w:t xml:space="preserve"> of </w:t>
      </w:r>
      <w:r w:rsidR="003A7EA1" w:rsidRPr="003A7EA1">
        <w:rPr>
          <w:b/>
        </w:rPr>
        <w:t>school records data</w:t>
      </w:r>
      <w:r w:rsidR="003A7EA1">
        <w:t xml:space="preserve"> </w:t>
      </w:r>
      <w:r w:rsidR="000A4BF4">
        <w:t xml:space="preserve">pertaining to </w:t>
      </w:r>
      <w:r w:rsidR="003A7EA1">
        <w:t xml:space="preserve">students </w:t>
      </w:r>
      <w:r w:rsidR="000A4BF4">
        <w:t xml:space="preserve">participating in the study </w:t>
      </w:r>
      <w:r w:rsidR="003A7EA1">
        <w:t xml:space="preserve">will </w:t>
      </w:r>
      <w:r w:rsidR="000A4BF4">
        <w:t xml:space="preserve">be acquired </w:t>
      </w:r>
      <w:r w:rsidR="003A7EA1">
        <w:t>in electronic format whenever possible</w:t>
      </w:r>
      <w:r w:rsidR="006C22F9">
        <w:t xml:space="preserve"> to </w:t>
      </w:r>
      <w:r>
        <w:t>reduce</w:t>
      </w:r>
      <w:r w:rsidR="006C22F9">
        <w:t xml:space="preserve"> burden on schools for processing or delivering such files</w:t>
      </w:r>
      <w:r w:rsidR="003A7EA1">
        <w:t>.</w:t>
      </w:r>
    </w:p>
    <w:p w:rsidR="0073463C" w:rsidRPr="00432E0D" w:rsidRDefault="0073463C" w:rsidP="0073463C">
      <w:pPr>
        <w:pStyle w:val="Heading3"/>
      </w:pPr>
      <w:bookmarkStart w:id="45" w:name="_Toc63827177"/>
      <w:bookmarkStart w:id="46" w:name="_Toc70752926"/>
      <w:bookmarkStart w:id="47" w:name="_Toc213228318"/>
      <w:bookmarkStart w:id="48" w:name="_Toc276390666"/>
      <w:bookmarkStart w:id="49" w:name="_Toc276988155"/>
      <w:bookmarkStart w:id="50" w:name="_Toc277079574"/>
      <w:bookmarkStart w:id="51" w:name="_Toc283908714"/>
      <w:bookmarkStart w:id="52" w:name="_Toc298415684"/>
      <w:bookmarkStart w:id="53" w:name="_Toc298418565"/>
      <w:r w:rsidRPr="00432E0D">
        <w:t>4.</w:t>
      </w:r>
      <w:r w:rsidRPr="00432E0D">
        <w:tab/>
        <w:t>Efforts to Avoid Duplication of Effort</w:t>
      </w:r>
      <w:bookmarkEnd w:id="45"/>
      <w:bookmarkEnd w:id="46"/>
      <w:bookmarkEnd w:id="47"/>
      <w:bookmarkEnd w:id="48"/>
      <w:bookmarkEnd w:id="49"/>
      <w:bookmarkEnd w:id="50"/>
      <w:bookmarkEnd w:id="51"/>
      <w:bookmarkEnd w:id="52"/>
      <w:bookmarkEnd w:id="53"/>
    </w:p>
    <w:p w:rsidR="0073463C" w:rsidRDefault="003A7EA1" w:rsidP="003E73E6">
      <w:pPr>
        <w:pStyle w:val="NormalSS"/>
      </w:pPr>
      <w:r>
        <w:t>Because t</w:t>
      </w:r>
      <w:r w:rsidR="0073463C" w:rsidRPr="00432E0D">
        <w:t xml:space="preserve">he </w:t>
      </w:r>
      <w:r w:rsidR="009C179A" w:rsidRPr="00432E0D">
        <w:t>long</w:t>
      </w:r>
      <w:r w:rsidR="0066553C">
        <w:t>-</w:t>
      </w:r>
      <w:r w:rsidR="009C179A" w:rsidRPr="00432E0D">
        <w:t xml:space="preserve">term follow-up for the </w:t>
      </w:r>
      <w:r w:rsidR="0073463C" w:rsidRPr="00432E0D">
        <w:t>NLTS2</w:t>
      </w:r>
      <w:r>
        <w:t xml:space="preserve"> (</w:t>
      </w:r>
      <w:r w:rsidR="003B75C1" w:rsidRPr="00432E0D">
        <w:t xml:space="preserve">which followed a sample of students between 13 and 16 years of age </w:t>
      </w:r>
      <w:r w:rsidR="006938E0">
        <w:t>who</w:t>
      </w:r>
      <w:r w:rsidR="003B75C1" w:rsidRPr="00432E0D">
        <w:t xml:space="preserve"> had IEPs in December 2001</w:t>
      </w:r>
      <w:r>
        <w:t>) ended in 2009, NLTS 2012</w:t>
      </w:r>
      <w:r w:rsidR="008A7301" w:rsidRPr="00432E0D">
        <w:t xml:space="preserve"> </w:t>
      </w:r>
      <w:r w:rsidR="0073463C" w:rsidRPr="00432E0D">
        <w:t xml:space="preserve">will be the only comprehensive source of data on students </w:t>
      </w:r>
      <w:r w:rsidR="003B75C1" w:rsidRPr="00432E0D">
        <w:t xml:space="preserve">who are </w:t>
      </w:r>
      <w:r w:rsidR="0073463C" w:rsidRPr="00432E0D">
        <w:t xml:space="preserve">ages 13 to 21 </w:t>
      </w:r>
      <w:r w:rsidR="003B75C1" w:rsidRPr="00432E0D">
        <w:t>and have IEPs in December 2011</w:t>
      </w:r>
      <w:r w:rsidR="0073463C" w:rsidRPr="00432E0D">
        <w:t xml:space="preserve"> that includes information collected from youth, their parents, and their teachers. It will also be the only source </w:t>
      </w:r>
      <w:r w:rsidR="003B75C1" w:rsidRPr="00432E0D">
        <w:t xml:space="preserve">of </w:t>
      </w:r>
      <w:r w:rsidR="0073463C" w:rsidRPr="00432E0D">
        <w:t xml:space="preserve">information </w:t>
      </w:r>
      <w:r w:rsidR="003B75C1" w:rsidRPr="00432E0D">
        <w:t xml:space="preserve">on </w:t>
      </w:r>
      <w:r w:rsidR="0073463C" w:rsidRPr="00432E0D">
        <w:t xml:space="preserve">a national </w:t>
      </w:r>
      <w:r w:rsidR="004A2BBC" w:rsidRPr="00432E0D">
        <w:t>probability</w:t>
      </w:r>
      <w:r w:rsidR="0073463C" w:rsidRPr="00432E0D">
        <w:t xml:space="preserve"> sample of youth with and without disabilities in the same </w:t>
      </w:r>
      <w:r w:rsidR="007D3251" w:rsidRPr="00432E0D">
        <w:t xml:space="preserve">school </w:t>
      </w:r>
      <w:r w:rsidR="0073463C" w:rsidRPr="00432E0D">
        <w:t>districts.</w:t>
      </w:r>
    </w:p>
    <w:p w:rsidR="0073463C" w:rsidRPr="00432E0D" w:rsidRDefault="0073463C" w:rsidP="0073463C">
      <w:pPr>
        <w:pStyle w:val="Heading3"/>
      </w:pPr>
      <w:bookmarkStart w:id="54" w:name="_Toc63827178"/>
      <w:bookmarkStart w:id="55" w:name="_Toc70752927"/>
      <w:bookmarkStart w:id="56" w:name="_Toc213228319"/>
      <w:bookmarkStart w:id="57" w:name="_Toc276390667"/>
      <w:bookmarkStart w:id="58" w:name="_Toc276988156"/>
      <w:bookmarkStart w:id="59" w:name="_Toc277079575"/>
      <w:bookmarkStart w:id="60" w:name="_Toc283908715"/>
      <w:bookmarkStart w:id="61" w:name="_Toc298415685"/>
      <w:bookmarkStart w:id="62" w:name="_Toc298418566"/>
      <w:r w:rsidRPr="00432E0D">
        <w:t>5.</w:t>
      </w:r>
      <w:r w:rsidRPr="00432E0D">
        <w:tab/>
        <w:t>Methods of Minimizing Burden on Small Entities</w:t>
      </w:r>
      <w:bookmarkEnd w:id="54"/>
      <w:bookmarkEnd w:id="55"/>
      <w:bookmarkEnd w:id="56"/>
      <w:bookmarkEnd w:id="57"/>
      <w:bookmarkEnd w:id="58"/>
      <w:bookmarkEnd w:id="59"/>
      <w:bookmarkEnd w:id="60"/>
      <w:bookmarkEnd w:id="61"/>
      <w:bookmarkEnd w:id="62"/>
    </w:p>
    <w:p w:rsidR="004C5B6A" w:rsidRPr="00432E0D" w:rsidRDefault="0073463C" w:rsidP="000F37E9">
      <w:pPr>
        <w:pStyle w:val="NormalSS"/>
      </w:pPr>
      <w:r w:rsidRPr="008F1189">
        <w:t xml:space="preserve">Some of the districts and schools from which the study team will collect information are small entities. </w:t>
      </w:r>
      <w:r w:rsidR="00D236C1" w:rsidRPr="008F1189">
        <w:t>The total district sample includes approximately 200 small districts in the base sample and 200 in the reserve sample or 400 total. The sample also includes approximately 60 charter school LEAs for 460 small entities. While we do not expect to collect data from all of them, we have added them all to the IC Data Form Part 2. </w:t>
      </w:r>
      <w:r w:rsidR="007D3251" w:rsidRPr="008F1189">
        <w:t>Building on the</w:t>
      </w:r>
      <w:r w:rsidR="007D3251" w:rsidRPr="00432E0D">
        <w:t xml:space="preserve"> experience of NLTS2 and </w:t>
      </w:r>
      <w:r w:rsidR="00DA08F4">
        <w:t>High School Longitudinal Study 2009 (</w:t>
      </w:r>
      <w:r w:rsidR="00B005AC" w:rsidRPr="00DA08F4">
        <w:t>HSLS:2009</w:t>
      </w:r>
      <w:r w:rsidR="00DA08F4" w:rsidRPr="00DA08F4">
        <w:t>)</w:t>
      </w:r>
      <w:r w:rsidR="007D3251" w:rsidRPr="00DA08F4">
        <w:t>,</w:t>
      </w:r>
      <w:r w:rsidR="007D3251" w:rsidRPr="00432E0D">
        <w:t xml:space="preserve"> </w:t>
      </w:r>
      <w:r w:rsidR="008A7301" w:rsidRPr="00432E0D">
        <w:t xml:space="preserve">NLTS 2012 </w:t>
      </w:r>
      <w:r w:rsidR="007D3251" w:rsidRPr="00432E0D">
        <w:t xml:space="preserve">has been designed with an eye to minimizing the burden on </w:t>
      </w:r>
      <w:r w:rsidR="000A2416">
        <w:t>small</w:t>
      </w:r>
      <w:r w:rsidR="007D3251" w:rsidRPr="00432E0D">
        <w:t xml:space="preserve"> entities both by making the requests for data on individual students efficient and by distributing the student sample across schools </w:t>
      </w:r>
      <w:r w:rsidR="009D26CB" w:rsidRPr="00432E0D">
        <w:t>in a manner design</w:t>
      </w:r>
      <w:r w:rsidR="00A460DB" w:rsidRPr="00432E0D">
        <w:t>ed</w:t>
      </w:r>
      <w:r w:rsidR="009D26CB" w:rsidRPr="00432E0D">
        <w:t xml:space="preserve"> </w:t>
      </w:r>
      <w:r w:rsidR="007D3251" w:rsidRPr="00432E0D">
        <w:t xml:space="preserve">to keep the burden on individual schools to the minimum necessary. In </w:t>
      </w:r>
      <w:r w:rsidR="002439E6" w:rsidRPr="00432E0D">
        <w:t>contrast</w:t>
      </w:r>
      <w:r w:rsidR="007D3251" w:rsidRPr="00432E0D">
        <w:t xml:space="preserve"> to </w:t>
      </w:r>
      <w:r w:rsidR="001C44EA" w:rsidRPr="00595CCE">
        <w:t>HSLS:2009</w:t>
      </w:r>
      <w:r w:rsidR="007D3251" w:rsidRPr="00432E0D">
        <w:t xml:space="preserve"> in which schools are the first stage </w:t>
      </w:r>
      <w:r w:rsidR="00272EF5" w:rsidRPr="00432E0D">
        <w:t xml:space="preserve">of sample selection, </w:t>
      </w:r>
      <w:r w:rsidR="007D3251" w:rsidRPr="00432E0D">
        <w:t>the first stage</w:t>
      </w:r>
      <w:r w:rsidR="00272EF5" w:rsidRPr="00432E0D">
        <w:t xml:space="preserve"> sampling unit</w:t>
      </w:r>
      <w:r w:rsidR="007D3251" w:rsidRPr="00432E0D">
        <w:t xml:space="preserve"> in </w:t>
      </w:r>
      <w:r w:rsidR="00EE68C1" w:rsidRPr="00432E0D">
        <w:t>NLTS 2012</w:t>
      </w:r>
      <w:r w:rsidR="007D3251" w:rsidRPr="00432E0D">
        <w:t xml:space="preserve"> will be the </w:t>
      </w:r>
      <w:r w:rsidR="009D26CB" w:rsidRPr="00432E0D">
        <w:t xml:space="preserve">school </w:t>
      </w:r>
      <w:r w:rsidR="007D3251" w:rsidRPr="00432E0D">
        <w:t>district</w:t>
      </w:r>
      <w:r w:rsidR="00272EF5" w:rsidRPr="00432E0D">
        <w:t xml:space="preserve"> or, in the case of districts having fewer than 100 students with an</w:t>
      </w:r>
      <w:r w:rsidR="00013CA7">
        <w:t xml:space="preserve"> IEP, groups of districts</w:t>
      </w:r>
      <w:r w:rsidR="00272EF5" w:rsidRPr="00432E0D">
        <w:t>.</w:t>
      </w:r>
      <w:r w:rsidR="004C5B6A" w:rsidRPr="00432E0D">
        <w:t xml:space="preserve"> Furthermore, we estimate that the student sample of 15,000 will be </w:t>
      </w:r>
      <w:r w:rsidR="00231C51">
        <w:t xml:space="preserve">attending </w:t>
      </w:r>
      <w:r w:rsidR="004C5B6A" w:rsidRPr="00432E0D">
        <w:t>approximately 7,500 schools. We believe the small number of students per school will minimize burden on any individual school and increase the likelihood districts and school staff will agree to participate in the study. This approach also reduces overall burden of the study to the extent that using districts rather than schools as the first</w:t>
      </w:r>
      <w:r w:rsidR="00EE68C1" w:rsidRPr="00432E0D">
        <w:t>-</w:t>
      </w:r>
      <w:r w:rsidR="004C5B6A" w:rsidRPr="00432E0D">
        <w:t xml:space="preserve">stage sampling unit reduces the effects of clustering (and thereby improves precision). </w:t>
      </w:r>
    </w:p>
    <w:p w:rsidR="00D71F5C" w:rsidRDefault="00D71F5C" w:rsidP="000F37E9">
      <w:pPr>
        <w:pStyle w:val="NormalSS"/>
      </w:pPr>
      <w:r>
        <w:t xml:space="preserve">Our strategy to exclude school </w:t>
      </w:r>
      <w:r w:rsidRPr="00A36EAE">
        <w:t>districts</w:t>
      </w:r>
      <w:r>
        <w:t xml:space="preserve"> and charter school agencies with fewer than 30 students with IEPs </w:t>
      </w:r>
      <w:r w:rsidR="00021FEB">
        <w:t xml:space="preserve">will exclude </w:t>
      </w:r>
      <w:r>
        <w:t>approximately 3</w:t>
      </w:r>
      <w:r w:rsidRPr="00A36EAE">
        <w:t xml:space="preserve"> percent of students with IEPs</w:t>
      </w:r>
      <w:r w:rsidR="00021FEB">
        <w:t>.</w:t>
      </w:r>
      <w:r w:rsidR="00A4089E">
        <w:t xml:space="preserve"> </w:t>
      </w:r>
      <w:r w:rsidR="000A2416">
        <w:t>S</w:t>
      </w:r>
      <w:r w:rsidR="000A2416" w:rsidRPr="00021FEB">
        <w:t>tratifying the districts attended by the remaining 97 percent of students with IEPs based on district size, and selecting students from small districts at a lower rate and students from large districts at a slightly higher one</w:t>
      </w:r>
      <w:r w:rsidR="000A2416">
        <w:t xml:space="preserve"> w</w:t>
      </w:r>
      <w:r w:rsidR="000A2416" w:rsidRPr="00021FEB">
        <w:t>ill further reduce bu</w:t>
      </w:r>
      <w:r w:rsidR="000A2416">
        <w:t>r</w:t>
      </w:r>
      <w:r w:rsidR="000A2416" w:rsidRPr="00021FEB">
        <w:t>den on small districts whil</w:t>
      </w:r>
      <w:r w:rsidR="000A2416">
        <w:t>e</w:t>
      </w:r>
      <w:r w:rsidR="000A2416" w:rsidRPr="00021FEB">
        <w:t xml:space="preserve"> still including </w:t>
      </w:r>
      <w:r w:rsidR="000A2416" w:rsidRPr="00A36EAE">
        <w:t xml:space="preserve">many rural districts with modest numbers of </w:t>
      </w:r>
      <w:r w:rsidR="000A2416">
        <w:t xml:space="preserve">students with </w:t>
      </w:r>
      <w:r w:rsidR="00013CA7">
        <w:t>IEPs</w:t>
      </w:r>
      <w:r>
        <w:t>.</w:t>
      </w:r>
      <w:r w:rsidRPr="00A36EAE">
        <w:t xml:space="preserve"> </w:t>
      </w:r>
    </w:p>
    <w:p w:rsidR="00D236C1" w:rsidRPr="00D236C1" w:rsidRDefault="00E07D6B" w:rsidP="00D236C1">
      <w:pPr>
        <w:pStyle w:val="NormalSS"/>
      </w:pPr>
      <w:r w:rsidRPr="00432E0D">
        <w:t>Teacher and principal surveys take 30 minutes</w:t>
      </w:r>
      <w:r w:rsidR="003A7EA1">
        <w:t xml:space="preserve"> each, on average. T</w:t>
      </w:r>
      <w:r w:rsidRPr="00432E0D">
        <w:t xml:space="preserve">o minimize burden, </w:t>
      </w:r>
      <w:r w:rsidR="0066553C">
        <w:t xml:space="preserve">we will ask </w:t>
      </w:r>
      <w:r w:rsidRPr="00432E0D">
        <w:t>teachers and principals to complete their questionnaires after school hours</w:t>
      </w:r>
      <w:r w:rsidR="0066553C">
        <w:t>; they will</w:t>
      </w:r>
      <w:r w:rsidRPr="00432E0D">
        <w:t xml:space="preserve"> therefore be compensated for their time. Becau</w:t>
      </w:r>
      <w:r>
        <w:t>se the data collections are web</w:t>
      </w:r>
      <w:r w:rsidR="00CF4109">
        <w:t xml:space="preserve"> </w:t>
      </w:r>
      <w:r w:rsidRPr="00432E0D">
        <w:t xml:space="preserve">based, respondents can complete the questionnaire at a time and place that is convenient. To avoid disrupting school routines, the study team will not </w:t>
      </w:r>
      <w:r>
        <w:t xml:space="preserve">conduct the student </w:t>
      </w:r>
      <w:r w:rsidRPr="00432E0D">
        <w:t>interview</w:t>
      </w:r>
      <w:r w:rsidR="00CF4109">
        <w:t>s</w:t>
      </w:r>
      <w:r w:rsidRPr="00432E0D">
        <w:t xml:space="preserve"> in school.</w:t>
      </w:r>
      <w:r w:rsidR="003A7EA1">
        <w:t xml:space="preserve"> </w:t>
      </w:r>
      <w:r w:rsidR="00A566F3">
        <w:t xml:space="preserve">Student assessments </w:t>
      </w:r>
      <w:r w:rsidR="00A566F3">
        <w:lastRenderedPageBreak/>
        <w:t xml:space="preserve">will be </w:t>
      </w:r>
      <w:r w:rsidR="006A5748">
        <w:t xml:space="preserve">scheduled </w:t>
      </w:r>
      <w:r w:rsidR="00A566F3">
        <w:t xml:space="preserve">for times when the student is not in class. </w:t>
      </w:r>
      <w:proofErr w:type="spellStart"/>
      <w:r w:rsidR="003A7EA1">
        <w:t>Mathematica</w:t>
      </w:r>
      <w:proofErr w:type="spellEnd"/>
      <w:r w:rsidR="003A7EA1">
        <w:t xml:space="preserve"> staff will make every effort to schedule their visits at the most convenient times of the day</w:t>
      </w:r>
      <w:r w:rsidR="006A5748">
        <w:t xml:space="preserve"> and</w:t>
      </w:r>
      <w:r w:rsidR="003A7EA1">
        <w:t xml:space="preserve"> minimiz</w:t>
      </w:r>
      <w:r w:rsidR="006A5748">
        <w:t xml:space="preserve">e </w:t>
      </w:r>
      <w:r w:rsidR="003A7EA1">
        <w:t xml:space="preserve">burden on the school by clustering the student assessments as much as possible within the school day. </w:t>
      </w:r>
    </w:p>
    <w:p w:rsidR="0073463C" w:rsidRPr="00432E0D" w:rsidRDefault="0073463C" w:rsidP="0073463C">
      <w:pPr>
        <w:pStyle w:val="Heading3"/>
      </w:pPr>
      <w:bookmarkStart w:id="63" w:name="_Toc63827179"/>
      <w:bookmarkStart w:id="64" w:name="_Toc70752928"/>
      <w:bookmarkStart w:id="65" w:name="_Toc213228320"/>
      <w:bookmarkStart w:id="66" w:name="_Toc276390668"/>
      <w:bookmarkStart w:id="67" w:name="_Toc276988157"/>
      <w:bookmarkStart w:id="68" w:name="_Toc277079576"/>
      <w:bookmarkStart w:id="69" w:name="_Toc283908716"/>
      <w:bookmarkStart w:id="70" w:name="_Toc298415686"/>
      <w:bookmarkStart w:id="71" w:name="_Toc298418567"/>
      <w:r w:rsidRPr="00432E0D">
        <w:t>6.</w:t>
      </w:r>
      <w:r w:rsidRPr="00432E0D">
        <w:tab/>
      </w:r>
      <w:r w:rsidRPr="00FA059D">
        <w:t xml:space="preserve">Consequences </w:t>
      </w:r>
      <w:bookmarkEnd w:id="63"/>
      <w:bookmarkEnd w:id="64"/>
      <w:bookmarkEnd w:id="65"/>
      <w:r w:rsidRPr="00FA059D">
        <w:t>of Not Collecting Data</w:t>
      </w:r>
      <w:bookmarkEnd w:id="66"/>
      <w:bookmarkEnd w:id="67"/>
      <w:bookmarkEnd w:id="68"/>
      <w:bookmarkEnd w:id="69"/>
      <w:bookmarkEnd w:id="70"/>
      <w:bookmarkEnd w:id="71"/>
      <w:r w:rsidRPr="00432E0D">
        <w:t xml:space="preserve"> </w:t>
      </w:r>
    </w:p>
    <w:p w:rsidR="002D40DD" w:rsidRDefault="0073463C" w:rsidP="000F37E9">
      <w:pPr>
        <w:pStyle w:val="NormalSS"/>
      </w:pPr>
      <w:r w:rsidRPr="00432E0D">
        <w:t xml:space="preserve">The data collection described in this submission is </w:t>
      </w:r>
      <w:r w:rsidR="000755B8">
        <w:t>essential to documenting, on a nationally</w:t>
      </w:r>
      <w:r w:rsidR="00F53D41">
        <w:t xml:space="preserve"> </w:t>
      </w:r>
      <w:r w:rsidR="00070234">
        <w:t>representative</w:t>
      </w:r>
      <w:r w:rsidR="000755B8">
        <w:t xml:space="preserve"> scale, </w:t>
      </w:r>
      <w:r w:rsidRPr="00432E0D">
        <w:t xml:space="preserve">the </w:t>
      </w:r>
      <w:r w:rsidR="000755B8">
        <w:t xml:space="preserve">experiences of youth </w:t>
      </w:r>
      <w:r w:rsidRPr="00432E0D">
        <w:t>as they transition from school to adulthood</w:t>
      </w:r>
      <w:r w:rsidR="000755B8">
        <w:t xml:space="preserve">. This includes important details on the barriers they face with respect to pursuit of postsecondary education, competitive employment, and independent living. </w:t>
      </w:r>
      <w:r w:rsidR="002D40DD">
        <w:t>In addition, this study facilitates a comparison between the experiences of youth with and without disabilities on these important measures and outcomes over time.</w:t>
      </w:r>
    </w:p>
    <w:p w:rsidR="000755B8" w:rsidRDefault="002D40DD" w:rsidP="000F37E9">
      <w:pPr>
        <w:pStyle w:val="NormalSS"/>
      </w:pPr>
      <w:r w:rsidRPr="00432E0D">
        <w:t>Understanding the barriers that youth face and the ways service providers (including schools, community organizations, and postsecondary schools) and employers deal with them can inform efforts to improve special education services and help youth make successful transitions to adulthood.</w:t>
      </w:r>
      <w:r>
        <w:t xml:space="preserve"> This study </w:t>
      </w:r>
      <w:r w:rsidR="000755B8">
        <w:t xml:space="preserve">also provides important information about the prevalence and types of programs in place to support successful outcomes. </w:t>
      </w:r>
    </w:p>
    <w:p w:rsidR="002D40DD" w:rsidRDefault="002D40DD" w:rsidP="0065508C">
      <w:pPr>
        <w:pStyle w:val="ParagraphSSLAST"/>
        <w:spacing w:after="0"/>
      </w:pPr>
      <w:r>
        <w:t xml:space="preserve">These data are essential for policymakers, as the analysis of practices, programs, and outcomes provides critical data used to shape education policy in the future and to increase </w:t>
      </w:r>
      <w:r w:rsidR="00F53D41">
        <w:t xml:space="preserve">the use </w:t>
      </w:r>
      <w:r>
        <w:t xml:space="preserve">of practices that </w:t>
      </w:r>
      <w:r w:rsidR="00510B31">
        <w:t xml:space="preserve">can </w:t>
      </w:r>
      <w:r>
        <w:t xml:space="preserve">lead to successful outcomes for all students, especially those with disabilities. </w:t>
      </w:r>
      <w:r w:rsidR="00510B31">
        <w:t>I</w:t>
      </w:r>
      <w:r>
        <w:t>mproving postsecondary and employment outcomes for transition-age youth with disabilities</w:t>
      </w:r>
      <w:r w:rsidR="00510B31">
        <w:t xml:space="preserve"> is an important policy objective for many reasons. In addition to improving the quality of life of these youth and their families</w:t>
      </w:r>
      <w:r>
        <w:t xml:space="preserve">, </w:t>
      </w:r>
      <w:r w:rsidR="00510B31">
        <w:t xml:space="preserve">it can </w:t>
      </w:r>
      <w:r>
        <w:t>reduce the levels of dependency on government</w:t>
      </w:r>
      <w:r w:rsidR="00F53D41">
        <w:t>-</w:t>
      </w:r>
      <w:r>
        <w:t xml:space="preserve">funded programs like </w:t>
      </w:r>
      <w:r w:rsidR="00F53D41">
        <w:t>Supplemental Security Income</w:t>
      </w:r>
      <w:r w:rsidR="00510B31">
        <w:t>.</w:t>
      </w:r>
    </w:p>
    <w:p w:rsidR="0065508C" w:rsidRPr="0065508C" w:rsidRDefault="0065508C" w:rsidP="0065508C">
      <w:pPr>
        <w:spacing w:line="240" w:lineRule="auto"/>
      </w:pPr>
    </w:p>
    <w:p w:rsidR="0073463C" w:rsidRPr="00432E0D" w:rsidRDefault="0073463C" w:rsidP="0073463C">
      <w:pPr>
        <w:pStyle w:val="Heading3"/>
      </w:pPr>
      <w:bookmarkStart w:id="72" w:name="_Toc63827180"/>
      <w:bookmarkStart w:id="73" w:name="_Toc70752929"/>
      <w:bookmarkStart w:id="74" w:name="_Toc213228321"/>
      <w:bookmarkStart w:id="75" w:name="_Toc276390669"/>
      <w:bookmarkStart w:id="76" w:name="_Toc276988158"/>
      <w:bookmarkStart w:id="77" w:name="_Toc277079577"/>
      <w:bookmarkStart w:id="78" w:name="_Toc283908717"/>
      <w:bookmarkStart w:id="79" w:name="_Toc298415687"/>
      <w:bookmarkStart w:id="80" w:name="_Toc298418568"/>
      <w:r w:rsidRPr="00432E0D">
        <w:t>7.</w:t>
      </w:r>
      <w:r w:rsidRPr="00432E0D">
        <w:tab/>
        <w:t>Special Circumstances</w:t>
      </w:r>
      <w:bookmarkEnd w:id="72"/>
      <w:bookmarkEnd w:id="73"/>
      <w:bookmarkEnd w:id="74"/>
      <w:bookmarkEnd w:id="75"/>
      <w:bookmarkEnd w:id="76"/>
      <w:bookmarkEnd w:id="77"/>
      <w:bookmarkEnd w:id="78"/>
      <w:bookmarkEnd w:id="79"/>
      <w:bookmarkEnd w:id="80"/>
    </w:p>
    <w:p w:rsidR="0073463C" w:rsidRDefault="0073463C" w:rsidP="003751E4">
      <w:pPr>
        <w:pStyle w:val="ParagraphSSLAST"/>
        <w:spacing w:after="0"/>
      </w:pPr>
      <w:r w:rsidRPr="00432E0D">
        <w:rPr>
          <w:bCs/>
        </w:rPr>
        <w:t>T</w:t>
      </w:r>
      <w:r w:rsidRPr="00432E0D">
        <w:t xml:space="preserve">here are no special circumstances involved with </w:t>
      </w:r>
      <w:r w:rsidR="00A566F3">
        <w:t>baseline data collection activities</w:t>
      </w:r>
      <w:r w:rsidRPr="00432E0D">
        <w:t xml:space="preserve"> for </w:t>
      </w:r>
      <w:r w:rsidR="00EE68C1" w:rsidRPr="00432E0D">
        <w:t>NLTS 2012</w:t>
      </w:r>
      <w:r w:rsidRPr="00432E0D">
        <w:t>.</w:t>
      </w:r>
    </w:p>
    <w:p w:rsidR="003751E4" w:rsidRPr="003751E4" w:rsidRDefault="003751E4" w:rsidP="003751E4">
      <w:pPr>
        <w:spacing w:line="240" w:lineRule="auto"/>
      </w:pPr>
    </w:p>
    <w:p w:rsidR="0073463C" w:rsidRPr="00432E0D" w:rsidRDefault="0073463C" w:rsidP="0073463C">
      <w:pPr>
        <w:pStyle w:val="Heading3"/>
      </w:pPr>
      <w:bookmarkStart w:id="81" w:name="_Toc63827181"/>
      <w:bookmarkStart w:id="82" w:name="_Toc70752930"/>
      <w:bookmarkStart w:id="83" w:name="_Toc213228322"/>
      <w:bookmarkStart w:id="84" w:name="_Toc276390670"/>
      <w:bookmarkStart w:id="85" w:name="_Toc276988159"/>
      <w:bookmarkStart w:id="86" w:name="_Toc277079578"/>
      <w:bookmarkStart w:id="87" w:name="_Toc283908718"/>
      <w:bookmarkStart w:id="88" w:name="_Toc298415688"/>
      <w:bookmarkStart w:id="89" w:name="_Toc298418569"/>
      <w:r w:rsidRPr="00432E0D">
        <w:t>8.</w:t>
      </w:r>
      <w:r w:rsidRPr="00432E0D">
        <w:tab/>
      </w:r>
      <w:r w:rsidRPr="00432E0D">
        <w:rPr>
          <w:i/>
        </w:rPr>
        <w:t>Federal Register</w:t>
      </w:r>
      <w:r w:rsidRPr="00432E0D">
        <w:t xml:space="preserve"> Announcement and Consultation</w:t>
      </w:r>
      <w:bookmarkEnd w:id="81"/>
      <w:bookmarkEnd w:id="82"/>
      <w:bookmarkEnd w:id="83"/>
      <w:bookmarkEnd w:id="84"/>
      <w:bookmarkEnd w:id="85"/>
      <w:bookmarkEnd w:id="86"/>
      <w:bookmarkEnd w:id="87"/>
      <w:bookmarkEnd w:id="88"/>
      <w:bookmarkEnd w:id="89"/>
    </w:p>
    <w:p w:rsidR="007D1A97" w:rsidRPr="000F37E9" w:rsidRDefault="0073463C" w:rsidP="000F37E9">
      <w:pPr>
        <w:pStyle w:val="NormalSS"/>
        <w:ind w:firstLine="0"/>
        <w:rPr>
          <w:b/>
        </w:rPr>
      </w:pPr>
      <w:r w:rsidRPr="000F37E9">
        <w:rPr>
          <w:b/>
        </w:rPr>
        <w:t>a.</w:t>
      </w:r>
      <w:r w:rsidRPr="000F37E9">
        <w:rPr>
          <w:b/>
        </w:rPr>
        <w:tab/>
        <w:t>Federal Register</w:t>
      </w:r>
      <w:r w:rsidR="006A5748">
        <w:rPr>
          <w:b/>
        </w:rPr>
        <w:t xml:space="preserve"> Announcement</w:t>
      </w:r>
      <w:r w:rsidRPr="000F37E9">
        <w:rPr>
          <w:b/>
        </w:rPr>
        <w:t xml:space="preserve"> </w:t>
      </w:r>
    </w:p>
    <w:p w:rsidR="0073463C" w:rsidRPr="009D4347" w:rsidRDefault="00A17C5D" w:rsidP="00FA059D">
      <w:pPr>
        <w:pStyle w:val="NormalSS12"/>
      </w:pPr>
      <w:r w:rsidRPr="00A17C5D">
        <w:t xml:space="preserve">A 60-day notice to solicit public comments was published in the </w:t>
      </w:r>
      <w:r w:rsidRPr="00A17C5D">
        <w:rPr>
          <w:i/>
        </w:rPr>
        <w:t>Federal Register,</w:t>
      </w:r>
      <w:r w:rsidRPr="00A17C5D">
        <w:t xml:space="preserve"> Volume 76, page 43995 on July 22, 2011. A copy of the notice is in Appendix C.</w:t>
      </w:r>
      <w:r w:rsidR="0075111A">
        <w:t xml:space="preserve"> </w:t>
      </w:r>
      <w:r w:rsidR="001F268A" w:rsidRPr="009D4347">
        <w:rPr>
          <w:rFonts w:ascii="Garamond" w:hAnsi="Garamond"/>
        </w:rPr>
        <w:t>We received public comment from 1 entity</w:t>
      </w:r>
      <w:r w:rsidR="009D4347">
        <w:rPr>
          <w:rFonts w:ascii="Garamond" w:hAnsi="Garamond"/>
        </w:rPr>
        <w:t xml:space="preserve">, the Michigan Department of </w:t>
      </w:r>
      <w:proofErr w:type="spellStart"/>
      <w:r w:rsidR="009D4347">
        <w:rPr>
          <w:rFonts w:ascii="Garamond" w:hAnsi="Garamond"/>
        </w:rPr>
        <w:t>Educaion</w:t>
      </w:r>
      <w:proofErr w:type="spellEnd"/>
      <w:r w:rsidR="009D4347">
        <w:rPr>
          <w:rFonts w:ascii="Garamond" w:hAnsi="Garamond"/>
        </w:rPr>
        <w:t>,</w:t>
      </w:r>
      <w:r w:rsidR="001F268A" w:rsidRPr="009D4347">
        <w:rPr>
          <w:rFonts w:ascii="Garamond" w:hAnsi="Garamond"/>
        </w:rPr>
        <w:t xml:space="preserve"> and responded </w:t>
      </w:r>
      <w:r w:rsidR="009D4347">
        <w:rPr>
          <w:rFonts w:ascii="Garamond" w:hAnsi="Garamond"/>
        </w:rPr>
        <w:t>by agreeing with their statements about the importance of the study beyond Indicator 14 and assuring them that the burden for the districts with regard to compiling student records would not be great</w:t>
      </w:r>
      <w:r w:rsidR="001F268A" w:rsidRPr="009D4347">
        <w:rPr>
          <w:rFonts w:ascii="Garamond" w:hAnsi="Garamond"/>
        </w:rPr>
        <w:t>.</w:t>
      </w:r>
    </w:p>
    <w:p w:rsidR="0073463C" w:rsidRPr="000F37E9" w:rsidRDefault="0073463C" w:rsidP="000F37E9">
      <w:pPr>
        <w:pStyle w:val="NormalSS"/>
        <w:ind w:firstLine="0"/>
        <w:rPr>
          <w:b/>
        </w:rPr>
      </w:pPr>
      <w:r w:rsidRPr="000F37E9">
        <w:rPr>
          <w:b/>
        </w:rPr>
        <w:t>b.</w:t>
      </w:r>
      <w:r w:rsidRPr="000F37E9">
        <w:rPr>
          <w:b/>
        </w:rPr>
        <w:tab/>
        <w:t>Consultations Outside the Agency</w:t>
      </w:r>
    </w:p>
    <w:p w:rsidR="003E73E6" w:rsidRDefault="0073463C" w:rsidP="003E73E6">
      <w:pPr>
        <w:pStyle w:val="NormalSS"/>
        <w:spacing w:after="0"/>
      </w:pPr>
      <w:r w:rsidRPr="00432E0D">
        <w:t xml:space="preserve">During preparation of the study design and data collection plan for this evaluation, ED has sought professional counsel from a number of people. The following are the key study staff at </w:t>
      </w:r>
      <w:proofErr w:type="spellStart"/>
      <w:r w:rsidRPr="00432E0D">
        <w:t>Mathematica</w:t>
      </w:r>
      <w:proofErr w:type="spellEnd"/>
      <w:r w:rsidRPr="00432E0D">
        <w:t xml:space="preserve"> and the Institute on Community Integration:</w:t>
      </w:r>
    </w:p>
    <w:p w:rsidR="003E73E6" w:rsidRDefault="003E73E6">
      <w:pPr>
        <w:tabs>
          <w:tab w:val="clear" w:pos="432"/>
        </w:tabs>
        <w:spacing w:line="240" w:lineRule="auto"/>
        <w:ind w:firstLine="0"/>
        <w:jc w:val="left"/>
      </w:pPr>
      <w:r>
        <w:br w:type="page"/>
      </w:r>
    </w:p>
    <w:tbl>
      <w:tblPr>
        <w:tblStyle w:val="TableGrid"/>
        <w:tblpPr w:leftFromText="180" w:rightFromText="180" w:vertAnchor="text" w:horzAnchor="margin" w:tblpY="344"/>
        <w:tblW w:w="5000" w:type="pct"/>
        <w:tblLook w:val="04A0"/>
      </w:tblPr>
      <w:tblGrid>
        <w:gridCol w:w="4317"/>
        <w:gridCol w:w="5259"/>
      </w:tblGrid>
      <w:tr w:rsidR="00D41C1E" w:rsidRPr="00432E0D" w:rsidTr="00DB7146">
        <w:tc>
          <w:tcPr>
            <w:tcW w:w="2254" w:type="pct"/>
          </w:tcPr>
          <w:p w:rsidR="00D41C1E" w:rsidRPr="00432E0D" w:rsidRDefault="00D41C1E" w:rsidP="007D1A97">
            <w:pPr>
              <w:pStyle w:val="NormalSS"/>
              <w:spacing w:after="0"/>
              <w:ind w:firstLine="0"/>
              <w:jc w:val="left"/>
              <w:rPr>
                <w:sz w:val="20"/>
                <w:szCs w:val="20"/>
              </w:rPr>
            </w:pPr>
            <w:r w:rsidRPr="00432E0D">
              <w:rPr>
                <w:sz w:val="20"/>
                <w:szCs w:val="20"/>
              </w:rPr>
              <w:lastRenderedPageBreak/>
              <w:t>John Burghardt, Ph.D.</w:t>
            </w:r>
          </w:p>
          <w:p w:rsidR="00D41C1E" w:rsidRPr="00432E0D" w:rsidRDefault="00D41C1E" w:rsidP="007D1A97">
            <w:pPr>
              <w:pStyle w:val="NormalSS"/>
              <w:spacing w:after="0"/>
              <w:ind w:firstLine="0"/>
              <w:jc w:val="left"/>
              <w:rPr>
                <w:sz w:val="20"/>
                <w:szCs w:val="20"/>
              </w:rPr>
            </w:pPr>
            <w:r w:rsidRPr="00432E0D">
              <w:rPr>
                <w:sz w:val="20"/>
                <w:szCs w:val="20"/>
              </w:rPr>
              <w:t xml:space="preserve">Project </w:t>
            </w:r>
            <w:r w:rsidR="00371DCC">
              <w:rPr>
                <w:sz w:val="20"/>
                <w:szCs w:val="20"/>
              </w:rPr>
              <w:t>d</w:t>
            </w:r>
            <w:r w:rsidRPr="00432E0D">
              <w:rPr>
                <w:sz w:val="20"/>
                <w:szCs w:val="20"/>
              </w:rPr>
              <w:t xml:space="preserve">irector and </w:t>
            </w:r>
            <w:proofErr w:type="spellStart"/>
            <w:r w:rsidR="00371DCC">
              <w:rPr>
                <w:sz w:val="20"/>
                <w:szCs w:val="20"/>
              </w:rPr>
              <w:t>c</w:t>
            </w:r>
            <w:r w:rsidRPr="00432E0D">
              <w:rPr>
                <w:sz w:val="20"/>
                <w:szCs w:val="20"/>
              </w:rPr>
              <w:t>o</w:t>
            </w:r>
            <w:r w:rsidR="00371DCC">
              <w:rPr>
                <w:sz w:val="20"/>
                <w:szCs w:val="20"/>
              </w:rPr>
              <w:t>p</w:t>
            </w:r>
            <w:r w:rsidRPr="00432E0D">
              <w:rPr>
                <w:sz w:val="20"/>
                <w:szCs w:val="20"/>
              </w:rPr>
              <w:t>rincipal</w:t>
            </w:r>
            <w:proofErr w:type="spellEnd"/>
            <w:r w:rsidRPr="00432E0D">
              <w:rPr>
                <w:sz w:val="20"/>
                <w:szCs w:val="20"/>
              </w:rPr>
              <w:t xml:space="preserve"> </w:t>
            </w:r>
            <w:r w:rsidR="00371DCC">
              <w:rPr>
                <w:sz w:val="20"/>
                <w:szCs w:val="20"/>
              </w:rPr>
              <w:t>i</w:t>
            </w:r>
            <w:r w:rsidR="007D1A97" w:rsidRPr="00432E0D">
              <w:rPr>
                <w:sz w:val="20"/>
                <w:szCs w:val="20"/>
              </w:rPr>
              <w:t>n</w:t>
            </w:r>
            <w:r w:rsidRPr="00432E0D">
              <w:rPr>
                <w:sz w:val="20"/>
                <w:szCs w:val="20"/>
              </w:rPr>
              <w:t>vestigator</w:t>
            </w:r>
          </w:p>
          <w:p w:rsidR="00D41C1E" w:rsidRPr="00432E0D" w:rsidRDefault="00F73571" w:rsidP="007D1A97">
            <w:pPr>
              <w:pStyle w:val="NormalSS"/>
              <w:spacing w:after="0"/>
              <w:ind w:firstLine="0"/>
              <w:jc w:val="left"/>
              <w:rPr>
                <w:sz w:val="20"/>
                <w:szCs w:val="20"/>
              </w:rPr>
            </w:pPr>
            <w:hyperlink r:id="rId23" w:history="1">
              <w:r w:rsidR="00D41C1E" w:rsidRPr="00432E0D">
                <w:rPr>
                  <w:rStyle w:val="Hyperlink"/>
                  <w:sz w:val="20"/>
                  <w:szCs w:val="20"/>
                </w:rPr>
                <w:t>JBurghardt@mathematica-mpr.com</w:t>
              </w:r>
            </w:hyperlink>
          </w:p>
          <w:p w:rsidR="00D41C1E" w:rsidRPr="00432E0D" w:rsidRDefault="00D41C1E" w:rsidP="007D1A97">
            <w:pPr>
              <w:pStyle w:val="NormalSS"/>
              <w:spacing w:after="0"/>
              <w:ind w:firstLine="0"/>
              <w:jc w:val="left"/>
              <w:rPr>
                <w:sz w:val="20"/>
                <w:szCs w:val="20"/>
              </w:rPr>
            </w:pPr>
            <w:r w:rsidRPr="00432E0D">
              <w:rPr>
                <w:sz w:val="20"/>
                <w:szCs w:val="20"/>
              </w:rPr>
              <w:t>609-275-2395</w:t>
            </w:r>
          </w:p>
        </w:tc>
        <w:tc>
          <w:tcPr>
            <w:tcW w:w="2746" w:type="pct"/>
          </w:tcPr>
          <w:p w:rsidR="00D41C1E" w:rsidRPr="00432E0D" w:rsidRDefault="00D41C1E" w:rsidP="007D1A97">
            <w:pPr>
              <w:pStyle w:val="NormalSS"/>
              <w:spacing w:after="0"/>
              <w:ind w:firstLine="0"/>
              <w:jc w:val="left"/>
              <w:rPr>
                <w:sz w:val="20"/>
                <w:szCs w:val="20"/>
              </w:rPr>
            </w:pPr>
            <w:r w:rsidRPr="00432E0D">
              <w:rPr>
                <w:sz w:val="20"/>
                <w:szCs w:val="20"/>
              </w:rPr>
              <w:t>David Johnson, Ph.D.</w:t>
            </w:r>
          </w:p>
          <w:p w:rsidR="00D41C1E" w:rsidRPr="00432E0D" w:rsidRDefault="00D41C1E" w:rsidP="007D1A97">
            <w:pPr>
              <w:pStyle w:val="NormalSS"/>
              <w:spacing w:after="0"/>
              <w:ind w:firstLine="0"/>
              <w:jc w:val="left"/>
              <w:rPr>
                <w:sz w:val="20"/>
                <w:szCs w:val="20"/>
              </w:rPr>
            </w:pPr>
            <w:proofErr w:type="spellStart"/>
            <w:r w:rsidRPr="00432E0D">
              <w:rPr>
                <w:sz w:val="20"/>
                <w:szCs w:val="20"/>
              </w:rPr>
              <w:t>Co</w:t>
            </w:r>
            <w:r w:rsidR="00371DCC">
              <w:rPr>
                <w:sz w:val="20"/>
                <w:szCs w:val="20"/>
              </w:rPr>
              <w:t>p</w:t>
            </w:r>
            <w:r w:rsidR="00DB7146" w:rsidRPr="00432E0D">
              <w:rPr>
                <w:sz w:val="20"/>
                <w:szCs w:val="20"/>
              </w:rPr>
              <w:t>rincipal</w:t>
            </w:r>
            <w:proofErr w:type="spellEnd"/>
            <w:r w:rsidR="00DB7146" w:rsidRPr="00432E0D">
              <w:rPr>
                <w:sz w:val="20"/>
                <w:szCs w:val="20"/>
              </w:rPr>
              <w:t xml:space="preserve"> </w:t>
            </w:r>
            <w:r w:rsidR="00371DCC">
              <w:rPr>
                <w:sz w:val="20"/>
                <w:szCs w:val="20"/>
              </w:rPr>
              <w:t>i</w:t>
            </w:r>
            <w:r w:rsidR="00DB7146" w:rsidRPr="00432E0D">
              <w:rPr>
                <w:sz w:val="20"/>
                <w:szCs w:val="20"/>
              </w:rPr>
              <w:t xml:space="preserve">nvestigator and </w:t>
            </w:r>
            <w:r w:rsidR="00371DCC">
              <w:rPr>
                <w:sz w:val="20"/>
                <w:szCs w:val="20"/>
              </w:rPr>
              <w:t>t</w:t>
            </w:r>
            <w:r w:rsidR="00DB7146" w:rsidRPr="00432E0D">
              <w:rPr>
                <w:sz w:val="20"/>
                <w:szCs w:val="20"/>
              </w:rPr>
              <w:t xml:space="preserve">ask </w:t>
            </w:r>
            <w:r w:rsidR="00371DCC">
              <w:rPr>
                <w:sz w:val="20"/>
                <w:szCs w:val="20"/>
              </w:rPr>
              <w:t>l</w:t>
            </w:r>
            <w:r w:rsidR="00DB7146" w:rsidRPr="00432E0D">
              <w:rPr>
                <w:sz w:val="20"/>
                <w:szCs w:val="20"/>
              </w:rPr>
              <w:t xml:space="preserve">eader, </w:t>
            </w:r>
            <w:r w:rsidR="00371DCC">
              <w:rPr>
                <w:sz w:val="20"/>
                <w:szCs w:val="20"/>
              </w:rPr>
              <w:t>a</w:t>
            </w:r>
            <w:r w:rsidR="00DB7146" w:rsidRPr="00432E0D">
              <w:rPr>
                <w:sz w:val="20"/>
                <w:szCs w:val="20"/>
              </w:rPr>
              <w:t xml:space="preserve">nalysis </w:t>
            </w:r>
            <w:r w:rsidR="00371DCC">
              <w:rPr>
                <w:sz w:val="20"/>
                <w:szCs w:val="20"/>
              </w:rPr>
              <w:t>p</w:t>
            </w:r>
            <w:r w:rsidR="00DB7146" w:rsidRPr="00432E0D">
              <w:rPr>
                <w:sz w:val="20"/>
                <w:szCs w:val="20"/>
              </w:rPr>
              <w:t xml:space="preserve">lan and </w:t>
            </w:r>
            <w:r w:rsidR="00371DCC">
              <w:rPr>
                <w:sz w:val="20"/>
                <w:szCs w:val="20"/>
              </w:rPr>
              <w:t>r</w:t>
            </w:r>
            <w:r w:rsidR="00DB7146" w:rsidRPr="00432E0D">
              <w:rPr>
                <w:sz w:val="20"/>
                <w:szCs w:val="20"/>
              </w:rPr>
              <w:t>eports</w:t>
            </w:r>
          </w:p>
          <w:p w:rsidR="00D41C1E" w:rsidRPr="00432E0D" w:rsidRDefault="00F73571" w:rsidP="007D1A97">
            <w:pPr>
              <w:pStyle w:val="NormalSS"/>
              <w:spacing w:after="0"/>
              <w:ind w:firstLine="0"/>
              <w:jc w:val="left"/>
              <w:rPr>
                <w:sz w:val="20"/>
                <w:szCs w:val="20"/>
              </w:rPr>
            </w:pPr>
            <w:hyperlink r:id="rId24" w:history="1">
              <w:r w:rsidR="00D41C1E" w:rsidRPr="00432E0D">
                <w:rPr>
                  <w:rStyle w:val="Hyperlink"/>
                  <w:sz w:val="20"/>
                  <w:szCs w:val="20"/>
                </w:rPr>
                <w:t>johns006@umn.edu</w:t>
              </w:r>
            </w:hyperlink>
          </w:p>
          <w:p w:rsidR="00D41C1E" w:rsidRPr="00432E0D" w:rsidRDefault="00D41C1E" w:rsidP="007D1A97">
            <w:pPr>
              <w:pStyle w:val="NormalSS"/>
              <w:spacing w:after="0"/>
              <w:ind w:firstLine="0"/>
              <w:jc w:val="left"/>
              <w:rPr>
                <w:sz w:val="20"/>
                <w:szCs w:val="20"/>
              </w:rPr>
            </w:pPr>
            <w:r w:rsidRPr="00432E0D">
              <w:rPr>
                <w:sz w:val="20"/>
                <w:szCs w:val="20"/>
              </w:rPr>
              <w:t>612-624-1062</w:t>
            </w:r>
          </w:p>
        </w:tc>
      </w:tr>
      <w:tr w:rsidR="00D41C1E" w:rsidRPr="00432E0D" w:rsidTr="00DB7146">
        <w:tc>
          <w:tcPr>
            <w:tcW w:w="2254" w:type="pct"/>
          </w:tcPr>
          <w:p w:rsidR="00D41C1E" w:rsidRPr="00432E0D" w:rsidRDefault="00D41C1E" w:rsidP="007D1A97">
            <w:pPr>
              <w:pStyle w:val="NormalSS"/>
              <w:spacing w:after="0"/>
              <w:ind w:firstLine="0"/>
              <w:jc w:val="left"/>
              <w:rPr>
                <w:sz w:val="20"/>
                <w:szCs w:val="20"/>
              </w:rPr>
            </w:pPr>
            <w:r w:rsidRPr="00432E0D">
              <w:rPr>
                <w:sz w:val="20"/>
                <w:szCs w:val="20"/>
              </w:rPr>
              <w:t>Joshua Haimson, Ph.D.</w:t>
            </w:r>
          </w:p>
          <w:p w:rsidR="00D41C1E" w:rsidRPr="00432E0D" w:rsidRDefault="00D41C1E" w:rsidP="007D1A97">
            <w:pPr>
              <w:pStyle w:val="NormalSS"/>
              <w:spacing w:after="0"/>
              <w:ind w:firstLine="0"/>
              <w:jc w:val="left"/>
              <w:rPr>
                <w:sz w:val="20"/>
                <w:szCs w:val="20"/>
              </w:rPr>
            </w:pPr>
            <w:r w:rsidRPr="00432E0D">
              <w:rPr>
                <w:sz w:val="20"/>
                <w:szCs w:val="20"/>
              </w:rPr>
              <w:t xml:space="preserve">Deputy </w:t>
            </w:r>
            <w:r w:rsidR="00371DCC" w:rsidRPr="00432E0D">
              <w:rPr>
                <w:sz w:val="20"/>
                <w:szCs w:val="20"/>
              </w:rPr>
              <w:t>project director and task leader, data analysis</w:t>
            </w:r>
          </w:p>
          <w:p w:rsidR="00D41C1E" w:rsidRPr="00432E0D" w:rsidRDefault="00F73571" w:rsidP="007D1A97">
            <w:pPr>
              <w:pStyle w:val="NormalSS"/>
              <w:spacing w:after="0"/>
              <w:ind w:firstLine="0"/>
              <w:jc w:val="left"/>
              <w:rPr>
                <w:sz w:val="20"/>
                <w:szCs w:val="20"/>
              </w:rPr>
            </w:pPr>
            <w:hyperlink r:id="rId25" w:history="1">
              <w:r w:rsidR="00D41C1E" w:rsidRPr="00432E0D">
                <w:rPr>
                  <w:rStyle w:val="Hyperlink"/>
                  <w:sz w:val="20"/>
                  <w:szCs w:val="20"/>
                </w:rPr>
                <w:t>JHaimson@mathematica-mpr.com</w:t>
              </w:r>
            </w:hyperlink>
          </w:p>
          <w:p w:rsidR="00D41C1E" w:rsidRPr="00432E0D" w:rsidRDefault="00D41C1E" w:rsidP="007D1A97">
            <w:pPr>
              <w:pStyle w:val="NormalSS"/>
              <w:spacing w:after="0"/>
              <w:ind w:firstLine="0"/>
              <w:jc w:val="left"/>
              <w:rPr>
                <w:sz w:val="20"/>
                <w:szCs w:val="20"/>
              </w:rPr>
            </w:pPr>
            <w:r w:rsidRPr="00432E0D">
              <w:rPr>
                <w:sz w:val="20"/>
                <w:szCs w:val="20"/>
              </w:rPr>
              <w:t>609-275-2208</w:t>
            </w:r>
          </w:p>
        </w:tc>
        <w:tc>
          <w:tcPr>
            <w:tcW w:w="2746" w:type="pct"/>
          </w:tcPr>
          <w:p w:rsidR="00D41C1E" w:rsidRPr="00432E0D" w:rsidRDefault="00D41C1E" w:rsidP="007D1A97">
            <w:pPr>
              <w:pStyle w:val="NormalSS"/>
              <w:spacing w:after="0"/>
              <w:ind w:firstLine="0"/>
              <w:jc w:val="left"/>
              <w:rPr>
                <w:sz w:val="20"/>
                <w:szCs w:val="20"/>
              </w:rPr>
            </w:pPr>
            <w:r w:rsidRPr="00432E0D">
              <w:rPr>
                <w:sz w:val="20"/>
                <w:szCs w:val="20"/>
              </w:rPr>
              <w:t>Anne B. Ciemnecki, M</w:t>
            </w:r>
            <w:r w:rsidR="00B4133F">
              <w:rPr>
                <w:sz w:val="20"/>
                <w:szCs w:val="20"/>
              </w:rPr>
              <w:t>.</w:t>
            </w:r>
            <w:r w:rsidRPr="00432E0D">
              <w:rPr>
                <w:sz w:val="20"/>
                <w:szCs w:val="20"/>
              </w:rPr>
              <w:t>A</w:t>
            </w:r>
            <w:r w:rsidR="00B4133F">
              <w:rPr>
                <w:sz w:val="20"/>
                <w:szCs w:val="20"/>
              </w:rPr>
              <w:t>.</w:t>
            </w:r>
          </w:p>
          <w:p w:rsidR="00D41C1E" w:rsidRPr="00432E0D" w:rsidRDefault="00D41C1E" w:rsidP="007D1A97">
            <w:pPr>
              <w:pStyle w:val="NormalSS"/>
              <w:spacing w:after="0"/>
              <w:ind w:firstLine="0"/>
              <w:jc w:val="left"/>
              <w:rPr>
                <w:sz w:val="20"/>
                <w:szCs w:val="20"/>
              </w:rPr>
            </w:pPr>
            <w:r w:rsidRPr="00432E0D">
              <w:rPr>
                <w:sz w:val="20"/>
                <w:szCs w:val="20"/>
              </w:rPr>
              <w:t xml:space="preserve">Survey </w:t>
            </w:r>
            <w:r w:rsidR="00371DCC">
              <w:rPr>
                <w:sz w:val="20"/>
                <w:szCs w:val="20"/>
              </w:rPr>
              <w:t>d</w:t>
            </w:r>
            <w:r w:rsidRPr="00432E0D">
              <w:rPr>
                <w:sz w:val="20"/>
                <w:szCs w:val="20"/>
              </w:rPr>
              <w:t>irector</w:t>
            </w:r>
          </w:p>
          <w:p w:rsidR="00D41C1E" w:rsidRPr="00432E0D" w:rsidRDefault="00F73571" w:rsidP="007D1A97">
            <w:pPr>
              <w:pStyle w:val="NormalSS"/>
              <w:spacing w:after="0"/>
              <w:ind w:firstLine="0"/>
              <w:jc w:val="left"/>
              <w:rPr>
                <w:sz w:val="20"/>
                <w:szCs w:val="20"/>
              </w:rPr>
            </w:pPr>
            <w:hyperlink r:id="rId26" w:history="1">
              <w:r w:rsidR="00D41C1E" w:rsidRPr="00432E0D">
                <w:rPr>
                  <w:rStyle w:val="Hyperlink"/>
                  <w:sz w:val="20"/>
                  <w:szCs w:val="20"/>
                </w:rPr>
                <w:t>ACiemnecki@mathematica-mpr.com</w:t>
              </w:r>
            </w:hyperlink>
          </w:p>
          <w:p w:rsidR="00D41C1E" w:rsidRPr="00432E0D" w:rsidRDefault="00D41C1E" w:rsidP="007D1A97">
            <w:pPr>
              <w:pStyle w:val="NormalSS"/>
              <w:spacing w:after="0"/>
              <w:ind w:firstLine="0"/>
              <w:jc w:val="left"/>
              <w:rPr>
                <w:sz w:val="20"/>
                <w:szCs w:val="20"/>
              </w:rPr>
            </w:pPr>
            <w:r w:rsidRPr="00432E0D">
              <w:rPr>
                <w:sz w:val="20"/>
                <w:szCs w:val="20"/>
              </w:rPr>
              <w:t>609-275-2323</w:t>
            </w:r>
          </w:p>
        </w:tc>
      </w:tr>
      <w:tr w:rsidR="00D41C1E" w:rsidRPr="00432E0D" w:rsidTr="00DB7146">
        <w:tc>
          <w:tcPr>
            <w:tcW w:w="2254" w:type="pct"/>
          </w:tcPr>
          <w:p w:rsidR="00D41C1E" w:rsidRPr="00432E0D" w:rsidRDefault="00D41C1E" w:rsidP="007D1A97">
            <w:pPr>
              <w:pStyle w:val="NormalSS"/>
              <w:spacing w:after="0"/>
              <w:ind w:firstLine="0"/>
              <w:jc w:val="left"/>
              <w:rPr>
                <w:sz w:val="20"/>
                <w:szCs w:val="20"/>
              </w:rPr>
            </w:pPr>
            <w:r w:rsidRPr="00432E0D">
              <w:rPr>
                <w:sz w:val="20"/>
                <w:szCs w:val="20"/>
              </w:rPr>
              <w:t xml:space="preserve">Martha </w:t>
            </w:r>
            <w:proofErr w:type="spellStart"/>
            <w:r w:rsidRPr="00432E0D">
              <w:rPr>
                <w:sz w:val="20"/>
                <w:szCs w:val="20"/>
              </w:rPr>
              <w:t>Thurlow</w:t>
            </w:r>
            <w:proofErr w:type="spellEnd"/>
            <w:r w:rsidRPr="00432E0D">
              <w:rPr>
                <w:sz w:val="20"/>
                <w:szCs w:val="20"/>
              </w:rPr>
              <w:t>,</w:t>
            </w:r>
            <w:r w:rsidRPr="00432E0D">
              <w:rPr>
                <w:b/>
                <w:sz w:val="20"/>
                <w:szCs w:val="20"/>
              </w:rPr>
              <w:t xml:space="preserve"> </w:t>
            </w:r>
            <w:r w:rsidRPr="00432E0D">
              <w:rPr>
                <w:sz w:val="20"/>
                <w:szCs w:val="20"/>
              </w:rPr>
              <w:t>Ph.D.</w:t>
            </w:r>
          </w:p>
          <w:p w:rsidR="00D41C1E" w:rsidRPr="00432E0D" w:rsidRDefault="00D41C1E" w:rsidP="007D1A97">
            <w:pPr>
              <w:pStyle w:val="NormalSS"/>
              <w:spacing w:after="0"/>
              <w:ind w:firstLine="0"/>
              <w:jc w:val="left"/>
              <w:rPr>
                <w:sz w:val="20"/>
                <w:szCs w:val="20"/>
              </w:rPr>
            </w:pPr>
            <w:r w:rsidRPr="00432E0D">
              <w:rPr>
                <w:sz w:val="20"/>
                <w:szCs w:val="20"/>
              </w:rPr>
              <w:t xml:space="preserve">Task </w:t>
            </w:r>
            <w:r w:rsidR="00371DCC" w:rsidRPr="00432E0D">
              <w:rPr>
                <w:sz w:val="20"/>
                <w:szCs w:val="20"/>
              </w:rPr>
              <w:t>leader, youth assessment analysis tasks</w:t>
            </w:r>
          </w:p>
          <w:p w:rsidR="00D41C1E" w:rsidRPr="00432E0D" w:rsidRDefault="00F73571" w:rsidP="007D1A97">
            <w:pPr>
              <w:pStyle w:val="NormalSS"/>
              <w:spacing w:after="0"/>
              <w:ind w:firstLine="0"/>
              <w:jc w:val="left"/>
              <w:rPr>
                <w:sz w:val="20"/>
                <w:szCs w:val="20"/>
              </w:rPr>
            </w:pPr>
            <w:hyperlink r:id="rId27" w:history="1">
              <w:r w:rsidR="00D41C1E" w:rsidRPr="00432E0D">
                <w:rPr>
                  <w:rStyle w:val="Hyperlink"/>
                  <w:sz w:val="20"/>
                  <w:szCs w:val="20"/>
                </w:rPr>
                <w:t>thurl001@umn.edu</w:t>
              </w:r>
            </w:hyperlink>
          </w:p>
          <w:p w:rsidR="00D41C1E" w:rsidRPr="00432E0D" w:rsidRDefault="00D41C1E" w:rsidP="007D1A97">
            <w:pPr>
              <w:pStyle w:val="NormalSS"/>
              <w:spacing w:after="0"/>
              <w:ind w:firstLine="0"/>
              <w:jc w:val="left"/>
              <w:rPr>
                <w:sz w:val="20"/>
                <w:szCs w:val="20"/>
              </w:rPr>
            </w:pPr>
            <w:r w:rsidRPr="00432E0D">
              <w:rPr>
                <w:sz w:val="20"/>
                <w:szCs w:val="20"/>
              </w:rPr>
              <w:t>612-624-4826</w:t>
            </w:r>
          </w:p>
        </w:tc>
        <w:tc>
          <w:tcPr>
            <w:tcW w:w="2746" w:type="pct"/>
          </w:tcPr>
          <w:p w:rsidR="00D41C1E" w:rsidRPr="00432E0D" w:rsidRDefault="00D41C1E" w:rsidP="007D1A97">
            <w:pPr>
              <w:pStyle w:val="NormalSS"/>
              <w:spacing w:after="0"/>
              <w:ind w:firstLine="0"/>
              <w:jc w:val="left"/>
              <w:rPr>
                <w:bCs/>
                <w:sz w:val="20"/>
                <w:szCs w:val="20"/>
              </w:rPr>
            </w:pPr>
            <w:r w:rsidRPr="00432E0D">
              <w:rPr>
                <w:sz w:val="20"/>
                <w:szCs w:val="20"/>
              </w:rPr>
              <w:t>Francis Potter, Ph.D.</w:t>
            </w:r>
          </w:p>
          <w:p w:rsidR="00D41C1E" w:rsidRPr="00432E0D" w:rsidRDefault="00D41C1E" w:rsidP="007D1A97">
            <w:pPr>
              <w:pStyle w:val="NormalSS"/>
              <w:spacing w:after="0"/>
              <w:ind w:firstLine="0"/>
              <w:jc w:val="left"/>
              <w:rPr>
                <w:sz w:val="20"/>
                <w:szCs w:val="20"/>
              </w:rPr>
            </w:pPr>
            <w:r w:rsidRPr="00432E0D">
              <w:rPr>
                <w:sz w:val="20"/>
                <w:szCs w:val="20"/>
              </w:rPr>
              <w:t xml:space="preserve">Task </w:t>
            </w:r>
            <w:r w:rsidR="00371DCC" w:rsidRPr="00432E0D">
              <w:rPr>
                <w:sz w:val="20"/>
                <w:szCs w:val="20"/>
              </w:rPr>
              <w:t>leader, sample sel</w:t>
            </w:r>
            <w:r w:rsidR="00DB7146" w:rsidRPr="00432E0D">
              <w:rPr>
                <w:sz w:val="20"/>
                <w:szCs w:val="20"/>
              </w:rPr>
              <w:t xml:space="preserve">ection </w:t>
            </w:r>
          </w:p>
          <w:p w:rsidR="00D41C1E" w:rsidRPr="00432E0D" w:rsidRDefault="00F73571" w:rsidP="007D1A97">
            <w:pPr>
              <w:pStyle w:val="NormalSS"/>
              <w:spacing w:after="0"/>
              <w:ind w:firstLine="0"/>
              <w:jc w:val="left"/>
              <w:rPr>
                <w:sz w:val="20"/>
                <w:szCs w:val="20"/>
              </w:rPr>
            </w:pPr>
            <w:hyperlink r:id="rId28" w:history="1">
              <w:r w:rsidR="00D41C1E" w:rsidRPr="00432E0D">
                <w:rPr>
                  <w:rStyle w:val="Hyperlink"/>
                  <w:sz w:val="20"/>
                  <w:szCs w:val="20"/>
                </w:rPr>
                <w:t>FPotter@mathematica-mpr.com</w:t>
              </w:r>
            </w:hyperlink>
          </w:p>
          <w:p w:rsidR="00D41C1E" w:rsidRPr="00432E0D" w:rsidRDefault="00D41C1E" w:rsidP="007D1A97">
            <w:pPr>
              <w:pStyle w:val="NormalSS"/>
              <w:spacing w:after="0"/>
              <w:ind w:firstLine="0"/>
              <w:jc w:val="left"/>
              <w:rPr>
                <w:sz w:val="20"/>
                <w:szCs w:val="20"/>
              </w:rPr>
            </w:pPr>
            <w:r w:rsidRPr="00432E0D">
              <w:rPr>
                <w:sz w:val="20"/>
                <w:szCs w:val="20"/>
              </w:rPr>
              <w:t>609-936-2799</w:t>
            </w:r>
          </w:p>
        </w:tc>
      </w:tr>
      <w:tr w:rsidR="00D41C1E" w:rsidRPr="00432E0D" w:rsidTr="00DB7146">
        <w:tc>
          <w:tcPr>
            <w:tcW w:w="2254" w:type="pct"/>
          </w:tcPr>
          <w:p w:rsidR="00D41C1E" w:rsidRPr="006C22F9" w:rsidRDefault="005C4FFD" w:rsidP="007D1A97">
            <w:pPr>
              <w:pStyle w:val="NormalSS"/>
              <w:spacing w:after="0"/>
              <w:ind w:firstLine="0"/>
              <w:jc w:val="left"/>
              <w:rPr>
                <w:sz w:val="20"/>
                <w:szCs w:val="20"/>
              </w:rPr>
            </w:pPr>
            <w:r w:rsidRPr="006C22F9">
              <w:rPr>
                <w:sz w:val="20"/>
                <w:szCs w:val="20"/>
              </w:rPr>
              <w:t>Holly Matulewicz</w:t>
            </w:r>
            <w:r w:rsidR="006C22F9">
              <w:rPr>
                <w:sz w:val="20"/>
                <w:szCs w:val="20"/>
              </w:rPr>
              <w:t>, M</w:t>
            </w:r>
            <w:r w:rsidR="00B4133F">
              <w:rPr>
                <w:sz w:val="20"/>
                <w:szCs w:val="20"/>
              </w:rPr>
              <w:t>.</w:t>
            </w:r>
            <w:r w:rsidR="006C22F9">
              <w:rPr>
                <w:sz w:val="20"/>
                <w:szCs w:val="20"/>
              </w:rPr>
              <w:t>A</w:t>
            </w:r>
            <w:r w:rsidR="00B4133F">
              <w:rPr>
                <w:sz w:val="20"/>
                <w:szCs w:val="20"/>
              </w:rPr>
              <w:t>.</w:t>
            </w:r>
          </w:p>
          <w:p w:rsidR="005C4FFD" w:rsidRPr="006C22F9" w:rsidRDefault="005C4FFD" w:rsidP="007D1A97">
            <w:pPr>
              <w:pStyle w:val="NormalSS"/>
              <w:spacing w:after="0"/>
              <w:ind w:firstLine="0"/>
              <w:jc w:val="left"/>
              <w:rPr>
                <w:sz w:val="20"/>
                <w:szCs w:val="20"/>
              </w:rPr>
            </w:pPr>
            <w:r w:rsidRPr="006C22F9">
              <w:rPr>
                <w:sz w:val="20"/>
                <w:szCs w:val="20"/>
              </w:rPr>
              <w:t>Deputy Survey Director</w:t>
            </w:r>
          </w:p>
          <w:p w:rsidR="005C4FFD" w:rsidRPr="006C22F9" w:rsidRDefault="00F73571" w:rsidP="007D1A97">
            <w:pPr>
              <w:pStyle w:val="NormalSS"/>
              <w:spacing w:after="0"/>
              <w:ind w:firstLine="0"/>
              <w:jc w:val="left"/>
              <w:rPr>
                <w:sz w:val="20"/>
                <w:szCs w:val="20"/>
              </w:rPr>
            </w:pPr>
            <w:hyperlink r:id="rId29" w:history="1">
              <w:r w:rsidR="005C4FFD" w:rsidRPr="006C22F9">
                <w:rPr>
                  <w:rStyle w:val="Hyperlink"/>
                  <w:sz w:val="20"/>
                  <w:szCs w:val="20"/>
                </w:rPr>
                <w:t>hmatulewicz@mathematica-mpr.com</w:t>
              </w:r>
            </w:hyperlink>
          </w:p>
          <w:p w:rsidR="005C4FFD" w:rsidRPr="006C22F9" w:rsidRDefault="005C4FFD" w:rsidP="007D1A97">
            <w:pPr>
              <w:pStyle w:val="NormalSS"/>
              <w:spacing w:after="0"/>
              <w:ind w:firstLine="0"/>
              <w:jc w:val="left"/>
              <w:rPr>
                <w:sz w:val="20"/>
                <w:szCs w:val="20"/>
              </w:rPr>
            </w:pPr>
            <w:r w:rsidRPr="006C22F9">
              <w:rPr>
                <w:sz w:val="20"/>
                <w:szCs w:val="20"/>
              </w:rPr>
              <w:t>617-674-8362</w:t>
            </w:r>
          </w:p>
        </w:tc>
        <w:tc>
          <w:tcPr>
            <w:tcW w:w="2746" w:type="pct"/>
          </w:tcPr>
          <w:p w:rsidR="00D41C1E" w:rsidRPr="006C22F9" w:rsidRDefault="00D41C1E" w:rsidP="007D1A97">
            <w:pPr>
              <w:pStyle w:val="NormalSS"/>
              <w:spacing w:after="0"/>
              <w:ind w:firstLine="0"/>
              <w:jc w:val="left"/>
              <w:rPr>
                <w:sz w:val="20"/>
                <w:szCs w:val="20"/>
              </w:rPr>
            </w:pPr>
            <w:r w:rsidRPr="006C22F9">
              <w:rPr>
                <w:sz w:val="20"/>
                <w:szCs w:val="20"/>
              </w:rPr>
              <w:t xml:space="preserve">Eric Zeidman, Ed.M. </w:t>
            </w:r>
          </w:p>
          <w:p w:rsidR="00D41C1E" w:rsidRPr="006C22F9" w:rsidRDefault="00D41C1E" w:rsidP="007D1A97">
            <w:pPr>
              <w:pStyle w:val="NormalSS"/>
              <w:spacing w:after="0"/>
              <w:ind w:firstLine="0"/>
              <w:jc w:val="left"/>
              <w:rPr>
                <w:sz w:val="20"/>
                <w:szCs w:val="20"/>
              </w:rPr>
            </w:pPr>
            <w:r w:rsidRPr="006C22F9">
              <w:rPr>
                <w:sz w:val="20"/>
                <w:szCs w:val="20"/>
              </w:rPr>
              <w:t xml:space="preserve">Task </w:t>
            </w:r>
            <w:r w:rsidR="00371DCC" w:rsidRPr="006C22F9">
              <w:rPr>
                <w:sz w:val="20"/>
                <w:szCs w:val="20"/>
              </w:rPr>
              <w:t>leader, district recruitm</w:t>
            </w:r>
            <w:r w:rsidR="00DB7146" w:rsidRPr="006C22F9">
              <w:rPr>
                <w:sz w:val="20"/>
                <w:szCs w:val="20"/>
              </w:rPr>
              <w:t>ent</w:t>
            </w:r>
          </w:p>
          <w:p w:rsidR="00D41C1E" w:rsidRPr="006C22F9" w:rsidRDefault="00F73571" w:rsidP="007D1A97">
            <w:pPr>
              <w:pStyle w:val="NormalSS"/>
              <w:spacing w:after="0"/>
              <w:ind w:firstLine="0"/>
              <w:jc w:val="left"/>
              <w:rPr>
                <w:sz w:val="20"/>
                <w:szCs w:val="20"/>
              </w:rPr>
            </w:pPr>
            <w:hyperlink r:id="rId30" w:history="1">
              <w:r w:rsidR="00D41C1E" w:rsidRPr="006C22F9">
                <w:rPr>
                  <w:rStyle w:val="Hyperlink"/>
                  <w:sz w:val="20"/>
                  <w:szCs w:val="20"/>
                </w:rPr>
                <w:t>EZeidman@mathematica-mpr.com</w:t>
              </w:r>
            </w:hyperlink>
          </w:p>
          <w:p w:rsidR="00D41C1E" w:rsidRPr="006C22F9" w:rsidRDefault="00D41C1E" w:rsidP="007D1A97">
            <w:pPr>
              <w:pStyle w:val="NormalSS"/>
              <w:spacing w:after="0"/>
              <w:ind w:firstLine="0"/>
              <w:jc w:val="left"/>
              <w:rPr>
                <w:sz w:val="20"/>
                <w:szCs w:val="20"/>
              </w:rPr>
            </w:pPr>
            <w:r w:rsidRPr="006C22F9">
              <w:rPr>
                <w:sz w:val="20"/>
                <w:szCs w:val="20"/>
              </w:rPr>
              <w:t>609-936-2784</w:t>
            </w:r>
          </w:p>
        </w:tc>
      </w:tr>
    </w:tbl>
    <w:p w:rsidR="006648AF" w:rsidRDefault="006648AF" w:rsidP="003148C5">
      <w:pPr>
        <w:pStyle w:val="NormalSS"/>
      </w:pPr>
    </w:p>
    <w:p w:rsidR="0073463C" w:rsidRPr="00432E0D" w:rsidRDefault="0073463C" w:rsidP="003148C5">
      <w:pPr>
        <w:pStyle w:val="NormalSS"/>
      </w:pPr>
      <w:r w:rsidRPr="00432E0D">
        <w:t xml:space="preserve">In addition, ED </w:t>
      </w:r>
      <w:r w:rsidR="00510B31">
        <w:t xml:space="preserve">has </w:t>
      </w:r>
      <w:r w:rsidRPr="00432E0D">
        <w:t>consult</w:t>
      </w:r>
      <w:r w:rsidR="00510B31">
        <w:t>ed</w:t>
      </w:r>
      <w:r w:rsidRPr="00432E0D">
        <w:t xml:space="preserve"> with </w:t>
      </w:r>
      <w:r w:rsidR="00494111">
        <w:t xml:space="preserve">six </w:t>
      </w:r>
      <w:r w:rsidRPr="00432E0D">
        <w:t xml:space="preserve">researchers </w:t>
      </w:r>
      <w:r w:rsidR="00494111">
        <w:t xml:space="preserve">and two local school district administrators </w:t>
      </w:r>
      <w:r w:rsidRPr="00432E0D">
        <w:t xml:space="preserve">who make up the project’s Technical Working Group. The group </w:t>
      </w:r>
      <w:r w:rsidR="00510B31">
        <w:t xml:space="preserve">met </w:t>
      </w:r>
      <w:r w:rsidRPr="00432E0D">
        <w:t xml:space="preserve">for the first of four times in </w:t>
      </w:r>
      <w:r w:rsidR="00155A6C" w:rsidRPr="00432E0D">
        <w:t>February 2011</w:t>
      </w:r>
      <w:r w:rsidRPr="00432E0D">
        <w:t xml:space="preserve">. </w:t>
      </w:r>
    </w:p>
    <w:tbl>
      <w:tblPr>
        <w:tblStyle w:val="TableGrid"/>
        <w:tblW w:w="5000" w:type="pct"/>
        <w:tblLook w:val="04A0"/>
      </w:tblPr>
      <w:tblGrid>
        <w:gridCol w:w="4646"/>
        <w:gridCol w:w="4930"/>
      </w:tblGrid>
      <w:tr w:rsidR="0073463C" w:rsidRPr="001E2914" w:rsidTr="00DB7146">
        <w:tc>
          <w:tcPr>
            <w:tcW w:w="2426" w:type="pct"/>
          </w:tcPr>
          <w:p w:rsidR="0073463C" w:rsidRPr="00432E0D" w:rsidRDefault="0073463C" w:rsidP="00FB5B4B">
            <w:pPr>
              <w:pStyle w:val="NormalSS"/>
              <w:spacing w:after="0"/>
              <w:ind w:firstLine="0"/>
              <w:jc w:val="left"/>
              <w:rPr>
                <w:sz w:val="20"/>
                <w:szCs w:val="20"/>
              </w:rPr>
            </w:pPr>
            <w:r w:rsidRPr="00432E0D">
              <w:rPr>
                <w:sz w:val="20"/>
                <w:szCs w:val="20"/>
              </w:rPr>
              <w:t>Brian Cobb</w:t>
            </w:r>
          </w:p>
          <w:p w:rsidR="0073463C" w:rsidRPr="00432E0D" w:rsidRDefault="0073463C" w:rsidP="00FB5B4B">
            <w:pPr>
              <w:pStyle w:val="NormalSS"/>
              <w:spacing w:after="0"/>
              <w:ind w:firstLine="0"/>
              <w:jc w:val="left"/>
              <w:rPr>
                <w:sz w:val="20"/>
                <w:szCs w:val="20"/>
              </w:rPr>
            </w:pPr>
            <w:r w:rsidRPr="00432E0D">
              <w:rPr>
                <w:sz w:val="20"/>
                <w:szCs w:val="20"/>
              </w:rPr>
              <w:t>Interim Associate Director</w:t>
            </w:r>
          </w:p>
          <w:p w:rsidR="0073463C" w:rsidRPr="00432E0D" w:rsidRDefault="0073463C" w:rsidP="00FB5B4B">
            <w:pPr>
              <w:pStyle w:val="NormalSS"/>
              <w:spacing w:after="0"/>
              <w:ind w:firstLine="0"/>
              <w:jc w:val="left"/>
              <w:rPr>
                <w:sz w:val="20"/>
                <w:szCs w:val="20"/>
              </w:rPr>
            </w:pPr>
            <w:r w:rsidRPr="00432E0D">
              <w:rPr>
                <w:sz w:val="20"/>
                <w:szCs w:val="20"/>
              </w:rPr>
              <w:t>College of Applied Human Sciences</w:t>
            </w:r>
          </w:p>
          <w:p w:rsidR="0073463C" w:rsidRPr="00432E0D" w:rsidRDefault="0073463C" w:rsidP="00FB5B4B">
            <w:pPr>
              <w:pStyle w:val="NormalSS"/>
              <w:spacing w:after="0"/>
              <w:ind w:firstLine="0"/>
              <w:jc w:val="left"/>
              <w:rPr>
                <w:sz w:val="20"/>
                <w:szCs w:val="20"/>
              </w:rPr>
            </w:pPr>
            <w:r w:rsidRPr="00432E0D">
              <w:rPr>
                <w:sz w:val="20"/>
                <w:szCs w:val="20"/>
              </w:rPr>
              <w:t>School of Education, Room 105J</w:t>
            </w:r>
          </w:p>
          <w:p w:rsidR="0073463C" w:rsidRPr="00432E0D" w:rsidRDefault="0073463C" w:rsidP="00FB5B4B">
            <w:pPr>
              <w:pStyle w:val="NormalSS"/>
              <w:spacing w:after="0"/>
              <w:ind w:firstLine="0"/>
              <w:jc w:val="left"/>
              <w:rPr>
                <w:sz w:val="20"/>
                <w:szCs w:val="20"/>
              </w:rPr>
            </w:pPr>
            <w:r w:rsidRPr="00432E0D">
              <w:rPr>
                <w:sz w:val="20"/>
                <w:szCs w:val="20"/>
              </w:rPr>
              <w:t>Colorado State University</w:t>
            </w:r>
          </w:p>
          <w:p w:rsidR="0073463C" w:rsidRPr="00432E0D" w:rsidRDefault="0073463C" w:rsidP="00FB5B4B">
            <w:pPr>
              <w:pStyle w:val="NormalWeb"/>
              <w:spacing w:before="0" w:beforeAutospacing="0" w:after="0" w:afterAutospacing="0"/>
              <w:rPr>
                <w:sz w:val="20"/>
                <w:szCs w:val="20"/>
              </w:rPr>
            </w:pPr>
            <w:r w:rsidRPr="00432E0D">
              <w:rPr>
                <w:sz w:val="20"/>
                <w:szCs w:val="20"/>
              </w:rPr>
              <w:t>Fort Collins, CO 80523-1588</w:t>
            </w:r>
          </w:p>
          <w:p w:rsidR="0073463C" w:rsidRPr="00432E0D" w:rsidRDefault="00F73571" w:rsidP="00FB5B4B">
            <w:pPr>
              <w:pStyle w:val="NormalWeb"/>
              <w:spacing w:before="0" w:beforeAutospacing="0" w:after="0" w:afterAutospacing="0"/>
              <w:rPr>
                <w:sz w:val="20"/>
                <w:szCs w:val="20"/>
              </w:rPr>
            </w:pPr>
            <w:hyperlink r:id="rId31" w:history="1">
              <w:r w:rsidR="0073463C" w:rsidRPr="00432E0D">
                <w:rPr>
                  <w:rStyle w:val="Hyperlink"/>
                  <w:sz w:val="20"/>
                  <w:szCs w:val="20"/>
                </w:rPr>
                <w:t>R.Brian.Cobb@ColoState.EDU</w:t>
              </w:r>
            </w:hyperlink>
          </w:p>
          <w:p w:rsidR="0073463C" w:rsidRPr="00432E0D" w:rsidRDefault="0073463C" w:rsidP="00FB5B4B">
            <w:pPr>
              <w:pStyle w:val="NormalSS"/>
              <w:spacing w:after="0"/>
              <w:ind w:firstLine="0"/>
              <w:jc w:val="left"/>
              <w:rPr>
                <w:sz w:val="20"/>
                <w:szCs w:val="20"/>
              </w:rPr>
            </w:pPr>
            <w:r w:rsidRPr="00432E0D">
              <w:rPr>
                <w:sz w:val="20"/>
                <w:szCs w:val="20"/>
              </w:rPr>
              <w:t>970-491-6835</w:t>
            </w:r>
          </w:p>
        </w:tc>
        <w:tc>
          <w:tcPr>
            <w:tcW w:w="2574" w:type="pct"/>
          </w:tcPr>
          <w:p w:rsidR="0073463C" w:rsidRPr="00432E0D" w:rsidRDefault="0073463C" w:rsidP="00FB5B4B">
            <w:pPr>
              <w:pStyle w:val="NormalSS"/>
              <w:spacing w:after="0"/>
              <w:ind w:firstLine="0"/>
              <w:jc w:val="left"/>
              <w:rPr>
                <w:sz w:val="20"/>
                <w:szCs w:val="20"/>
              </w:rPr>
            </w:pPr>
            <w:r w:rsidRPr="00432E0D">
              <w:rPr>
                <w:sz w:val="20"/>
                <w:szCs w:val="20"/>
              </w:rPr>
              <w:t>Barbara Altman</w:t>
            </w:r>
          </w:p>
          <w:p w:rsidR="0073463C" w:rsidRPr="00432E0D" w:rsidRDefault="0073463C" w:rsidP="00FB5B4B">
            <w:pPr>
              <w:pStyle w:val="NormalSS"/>
              <w:spacing w:after="0"/>
              <w:ind w:firstLine="0"/>
              <w:jc w:val="left"/>
              <w:rPr>
                <w:sz w:val="20"/>
                <w:szCs w:val="20"/>
              </w:rPr>
            </w:pPr>
            <w:r w:rsidRPr="00432E0D">
              <w:rPr>
                <w:sz w:val="20"/>
                <w:szCs w:val="20"/>
              </w:rPr>
              <w:t xml:space="preserve">Consultant </w:t>
            </w:r>
          </w:p>
          <w:p w:rsidR="0073463C" w:rsidRPr="00432E0D" w:rsidRDefault="0073463C" w:rsidP="00FB5B4B">
            <w:pPr>
              <w:pStyle w:val="NormalSS"/>
              <w:spacing w:after="0"/>
              <w:ind w:firstLine="0"/>
              <w:jc w:val="left"/>
              <w:rPr>
                <w:sz w:val="20"/>
                <w:szCs w:val="20"/>
              </w:rPr>
            </w:pPr>
            <w:r w:rsidRPr="00432E0D">
              <w:rPr>
                <w:sz w:val="20"/>
                <w:szCs w:val="20"/>
              </w:rPr>
              <w:t>Retired Special Assistant on Disability Statistics</w:t>
            </w:r>
          </w:p>
          <w:p w:rsidR="0073463C" w:rsidRPr="00432E0D" w:rsidRDefault="0073463C" w:rsidP="00FB5B4B">
            <w:pPr>
              <w:pStyle w:val="NormalSS"/>
              <w:spacing w:after="0"/>
              <w:ind w:firstLine="0"/>
              <w:jc w:val="left"/>
              <w:rPr>
                <w:sz w:val="20"/>
                <w:szCs w:val="20"/>
              </w:rPr>
            </w:pPr>
            <w:r w:rsidRPr="00432E0D">
              <w:rPr>
                <w:sz w:val="20"/>
                <w:szCs w:val="20"/>
              </w:rPr>
              <w:t>Office of the Director</w:t>
            </w:r>
          </w:p>
          <w:p w:rsidR="0073463C" w:rsidRPr="00432E0D" w:rsidRDefault="0073463C" w:rsidP="00FB5B4B">
            <w:pPr>
              <w:pStyle w:val="NormalSS"/>
              <w:spacing w:after="0"/>
              <w:ind w:firstLine="0"/>
              <w:jc w:val="left"/>
              <w:rPr>
                <w:sz w:val="20"/>
                <w:szCs w:val="20"/>
              </w:rPr>
            </w:pPr>
            <w:r w:rsidRPr="00432E0D">
              <w:rPr>
                <w:sz w:val="20"/>
                <w:szCs w:val="20"/>
              </w:rPr>
              <w:t>National Center for Health Statistics, CDC</w:t>
            </w:r>
          </w:p>
          <w:p w:rsidR="009159CE" w:rsidRPr="002C0628" w:rsidRDefault="00FB367F">
            <w:pPr>
              <w:pStyle w:val="NormalSS"/>
              <w:spacing w:after="0"/>
              <w:ind w:firstLine="0"/>
              <w:jc w:val="left"/>
              <w:rPr>
                <w:sz w:val="20"/>
                <w:szCs w:val="20"/>
                <w:lang w:val="nb-NO"/>
              </w:rPr>
            </w:pPr>
            <w:r w:rsidRPr="002C0628">
              <w:rPr>
                <w:sz w:val="20"/>
                <w:szCs w:val="20"/>
                <w:lang w:val="nb-NO"/>
              </w:rPr>
              <w:t>14608 Melinda Lane</w:t>
            </w:r>
            <w:r w:rsidRPr="002C0628">
              <w:rPr>
                <w:sz w:val="20"/>
                <w:szCs w:val="20"/>
                <w:lang w:val="nb-NO"/>
              </w:rPr>
              <w:br/>
              <w:t>Rockville, MD 20853</w:t>
            </w:r>
          </w:p>
          <w:p w:rsidR="001733F9" w:rsidRPr="002C0628" w:rsidRDefault="00F73571" w:rsidP="006648AF">
            <w:pPr>
              <w:pStyle w:val="NormalSS"/>
              <w:spacing w:after="0"/>
              <w:ind w:firstLine="0"/>
              <w:jc w:val="left"/>
              <w:rPr>
                <w:sz w:val="20"/>
                <w:szCs w:val="20"/>
                <w:lang w:val="nb-NO"/>
              </w:rPr>
            </w:pPr>
            <w:hyperlink r:id="rId32" w:history="1">
              <w:r w:rsidR="00FB367F" w:rsidRPr="00371DCC">
                <w:rPr>
                  <w:rStyle w:val="Hyperlink"/>
                  <w:sz w:val="20"/>
                  <w:szCs w:val="20"/>
                  <w:lang w:val="nb-NO"/>
                </w:rPr>
                <w:t>b.altman@v</w:t>
              </w:r>
              <w:bookmarkStart w:id="90" w:name="_GoBack"/>
              <w:bookmarkEnd w:id="90"/>
              <w:r w:rsidR="00FB367F" w:rsidRPr="00371DCC">
                <w:rPr>
                  <w:rStyle w:val="Hyperlink"/>
                  <w:sz w:val="20"/>
                  <w:szCs w:val="20"/>
                  <w:lang w:val="nb-NO"/>
                </w:rPr>
                <w:t>erizon.net</w:t>
              </w:r>
            </w:hyperlink>
          </w:p>
        </w:tc>
      </w:tr>
      <w:tr w:rsidR="0073463C" w:rsidRPr="001E2914" w:rsidTr="00DB7146">
        <w:tc>
          <w:tcPr>
            <w:tcW w:w="2426" w:type="pct"/>
          </w:tcPr>
          <w:p w:rsidR="0073463C" w:rsidRPr="00432E0D" w:rsidRDefault="0073463C" w:rsidP="00FB5B4B">
            <w:pPr>
              <w:pStyle w:val="NormalSS"/>
              <w:spacing w:after="0"/>
              <w:ind w:firstLine="0"/>
              <w:rPr>
                <w:sz w:val="20"/>
                <w:szCs w:val="20"/>
              </w:rPr>
            </w:pPr>
            <w:r w:rsidRPr="00432E0D">
              <w:rPr>
                <w:sz w:val="20"/>
                <w:szCs w:val="20"/>
              </w:rPr>
              <w:t xml:space="preserve">Richard </w:t>
            </w:r>
            <w:proofErr w:type="spellStart"/>
            <w:r w:rsidRPr="00432E0D">
              <w:rPr>
                <w:sz w:val="20"/>
                <w:szCs w:val="20"/>
              </w:rPr>
              <w:t>Luecking</w:t>
            </w:r>
            <w:proofErr w:type="spellEnd"/>
          </w:p>
          <w:p w:rsidR="0073463C" w:rsidRPr="00432E0D" w:rsidRDefault="0073463C" w:rsidP="00FB5B4B">
            <w:pPr>
              <w:pStyle w:val="NormalSS"/>
              <w:spacing w:after="0"/>
              <w:ind w:firstLine="0"/>
              <w:rPr>
                <w:sz w:val="20"/>
                <w:szCs w:val="20"/>
              </w:rPr>
            </w:pPr>
            <w:r w:rsidRPr="00432E0D">
              <w:rPr>
                <w:sz w:val="20"/>
                <w:szCs w:val="20"/>
              </w:rPr>
              <w:t xml:space="preserve">President, </w:t>
            </w:r>
            <w:proofErr w:type="spellStart"/>
            <w:r w:rsidRPr="00432E0D">
              <w:rPr>
                <w:sz w:val="20"/>
                <w:szCs w:val="20"/>
              </w:rPr>
              <w:t>Transcen</w:t>
            </w:r>
            <w:proofErr w:type="spellEnd"/>
          </w:p>
          <w:p w:rsidR="0073463C" w:rsidRPr="00432E0D" w:rsidRDefault="0073463C" w:rsidP="00FB5B4B">
            <w:pPr>
              <w:pStyle w:val="NormalSS"/>
              <w:spacing w:after="0"/>
              <w:ind w:firstLine="0"/>
              <w:rPr>
                <w:sz w:val="20"/>
                <w:szCs w:val="20"/>
              </w:rPr>
            </w:pPr>
            <w:r w:rsidRPr="00432E0D">
              <w:rPr>
                <w:sz w:val="20"/>
                <w:szCs w:val="20"/>
              </w:rPr>
              <w:t>451 Hungerford Drive, Suite 700</w:t>
            </w:r>
          </w:p>
          <w:p w:rsidR="0073463C" w:rsidRPr="00432E0D" w:rsidRDefault="0073463C" w:rsidP="00FB5B4B">
            <w:pPr>
              <w:pStyle w:val="NormalSS"/>
              <w:spacing w:after="0"/>
              <w:ind w:firstLine="0"/>
              <w:rPr>
                <w:sz w:val="20"/>
                <w:szCs w:val="20"/>
              </w:rPr>
            </w:pPr>
            <w:r w:rsidRPr="00432E0D">
              <w:rPr>
                <w:sz w:val="20"/>
                <w:szCs w:val="20"/>
              </w:rPr>
              <w:t>Rockville, MD 20850</w:t>
            </w:r>
          </w:p>
          <w:p w:rsidR="0073463C" w:rsidRPr="00432E0D" w:rsidRDefault="00F73571" w:rsidP="00FB5B4B">
            <w:pPr>
              <w:pStyle w:val="NormalSS"/>
              <w:spacing w:after="0"/>
              <w:ind w:firstLine="0"/>
              <w:rPr>
                <w:sz w:val="20"/>
                <w:szCs w:val="20"/>
              </w:rPr>
            </w:pPr>
            <w:hyperlink r:id="rId33" w:history="1">
              <w:r w:rsidR="0073463C" w:rsidRPr="00432E0D">
                <w:rPr>
                  <w:rStyle w:val="Hyperlink"/>
                  <w:sz w:val="20"/>
                  <w:szCs w:val="20"/>
                </w:rPr>
                <w:t>rluecking@transcen.org</w:t>
              </w:r>
            </w:hyperlink>
          </w:p>
          <w:p w:rsidR="0073463C" w:rsidRPr="00432E0D" w:rsidRDefault="0073463C" w:rsidP="00FB5B4B">
            <w:pPr>
              <w:pStyle w:val="NormalSS"/>
              <w:spacing w:after="0"/>
              <w:ind w:firstLine="0"/>
              <w:rPr>
                <w:sz w:val="20"/>
                <w:szCs w:val="20"/>
              </w:rPr>
            </w:pPr>
            <w:r w:rsidRPr="00432E0D">
              <w:rPr>
                <w:sz w:val="20"/>
                <w:szCs w:val="20"/>
              </w:rPr>
              <w:t>301-424-2002 ext. 230</w:t>
            </w:r>
          </w:p>
        </w:tc>
        <w:tc>
          <w:tcPr>
            <w:tcW w:w="2574" w:type="pct"/>
          </w:tcPr>
          <w:p w:rsidR="0073463C" w:rsidRPr="00432E0D" w:rsidRDefault="0073463C" w:rsidP="00FB5B4B">
            <w:pPr>
              <w:pStyle w:val="NormalSS"/>
              <w:spacing w:after="0"/>
              <w:ind w:firstLine="0"/>
              <w:jc w:val="left"/>
              <w:rPr>
                <w:sz w:val="20"/>
                <w:szCs w:val="20"/>
              </w:rPr>
            </w:pPr>
            <w:r w:rsidRPr="00432E0D">
              <w:rPr>
                <w:sz w:val="20"/>
                <w:szCs w:val="20"/>
              </w:rPr>
              <w:t>Suzanne Lane</w:t>
            </w:r>
          </w:p>
          <w:p w:rsidR="0073463C" w:rsidRPr="00432E0D" w:rsidRDefault="0073463C" w:rsidP="00FB5B4B">
            <w:pPr>
              <w:pStyle w:val="NormalSS"/>
              <w:spacing w:after="0"/>
              <w:ind w:firstLine="0"/>
              <w:jc w:val="left"/>
              <w:rPr>
                <w:sz w:val="20"/>
                <w:szCs w:val="20"/>
              </w:rPr>
            </w:pPr>
            <w:r w:rsidRPr="00432E0D">
              <w:rPr>
                <w:sz w:val="20"/>
                <w:szCs w:val="20"/>
              </w:rPr>
              <w:t>School of Education</w:t>
            </w:r>
          </w:p>
          <w:p w:rsidR="0073463C" w:rsidRPr="00432E0D" w:rsidRDefault="0073463C" w:rsidP="00FB5B4B">
            <w:pPr>
              <w:pStyle w:val="NormalSS"/>
              <w:spacing w:after="0"/>
              <w:ind w:firstLine="0"/>
              <w:jc w:val="left"/>
              <w:rPr>
                <w:sz w:val="20"/>
                <w:szCs w:val="20"/>
              </w:rPr>
            </w:pPr>
            <w:r w:rsidRPr="00432E0D">
              <w:rPr>
                <w:sz w:val="20"/>
                <w:szCs w:val="20"/>
              </w:rPr>
              <w:t>University of Pittsburgh</w:t>
            </w:r>
            <w:r w:rsidRPr="00432E0D">
              <w:rPr>
                <w:sz w:val="20"/>
                <w:szCs w:val="20"/>
              </w:rPr>
              <w:br/>
              <w:t xml:space="preserve">5916 Wesley W. </w:t>
            </w:r>
            <w:proofErr w:type="spellStart"/>
            <w:r w:rsidRPr="00432E0D">
              <w:rPr>
                <w:sz w:val="20"/>
                <w:szCs w:val="20"/>
              </w:rPr>
              <w:t>Posvar</w:t>
            </w:r>
            <w:proofErr w:type="spellEnd"/>
            <w:r w:rsidRPr="00432E0D">
              <w:rPr>
                <w:sz w:val="20"/>
                <w:szCs w:val="20"/>
              </w:rPr>
              <w:t xml:space="preserve"> Hall</w:t>
            </w:r>
          </w:p>
          <w:p w:rsidR="0073463C" w:rsidRPr="002C0628" w:rsidRDefault="0073463C" w:rsidP="00FB5B4B">
            <w:pPr>
              <w:pStyle w:val="NormalSS"/>
              <w:spacing w:after="0"/>
              <w:ind w:firstLine="0"/>
              <w:jc w:val="left"/>
              <w:rPr>
                <w:sz w:val="20"/>
                <w:szCs w:val="20"/>
                <w:lang w:val="de-DE"/>
              </w:rPr>
            </w:pPr>
            <w:r w:rsidRPr="002C0628">
              <w:rPr>
                <w:sz w:val="20"/>
                <w:szCs w:val="20"/>
                <w:lang w:val="de-DE"/>
              </w:rPr>
              <w:t>Pittsburgh, PA 15260</w:t>
            </w:r>
          </w:p>
          <w:p w:rsidR="0073463C" w:rsidRPr="002C0628" w:rsidRDefault="00F73571" w:rsidP="00FB5B4B">
            <w:pPr>
              <w:pStyle w:val="NormalSS"/>
              <w:spacing w:after="0"/>
              <w:ind w:firstLine="0"/>
              <w:jc w:val="left"/>
              <w:rPr>
                <w:sz w:val="20"/>
                <w:szCs w:val="20"/>
                <w:lang w:val="de-DE"/>
              </w:rPr>
            </w:pPr>
            <w:hyperlink r:id="rId34" w:history="1">
              <w:r w:rsidR="0073463C" w:rsidRPr="002C0628">
                <w:rPr>
                  <w:rStyle w:val="Hyperlink"/>
                  <w:sz w:val="20"/>
                  <w:szCs w:val="20"/>
                  <w:lang w:val="de-DE"/>
                </w:rPr>
                <w:t>sl@pitt.edu</w:t>
              </w:r>
            </w:hyperlink>
          </w:p>
          <w:p w:rsidR="0073463C" w:rsidRPr="002C0628" w:rsidRDefault="0073463C" w:rsidP="00FB5B4B">
            <w:pPr>
              <w:pStyle w:val="NormalSS"/>
              <w:spacing w:after="0"/>
              <w:ind w:firstLine="0"/>
              <w:jc w:val="left"/>
              <w:rPr>
                <w:sz w:val="20"/>
                <w:szCs w:val="20"/>
                <w:lang w:val="de-DE"/>
              </w:rPr>
            </w:pPr>
            <w:r w:rsidRPr="002C0628">
              <w:rPr>
                <w:sz w:val="20"/>
                <w:szCs w:val="20"/>
                <w:lang w:val="de-DE"/>
              </w:rPr>
              <w:t>412-648-7095</w:t>
            </w:r>
          </w:p>
        </w:tc>
      </w:tr>
      <w:tr w:rsidR="0073463C" w:rsidRPr="00432E0D" w:rsidTr="00DB7146">
        <w:tc>
          <w:tcPr>
            <w:tcW w:w="2426" w:type="pct"/>
            <w:tcBorders>
              <w:bottom w:val="single" w:sz="4" w:space="0" w:color="000000" w:themeColor="text1"/>
            </w:tcBorders>
          </w:tcPr>
          <w:p w:rsidR="0073463C" w:rsidRPr="00432E0D" w:rsidRDefault="0073463C" w:rsidP="00FB5B4B">
            <w:pPr>
              <w:pStyle w:val="NormalSS"/>
              <w:spacing w:after="0"/>
              <w:ind w:firstLine="0"/>
              <w:rPr>
                <w:sz w:val="20"/>
                <w:szCs w:val="20"/>
              </w:rPr>
            </w:pPr>
            <w:r w:rsidRPr="00432E0D">
              <w:rPr>
                <w:sz w:val="20"/>
                <w:szCs w:val="20"/>
              </w:rPr>
              <w:t>Tom Bailey</w:t>
            </w:r>
          </w:p>
          <w:p w:rsidR="0073463C" w:rsidRPr="00432E0D" w:rsidRDefault="0073463C" w:rsidP="00FB5B4B">
            <w:pPr>
              <w:pStyle w:val="NormalSS"/>
              <w:spacing w:after="0"/>
              <w:ind w:firstLine="0"/>
              <w:rPr>
                <w:sz w:val="20"/>
                <w:szCs w:val="20"/>
              </w:rPr>
            </w:pPr>
            <w:r w:rsidRPr="00432E0D">
              <w:rPr>
                <w:sz w:val="20"/>
                <w:szCs w:val="20"/>
              </w:rPr>
              <w:t>Community College Research Center</w:t>
            </w:r>
          </w:p>
          <w:p w:rsidR="0073463C" w:rsidRPr="00432E0D" w:rsidRDefault="0073463C" w:rsidP="00FB5B4B">
            <w:pPr>
              <w:pStyle w:val="NormalSS"/>
              <w:spacing w:after="0"/>
              <w:ind w:firstLine="0"/>
              <w:rPr>
                <w:sz w:val="20"/>
                <w:szCs w:val="20"/>
              </w:rPr>
            </w:pPr>
            <w:r w:rsidRPr="00432E0D">
              <w:rPr>
                <w:sz w:val="20"/>
                <w:szCs w:val="20"/>
              </w:rPr>
              <w:t xml:space="preserve">Teachers College, Columbia University </w:t>
            </w:r>
          </w:p>
          <w:p w:rsidR="0073463C" w:rsidRPr="00432E0D" w:rsidRDefault="0073463C" w:rsidP="00FB5B4B">
            <w:pPr>
              <w:pStyle w:val="NormalSS"/>
              <w:spacing w:after="0"/>
              <w:ind w:firstLine="0"/>
              <w:rPr>
                <w:sz w:val="20"/>
                <w:szCs w:val="20"/>
              </w:rPr>
            </w:pPr>
            <w:r w:rsidRPr="00432E0D">
              <w:rPr>
                <w:sz w:val="20"/>
                <w:szCs w:val="20"/>
              </w:rPr>
              <w:t xml:space="preserve">525 West 120th Street </w:t>
            </w:r>
          </w:p>
          <w:p w:rsidR="0073463C" w:rsidRPr="00432E0D" w:rsidRDefault="0073463C" w:rsidP="00FB5B4B">
            <w:pPr>
              <w:pStyle w:val="NormalWeb"/>
              <w:spacing w:before="0" w:beforeAutospacing="0" w:after="0" w:afterAutospacing="0"/>
              <w:rPr>
                <w:sz w:val="20"/>
                <w:szCs w:val="20"/>
              </w:rPr>
            </w:pPr>
            <w:r w:rsidRPr="00432E0D">
              <w:rPr>
                <w:sz w:val="20"/>
                <w:szCs w:val="20"/>
              </w:rPr>
              <w:t xml:space="preserve">439 Thorndike Hall, Box 174 </w:t>
            </w:r>
          </w:p>
          <w:p w:rsidR="0073463C" w:rsidRPr="00432E0D" w:rsidRDefault="0073463C" w:rsidP="00FB5B4B">
            <w:pPr>
              <w:pStyle w:val="NormalSS"/>
              <w:spacing w:after="0"/>
              <w:ind w:firstLine="0"/>
              <w:rPr>
                <w:sz w:val="20"/>
                <w:szCs w:val="20"/>
              </w:rPr>
            </w:pPr>
            <w:r w:rsidRPr="00432E0D">
              <w:rPr>
                <w:sz w:val="20"/>
                <w:szCs w:val="20"/>
              </w:rPr>
              <w:t xml:space="preserve">New York, NY 10027 </w:t>
            </w:r>
          </w:p>
          <w:p w:rsidR="0073463C" w:rsidRPr="00432E0D" w:rsidRDefault="00F73571" w:rsidP="00FB5B4B">
            <w:pPr>
              <w:pStyle w:val="NormalSS"/>
              <w:spacing w:after="0"/>
              <w:ind w:firstLine="0"/>
              <w:rPr>
                <w:sz w:val="20"/>
                <w:szCs w:val="20"/>
              </w:rPr>
            </w:pPr>
            <w:hyperlink r:id="rId35" w:history="1">
              <w:r w:rsidR="0073463C" w:rsidRPr="00432E0D">
                <w:rPr>
                  <w:rStyle w:val="Hyperlink"/>
                  <w:sz w:val="20"/>
                  <w:szCs w:val="20"/>
                </w:rPr>
                <w:t>ccrc@columbia.edu</w:t>
              </w:r>
            </w:hyperlink>
            <w:r w:rsidR="0073463C" w:rsidRPr="00432E0D">
              <w:rPr>
                <w:sz w:val="20"/>
                <w:szCs w:val="20"/>
              </w:rPr>
              <w:t xml:space="preserve"> </w:t>
            </w:r>
          </w:p>
          <w:p w:rsidR="0073463C" w:rsidRPr="00432E0D" w:rsidRDefault="0073463C" w:rsidP="00FB5B4B">
            <w:pPr>
              <w:pStyle w:val="NormalSS"/>
              <w:spacing w:after="0"/>
              <w:ind w:firstLine="0"/>
              <w:rPr>
                <w:sz w:val="20"/>
                <w:szCs w:val="20"/>
              </w:rPr>
            </w:pPr>
            <w:r w:rsidRPr="00432E0D">
              <w:rPr>
                <w:sz w:val="20"/>
                <w:szCs w:val="20"/>
              </w:rPr>
              <w:t>212-678-3091</w:t>
            </w:r>
          </w:p>
        </w:tc>
        <w:tc>
          <w:tcPr>
            <w:tcW w:w="2574" w:type="pct"/>
            <w:tcBorders>
              <w:bottom w:val="single" w:sz="4" w:space="0" w:color="000000" w:themeColor="text1"/>
            </w:tcBorders>
          </w:tcPr>
          <w:p w:rsidR="0073463C" w:rsidRPr="00432E0D" w:rsidRDefault="0073463C" w:rsidP="00FB5B4B">
            <w:pPr>
              <w:pStyle w:val="NormalSS"/>
              <w:spacing w:after="0"/>
              <w:ind w:firstLine="0"/>
              <w:jc w:val="left"/>
              <w:rPr>
                <w:sz w:val="20"/>
                <w:szCs w:val="20"/>
              </w:rPr>
            </w:pPr>
            <w:r w:rsidRPr="00432E0D">
              <w:rPr>
                <w:sz w:val="20"/>
                <w:szCs w:val="20"/>
              </w:rPr>
              <w:t>Judy Elliott, Ph.D.</w:t>
            </w:r>
          </w:p>
          <w:p w:rsidR="0073463C" w:rsidRPr="00432E0D" w:rsidRDefault="0073463C" w:rsidP="00FB5B4B">
            <w:pPr>
              <w:pStyle w:val="NormalSS"/>
              <w:spacing w:after="0"/>
              <w:ind w:firstLine="0"/>
              <w:jc w:val="left"/>
              <w:rPr>
                <w:sz w:val="20"/>
                <w:szCs w:val="20"/>
              </w:rPr>
            </w:pPr>
            <w:r w:rsidRPr="00432E0D">
              <w:rPr>
                <w:sz w:val="20"/>
                <w:szCs w:val="20"/>
              </w:rPr>
              <w:t>Chief Academic Officer</w:t>
            </w:r>
          </w:p>
          <w:p w:rsidR="0073463C" w:rsidRPr="00432E0D" w:rsidRDefault="0073463C" w:rsidP="00FB5B4B">
            <w:pPr>
              <w:pStyle w:val="NormalSS"/>
              <w:spacing w:after="0"/>
              <w:ind w:firstLine="0"/>
              <w:jc w:val="left"/>
              <w:rPr>
                <w:sz w:val="20"/>
                <w:szCs w:val="20"/>
              </w:rPr>
            </w:pPr>
            <w:r w:rsidRPr="00432E0D">
              <w:rPr>
                <w:sz w:val="20"/>
                <w:szCs w:val="20"/>
              </w:rPr>
              <w:t>Los Angeles Unified School District</w:t>
            </w:r>
          </w:p>
          <w:p w:rsidR="0073463C" w:rsidRPr="00432E0D" w:rsidRDefault="0073463C" w:rsidP="00FB5B4B">
            <w:pPr>
              <w:pStyle w:val="NormalSS"/>
              <w:spacing w:after="0"/>
              <w:ind w:firstLine="0"/>
              <w:jc w:val="left"/>
              <w:rPr>
                <w:sz w:val="20"/>
                <w:szCs w:val="20"/>
              </w:rPr>
            </w:pPr>
            <w:r w:rsidRPr="00432E0D">
              <w:rPr>
                <w:sz w:val="20"/>
                <w:szCs w:val="20"/>
              </w:rPr>
              <w:t xml:space="preserve">333 South </w:t>
            </w:r>
            <w:proofErr w:type="spellStart"/>
            <w:r w:rsidRPr="00432E0D">
              <w:rPr>
                <w:sz w:val="20"/>
                <w:szCs w:val="20"/>
              </w:rPr>
              <w:t>Beaudry</w:t>
            </w:r>
            <w:proofErr w:type="spellEnd"/>
            <w:r w:rsidRPr="00432E0D">
              <w:rPr>
                <w:sz w:val="20"/>
                <w:szCs w:val="20"/>
              </w:rPr>
              <w:t xml:space="preserve"> Avenue</w:t>
            </w:r>
          </w:p>
          <w:p w:rsidR="0073463C" w:rsidRPr="002C0628" w:rsidRDefault="0073463C" w:rsidP="00FB5B4B">
            <w:pPr>
              <w:pStyle w:val="NormalSS"/>
              <w:spacing w:after="0"/>
              <w:ind w:firstLine="0"/>
              <w:jc w:val="left"/>
              <w:rPr>
                <w:sz w:val="20"/>
                <w:szCs w:val="20"/>
                <w:lang w:val="nb-NO"/>
              </w:rPr>
            </w:pPr>
            <w:r w:rsidRPr="002C0628">
              <w:rPr>
                <w:sz w:val="20"/>
                <w:szCs w:val="20"/>
                <w:lang w:val="nb-NO"/>
              </w:rPr>
              <w:t>Los Angeles, CA 90017</w:t>
            </w:r>
          </w:p>
          <w:p w:rsidR="0073463C" w:rsidRPr="002C0628" w:rsidRDefault="00F73571" w:rsidP="00FB5B4B">
            <w:pPr>
              <w:pStyle w:val="NormalSS"/>
              <w:spacing w:after="0"/>
              <w:ind w:firstLine="0"/>
              <w:rPr>
                <w:rStyle w:val="Hyperlink"/>
                <w:sz w:val="20"/>
                <w:szCs w:val="20"/>
                <w:lang w:val="nb-NO"/>
              </w:rPr>
            </w:pPr>
            <w:hyperlink r:id="rId36" w:history="1">
              <w:r w:rsidR="0073463C" w:rsidRPr="002C0628">
                <w:rPr>
                  <w:rStyle w:val="Hyperlink"/>
                  <w:sz w:val="20"/>
                  <w:szCs w:val="20"/>
                  <w:lang w:val="nb-NO"/>
                </w:rPr>
                <w:t>judy.elliott@lausd.net</w:t>
              </w:r>
            </w:hyperlink>
          </w:p>
          <w:p w:rsidR="0073463C" w:rsidRPr="00432E0D" w:rsidRDefault="0073463C" w:rsidP="00FB5B4B">
            <w:pPr>
              <w:pStyle w:val="NormalSS"/>
              <w:spacing w:after="0"/>
              <w:ind w:firstLine="0"/>
              <w:jc w:val="left"/>
              <w:rPr>
                <w:sz w:val="20"/>
                <w:szCs w:val="20"/>
              </w:rPr>
            </w:pPr>
            <w:r w:rsidRPr="00432E0D">
              <w:rPr>
                <w:sz w:val="20"/>
                <w:szCs w:val="20"/>
              </w:rPr>
              <w:t>213-241-1000</w:t>
            </w:r>
          </w:p>
          <w:p w:rsidR="0073463C" w:rsidRPr="00432E0D" w:rsidRDefault="0073463C" w:rsidP="00FB5B4B">
            <w:pPr>
              <w:pStyle w:val="NormalSS"/>
              <w:spacing w:after="0"/>
              <w:ind w:firstLine="0"/>
              <w:jc w:val="left"/>
              <w:rPr>
                <w:sz w:val="20"/>
                <w:szCs w:val="20"/>
              </w:rPr>
            </w:pPr>
          </w:p>
        </w:tc>
      </w:tr>
      <w:tr w:rsidR="0073463C" w:rsidRPr="00432E0D" w:rsidTr="00DB7146">
        <w:tc>
          <w:tcPr>
            <w:tcW w:w="2426" w:type="pct"/>
          </w:tcPr>
          <w:p w:rsidR="0073463C" w:rsidRPr="00432E0D" w:rsidRDefault="00011642" w:rsidP="009B2BE1">
            <w:pPr>
              <w:pStyle w:val="NormalWeb"/>
              <w:spacing w:before="0" w:beforeAutospacing="0" w:after="0" w:afterAutospacing="0"/>
              <w:rPr>
                <w:sz w:val="20"/>
                <w:szCs w:val="20"/>
              </w:rPr>
            </w:pPr>
            <w:proofErr w:type="spellStart"/>
            <w:r w:rsidRPr="00432E0D">
              <w:rPr>
                <w:sz w:val="20"/>
                <w:szCs w:val="20"/>
              </w:rPr>
              <w:t>Kalman</w:t>
            </w:r>
            <w:proofErr w:type="spellEnd"/>
            <w:r w:rsidRPr="00432E0D">
              <w:rPr>
                <w:sz w:val="20"/>
                <w:szCs w:val="20"/>
              </w:rPr>
              <w:t xml:space="preserve"> Rupp</w:t>
            </w:r>
          </w:p>
          <w:p w:rsidR="0073463C" w:rsidRPr="00432E0D" w:rsidRDefault="00011642" w:rsidP="00FB5B4B">
            <w:pPr>
              <w:pStyle w:val="NormalWeb"/>
              <w:spacing w:before="0" w:beforeAutospacing="0" w:after="0" w:afterAutospacing="0"/>
              <w:rPr>
                <w:sz w:val="20"/>
                <w:szCs w:val="20"/>
              </w:rPr>
            </w:pPr>
            <w:r w:rsidRPr="00432E0D">
              <w:rPr>
                <w:sz w:val="20"/>
                <w:szCs w:val="20"/>
              </w:rPr>
              <w:t>Economist</w:t>
            </w:r>
          </w:p>
          <w:p w:rsidR="00011642" w:rsidRPr="00432E0D" w:rsidRDefault="00011642" w:rsidP="00FB5B4B">
            <w:pPr>
              <w:pStyle w:val="NormalWeb"/>
              <w:spacing w:before="0" w:beforeAutospacing="0" w:after="0" w:afterAutospacing="0"/>
              <w:rPr>
                <w:sz w:val="20"/>
                <w:szCs w:val="20"/>
              </w:rPr>
            </w:pPr>
            <w:r w:rsidRPr="00432E0D">
              <w:rPr>
                <w:sz w:val="20"/>
                <w:szCs w:val="20"/>
              </w:rPr>
              <w:t>Division of Policy Evaluation</w:t>
            </w:r>
          </w:p>
          <w:p w:rsidR="001733F9" w:rsidRPr="00432E0D" w:rsidRDefault="00011642" w:rsidP="00FB5B4B">
            <w:pPr>
              <w:pStyle w:val="NormalWeb"/>
              <w:spacing w:before="0" w:beforeAutospacing="0" w:after="0" w:afterAutospacing="0"/>
              <w:rPr>
                <w:sz w:val="20"/>
                <w:szCs w:val="20"/>
              </w:rPr>
            </w:pPr>
            <w:r w:rsidRPr="00432E0D">
              <w:rPr>
                <w:sz w:val="20"/>
                <w:szCs w:val="20"/>
              </w:rPr>
              <w:t>Office of Research, Evaluation, and Statistics</w:t>
            </w:r>
            <w:r w:rsidR="001733F9" w:rsidRPr="00432E0D">
              <w:rPr>
                <w:sz w:val="20"/>
                <w:szCs w:val="20"/>
              </w:rPr>
              <w:t xml:space="preserve"> </w:t>
            </w:r>
          </w:p>
          <w:p w:rsidR="001733F9" w:rsidRPr="00432E0D" w:rsidRDefault="00BE77EA" w:rsidP="00FB5B4B">
            <w:pPr>
              <w:pStyle w:val="NormalWeb"/>
              <w:spacing w:before="0" w:beforeAutospacing="0" w:after="0" w:afterAutospacing="0"/>
              <w:rPr>
                <w:sz w:val="20"/>
                <w:szCs w:val="20"/>
              </w:rPr>
            </w:pPr>
            <w:r w:rsidRPr="00432E0D">
              <w:rPr>
                <w:sz w:val="20"/>
                <w:szCs w:val="20"/>
              </w:rPr>
              <w:t>Social Security Administration</w:t>
            </w:r>
          </w:p>
          <w:p w:rsidR="0073463C" w:rsidRPr="00432E0D" w:rsidRDefault="00F73571" w:rsidP="00FB5B4B">
            <w:pPr>
              <w:pStyle w:val="NormalWeb"/>
              <w:spacing w:before="0" w:beforeAutospacing="0" w:after="0" w:afterAutospacing="0"/>
              <w:rPr>
                <w:sz w:val="20"/>
                <w:szCs w:val="20"/>
              </w:rPr>
            </w:pPr>
            <w:hyperlink r:id="rId37" w:history="1">
              <w:r w:rsidR="00195858" w:rsidRPr="00313773">
                <w:rPr>
                  <w:rStyle w:val="Hyperlink"/>
                  <w:sz w:val="20"/>
                  <w:szCs w:val="20"/>
                </w:rPr>
                <w:t>kalman.rupp@ssa.gov</w:t>
              </w:r>
            </w:hyperlink>
            <w:r w:rsidR="00195858">
              <w:rPr>
                <w:sz w:val="20"/>
                <w:szCs w:val="20"/>
              </w:rPr>
              <w:t xml:space="preserve"> </w:t>
            </w:r>
          </w:p>
          <w:p w:rsidR="0073463C" w:rsidRPr="00432E0D" w:rsidRDefault="00BE77EA" w:rsidP="00BE77EA">
            <w:pPr>
              <w:pStyle w:val="NormalWeb"/>
              <w:spacing w:before="0" w:beforeAutospacing="0" w:after="0" w:afterAutospacing="0"/>
              <w:rPr>
                <w:sz w:val="20"/>
                <w:szCs w:val="20"/>
              </w:rPr>
            </w:pPr>
            <w:r w:rsidRPr="00432E0D">
              <w:rPr>
                <w:sz w:val="20"/>
                <w:szCs w:val="20"/>
              </w:rPr>
              <w:t>202</w:t>
            </w:r>
            <w:r w:rsidR="0073463C" w:rsidRPr="00432E0D">
              <w:rPr>
                <w:sz w:val="20"/>
                <w:szCs w:val="20"/>
              </w:rPr>
              <w:t>-</w:t>
            </w:r>
            <w:r w:rsidRPr="00432E0D">
              <w:rPr>
                <w:sz w:val="20"/>
                <w:szCs w:val="20"/>
              </w:rPr>
              <w:t>3</w:t>
            </w:r>
            <w:r w:rsidR="0073463C" w:rsidRPr="00432E0D">
              <w:rPr>
                <w:sz w:val="20"/>
                <w:szCs w:val="20"/>
              </w:rPr>
              <w:t>5</w:t>
            </w:r>
            <w:r w:rsidRPr="00432E0D">
              <w:rPr>
                <w:sz w:val="20"/>
                <w:szCs w:val="20"/>
              </w:rPr>
              <w:t>8</w:t>
            </w:r>
            <w:r w:rsidR="0073463C" w:rsidRPr="00432E0D">
              <w:rPr>
                <w:sz w:val="20"/>
                <w:szCs w:val="20"/>
              </w:rPr>
              <w:t>-</w:t>
            </w:r>
            <w:r w:rsidRPr="00432E0D">
              <w:rPr>
                <w:sz w:val="20"/>
                <w:szCs w:val="20"/>
              </w:rPr>
              <w:t>6216</w:t>
            </w:r>
            <w:r w:rsidR="0073463C" w:rsidRPr="00432E0D">
              <w:rPr>
                <w:sz w:val="20"/>
                <w:szCs w:val="20"/>
              </w:rPr>
              <w:t xml:space="preserve"> </w:t>
            </w:r>
          </w:p>
        </w:tc>
        <w:tc>
          <w:tcPr>
            <w:tcW w:w="2574" w:type="pct"/>
          </w:tcPr>
          <w:p w:rsidR="0073463C" w:rsidRPr="00432E0D" w:rsidRDefault="0073463C" w:rsidP="00FB5B4B">
            <w:pPr>
              <w:pStyle w:val="NormalSS"/>
              <w:spacing w:after="0"/>
              <w:ind w:firstLine="0"/>
              <w:rPr>
                <w:sz w:val="20"/>
                <w:szCs w:val="20"/>
              </w:rPr>
            </w:pPr>
            <w:proofErr w:type="spellStart"/>
            <w:r w:rsidRPr="00432E0D">
              <w:rPr>
                <w:sz w:val="20"/>
                <w:szCs w:val="20"/>
              </w:rPr>
              <w:t>Markay</w:t>
            </w:r>
            <w:proofErr w:type="spellEnd"/>
            <w:r w:rsidRPr="00432E0D">
              <w:rPr>
                <w:sz w:val="20"/>
                <w:szCs w:val="20"/>
              </w:rPr>
              <w:t xml:space="preserve"> Winston</w:t>
            </w:r>
          </w:p>
          <w:p w:rsidR="0073463C" w:rsidRPr="00432E0D" w:rsidRDefault="0073463C" w:rsidP="00FB5B4B">
            <w:pPr>
              <w:pStyle w:val="NormalSS"/>
              <w:spacing w:after="0"/>
              <w:ind w:firstLine="0"/>
              <w:rPr>
                <w:sz w:val="20"/>
                <w:szCs w:val="20"/>
              </w:rPr>
            </w:pPr>
            <w:r w:rsidRPr="00432E0D">
              <w:rPr>
                <w:sz w:val="20"/>
                <w:szCs w:val="20"/>
              </w:rPr>
              <w:t>Director of Student Services</w:t>
            </w:r>
          </w:p>
          <w:p w:rsidR="0073463C" w:rsidRPr="00432E0D" w:rsidRDefault="0073463C" w:rsidP="00FB5B4B">
            <w:pPr>
              <w:pStyle w:val="NormalSS"/>
              <w:spacing w:after="0"/>
              <w:ind w:firstLine="0"/>
              <w:rPr>
                <w:sz w:val="20"/>
                <w:szCs w:val="20"/>
              </w:rPr>
            </w:pPr>
            <w:r w:rsidRPr="00432E0D">
              <w:rPr>
                <w:sz w:val="20"/>
                <w:szCs w:val="20"/>
              </w:rPr>
              <w:t>Cincinnati Public School District</w:t>
            </w:r>
          </w:p>
          <w:p w:rsidR="001733F9" w:rsidRPr="00432E0D" w:rsidRDefault="0073463C" w:rsidP="00FB5B4B">
            <w:pPr>
              <w:pStyle w:val="NormalSS"/>
              <w:spacing w:after="0"/>
              <w:ind w:firstLine="0"/>
              <w:jc w:val="left"/>
              <w:rPr>
                <w:bCs/>
                <w:sz w:val="20"/>
                <w:szCs w:val="20"/>
              </w:rPr>
            </w:pPr>
            <w:r w:rsidRPr="00432E0D">
              <w:rPr>
                <w:bCs/>
                <w:sz w:val="20"/>
                <w:szCs w:val="20"/>
              </w:rPr>
              <w:t xml:space="preserve">P.O. Box 5381, </w:t>
            </w:r>
          </w:p>
          <w:p w:rsidR="0073463C" w:rsidRPr="00432E0D" w:rsidRDefault="0073463C" w:rsidP="00FB5B4B">
            <w:pPr>
              <w:pStyle w:val="NormalSS"/>
              <w:spacing w:after="0"/>
              <w:ind w:firstLine="0"/>
              <w:jc w:val="left"/>
              <w:rPr>
                <w:bCs/>
                <w:sz w:val="20"/>
                <w:szCs w:val="20"/>
              </w:rPr>
            </w:pPr>
            <w:r w:rsidRPr="00432E0D">
              <w:rPr>
                <w:bCs/>
                <w:sz w:val="20"/>
                <w:szCs w:val="20"/>
              </w:rPr>
              <w:t xml:space="preserve">2651 Burnet Avenue, </w:t>
            </w:r>
          </w:p>
          <w:p w:rsidR="0073463C" w:rsidRPr="00432E0D" w:rsidRDefault="0073463C" w:rsidP="00FB5B4B">
            <w:pPr>
              <w:pStyle w:val="NormalSS"/>
              <w:spacing w:after="0"/>
              <w:ind w:firstLine="0"/>
              <w:jc w:val="left"/>
              <w:rPr>
                <w:bCs/>
                <w:sz w:val="20"/>
                <w:szCs w:val="20"/>
              </w:rPr>
            </w:pPr>
            <w:r w:rsidRPr="00432E0D">
              <w:rPr>
                <w:bCs/>
                <w:sz w:val="20"/>
                <w:szCs w:val="20"/>
              </w:rPr>
              <w:t>Cincinnati, OH 45219</w:t>
            </w:r>
          </w:p>
          <w:p w:rsidR="001733F9" w:rsidRPr="00432E0D" w:rsidRDefault="00F73571" w:rsidP="001733F9">
            <w:pPr>
              <w:pStyle w:val="NormalSS"/>
              <w:spacing w:after="0"/>
              <w:ind w:firstLine="0"/>
              <w:jc w:val="left"/>
              <w:rPr>
                <w:bCs/>
                <w:sz w:val="20"/>
                <w:szCs w:val="20"/>
              </w:rPr>
            </w:pPr>
            <w:hyperlink r:id="rId38" w:history="1">
              <w:r w:rsidR="001733F9" w:rsidRPr="00432E0D">
                <w:rPr>
                  <w:rStyle w:val="Hyperlink"/>
                  <w:bCs/>
                  <w:sz w:val="20"/>
                  <w:szCs w:val="20"/>
                </w:rPr>
                <w:t>winstom@cps-k12.org</w:t>
              </w:r>
            </w:hyperlink>
          </w:p>
          <w:p w:rsidR="0073463C" w:rsidRPr="00432E0D" w:rsidRDefault="0073463C" w:rsidP="001733F9">
            <w:pPr>
              <w:pStyle w:val="NormalSS"/>
              <w:spacing w:after="0"/>
              <w:ind w:firstLine="0"/>
              <w:jc w:val="left"/>
              <w:rPr>
                <w:sz w:val="20"/>
                <w:szCs w:val="20"/>
              </w:rPr>
            </w:pPr>
            <w:r w:rsidRPr="00432E0D">
              <w:rPr>
                <w:bCs/>
                <w:sz w:val="20"/>
                <w:szCs w:val="20"/>
              </w:rPr>
              <w:t>513-363-0</w:t>
            </w:r>
            <w:r w:rsidR="001733F9" w:rsidRPr="00432E0D">
              <w:rPr>
                <w:bCs/>
                <w:sz w:val="20"/>
                <w:szCs w:val="20"/>
              </w:rPr>
              <w:t>3</w:t>
            </w:r>
            <w:r w:rsidRPr="00432E0D">
              <w:rPr>
                <w:bCs/>
                <w:sz w:val="20"/>
                <w:szCs w:val="20"/>
              </w:rPr>
              <w:t>00</w:t>
            </w:r>
          </w:p>
        </w:tc>
      </w:tr>
    </w:tbl>
    <w:p w:rsidR="0073463C" w:rsidRDefault="003148C5" w:rsidP="002B68FD">
      <w:pPr>
        <w:pStyle w:val="NormalSS"/>
        <w:spacing w:after="0"/>
        <w:ind w:firstLine="0"/>
        <w:rPr>
          <w:b/>
        </w:rPr>
      </w:pPr>
      <w:r w:rsidRPr="003148C5">
        <w:rPr>
          <w:b/>
        </w:rPr>
        <w:lastRenderedPageBreak/>
        <w:t>c.</w:t>
      </w:r>
      <w:r>
        <w:rPr>
          <w:b/>
        </w:rPr>
        <w:tab/>
        <w:t>U</w:t>
      </w:r>
      <w:r w:rsidR="0073463C" w:rsidRPr="003148C5">
        <w:rPr>
          <w:b/>
        </w:rPr>
        <w:t>nresolved Issues</w:t>
      </w:r>
    </w:p>
    <w:p w:rsidR="002B68FD" w:rsidRPr="003148C5" w:rsidRDefault="002B68FD" w:rsidP="002B68FD">
      <w:pPr>
        <w:pStyle w:val="NormalSS"/>
        <w:spacing w:after="0"/>
        <w:ind w:firstLine="0"/>
        <w:rPr>
          <w:b/>
        </w:rPr>
      </w:pPr>
    </w:p>
    <w:p w:rsidR="0073463C" w:rsidRDefault="0073463C" w:rsidP="002B68FD">
      <w:pPr>
        <w:pStyle w:val="ParagraphSSLAST"/>
        <w:spacing w:after="0"/>
      </w:pPr>
      <w:r w:rsidRPr="00432E0D">
        <w:t>There are no unresolved issues.</w:t>
      </w:r>
    </w:p>
    <w:p w:rsidR="002B68FD" w:rsidRPr="002B68FD" w:rsidRDefault="002B68FD" w:rsidP="002B68FD">
      <w:pPr>
        <w:spacing w:line="240" w:lineRule="auto"/>
      </w:pPr>
    </w:p>
    <w:p w:rsidR="0073463C" w:rsidRDefault="0073463C" w:rsidP="002B68FD">
      <w:pPr>
        <w:pStyle w:val="Heading3"/>
        <w:spacing w:after="0"/>
      </w:pPr>
      <w:bookmarkStart w:id="91" w:name="_Toc63827182"/>
      <w:bookmarkStart w:id="92" w:name="_Toc70752931"/>
      <w:bookmarkStart w:id="93" w:name="_Toc213228323"/>
      <w:bookmarkStart w:id="94" w:name="_Toc276390671"/>
      <w:bookmarkStart w:id="95" w:name="_Toc276988160"/>
      <w:bookmarkStart w:id="96" w:name="_Toc277079579"/>
      <w:bookmarkStart w:id="97" w:name="_Toc283908719"/>
      <w:bookmarkStart w:id="98" w:name="_Toc298415689"/>
      <w:bookmarkStart w:id="99" w:name="_Toc298418570"/>
      <w:r w:rsidRPr="00432E0D">
        <w:t>9.</w:t>
      </w:r>
      <w:r w:rsidRPr="00432E0D">
        <w:tab/>
        <w:t>Payment or Gift to Respondent</w:t>
      </w:r>
      <w:bookmarkEnd w:id="91"/>
      <w:bookmarkEnd w:id="92"/>
      <w:r w:rsidRPr="00432E0D">
        <w:t>s</w:t>
      </w:r>
      <w:bookmarkEnd w:id="93"/>
      <w:bookmarkEnd w:id="94"/>
      <w:bookmarkEnd w:id="95"/>
      <w:bookmarkEnd w:id="96"/>
      <w:bookmarkEnd w:id="97"/>
      <w:bookmarkEnd w:id="98"/>
      <w:bookmarkEnd w:id="99"/>
    </w:p>
    <w:p w:rsidR="00DD1D1C" w:rsidRPr="00DD1D1C" w:rsidRDefault="00DD1D1C" w:rsidP="00DD1D1C">
      <w:pPr>
        <w:spacing w:line="240" w:lineRule="auto"/>
      </w:pPr>
    </w:p>
    <w:p w:rsidR="00A566F3" w:rsidRPr="00DD0407" w:rsidRDefault="00D62CF0" w:rsidP="003148C5">
      <w:pPr>
        <w:pStyle w:val="NormalSS"/>
      </w:pPr>
      <w:r>
        <w:t>Th</w:t>
      </w:r>
      <w:r w:rsidR="000616D9">
        <w:t>e</w:t>
      </w:r>
      <w:r w:rsidR="00A566F3">
        <w:t xml:space="preserve"> study design has incorporated a monetary incentive for all </w:t>
      </w:r>
      <w:r w:rsidR="003F5115">
        <w:t xml:space="preserve">survey </w:t>
      </w:r>
      <w:r w:rsidR="00A566F3">
        <w:t xml:space="preserve">respondents, based on the current literature in this field, as well as the amount of anticipated burden each respondent will </w:t>
      </w:r>
      <w:r w:rsidR="00B4133F">
        <w:t>experience</w:t>
      </w:r>
      <w:r w:rsidR="00A566F3">
        <w:t xml:space="preserve">. </w:t>
      </w:r>
      <w:r w:rsidR="00A566F3" w:rsidRPr="006A5748">
        <w:t>Table</w:t>
      </w:r>
      <w:r w:rsidR="0064185E" w:rsidRPr="006A5748">
        <w:t xml:space="preserve"> A.3</w:t>
      </w:r>
      <w:r w:rsidR="00A566F3">
        <w:t xml:space="preserve"> summarizes the anticipated time required by each type of survey respondent and proposed incentives for the respondents to the </w:t>
      </w:r>
      <w:r w:rsidR="00B4133F">
        <w:t>s</w:t>
      </w:r>
      <w:r w:rsidR="00A566F3">
        <w:t>pring 2012 baseline data collection for N</w:t>
      </w:r>
      <w:r w:rsidR="00B4133F">
        <w:t>LTS</w:t>
      </w:r>
      <w:r w:rsidR="00A566F3">
        <w:t xml:space="preserve"> 2012. </w:t>
      </w:r>
      <w:r w:rsidR="003F5115">
        <w:t xml:space="preserve">A detailed discussion of the rationale for </w:t>
      </w:r>
      <w:r w:rsidR="00994196">
        <w:t xml:space="preserve">the incentive offered </w:t>
      </w:r>
      <w:r w:rsidR="003F5115">
        <w:t>to each respondent group follows.</w:t>
      </w:r>
    </w:p>
    <w:p w:rsidR="00A566F3" w:rsidRPr="00422C8E" w:rsidRDefault="00A566F3" w:rsidP="005D4A7F">
      <w:pPr>
        <w:pStyle w:val="MarkforTableHeading"/>
      </w:pPr>
      <w:bookmarkStart w:id="100" w:name="_Toc298421288"/>
      <w:r w:rsidRPr="00422C8E">
        <w:t>Table</w:t>
      </w:r>
      <w:r w:rsidR="0064185E" w:rsidRPr="00422C8E">
        <w:t xml:space="preserve"> A.3</w:t>
      </w:r>
      <w:r w:rsidRPr="00422C8E">
        <w:t>. Baseline Data Collection Summary</w:t>
      </w:r>
      <w:r w:rsidR="0064185E" w:rsidRPr="00422C8E">
        <w:t xml:space="preserve"> </w:t>
      </w:r>
      <w:r w:rsidR="00B4133F" w:rsidRPr="00422C8E">
        <w:t>b</w:t>
      </w:r>
      <w:r w:rsidR="0064185E" w:rsidRPr="00422C8E">
        <w:t>y Instrument</w:t>
      </w:r>
      <w:bookmarkEnd w:id="100"/>
      <w:r w:rsidRPr="00422C8E">
        <w:t xml:space="preserve"> </w:t>
      </w:r>
    </w:p>
    <w:tbl>
      <w:tblPr>
        <w:tblW w:w="0" w:type="auto"/>
        <w:tblLook w:val="04A0"/>
      </w:tblPr>
      <w:tblGrid>
        <w:gridCol w:w="3168"/>
        <w:gridCol w:w="1890"/>
        <w:gridCol w:w="2395"/>
        <w:gridCol w:w="2123"/>
      </w:tblGrid>
      <w:tr w:rsidR="00A566F3" w:rsidRPr="00841262" w:rsidTr="0075608D">
        <w:trPr>
          <w:trHeight w:val="413"/>
        </w:trPr>
        <w:tc>
          <w:tcPr>
            <w:tcW w:w="3168" w:type="dxa"/>
            <w:tcBorders>
              <w:top w:val="single" w:sz="4" w:space="0" w:color="auto"/>
              <w:bottom w:val="single" w:sz="4" w:space="0" w:color="auto"/>
            </w:tcBorders>
          </w:tcPr>
          <w:p w:rsidR="00A566F3" w:rsidRPr="0075376A" w:rsidRDefault="00A566F3" w:rsidP="00A566F3">
            <w:pPr>
              <w:pStyle w:val="NormalSS"/>
              <w:tabs>
                <w:tab w:val="clear" w:pos="432"/>
              </w:tabs>
              <w:spacing w:before="120" w:after="60"/>
              <w:ind w:firstLine="0"/>
              <w:rPr>
                <w:b/>
                <w:i/>
                <w:sz w:val="20"/>
              </w:rPr>
            </w:pPr>
            <w:r w:rsidRPr="0075376A">
              <w:rPr>
                <w:b/>
                <w:i/>
                <w:sz w:val="20"/>
              </w:rPr>
              <w:t>Respondent</w:t>
            </w:r>
          </w:p>
        </w:tc>
        <w:tc>
          <w:tcPr>
            <w:tcW w:w="1890" w:type="dxa"/>
            <w:tcBorders>
              <w:top w:val="single" w:sz="4" w:space="0" w:color="auto"/>
              <w:bottom w:val="single" w:sz="4" w:space="0" w:color="auto"/>
            </w:tcBorders>
          </w:tcPr>
          <w:p w:rsidR="00A566F3" w:rsidRPr="0075376A" w:rsidRDefault="00A566F3" w:rsidP="00A566F3">
            <w:pPr>
              <w:pStyle w:val="NormalSS"/>
              <w:tabs>
                <w:tab w:val="clear" w:pos="432"/>
              </w:tabs>
              <w:spacing w:before="120" w:after="60"/>
              <w:ind w:firstLine="0"/>
              <w:jc w:val="center"/>
              <w:rPr>
                <w:b/>
                <w:i/>
                <w:sz w:val="20"/>
              </w:rPr>
            </w:pPr>
            <w:r w:rsidRPr="0075376A">
              <w:rPr>
                <w:b/>
                <w:i/>
                <w:sz w:val="20"/>
              </w:rPr>
              <w:t>Interview Length</w:t>
            </w:r>
          </w:p>
        </w:tc>
        <w:tc>
          <w:tcPr>
            <w:tcW w:w="2395" w:type="dxa"/>
            <w:tcBorders>
              <w:top w:val="single" w:sz="4" w:space="0" w:color="auto"/>
              <w:bottom w:val="single" w:sz="4" w:space="0" w:color="auto"/>
            </w:tcBorders>
          </w:tcPr>
          <w:p w:rsidR="00A566F3" w:rsidRPr="0075376A" w:rsidRDefault="00A566F3" w:rsidP="00A566F3">
            <w:pPr>
              <w:pStyle w:val="NormalSS"/>
              <w:tabs>
                <w:tab w:val="clear" w:pos="432"/>
              </w:tabs>
              <w:spacing w:before="120" w:after="60"/>
              <w:ind w:firstLine="0"/>
              <w:jc w:val="center"/>
              <w:rPr>
                <w:b/>
                <w:i/>
                <w:sz w:val="20"/>
              </w:rPr>
            </w:pPr>
            <w:r>
              <w:rPr>
                <w:b/>
                <w:i/>
                <w:sz w:val="20"/>
              </w:rPr>
              <w:t>Mode of Interview</w:t>
            </w:r>
          </w:p>
        </w:tc>
        <w:tc>
          <w:tcPr>
            <w:tcW w:w="2123" w:type="dxa"/>
            <w:tcBorders>
              <w:top w:val="single" w:sz="4" w:space="0" w:color="auto"/>
              <w:bottom w:val="single" w:sz="4" w:space="0" w:color="auto"/>
            </w:tcBorders>
          </w:tcPr>
          <w:p w:rsidR="00A566F3" w:rsidRPr="0075376A" w:rsidRDefault="00A566F3" w:rsidP="00A566F3">
            <w:pPr>
              <w:pStyle w:val="NormalSS"/>
              <w:tabs>
                <w:tab w:val="clear" w:pos="432"/>
              </w:tabs>
              <w:spacing w:before="120" w:after="60"/>
              <w:ind w:firstLine="0"/>
              <w:jc w:val="center"/>
              <w:rPr>
                <w:b/>
                <w:i/>
                <w:sz w:val="20"/>
              </w:rPr>
            </w:pPr>
            <w:r w:rsidRPr="0075376A">
              <w:rPr>
                <w:b/>
                <w:i/>
                <w:sz w:val="20"/>
              </w:rPr>
              <w:t>Incentive</w:t>
            </w:r>
          </w:p>
        </w:tc>
      </w:tr>
      <w:tr w:rsidR="00A566F3" w:rsidRPr="00841262" w:rsidTr="0075608D">
        <w:tc>
          <w:tcPr>
            <w:tcW w:w="3168" w:type="dxa"/>
            <w:tcBorders>
              <w:top w:val="single" w:sz="4" w:space="0" w:color="auto"/>
            </w:tcBorders>
          </w:tcPr>
          <w:p w:rsidR="00A566F3" w:rsidRPr="0075376A" w:rsidRDefault="00A566F3" w:rsidP="0075111A">
            <w:pPr>
              <w:pStyle w:val="NormalSS"/>
              <w:tabs>
                <w:tab w:val="clear" w:pos="432"/>
              </w:tabs>
              <w:spacing w:after="0"/>
              <w:ind w:firstLine="0"/>
              <w:jc w:val="left"/>
              <w:rPr>
                <w:sz w:val="20"/>
              </w:rPr>
            </w:pPr>
            <w:r w:rsidRPr="0075376A">
              <w:rPr>
                <w:sz w:val="20"/>
              </w:rPr>
              <w:t>Principal</w:t>
            </w:r>
          </w:p>
        </w:tc>
        <w:tc>
          <w:tcPr>
            <w:tcW w:w="1890" w:type="dxa"/>
            <w:tcBorders>
              <w:top w:val="single" w:sz="4" w:space="0" w:color="auto"/>
            </w:tcBorders>
          </w:tcPr>
          <w:p w:rsidR="002069E5" w:rsidRDefault="00A566F3">
            <w:pPr>
              <w:pStyle w:val="NormalSS"/>
              <w:tabs>
                <w:tab w:val="clear" w:pos="432"/>
              </w:tabs>
              <w:spacing w:after="0"/>
              <w:ind w:firstLine="0"/>
              <w:jc w:val="left"/>
              <w:rPr>
                <w:sz w:val="20"/>
              </w:rPr>
            </w:pPr>
            <w:r w:rsidRPr="0075376A">
              <w:rPr>
                <w:sz w:val="20"/>
              </w:rPr>
              <w:t>30 minutes</w:t>
            </w:r>
          </w:p>
        </w:tc>
        <w:tc>
          <w:tcPr>
            <w:tcW w:w="2395" w:type="dxa"/>
            <w:tcBorders>
              <w:top w:val="single" w:sz="4" w:space="0" w:color="auto"/>
            </w:tcBorders>
          </w:tcPr>
          <w:p w:rsidR="002069E5" w:rsidRDefault="00A566F3">
            <w:pPr>
              <w:pStyle w:val="NormalSS"/>
              <w:tabs>
                <w:tab w:val="clear" w:pos="432"/>
              </w:tabs>
              <w:spacing w:after="0"/>
              <w:ind w:firstLine="0"/>
              <w:jc w:val="left"/>
              <w:rPr>
                <w:sz w:val="20"/>
              </w:rPr>
            </w:pPr>
            <w:r>
              <w:rPr>
                <w:sz w:val="20"/>
              </w:rPr>
              <w:t xml:space="preserve">Self-administered: </w:t>
            </w:r>
            <w:r w:rsidR="007503EE">
              <w:rPr>
                <w:sz w:val="20"/>
              </w:rPr>
              <w:t>w</w:t>
            </w:r>
            <w:r>
              <w:rPr>
                <w:sz w:val="20"/>
              </w:rPr>
              <w:t>eb</w:t>
            </w:r>
          </w:p>
          <w:p w:rsidR="002069E5" w:rsidRDefault="00A566F3">
            <w:pPr>
              <w:pStyle w:val="NormalSS"/>
              <w:tabs>
                <w:tab w:val="clear" w:pos="432"/>
              </w:tabs>
              <w:spacing w:after="0"/>
              <w:ind w:firstLine="0"/>
              <w:jc w:val="left"/>
              <w:rPr>
                <w:sz w:val="20"/>
              </w:rPr>
            </w:pPr>
            <w:r>
              <w:rPr>
                <w:sz w:val="20"/>
              </w:rPr>
              <w:t>(option of fax or phone)</w:t>
            </w:r>
          </w:p>
        </w:tc>
        <w:tc>
          <w:tcPr>
            <w:tcW w:w="2123" w:type="dxa"/>
            <w:tcBorders>
              <w:top w:val="single" w:sz="4" w:space="0" w:color="auto"/>
            </w:tcBorders>
          </w:tcPr>
          <w:p w:rsidR="002069E5" w:rsidRDefault="00A566F3">
            <w:pPr>
              <w:pStyle w:val="NormalSS"/>
              <w:tabs>
                <w:tab w:val="clear" w:pos="432"/>
              </w:tabs>
              <w:spacing w:after="0"/>
              <w:ind w:firstLine="0"/>
              <w:jc w:val="left"/>
              <w:rPr>
                <w:sz w:val="20"/>
              </w:rPr>
            </w:pPr>
            <w:r w:rsidRPr="0075376A">
              <w:rPr>
                <w:sz w:val="20"/>
              </w:rPr>
              <w:t>$25</w:t>
            </w:r>
          </w:p>
        </w:tc>
      </w:tr>
      <w:tr w:rsidR="00A566F3" w:rsidRPr="00841262" w:rsidTr="0075111A">
        <w:tc>
          <w:tcPr>
            <w:tcW w:w="3168" w:type="dxa"/>
          </w:tcPr>
          <w:p w:rsidR="00A566F3" w:rsidRPr="0075376A" w:rsidRDefault="00A566F3" w:rsidP="0075111A">
            <w:pPr>
              <w:pStyle w:val="NormalSS"/>
              <w:tabs>
                <w:tab w:val="clear" w:pos="432"/>
              </w:tabs>
              <w:spacing w:after="0"/>
              <w:ind w:firstLine="0"/>
              <w:jc w:val="left"/>
              <w:rPr>
                <w:sz w:val="20"/>
              </w:rPr>
            </w:pPr>
            <w:r w:rsidRPr="0075376A">
              <w:rPr>
                <w:sz w:val="20"/>
              </w:rPr>
              <w:t xml:space="preserve">Math or </w:t>
            </w:r>
            <w:r w:rsidR="007503EE">
              <w:rPr>
                <w:sz w:val="20"/>
              </w:rPr>
              <w:t>l</w:t>
            </w:r>
            <w:r w:rsidRPr="0075376A">
              <w:rPr>
                <w:sz w:val="20"/>
              </w:rPr>
              <w:t xml:space="preserve">anguage </w:t>
            </w:r>
            <w:r w:rsidR="007503EE">
              <w:rPr>
                <w:sz w:val="20"/>
              </w:rPr>
              <w:t>a</w:t>
            </w:r>
            <w:r w:rsidRPr="0075376A">
              <w:rPr>
                <w:sz w:val="20"/>
              </w:rPr>
              <w:t xml:space="preserve">rts </w:t>
            </w:r>
            <w:r w:rsidR="007503EE">
              <w:rPr>
                <w:sz w:val="20"/>
              </w:rPr>
              <w:t>t</w:t>
            </w:r>
            <w:r w:rsidRPr="0075376A">
              <w:rPr>
                <w:sz w:val="20"/>
              </w:rPr>
              <w:t>eacher</w:t>
            </w:r>
          </w:p>
        </w:tc>
        <w:tc>
          <w:tcPr>
            <w:tcW w:w="1890" w:type="dxa"/>
          </w:tcPr>
          <w:p w:rsidR="002069E5" w:rsidRDefault="0075111A">
            <w:pPr>
              <w:pStyle w:val="NormalSS"/>
              <w:tabs>
                <w:tab w:val="clear" w:pos="432"/>
              </w:tabs>
              <w:spacing w:after="0"/>
              <w:ind w:firstLine="0"/>
              <w:jc w:val="left"/>
              <w:rPr>
                <w:sz w:val="20"/>
              </w:rPr>
            </w:pPr>
            <w:r>
              <w:rPr>
                <w:sz w:val="20"/>
              </w:rPr>
              <w:t>30</w:t>
            </w:r>
            <w:r w:rsidRPr="0075376A">
              <w:rPr>
                <w:sz w:val="20"/>
              </w:rPr>
              <w:t xml:space="preserve"> </w:t>
            </w:r>
            <w:r w:rsidR="00A566F3" w:rsidRPr="0075376A">
              <w:rPr>
                <w:sz w:val="20"/>
              </w:rPr>
              <w:t>minutes</w:t>
            </w:r>
          </w:p>
        </w:tc>
        <w:tc>
          <w:tcPr>
            <w:tcW w:w="2395" w:type="dxa"/>
          </w:tcPr>
          <w:p w:rsidR="002069E5" w:rsidRDefault="00A566F3">
            <w:pPr>
              <w:pStyle w:val="NormalSS"/>
              <w:tabs>
                <w:tab w:val="clear" w:pos="432"/>
              </w:tabs>
              <w:spacing w:after="0"/>
              <w:ind w:firstLine="0"/>
              <w:jc w:val="left"/>
              <w:rPr>
                <w:sz w:val="20"/>
              </w:rPr>
            </w:pPr>
            <w:r>
              <w:rPr>
                <w:sz w:val="20"/>
              </w:rPr>
              <w:t xml:space="preserve">Self-administered: </w:t>
            </w:r>
            <w:r w:rsidR="007503EE">
              <w:rPr>
                <w:sz w:val="20"/>
              </w:rPr>
              <w:t>w</w:t>
            </w:r>
            <w:r>
              <w:rPr>
                <w:sz w:val="20"/>
              </w:rPr>
              <w:t>eb</w:t>
            </w:r>
          </w:p>
          <w:p w:rsidR="002069E5" w:rsidRDefault="00A566F3">
            <w:pPr>
              <w:pStyle w:val="NormalSS"/>
              <w:tabs>
                <w:tab w:val="clear" w:pos="432"/>
              </w:tabs>
              <w:spacing w:after="0"/>
              <w:ind w:firstLine="0"/>
              <w:jc w:val="left"/>
              <w:rPr>
                <w:sz w:val="20"/>
              </w:rPr>
            </w:pPr>
            <w:r>
              <w:rPr>
                <w:sz w:val="20"/>
              </w:rPr>
              <w:t>(option of fax or phone)</w:t>
            </w:r>
          </w:p>
        </w:tc>
        <w:tc>
          <w:tcPr>
            <w:tcW w:w="2123" w:type="dxa"/>
          </w:tcPr>
          <w:p w:rsidR="002069E5" w:rsidRDefault="00A566F3">
            <w:pPr>
              <w:pStyle w:val="NormalSS"/>
              <w:tabs>
                <w:tab w:val="clear" w:pos="432"/>
              </w:tabs>
              <w:spacing w:after="0"/>
              <w:ind w:firstLine="0"/>
              <w:jc w:val="left"/>
              <w:rPr>
                <w:sz w:val="20"/>
              </w:rPr>
            </w:pPr>
            <w:r w:rsidRPr="0075376A">
              <w:rPr>
                <w:sz w:val="20"/>
              </w:rPr>
              <w:t>$25 per student</w:t>
            </w:r>
          </w:p>
        </w:tc>
      </w:tr>
      <w:tr w:rsidR="00A566F3" w:rsidRPr="00841262" w:rsidTr="0075111A">
        <w:tc>
          <w:tcPr>
            <w:tcW w:w="3168" w:type="dxa"/>
          </w:tcPr>
          <w:p w:rsidR="00A566F3" w:rsidRPr="0075376A" w:rsidRDefault="00A566F3" w:rsidP="0075111A">
            <w:pPr>
              <w:pStyle w:val="NormalSS"/>
              <w:tabs>
                <w:tab w:val="clear" w:pos="432"/>
              </w:tabs>
              <w:spacing w:after="0"/>
              <w:ind w:firstLine="0"/>
              <w:jc w:val="left"/>
              <w:rPr>
                <w:sz w:val="20"/>
              </w:rPr>
            </w:pPr>
            <w:r w:rsidRPr="0075376A">
              <w:rPr>
                <w:sz w:val="20"/>
              </w:rPr>
              <w:t xml:space="preserve">Special </w:t>
            </w:r>
            <w:r w:rsidR="007503EE">
              <w:rPr>
                <w:sz w:val="20"/>
              </w:rPr>
              <w:t>e</w:t>
            </w:r>
            <w:r w:rsidRPr="0075376A">
              <w:rPr>
                <w:sz w:val="20"/>
              </w:rPr>
              <w:t xml:space="preserve">ducation </w:t>
            </w:r>
            <w:r w:rsidR="007503EE">
              <w:rPr>
                <w:sz w:val="20"/>
              </w:rPr>
              <w:t>t</w:t>
            </w:r>
            <w:r w:rsidRPr="0075376A">
              <w:rPr>
                <w:sz w:val="20"/>
              </w:rPr>
              <w:t>eacher</w:t>
            </w:r>
          </w:p>
        </w:tc>
        <w:tc>
          <w:tcPr>
            <w:tcW w:w="1890" w:type="dxa"/>
          </w:tcPr>
          <w:p w:rsidR="002069E5" w:rsidRDefault="0075111A">
            <w:pPr>
              <w:pStyle w:val="NormalSS"/>
              <w:tabs>
                <w:tab w:val="clear" w:pos="432"/>
              </w:tabs>
              <w:spacing w:after="0"/>
              <w:ind w:firstLine="0"/>
              <w:jc w:val="left"/>
              <w:rPr>
                <w:sz w:val="20"/>
              </w:rPr>
            </w:pPr>
            <w:r>
              <w:rPr>
                <w:sz w:val="20"/>
              </w:rPr>
              <w:t>30</w:t>
            </w:r>
            <w:r w:rsidRPr="0075376A">
              <w:rPr>
                <w:sz w:val="20"/>
              </w:rPr>
              <w:t xml:space="preserve"> </w:t>
            </w:r>
            <w:r w:rsidR="00A566F3" w:rsidRPr="0075376A">
              <w:rPr>
                <w:sz w:val="20"/>
              </w:rPr>
              <w:t>minutes</w:t>
            </w:r>
          </w:p>
        </w:tc>
        <w:tc>
          <w:tcPr>
            <w:tcW w:w="2395" w:type="dxa"/>
          </w:tcPr>
          <w:p w:rsidR="002069E5" w:rsidRDefault="00A566F3">
            <w:pPr>
              <w:pStyle w:val="NormalSS"/>
              <w:tabs>
                <w:tab w:val="clear" w:pos="432"/>
              </w:tabs>
              <w:spacing w:after="0"/>
              <w:ind w:firstLine="0"/>
              <w:jc w:val="left"/>
              <w:rPr>
                <w:sz w:val="20"/>
              </w:rPr>
            </w:pPr>
            <w:r>
              <w:rPr>
                <w:sz w:val="20"/>
              </w:rPr>
              <w:t xml:space="preserve">Self-administered: </w:t>
            </w:r>
            <w:r w:rsidR="007503EE">
              <w:rPr>
                <w:sz w:val="20"/>
              </w:rPr>
              <w:t>w</w:t>
            </w:r>
            <w:r>
              <w:rPr>
                <w:sz w:val="20"/>
              </w:rPr>
              <w:t>eb</w:t>
            </w:r>
          </w:p>
          <w:p w:rsidR="002069E5" w:rsidRDefault="00A566F3">
            <w:pPr>
              <w:pStyle w:val="NormalSS"/>
              <w:tabs>
                <w:tab w:val="clear" w:pos="432"/>
              </w:tabs>
              <w:spacing w:after="0"/>
              <w:ind w:firstLine="0"/>
              <w:jc w:val="left"/>
              <w:rPr>
                <w:sz w:val="20"/>
              </w:rPr>
            </w:pPr>
            <w:r>
              <w:rPr>
                <w:sz w:val="20"/>
              </w:rPr>
              <w:t>(option of fax or phone)</w:t>
            </w:r>
          </w:p>
        </w:tc>
        <w:tc>
          <w:tcPr>
            <w:tcW w:w="2123" w:type="dxa"/>
          </w:tcPr>
          <w:p w:rsidR="002069E5" w:rsidRDefault="00A566F3">
            <w:pPr>
              <w:pStyle w:val="NormalSS"/>
              <w:tabs>
                <w:tab w:val="clear" w:pos="432"/>
              </w:tabs>
              <w:spacing w:after="0"/>
              <w:ind w:firstLine="0"/>
              <w:jc w:val="left"/>
              <w:rPr>
                <w:sz w:val="20"/>
              </w:rPr>
            </w:pPr>
            <w:r>
              <w:rPr>
                <w:sz w:val="20"/>
              </w:rPr>
              <w:t>$25</w:t>
            </w:r>
            <w:r w:rsidRPr="0075376A">
              <w:rPr>
                <w:sz w:val="20"/>
              </w:rPr>
              <w:t xml:space="preserve"> per student</w:t>
            </w:r>
          </w:p>
        </w:tc>
      </w:tr>
      <w:tr w:rsidR="00A566F3" w:rsidRPr="00841262" w:rsidTr="005A501A">
        <w:tc>
          <w:tcPr>
            <w:tcW w:w="3168" w:type="dxa"/>
          </w:tcPr>
          <w:p w:rsidR="003866F4" w:rsidRDefault="00A566F3" w:rsidP="0075111A">
            <w:pPr>
              <w:pStyle w:val="NormalSS"/>
              <w:tabs>
                <w:tab w:val="clear" w:pos="432"/>
              </w:tabs>
              <w:spacing w:after="0"/>
              <w:ind w:left="288" w:hanging="288"/>
              <w:jc w:val="left"/>
              <w:rPr>
                <w:sz w:val="20"/>
              </w:rPr>
            </w:pPr>
            <w:r w:rsidRPr="0075376A">
              <w:rPr>
                <w:sz w:val="20"/>
              </w:rPr>
              <w:t>Parent (</w:t>
            </w:r>
            <w:r w:rsidR="007503EE">
              <w:rPr>
                <w:sz w:val="20"/>
              </w:rPr>
              <w:t>i</w:t>
            </w:r>
            <w:r w:rsidRPr="0075376A">
              <w:rPr>
                <w:sz w:val="20"/>
              </w:rPr>
              <w:t>nterview)</w:t>
            </w:r>
            <w:r>
              <w:rPr>
                <w:sz w:val="20"/>
              </w:rPr>
              <w:t>/</w:t>
            </w:r>
            <w:r w:rsidR="007503EE">
              <w:rPr>
                <w:sz w:val="20"/>
              </w:rPr>
              <w:br/>
            </w:r>
            <w:r>
              <w:rPr>
                <w:sz w:val="20"/>
              </w:rPr>
              <w:t>contact consent</w:t>
            </w:r>
          </w:p>
        </w:tc>
        <w:tc>
          <w:tcPr>
            <w:tcW w:w="1890" w:type="dxa"/>
          </w:tcPr>
          <w:p w:rsidR="002069E5" w:rsidRDefault="00A566F3">
            <w:pPr>
              <w:pStyle w:val="NormalSS"/>
              <w:tabs>
                <w:tab w:val="clear" w:pos="432"/>
              </w:tabs>
              <w:spacing w:after="0"/>
              <w:ind w:firstLine="0"/>
              <w:jc w:val="left"/>
              <w:rPr>
                <w:sz w:val="20"/>
              </w:rPr>
            </w:pPr>
            <w:r w:rsidRPr="0075376A">
              <w:rPr>
                <w:sz w:val="20"/>
              </w:rPr>
              <w:t>40 minutes</w:t>
            </w:r>
          </w:p>
        </w:tc>
        <w:tc>
          <w:tcPr>
            <w:tcW w:w="2395" w:type="dxa"/>
          </w:tcPr>
          <w:p w:rsidR="002069E5" w:rsidRDefault="00A566F3">
            <w:pPr>
              <w:pStyle w:val="NormalSS"/>
              <w:tabs>
                <w:tab w:val="clear" w:pos="432"/>
              </w:tabs>
              <w:spacing w:after="0"/>
              <w:ind w:firstLine="0"/>
              <w:jc w:val="left"/>
              <w:rPr>
                <w:sz w:val="20"/>
              </w:rPr>
            </w:pPr>
            <w:r>
              <w:rPr>
                <w:sz w:val="20"/>
              </w:rPr>
              <w:t>Telephone</w:t>
            </w:r>
          </w:p>
        </w:tc>
        <w:tc>
          <w:tcPr>
            <w:tcW w:w="2123" w:type="dxa"/>
          </w:tcPr>
          <w:p w:rsidR="002069E5" w:rsidRDefault="00A566F3">
            <w:pPr>
              <w:pStyle w:val="NormalSS"/>
              <w:tabs>
                <w:tab w:val="clear" w:pos="432"/>
              </w:tabs>
              <w:spacing w:after="0"/>
              <w:ind w:firstLine="0"/>
              <w:jc w:val="left"/>
              <w:rPr>
                <w:sz w:val="20"/>
              </w:rPr>
            </w:pPr>
            <w:r w:rsidRPr="0075376A">
              <w:rPr>
                <w:sz w:val="20"/>
              </w:rPr>
              <w:t>$20</w:t>
            </w:r>
          </w:p>
        </w:tc>
      </w:tr>
      <w:tr w:rsidR="00A566F3" w:rsidRPr="00841262" w:rsidTr="005A501A">
        <w:tc>
          <w:tcPr>
            <w:tcW w:w="3168" w:type="dxa"/>
            <w:tcBorders>
              <w:bottom w:val="single" w:sz="4" w:space="0" w:color="auto"/>
            </w:tcBorders>
          </w:tcPr>
          <w:p w:rsidR="003866F4" w:rsidRDefault="00A566F3" w:rsidP="0075111A">
            <w:pPr>
              <w:pStyle w:val="NormalSS"/>
              <w:tabs>
                <w:tab w:val="clear" w:pos="432"/>
              </w:tabs>
              <w:spacing w:after="0"/>
              <w:ind w:left="288" w:hanging="288"/>
              <w:jc w:val="left"/>
              <w:rPr>
                <w:sz w:val="20"/>
              </w:rPr>
            </w:pPr>
            <w:r w:rsidRPr="0075376A">
              <w:rPr>
                <w:sz w:val="20"/>
              </w:rPr>
              <w:t>Youth (Interview)</w:t>
            </w:r>
          </w:p>
        </w:tc>
        <w:tc>
          <w:tcPr>
            <w:tcW w:w="1890" w:type="dxa"/>
            <w:tcBorders>
              <w:bottom w:val="single" w:sz="4" w:space="0" w:color="auto"/>
            </w:tcBorders>
          </w:tcPr>
          <w:p w:rsidR="002069E5" w:rsidRDefault="00A566F3">
            <w:pPr>
              <w:pStyle w:val="NormalSS"/>
              <w:tabs>
                <w:tab w:val="clear" w:pos="432"/>
              </w:tabs>
              <w:spacing w:after="0"/>
              <w:ind w:firstLine="0"/>
              <w:jc w:val="left"/>
              <w:rPr>
                <w:sz w:val="20"/>
              </w:rPr>
            </w:pPr>
            <w:r w:rsidRPr="0075376A">
              <w:rPr>
                <w:sz w:val="20"/>
              </w:rPr>
              <w:t>30 minutes</w:t>
            </w:r>
          </w:p>
        </w:tc>
        <w:tc>
          <w:tcPr>
            <w:tcW w:w="2395" w:type="dxa"/>
            <w:tcBorders>
              <w:bottom w:val="single" w:sz="4" w:space="0" w:color="auto"/>
            </w:tcBorders>
          </w:tcPr>
          <w:p w:rsidR="002069E5" w:rsidRDefault="00A566F3">
            <w:pPr>
              <w:pStyle w:val="NormalSS"/>
              <w:tabs>
                <w:tab w:val="clear" w:pos="432"/>
              </w:tabs>
              <w:spacing w:after="0"/>
              <w:ind w:firstLine="0"/>
              <w:jc w:val="left"/>
              <w:rPr>
                <w:sz w:val="20"/>
              </w:rPr>
            </w:pPr>
            <w:r>
              <w:rPr>
                <w:sz w:val="20"/>
              </w:rPr>
              <w:t>Telephone</w:t>
            </w:r>
          </w:p>
        </w:tc>
        <w:tc>
          <w:tcPr>
            <w:tcW w:w="2123" w:type="dxa"/>
            <w:tcBorders>
              <w:bottom w:val="single" w:sz="4" w:space="0" w:color="auto"/>
            </w:tcBorders>
          </w:tcPr>
          <w:p w:rsidR="002069E5" w:rsidRDefault="00A566F3">
            <w:pPr>
              <w:pStyle w:val="NormalSS"/>
              <w:tabs>
                <w:tab w:val="clear" w:pos="432"/>
              </w:tabs>
              <w:spacing w:after="0"/>
              <w:ind w:firstLine="0"/>
              <w:jc w:val="left"/>
              <w:rPr>
                <w:sz w:val="20"/>
              </w:rPr>
            </w:pPr>
            <w:r w:rsidRPr="0075376A">
              <w:rPr>
                <w:sz w:val="20"/>
              </w:rPr>
              <w:t xml:space="preserve">$10 </w:t>
            </w:r>
            <w:r>
              <w:rPr>
                <w:sz w:val="20"/>
              </w:rPr>
              <w:t>via prepaid card</w:t>
            </w:r>
          </w:p>
        </w:tc>
      </w:tr>
    </w:tbl>
    <w:p w:rsidR="00A566F3" w:rsidRDefault="00A566F3" w:rsidP="008A1E86">
      <w:pPr>
        <w:pStyle w:val="NormalSS"/>
        <w:spacing w:after="0"/>
        <w:ind w:firstLine="0"/>
      </w:pPr>
    </w:p>
    <w:p w:rsidR="00EC05FD" w:rsidRDefault="00A566F3" w:rsidP="003148C5">
      <w:pPr>
        <w:pStyle w:val="NormalSS"/>
      </w:pPr>
      <w:r w:rsidRPr="00A566F3">
        <w:rPr>
          <w:b/>
        </w:rPr>
        <w:t>Principals.</w:t>
      </w:r>
      <w:r>
        <w:t xml:space="preserve"> </w:t>
      </w:r>
      <w:r w:rsidR="00510B31">
        <w:t>W</w:t>
      </w:r>
      <w:r w:rsidRPr="00962113">
        <w:t>e believe it is very important to offer a small incentive ($25) to the principal or the person he or she designates to complete the school characteristics questionnaire for NLTS 2012. This survey will take approximately 30 minutes and will ask principals to describe resources, programs</w:t>
      </w:r>
      <w:r w:rsidR="001B575F">
        <w:t>,</w:t>
      </w:r>
      <w:r w:rsidRPr="00962113">
        <w:t xml:space="preserve"> and policies of the school. It is vitally important that we obtain an adequate response from principals because the survey will provide both school context data and the means by which we will estimate students’ “access” to various programs and resources, not simply their participation.</w:t>
      </w:r>
      <w:r w:rsidR="00A4089E">
        <w:t xml:space="preserve"> </w:t>
      </w:r>
      <w:r w:rsidR="00112BCE">
        <w:t>Providing a token of thanks to p</w:t>
      </w:r>
      <w:r w:rsidRPr="00962113">
        <w:t xml:space="preserve">rincipals’ </w:t>
      </w:r>
      <w:r w:rsidR="00112BCE">
        <w:t xml:space="preserve">in appreciation for the their </w:t>
      </w:r>
      <w:r w:rsidRPr="00962113">
        <w:t xml:space="preserve">time </w:t>
      </w:r>
      <w:r w:rsidR="00112BCE">
        <w:t>spent completing</w:t>
      </w:r>
      <w:r w:rsidRPr="00962113">
        <w:t xml:space="preserve"> the survey </w:t>
      </w:r>
      <w:r w:rsidR="00112BCE">
        <w:t>can be</w:t>
      </w:r>
      <w:r w:rsidRPr="00962113">
        <w:t xml:space="preserve"> justified for several reasons.</w:t>
      </w:r>
      <w:r w:rsidR="00A4089E">
        <w:t xml:space="preserve"> </w:t>
      </w:r>
    </w:p>
    <w:p w:rsidR="00A566F3" w:rsidRPr="00962113" w:rsidRDefault="00A566F3" w:rsidP="003148C5">
      <w:pPr>
        <w:pStyle w:val="NormalSS"/>
      </w:pPr>
      <w:r w:rsidRPr="00962113">
        <w:t xml:space="preserve">First, although </w:t>
      </w:r>
      <w:r w:rsidR="00510B31">
        <w:t xml:space="preserve">some </w:t>
      </w:r>
      <w:r w:rsidRPr="00962113">
        <w:t xml:space="preserve">ED-sponsored </w:t>
      </w:r>
      <w:r w:rsidR="00510B31">
        <w:t xml:space="preserve">principal </w:t>
      </w:r>
      <w:r w:rsidRPr="00962113">
        <w:t xml:space="preserve">surveys </w:t>
      </w:r>
      <w:r w:rsidR="00510B31">
        <w:t xml:space="preserve">have not offered any </w:t>
      </w:r>
      <w:r w:rsidR="00994196">
        <w:t xml:space="preserve">incentive </w:t>
      </w:r>
      <w:r w:rsidR="00510B31">
        <w:t>payment to respondents, those surveys have differed from this one.</w:t>
      </w:r>
      <w:r w:rsidRPr="00962113">
        <w:t xml:space="preserve"> For example, </w:t>
      </w:r>
      <w:r w:rsidR="00994196">
        <w:t xml:space="preserve">incentives </w:t>
      </w:r>
      <w:r w:rsidRPr="00962113">
        <w:t xml:space="preserve">for completion of a principal survey </w:t>
      </w:r>
      <w:r w:rsidR="00510B31">
        <w:t xml:space="preserve">was not </w:t>
      </w:r>
      <w:r w:rsidRPr="00962113">
        <w:t xml:space="preserve">necessary in </w:t>
      </w:r>
      <w:r w:rsidR="00510B31">
        <w:t xml:space="preserve">some </w:t>
      </w:r>
      <w:r w:rsidRPr="00962113">
        <w:t xml:space="preserve">studies where </w:t>
      </w:r>
      <w:r w:rsidR="00510B31">
        <w:t xml:space="preserve">the study provided other </w:t>
      </w:r>
      <w:r w:rsidRPr="00962113">
        <w:t>benefit</w:t>
      </w:r>
      <w:r w:rsidR="00510B31">
        <w:t>s</w:t>
      </w:r>
      <w:r w:rsidRPr="00962113">
        <w:t xml:space="preserve"> to </w:t>
      </w:r>
      <w:r w:rsidR="00510B31">
        <w:t xml:space="preserve">participating </w:t>
      </w:r>
      <w:r w:rsidRPr="00962113">
        <w:t>school</w:t>
      </w:r>
      <w:r w:rsidR="00510B31">
        <w:t xml:space="preserve">s. In some cases </w:t>
      </w:r>
      <w:r w:rsidRPr="00962113">
        <w:t xml:space="preserve">that benefit </w:t>
      </w:r>
      <w:r w:rsidR="00510B31">
        <w:t xml:space="preserve">consisted of </w:t>
      </w:r>
      <w:r w:rsidRPr="00962113">
        <w:t>a “school” payment to offset study burden, a study-provided intervention (</w:t>
      </w:r>
      <w:r w:rsidR="003E5EA9">
        <w:t>such as</w:t>
      </w:r>
      <w:r w:rsidRPr="00962113">
        <w:t xml:space="preserve"> a promising curriculum or induction program), or a strong presence of the study team in the school (</w:t>
      </w:r>
      <w:r w:rsidR="003E5EA9">
        <w:t>for example</w:t>
      </w:r>
      <w:r w:rsidRPr="00962113">
        <w:t>, a significant set of participating students, classroom observation, conducting professional development).</w:t>
      </w:r>
      <w:r w:rsidR="00A4089E">
        <w:t xml:space="preserve"> </w:t>
      </w:r>
      <w:r w:rsidR="00510B31">
        <w:t xml:space="preserve">Those </w:t>
      </w:r>
      <w:r w:rsidRPr="00962113">
        <w:t xml:space="preserve">components of the study could affect the principal’s motivation to complete the survey either extrinsically (the school is receiving benefits for participation) or intrinsically (principal agreed to participate in larger study and is therefore more likely to fully participate). However, in the case of NLTS 2012, the principal </w:t>
      </w:r>
      <w:r w:rsidR="00510B31">
        <w:t xml:space="preserve">will not </w:t>
      </w:r>
      <w:r w:rsidRPr="00962113">
        <w:t xml:space="preserve">have </w:t>
      </w:r>
      <w:r w:rsidR="00510B31">
        <w:t xml:space="preserve">a </w:t>
      </w:r>
      <w:r w:rsidRPr="00962113">
        <w:t>similar motivation</w:t>
      </w:r>
      <w:r w:rsidR="003E5EA9">
        <w:t xml:space="preserve"> for the following reasons:</w:t>
      </w:r>
    </w:p>
    <w:p w:rsidR="00A566F3" w:rsidRDefault="00A566F3" w:rsidP="00EF4445">
      <w:pPr>
        <w:pStyle w:val="Dash"/>
        <w:numPr>
          <w:ilvl w:val="0"/>
          <w:numId w:val="12"/>
        </w:numPr>
        <w:tabs>
          <w:tab w:val="decimal" w:pos="9000"/>
        </w:tabs>
        <w:spacing w:after="0"/>
        <w:ind w:right="360"/>
      </w:pPr>
      <w:r w:rsidRPr="00962113">
        <w:t>The school, as a whole, is not receiving any direct benefit for participation, thus extrinsic motivation</w:t>
      </w:r>
      <w:r w:rsidR="003E5EA9">
        <w:t xml:space="preserve"> is not being provided.</w:t>
      </w:r>
      <w:r w:rsidRPr="00962113">
        <w:t xml:space="preserve"> </w:t>
      </w:r>
    </w:p>
    <w:p w:rsidR="00A566F3" w:rsidRDefault="00A566F3" w:rsidP="00EF4445">
      <w:pPr>
        <w:pStyle w:val="Dash"/>
        <w:numPr>
          <w:ilvl w:val="0"/>
          <w:numId w:val="12"/>
        </w:numPr>
        <w:tabs>
          <w:tab w:val="decimal" w:pos="9000"/>
        </w:tabs>
        <w:spacing w:after="0"/>
        <w:ind w:right="360"/>
        <w:rPr>
          <w:szCs w:val="22"/>
        </w:rPr>
      </w:pPr>
      <w:r w:rsidRPr="00962113">
        <w:rPr>
          <w:szCs w:val="22"/>
        </w:rPr>
        <w:lastRenderedPageBreak/>
        <w:t xml:space="preserve">The </w:t>
      </w:r>
      <w:r w:rsidRPr="00F97369">
        <w:t>prescriptive</w:t>
      </w:r>
      <w:r w:rsidRPr="00962113">
        <w:rPr>
          <w:szCs w:val="22"/>
        </w:rPr>
        <w:t xml:space="preserve"> sample </w:t>
      </w:r>
      <w:r w:rsidRPr="008A1E86">
        <w:t>design</w:t>
      </w:r>
      <w:r w:rsidRPr="00962113">
        <w:rPr>
          <w:szCs w:val="22"/>
        </w:rPr>
        <w:t xml:space="preserve"> required to obtain appropriate counts in each of the disability categories makes it possible that a principal may only have </w:t>
      </w:r>
      <w:r w:rsidR="003E5EA9">
        <w:rPr>
          <w:szCs w:val="22"/>
        </w:rPr>
        <w:t>one</w:t>
      </w:r>
      <w:r w:rsidRPr="00962113">
        <w:rPr>
          <w:szCs w:val="22"/>
        </w:rPr>
        <w:t xml:space="preserve"> or </w:t>
      </w:r>
      <w:r w:rsidR="003E5EA9">
        <w:rPr>
          <w:szCs w:val="22"/>
        </w:rPr>
        <w:t>two</w:t>
      </w:r>
      <w:r w:rsidRPr="00962113">
        <w:rPr>
          <w:szCs w:val="22"/>
        </w:rPr>
        <w:t xml:space="preserve"> sampled students in their school who have been selected to participate in the study; that level of exposure to the study is unlikely to provide sufficient extrinsic motivation to complete the survey</w:t>
      </w:r>
      <w:r w:rsidR="003E5EA9">
        <w:rPr>
          <w:szCs w:val="22"/>
        </w:rPr>
        <w:t>.</w:t>
      </w:r>
    </w:p>
    <w:p w:rsidR="00F97369" w:rsidRDefault="00F97369" w:rsidP="00F97369">
      <w:pPr>
        <w:pStyle w:val="Dash"/>
        <w:numPr>
          <w:ilvl w:val="0"/>
          <w:numId w:val="0"/>
        </w:numPr>
        <w:spacing w:after="0"/>
        <w:ind w:left="792" w:right="360"/>
        <w:rPr>
          <w:szCs w:val="22"/>
        </w:rPr>
      </w:pPr>
    </w:p>
    <w:p w:rsidR="00A566F3" w:rsidRPr="00962113" w:rsidRDefault="00A566F3" w:rsidP="00F97369">
      <w:pPr>
        <w:pStyle w:val="Dash"/>
        <w:numPr>
          <w:ilvl w:val="0"/>
          <w:numId w:val="12"/>
        </w:numPr>
        <w:ind w:right="360"/>
        <w:rPr>
          <w:szCs w:val="22"/>
        </w:rPr>
      </w:pPr>
      <w:r w:rsidRPr="00962113">
        <w:rPr>
          <w:szCs w:val="22"/>
        </w:rPr>
        <w:t xml:space="preserve">There </w:t>
      </w:r>
      <w:r w:rsidRPr="00F97369">
        <w:t>will</w:t>
      </w:r>
      <w:r w:rsidRPr="00962113">
        <w:rPr>
          <w:szCs w:val="22"/>
        </w:rPr>
        <w:t xml:space="preserve"> be no or very limited face-to-face contact with members of the study team </w:t>
      </w:r>
      <w:r w:rsidR="003E5EA9">
        <w:rPr>
          <w:szCs w:val="22"/>
        </w:rPr>
        <w:t>that</w:t>
      </w:r>
      <w:r w:rsidR="003E5EA9" w:rsidRPr="00962113">
        <w:rPr>
          <w:szCs w:val="22"/>
        </w:rPr>
        <w:t xml:space="preserve"> </w:t>
      </w:r>
      <w:r w:rsidRPr="00962113">
        <w:rPr>
          <w:szCs w:val="22"/>
        </w:rPr>
        <w:t>could serve to provide some social motivation for completing the survey. Most of the NLTS 2012 surveys will be completed via the web or telephone</w:t>
      </w:r>
      <w:r w:rsidR="003E5EA9">
        <w:rPr>
          <w:szCs w:val="22"/>
        </w:rPr>
        <w:t>.</w:t>
      </w:r>
    </w:p>
    <w:p w:rsidR="00A566F3" w:rsidRDefault="00A566F3" w:rsidP="000D4486">
      <w:pPr>
        <w:pStyle w:val="Dash"/>
        <w:numPr>
          <w:ilvl w:val="0"/>
          <w:numId w:val="12"/>
        </w:numPr>
        <w:spacing w:after="0"/>
        <w:ind w:right="360"/>
        <w:rPr>
          <w:szCs w:val="22"/>
        </w:rPr>
      </w:pPr>
      <w:r w:rsidRPr="00962113">
        <w:rPr>
          <w:szCs w:val="22"/>
        </w:rPr>
        <w:t>There is no separate stage in which the principals agree to participate in the study (the youth is the targeted sample)</w:t>
      </w:r>
      <w:r w:rsidR="003E5EA9">
        <w:rPr>
          <w:szCs w:val="22"/>
        </w:rPr>
        <w:t>;</w:t>
      </w:r>
      <w:r w:rsidRPr="00962113">
        <w:rPr>
          <w:szCs w:val="22"/>
        </w:rPr>
        <w:t xml:space="preserve"> therefore</w:t>
      </w:r>
      <w:r w:rsidR="003E5EA9">
        <w:rPr>
          <w:szCs w:val="22"/>
        </w:rPr>
        <w:t>,</w:t>
      </w:r>
      <w:r w:rsidRPr="00962113">
        <w:rPr>
          <w:szCs w:val="22"/>
        </w:rPr>
        <w:t xml:space="preserve"> we cannot count on principals’ intrinsic motivation to complete the survey.</w:t>
      </w:r>
    </w:p>
    <w:p w:rsidR="00F97369" w:rsidRPr="00962113" w:rsidRDefault="00F97369" w:rsidP="00F97369">
      <w:pPr>
        <w:pStyle w:val="ListParagraph"/>
        <w:numPr>
          <w:ilvl w:val="0"/>
          <w:numId w:val="0"/>
        </w:numPr>
        <w:spacing w:line="240" w:lineRule="auto"/>
        <w:ind w:left="720"/>
        <w:rPr>
          <w:szCs w:val="22"/>
        </w:rPr>
      </w:pPr>
    </w:p>
    <w:p w:rsidR="00A566F3" w:rsidRPr="00962113" w:rsidRDefault="00A566F3" w:rsidP="00A566F3">
      <w:pPr>
        <w:pStyle w:val="NormalSS"/>
        <w:rPr>
          <w:bCs/>
          <w:szCs w:val="22"/>
        </w:rPr>
      </w:pPr>
      <w:r w:rsidRPr="00962113">
        <w:rPr>
          <w:bCs/>
          <w:szCs w:val="22"/>
        </w:rPr>
        <w:t>Second, IES does have a history of providing incentives to principals in cases where the principal/school is not tied in a</w:t>
      </w:r>
      <w:r w:rsidR="003F5115">
        <w:rPr>
          <w:bCs/>
          <w:szCs w:val="22"/>
        </w:rPr>
        <w:t xml:space="preserve"> meaningful way to the study. </w:t>
      </w:r>
      <w:r w:rsidRPr="00962113">
        <w:rPr>
          <w:bCs/>
          <w:szCs w:val="22"/>
        </w:rPr>
        <w:t>Some relevant examples include</w:t>
      </w:r>
      <w:r w:rsidR="003E5EA9">
        <w:rPr>
          <w:bCs/>
          <w:szCs w:val="22"/>
        </w:rPr>
        <w:t xml:space="preserve"> the following</w:t>
      </w:r>
      <w:r w:rsidRPr="00962113">
        <w:rPr>
          <w:bCs/>
          <w:szCs w:val="22"/>
        </w:rPr>
        <w:t>:</w:t>
      </w:r>
    </w:p>
    <w:p w:rsidR="00A566F3" w:rsidRPr="00962113" w:rsidRDefault="00A566F3" w:rsidP="00F97369">
      <w:pPr>
        <w:pStyle w:val="NumberedBullet"/>
        <w:numPr>
          <w:ilvl w:val="0"/>
          <w:numId w:val="11"/>
        </w:numPr>
      </w:pPr>
      <w:r w:rsidRPr="00FF763A">
        <w:rPr>
          <w:b/>
        </w:rPr>
        <w:t>Impact of Charter School Strategies</w:t>
      </w:r>
      <w:r w:rsidRPr="00962113">
        <w:t xml:space="preserve"> (1850-0799, NOA 3/10/06): paid $10 for a 15</w:t>
      </w:r>
      <w:r w:rsidR="003E5EA9">
        <w:t>-</w:t>
      </w:r>
      <w:r w:rsidRPr="00962113">
        <w:t>minute survey.</w:t>
      </w:r>
      <w:r w:rsidR="00A4089E">
        <w:t xml:space="preserve"> </w:t>
      </w:r>
      <w:r w:rsidRPr="00962113">
        <w:t>The circumstances are similar to those in NLTS 2012 in that no intervention or treatment was provided to the schools.</w:t>
      </w:r>
      <w:r w:rsidR="00A4089E">
        <w:t xml:space="preserve"> </w:t>
      </w:r>
      <w:r w:rsidRPr="00962113">
        <w:t xml:space="preserve">In addition to the 37 charter schools in the study sample that </w:t>
      </w:r>
      <w:r w:rsidR="00B005AC" w:rsidRPr="00B005AC">
        <w:rPr>
          <w:i/>
        </w:rPr>
        <w:t>did</w:t>
      </w:r>
      <w:r w:rsidR="003E5EA9" w:rsidRPr="00962113">
        <w:t xml:space="preserve"> </w:t>
      </w:r>
      <w:r w:rsidRPr="00962113">
        <w:t>have significant contact with the evaluation team, the survey included the principals of hundreds of traditional public schools (wherever the control group went) as well as the other 500+ charter middle schools in the country.</w:t>
      </w:r>
      <w:r w:rsidR="00A4089E">
        <w:t xml:space="preserve"> </w:t>
      </w:r>
      <w:r w:rsidRPr="00962113">
        <w:t>None of the latter two groups had any connection to the study or had any benefit from participating by completing a survey.</w:t>
      </w:r>
    </w:p>
    <w:p w:rsidR="00A566F3" w:rsidRDefault="00A566F3" w:rsidP="00FE6987">
      <w:pPr>
        <w:pStyle w:val="NumberedBullet"/>
        <w:numPr>
          <w:ilvl w:val="0"/>
          <w:numId w:val="11"/>
        </w:numPr>
        <w:spacing w:after="0"/>
      </w:pPr>
      <w:r w:rsidRPr="00FF763A">
        <w:rPr>
          <w:b/>
        </w:rPr>
        <w:t xml:space="preserve">Impact Evaluation of the DC School Choice Program </w:t>
      </w:r>
      <w:r w:rsidRPr="00962113">
        <w:t>(1850-0800, NOA 4/15/05 and 12/22/08):</w:t>
      </w:r>
      <w:r w:rsidR="00A4089E">
        <w:t xml:space="preserve"> </w:t>
      </w:r>
      <w:r w:rsidRPr="00962113">
        <w:t>This was a 12</w:t>
      </w:r>
      <w:r w:rsidR="00C26507">
        <w:t>-</w:t>
      </w:r>
      <w:r w:rsidRPr="00962113">
        <w:t>minute hard copy survey that went to principals of all private and public schools in DC an</w:t>
      </w:r>
      <w:r>
        <w:t>d paid them $10 for completion.</w:t>
      </w:r>
      <w:r w:rsidRPr="00962113">
        <w:t xml:space="preserve"> None of them </w:t>
      </w:r>
      <w:r w:rsidR="00EC6351">
        <w:t>were</w:t>
      </w:r>
      <w:r w:rsidR="00EC6351" w:rsidRPr="00962113">
        <w:t xml:space="preserve"> </w:t>
      </w:r>
      <w:r w:rsidRPr="00962113">
        <w:t>connected to the study, although about 66 of the 102 private schools were receiving vouchers from participating students. Due to poor response rates, OMB approved increasing the incentive to $20 in 2008.</w:t>
      </w:r>
    </w:p>
    <w:p w:rsidR="003866F4" w:rsidRDefault="003866F4">
      <w:pPr>
        <w:pStyle w:val="NumberedBullet"/>
        <w:numPr>
          <w:ilvl w:val="0"/>
          <w:numId w:val="0"/>
        </w:numPr>
        <w:spacing w:after="0"/>
        <w:ind w:left="432"/>
      </w:pPr>
    </w:p>
    <w:p w:rsidR="00A566F3" w:rsidRDefault="00A566F3" w:rsidP="00F90682">
      <w:pPr>
        <w:pStyle w:val="NormalSS"/>
      </w:pPr>
      <w:r w:rsidRPr="00962113">
        <w:t>Third, given the budget and staffing shortages many schools face, this payment will partially compensate participating school leaders for their time spent completing the survey, which will almost certainly be done outside regular school hours. This small expression of appreciation for their time and effort can only serve to provide a positive experience in working with ED</w:t>
      </w:r>
      <w:r w:rsidR="00EC6351">
        <w:t>,</w:t>
      </w:r>
      <w:r w:rsidRPr="00962113">
        <w:t xml:space="preserve"> which may result in more cooperation with future studies.</w:t>
      </w:r>
    </w:p>
    <w:p w:rsidR="00A566F3" w:rsidRPr="00962113" w:rsidRDefault="00A566F3" w:rsidP="00F90682">
      <w:pPr>
        <w:pStyle w:val="NormalSS"/>
      </w:pPr>
      <w:r w:rsidRPr="00962113">
        <w:rPr>
          <w:b/>
        </w:rPr>
        <w:t>Math or Language Arts Teacher Survey.</w:t>
      </w:r>
      <w:r w:rsidRPr="00962113">
        <w:t xml:space="preserve"> Each sample member’s math or language arts teacher will be asked to complete a web survey with telephone follow-up about that student’s math or language arts class (program of study, participation in class, supports, </w:t>
      </w:r>
      <w:r w:rsidR="00070234" w:rsidRPr="00962113">
        <w:t>and instructional</w:t>
      </w:r>
      <w:r w:rsidRPr="00962113">
        <w:t xml:space="preserve"> strategy). Given that the sample is not clustered by school, we anticipate that most teachers will be asked to respond for one student; however, we will offer an incentive of $25 for each student for whom the teacher completes a questionnaire. </w:t>
      </w:r>
    </w:p>
    <w:p w:rsidR="00A566F3" w:rsidRPr="00962113" w:rsidRDefault="00EC05FD" w:rsidP="00F90682">
      <w:pPr>
        <w:pStyle w:val="NormalSS"/>
      </w:pPr>
      <w:r>
        <w:rPr>
          <w:b/>
        </w:rPr>
        <w:t xml:space="preserve">School Program Survey </w:t>
      </w:r>
      <w:r w:rsidRPr="00EC05FD">
        <w:t xml:space="preserve">(for the </w:t>
      </w:r>
      <w:r w:rsidR="00EC6351">
        <w:t>s</w:t>
      </w:r>
      <w:r w:rsidR="00A566F3" w:rsidRPr="00EC05FD">
        <w:t xml:space="preserve">pecial </w:t>
      </w:r>
      <w:r w:rsidR="00EC6351">
        <w:t>e</w:t>
      </w:r>
      <w:r w:rsidR="00A566F3" w:rsidRPr="00EC05FD">
        <w:t xml:space="preserve">ducation </w:t>
      </w:r>
      <w:r w:rsidR="00EC6351">
        <w:t>t</w:t>
      </w:r>
      <w:r w:rsidR="00A566F3" w:rsidRPr="00EC05FD">
        <w:t xml:space="preserve">eacher of </w:t>
      </w:r>
      <w:r w:rsidR="00EC6351">
        <w:t>s</w:t>
      </w:r>
      <w:r w:rsidR="00A566F3" w:rsidRPr="00EC05FD">
        <w:t xml:space="preserve">ample </w:t>
      </w:r>
      <w:r w:rsidR="00EC6351">
        <w:t>m</w:t>
      </w:r>
      <w:r w:rsidR="00A566F3" w:rsidRPr="00EC05FD">
        <w:t xml:space="preserve">embers who have </w:t>
      </w:r>
      <w:r w:rsidR="00F65773">
        <w:t xml:space="preserve">an </w:t>
      </w:r>
      <w:r w:rsidR="00A566F3" w:rsidRPr="00EC05FD">
        <w:t>IEP</w:t>
      </w:r>
      <w:r w:rsidRPr="00EC05FD">
        <w:t>)</w:t>
      </w:r>
      <w:r w:rsidR="00A566F3" w:rsidRPr="00962113">
        <w:rPr>
          <w:b/>
        </w:rPr>
        <w:t>.</w:t>
      </w:r>
      <w:r w:rsidR="00A4089E">
        <w:t xml:space="preserve"> </w:t>
      </w:r>
      <w:r w:rsidR="00A566F3" w:rsidRPr="00962113">
        <w:t xml:space="preserve">The special education teacher most familiar with the student’s overall program will be </w:t>
      </w:r>
      <w:r w:rsidR="00A566F3" w:rsidRPr="00962113">
        <w:lastRenderedPageBreak/>
        <w:t xml:space="preserve">asked to complete the school program survey, which covers the characteristics of the student’s instructional programs, services, supports and accommodations, and transition planning activities. For the reasons outlined above, we believe it is important to offer an incentive of $25 per sample member </w:t>
      </w:r>
      <w:r w:rsidR="003F5115">
        <w:t>for whom</w:t>
      </w:r>
      <w:r w:rsidR="00A566F3" w:rsidRPr="00962113">
        <w:t xml:space="preserve"> the te</w:t>
      </w:r>
      <w:r w:rsidR="003F5115">
        <w:t>acher provides information</w:t>
      </w:r>
      <w:r w:rsidR="00A566F3" w:rsidRPr="00962113">
        <w:t xml:space="preserve">. </w:t>
      </w:r>
    </w:p>
    <w:p w:rsidR="00A566F3" w:rsidRPr="00962113" w:rsidRDefault="00A566F3" w:rsidP="00F90682">
      <w:pPr>
        <w:pStyle w:val="NormalSS"/>
        <w:rPr>
          <w:b/>
        </w:rPr>
      </w:pPr>
      <w:r w:rsidRPr="00962113">
        <w:rPr>
          <w:b/>
        </w:rPr>
        <w:t>Parent and Youth Data Collection</w:t>
      </w:r>
      <w:r>
        <w:rPr>
          <w:b/>
        </w:rPr>
        <w:t xml:space="preserve">. </w:t>
      </w:r>
      <w:r w:rsidRPr="00962113">
        <w:t>Ensuring parent and student commitment to the study is of paramount importance. Our first contact will be in one of two ways: (1) when we call parents and students directly for consent and baseline interviewing or (2) when they receive a consent form from the district asking to release contact information to the study team</w:t>
      </w:r>
      <w:r w:rsidR="00994196">
        <w:t xml:space="preserve"> (previously approved, OMB 1850-0882).</w:t>
      </w:r>
      <w:r w:rsidRPr="00962113">
        <w:t xml:space="preserve"> In either case, we propose to offer incentives for participation in the study to parents</w:t>
      </w:r>
      <w:r w:rsidR="00B47B83">
        <w:t xml:space="preserve"> ($20)</w:t>
      </w:r>
      <w:r w:rsidRPr="00962113">
        <w:t xml:space="preserve"> and students</w:t>
      </w:r>
      <w:r w:rsidR="00B47B83">
        <w:t xml:space="preserve"> ($10)</w:t>
      </w:r>
      <w:r w:rsidRPr="00962113">
        <w:t xml:space="preserve"> to encourage their participation. The parent incentive would be in the form of a check. The student incentive would be in the form of a cash value card worth $10.</w:t>
      </w:r>
    </w:p>
    <w:p w:rsidR="00A566F3" w:rsidRDefault="0064185E" w:rsidP="00EF4445">
      <w:pPr>
        <w:pStyle w:val="ParagraphSSLAST"/>
        <w:spacing w:after="0"/>
      </w:pPr>
      <w:r>
        <w:t>W</w:t>
      </w:r>
      <w:r w:rsidR="00A566F3" w:rsidRPr="00962113">
        <w:t>e believe the unique circumstances of NLTS 2012 call for appropriate incentives. First, there is a significant burden on parents because they will in many cases be a proxy for their child, responding to both the student and parent surveys.</w:t>
      </w:r>
      <w:r w:rsidR="00A4089E">
        <w:t xml:space="preserve"> </w:t>
      </w:r>
      <w:r w:rsidR="00A566F3" w:rsidRPr="00962113">
        <w:t>And second, the study will need to contend with historical concerns about providing researchers with access to students with disabilities.</w:t>
      </w:r>
      <w:r w:rsidR="003F5115">
        <w:t xml:space="preserve"> </w:t>
      </w:r>
      <w:r w:rsidR="00A566F3">
        <w:t xml:space="preserve">Furthermore, we are proposing to provide incentives to parents and students because substantial incentives are widely considered necessary to maintain sample in longitudinal studies. </w:t>
      </w:r>
      <w:r w:rsidR="00A566F3" w:rsidRPr="00334416">
        <w:t>Laurie and Flynn (2008) review a large number of longitudinal surveys in the U</w:t>
      </w:r>
      <w:r w:rsidR="00AD52D0">
        <w:t xml:space="preserve">nited </w:t>
      </w:r>
      <w:r w:rsidR="00A566F3" w:rsidRPr="00334416">
        <w:t>S</w:t>
      </w:r>
      <w:r w:rsidR="00AD52D0">
        <w:t>tates</w:t>
      </w:r>
      <w:r w:rsidR="00A566F3" w:rsidRPr="00334416">
        <w:t xml:space="preserve"> and Europe. Their summary indicates that incentives are widely used in longitudinal studies in the U</w:t>
      </w:r>
      <w:r w:rsidR="00AD52D0">
        <w:t xml:space="preserve">nited </w:t>
      </w:r>
      <w:r w:rsidR="00A566F3" w:rsidRPr="00334416">
        <w:t>S</w:t>
      </w:r>
      <w:r w:rsidR="00AD52D0">
        <w:t>tates</w:t>
      </w:r>
      <w:r w:rsidR="00A566F3" w:rsidRPr="00334416">
        <w:t>. For example, in 2005</w:t>
      </w:r>
      <w:r w:rsidR="00AD52D0">
        <w:t>–</w:t>
      </w:r>
      <w:r w:rsidR="00A566F3" w:rsidRPr="00334416">
        <w:t>2006, the Panel Study of Income Dynamics, Survey of Income and Program Participation, National Longitudinal Survey of Youth, and U.S. Health and Retirement Survey offer</w:t>
      </w:r>
      <w:r w:rsidR="00A566F3">
        <w:t>ed</w:t>
      </w:r>
      <w:r w:rsidR="00A566F3" w:rsidRPr="00334416">
        <w:t xml:space="preserve"> adult respondents </w:t>
      </w:r>
      <w:r w:rsidR="00A566F3">
        <w:t xml:space="preserve">incentives </w:t>
      </w:r>
      <w:r w:rsidR="00A566F3" w:rsidRPr="00334416">
        <w:t xml:space="preserve">ranging from $40 to $60, with additional incentives in </w:t>
      </w:r>
      <w:r w:rsidR="00AD52D0">
        <w:t xml:space="preserve">the </w:t>
      </w:r>
      <w:r w:rsidR="00AD52D0" w:rsidRPr="00AD52D0">
        <w:t>National Longitudinal Survey of Youth</w:t>
      </w:r>
      <w:r w:rsidR="00AD52D0" w:rsidRPr="00AD52D0" w:rsidDel="00AD52D0">
        <w:t xml:space="preserve"> </w:t>
      </w:r>
      <w:r w:rsidR="00A566F3" w:rsidRPr="00334416">
        <w:t>if respondents call</w:t>
      </w:r>
      <w:r w:rsidR="00A566F3">
        <w:t>ed</w:t>
      </w:r>
      <w:r w:rsidR="00A566F3" w:rsidRPr="00334416">
        <w:t xml:space="preserve"> in to complete a telephone interview. Laurie and Flynn note that </w:t>
      </w:r>
      <w:r w:rsidR="00AD52D0">
        <w:t>(</w:t>
      </w:r>
      <w:r w:rsidR="00A566F3" w:rsidRPr="00334416">
        <w:t xml:space="preserve">1) higher incentives tend to produce higher response rates, </w:t>
      </w:r>
      <w:r w:rsidR="00AD52D0">
        <w:t>(</w:t>
      </w:r>
      <w:r w:rsidR="00A566F3" w:rsidRPr="00334416">
        <w:t>2) there is some evidence that effects on wave</w:t>
      </w:r>
      <w:r w:rsidR="00AD52D0">
        <w:t>-</w:t>
      </w:r>
      <w:r w:rsidR="00A566F3" w:rsidRPr="00334416">
        <w:t>to</w:t>
      </w:r>
      <w:r w:rsidR="00AD52D0">
        <w:t>-</w:t>
      </w:r>
      <w:r w:rsidR="00A566F3" w:rsidRPr="00334416">
        <w:t xml:space="preserve">wave retention are more pronounced than response rates at </w:t>
      </w:r>
      <w:r w:rsidR="00AD52D0">
        <w:t xml:space="preserve">a </w:t>
      </w:r>
      <w:r w:rsidR="00A566F3" w:rsidRPr="00334416">
        <w:t xml:space="preserve">particular wave, and </w:t>
      </w:r>
      <w:r w:rsidR="00AD52D0">
        <w:t>(</w:t>
      </w:r>
      <w:r w:rsidR="00A566F3" w:rsidRPr="00334416">
        <w:t>3) there is some, but not consistent, evidence that incentives are most effective with sample members least likely to respond.</w:t>
      </w:r>
      <w:r w:rsidR="00A566F3">
        <w:t xml:space="preserve"> </w:t>
      </w:r>
    </w:p>
    <w:p w:rsidR="00EF4445" w:rsidRPr="00EF4445" w:rsidRDefault="00EF4445" w:rsidP="00EF4445">
      <w:pPr>
        <w:spacing w:line="240" w:lineRule="auto"/>
      </w:pPr>
    </w:p>
    <w:p w:rsidR="0073463C" w:rsidRPr="00432E0D" w:rsidRDefault="0073463C" w:rsidP="0073463C">
      <w:pPr>
        <w:pStyle w:val="Heading3"/>
      </w:pPr>
      <w:bookmarkStart w:id="101" w:name="_Toc63827183"/>
      <w:bookmarkStart w:id="102" w:name="_Toc70752932"/>
      <w:bookmarkStart w:id="103" w:name="_Toc213228324"/>
      <w:bookmarkStart w:id="104" w:name="_Toc276390672"/>
      <w:bookmarkStart w:id="105" w:name="_Toc276988161"/>
      <w:bookmarkStart w:id="106" w:name="_Toc277079580"/>
      <w:bookmarkStart w:id="107" w:name="_Toc283908720"/>
      <w:bookmarkStart w:id="108" w:name="_Toc298415690"/>
      <w:bookmarkStart w:id="109" w:name="_Toc298418571"/>
      <w:r w:rsidRPr="00432E0D">
        <w:t>10.</w:t>
      </w:r>
      <w:r w:rsidRPr="00432E0D">
        <w:tab/>
        <w:t>Confidentiality of the Data</w:t>
      </w:r>
      <w:bookmarkEnd w:id="101"/>
      <w:bookmarkEnd w:id="102"/>
      <w:bookmarkEnd w:id="103"/>
      <w:bookmarkEnd w:id="104"/>
      <w:bookmarkEnd w:id="105"/>
      <w:bookmarkEnd w:id="106"/>
      <w:bookmarkEnd w:id="107"/>
      <w:bookmarkEnd w:id="108"/>
      <w:bookmarkEnd w:id="109"/>
      <w:r w:rsidRPr="00432E0D">
        <w:t xml:space="preserve"> </w:t>
      </w:r>
    </w:p>
    <w:p w:rsidR="0073463C" w:rsidRPr="00432E0D" w:rsidRDefault="0073463C" w:rsidP="00F90682">
      <w:pPr>
        <w:pStyle w:val="NormalSS"/>
      </w:pPr>
      <w:r w:rsidRPr="00432E0D">
        <w:t>The study team will conduct the parent, youth, principal</w:t>
      </w:r>
      <w:r w:rsidR="00AD52D0">
        <w:t>,</w:t>
      </w:r>
      <w:r w:rsidRPr="00432E0D">
        <w:t xml:space="preserve"> and teacher surveys in accordance with all relevant regulations and requirements. These include the Education Sciences Reform Act of 2002, Title I, Part E, Section 183, that requires “[a</w:t>
      </w:r>
      <w:r w:rsidR="00B65698" w:rsidRPr="00432E0D">
        <w:t>ll</w:t>
      </w:r>
      <w:r w:rsidRPr="00432E0D">
        <w:t xml:space="preserve">] collection, maintenance, use, and wide dissemination of data by the Institute </w:t>
      </w:r>
      <w:r w:rsidR="00AD52D0">
        <w:t xml:space="preserve">. . . </w:t>
      </w:r>
      <w:r w:rsidRPr="00432E0D">
        <w:t xml:space="preserve"> to conform with the requirements of section 552 of Title 5, United States Code, the confidentiality standards of subsections (c) of this section, and sections 444 and 445 of the General Education Provisions Act (20 U.S.C. 1232 g, 1232h).” These citations refer to the Privacy Act, the Family Education</w:t>
      </w:r>
      <w:r w:rsidR="00AD52D0">
        <w:t>al</w:t>
      </w:r>
      <w:r w:rsidRPr="00432E0D">
        <w:t xml:space="preserve"> Rights and Privacy Act, and the Protection of Pupil Rights Amendment.</w:t>
      </w:r>
    </w:p>
    <w:p w:rsidR="00204728" w:rsidRDefault="0073463C" w:rsidP="00F90682">
      <w:pPr>
        <w:pStyle w:val="NormalSS"/>
        <w:sectPr w:rsidR="00204728" w:rsidSect="009679F6">
          <w:footerReference w:type="default" r:id="rId39"/>
          <w:endnotePr>
            <w:numFmt w:val="decimal"/>
          </w:endnotePr>
          <w:pgSz w:w="12240" w:h="15840" w:code="1"/>
          <w:pgMar w:top="1296" w:right="1440" w:bottom="576" w:left="1440" w:header="720" w:footer="576" w:gutter="0"/>
          <w:cols w:space="720"/>
          <w:docGrid w:linePitch="326"/>
        </w:sectPr>
      </w:pPr>
      <w:r w:rsidRPr="00432E0D">
        <w:t xml:space="preserve">In addition, for student information, the project director will ensure that all individually identifiable information about students, their academic achievements, and their families and information with respect to individual schools shall remain confidential in accordance with Section 552a of Title 5, United States Code, the confidentiality standards subsection (c) and </w:t>
      </w:r>
    </w:p>
    <w:p w:rsidR="0073463C" w:rsidRPr="00432E0D" w:rsidRDefault="00AD52D0" w:rsidP="00F90682">
      <w:pPr>
        <w:pStyle w:val="NormalSS"/>
      </w:pPr>
      <w:r>
        <w:lastRenderedPageBreak/>
        <w:t>S</w:t>
      </w:r>
      <w:r w:rsidR="0073463C" w:rsidRPr="00432E0D">
        <w:t>ections 444 and 445 of the General Education Provision Act. Subsection (c) of Section 183, referenced above, requires the director of IES to “develop and enforce standards designed to protect the confidentiality of persons in the collection, reporting, and publication of data.” The study will also adhere to requirements of subsection (d) of Section 183 prohibiting disclosure of individually identifiable information as well as making the publishing or inappropriate communication of individually identifiable information by employees or staff a felony.</w:t>
      </w:r>
    </w:p>
    <w:p w:rsidR="0073463C" w:rsidRPr="00432E0D" w:rsidRDefault="0073463C" w:rsidP="00F90682">
      <w:pPr>
        <w:pStyle w:val="NormalSS"/>
      </w:pPr>
      <w:proofErr w:type="spellStart"/>
      <w:r w:rsidRPr="00432E0D">
        <w:t>Mathematica</w:t>
      </w:r>
      <w:proofErr w:type="spellEnd"/>
      <w:r w:rsidRPr="00432E0D">
        <w:t xml:space="preserve"> and its subcontractors will protect the confidentiality of all information collected for the study and will use it for research purposes only. No information that identifies any study participant will be released. Further, personally identifiable data will not be entered into the analysis file; the analysis data records will contain a numeric identifier only. When reporting the results, data will be presented only in aggregate form so that individuals and institutions cannot be identified. The study team will include a statement to this effect with all requests for data, and the teacher questionnaires will include a reminder about confidentiality protection in compliance with the legislation. When data are collected through telephone interviews, the study team will remind respondents about the confidentiality protections, the voluntary nature of the survey, and their right to refuse to answer individual questions. All members of the study team having access to confidential data will be trained on the importance of confidentiality and data security. All data will be kept in secured locations, and identifiers will be destroyed as soon as they are no longer required.</w:t>
      </w:r>
    </w:p>
    <w:p w:rsidR="0073463C" w:rsidRPr="00432E0D" w:rsidRDefault="00195858" w:rsidP="0073463C">
      <w:pPr>
        <w:pStyle w:val="NormalSS12"/>
        <w:rPr>
          <w:bCs/>
        </w:rPr>
      </w:pPr>
      <w:r>
        <w:rPr>
          <w:bCs/>
        </w:rPr>
        <w:t>T</w:t>
      </w:r>
      <w:r w:rsidR="0073463C" w:rsidRPr="00432E0D">
        <w:rPr>
          <w:bCs/>
        </w:rPr>
        <w:t xml:space="preserve">he following safeguards </w:t>
      </w:r>
      <w:r>
        <w:rPr>
          <w:bCs/>
        </w:rPr>
        <w:t xml:space="preserve">are employed </w:t>
      </w:r>
      <w:r w:rsidR="0073463C" w:rsidRPr="00432E0D">
        <w:rPr>
          <w:bCs/>
        </w:rPr>
        <w:t xml:space="preserve">to carry out confidentiality assurances during the study: </w:t>
      </w:r>
    </w:p>
    <w:p w:rsidR="0073463C" w:rsidRPr="00432E0D" w:rsidRDefault="0073463C" w:rsidP="00DB7146">
      <w:pPr>
        <w:pStyle w:val="BulletBlack"/>
      </w:pPr>
      <w:r w:rsidRPr="00432E0D">
        <w:t xml:space="preserve">All employees at </w:t>
      </w:r>
      <w:proofErr w:type="spellStart"/>
      <w:r w:rsidRPr="00432E0D">
        <w:t>Mathematica</w:t>
      </w:r>
      <w:proofErr w:type="spellEnd"/>
      <w:r w:rsidRPr="00432E0D">
        <w:t xml:space="preserve"> and its subcontractors sign a confidentiality pledge emphasizing the importance of confidentiality and describing their obligation to it</w:t>
      </w:r>
      <w:r w:rsidR="00F733CF" w:rsidRPr="00432E0D">
        <w:t xml:space="preserve"> </w:t>
      </w:r>
      <w:r w:rsidR="00F733CF" w:rsidRPr="00994196">
        <w:t xml:space="preserve">(Appendix </w:t>
      </w:r>
      <w:r w:rsidR="00994196">
        <w:t>H</w:t>
      </w:r>
      <w:r w:rsidR="00F733CF" w:rsidRPr="00994196">
        <w:t>)</w:t>
      </w:r>
      <w:r w:rsidRPr="00994196">
        <w:t>.</w:t>
      </w:r>
    </w:p>
    <w:p w:rsidR="0073463C" w:rsidRPr="00432E0D" w:rsidRDefault="0073463C" w:rsidP="00DB7146">
      <w:pPr>
        <w:pStyle w:val="BulletBlack"/>
      </w:pPr>
      <w:r w:rsidRPr="00432E0D">
        <w:t>Access to identifying information about sample members is limited to staff members who have direct responsibility for providing and maintaining sample locating information. At the conclusion of the research, these data are destroyed.</w:t>
      </w:r>
    </w:p>
    <w:p w:rsidR="0073463C" w:rsidRPr="00432E0D" w:rsidRDefault="0073463C" w:rsidP="00DB7146">
      <w:pPr>
        <w:pStyle w:val="BulletBlack"/>
      </w:pPr>
      <w:r w:rsidRPr="00432E0D">
        <w:t>Identifying information is maintained in separate forms and files, which are linked only by sample identification number.</w:t>
      </w:r>
    </w:p>
    <w:p w:rsidR="0073463C" w:rsidRPr="00432E0D" w:rsidRDefault="0073463C" w:rsidP="00DB7146">
      <w:pPr>
        <w:pStyle w:val="BulletBlack"/>
      </w:pPr>
      <w:r w:rsidRPr="00432E0D">
        <w:t>Access to the file linking sample identification numbers with the respondents’ IDs and contact information is limited to a small number of individuals who have a need to know this information.</w:t>
      </w:r>
    </w:p>
    <w:p w:rsidR="0073463C" w:rsidRPr="00432E0D" w:rsidRDefault="0073463C" w:rsidP="00DB7146">
      <w:pPr>
        <w:pStyle w:val="BulletBlack"/>
      </w:pPr>
      <w:r w:rsidRPr="00432E0D">
        <w:t>Access to the hard-copy documents is strictly limited. Documents are stored in locked files and cabinets. Discarded materials are shredded.</w:t>
      </w:r>
    </w:p>
    <w:p w:rsidR="0073463C" w:rsidRPr="00432E0D" w:rsidRDefault="0073463C" w:rsidP="00DB7146">
      <w:pPr>
        <w:pStyle w:val="BulletBlackLastSS"/>
      </w:pPr>
      <w:r w:rsidRPr="00432E0D">
        <w:t>Computer data files are protected with passwords, and access is limited to specific users. Especially sensitive data are maintained on removable storage devices that are kept physically secure when not in use.</w:t>
      </w:r>
    </w:p>
    <w:p w:rsidR="0073463C" w:rsidRPr="00432E0D" w:rsidRDefault="0073463C" w:rsidP="0073463C">
      <w:pPr>
        <w:pStyle w:val="NormalSS12"/>
        <w:rPr>
          <w:bCs/>
        </w:rPr>
      </w:pPr>
      <w:r w:rsidRPr="00432E0D">
        <w:rPr>
          <w:bCs/>
        </w:rPr>
        <w:t xml:space="preserve">The Privacy Act of 1974 applies to this data collection. </w:t>
      </w:r>
      <w:proofErr w:type="spellStart"/>
      <w:r w:rsidRPr="00432E0D">
        <w:rPr>
          <w:bCs/>
        </w:rPr>
        <w:t>Mathematica</w:t>
      </w:r>
      <w:proofErr w:type="spellEnd"/>
      <w:r w:rsidRPr="00432E0D">
        <w:rPr>
          <w:bCs/>
        </w:rPr>
        <w:t xml:space="preserve"> and its subcontractors will make certain that all surveys are held in strict confidence, as described above, and that in no instance will responses be made available except in tabular form. Under no condition will information be made available to school personnel. District and school staff responsible for assisting </w:t>
      </w:r>
      <w:proofErr w:type="spellStart"/>
      <w:r w:rsidRPr="00432E0D">
        <w:rPr>
          <w:bCs/>
        </w:rPr>
        <w:t>Mathematica</w:t>
      </w:r>
      <w:proofErr w:type="spellEnd"/>
      <w:r w:rsidRPr="00432E0D">
        <w:rPr>
          <w:bCs/>
        </w:rPr>
        <w:t xml:space="preserve"> in the data collection will be fully informed of </w:t>
      </w:r>
      <w:proofErr w:type="spellStart"/>
      <w:r w:rsidRPr="00432E0D">
        <w:rPr>
          <w:bCs/>
        </w:rPr>
        <w:t>Mathematica’s</w:t>
      </w:r>
      <w:proofErr w:type="spellEnd"/>
      <w:r w:rsidRPr="00432E0D">
        <w:rPr>
          <w:bCs/>
        </w:rPr>
        <w:t xml:space="preserve"> policies and procedures regarding confidentiality of data.</w:t>
      </w:r>
    </w:p>
    <w:p w:rsidR="00204728" w:rsidRDefault="00204728" w:rsidP="00F90682">
      <w:pPr>
        <w:pStyle w:val="NormalSS"/>
        <w:sectPr w:rsidR="00204728" w:rsidSect="00204728">
          <w:footerReference w:type="default" r:id="rId40"/>
          <w:endnotePr>
            <w:numFmt w:val="decimal"/>
          </w:endnotePr>
          <w:type w:val="continuous"/>
          <w:pgSz w:w="12240" w:h="15840" w:code="1"/>
          <w:pgMar w:top="1296" w:right="1440" w:bottom="576" w:left="1440" w:header="720" w:footer="576" w:gutter="0"/>
          <w:cols w:space="720"/>
          <w:docGrid w:linePitch="326"/>
        </w:sectPr>
      </w:pPr>
    </w:p>
    <w:p w:rsidR="0073463C" w:rsidRPr="00432E0D" w:rsidRDefault="0073463C" w:rsidP="00F90682">
      <w:pPr>
        <w:pStyle w:val="NormalSS"/>
      </w:pPr>
      <w:r w:rsidRPr="00432E0D">
        <w:lastRenderedPageBreak/>
        <w:t xml:space="preserve">In addition, the following verbatim language will appear </w:t>
      </w:r>
      <w:r w:rsidR="00B005AC">
        <w:t>on the parent consent form  and</w:t>
      </w:r>
      <w:r w:rsidR="009E1317">
        <w:t xml:space="preserve"> other applicable study-related materials</w:t>
      </w:r>
      <w:r w:rsidRPr="00432E0D">
        <w:t>:</w:t>
      </w:r>
    </w:p>
    <w:p w:rsidR="009E1317" w:rsidRPr="00F90682" w:rsidRDefault="009E1317" w:rsidP="00786B85">
      <w:pPr>
        <w:pStyle w:val="NormalSS"/>
        <w:tabs>
          <w:tab w:val="clear" w:pos="432"/>
        </w:tabs>
        <w:rPr>
          <w:i/>
        </w:rPr>
      </w:pPr>
      <w:bookmarkStart w:id="110" w:name="_Toc63827184"/>
      <w:bookmarkStart w:id="111" w:name="_Toc70752933"/>
      <w:bookmarkStart w:id="112" w:name="_Toc213228325"/>
      <w:bookmarkStart w:id="113" w:name="_Toc276390673"/>
      <w:bookmarkStart w:id="114" w:name="_Toc276988162"/>
      <w:bookmarkStart w:id="115" w:name="_Toc277079581"/>
      <w:bookmarkStart w:id="116" w:name="_Toc283908721"/>
      <w:r w:rsidRPr="00F90682">
        <w:rPr>
          <w:i/>
        </w:rPr>
        <w:t>All information gathered for the study will be kept confidential and will only be used for research purposes. The information collected about this student will be used only for statistical purposes and may not be disclosed or used, in identifiable form, for any other purpose except as required by law (Public Law 107-279, Section 183).</w:t>
      </w:r>
    </w:p>
    <w:p w:rsidR="0073463C" w:rsidRPr="00432E0D" w:rsidRDefault="0073463C" w:rsidP="0073463C">
      <w:pPr>
        <w:pStyle w:val="Heading3"/>
      </w:pPr>
      <w:bookmarkStart w:id="117" w:name="_Toc298415691"/>
      <w:bookmarkStart w:id="118" w:name="_Toc298418572"/>
      <w:r w:rsidRPr="00432E0D">
        <w:t>11.</w:t>
      </w:r>
      <w:r w:rsidRPr="00432E0D">
        <w:tab/>
        <w:t>Additional Justification for Sensitive Questions</w:t>
      </w:r>
      <w:bookmarkEnd w:id="110"/>
      <w:bookmarkEnd w:id="111"/>
      <w:bookmarkEnd w:id="112"/>
      <w:bookmarkEnd w:id="113"/>
      <w:bookmarkEnd w:id="114"/>
      <w:bookmarkEnd w:id="115"/>
      <w:bookmarkEnd w:id="116"/>
      <w:bookmarkEnd w:id="117"/>
      <w:bookmarkEnd w:id="118"/>
    </w:p>
    <w:p w:rsidR="0073463C" w:rsidRPr="00432E0D" w:rsidRDefault="0073463C" w:rsidP="00F90682">
      <w:pPr>
        <w:pStyle w:val="NormalSS"/>
      </w:pPr>
      <w:r w:rsidRPr="00432E0D">
        <w:t xml:space="preserve">The purpose of the study is to examine the school experiences and outcomes of 13- to 21-year-olds identified as needing special education services and to compare them with a sample of other youth, </w:t>
      </w:r>
      <w:r w:rsidRPr="00432E0D">
        <w:rPr>
          <w:bCs/>
        </w:rPr>
        <w:t>including</w:t>
      </w:r>
      <w:r w:rsidRPr="00432E0D">
        <w:t xml:space="preserve"> some who have Section 504 plans. Therefore, obtaining information about potentially sensitive topics, such as the IEP and Section 504 status of individuals, is central to the study. The study team needs information on IEP and Section 504 status from school districts to ensure that the sample includes adequate numbers of these students. The study team also needs information on students’ type of disability to ensure that the sample includes sufficient numbers of students in each disability type or subgroup. The team will request de-identified data for the entire sample frame and collect identifying information only on students selected for the survey sample.</w:t>
      </w:r>
    </w:p>
    <w:p w:rsidR="0073463C" w:rsidRDefault="0073463C" w:rsidP="00EF4445">
      <w:pPr>
        <w:pStyle w:val="ParagraphSSLAST"/>
        <w:spacing w:after="0"/>
      </w:pPr>
      <w:r w:rsidRPr="00432E0D">
        <w:t xml:space="preserve">The parent and student surveys </w:t>
      </w:r>
      <w:r w:rsidRPr="00432E0D">
        <w:rPr>
          <w:bCs/>
        </w:rPr>
        <w:t>will</w:t>
      </w:r>
      <w:r w:rsidRPr="00432E0D">
        <w:t xml:space="preserve"> include some questions that may be considered sensitive (such as questions about the functional abilities of youth, their social skills, and their involvement with the criminal justice system). The surveys will not ask for sensitive information that can be gathered from other sources. The study team will adapt many of the questions without modification from other national OMB approved surveys of similar populations such as the NLTS, the Youth Transition Demonstration, and the Short Form 12.</w:t>
      </w:r>
    </w:p>
    <w:p w:rsidR="00EF4445" w:rsidRPr="00EF4445" w:rsidRDefault="00EF4445" w:rsidP="00EF4445">
      <w:pPr>
        <w:spacing w:line="240" w:lineRule="auto"/>
      </w:pPr>
    </w:p>
    <w:p w:rsidR="0073463C" w:rsidRPr="00432E0D" w:rsidRDefault="0073463C" w:rsidP="0073463C">
      <w:pPr>
        <w:pStyle w:val="Heading3"/>
      </w:pPr>
      <w:bookmarkStart w:id="119" w:name="_Toc63827185"/>
      <w:bookmarkStart w:id="120" w:name="_Toc70752934"/>
      <w:bookmarkStart w:id="121" w:name="_Toc213228326"/>
      <w:bookmarkStart w:id="122" w:name="_Toc276390674"/>
      <w:bookmarkStart w:id="123" w:name="_Toc276988163"/>
      <w:bookmarkStart w:id="124" w:name="_Toc277079582"/>
      <w:bookmarkStart w:id="125" w:name="_Toc283908722"/>
      <w:bookmarkStart w:id="126" w:name="_Toc298415692"/>
      <w:bookmarkStart w:id="127" w:name="_Toc298418573"/>
      <w:r w:rsidRPr="00432E0D">
        <w:t>12.</w:t>
      </w:r>
      <w:r w:rsidRPr="00432E0D">
        <w:tab/>
        <w:t xml:space="preserve">Estimates of </w:t>
      </w:r>
      <w:r w:rsidR="00B65698" w:rsidRPr="00432E0D">
        <w:t>Hours</w:t>
      </w:r>
      <w:r w:rsidRPr="00432E0D">
        <w:t xml:space="preserve"> Burden</w:t>
      </w:r>
      <w:bookmarkEnd w:id="119"/>
      <w:bookmarkEnd w:id="120"/>
      <w:bookmarkEnd w:id="121"/>
      <w:bookmarkEnd w:id="122"/>
      <w:bookmarkEnd w:id="123"/>
      <w:bookmarkEnd w:id="124"/>
      <w:bookmarkEnd w:id="125"/>
      <w:bookmarkEnd w:id="126"/>
      <w:bookmarkEnd w:id="127"/>
    </w:p>
    <w:p w:rsidR="00B33801" w:rsidRPr="00941DF2" w:rsidRDefault="009E1317" w:rsidP="00F90682">
      <w:pPr>
        <w:pStyle w:val="NormalSS"/>
      </w:pPr>
      <w:r w:rsidRPr="00994196">
        <w:t>Table</w:t>
      </w:r>
      <w:r w:rsidR="0064185E" w:rsidRPr="00994196">
        <w:t xml:space="preserve"> A.4</w:t>
      </w:r>
      <w:r w:rsidRPr="00994196">
        <w:t xml:space="preserve"> </w:t>
      </w:r>
      <w:r>
        <w:t>describe</w:t>
      </w:r>
      <w:r w:rsidR="0064185E">
        <w:t>s</w:t>
      </w:r>
      <w:r>
        <w:t xml:space="preserve"> our assumptions </w:t>
      </w:r>
      <w:r w:rsidR="0064185E">
        <w:t>on</w:t>
      </w:r>
      <w:r>
        <w:t xml:space="preserve"> the total number of responses </w:t>
      </w:r>
      <w:r w:rsidR="00070234">
        <w:t>anticipated</w:t>
      </w:r>
      <w:r>
        <w:t xml:space="preserve">, the average hours of burden per respondent, and the total burden hours estimated for baseline data collection. </w:t>
      </w:r>
    </w:p>
    <w:p w:rsidR="00E01468" w:rsidRDefault="009E1317" w:rsidP="00204728">
      <w:pPr>
        <w:pStyle w:val="NormalSS"/>
      </w:pPr>
      <w:r>
        <w:t>In total, we estimate the burden of all baseline data collection activities to be</w:t>
      </w:r>
      <w:r w:rsidR="00BA4312">
        <w:t xml:space="preserve"> </w:t>
      </w:r>
      <w:r w:rsidR="008F1189">
        <w:t>30,800</w:t>
      </w:r>
      <w:r w:rsidR="00BA4312">
        <w:t xml:space="preserve"> </w:t>
      </w:r>
      <w:r>
        <w:t xml:space="preserve">hours across all respondents. </w:t>
      </w:r>
    </w:p>
    <w:p w:rsidR="0073463C" w:rsidRPr="00432E0D" w:rsidRDefault="0073463C" w:rsidP="0073463C">
      <w:pPr>
        <w:pStyle w:val="Heading3"/>
      </w:pPr>
      <w:bookmarkStart w:id="128" w:name="_Toc63827186"/>
      <w:bookmarkStart w:id="129" w:name="_Toc70752935"/>
      <w:bookmarkStart w:id="130" w:name="_Toc213228327"/>
      <w:bookmarkStart w:id="131" w:name="_Toc276390675"/>
      <w:bookmarkStart w:id="132" w:name="_Toc276988164"/>
      <w:bookmarkStart w:id="133" w:name="_Toc277079583"/>
      <w:bookmarkStart w:id="134" w:name="_Toc283908723"/>
      <w:bookmarkStart w:id="135" w:name="_Toc298415693"/>
      <w:bookmarkStart w:id="136" w:name="_Toc298418574"/>
      <w:r w:rsidRPr="00432E0D">
        <w:t>13.</w:t>
      </w:r>
      <w:r w:rsidRPr="00432E0D">
        <w:tab/>
        <w:t xml:space="preserve">Estimate of Total Annual Cost Burden to Respondents or </w:t>
      </w:r>
      <w:proofErr w:type="spellStart"/>
      <w:r w:rsidRPr="00432E0D">
        <w:t>Recordkeepers</w:t>
      </w:r>
      <w:bookmarkEnd w:id="128"/>
      <w:bookmarkEnd w:id="129"/>
      <w:bookmarkEnd w:id="130"/>
      <w:bookmarkEnd w:id="131"/>
      <w:bookmarkEnd w:id="132"/>
      <w:bookmarkEnd w:id="133"/>
      <w:bookmarkEnd w:id="134"/>
      <w:bookmarkEnd w:id="135"/>
      <w:bookmarkEnd w:id="136"/>
      <w:proofErr w:type="spellEnd"/>
    </w:p>
    <w:p w:rsidR="00F65A42" w:rsidRDefault="00013CA7">
      <w:pPr>
        <w:pStyle w:val="NormalSS"/>
      </w:pPr>
      <w:r>
        <w:t>We do not anticipate</w:t>
      </w:r>
      <w:r w:rsidR="0073463C" w:rsidRPr="00432E0D">
        <w:t xml:space="preserve"> </w:t>
      </w:r>
      <w:r w:rsidR="0073463C" w:rsidRPr="00432E0D">
        <w:rPr>
          <w:bCs/>
        </w:rPr>
        <w:t>direct</w:t>
      </w:r>
      <w:r w:rsidR="0073463C" w:rsidRPr="00432E0D">
        <w:t xml:space="preserve"> costs to individual </w:t>
      </w:r>
      <w:r w:rsidR="00B33801" w:rsidRPr="00432E0D">
        <w:t>district staff members</w:t>
      </w:r>
      <w:r>
        <w:t xml:space="preserve">. For the parent and student surveys, it may be possible that some individuals will only be able to complete the telephone survey using cell phones where their plans charge them for each minute used. In such instances, </w:t>
      </w:r>
      <w:proofErr w:type="spellStart"/>
      <w:r>
        <w:t>Mathematica</w:t>
      </w:r>
      <w:proofErr w:type="spellEnd"/>
      <w:r>
        <w:t xml:space="preserve"> interviewers will ask the respondent if there is any other location or landline he </w:t>
      </w:r>
      <w:r w:rsidR="008A7885">
        <w:t>or</w:t>
      </w:r>
      <w:r>
        <w:t xml:space="preserve"> she can be reached on to complete the survey. </w:t>
      </w:r>
      <w:r w:rsidR="00505151">
        <w:t>However, it</w:t>
      </w:r>
      <w:r w:rsidR="006B1BDD">
        <w:t xml:space="preserve"> is not anticipated that there will be many, if any, </w:t>
      </w:r>
      <w:r w:rsidR="00110859">
        <w:t xml:space="preserve">costs associated with cell phone </w:t>
      </w:r>
      <w:proofErr w:type="spellStart"/>
      <w:r w:rsidR="00110859">
        <w:t>useage</w:t>
      </w:r>
      <w:proofErr w:type="spellEnd"/>
      <w:r w:rsidR="00110859">
        <w:t xml:space="preserve">. </w:t>
      </w:r>
      <w:r w:rsidR="00F86E7B">
        <w:t xml:space="preserve">Most respondents will have plans with unlimited </w:t>
      </w:r>
      <w:proofErr w:type="spellStart"/>
      <w:r w:rsidR="00F86E7B">
        <w:t>useage</w:t>
      </w:r>
      <w:proofErr w:type="spellEnd"/>
      <w:r w:rsidR="00F86E7B">
        <w:t xml:space="preserve"> or will have free minutes during certain times of the day or on weekends.  We can call them back during those times. Others will consider their part of their respondent incentive as reimbursement</w:t>
      </w:r>
      <w:r w:rsidR="00F554C5">
        <w:t xml:space="preserve"> According to the American Association for Public </w:t>
      </w:r>
      <w:r w:rsidR="00F554C5">
        <w:lastRenderedPageBreak/>
        <w:t xml:space="preserve">Opinion Research (AAPOR), operational report on cellular telephone </w:t>
      </w:r>
      <w:proofErr w:type="spellStart"/>
      <w:r w:rsidR="00F554C5">
        <w:t>useage</w:t>
      </w:r>
      <w:proofErr w:type="spellEnd"/>
      <w:r w:rsidR="00F554C5">
        <w:t>,</w:t>
      </w:r>
      <w:r w:rsidR="00A17C5D" w:rsidRPr="00A17C5D">
        <w:t xml:space="preserve"> few organizations have perceived the need to offer both a remuneration and a separate incentive</w:t>
      </w:r>
      <w:r w:rsidR="00F554C5">
        <w:t xml:space="preserve"> for an interview</w:t>
      </w:r>
      <w:r w:rsidR="00A17C5D" w:rsidRPr="00A17C5D">
        <w:t>.</w:t>
      </w:r>
      <w:r w:rsidR="003D2769">
        <w:rPr>
          <w:rStyle w:val="FootnoteReference"/>
        </w:rPr>
        <w:footnoteReference w:id="4"/>
      </w:r>
      <w:r w:rsidR="00A17C5D" w:rsidRPr="00A17C5D">
        <w:t xml:space="preserve"> </w:t>
      </w:r>
    </w:p>
    <w:p w:rsidR="00724908" w:rsidRPr="00941DF2" w:rsidRDefault="00724908" w:rsidP="00724908">
      <w:pPr>
        <w:pStyle w:val="MarkforTableHeading"/>
      </w:pPr>
      <w:r w:rsidRPr="00994196">
        <w:t>Table A.4. 201</w:t>
      </w:r>
      <w:r>
        <w:t>2</w:t>
      </w:r>
      <w:r w:rsidRPr="00941DF2">
        <w:t xml:space="preserve"> Burden Associated with Baseline Data Collection Activities</w:t>
      </w:r>
      <w:r>
        <w:t xml:space="preserve"> to Be Completed</w:t>
      </w:r>
    </w:p>
    <w:tbl>
      <w:tblPr>
        <w:tblStyle w:val="TableGrid"/>
        <w:tblW w:w="0" w:type="auto"/>
        <w:tblLook w:val="04A0"/>
      </w:tblPr>
      <w:tblGrid>
        <w:gridCol w:w="5293"/>
        <w:gridCol w:w="1126"/>
        <w:gridCol w:w="1883"/>
        <w:gridCol w:w="1274"/>
      </w:tblGrid>
      <w:tr w:rsidR="00724908" w:rsidTr="00654F44">
        <w:tc>
          <w:tcPr>
            <w:tcW w:w="5293" w:type="dxa"/>
            <w:vAlign w:val="bottom"/>
          </w:tcPr>
          <w:p w:rsidR="00724908" w:rsidRPr="00941DF2" w:rsidRDefault="00724908" w:rsidP="00A00D1B">
            <w:pPr>
              <w:spacing w:before="120" w:after="60" w:line="240" w:lineRule="auto"/>
              <w:ind w:firstLine="0"/>
              <w:jc w:val="left"/>
              <w:rPr>
                <w:sz w:val="20"/>
              </w:rPr>
            </w:pPr>
            <w:r w:rsidRPr="00941DF2">
              <w:rPr>
                <w:sz w:val="20"/>
              </w:rPr>
              <w:t>Activities</w:t>
            </w:r>
          </w:p>
        </w:tc>
        <w:tc>
          <w:tcPr>
            <w:tcW w:w="1126" w:type="dxa"/>
            <w:vAlign w:val="bottom"/>
          </w:tcPr>
          <w:p w:rsidR="00724908" w:rsidRPr="002069E5" w:rsidRDefault="00724908" w:rsidP="00A00D1B">
            <w:pPr>
              <w:spacing w:before="120" w:after="60" w:line="240" w:lineRule="auto"/>
              <w:ind w:firstLine="0"/>
              <w:jc w:val="center"/>
              <w:rPr>
                <w:sz w:val="20"/>
                <w:vertAlign w:val="superscript"/>
              </w:rPr>
            </w:pPr>
            <w:r w:rsidRPr="00941DF2">
              <w:rPr>
                <w:sz w:val="20"/>
              </w:rPr>
              <w:t xml:space="preserve">Total N </w:t>
            </w:r>
            <w:proofErr w:type="spellStart"/>
            <w:r w:rsidRPr="00941DF2">
              <w:rPr>
                <w:sz w:val="20"/>
              </w:rPr>
              <w:t>Responses</w:t>
            </w:r>
            <w:r>
              <w:rPr>
                <w:sz w:val="20"/>
                <w:vertAlign w:val="superscript"/>
              </w:rPr>
              <w:t>b</w:t>
            </w:r>
            <w:proofErr w:type="spellEnd"/>
          </w:p>
        </w:tc>
        <w:tc>
          <w:tcPr>
            <w:tcW w:w="1883" w:type="dxa"/>
            <w:vAlign w:val="bottom"/>
          </w:tcPr>
          <w:p w:rsidR="00724908" w:rsidRPr="00941DF2" w:rsidRDefault="00724908" w:rsidP="00A00D1B">
            <w:pPr>
              <w:spacing w:before="120" w:after="60" w:line="240" w:lineRule="auto"/>
              <w:ind w:firstLine="0"/>
              <w:jc w:val="center"/>
              <w:rPr>
                <w:sz w:val="20"/>
              </w:rPr>
            </w:pPr>
            <w:r w:rsidRPr="00941DF2">
              <w:rPr>
                <w:sz w:val="20"/>
              </w:rPr>
              <w:t>Average Burden Hours per Response</w:t>
            </w:r>
          </w:p>
        </w:tc>
        <w:tc>
          <w:tcPr>
            <w:tcW w:w="1274" w:type="dxa"/>
            <w:vAlign w:val="bottom"/>
          </w:tcPr>
          <w:p w:rsidR="00724908" w:rsidRPr="00941DF2" w:rsidRDefault="00724908" w:rsidP="00A00D1B">
            <w:pPr>
              <w:spacing w:before="120" w:after="60" w:line="240" w:lineRule="auto"/>
              <w:ind w:firstLine="0"/>
              <w:jc w:val="center"/>
              <w:rPr>
                <w:sz w:val="20"/>
              </w:rPr>
            </w:pPr>
            <w:r w:rsidRPr="00941DF2">
              <w:rPr>
                <w:sz w:val="20"/>
              </w:rPr>
              <w:t>Total Burden Hours</w:t>
            </w:r>
          </w:p>
        </w:tc>
      </w:tr>
      <w:tr w:rsidR="00724908" w:rsidTr="00654F44">
        <w:tc>
          <w:tcPr>
            <w:tcW w:w="5293" w:type="dxa"/>
          </w:tcPr>
          <w:p w:rsidR="00724908" w:rsidRPr="00941DF2" w:rsidRDefault="00724908" w:rsidP="00A00D1B">
            <w:pPr>
              <w:spacing w:before="120" w:line="240" w:lineRule="auto"/>
              <w:ind w:firstLine="0"/>
              <w:jc w:val="left"/>
              <w:rPr>
                <w:sz w:val="20"/>
              </w:rPr>
            </w:pPr>
            <w:r w:rsidRPr="00941DF2">
              <w:rPr>
                <w:sz w:val="20"/>
              </w:rPr>
              <w:t>Parent Survey</w:t>
            </w:r>
          </w:p>
        </w:tc>
        <w:tc>
          <w:tcPr>
            <w:tcW w:w="1126" w:type="dxa"/>
          </w:tcPr>
          <w:p w:rsidR="00724908" w:rsidRPr="00BA4312" w:rsidRDefault="00724908" w:rsidP="00A00D1B">
            <w:pPr>
              <w:tabs>
                <w:tab w:val="clear" w:pos="432"/>
              </w:tabs>
              <w:spacing w:before="120" w:line="240" w:lineRule="auto"/>
              <w:ind w:firstLine="0"/>
              <w:jc w:val="center"/>
              <w:rPr>
                <w:sz w:val="20"/>
              </w:rPr>
            </w:pPr>
            <w:r w:rsidRPr="00BA4312">
              <w:rPr>
                <w:sz w:val="20"/>
              </w:rPr>
              <w:t>12,000</w:t>
            </w:r>
          </w:p>
        </w:tc>
        <w:tc>
          <w:tcPr>
            <w:tcW w:w="1883" w:type="dxa"/>
          </w:tcPr>
          <w:p w:rsidR="00724908" w:rsidRPr="00941DF2" w:rsidRDefault="00724908" w:rsidP="00A00D1B">
            <w:pPr>
              <w:tabs>
                <w:tab w:val="clear" w:pos="432"/>
                <w:tab w:val="decimal" w:pos="702"/>
              </w:tabs>
              <w:spacing w:before="120" w:line="240" w:lineRule="auto"/>
              <w:ind w:firstLine="0"/>
              <w:jc w:val="left"/>
              <w:rPr>
                <w:sz w:val="20"/>
              </w:rPr>
            </w:pPr>
            <w:r>
              <w:rPr>
                <w:sz w:val="20"/>
              </w:rPr>
              <w:t>.67</w:t>
            </w:r>
          </w:p>
        </w:tc>
        <w:tc>
          <w:tcPr>
            <w:tcW w:w="1274" w:type="dxa"/>
          </w:tcPr>
          <w:p w:rsidR="00724908" w:rsidRPr="00941DF2" w:rsidRDefault="00724908" w:rsidP="00A00D1B">
            <w:pPr>
              <w:tabs>
                <w:tab w:val="clear" w:pos="432"/>
              </w:tabs>
              <w:spacing w:before="120" w:line="240" w:lineRule="auto"/>
              <w:ind w:firstLine="0"/>
              <w:jc w:val="center"/>
              <w:rPr>
                <w:sz w:val="20"/>
              </w:rPr>
            </w:pPr>
            <w:r>
              <w:rPr>
                <w:sz w:val="20"/>
              </w:rPr>
              <w:t>8,000</w:t>
            </w:r>
          </w:p>
        </w:tc>
      </w:tr>
      <w:tr w:rsidR="00724908" w:rsidTr="00654F44">
        <w:tc>
          <w:tcPr>
            <w:tcW w:w="5293" w:type="dxa"/>
          </w:tcPr>
          <w:p w:rsidR="00724908" w:rsidRPr="00941DF2" w:rsidRDefault="00724908" w:rsidP="00A00D1B">
            <w:pPr>
              <w:spacing w:line="240" w:lineRule="auto"/>
              <w:ind w:firstLine="0"/>
              <w:jc w:val="left"/>
              <w:rPr>
                <w:sz w:val="20"/>
              </w:rPr>
            </w:pPr>
            <w:r w:rsidRPr="00941DF2">
              <w:rPr>
                <w:sz w:val="20"/>
              </w:rPr>
              <w:t>Student Survey</w:t>
            </w:r>
          </w:p>
        </w:tc>
        <w:tc>
          <w:tcPr>
            <w:tcW w:w="1126" w:type="dxa"/>
          </w:tcPr>
          <w:p w:rsidR="00724908" w:rsidRPr="00BA4312" w:rsidRDefault="00724908" w:rsidP="00A00D1B">
            <w:pPr>
              <w:tabs>
                <w:tab w:val="clear" w:pos="432"/>
              </w:tabs>
              <w:spacing w:line="240" w:lineRule="auto"/>
              <w:ind w:firstLine="0"/>
              <w:jc w:val="center"/>
              <w:rPr>
                <w:sz w:val="20"/>
              </w:rPr>
            </w:pPr>
            <w:r w:rsidRPr="00BA4312">
              <w:rPr>
                <w:sz w:val="20"/>
              </w:rPr>
              <w:t>12,000</w:t>
            </w:r>
          </w:p>
        </w:tc>
        <w:tc>
          <w:tcPr>
            <w:tcW w:w="1883" w:type="dxa"/>
          </w:tcPr>
          <w:p w:rsidR="00724908" w:rsidRPr="00941DF2" w:rsidDel="00A136C4" w:rsidRDefault="00724908" w:rsidP="00A00D1B">
            <w:pPr>
              <w:tabs>
                <w:tab w:val="clear" w:pos="432"/>
                <w:tab w:val="decimal" w:pos="702"/>
              </w:tabs>
              <w:spacing w:line="240" w:lineRule="auto"/>
              <w:ind w:firstLine="0"/>
              <w:jc w:val="left"/>
              <w:rPr>
                <w:sz w:val="20"/>
              </w:rPr>
            </w:pPr>
            <w:r>
              <w:rPr>
                <w:sz w:val="20"/>
              </w:rPr>
              <w:t>.50</w:t>
            </w:r>
          </w:p>
        </w:tc>
        <w:tc>
          <w:tcPr>
            <w:tcW w:w="1274" w:type="dxa"/>
          </w:tcPr>
          <w:p w:rsidR="00724908" w:rsidRPr="00941DF2" w:rsidRDefault="00724908" w:rsidP="00A00D1B">
            <w:pPr>
              <w:tabs>
                <w:tab w:val="clear" w:pos="432"/>
              </w:tabs>
              <w:spacing w:line="240" w:lineRule="auto"/>
              <w:ind w:firstLine="0"/>
              <w:jc w:val="center"/>
              <w:rPr>
                <w:sz w:val="20"/>
              </w:rPr>
            </w:pPr>
            <w:r>
              <w:rPr>
                <w:sz w:val="20"/>
              </w:rPr>
              <w:t>6,000</w:t>
            </w:r>
          </w:p>
        </w:tc>
      </w:tr>
      <w:tr w:rsidR="00724908" w:rsidTr="00654F44">
        <w:tc>
          <w:tcPr>
            <w:tcW w:w="5293" w:type="dxa"/>
          </w:tcPr>
          <w:p w:rsidR="00724908" w:rsidRPr="00941DF2" w:rsidRDefault="00724908" w:rsidP="00A00D1B">
            <w:pPr>
              <w:spacing w:line="240" w:lineRule="auto"/>
              <w:ind w:firstLine="0"/>
              <w:jc w:val="left"/>
              <w:rPr>
                <w:sz w:val="20"/>
              </w:rPr>
            </w:pPr>
            <w:r w:rsidRPr="00941DF2">
              <w:rPr>
                <w:sz w:val="20"/>
              </w:rPr>
              <w:t>Math of Language Arts Teacher Survey</w:t>
            </w:r>
          </w:p>
        </w:tc>
        <w:tc>
          <w:tcPr>
            <w:tcW w:w="1126" w:type="dxa"/>
          </w:tcPr>
          <w:p w:rsidR="00724908" w:rsidRPr="00941DF2" w:rsidRDefault="00724908" w:rsidP="00A00D1B">
            <w:pPr>
              <w:tabs>
                <w:tab w:val="clear" w:pos="432"/>
              </w:tabs>
              <w:spacing w:line="240" w:lineRule="auto"/>
              <w:ind w:firstLine="0"/>
              <w:jc w:val="center"/>
              <w:rPr>
                <w:sz w:val="20"/>
              </w:rPr>
            </w:pPr>
            <w:r>
              <w:rPr>
                <w:sz w:val="20"/>
              </w:rPr>
              <w:t>12,000</w:t>
            </w:r>
          </w:p>
        </w:tc>
        <w:tc>
          <w:tcPr>
            <w:tcW w:w="1883" w:type="dxa"/>
          </w:tcPr>
          <w:p w:rsidR="00724908" w:rsidRPr="00941DF2" w:rsidRDefault="00724908" w:rsidP="00A00D1B">
            <w:pPr>
              <w:tabs>
                <w:tab w:val="clear" w:pos="432"/>
                <w:tab w:val="decimal" w:pos="702"/>
              </w:tabs>
              <w:spacing w:line="240" w:lineRule="auto"/>
              <w:ind w:firstLine="0"/>
              <w:jc w:val="left"/>
              <w:rPr>
                <w:sz w:val="20"/>
              </w:rPr>
            </w:pPr>
            <w:r>
              <w:rPr>
                <w:sz w:val="20"/>
              </w:rPr>
              <w:t>.50</w:t>
            </w:r>
          </w:p>
        </w:tc>
        <w:tc>
          <w:tcPr>
            <w:tcW w:w="1274" w:type="dxa"/>
          </w:tcPr>
          <w:p w:rsidR="00724908" w:rsidRPr="00941DF2" w:rsidRDefault="00724908" w:rsidP="00A00D1B">
            <w:pPr>
              <w:tabs>
                <w:tab w:val="clear" w:pos="432"/>
              </w:tabs>
              <w:spacing w:line="240" w:lineRule="auto"/>
              <w:ind w:firstLine="0"/>
              <w:jc w:val="center"/>
              <w:rPr>
                <w:sz w:val="20"/>
              </w:rPr>
            </w:pPr>
            <w:r>
              <w:rPr>
                <w:sz w:val="20"/>
              </w:rPr>
              <w:t>6,000</w:t>
            </w:r>
          </w:p>
        </w:tc>
      </w:tr>
      <w:tr w:rsidR="00724908" w:rsidTr="00654F44">
        <w:tc>
          <w:tcPr>
            <w:tcW w:w="5293" w:type="dxa"/>
          </w:tcPr>
          <w:p w:rsidR="00724908" w:rsidRPr="00941DF2" w:rsidRDefault="00724908" w:rsidP="00A00D1B">
            <w:pPr>
              <w:spacing w:line="240" w:lineRule="auto"/>
              <w:ind w:firstLine="0"/>
              <w:jc w:val="left"/>
              <w:rPr>
                <w:sz w:val="20"/>
              </w:rPr>
            </w:pPr>
            <w:r>
              <w:rPr>
                <w:sz w:val="20"/>
              </w:rPr>
              <w:t>School Program Survey (Special Education Teacher)</w:t>
            </w:r>
          </w:p>
        </w:tc>
        <w:tc>
          <w:tcPr>
            <w:tcW w:w="1126" w:type="dxa"/>
          </w:tcPr>
          <w:p w:rsidR="00724908" w:rsidRPr="00941DF2" w:rsidRDefault="00724908" w:rsidP="00A00D1B">
            <w:pPr>
              <w:tabs>
                <w:tab w:val="clear" w:pos="432"/>
              </w:tabs>
              <w:spacing w:line="240" w:lineRule="auto"/>
              <w:ind w:firstLine="0"/>
              <w:jc w:val="center"/>
              <w:rPr>
                <w:sz w:val="20"/>
              </w:rPr>
            </w:pPr>
            <w:r>
              <w:rPr>
                <w:sz w:val="20"/>
              </w:rPr>
              <w:t>9,600</w:t>
            </w:r>
          </w:p>
        </w:tc>
        <w:tc>
          <w:tcPr>
            <w:tcW w:w="1883" w:type="dxa"/>
          </w:tcPr>
          <w:p w:rsidR="00724908" w:rsidRPr="00941DF2" w:rsidRDefault="00724908" w:rsidP="00A00D1B">
            <w:pPr>
              <w:tabs>
                <w:tab w:val="clear" w:pos="432"/>
                <w:tab w:val="decimal" w:pos="702"/>
              </w:tabs>
              <w:spacing w:line="240" w:lineRule="auto"/>
              <w:ind w:firstLine="0"/>
              <w:jc w:val="left"/>
              <w:rPr>
                <w:sz w:val="20"/>
              </w:rPr>
            </w:pPr>
            <w:r>
              <w:rPr>
                <w:sz w:val="20"/>
              </w:rPr>
              <w:t>.50</w:t>
            </w:r>
          </w:p>
        </w:tc>
        <w:tc>
          <w:tcPr>
            <w:tcW w:w="1274" w:type="dxa"/>
          </w:tcPr>
          <w:p w:rsidR="00724908" w:rsidRPr="00941DF2" w:rsidRDefault="00724908" w:rsidP="00A00D1B">
            <w:pPr>
              <w:tabs>
                <w:tab w:val="clear" w:pos="432"/>
              </w:tabs>
              <w:spacing w:line="240" w:lineRule="auto"/>
              <w:ind w:firstLine="0"/>
              <w:jc w:val="center"/>
              <w:rPr>
                <w:sz w:val="20"/>
              </w:rPr>
            </w:pPr>
            <w:r>
              <w:rPr>
                <w:sz w:val="20"/>
              </w:rPr>
              <w:t>4,800</w:t>
            </w:r>
          </w:p>
        </w:tc>
      </w:tr>
      <w:tr w:rsidR="00724908" w:rsidTr="00654F44">
        <w:tc>
          <w:tcPr>
            <w:tcW w:w="5293" w:type="dxa"/>
          </w:tcPr>
          <w:p w:rsidR="00724908" w:rsidRPr="00941DF2" w:rsidRDefault="00724908" w:rsidP="00A00D1B">
            <w:pPr>
              <w:spacing w:line="240" w:lineRule="auto"/>
              <w:ind w:firstLine="0"/>
              <w:jc w:val="left"/>
              <w:rPr>
                <w:sz w:val="20"/>
              </w:rPr>
            </w:pPr>
            <w:r>
              <w:rPr>
                <w:sz w:val="20"/>
              </w:rPr>
              <w:t>School Characteristics Survey (Principals)</w:t>
            </w:r>
            <w:r w:rsidRPr="00B005AC">
              <w:rPr>
                <w:sz w:val="20"/>
                <w:vertAlign w:val="superscript"/>
              </w:rPr>
              <w:t>a</w:t>
            </w:r>
          </w:p>
        </w:tc>
        <w:tc>
          <w:tcPr>
            <w:tcW w:w="1126" w:type="dxa"/>
          </w:tcPr>
          <w:p w:rsidR="00724908" w:rsidRPr="00941DF2" w:rsidRDefault="00724908" w:rsidP="00A00D1B">
            <w:pPr>
              <w:tabs>
                <w:tab w:val="clear" w:pos="432"/>
              </w:tabs>
              <w:spacing w:line="240" w:lineRule="auto"/>
              <w:ind w:firstLine="0"/>
              <w:jc w:val="center"/>
              <w:rPr>
                <w:sz w:val="20"/>
              </w:rPr>
            </w:pPr>
            <w:r>
              <w:rPr>
                <w:sz w:val="20"/>
              </w:rPr>
              <w:t>6,000</w:t>
            </w:r>
          </w:p>
        </w:tc>
        <w:tc>
          <w:tcPr>
            <w:tcW w:w="1883" w:type="dxa"/>
          </w:tcPr>
          <w:p w:rsidR="00724908" w:rsidRPr="00941DF2" w:rsidRDefault="00724908" w:rsidP="00A00D1B">
            <w:pPr>
              <w:tabs>
                <w:tab w:val="clear" w:pos="432"/>
                <w:tab w:val="decimal" w:pos="702"/>
              </w:tabs>
              <w:spacing w:line="240" w:lineRule="auto"/>
              <w:ind w:firstLine="0"/>
              <w:jc w:val="left"/>
              <w:rPr>
                <w:sz w:val="20"/>
              </w:rPr>
            </w:pPr>
            <w:r>
              <w:rPr>
                <w:sz w:val="20"/>
              </w:rPr>
              <w:t>.50</w:t>
            </w:r>
          </w:p>
        </w:tc>
        <w:tc>
          <w:tcPr>
            <w:tcW w:w="1274" w:type="dxa"/>
          </w:tcPr>
          <w:p w:rsidR="00724908" w:rsidRPr="00941DF2" w:rsidRDefault="00724908" w:rsidP="00A00D1B">
            <w:pPr>
              <w:tabs>
                <w:tab w:val="clear" w:pos="432"/>
              </w:tabs>
              <w:spacing w:line="240" w:lineRule="auto"/>
              <w:ind w:firstLine="0"/>
              <w:jc w:val="center"/>
              <w:rPr>
                <w:sz w:val="20"/>
              </w:rPr>
            </w:pPr>
            <w:r>
              <w:rPr>
                <w:sz w:val="20"/>
              </w:rPr>
              <w:t>3,000</w:t>
            </w:r>
          </w:p>
        </w:tc>
      </w:tr>
      <w:tr w:rsidR="00724908" w:rsidTr="00654F44">
        <w:tc>
          <w:tcPr>
            <w:tcW w:w="5293" w:type="dxa"/>
          </w:tcPr>
          <w:p w:rsidR="00724908" w:rsidRDefault="00724908" w:rsidP="00A00D1B">
            <w:pPr>
              <w:spacing w:line="240" w:lineRule="auto"/>
              <w:ind w:left="288" w:hanging="288"/>
              <w:jc w:val="left"/>
              <w:rPr>
                <w:sz w:val="20"/>
              </w:rPr>
            </w:pPr>
            <w:r>
              <w:rPr>
                <w:sz w:val="20"/>
              </w:rPr>
              <w:t>Collection of School Records for Student</w:t>
            </w:r>
            <w:r>
              <w:rPr>
                <w:sz w:val="20"/>
              </w:rPr>
              <w:br/>
              <w:t>(Administrative Data from School or District)</w:t>
            </w:r>
          </w:p>
        </w:tc>
        <w:tc>
          <w:tcPr>
            <w:tcW w:w="1126" w:type="dxa"/>
            <w:vAlign w:val="bottom"/>
          </w:tcPr>
          <w:p w:rsidR="00724908" w:rsidRPr="00941DF2" w:rsidRDefault="00724908" w:rsidP="00A00D1B">
            <w:pPr>
              <w:tabs>
                <w:tab w:val="clear" w:pos="432"/>
              </w:tabs>
              <w:spacing w:line="240" w:lineRule="auto"/>
              <w:ind w:firstLine="0"/>
              <w:jc w:val="center"/>
              <w:rPr>
                <w:sz w:val="20"/>
              </w:rPr>
            </w:pPr>
            <w:r>
              <w:rPr>
                <w:sz w:val="20"/>
              </w:rPr>
              <w:t>500</w:t>
            </w:r>
          </w:p>
        </w:tc>
        <w:tc>
          <w:tcPr>
            <w:tcW w:w="1883" w:type="dxa"/>
            <w:vAlign w:val="bottom"/>
          </w:tcPr>
          <w:p w:rsidR="00724908" w:rsidRPr="00941DF2" w:rsidRDefault="00724908" w:rsidP="00A00D1B">
            <w:pPr>
              <w:tabs>
                <w:tab w:val="clear" w:pos="432"/>
                <w:tab w:val="decimal" w:pos="702"/>
              </w:tabs>
              <w:spacing w:line="240" w:lineRule="auto"/>
              <w:ind w:firstLine="0"/>
              <w:jc w:val="left"/>
              <w:rPr>
                <w:sz w:val="20"/>
              </w:rPr>
            </w:pPr>
            <w:r>
              <w:rPr>
                <w:sz w:val="20"/>
              </w:rPr>
              <w:t>6.00</w:t>
            </w:r>
          </w:p>
        </w:tc>
        <w:tc>
          <w:tcPr>
            <w:tcW w:w="1274" w:type="dxa"/>
            <w:vAlign w:val="bottom"/>
          </w:tcPr>
          <w:p w:rsidR="00724908" w:rsidRPr="00941DF2" w:rsidRDefault="00724908" w:rsidP="00A00D1B">
            <w:pPr>
              <w:tabs>
                <w:tab w:val="clear" w:pos="432"/>
              </w:tabs>
              <w:spacing w:line="240" w:lineRule="auto"/>
              <w:ind w:firstLine="0"/>
              <w:jc w:val="center"/>
              <w:rPr>
                <w:sz w:val="20"/>
              </w:rPr>
            </w:pPr>
            <w:r>
              <w:rPr>
                <w:sz w:val="20"/>
              </w:rPr>
              <w:t>3,000</w:t>
            </w:r>
          </w:p>
        </w:tc>
      </w:tr>
      <w:tr w:rsidR="00724908" w:rsidTr="00654F44">
        <w:tc>
          <w:tcPr>
            <w:tcW w:w="5293" w:type="dxa"/>
          </w:tcPr>
          <w:p w:rsidR="00724908" w:rsidRPr="00FA059D" w:rsidRDefault="00724908" w:rsidP="00A00D1B">
            <w:pPr>
              <w:spacing w:line="240" w:lineRule="auto"/>
              <w:ind w:firstLine="0"/>
              <w:jc w:val="left"/>
              <w:rPr>
                <w:sz w:val="20"/>
              </w:rPr>
            </w:pPr>
            <w:r>
              <w:rPr>
                <w:sz w:val="20"/>
              </w:rPr>
              <w:t>Woodcock Johnson III Normative Update Form C—Brief Battery (students)</w:t>
            </w:r>
          </w:p>
        </w:tc>
        <w:tc>
          <w:tcPr>
            <w:tcW w:w="1126" w:type="dxa"/>
          </w:tcPr>
          <w:p w:rsidR="00724908" w:rsidRPr="00FA059D" w:rsidRDefault="00724908" w:rsidP="00A00D1B">
            <w:pPr>
              <w:tabs>
                <w:tab w:val="clear" w:pos="432"/>
              </w:tabs>
              <w:spacing w:line="240" w:lineRule="auto"/>
              <w:ind w:firstLine="0"/>
              <w:jc w:val="center"/>
              <w:rPr>
                <w:sz w:val="20"/>
              </w:rPr>
            </w:pPr>
            <w:r>
              <w:rPr>
                <w:sz w:val="20"/>
              </w:rPr>
              <w:t>N/A</w:t>
            </w:r>
          </w:p>
        </w:tc>
        <w:tc>
          <w:tcPr>
            <w:tcW w:w="1883" w:type="dxa"/>
          </w:tcPr>
          <w:p w:rsidR="00724908" w:rsidRPr="00FA059D" w:rsidRDefault="00724908" w:rsidP="00A00D1B">
            <w:pPr>
              <w:tabs>
                <w:tab w:val="clear" w:pos="432"/>
                <w:tab w:val="decimal" w:pos="702"/>
              </w:tabs>
              <w:spacing w:line="240" w:lineRule="auto"/>
              <w:ind w:firstLine="0"/>
              <w:jc w:val="left"/>
              <w:rPr>
                <w:sz w:val="20"/>
              </w:rPr>
            </w:pPr>
          </w:p>
        </w:tc>
        <w:tc>
          <w:tcPr>
            <w:tcW w:w="1274" w:type="dxa"/>
          </w:tcPr>
          <w:p w:rsidR="00724908" w:rsidRPr="00BA4312" w:rsidRDefault="00724908" w:rsidP="00A00D1B">
            <w:pPr>
              <w:tabs>
                <w:tab w:val="clear" w:pos="432"/>
              </w:tabs>
              <w:spacing w:line="240" w:lineRule="auto"/>
              <w:ind w:firstLine="0"/>
              <w:jc w:val="center"/>
              <w:rPr>
                <w:sz w:val="20"/>
              </w:rPr>
            </w:pPr>
          </w:p>
        </w:tc>
      </w:tr>
      <w:tr w:rsidR="00724908" w:rsidTr="00654F44">
        <w:tc>
          <w:tcPr>
            <w:tcW w:w="5293" w:type="dxa"/>
          </w:tcPr>
          <w:p w:rsidR="00724908" w:rsidRDefault="00724908" w:rsidP="00A00D1B">
            <w:pPr>
              <w:spacing w:line="240" w:lineRule="auto"/>
              <w:ind w:firstLine="0"/>
              <w:jc w:val="left"/>
              <w:rPr>
                <w:sz w:val="20"/>
              </w:rPr>
            </w:pPr>
            <w:r>
              <w:rPr>
                <w:sz w:val="20"/>
              </w:rPr>
              <w:t>Learning Characteristics Inventory (teachers)</w:t>
            </w:r>
          </w:p>
        </w:tc>
        <w:tc>
          <w:tcPr>
            <w:tcW w:w="1126" w:type="dxa"/>
          </w:tcPr>
          <w:p w:rsidR="00724908" w:rsidRPr="00FA059D" w:rsidRDefault="00724908" w:rsidP="00A00D1B">
            <w:pPr>
              <w:tabs>
                <w:tab w:val="clear" w:pos="432"/>
              </w:tabs>
              <w:spacing w:line="240" w:lineRule="auto"/>
              <w:ind w:firstLine="0"/>
              <w:jc w:val="center"/>
              <w:rPr>
                <w:sz w:val="20"/>
              </w:rPr>
            </w:pPr>
            <w:r>
              <w:rPr>
                <w:sz w:val="20"/>
              </w:rPr>
              <w:t>N/A</w:t>
            </w:r>
          </w:p>
        </w:tc>
        <w:tc>
          <w:tcPr>
            <w:tcW w:w="1883" w:type="dxa"/>
          </w:tcPr>
          <w:p w:rsidR="00724908" w:rsidRPr="00FA059D" w:rsidRDefault="00724908" w:rsidP="00A00D1B">
            <w:pPr>
              <w:tabs>
                <w:tab w:val="clear" w:pos="432"/>
                <w:tab w:val="decimal" w:pos="702"/>
              </w:tabs>
              <w:spacing w:line="240" w:lineRule="auto"/>
              <w:ind w:firstLine="0"/>
              <w:jc w:val="left"/>
              <w:rPr>
                <w:sz w:val="20"/>
              </w:rPr>
            </w:pPr>
          </w:p>
        </w:tc>
        <w:tc>
          <w:tcPr>
            <w:tcW w:w="1274" w:type="dxa"/>
          </w:tcPr>
          <w:p w:rsidR="00724908" w:rsidRPr="00BA4312" w:rsidRDefault="00724908" w:rsidP="00A00D1B">
            <w:pPr>
              <w:tabs>
                <w:tab w:val="clear" w:pos="432"/>
              </w:tabs>
              <w:spacing w:line="240" w:lineRule="auto"/>
              <w:ind w:firstLine="0"/>
              <w:jc w:val="center"/>
              <w:rPr>
                <w:sz w:val="20"/>
              </w:rPr>
            </w:pPr>
          </w:p>
        </w:tc>
      </w:tr>
      <w:tr w:rsidR="00724908" w:rsidTr="00654F44">
        <w:tc>
          <w:tcPr>
            <w:tcW w:w="5293" w:type="dxa"/>
          </w:tcPr>
          <w:p w:rsidR="00724908" w:rsidRDefault="00724908" w:rsidP="00A00D1B">
            <w:pPr>
              <w:spacing w:before="120" w:after="60" w:line="240" w:lineRule="auto"/>
              <w:ind w:firstLine="0"/>
              <w:jc w:val="left"/>
              <w:rPr>
                <w:sz w:val="20"/>
              </w:rPr>
            </w:pPr>
            <w:r w:rsidRPr="00941DF2">
              <w:rPr>
                <w:b/>
                <w:bCs/>
                <w:sz w:val="20"/>
              </w:rPr>
              <w:t>Total</w:t>
            </w:r>
          </w:p>
        </w:tc>
        <w:tc>
          <w:tcPr>
            <w:tcW w:w="1126" w:type="dxa"/>
          </w:tcPr>
          <w:p w:rsidR="00724908" w:rsidRPr="00524629" w:rsidRDefault="00724908" w:rsidP="00A00D1B">
            <w:pPr>
              <w:tabs>
                <w:tab w:val="clear" w:pos="432"/>
                <w:tab w:val="decimal" w:pos="683"/>
              </w:tabs>
              <w:spacing w:before="120" w:after="60" w:line="240" w:lineRule="auto"/>
              <w:ind w:firstLine="0"/>
              <w:jc w:val="left"/>
              <w:rPr>
                <w:b/>
                <w:sz w:val="20"/>
              </w:rPr>
            </w:pPr>
            <w:r>
              <w:rPr>
                <w:b/>
                <w:sz w:val="20"/>
              </w:rPr>
              <w:t>52,100</w:t>
            </w:r>
          </w:p>
        </w:tc>
        <w:tc>
          <w:tcPr>
            <w:tcW w:w="1883" w:type="dxa"/>
          </w:tcPr>
          <w:p w:rsidR="00724908" w:rsidRPr="00524629" w:rsidRDefault="00724908" w:rsidP="00A00D1B">
            <w:pPr>
              <w:tabs>
                <w:tab w:val="clear" w:pos="432"/>
                <w:tab w:val="decimal" w:pos="478"/>
              </w:tabs>
              <w:spacing w:before="120" w:after="60" w:line="240" w:lineRule="auto"/>
              <w:ind w:firstLine="0"/>
              <w:jc w:val="left"/>
              <w:rPr>
                <w:b/>
                <w:sz w:val="20"/>
                <w:highlight w:val="yellow"/>
              </w:rPr>
            </w:pPr>
          </w:p>
        </w:tc>
        <w:tc>
          <w:tcPr>
            <w:tcW w:w="1274" w:type="dxa"/>
          </w:tcPr>
          <w:p w:rsidR="00724908" w:rsidRPr="00524629" w:rsidRDefault="00724908" w:rsidP="00A00D1B">
            <w:pPr>
              <w:tabs>
                <w:tab w:val="clear" w:pos="432"/>
                <w:tab w:val="decimal" w:pos="519"/>
              </w:tabs>
              <w:spacing w:before="120" w:after="60" w:line="240" w:lineRule="auto"/>
              <w:ind w:firstLine="0"/>
              <w:jc w:val="left"/>
              <w:rPr>
                <w:b/>
                <w:sz w:val="20"/>
              </w:rPr>
            </w:pPr>
            <w:r>
              <w:rPr>
                <w:b/>
                <w:sz w:val="20"/>
              </w:rPr>
              <w:t>30,800</w:t>
            </w:r>
          </w:p>
        </w:tc>
      </w:tr>
    </w:tbl>
    <w:p w:rsidR="00724908" w:rsidRDefault="00724908" w:rsidP="00724908">
      <w:pPr>
        <w:spacing w:before="120" w:line="240" w:lineRule="auto"/>
        <w:ind w:firstLine="0"/>
        <w:rPr>
          <w:bCs/>
          <w:sz w:val="20"/>
          <w:szCs w:val="20"/>
        </w:rPr>
      </w:pPr>
      <w:proofErr w:type="spellStart"/>
      <w:r w:rsidRPr="00B005AC">
        <w:rPr>
          <w:bCs/>
          <w:sz w:val="20"/>
          <w:szCs w:val="20"/>
          <w:vertAlign w:val="superscript"/>
        </w:rPr>
        <w:t>a</w:t>
      </w:r>
      <w:r w:rsidRPr="00B005AC">
        <w:rPr>
          <w:bCs/>
          <w:sz w:val="20"/>
          <w:szCs w:val="20"/>
        </w:rPr>
        <w:t>Assumes</w:t>
      </w:r>
      <w:proofErr w:type="spellEnd"/>
      <w:r w:rsidRPr="00B005AC">
        <w:rPr>
          <w:bCs/>
          <w:sz w:val="20"/>
          <w:szCs w:val="20"/>
        </w:rPr>
        <w:t xml:space="preserve"> two students per school, on average.</w:t>
      </w:r>
    </w:p>
    <w:p w:rsidR="00724908" w:rsidRPr="002069E5" w:rsidRDefault="00724908" w:rsidP="00724908">
      <w:pPr>
        <w:spacing w:before="120" w:line="240" w:lineRule="auto"/>
        <w:ind w:firstLine="0"/>
        <w:rPr>
          <w:bCs/>
          <w:sz w:val="20"/>
          <w:szCs w:val="20"/>
        </w:rPr>
      </w:pPr>
      <w:r>
        <w:rPr>
          <w:bCs/>
          <w:sz w:val="20"/>
          <w:szCs w:val="20"/>
          <w:vertAlign w:val="superscript"/>
        </w:rPr>
        <w:t xml:space="preserve">b </w:t>
      </w:r>
      <w:r>
        <w:rPr>
          <w:bCs/>
          <w:sz w:val="20"/>
          <w:szCs w:val="20"/>
        </w:rPr>
        <w:t>These numbers reflect an 80% response rate.</w:t>
      </w:r>
    </w:p>
    <w:p w:rsidR="00724908" w:rsidRDefault="00724908" w:rsidP="00724908">
      <w:pPr>
        <w:spacing w:line="240" w:lineRule="auto"/>
        <w:ind w:firstLine="0"/>
        <w:rPr>
          <w:bCs/>
        </w:rPr>
      </w:pPr>
    </w:p>
    <w:p w:rsidR="00F65A42" w:rsidRDefault="00F65A42">
      <w:pPr>
        <w:pStyle w:val="ParagraphSSLAST"/>
        <w:spacing w:after="0"/>
        <w:ind w:firstLine="0"/>
      </w:pPr>
    </w:p>
    <w:p w:rsidR="0073463C" w:rsidRPr="00432E0D" w:rsidRDefault="0073463C" w:rsidP="0073463C">
      <w:pPr>
        <w:pStyle w:val="Heading3"/>
      </w:pPr>
      <w:bookmarkStart w:id="137" w:name="_Toc63827187"/>
      <w:bookmarkStart w:id="138" w:name="_Toc70752936"/>
      <w:bookmarkStart w:id="139" w:name="_Toc213228328"/>
      <w:bookmarkStart w:id="140" w:name="_Toc276390676"/>
      <w:bookmarkStart w:id="141" w:name="_Toc276988165"/>
      <w:bookmarkStart w:id="142" w:name="_Toc277079584"/>
      <w:bookmarkStart w:id="143" w:name="_Toc283908724"/>
      <w:bookmarkStart w:id="144" w:name="_Toc298415694"/>
      <w:bookmarkStart w:id="145" w:name="_Toc298418575"/>
      <w:r w:rsidRPr="00432E0D">
        <w:t>14.</w:t>
      </w:r>
      <w:r w:rsidRPr="00432E0D">
        <w:tab/>
        <w:t>Estimates of Annualized Cost to the Federal Government</w:t>
      </w:r>
      <w:bookmarkEnd w:id="137"/>
      <w:bookmarkEnd w:id="138"/>
      <w:bookmarkEnd w:id="139"/>
      <w:bookmarkEnd w:id="140"/>
      <w:bookmarkEnd w:id="141"/>
      <w:bookmarkEnd w:id="142"/>
      <w:bookmarkEnd w:id="143"/>
      <w:bookmarkEnd w:id="144"/>
      <w:bookmarkEnd w:id="145"/>
    </w:p>
    <w:p w:rsidR="0073463C" w:rsidRPr="004D253A" w:rsidRDefault="0073463C" w:rsidP="006454A9">
      <w:pPr>
        <w:pStyle w:val="NormalSS"/>
      </w:pPr>
      <w:r w:rsidRPr="004D253A">
        <w:t xml:space="preserve">The estimated </w:t>
      </w:r>
      <w:r w:rsidR="00F554C5">
        <w:t xml:space="preserve">average annual </w:t>
      </w:r>
      <w:r w:rsidRPr="004D253A">
        <w:t xml:space="preserve">cost to the federal government for the study—including recruiting districts, designing and administering all collection instruments, processing and analyzing the data, and preparing </w:t>
      </w:r>
      <w:r w:rsidRPr="004D253A">
        <w:rPr>
          <w:bCs/>
        </w:rPr>
        <w:t>reports</w:t>
      </w:r>
      <w:r w:rsidR="00DE321A">
        <w:rPr>
          <w:bCs/>
        </w:rPr>
        <w:t xml:space="preserve">—is </w:t>
      </w:r>
      <w:r w:rsidR="001C06CA" w:rsidRPr="001C06CA">
        <w:rPr>
          <w:bCs/>
        </w:rPr>
        <w:t>$</w:t>
      </w:r>
      <w:r w:rsidR="00F554C5">
        <w:rPr>
          <w:bCs/>
        </w:rPr>
        <w:t>3,704,797</w:t>
      </w:r>
      <w:r w:rsidRPr="001C06CA">
        <w:rPr>
          <w:bCs/>
        </w:rPr>
        <w:t xml:space="preserve">, </w:t>
      </w:r>
      <w:r w:rsidR="00F554C5">
        <w:rPr>
          <w:bCs/>
        </w:rPr>
        <w:t xml:space="preserve">(the total cost divided by the 5 years of the study).  Costs are </w:t>
      </w:r>
      <w:r w:rsidRPr="001C06CA">
        <w:rPr>
          <w:bCs/>
        </w:rPr>
        <w:t>distributed</w:t>
      </w:r>
      <w:r w:rsidRPr="004D253A">
        <w:t xml:space="preserve"> as follows:</w:t>
      </w:r>
    </w:p>
    <w:tbl>
      <w:tblPr>
        <w:tblW w:w="5000" w:type="pct"/>
        <w:tblCellMar>
          <w:left w:w="0" w:type="dxa"/>
          <w:right w:w="0" w:type="dxa"/>
        </w:tblCellMar>
        <w:tblLook w:val="04A0"/>
      </w:tblPr>
      <w:tblGrid>
        <w:gridCol w:w="2823"/>
        <w:gridCol w:w="2252"/>
        <w:gridCol w:w="4501"/>
      </w:tblGrid>
      <w:tr w:rsidR="001C06CA" w:rsidTr="006454A9">
        <w:trPr>
          <w:trHeight w:val="300"/>
        </w:trPr>
        <w:tc>
          <w:tcPr>
            <w:tcW w:w="1474" w:type="pct"/>
            <w:tcBorders>
              <w:top w:val="single" w:sz="4" w:space="0" w:color="auto"/>
            </w:tcBorders>
            <w:tcMar>
              <w:top w:w="0" w:type="dxa"/>
              <w:left w:w="108" w:type="dxa"/>
              <w:bottom w:w="0" w:type="dxa"/>
              <w:right w:w="108" w:type="dxa"/>
            </w:tcMar>
            <w:vAlign w:val="bottom"/>
            <w:hideMark/>
          </w:tcPr>
          <w:p w:rsidR="001C06CA" w:rsidRDefault="001C06CA" w:rsidP="001C6B15">
            <w:pPr>
              <w:spacing w:before="120" w:line="240" w:lineRule="auto"/>
              <w:ind w:firstLine="0"/>
              <w:jc w:val="left"/>
              <w:rPr>
                <w:rFonts w:eastAsiaTheme="minorHAnsi"/>
                <w:color w:val="000000"/>
                <w:sz w:val="20"/>
                <w:szCs w:val="20"/>
              </w:rPr>
            </w:pPr>
            <w:bookmarkStart w:id="146" w:name="_Toc63827188"/>
            <w:bookmarkStart w:id="147" w:name="_Toc70752937"/>
            <w:bookmarkStart w:id="148" w:name="_Toc213228329"/>
            <w:bookmarkStart w:id="149" w:name="_Toc276390677"/>
            <w:bookmarkStart w:id="150" w:name="_Toc276988166"/>
            <w:bookmarkStart w:id="151" w:name="_Toc277079585"/>
            <w:bookmarkStart w:id="152" w:name="_Toc283908725"/>
            <w:r>
              <w:rPr>
                <w:color w:val="000000"/>
                <w:sz w:val="20"/>
                <w:szCs w:val="20"/>
              </w:rPr>
              <w:t>Year 1</w:t>
            </w:r>
          </w:p>
        </w:tc>
        <w:tc>
          <w:tcPr>
            <w:tcW w:w="1176" w:type="pct"/>
            <w:tcBorders>
              <w:top w:val="single" w:sz="4" w:space="0" w:color="auto"/>
            </w:tcBorders>
            <w:tcMar>
              <w:top w:w="0" w:type="dxa"/>
              <w:left w:w="108" w:type="dxa"/>
              <w:bottom w:w="0" w:type="dxa"/>
              <w:right w:w="108" w:type="dxa"/>
            </w:tcMar>
            <w:vAlign w:val="bottom"/>
            <w:hideMark/>
          </w:tcPr>
          <w:p w:rsidR="001C06CA" w:rsidRDefault="001C06CA" w:rsidP="001C6B15">
            <w:pPr>
              <w:spacing w:before="120" w:line="240" w:lineRule="auto"/>
              <w:ind w:firstLine="0"/>
              <w:jc w:val="center"/>
              <w:rPr>
                <w:rFonts w:eastAsiaTheme="minorHAnsi"/>
                <w:color w:val="000000"/>
                <w:sz w:val="20"/>
                <w:szCs w:val="20"/>
              </w:rPr>
            </w:pPr>
            <w:r>
              <w:rPr>
                <w:color w:val="000000"/>
                <w:sz w:val="20"/>
                <w:szCs w:val="20"/>
              </w:rPr>
              <w:t>2011</w:t>
            </w:r>
          </w:p>
        </w:tc>
        <w:tc>
          <w:tcPr>
            <w:tcW w:w="2350" w:type="pct"/>
            <w:tcBorders>
              <w:top w:val="single" w:sz="4" w:space="0" w:color="auto"/>
            </w:tcBorders>
            <w:tcMar>
              <w:top w:w="0" w:type="dxa"/>
              <w:left w:w="108" w:type="dxa"/>
              <w:bottom w:w="0" w:type="dxa"/>
              <w:right w:w="108" w:type="dxa"/>
            </w:tcMar>
            <w:vAlign w:val="bottom"/>
            <w:hideMark/>
          </w:tcPr>
          <w:p w:rsidR="001C06CA" w:rsidRDefault="001C06CA" w:rsidP="00204728">
            <w:pPr>
              <w:tabs>
                <w:tab w:val="clear" w:pos="432"/>
                <w:tab w:val="decimal" w:pos="2305"/>
              </w:tabs>
              <w:spacing w:before="120" w:line="240" w:lineRule="auto"/>
              <w:ind w:firstLine="0"/>
              <w:rPr>
                <w:rFonts w:eastAsiaTheme="minorHAnsi"/>
                <w:color w:val="000000"/>
                <w:sz w:val="20"/>
                <w:szCs w:val="20"/>
              </w:rPr>
            </w:pPr>
            <w:r>
              <w:rPr>
                <w:color w:val="000000"/>
                <w:sz w:val="20"/>
                <w:szCs w:val="20"/>
              </w:rPr>
              <w:t>$1,869,149</w:t>
            </w:r>
          </w:p>
        </w:tc>
      </w:tr>
      <w:tr w:rsidR="001C06CA" w:rsidTr="006454A9">
        <w:trPr>
          <w:trHeight w:val="300"/>
        </w:trPr>
        <w:tc>
          <w:tcPr>
            <w:tcW w:w="1474" w:type="pct"/>
            <w:tcMar>
              <w:top w:w="0" w:type="dxa"/>
              <w:left w:w="108" w:type="dxa"/>
              <w:bottom w:w="0" w:type="dxa"/>
              <w:right w:w="108" w:type="dxa"/>
            </w:tcMar>
            <w:vAlign w:val="bottom"/>
            <w:hideMark/>
          </w:tcPr>
          <w:p w:rsidR="001C06CA" w:rsidRDefault="001C06CA" w:rsidP="001C06CA">
            <w:pPr>
              <w:spacing w:line="240" w:lineRule="auto"/>
              <w:ind w:firstLine="0"/>
              <w:jc w:val="left"/>
              <w:rPr>
                <w:rFonts w:eastAsiaTheme="minorHAnsi"/>
                <w:color w:val="000000"/>
                <w:sz w:val="20"/>
                <w:szCs w:val="20"/>
              </w:rPr>
            </w:pPr>
            <w:r>
              <w:rPr>
                <w:color w:val="000000"/>
                <w:sz w:val="20"/>
                <w:szCs w:val="20"/>
              </w:rPr>
              <w:t>Year 2</w:t>
            </w:r>
          </w:p>
        </w:tc>
        <w:tc>
          <w:tcPr>
            <w:tcW w:w="1176" w:type="pct"/>
            <w:tcMar>
              <w:top w:w="0" w:type="dxa"/>
              <w:left w:w="108" w:type="dxa"/>
              <w:bottom w:w="0" w:type="dxa"/>
              <w:right w:w="108" w:type="dxa"/>
            </w:tcMar>
            <w:vAlign w:val="bottom"/>
            <w:hideMark/>
          </w:tcPr>
          <w:p w:rsidR="001C06CA" w:rsidRDefault="001C06CA" w:rsidP="006454A9">
            <w:pPr>
              <w:spacing w:line="240" w:lineRule="auto"/>
              <w:ind w:firstLine="0"/>
              <w:jc w:val="center"/>
              <w:rPr>
                <w:rFonts w:eastAsiaTheme="minorHAnsi"/>
                <w:color w:val="000000"/>
                <w:sz w:val="20"/>
                <w:szCs w:val="20"/>
              </w:rPr>
            </w:pPr>
            <w:r>
              <w:rPr>
                <w:color w:val="000000"/>
                <w:sz w:val="20"/>
                <w:szCs w:val="20"/>
              </w:rPr>
              <w:t>2012</w:t>
            </w:r>
          </w:p>
        </w:tc>
        <w:tc>
          <w:tcPr>
            <w:tcW w:w="2350" w:type="pct"/>
            <w:tcMar>
              <w:top w:w="0" w:type="dxa"/>
              <w:left w:w="108" w:type="dxa"/>
              <w:bottom w:w="0" w:type="dxa"/>
              <w:right w:w="108" w:type="dxa"/>
            </w:tcMar>
            <w:vAlign w:val="bottom"/>
            <w:hideMark/>
          </w:tcPr>
          <w:p w:rsidR="001C06CA" w:rsidRDefault="001C06CA" w:rsidP="00204728">
            <w:pPr>
              <w:tabs>
                <w:tab w:val="clear" w:pos="432"/>
                <w:tab w:val="decimal" w:pos="2305"/>
              </w:tabs>
              <w:spacing w:line="240" w:lineRule="auto"/>
              <w:ind w:firstLine="0"/>
              <w:rPr>
                <w:rFonts w:eastAsiaTheme="minorHAnsi"/>
                <w:color w:val="000000"/>
                <w:sz w:val="20"/>
                <w:szCs w:val="20"/>
              </w:rPr>
            </w:pPr>
            <w:r>
              <w:rPr>
                <w:color w:val="000000"/>
                <w:sz w:val="20"/>
                <w:szCs w:val="20"/>
              </w:rPr>
              <w:t>$7,710,848</w:t>
            </w:r>
          </w:p>
        </w:tc>
      </w:tr>
      <w:tr w:rsidR="001C06CA" w:rsidTr="006454A9">
        <w:trPr>
          <w:trHeight w:val="300"/>
        </w:trPr>
        <w:tc>
          <w:tcPr>
            <w:tcW w:w="1474" w:type="pct"/>
            <w:tcMar>
              <w:top w:w="0" w:type="dxa"/>
              <w:left w:w="108" w:type="dxa"/>
              <w:bottom w:w="0" w:type="dxa"/>
              <w:right w:w="108" w:type="dxa"/>
            </w:tcMar>
            <w:vAlign w:val="bottom"/>
            <w:hideMark/>
          </w:tcPr>
          <w:p w:rsidR="001C06CA" w:rsidRDefault="001C06CA" w:rsidP="001C06CA">
            <w:pPr>
              <w:spacing w:line="240" w:lineRule="auto"/>
              <w:ind w:firstLine="0"/>
              <w:jc w:val="left"/>
              <w:rPr>
                <w:rFonts w:eastAsiaTheme="minorHAnsi"/>
                <w:color w:val="000000"/>
                <w:sz w:val="20"/>
                <w:szCs w:val="20"/>
              </w:rPr>
            </w:pPr>
            <w:r>
              <w:rPr>
                <w:color w:val="000000"/>
                <w:sz w:val="20"/>
                <w:szCs w:val="20"/>
              </w:rPr>
              <w:t>Year 3</w:t>
            </w:r>
          </w:p>
        </w:tc>
        <w:tc>
          <w:tcPr>
            <w:tcW w:w="1176" w:type="pct"/>
            <w:tcMar>
              <w:top w:w="0" w:type="dxa"/>
              <w:left w:w="108" w:type="dxa"/>
              <w:bottom w:w="0" w:type="dxa"/>
              <w:right w:w="108" w:type="dxa"/>
            </w:tcMar>
            <w:vAlign w:val="bottom"/>
            <w:hideMark/>
          </w:tcPr>
          <w:p w:rsidR="001C06CA" w:rsidRDefault="001C06CA" w:rsidP="006454A9">
            <w:pPr>
              <w:spacing w:line="240" w:lineRule="auto"/>
              <w:ind w:firstLine="0"/>
              <w:jc w:val="center"/>
              <w:rPr>
                <w:rFonts w:eastAsiaTheme="minorHAnsi"/>
                <w:color w:val="000000"/>
                <w:sz w:val="20"/>
                <w:szCs w:val="20"/>
              </w:rPr>
            </w:pPr>
            <w:r>
              <w:rPr>
                <w:color w:val="000000"/>
                <w:sz w:val="20"/>
                <w:szCs w:val="20"/>
              </w:rPr>
              <w:t>2013</w:t>
            </w:r>
          </w:p>
        </w:tc>
        <w:tc>
          <w:tcPr>
            <w:tcW w:w="2350" w:type="pct"/>
            <w:tcMar>
              <w:top w:w="0" w:type="dxa"/>
              <w:left w:w="108" w:type="dxa"/>
              <w:bottom w:w="0" w:type="dxa"/>
              <w:right w:w="108" w:type="dxa"/>
            </w:tcMar>
            <w:vAlign w:val="bottom"/>
            <w:hideMark/>
          </w:tcPr>
          <w:p w:rsidR="001C06CA" w:rsidRDefault="001C06CA" w:rsidP="00204728">
            <w:pPr>
              <w:tabs>
                <w:tab w:val="clear" w:pos="432"/>
                <w:tab w:val="decimal" w:pos="2305"/>
              </w:tabs>
              <w:spacing w:line="240" w:lineRule="auto"/>
              <w:ind w:firstLine="0"/>
              <w:rPr>
                <w:rFonts w:eastAsiaTheme="minorHAnsi"/>
                <w:color w:val="000000"/>
                <w:sz w:val="20"/>
                <w:szCs w:val="20"/>
              </w:rPr>
            </w:pPr>
            <w:r>
              <w:rPr>
                <w:color w:val="000000"/>
                <w:sz w:val="20"/>
                <w:szCs w:val="20"/>
              </w:rPr>
              <w:t>$1,416,380</w:t>
            </w:r>
          </w:p>
        </w:tc>
      </w:tr>
      <w:tr w:rsidR="001C06CA" w:rsidTr="006454A9">
        <w:trPr>
          <w:trHeight w:val="300"/>
        </w:trPr>
        <w:tc>
          <w:tcPr>
            <w:tcW w:w="1474" w:type="pct"/>
            <w:tcMar>
              <w:top w:w="0" w:type="dxa"/>
              <w:left w:w="108" w:type="dxa"/>
              <w:bottom w:w="0" w:type="dxa"/>
              <w:right w:w="108" w:type="dxa"/>
            </w:tcMar>
            <w:vAlign w:val="bottom"/>
            <w:hideMark/>
          </w:tcPr>
          <w:p w:rsidR="001C06CA" w:rsidRDefault="001C06CA" w:rsidP="001C06CA">
            <w:pPr>
              <w:spacing w:line="240" w:lineRule="auto"/>
              <w:ind w:firstLine="0"/>
              <w:jc w:val="left"/>
              <w:rPr>
                <w:rFonts w:eastAsiaTheme="minorHAnsi"/>
                <w:color w:val="000000"/>
                <w:sz w:val="20"/>
                <w:szCs w:val="20"/>
              </w:rPr>
            </w:pPr>
            <w:r>
              <w:rPr>
                <w:color w:val="000000"/>
                <w:sz w:val="20"/>
                <w:szCs w:val="20"/>
              </w:rPr>
              <w:t>Year 4</w:t>
            </w:r>
          </w:p>
        </w:tc>
        <w:tc>
          <w:tcPr>
            <w:tcW w:w="1176" w:type="pct"/>
            <w:tcMar>
              <w:top w:w="0" w:type="dxa"/>
              <w:left w:w="108" w:type="dxa"/>
              <w:bottom w:w="0" w:type="dxa"/>
              <w:right w:w="108" w:type="dxa"/>
            </w:tcMar>
            <w:vAlign w:val="bottom"/>
            <w:hideMark/>
          </w:tcPr>
          <w:p w:rsidR="001C06CA" w:rsidRDefault="001C06CA" w:rsidP="006454A9">
            <w:pPr>
              <w:spacing w:line="240" w:lineRule="auto"/>
              <w:ind w:firstLine="0"/>
              <w:jc w:val="center"/>
              <w:rPr>
                <w:rFonts w:eastAsiaTheme="minorHAnsi"/>
                <w:color w:val="000000"/>
                <w:sz w:val="20"/>
                <w:szCs w:val="20"/>
              </w:rPr>
            </w:pPr>
            <w:r>
              <w:rPr>
                <w:color w:val="000000"/>
                <w:sz w:val="20"/>
                <w:szCs w:val="20"/>
              </w:rPr>
              <w:t>2014</w:t>
            </w:r>
          </w:p>
        </w:tc>
        <w:tc>
          <w:tcPr>
            <w:tcW w:w="2350" w:type="pct"/>
            <w:tcMar>
              <w:top w:w="0" w:type="dxa"/>
              <w:left w:w="108" w:type="dxa"/>
              <w:bottom w:w="0" w:type="dxa"/>
              <w:right w:w="108" w:type="dxa"/>
            </w:tcMar>
            <w:vAlign w:val="bottom"/>
            <w:hideMark/>
          </w:tcPr>
          <w:p w:rsidR="001C06CA" w:rsidRDefault="001C06CA" w:rsidP="00204728">
            <w:pPr>
              <w:tabs>
                <w:tab w:val="clear" w:pos="432"/>
                <w:tab w:val="decimal" w:pos="2305"/>
              </w:tabs>
              <w:spacing w:line="240" w:lineRule="auto"/>
              <w:ind w:firstLine="0"/>
              <w:rPr>
                <w:rFonts w:eastAsiaTheme="minorHAnsi"/>
                <w:color w:val="000000"/>
                <w:sz w:val="20"/>
                <w:szCs w:val="20"/>
              </w:rPr>
            </w:pPr>
            <w:r>
              <w:rPr>
                <w:color w:val="000000"/>
                <w:sz w:val="20"/>
                <w:szCs w:val="20"/>
              </w:rPr>
              <w:t>$6,343,809</w:t>
            </w:r>
          </w:p>
        </w:tc>
      </w:tr>
      <w:tr w:rsidR="001C06CA" w:rsidTr="00204728">
        <w:trPr>
          <w:trHeight w:val="300"/>
        </w:trPr>
        <w:tc>
          <w:tcPr>
            <w:tcW w:w="1474" w:type="pct"/>
            <w:tcBorders>
              <w:bottom w:val="single" w:sz="4" w:space="0" w:color="auto"/>
            </w:tcBorders>
            <w:tcMar>
              <w:top w:w="0" w:type="dxa"/>
              <w:left w:w="108" w:type="dxa"/>
              <w:bottom w:w="0" w:type="dxa"/>
              <w:right w:w="108" w:type="dxa"/>
            </w:tcMar>
            <w:vAlign w:val="bottom"/>
            <w:hideMark/>
          </w:tcPr>
          <w:p w:rsidR="001C06CA" w:rsidRDefault="001C06CA" w:rsidP="001C06CA">
            <w:pPr>
              <w:spacing w:line="240" w:lineRule="auto"/>
              <w:ind w:firstLine="0"/>
              <w:jc w:val="left"/>
              <w:rPr>
                <w:rFonts w:eastAsiaTheme="minorHAnsi"/>
                <w:color w:val="000000"/>
                <w:sz w:val="20"/>
                <w:szCs w:val="20"/>
              </w:rPr>
            </w:pPr>
            <w:r>
              <w:rPr>
                <w:color w:val="000000"/>
                <w:sz w:val="20"/>
                <w:szCs w:val="20"/>
              </w:rPr>
              <w:t>Year 5</w:t>
            </w:r>
          </w:p>
        </w:tc>
        <w:tc>
          <w:tcPr>
            <w:tcW w:w="1176" w:type="pct"/>
            <w:tcBorders>
              <w:bottom w:val="single" w:sz="4" w:space="0" w:color="auto"/>
            </w:tcBorders>
            <w:tcMar>
              <w:top w:w="0" w:type="dxa"/>
              <w:left w:w="108" w:type="dxa"/>
              <w:bottom w:w="0" w:type="dxa"/>
              <w:right w:w="108" w:type="dxa"/>
            </w:tcMar>
            <w:vAlign w:val="bottom"/>
            <w:hideMark/>
          </w:tcPr>
          <w:p w:rsidR="001C06CA" w:rsidRDefault="001C06CA" w:rsidP="006454A9">
            <w:pPr>
              <w:spacing w:line="240" w:lineRule="auto"/>
              <w:ind w:firstLine="0"/>
              <w:jc w:val="center"/>
              <w:rPr>
                <w:rFonts w:eastAsiaTheme="minorHAnsi"/>
                <w:color w:val="000000"/>
                <w:sz w:val="20"/>
                <w:szCs w:val="20"/>
              </w:rPr>
            </w:pPr>
            <w:r>
              <w:rPr>
                <w:color w:val="000000"/>
                <w:sz w:val="20"/>
                <w:szCs w:val="20"/>
              </w:rPr>
              <w:t>2015</w:t>
            </w:r>
          </w:p>
        </w:tc>
        <w:tc>
          <w:tcPr>
            <w:tcW w:w="2350" w:type="pct"/>
            <w:tcBorders>
              <w:bottom w:val="single" w:sz="4" w:space="0" w:color="auto"/>
            </w:tcBorders>
            <w:tcMar>
              <w:top w:w="0" w:type="dxa"/>
              <w:left w:w="108" w:type="dxa"/>
              <w:bottom w:w="0" w:type="dxa"/>
              <w:right w:w="108" w:type="dxa"/>
            </w:tcMar>
            <w:vAlign w:val="bottom"/>
            <w:hideMark/>
          </w:tcPr>
          <w:p w:rsidR="001C06CA" w:rsidRDefault="001C06CA" w:rsidP="00204728">
            <w:pPr>
              <w:tabs>
                <w:tab w:val="clear" w:pos="432"/>
                <w:tab w:val="decimal" w:pos="2305"/>
              </w:tabs>
              <w:spacing w:line="240" w:lineRule="auto"/>
              <w:ind w:firstLine="0"/>
              <w:rPr>
                <w:rFonts w:eastAsiaTheme="minorHAnsi"/>
                <w:color w:val="000000"/>
                <w:sz w:val="20"/>
                <w:szCs w:val="20"/>
              </w:rPr>
            </w:pPr>
            <w:r>
              <w:rPr>
                <w:color w:val="000000"/>
                <w:sz w:val="20"/>
                <w:szCs w:val="20"/>
              </w:rPr>
              <w:t>$1,183,799</w:t>
            </w:r>
          </w:p>
        </w:tc>
      </w:tr>
      <w:tr w:rsidR="00204728" w:rsidTr="00204728">
        <w:trPr>
          <w:trHeight w:val="300"/>
        </w:trPr>
        <w:tc>
          <w:tcPr>
            <w:tcW w:w="1474" w:type="pct"/>
            <w:tcBorders>
              <w:top w:val="single" w:sz="4" w:space="0" w:color="auto"/>
              <w:bottom w:val="single" w:sz="4" w:space="0" w:color="auto"/>
            </w:tcBorders>
            <w:tcMar>
              <w:top w:w="0" w:type="dxa"/>
              <w:left w:w="108" w:type="dxa"/>
              <w:bottom w:w="0" w:type="dxa"/>
              <w:right w:w="108" w:type="dxa"/>
            </w:tcMar>
            <w:vAlign w:val="bottom"/>
            <w:hideMark/>
          </w:tcPr>
          <w:p w:rsidR="00204728" w:rsidRPr="00204728" w:rsidRDefault="00204728" w:rsidP="00204728">
            <w:pPr>
              <w:spacing w:before="120" w:after="60" w:line="240" w:lineRule="auto"/>
              <w:ind w:firstLine="0"/>
              <w:jc w:val="left"/>
              <w:rPr>
                <w:b/>
                <w:color w:val="000000"/>
                <w:sz w:val="20"/>
                <w:szCs w:val="20"/>
              </w:rPr>
            </w:pPr>
            <w:r w:rsidRPr="00204728">
              <w:rPr>
                <w:b/>
                <w:color w:val="000000"/>
                <w:sz w:val="20"/>
                <w:szCs w:val="20"/>
              </w:rPr>
              <w:t>Total</w:t>
            </w:r>
          </w:p>
        </w:tc>
        <w:tc>
          <w:tcPr>
            <w:tcW w:w="1176" w:type="pct"/>
            <w:tcBorders>
              <w:top w:val="single" w:sz="4" w:space="0" w:color="auto"/>
              <w:bottom w:val="single" w:sz="4" w:space="0" w:color="auto"/>
            </w:tcBorders>
            <w:tcMar>
              <w:top w:w="0" w:type="dxa"/>
              <w:left w:w="108" w:type="dxa"/>
              <w:bottom w:w="0" w:type="dxa"/>
              <w:right w:w="108" w:type="dxa"/>
            </w:tcMar>
            <w:vAlign w:val="bottom"/>
            <w:hideMark/>
          </w:tcPr>
          <w:p w:rsidR="00204728" w:rsidRDefault="00204728" w:rsidP="00204728">
            <w:pPr>
              <w:spacing w:before="120" w:after="60" w:line="240" w:lineRule="auto"/>
              <w:ind w:firstLine="0"/>
              <w:jc w:val="center"/>
              <w:rPr>
                <w:color w:val="000000"/>
                <w:sz w:val="20"/>
                <w:szCs w:val="20"/>
              </w:rPr>
            </w:pPr>
          </w:p>
        </w:tc>
        <w:tc>
          <w:tcPr>
            <w:tcW w:w="2350" w:type="pct"/>
            <w:tcBorders>
              <w:top w:val="single" w:sz="4" w:space="0" w:color="auto"/>
              <w:bottom w:val="single" w:sz="4" w:space="0" w:color="auto"/>
            </w:tcBorders>
            <w:tcMar>
              <w:top w:w="0" w:type="dxa"/>
              <w:left w:w="108" w:type="dxa"/>
              <w:bottom w:w="0" w:type="dxa"/>
              <w:right w:w="108" w:type="dxa"/>
            </w:tcMar>
            <w:vAlign w:val="bottom"/>
            <w:hideMark/>
          </w:tcPr>
          <w:p w:rsidR="00204728" w:rsidRDefault="00204728" w:rsidP="00204728">
            <w:pPr>
              <w:tabs>
                <w:tab w:val="clear" w:pos="432"/>
                <w:tab w:val="decimal" w:pos="2305"/>
              </w:tabs>
              <w:spacing w:before="120" w:after="60" w:line="240" w:lineRule="auto"/>
              <w:ind w:firstLine="0"/>
              <w:rPr>
                <w:color w:val="000000"/>
                <w:sz w:val="20"/>
                <w:szCs w:val="20"/>
              </w:rPr>
            </w:pPr>
            <w:r>
              <w:rPr>
                <w:b/>
                <w:bCs/>
                <w:color w:val="000000"/>
                <w:sz w:val="20"/>
                <w:szCs w:val="20"/>
              </w:rPr>
              <w:t>$18,523,985</w:t>
            </w:r>
          </w:p>
        </w:tc>
      </w:tr>
    </w:tbl>
    <w:p w:rsidR="009C43ED" w:rsidRDefault="009C43ED" w:rsidP="0071369B">
      <w:pPr>
        <w:pStyle w:val="Heading3"/>
        <w:spacing w:after="0"/>
      </w:pPr>
    </w:p>
    <w:p w:rsidR="0073463C" w:rsidRDefault="0073463C" w:rsidP="00307327">
      <w:pPr>
        <w:pStyle w:val="Heading3"/>
      </w:pPr>
      <w:bookmarkStart w:id="153" w:name="_Toc298415695"/>
      <w:bookmarkStart w:id="154" w:name="_Toc298418576"/>
      <w:r w:rsidRPr="00432E0D">
        <w:t>15.</w:t>
      </w:r>
      <w:r w:rsidRPr="00432E0D">
        <w:tab/>
        <w:t>Reasons for Program Changes or Adjustments</w:t>
      </w:r>
      <w:bookmarkEnd w:id="146"/>
      <w:bookmarkEnd w:id="147"/>
      <w:bookmarkEnd w:id="148"/>
      <w:bookmarkEnd w:id="149"/>
      <w:bookmarkEnd w:id="150"/>
      <w:bookmarkEnd w:id="151"/>
      <w:bookmarkEnd w:id="152"/>
      <w:bookmarkEnd w:id="153"/>
      <w:bookmarkEnd w:id="154"/>
    </w:p>
    <w:p w:rsidR="000F209B" w:rsidRPr="000F209B" w:rsidRDefault="00CE56AA" w:rsidP="000F209B">
      <w:pPr>
        <w:pStyle w:val="ParagraphSSLAST"/>
      </w:pPr>
      <w:r>
        <w:t xml:space="preserve">There is an overall program change increase of </w:t>
      </w:r>
      <w:r w:rsidR="000F4E72">
        <w:t>10,</w:t>
      </w:r>
      <w:r w:rsidR="0078413A">
        <w:t>775</w:t>
      </w:r>
      <w:r w:rsidR="000F209B">
        <w:t xml:space="preserve"> to OMB #1850-0882, National Educational Transitional Study, </w:t>
      </w:r>
      <w:r w:rsidR="006446C6">
        <w:t xml:space="preserve">as a result of the burden hours from this phase I collection.  This program change is a result of the burden hours being added for Phase I </w:t>
      </w:r>
      <w:proofErr w:type="spellStart"/>
      <w:r w:rsidR="006446C6">
        <w:t>acticities</w:t>
      </w:r>
      <w:proofErr w:type="spellEnd"/>
      <w:r w:rsidR="006446C6">
        <w:t xml:space="preserve"> of this clearance </w:t>
      </w:r>
      <w:r w:rsidR="006446C6">
        <w:lastRenderedPageBreak/>
        <w:t xml:space="preserve">while the burden hours from the initial submission will be deleted. (The burden from the initial v.1 submission activities will be completed by the time these phase I activities are approved.) </w:t>
      </w:r>
    </w:p>
    <w:p w:rsidR="0073463C" w:rsidRPr="00432E0D" w:rsidRDefault="0073463C" w:rsidP="0073463C">
      <w:pPr>
        <w:pStyle w:val="Heading3"/>
      </w:pPr>
      <w:bookmarkStart w:id="155" w:name="_Toc63827189"/>
      <w:bookmarkStart w:id="156" w:name="_Toc70752938"/>
      <w:bookmarkStart w:id="157" w:name="_Toc213228330"/>
      <w:bookmarkStart w:id="158" w:name="_Toc276390678"/>
      <w:bookmarkStart w:id="159" w:name="_Toc276988167"/>
      <w:bookmarkStart w:id="160" w:name="_Toc277079586"/>
      <w:bookmarkStart w:id="161" w:name="_Toc283908726"/>
      <w:bookmarkStart w:id="162" w:name="_Toc298415696"/>
      <w:bookmarkStart w:id="163" w:name="_Toc298418577"/>
      <w:r w:rsidRPr="00432E0D">
        <w:t>16.</w:t>
      </w:r>
      <w:r w:rsidRPr="00432E0D">
        <w:tab/>
        <w:t>Tabulation, Publication Plans, and Time Schedules</w:t>
      </w:r>
      <w:bookmarkEnd w:id="155"/>
      <w:bookmarkEnd w:id="156"/>
      <w:bookmarkEnd w:id="157"/>
      <w:bookmarkEnd w:id="158"/>
      <w:bookmarkEnd w:id="159"/>
      <w:bookmarkEnd w:id="160"/>
      <w:bookmarkEnd w:id="161"/>
      <w:bookmarkEnd w:id="162"/>
      <w:bookmarkEnd w:id="163"/>
    </w:p>
    <w:p w:rsidR="0073463C" w:rsidRPr="00432E0D" w:rsidRDefault="0073463C" w:rsidP="006454A9">
      <w:pPr>
        <w:pStyle w:val="NormalSS"/>
      </w:pPr>
      <w:r w:rsidRPr="00432E0D">
        <w:t xml:space="preserve">The study team will use the data collected at the baseline and first follow-up points to describe the youth and family characteristics; school programs, services, and accommodations for the youth; and youth outcomes. </w:t>
      </w:r>
      <w:r w:rsidR="00DE321A">
        <w:t>Table A.5</w:t>
      </w:r>
      <w:r w:rsidRPr="00432E0D">
        <w:t xml:space="preserve"> below lists the broad domains in which information will be collected and illustrates how the information will be reported in IES reports on the study. </w:t>
      </w:r>
    </w:p>
    <w:p w:rsidR="0073463C" w:rsidRPr="00432E0D" w:rsidRDefault="00DE321A" w:rsidP="00725B8D">
      <w:pPr>
        <w:pStyle w:val="MarkforTableHeading"/>
        <w:rPr>
          <w:szCs w:val="20"/>
        </w:rPr>
      </w:pPr>
      <w:bookmarkStart w:id="164" w:name="_Toc298421290"/>
      <w:r>
        <w:rPr>
          <w:szCs w:val="20"/>
        </w:rPr>
        <w:t>Table A.5</w:t>
      </w:r>
      <w:r w:rsidR="00307327" w:rsidRPr="006E3BA5">
        <w:rPr>
          <w:szCs w:val="20"/>
        </w:rPr>
        <w:t>.</w:t>
      </w:r>
      <w:r w:rsidR="00307327" w:rsidRPr="00432E0D">
        <w:rPr>
          <w:szCs w:val="20"/>
        </w:rPr>
        <w:t xml:space="preserve"> </w:t>
      </w:r>
      <w:r w:rsidR="0073463C" w:rsidRPr="00432E0D">
        <w:rPr>
          <w:szCs w:val="20"/>
        </w:rPr>
        <w:t xml:space="preserve">Characteristics, School Programs, and School Outcomes at Baseline for Students </w:t>
      </w:r>
      <w:r w:rsidR="000A1008">
        <w:rPr>
          <w:szCs w:val="20"/>
        </w:rPr>
        <w:t xml:space="preserve">with an IEP </w:t>
      </w:r>
      <w:r w:rsidR="0073463C" w:rsidRPr="00432E0D">
        <w:rPr>
          <w:szCs w:val="20"/>
        </w:rPr>
        <w:t>by Age Group</w:t>
      </w:r>
      <w:bookmarkEnd w:id="164"/>
    </w:p>
    <w:tbl>
      <w:tblPr>
        <w:tblStyle w:val="SMPRTableBlack"/>
        <w:tblW w:w="5000" w:type="pct"/>
        <w:tblInd w:w="0" w:type="dxa"/>
        <w:tblLook w:val="04A0"/>
      </w:tblPr>
      <w:tblGrid>
        <w:gridCol w:w="4234"/>
        <w:gridCol w:w="1335"/>
        <w:gridCol w:w="1335"/>
        <w:gridCol w:w="1335"/>
        <w:gridCol w:w="1337"/>
      </w:tblGrid>
      <w:tr w:rsidR="00725B8D" w:rsidRPr="00432E0D" w:rsidTr="00725B8D">
        <w:trPr>
          <w:cnfStyle w:val="100000000000"/>
          <w:tblHeader/>
        </w:trPr>
        <w:tc>
          <w:tcPr>
            <w:tcW w:w="2211" w:type="pct"/>
            <w:tcBorders>
              <w:top w:val="single" w:sz="4" w:space="0" w:color="auto"/>
            </w:tcBorders>
          </w:tcPr>
          <w:p w:rsidR="00725B8D" w:rsidRPr="00432E0D" w:rsidRDefault="00725B8D" w:rsidP="0013198A">
            <w:pPr>
              <w:pStyle w:val="TableText"/>
            </w:pPr>
          </w:p>
        </w:tc>
        <w:tc>
          <w:tcPr>
            <w:tcW w:w="697" w:type="pct"/>
            <w:tcBorders>
              <w:top w:val="single" w:sz="4" w:space="0" w:color="auto"/>
            </w:tcBorders>
          </w:tcPr>
          <w:p w:rsidR="00725B8D" w:rsidRPr="00432E0D" w:rsidRDefault="00725B8D" w:rsidP="00B33801">
            <w:pPr>
              <w:pStyle w:val="TableHeaderCenter"/>
            </w:pPr>
            <w:r w:rsidRPr="00432E0D">
              <w:t>13–15</w:t>
            </w:r>
          </w:p>
        </w:tc>
        <w:tc>
          <w:tcPr>
            <w:tcW w:w="697" w:type="pct"/>
            <w:tcBorders>
              <w:top w:val="single" w:sz="4" w:space="0" w:color="auto"/>
            </w:tcBorders>
          </w:tcPr>
          <w:p w:rsidR="00725B8D" w:rsidRPr="00432E0D" w:rsidRDefault="00725B8D" w:rsidP="00B33801">
            <w:pPr>
              <w:pStyle w:val="TableHeaderCenter"/>
            </w:pPr>
            <w:r w:rsidRPr="00432E0D">
              <w:t>16–18</w:t>
            </w:r>
          </w:p>
        </w:tc>
        <w:tc>
          <w:tcPr>
            <w:tcW w:w="697" w:type="pct"/>
            <w:tcBorders>
              <w:top w:val="single" w:sz="4" w:space="0" w:color="auto"/>
            </w:tcBorders>
          </w:tcPr>
          <w:p w:rsidR="00725B8D" w:rsidRPr="00432E0D" w:rsidRDefault="00725B8D" w:rsidP="00307327">
            <w:pPr>
              <w:pStyle w:val="TableHeaderCenter"/>
            </w:pPr>
            <w:r w:rsidRPr="00432E0D">
              <w:t>19–21</w:t>
            </w:r>
          </w:p>
        </w:tc>
        <w:tc>
          <w:tcPr>
            <w:tcW w:w="698" w:type="pct"/>
            <w:tcBorders>
              <w:top w:val="single" w:sz="4" w:space="0" w:color="auto"/>
            </w:tcBorders>
          </w:tcPr>
          <w:p w:rsidR="00725B8D" w:rsidRPr="00432E0D" w:rsidRDefault="00725B8D" w:rsidP="00307327">
            <w:pPr>
              <w:pStyle w:val="TableHeaderCenter"/>
            </w:pPr>
            <w:r w:rsidRPr="00432E0D">
              <w:t>13–21</w:t>
            </w:r>
          </w:p>
        </w:tc>
      </w:tr>
      <w:tr w:rsidR="00725B8D" w:rsidRPr="00432E0D" w:rsidTr="00725B8D">
        <w:trPr>
          <w:cantSplit/>
        </w:trPr>
        <w:tc>
          <w:tcPr>
            <w:tcW w:w="2211" w:type="pct"/>
          </w:tcPr>
          <w:p w:rsidR="00725B8D" w:rsidRPr="00725B8D" w:rsidRDefault="00725B8D" w:rsidP="00F3352A">
            <w:pPr>
              <w:pStyle w:val="TableText"/>
              <w:spacing w:before="120" w:after="60"/>
              <w:ind w:left="187" w:hanging="187"/>
              <w:rPr>
                <w:b/>
              </w:rPr>
            </w:pPr>
            <w:r w:rsidRPr="00725B8D">
              <w:rPr>
                <w:b/>
              </w:rPr>
              <w:t>Youth and Family Characteristics</w:t>
            </w:r>
          </w:p>
        </w:tc>
        <w:tc>
          <w:tcPr>
            <w:tcW w:w="697" w:type="pct"/>
          </w:tcPr>
          <w:p w:rsidR="00725B8D" w:rsidRPr="00432E0D" w:rsidRDefault="00725B8D" w:rsidP="00F3352A">
            <w:pPr>
              <w:pStyle w:val="TableText"/>
              <w:spacing w:before="120" w:after="60"/>
            </w:pPr>
          </w:p>
        </w:tc>
        <w:tc>
          <w:tcPr>
            <w:tcW w:w="697" w:type="pct"/>
          </w:tcPr>
          <w:p w:rsidR="00725B8D" w:rsidRPr="00432E0D" w:rsidRDefault="00725B8D" w:rsidP="00F3352A">
            <w:pPr>
              <w:pStyle w:val="TableText"/>
              <w:spacing w:before="120" w:after="60"/>
            </w:pPr>
          </w:p>
        </w:tc>
        <w:tc>
          <w:tcPr>
            <w:tcW w:w="697" w:type="pct"/>
          </w:tcPr>
          <w:p w:rsidR="00725B8D" w:rsidRPr="00432E0D" w:rsidRDefault="00725B8D" w:rsidP="00F3352A">
            <w:pPr>
              <w:pStyle w:val="TableText"/>
              <w:spacing w:before="120" w:after="60"/>
            </w:pPr>
          </w:p>
        </w:tc>
        <w:tc>
          <w:tcPr>
            <w:tcW w:w="698" w:type="pct"/>
          </w:tcPr>
          <w:p w:rsidR="00725B8D" w:rsidRPr="00432E0D" w:rsidRDefault="00725B8D" w:rsidP="00F3352A">
            <w:pPr>
              <w:pStyle w:val="TableText"/>
              <w:spacing w:before="120" w:after="60"/>
            </w:pPr>
          </w:p>
        </w:tc>
      </w:tr>
      <w:tr w:rsidR="00725B8D" w:rsidRPr="00432E0D" w:rsidTr="00725B8D">
        <w:trPr>
          <w:cantSplit/>
        </w:trPr>
        <w:tc>
          <w:tcPr>
            <w:tcW w:w="2211" w:type="pct"/>
          </w:tcPr>
          <w:p w:rsidR="00725B8D" w:rsidRPr="00432E0D" w:rsidRDefault="00725B8D" w:rsidP="006454A9">
            <w:pPr>
              <w:pStyle w:val="TableText"/>
              <w:ind w:left="187" w:hanging="187"/>
            </w:pPr>
            <w:r w:rsidRPr="00432E0D">
              <w:t>Youth characteristics</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Pr>
        <w:tc>
          <w:tcPr>
            <w:tcW w:w="2211" w:type="pct"/>
          </w:tcPr>
          <w:p w:rsidR="00725B8D" w:rsidRPr="00432E0D" w:rsidRDefault="00725B8D" w:rsidP="006454A9">
            <w:pPr>
              <w:pStyle w:val="TableText"/>
              <w:ind w:left="187" w:hanging="187"/>
            </w:pPr>
            <w:r w:rsidRPr="00432E0D">
              <w:t>Household characteristics</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Pr>
        <w:tc>
          <w:tcPr>
            <w:tcW w:w="2211" w:type="pct"/>
          </w:tcPr>
          <w:p w:rsidR="00725B8D" w:rsidRPr="00432E0D" w:rsidRDefault="00725B8D" w:rsidP="006454A9">
            <w:pPr>
              <w:pStyle w:val="TableText"/>
              <w:ind w:left="187" w:hanging="187"/>
            </w:pPr>
            <w:r w:rsidRPr="00432E0D">
              <w:t>Disability profiles</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Pr>
        <w:tc>
          <w:tcPr>
            <w:tcW w:w="2211" w:type="pct"/>
          </w:tcPr>
          <w:p w:rsidR="00725B8D" w:rsidRPr="00432E0D" w:rsidRDefault="00725B8D" w:rsidP="006454A9">
            <w:pPr>
              <w:pStyle w:val="TableText"/>
              <w:ind w:left="187" w:hanging="187"/>
            </w:pPr>
            <w:r w:rsidRPr="00432E0D">
              <w:t xml:space="preserve">Functional abilities of youth </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Pr>
        <w:tc>
          <w:tcPr>
            <w:tcW w:w="2211" w:type="pct"/>
          </w:tcPr>
          <w:p w:rsidR="00725B8D" w:rsidRPr="00432E0D" w:rsidRDefault="00725B8D" w:rsidP="006454A9">
            <w:pPr>
              <w:pStyle w:val="TableText"/>
              <w:ind w:left="187" w:hanging="187"/>
            </w:pPr>
            <w:r w:rsidRPr="00432E0D">
              <w:t>Daily living and social skills</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Pr>
        <w:tc>
          <w:tcPr>
            <w:tcW w:w="2211" w:type="pct"/>
          </w:tcPr>
          <w:p w:rsidR="00725B8D" w:rsidRPr="00432E0D" w:rsidRDefault="00725B8D" w:rsidP="006454A9">
            <w:pPr>
              <w:pStyle w:val="TableText"/>
              <w:ind w:left="187" w:hanging="187"/>
              <w:rPr>
                <w:color w:val="000000"/>
              </w:rPr>
            </w:pPr>
            <w:r w:rsidRPr="00432E0D">
              <w:rPr>
                <w:color w:val="000000"/>
              </w:rPr>
              <w:t>Postsecondary expectations</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Pr>
        <w:tc>
          <w:tcPr>
            <w:tcW w:w="2211" w:type="pct"/>
          </w:tcPr>
          <w:p w:rsidR="00725B8D" w:rsidRPr="00725B8D" w:rsidRDefault="00725B8D" w:rsidP="00F3352A">
            <w:pPr>
              <w:pStyle w:val="TableText"/>
              <w:spacing w:before="120" w:after="60"/>
              <w:ind w:left="187" w:hanging="187"/>
              <w:rPr>
                <w:b/>
              </w:rPr>
            </w:pPr>
            <w:r w:rsidRPr="00725B8D">
              <w:rPr>
                <w:b/>
              </w:rPr>
              <w:t xml:space="preserve">School Program, Services, </w:t>
            </w:r>
            <w:r w:rsidR="00D459C7" w:rsidRPr="00725B8D">
              <w:rPr>
                <w:b/>
              </w:rPr>
              <w:t>Accommodations</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Pr>
        <w:tc>
          <w:tcPr>
            <w:tcW w:w="2211" w:type="pct"/>
          </w:tcPr>
          <w:p w:rsidR="00725B8D" w:rsidRPr="00432E0D" w:rsidRDefault="00725B8D" w:rsidP="006454A9">
            <w:pPr>
              <w:pStyle w:val="TableText"/>
              <w:ind w:left="187" w:hanging="187"/>
            </w:pPr>
            <w:r w:rsidRPr="00432E0D">
              <w:t>Education history</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Pr>
        <w:tc>
          <w:tcPr>
            <w:tcW w:w="2211" w:type="pct"/>
          </w:tcPr>
          <w:p w:rsidR="00725B8D" w:rsidRPr="00432E0D" w:rsidRDefault="00725B8D" w:rsidP="006454A9">
            <w:pPr>
              <w:pStyle w:val="TableText"/>
              <w:ind w:left="187" w:hanging="187"/>
            </w:pPr>
            <w:r w:rsidRPr="00432E0D">
              <w:t xml:space="preserve">Types of school(s) attended </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Pr>
        <w:tc>
          <w:tcPr>
            <w:tcW w:w="2211" w:type="pct"/>
          </w:tcPr>
          <w:p w:rsidR="00725B8D" w:rsidRPr="00432E0D" w:rsidRDefault="00725B8D" w:rsidP="006454A9">
            <w:pPr>
              <w:pStyle w:val="TableText"/>
              <w:ind w:left="187" w:hanging="187"/>
            </w:pPr>
            <w:r w:rsidRPr="00432E0D">
              <w:t>School policies, environment</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Pr>
        <w:tc>
          <w:tcPr>
            <w:tcW w:w="2211" w:type="pct"/>
          </w:tcPr>
          <w:p w:rsidR="00725B8D" w:rsidRPr="00432E0D" w:rsidRDefault="00725B8D" w:rsidP="006454A9">
            <w:pPr>
              <w:pStyle w:val="TableText"/>
              <w:ind w:left="187" w:hanging="187"/>
            </w:pPr>
            <w:r w:rsidRPr="00432E0D">
              <w:t>Courses completed (subject, general education, special education)</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Pr>
        <w:tc>
          <w:tcPr>
            <w:tcW w:w="2211" w:type="pct"/>
          </w:tcPr>
          <w:p w:rsidR="00725B8D" w:rsidRPr="00432E0D" w:rsidRDefault="00725B8D" w:rsidP="006454A9">
            <w:pPr>
              <w:pStyle w:val="TableText"/>
              <w:ind w:left="187" w:hanging="187"/>
            </w:pPr>
            <w:r w:rsidRPr="00432E0D">
              <w:t xml:space="preserve">Instructional approach, setting </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Pr>
        <w:tc>
          <w:tcPr>
            <w:tcW w:w="2211" w:type="pct"/>
          </w:tcPr>
          <w:p w:rsidR="00725B8D" w:rsidRPr="00432E0D" w:rsidRDefault="00725B8D" w:rsidP="006454A9">
            <w:pPr>
              <w:pStyle w:val="TableText"/>
              <w:ind w:left="187" w:hanging="187"/>
            </w:pPr>
            <w:r w:rsidRPr="00432E0D">
              <w:t>Youth classroom participation</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ED2841" w:rsidRPr="00432E0D" w:rsidTr="00725B8D">
        <w:trPr>
          <w:cantSplit/>
        </w:trPr>
        <w:tc>
          <w:tcPr>
            <w:tcW w:w="2211" w:type="pct"/>
          </w:tcPr>
          <w:p w:rsidR="00ED2841" w:rsidRPr="00432E0D" w:rsidRDefault="00ED2841" w:rsidP="006454A9">
            <w:pPr>
              <w:pStyle w:val="TableText"/>
              <w:ind w:left="187" w:hanging="187"/>
            </w:pPr>
            <w:r>
              <w:t>Extra-curricular activities</w:t>
            </w:r>
          </w:p>
        </w:tc>
        <w:tc>
          <w:tcPr>
            <w:tcW w:w="697" w:type="pct"/>
          </w:tcPr>
          <w:p w:rsidR="00ED2841" w:rsidRPr="00432E0D" w:rsidRDefault="00ED2841" w:rsidP="0013198A">
            <w:pPr>
              <w:pStyle w:val="TableText"/>
            </w:pPr>
          </w:p>
        </w:tc>
        <w:tc>
          <w:tcPr>
            <w:tcW w:w="697" w:type="pct"/>
          </w:tcPr>
          <w:p w:rsidR="00ED2841" w:rsidRPr="00432E0D" w:rsidRDefault="00ED2841" w:rsidP="0013198A">
            <w:pPr>
              <w:pStyle w:val="TableText"/>
            </w:pPr>
          </w:p>
        </w:tc>
        <w:tc>
          <w:tcPr>
            <w:tcW w:w="697" w:type="pct"/>
          </w:tcPr>
          <w:p w:rsidR="00ED2841" w:rsidRPr="00432E0D" w:rsidRDefault="00ED2841" w:rsidP="0013198A">
            <w:pPr>
              <w:pStyle w:val="TableText"/>
            </w:pPr>
          </w:p>
        </w:tc>
        <w:tc>
          <w:tcPr>
            <w:tcW w:w="698" w:type="pct"/>
          </w:tcPr>
          <w:p w:rsidR="00ED2841" w:rsidRPr="00432E0D" w:rsidRDefault="00ED2841" w:rsidP="0013198A">
            <w:pPr>
              <w:pStyle w:val="TableText"/>
            </w:pPr>
          </w:p>
        </w:tc>
      </w:tr>
      <w:tr w:rsidR="00725B8D" w:rsidRPr="00432E0D" w:rsidTr="00725B8D">
        <w:trPr>
          <w:cantSplit/>
        </w:trPr>
        <w:tc>
          <w:tcPr>
            <w:tcW w:w="2211" w:type="pct"/>
          </w:tcPr>
          <w:p w:rsidR="00725B8D" w:rsidRPr="00432E0D" w:rsidRDefault="00725B8D" w:rsidP="006454A9">
            <w:pPr>
              <w:pStyle w:val="TableText"/>
              <w:ind w:left="187" w:hanging="187"/>
            </w:pPr>
            <w:r w:rsidRPr="00432E0D">
              <w:t xml:space="preserve">Services, supports, accommodations </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Pr>
        <w:tc>
          <w:tcPr>
            <w:tcW w:w="2211" w:type="pct"/>
          </w:tcPr>
          <w:p w:rsidR="00725B8D" w:rsidRPr="00432E0D" w:rsidRDefault="00725B8D" w:rsidP="006454A9">
            <w:pPr>
              <w:pStyle w:val="TableText"/>
              <w:ind w:left="187" w:hanging="187"/>
              <w:rPr>
                <w:color w:val="000000"/>
              </w:rPr>
            </w:pPr>
            <w:r w:rsidRPr="00432E0D">
              <w:rPr>
                <w:color w:val="000000"/>
              </w:rPr>
              <w:t xml:space="preserve">IEP development, transition planning, career exploration </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Pr>
        <w:tc>
          <w:tcPr>
            <w:tcW w:w="2211" w:type="pct"/>
          </w:tcPr>
          <w:p w:rsidR="00725B8D" w:rsidRPr="00432E0D" w:rsidRDefault="00725B8D" w:rsidP="006454A9">
            <w:pPr>
              <w:pStyle w:val="TableText"/>
              <w:ind w:left="187" w:hanging="187"/>
              <w:rPr>
                <w:color w:val="000000"/>
              </w:rPr>
            </w:pPr>
            <w:r w:rsidRPr="00432E0D">
              <w:rPr>
                <w:color w:val="000000"/>
              </w:rPr>
              <w:t>Assistance applying to postsecondary programs and jobs</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Pr>
        <w:tc>
          <w:tcPr>
            <w:tcW w:w="2211" w:type="pct"/>
          </w:tcPr>
          <w:p w:rsidR="00725B8D" w:rsidRPr="00432E0D" w:rsidRDefault="00725B8D" w:rsidP="00F3352A">
            <w:pPr>
              <w:pStyle w:val="TableText"/>
              <w:spacing w:before="120" w:after="60"/>
              <w:ind w:left="187" w:hanging="187"/>
              <w:rPr>
                <w:color w:val="000000"/>
              </w:rPr>
            </w:pPr>
            <w:r w:rsidRPr="00432E0D">
              <w:rPr>
                <w:b/>
              </w:rPr>
              <w:t>Youth Outcomes</w:t>
            </w:r>
          </w:p>
        </w:tc>
        <w:tc>
          <w:tcPr>
            <w:tcW w:w="697" w:type="pct"/>
          </w:tcPr>
          <w:p w:rsidR="00725B8D" w:rsidRPr="00432E0D" w:rsidRDefault="00725B8D" w:rsidP="00F3352A">
            <w:pPr>
              <w:pStyle w:val="TableText"/>
              <w:spacing w:before="120" w:after="60"/>
            </w:pPr>
          </w:p>
        </w:tc>
        <w:tc>
          <w:tcPr>
            <w:tcW w:w="697" w:type="pct"/>
          </w:tcPr>
          <w:p w:rsidR="00725B8D" w:rsidRPr="00432E0D" w:rsidRDefault="00725B8D" w:rsidP="00F3352A">
            <w:pPr>
              <w:pStyle w:val="TableText"/>
              <w:spacing w:before="120" w:after="60"/>
            </w:pPr>
          </w:p>
        </w:tc>
        <w:tc>
          <w:tcPr>
            <w:tcW w:w="697" w:type="pct"/>
          </w:tcPr>
          <w:p w:rsidR="00725B8D" w:rsidRPr="00432E0D" w:rsidRDefault="00725B8D" w:rsidP="00F3352A">
            <w:pPr>
              <w:pStyle w:val="TableText"/>
              <w:spacing w:before="120" w:after="60"/>
            </w:pPr>
          </w:p>
        </w:tc>
        <w:tc>
          <w:tcPr>
            <w:tcW w:w="698" w:type="pct"/>
          </w:tcPr>
          <w:p w:rsidR="00725B8D" w:rsidRPr="00432E0D" w:rsidRDefault="00725B8D" w:rsidP="00F3352A">
            <w:pPr>
              <w:pStyle w:val="TableText"/>
              <w:spacing w:before="120" w:after="60"/>
            </w:pPr>
          </w:p>
        </w:tc>
      </w:tr>
      <w:tr w:rsidR="00725B8D" w:rsidRPr="00432E0D" w:rsidTr="00725B8D">
        <w:trPr>
          <w:cantSplit/>
        </w:trPr>
        <w:tc>
          <w:tcPr>
            <w:tcW w:w="2211" w:type="pct"/>
          </w:tcPr>
          <w:p w:rsidR="00725B8D" w:rsidRPr="00432E0D" w:rsidRDefault="00725B8D" w:rsidP="006454A9">
            <w:pPr>
              <w:pStyle w:val="TableText"/>
              <w:ind w:left="187" w:hanging="187"/>
            </w:pPr>
            <w:r w:rsidRPr="00432E0D">
              <w:t>Attendance and engagement</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Height w:val="252"/>
        </w:trPr>
        <w:tc>
          <w:tcPr>
            <w:tcW w:w="2211" w:type="pct"/>
          </w:tcPr>
          <w:p w:rsidR="00725B8D" w:rsidRPr="00432E0D" w:rsidRDefault="00725B8D" w:rsidP="006454A9">
            <w:pPr>
              <w:pStyle w:val="TableText"/>
              <w:ind w:left="187" w:hanging="187"/>
            </w:pPr>
            <w:r w:rsidRPr="00432E0D">
              <w:t xml:space="preserve">Grades, test scores </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Height w:val="252"/>
        </w:trPr>
        <w:tc>
          <w:tcPr>
            <w:tcW w:w="2211" w:type="pct"/>
          </w:tcPr>
          <w:p w:rsidR="00725B8D" w:rsidRPr="00432E0D" w:rsidRDefault="00725B8D" w:rsidP="00AD0BDE">
            <w:pPr>
              <w:pStyle w:val="TableText"/>
              <w:ind w:left="187" w:hanging="187"/>
            </w:pPr>
            <w:r>
              <w:t>High school completion</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Pr>
        <w:tc>
          <w:tcPr>
            <w:tcW w:w="2211" w:type="pct"/>
          </w:tcPr>
          <w:p w:rsidR="00725B8D" w:rsidRPr="00432E0D" w:rsidRDefault="00725B8D" w:rsidP="006454A9">
            <w:pPr>
              <w:pStyle w:val="TableText"/>
              <w:ind w:left="187" w:hanging="187"/>
            </w:pPr>
            <w:r w:rsidRPr="00432E0D">
              <w:t>Postsecondary education, training</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Pr>
        <w:tc>
          <w:tcPr>
            <w:tcW w:w="2211" w:type="pct"/>
          </w:tcPr>
          <w:p w:rsidR="00725B8D" w:rsidRPr="00432E0D" w:rsidRDefault="00725B8D" w:rsidP="006454A9">
            <w:pPr>
              <w:pStyle w:val="TableText"/>
              <w:ind w:left="187" w:hanging="187"/>
            </w:pPr>
            <w:r w:rsidRPr="00432E0D">
              <w:t>Employment and earnings</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Pr>
        <w:tc>
          <w:tcPr>
            <w:tcW w:w="2211" w:type="pct"/>
          </w:tcPr>
          <w:p w:rsidR="00725B8D" w:rsidRPr="00432E0D" w:rsidRDefault="00725B8D" w:rsidP="006454A9">
            <w:pPr>
              <w:pStyle w:val="TableText"/>
              <w:ind w:left="187" w:hanging="187"/>
            </w:pPr>
            <w:r w:rsidRPr="00432E0D">
              <w:t xml:space="preserve">Receipt of Social Security Insurance, health insurance, other benefits </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Pr>
        <w:tc>
          <w:tcPr>
            <w:tcW w:w="2211" w:type="pct"/>
          </w:tcPr>
          <w:p w:rsidR="00725B8D" w:rsidRPr="00432E0D" w:rsidRDefault="00725B8D" w:rsidP="006454A9">
            <w:pPr>
              <w:pStyle w:val="TableText"/>
              <w:ind w:left="187" w:hanging="187"/>
            </w:pPr>
            <w:r w:rsidRPr="00432E0D">
              <w:t>Social adjustment and independence</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Pr>
        <w:tc>
          <w:tcPr>
            <w:tcW w:w="2211" w:type="pct"/>
          </w:tcPr>
          <w:p w:rsidR="00725B8D" w:rsidRPr="00432E0D" w:rsidRDefault="00725B8D" w:rsidP="006454A9">
            <w:pPr>
              <w:pStyle w:val="TableText"/>
              <w:ind w:left="187" w:hanging="187"/>
            </w:pPr>
            <w:r w:rsidRPr="00452682">
              <w:t>Arrests, incarceration</w:t>
            </w:r>
            <w:r w:rsidRPr="00432E0D">
              <w:t xml:space="preserve"> </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r w:rsidR="00725B8D" w:rsidRPr="00432E0D" w:rsidTr="00725B8D">
        <w:trPr>
          <w:cantSplit/>
        </w:trPr>
        <w:tc>
          <w:tcPr>
            <w:tcW w:w="2211" w:type="pct"/>
          </w:tcPr>
          <w:p w:rsidR="00725B8D" w:rsidRPr="00432E0D" w:rsidRDefault="00725B8D" w:rsidP="006454A9">
            <w:pPr>
              <w:pStyle w:val="TableText"/>
              <w:spacing w:before="120" w:after="60"/>
              <w:ind w:left="187" w:hanging="187"/>
              <w:rPr>
                <w:b/>
              </w:rPr>
            </w:pPr>
            <w:proofErr w:type="spellStart"/>
            <w:r w:rsidRPr="00432E0D">
              <w:rPr>
                <w:b/>
              </w:rPr>
              <w:t>Unweighted</w:t>
            </w:r>
            <w:proofErr w:type="spellEnd"/>
            <w:r w:rsidRPr="00432E0D">
              <w:rPr>
                <w:b/>
              </w:rPr>
              <w:t xml:space="preserve"> Sample Size</w:t>
            </w: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7" w:type="pct"/>
          </w:tcPr>
          <w:p w:rsidR="00725B8D" w:rsidRPr="00432E0D" w:rsidRDefault="00725B8D" w:rsidP="0013198A">
            <w:pPr>
              <w:pStyle w:val="TableText"/>
            </w:pPr>
          </w:p>
        </w:tc>
        <w:tc>
          <w:tcPr>
            <w:tcW w:w="698" w:type="pct"/>
          </w:tcPr>
          <w:p w:rsidR="00725B8D" w:rsidRPr="00432E0D" w:rsidRDefault="00725B8D" w:rsidP="0013198A">
            <w:pPr>
              <w:pStyle w:val="TableText"/>
            </w:pPr>
          </w:p>
        </w:tc>
      </w:tr>
    </w:tbl>
    <w:p w:rsidR="0073463C" w:rsidRDefault="0073463C" w:rsidP="0073463C">
      <w:pPr>
        <w:tabs>
          <w:tab w:val="clear" w:pos="432"/>
        </w:tabs>
        <w:autoSpaceDE w:val="0"/>
        <w:autoSpaceDN w:val="0"/>
        <w:adjustRightInd w:val="0"/>
        <w:spacing w:line="240" w:lineRule="auto"/>
        <w:ind w:left="720" w:firstLine="0"/>
        <w:jc w:val="left"/>
        <w:rPr>
          <w:b/>
          <w:bCs/>
        </w:rPr>
      </w:pPr>
    </w:p>
    <w:p w:rsidR="00674E90" w:rsidRDefault="00674E90">
      <w:pPr>
        <w:tabs>
          <w:tab w:val="clear" w:pos="432"/>
        </w:tabs>
        <w:spacing w:line="240" w:lineRule="auto"/>
        <w:ind w:firstLine="0"/>
        <w:jc w:val="left"/>
      </w:pPr>
      <w:r>
        <w:br w:type="page"/>
      </w:r>
    </w:p>
    <w:p w:rsidR="0073463C" w:rsidRPr="00432E0D" w:rsidRDefault="0073463C" w:rsidP="000B2C88">
      <w:pPr>
        <w:pStyle w:val="NormalSS"/>
      </w:pPr>
      <w:r w:rsidRPr="00432E0D">
        <w:lastRenderedPageBreak/>
        <w:t xml:space="preserve">Basic tabulations of means or distributions of attributes, as appropriate, will be presented for </w:t>
      </w:r>
      <w:r w:rsidR="000A1008">
        <w:t xml:space="preserve">students with an IEP </w:t>
      </w:r>
      <w:r w:rsidRPr="00432E0D">
        <w:t xml:space="preserve">by age at baseline and for all students </w:t>
      </w:r>
      <w:r w:rsidR="000A1008">
        <w:t xml:space="preserve">with an IEP </w:t>
      </w:r>
      <w:r w:rsidRPr="00432E0D">
        <w:t xml:space="preserve">ages 13 to 21. All tabulations will be weighted to reflect individual students’ selection probability and </w:t>
      </w:r>
      <w:proofErr w:type="spellStart"/>
      <w:r w:rsidRPr="00432E0D">
        <w:t>nonresponse</w:t>
      </w:r>
      <w:proofErr w:type="spellEnd"/>
      <w:r w:rsidRPr="00432E0D">
        <w:t xml:space="preserve"> adjustments. Standard errors of estimates will also be calculated (accounting appropriately for the two</w:t>
      </w:r>
      <w:r w:rsidR="00AD0BDE">
        <w:t>-</w:t>
      </w:r>
      <w:r w:rsidRPr="00432E0D">
        <w:t xml:space="preserve">stage and stratified nature of the sample). Because interest centers on the variability of the characteristics, school experiences, and outcomes within and across the federal disability subgroups, the study team will provide similar information for each subgroup. </w:t>
      </w:r>
    </w:p>
    <w:p w:rsidR="0073463C" w:rsidRDefault="0073463C" w:rsidP="000B2C88">
      <w:pPr>
        <w:pStyle w:val="NormalSS"/>
      </w:pPr>
      <w:r w:rsidRPr="00432E0D">
        <w:t>Tabulatio</w:t>
      </w:r>
      <w:r w:rsidR="00DE321A">
        <w:t>ns like those shown in Table A.6</w:t>
      </w:r>
      <w:r w:rsidRPr="00432E0D">
        <w:t xml:space="preserve"> will be generated to compare the characteristics, school experiences, outcomes</w:t>
      </w:r>
      <w:r w:rsidR="00E82449">
        <w:t>, and perceived barriers faced by</w:t>
      </w:r>
      <w:r w:rsidRPr="00432E0D">
        <w:t xml:space="preserve"> </w:t>
      </w:r>
      <w:r w:rsidR="000A1008">
        <w:t xml:space="preserve">students with an IEP and </w:t>
      </w:r>
      <w:r w:rsidRPr="00432E0D">
        <w:t xml:space="preserve">those </w:t>
      </w:r>
      <w:r w:rsidR="000A1008">
        <w:t>with no IEP</w:t>
      </w:r>
      <w:r w:rsidRPr="00432E0D">
        <w:t xml:space="preserve">. </w:t>
      </w:r>
    </w:p>
    <w:p w:rsidR="0073463C" w:rsidRPr="00432E0D" w:rsidRDefault="00DE321A" w:rsidP="00307327">
      <w:pPr>
        <w:pStyle w:val="MarkforTableHeading"/>
        <w:rPr>
          <w:b w:val="0"/>
          <w:bCs/>
        </w:rPr>
      </w:pPr>
      <w:bookmarkStart w:id="165" w:name="_Toc298421291"/>
      <w:r>
        <w:t>Table A.6</w:t>
      </w:r>
      <w:r w:rsidR="00307327" w:rsidRPr="00432E0D">
        <w:t>.</w:t>
      </w:r>
      <w:r w:rsidR="0073463C" w:rsidRPr="00432E0D">
        <w:t xml:space="preserve"> Characteristics, School Programs, Outcomes</w:t>
      </w:r>
      <w:r w:rsidR="000A1008">
        <w:t>, and Perceived Challenges</w:t>
      </w:r>
      <w:r w:rsidR="0073463C" w:rsidRPr="00432E0D">
        <w:t xml:space="preserve"> at Baseline of Students </w:t>
      </w:r>
      <w:r w:rsidR="000A1008">
        <w:t xml:space="preserve">with an IEP </w:t>
      </w:r>
      <w:r w:rsidR="0073463C" w:rsidRPr="00432E0D">
        <w:t xml:space="preserve">and Students </w:t>
      </w:r>
      <w:r w:rsidR="000A1008">
        <w:t>with No IEP</w:t>
      </w:r>
      <w:bookmarkEnd w:id="165"/>
    </w:p>
    <w:tbl>
      <w:tblPr>
        <w:tblStyle w:val="SMPRTableBlack"/>
        <w:tblW w:w="5000" w:type="pct"/>
        <w:tblInd w:w="0" w:type="dxa"/>
        <w:tblLook w:val="04A0"/>
      </w:tblPr>
      <w:tblGrid>
        <w:gridCol w:w="3262"/>
        <w:gridCol w:w="1530"/>
        <w:gridCol w:w="1528"/>
        <w:gridCol w:w="1620"/>
        <w:gridCol w:w="1636"/>
      </w:tblGrid>
      <w:tr w:rsidR="0073463C" w:rsidRPr="00432E0D" w:rsidTr="005B05A6">
        <w:trPr>
          <w:cnfStyle w:val="100000000000"/>
          <w:tblHeader/>
        </w:trPr>
        <w:tc>
          <w:tcPr>
            <w:tcW w:w="1703" w:type="pct"/>
            <w:vAlign w:val="bottom"/>
          </w:tcPr>
          <w:p w:rsidR="0073463C" w:rsidRPr="00432E0D" w:rsidRDefault="0073463C" w:rsidP="00307327">
            <w:pPr>
              <w:pStyle w:val="TableText"/>
            </w:pPr>
          </w:p>
        </w:tc>
        <w:tc>
          <w:tcPr>
            <w:tcW w:w="799" w:type="pct"/>
            <w:vAlign w:val="bottom"/>
          </w:tcPr>
          <w:p w:rsidR="0073463C" w:rsidRPr="00432E0D" w:rsidRDefault="00307327" w:rsidP="00AD0BDE">
            <w:pPr>
              <w:pStyle w:val="TableHeaderCenter"/>
            </w:pPr>
            <w:r w:rsidRPr="00432E0D">
              <w:t>Students</w:t>
            </w:r>
            <w:r w:rsidR="000A1008">
              <w:t xml:space="preserve"> with </w:t>
            </w:r>
            <w:r w:rsidR="00AD0BDE">
              <w:t>a</w:t>
            </w:r>
            <w:r w:rsidR="000A1008">
              <w:t>n IEP</w:t>
            </w:r>
            <w:r w:rsidRPr="00432E0D">
              <w:br/>
            </w:r>
            <w:r w:rsidR="0073463C" w:rsidRPr="00432E0D">
              <w:t>Group A</w:t>
            </w:r>
          </w:p>
        </w:tc>
        <w:tc>
          <w:tcPr>
            <w:tcW w:w="798" w:type="pct"/>
            <w:vAlign w:val="bottom"/>
          </w:tcPr>
          <w:p w:rsidR="0073463C" w:rsidRPr="00432E0D" w:rsidRDefault="0073463C" w:rsidP="00AD0BDE">
            <w:pPr>
              <w:pStyle w:val="TableHeaderCenter"/>
            </w:pPr>
            <w:r w:rsidRPr="00432E0D">
              <w:t xml:space="preserve">Students </w:t>
            </w:r>
            <w:r w:rsidR="00AD0BDE">
              <w:t>w</w:t>
            </w:r>
            <w:r w:rsidR="00307327" w:rsidRPr="00432E0D">
              <w:t xml:space="preserve">ith </w:t>
            </w:r>
            <w:r w:rsidR="00AD0BDE">
              <w:t>a</w:t>
            </w:r>
            <w:r w:rsidR="00307327" w:rsidRPr="00432E0D">
              <w:t xml:space="preserve"> </w:t>
            </w:r>
            <w:r w:rsidRPr="00432E0D">
              <w:t xml:space="preserve">Section </w:t>
            </w:r>
            <w:r w:rsidR="00307327" w:rsidRPr="00432E0D">
              <w:t xml:space="preserve">504 </w:t>
            </w:r>
            <w:r w:rsidR="00307327" w:rsidRPr="00432E0D">
              <w:br/>
            </w:r>
            <w:r w:rsidRPr="00432E0D">
              <w:t>Group B</w:t>
            </w:r>
          </w:p>
        </w:tc>
        <w:tc>
          <w:tcPr>
            <w:tcW w:w="846" w:type="pct"/>
            <w:vAlign w:val="bottom"/>
          </w:tcPr>
          <w:p w:rsidR="0073463C" w:rsidRPr="00432E0D" w:rsidRDefault="0073463C" w:rsidP="00AD0BDE">
            <w:pPr>
              <w:pStyle w:val="TableHeaderCenter"/>
            </w:pPr>
            <w:r w:rsidRPr="00432E0D">
              <w:t xml:space="preserve">Students </w:t>
            </w:r>
            <w:r w:rsidR="00AD0BDE">
              <w:t>w</w:t>
            </w:r>
            <w:r w:rsidR="00307327" w:rsidRPr="00432E0D">
              <w:t xml:space="preserve">ith No </w:t>
            </w:r>
            <w:r w:rsidR="000A1008">
              <w:t>IEP</w:t>
            </w:r>
            <w:r w:rsidR="00307327" w:rsidRPr="00432E0D">
              <w:t xml:space="preserve"> </w:t>
            </w:r>
            <w:r w:rsidR="00AD0BDE">
              <w:t>a</w:t>
            </w:r>
            <w:r w:rsidR="00307327" w:rsidRPr="00432E0D">
              <w:t xml:space="preserve">nd No </w:t>
            </w:r>
            <w:r w:rsidRPr="00432E0D">
              <w:t xml:space="preserve">Section </w:t>
            </w:r>
            <w:r w:rsidR="00307327" w:rsidRPr="00432E0D">
              <w:t>504 Plan</w:t>
            </w:r>
            <w:r w:rsidR="00307327" w:rsidRPr="00432E0D">
              <w:br/>
            </w:r>
            <w:r w:rsidRPr="00432E0D">
              <w:t>Group C</w:t>
            </w:r>
          </w:p>
        </w:tc>
        <w:tc>
          <w:tcPr>
            <w:tcW w:w="854" w:type="pct"/>
            <w:vAlign w:val="bottom"/>
          </w:tcPr>
          <w:p w:rsidR="0073463C" w:rsidRPr="00432E0D" w:rsidRDefault="0073463C" w:rsidP="00AD0BDE">
            <w:pPr>
              <w:pStyle w:val="TableHeaderCenter"/>
            </w:pPr>
            <w:r w:rsidRPr="00432E0D">
              <w:t xml:space="preserve">All </w:t>
            </w:r>
            <w:r w:rsidR="00307327" w:rsidRPr="00432E0D">
              <w:t xml:space="preserve">Students Not Identified </w:t>
            </w:r>
            <w:r w:rsidR="00AD0BDE">
              <w:t>f</w:t>
            </w:r>
            <w:r w:rsidR="00307327" w:rsidRPr="00432E0D">
              <w:t>or Special Education</w:t>
            </w:r>
            <w:r w:rsidR="00307327" w:rsidRPr="00432E0D">
              <w:br/>
              <w:t>(</w:t>
            </w:r>
            <w:r w:rsidRPr="00432E0D">
              <w:t xml:space="preserve">Groups B </w:t>
            </w:r>
            <w:r w:rsidR="00307327" w:rsidRPr="00432E0D">
              <w:t xml:space="preserve">&amp; </w:t>
            </w:r>
            <w:r w:rsidRPr="00432E0D">
              <w:t xml:space="preserve">C </w:t>
            </w:r>
            <w:r w:rsidR="00307327" w:rsidRPr="00432E0D">
              <w:t xml:space="preserve">Combined) </w:t>
            </w:r>
          </w:p>
        </w:tc>
      </w:tr>
      <w:tr w:rsidR="00452682" w:rsidRPr="00432E0D" w:rsidTr="00307327">
        <w:tc>
          <w:tcPr>
            <w:tcW w:w="5000" w:type="pct"/>
            <w:gridSpan w:val="5"/>
          </w:tcPr>
          <w:p w:rsidR="00452682" w:rsidRPr="00432E0D" w:rsidRDefault="00452682" w:rsidP="00FA059D">
            <w:pPr>
              <w:pStyle w:val="TableText"/>
              <w:spacing w:before="120" w:after="60"/>
            </w:pPr>
            <w:r w:rsidRPr="00432E0D">
              <w:rPr>
                <w:b/>
              </w:rPr>
              <w:t>Youth and Family Characteristics</w:t>
            </w:r>
          </w:p>
        </w:tc>
      </w:tr>
      <w:tr w:rsidR="00452682" w:rsidRPr="00432E0D" w:rsidTr="00452682">
        <w:tc>
          <w:tcPr>
            <w:tcW w:w="1703" w:type="pct"/>
          </w:tcPr>
          <w:p w:rsidR="00452682" w:rsidRPr="00432E0D" w:rsidRDefault="00452682" w:rsidP="000B2C88">
            <w:pPr>
              <w:pStyle w:val="TableText"/>
              <w:ind w:left="187" w:hanging="187"/>
            </w:pPr>
            <w:r w:rsidRPr="00432E0D">
              <w:t>Youth characteristics</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0B2C88">
            <w:pPr>
              <w:pStyle w:val="TableText"/>
              <w:ind w:left="187" w:hanging="187"/>
            </w:pPr>
            <w:r w:rsidRPr="00432E0D">
              <w:t>Household characteristics</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0B2C88">
            <w:pPr>
              <w:pStyle w:val="TableText"/>
              <w:ind w:left="187" w:hanging="187"/>
            </w:pPr>
            <w:r w:rsidRPr="00432E0D">
              <w:t>Disability profiles</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0B2C88">
            <w:pPr>
              <w:pStyle w:val="TableText"/>
              <w:ind w:left="187" w:hanging="187"/>
            </w:pPr>
            <w:r w:rsidRPr="00432E0D">
              <w:t xml:space="preserve">Functional abilities of youth </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0B2C88">
            <w:pPr>
              <w:pStyle w:val="TableText"/>
              <w:ind w:left="187" w:hanging="187"/>
            </w:pPr>
            <w:r w:rsidRPr="00432E0D">
              <w:t>Daily living and social skills</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0B2C88">
            <w:pPr>
              <w:pStyle w:val="TableText"/>
              <w:ind w:left="187" w:hanging="187"/>
              <w:rPr>
                <w:color w:val="000000"/>
              </w:rPr>
            </w:pPr>
            <w:r w:rsidRPr="00432E0D">
              <w:rPr>
                <w:color w:val="000000"/>
              </w:rPr>
              <w:t>Postsecondary expectations</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0B2C88">
            <w:pPr>
              <w:pStyle w:val="TableText"/>
              <w:spacing w:before="120" w:after="60"/>
            </w:pPr>
            <w:r w:rsidRPr="00432E0D">
              <w:rPr>
                <w:b/>
              </w:rPr>
              <w:t>School Program, Services, Accommodations</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0B2C88">
            <w:pPr>
              <w:pStyle w:val="TableText"/>
              <w:ind w:left="187" w:hanging="187"/>
            </w:pPr>
            <w:r w:rsidRPr="00432E0D">
              <w:t>Education history</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0B2C88">
            <w:pPr>
              <w:pStyle w:val="TableText"/>
              <w:ind w:left="187" w:hanging="187"/>
            </w:pPr>
            <w:r w:rsidRPr="00432E0D">
              <w:t xml:space="preserve">Types of school(s) attended </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0B2C88">
            <w:pPr>
              <w:pStyle w:val="TableText"/>
              <w:ind w:left="187" w:hanging="187"/>
            </w:pPr>
            <w:r w:rsidRPr="00432E0D">
              <w:t>School policies, environment</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0B2C88">
            <w:pPr>
              <w:pStyle w:val="TableText"/>
              <w:ind w:left="187" w:hanging="187"/>
            </w:pPr>
            <w:r w:rsidRPr="00432E0D">
              <w:t>Courses completed (subject, general education, special education)</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0B2C88">
            <w:pPr>
              <w:pStyle w:val="TableText"/>
              <w:ind w:left="187" w:hanging="187"/>
            </w:pPr>
            <w:r w:rsidRPr="00432E0D">
              <w:t xml:space="preserve">Instructional approach, setting </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0B2C88">
            <w:pPr>
              <w:pStyle w:val="TableText"/>
              <w:ind w:left="187" w:hanging="187"/>
            </w:pPr>
            <w:r w:rsidRPr="00432E0D">
              <w:t>Youth classroom participation</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ED2841" w:rsidRPr="00432E0D" w:rsidTr="00452682">
        <w:tc>
          <w:tcPr>
            <w:tcW w:w="1703" w:type="pct"/>
          </w:tcPr>
          <w:p w:rsidR="00ED2841" w:rsidRPr="00432E0D" w:rsidRDefault="00ED2841" w:rsidP="000B2C88">
            <w:pPr>
              <w:pStyle w:val="TableText"/>
              <w:ind w:left="187" w:hanging="187"/>
            </w:pPr>
            <w:r>
              <w:t>Extra-curricular activities</w:t>
            </w:r>
          </w:p>
        </w:tc>
        <w:tc>
          <w:tcPr>
            <w:tcW w:w="799" w:type="pct"/>
          </w:tcPr>
          <w:p w:rsidR="00ED2841" w:rsidRPr="00432E0D" w:rsidRDefault="00ED2841" w:rsidP="00307327">
            <w:pPr>
              <w:pStyle w:val="TableText"/>
            </w:pPr>
          </w:p>
        </w:tc>
        <w:tc>
          <w:tcPr>
            <w:tcW w:w="798" w:type="pct"/>
          </w:tcPr>
          <w:p w:rsidR="00ED2841" w:rsidRPr="00432E0D" w:rsidRDefault="00ED2841" w:rsidP="00307327">
            <w:pPr>
              <w:pStyle w:val="TableText"/>
            </w:pPr>
          </w:p>
        </w:tc>
        <w:tc>
          <w:tcPr>
            <w:tcW w:w="846" w:type="pct"/>
          </w:tcPr>
          <w:p w:rsidR="00ED2841" w:rsidRPr="00432E0D" w:rsidRDefault="00ED2841" w:rsidP="00307327">
            <w:pPr>
              <w:pStyle w:val="TableText"/>
            </w:pPr>
          </w:p>
        </w:tc>
        <w:tc>
          <w:tcPr>
            <w:tcW w:w="854" w:type="pct"/>
          </w:tcPr>
          <w:p w:rsidR="00ED2841" w:rsidRPr="00432E0D" w:rsidRDefault="00ED2841" w:rsidP="00307327">
            <w:pPr>
              <w:pStyle w:val="TableText"/>
            </w:pPr>
          </w:p>
        </w:tc>
      </w:tr>
      <w:tr w:rsidR="00452682" w:rsidRPr="00432E0D" w:rsidTr="00452682">
        <w:tc>
          <w:tcPr>
            <w:tcW w:w="1703" w:type="pct"/>
          </w:tcPr>
          <w:p w:rsidR="00452682" w:rsidRPr="00432E0D" w:rsidRDefault="00452682" w:rsidP="000B2C88">
            <w:pPr>
              <w:pStyle w:val="TableText"/>
              <w:ind w:left="187" w:hanging="187"/>
            </w:pPr>
            <w:r w:rsidRPr="00432E0D">
              <w:t xml:space="preserve">Services, supports, accommodations </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0B2C88">
            <w:pPr>
              <w:pStyle w:val="TableText"/>
              <w:ind w:left="187" w:hanging="187"/>
              <w:rPr>
                <w:color w:val="000000"/>
              </w:rPr>
            </w:pPr>
            <w:r w:rsidRPr="00432E0D">
              <w:rPr>
                <w:color w:val="000000"/>
              </w:rPr>
              <w:t xml:space="preserve">IEP development, transition planning, career exploration </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0B2C88">
            <w:pPr>
              <w:pStyle w:val="TableText"/>
              <w:ind w:left="187" w:hanging="187"/>
              <w:rPr>
                <w:color w:val="000000"/>
              </w:rPr>
            </w:pPr>
            <w:r w:rsidRPr="00432E0D">
              <w:rPr>
                <w:color w:val="000000"/>
              </w:rPr>
              <w:t>Assistance applying to postsecondary programs and jobs</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0B2C88">
            <w:pPr>
              <w:pStyle w:val="TableText"/>
              <w:tabs>
                <w:tab w:val="left" w:pos="2361"/>
              </w:tabs>
              <w:spacing w:before="120" w:after="60"/>
              <w:ind w:left="187" w:hanging="187"/>
              <w:rPr>
                <w:b/>
              </w:rPr>
            </w:pPr>
            <w:r w:rsidRPr="00432E0D">
              <w:rPr>
                <w:b/>
              </w:rPr>
              <w:t>Youth Outcomes</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0B2C88">
            <w:pPr>
              <w:pStyle w:val="TableText"/>
              <w:ind w:left="187" w:hanging="187"/>
            </w:pPr>
            <w:r w:rsidRPr="00432E0D">
              <w:t>Attendance and engagement</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0B2C88">
            <w:pPr>
              <w:pStyle w:val="TableText"/>
              <w:ind w:left="187" w:hanging="187"/>
            </w:pPr>
            <w:r w:rsidRPr="00432E0D">
              <w:t xml:space="preserve">Grades, test scores </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207694">
            <w:pPr>
              <w:pStyle w:val="TableText"/>
              <w:ind w:left="187" w:hanging="187"/>
            </w:pPr>
            <w:r>
              <w:t xml:space="preserve">High </w:t>
            </w:r>
            <w:r w:rsidR="00207694">
              <w:t>s</w:t>
            </w:r>
            <w:r>
              <w:t xml:space="preserve">chool </w:t>
            </w:r>
            <w:r w:rsidR="00207694">
              <w:t>c</w:t>
            </w:r>
            <w:r>
              <w:t>ompletion</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0B2C88">
            <w:pPr>
              <w:pStyle w:val="TableText"/>
              <w:ind w:left="187" w:hanging="187"/>
            </w:pPr>
            <w:r w:rsidRPr="00432E0D">
              <w:t>Postsecondary education, training</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0B2C88">
            <w:pPr>
              <w:pStyle w:val="TableText"/>
              <w:ind w:left="187" w:hanging="187"/>
            </w:pPr>
            <w:r w:rsidRPr="00432E0D">
              <w:t>Employment and earnings</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0B2C88">
            <w:pPr>
              <w:pStyle w:val="TableText"/>
              <w:ind w:left="187" w:hanging="187"/>
            </w:pPr>
            <w:r w:rsidRPr="00432E0D">
              <w:t xml:space="preserve">Receipt of Social Security Insurance, health insurance, other benefits </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0B2C88">
            <w:pPr>
              <w:pStyle w:val="TableText"/>
              <w:ind w:left="187" w:hanging="187"/>
            </w:pPr>
            <w:r w:rsidRPr="00432E0D">
              <w:t>Social adjustment and independence</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452682" w:rsidRPr="00432E0D" w:rsidTr="00452682">
        <w:tc>
          <w:tcPr>
            <w:tcW w:w="1703" w:type="pct"/>
          </w:tcPr>
          <w:p w:rsidR="00452682" w:rsidRPr="00432E0D" w:rsidRDefault="00452682" w:rsidP="000B2C88">
            <w:pPr>
              <w:pStyle w:val="TableText"/>
              <w:ind w:left="187" w:hanging="187"/>
            </w:pPr>
            <w:r w:rsidRPr="00452682">
              <w:t>Arrests, incarceration</w:t>
            </w:r>
            <w:r w:rsidRPr="00432E0D">
              <w:t xml:space="preserve"> </w:t>
            </w:r>
          </w:p>
        </w:tc>
        <w:tc>
          <w:tcPr>
            <w:tcW w:w="799" w:type="pct"/>
          </w:tcPr>
          <w:p w:rsidR="00452682" w:rsidRPr="00432E0D" w:rsidRDefault="00452682" w:rsidP="00307327">
            <w:pPr>
              <w:pStyle w:val="TableText"/>
            </w:pPr>
          </w:p>
        </w:tc>
        <w:tc>
          <w:tcPr>
            <w:tcW w:w="798" w:type="pct"/>
          </w:tcPr>
          <w:p w:rsidR="00452682" w:rsidRPr="00432E0D" w:rsidRDefault="00452682" w:rsidP="00307327">
            <w:pPr>
              <w:pStyle w:val="TableText"/>
            </w:pPr>
          </w:p>
        </w:tc>
        <w:tc>
          <w:tcPr>
            <w:tcW w:w="846" w:type="pct"/>
          </w:tcPr>
          <w:p w:rsidR="00452682" w:rsidRPr="00432E0D" w:rsidRDefault="00452682" w:rsidP="00307327">
            <w:pPr>
              <w:pStyle w:val="TableText"/>
            </w:pPr>
          </w:p>
        </w:tc>
        <w:tc>
          <w:tcPr>
            <w:tcW w:w="854" w:type="pct"/>
          </w:tcPr>
          <w:p w:rsidR="00452682" w:rsidRPr="00432E0D" w:rsidRDefault="00452682" w:rsidP="00307327">
            <w:pPr>
              <w:pStyle w:val="TableText"/>
            </w:pPr>
          </w:p>
        </w:tc>
      </w:tr>
      <w:tr w:rsidR="000A1008" w:rsidRPr="00432E0D" w:rsidTr="00452682">
        <w:tc>
          <w:tcPr>
            <w:tcW w:w="1703" w:type="pct"/>
          </w:tcPr>
          <w:p w:rsidR="000A1008" w:rsidRPr="00E33CA0" w:rsidRDefault="000A1008" w:rsidP="00F3352A">
            <w:pPr>
              <w:pStyle w:val="TableText"/>
              <w:spacing w:before="120" w:after="60"/>
              <w:ind w:left="187" w:hanging="187"/>
              <w:rPr>
                <w:b/>
              </w:rPr>
            </w:pPr>
            <w:r w:rsidRPr="00E33CA0">
              <w:rPr>
                <w:b/>
              </w:rPr>
              <w:lastRenderedPageBreak/>
              <w:t>Perceived Barriers/Challenges</w:t>
            </w:r>
            <w:r>
              <w:rPr>
                <w:b/>
              </w:rPr>
              <w:t xml:space="preserve"> Regarding:</w:t>
            </w:r>
          </w:p>
        </w:tc>
        <w:tc>
          <w:tcPr>
            <w:tcW w:w="799" w:type="pct"/>
          </w:tcPr>
          <w:p w:rsidR="000A1008" w:rsidRPr="00432E0D" w:rsidRDefault="000A1008" w:rsidP="00F3352A">
            <w:pPr>
              <w:pStyle w:val="TableText"/>
              <w:spacing w:before="120" w:after="60"/>
            </w:pPr>
          </w:p>
        </w:tc>
        <w:tc>
          <w:tcPr>
            <w:tcW w:w="798" w:type="pct"/>
          </w:tcPr>
          <w:p w:rsidR="000A1008" w:rsidRPr="00432E0D" w:rsidRDefault="000A1008" w:rsidP="00F3352A">
            <w:pPr>
              <w:pStyle w:val="TableText"/>
              <w:spacing w:before="120" w:after="60"/>
            </w:pPr>
          </w:p>
        </w:tc>
        <w:tc>
          <w:tcPr>
            <w:tcW w:w="846" w:type="pct"/>
          </w:tcPr>
          <w:p w:rsidR="000A1008" w:rsidRPr="00432E0D" w:rsidRDefault="000A1008" w:rsidP="00F3352A">
            <w:pPr>
              <w:pStyle w:val="TableText"/>
              <w:spacing w:before="120" w:after="60"/>
            </w:pPr>
          </w:p>
        </w:tc>
        <w:tc>
          <w:tcPr>
            <w:tcW w:w="854" w:type="pct"/>
          </w:tcPr>
          <w:p w:rsidR="000A1008" w:rsidRPr="00432E0D" w:rsidRDefault="000A1008" w:rsidP="00F3352A">
            <w:pPr>
              <w:pStyle w:val="TableText"/>
              <w:spacing w:before="120" w:after="60"/>
            </w:pPr>
          </w:p>
        </w:tc>
      </w:tr>
      <w:tr w:rsidR="000A1008" w:rsidRPr="00432E0D" w:rsidTr="00452682">
        <w:tc>
          <w:tcPr>
            <w:tcW w:w="1703" w:type="pct"/>
          </w:tcPr>
          <w:p w:rsidR="000A1008" w:rsidRPr="00452682" w:rsidRDefault="000A1008" w:rsidP="000A1008">
            <w:pPr>
              <w:pStyle w:val="TableText"/>
            </w:pPr>
            <w:r>
              <w:t>Developing post</w:t>
            </w:r>
            <w:r w:rsidR="00207694">
              <w:t>–</w:t>
            </w:r>
            <w:r>
              <w:t>high school plans</w:t>
            </w:r>
          </w:p>
        </w:tc>
        <w:tc>
          <w:tcPr>
            <w:tcW w:w="799" w:type="pct"/>
          </w:tcPr>
          <w:p w:rsidR="000A1008" w:rsidRPr="00432E0D" w:rsidRDefault="000A1008" w:rsidP="00307327">
            <w:pPr>
              <w:pStyle w:val="TableText"/>
            </w:pPr>
          </w:p>
        </w:tc>
        <w:tc>
          <w:tcPr>
            <w:tcW w:w="798" w:type="pct"/>
          </w:tcPr>
          <w:p w:rsidR="000A1008" w:rsidRPr="00432E0D" w:rsidRDefault="000A1008" w:rsidP="00307327">
            <w:pPr>
              <w:pStyle w:val="TableText"/>
            </w:pPr>
          </w:p>
        </w:tc>
        <w:tc>
          <w:tcPr>
            <w:tcW w:w="846" w:type="pct"/>
          </w:tcPr>
          <w:p w:rsidR="000A1008" w:rsidRPr="00432E0D" w:rsidRDefault="000A1008" w:rsidP="00307327">
            <w:pPr>
              <w:pStyle w:val="TableText"/>
            </w:pPr>
          </w:p>
        </w:tc>
        <w:tc>
          <w:tcPr>
            <w:tcW w:w="854" w:type="pct"/>
          </w:tcPr>
          <w:p w:rsidR="000A1008" w:rsidRPr="00432E0D" w:rsidRDefault="000A1008" w:rsidP="00307327">
            <w:pPr>
              <w:pStyle w:val="TableText"/>
            </w:pPr>
          </w:p>
        </w:tc>
      </w:tr>
      <w:tr w:rsidR="000A1008" w:rsidRPr="00432E0D" w:rsidTr="00452682">
        <w:tc>
          <w:tcPr>
            <w:tcW w:w="1703" w:type="pct"/>
          </w:tcPr>
          <w:p w:rsidR="000A1008" w:rsidRPr="00452682" w:rsidRDefault="000A1008" w:rsidP="000A1008">
            <w:pPr>
              <w:pStyle w:val="TableText"/>
              <w:ind w:left="187" w:hanging="187"/>
            </w:pPr>
            <w:r>
              <w:t>Applying to and financing</w:t>
            </w:r>
            <w:r w:rsidR="00A4089E">
              <w:t xml:space="preserve"> </w:t>
            </w:r>
            <w:r>
              <w:t xml:space="preserve">postsecondary education </w:t>
            </w:r>
          </w:p>
        </w:tc>
        <w:tc>
          <w:tcPr>
            <w:tcW w:w="799" w:type="pct"/>
          </w:tcPr>
          <w:p w:rsidR="000A1008" w:rsidRPr="00432E0D" w:rsidRDefault="000A1008" w:rsidP="00307327">
            <w:pPr>
              <w:pStyle w:val="TableText"/>
            </w:pPr>
          </w:p>
        </w:tc>
        <w:tc>
          <w:tcPr>
            <w:tcW w:w="798" w:type="pct"/>
          </w:tcPr>
          <w:p w:rsidR="000A1008" w:rsidRPr="00432E0D" w:rsidRDefault="000A1008" w:rsidP="00307327">
            <w:pPr>
              <w:pStyle w:val="TableText"/>
            </w:pPr>
          </w:p>
        </w:tc>
        <w:tc>
          <w:tcPr>
            <w:tcW w:w="846" w:type="pct"/>
          </w:tcPr>
          <w:p w:rsidR="000A1008" w:rsidRPr="00432E0D" w:rsidRDefault="000A1008" w:rsidP="00307327">
            <w:pPr>
              <w:pStyle w:val="TableText"/>
            </w:pPr>
          </w:p>
        </w:tc>
        <w:tc>
          <w:tcPr>
            <w:tcW w:w="854" w:type="pct"/>
          </w:tcPr>
          <w:p w:rsidR="000A1008" w:rsidRPr="00432E0D" w:rsidRDefault="000A1008" w:rsidP="00307327">
            <w:pPr>
              <w:pStyle w:val="TableText"/>
            </w:pPr>
          </w:p>
        </w:tc>
      </w:tr>
      <w:tr w:rsidR="000A1008" w:rsidRPr="00432E0D" w:rsidTr="00452682">
        <w:tc>
          <w:tcPr>
            <w:tcW w:w="1703" w:type="pct"/>
          </w:tcPr>
          <w:p w:rsidR="000A1008" w:rsidRPr="00452682" w:rsidRDefault="000A1008" w:rsidP="000A1008">
            <w:pPr>
              <w:pStyle w:val="TableText"/>
              <w:ind w:left="187" w:hanging="187"/>
            </w:pPr>
            <w:r>
              <w:t>Securing jobs</w:t>
            </w:r>
          </w:p>
        </w:tc>
        <w:tc>
          <w:tcPr>
            <w:tcW w:w="799" w:type="pct"/>
          </w:tcPr>
          <w:p w:rsidR="000A1008" w:rsidRPr="00432E0D" w:rsidRDefault="000A1008" w:rsidP="00307327">
            <w:pPr>
              <w:pStyle w:val="TableText"/>
            </w:pPr>
          </w:p>
        </w:tc>
        <w:tc>
          <w:tcPr>
            <w:tcW w:w="798" w:type="pct"/>
          </w:tcPr>
          <w:p w:rsidR="000A1008" w:rsidRPr="00432E0D" w:rsidRDefault="000A1008" w:rsidP="00307327">
            <w:pPr>
              <w:pStyle w:val="TableText"/>
            </w:pPr>
          </w:p>
        </w:tc>
        <w:tc>
          <w:tcPr>
            <w:tcW w:w="846" w:type="pct"/>
          </w:tcPr>
          <w:p w:rsidR="000A1008" w:rsidRPr="00432E0D" w:rsidRDefault="000A1008" w:rsidP="00307327">
            <w:pPr>
              <w:pStyle w:val="TableText"/>
            </w:pPr>
          </w:p>
        </w:tc>
        <w:tc>
          <w:tcPr>
            <w:tcW w:w="854" w:type="pct"/>
          </w:tcPr>
          <w:p w:rsidR="000A1008" w:rsidRPr="00432E0D" w:rsidRDefault="000A1008" w:rsidP="00307327">
            <w:pPr>
              <w:pStyle w:val="TableText"/>
            </w:pPr>
          </w:p>
        </w:tc>
      </w:tr>
      <w:tr w:rsidR="000A1008" w:rsidRPr="00432E0D" w:rsidTr="00452682">
        <w:tc>
          <w:tcPr>
            <w:tcW w:w="1703" w:type="pct"/>
          </w:tcPr>
          <w:p w:rsidR="000A1008" w:rsidRDefault="000A1008" w:rsidP="000A1008">
            <w:pPr>
              <w:pStyle w:val="TableText"/>
              <w:ind w:left="187" w:hanging="187"/>
            </w:pPr>
            <w:r>
              <w:t>Engaging in social activities</w:t>
            </w:r>
          </w:p>
        </w:tc>
        <w:tc>
          <w:tcPr>
            <w:tcW w:w="799" w:type="pct"/>
          </w:tcPr>
          <w:p w:rsidR="000A1008" w:rsidRPr="00432E0D" w:rsidRDefault="000A1008" w:rsidP="00307327">
            <w:pPr>
              <w:pStyle w:val="TableText"/>
            </w:pPr>
          </w:p>
        </w:tc>
        <w:tc>
          <w:tcPr>
            <w:tcW w:w="798" w:type="pct"/>
          </w:tcPr>
          <w:p w:rsidR="000A1008" w:rsidRPr="00432E0D" w:rsidRDefault="000A1008" w:rsidP="00307327">
            <w:pPr>
              <w:pStyle w:val="TableText"/>
            </w:pPr>
          </w:p>
        </w:tc>
        <w:tc>
          <w:tcPr>
            <w:tcW w:w="846" w:type="pct"/>
          </w:tcPr>
          <w:p w:rsidR="000A1008" w:rsidRPr="00432E0D" w:rsidRDefault="000A1008" w:rsidP="00307327">
            <w:pPr>
              <w:pStyle w:val="TableText"/>
            </w:pPr>
          </w:p>
        </w:tc>
        <w:tc>
          <w:tcPr>
            <w:tcW w:w="854" w:type="pct"/>
          </w:tcPr>
          <w:p w:rsidR="000A1008" w:rsidRPr="00432E0D" w:rsidRDefault="000A1008" w:rsidP="00307327">
            <w:pPr>
              <w:pStyle w:val="TableText"/>
            </w:pPr>
          </w:p>
        </w:tc>
      </w:tr>
      <w:tr w:rsidR="000A1008" w:rsidRPr="00432E0D" w:rsidTr="00122D0F">
        <w:tc>
          <w:tcPr>
            <w:tcW w:w="1703" w:type="pct"/>
            <w:tcBorders>
              <w:bottom w:val="single" w:sz="4" w:space="0" w:color="auto"/>
            </w:tcBorders>
          </w:tcPr>
          <w:p w:rsidR="000A1008" w:rsidRPr="00452682" w:rsidRDefault="000A1008" w:rsidP="000A1008">
            <w:pPr>
              <w:pStyle w:val="TableText"/>
              <w:ind w:left="187" w:hanging="187"/>
            </w:pPr>
            <w:r>
              <w:t>Living independently</w:t>
            </w:r>
          </w:p>
        </w:tc>
        <w:tc>
          <w:tcPr>
            <w:tcW w:w="799" w:type="pct"/>
            <w:tcBorders>
              <w:bottom w:val="single" w:sz="4" w:space="0" w:color="auto"/>
            </w:tcBorders>
          </w:tcPr>
          <w:p w:rsidR="000A1008" w:rsidRPr="00432E0D" w:rsidRDefault="000A1008" w:rsidP="00307327">
            <w:pPr>
              <w:pStyle w:val="TableText"/>
            </w:pPr>
          </w:p>
        </w:tc>
        <w:tc>
          <w:tcPr>
            <w:tcW w:w="798" w:type="pct"/>
            <w:tcBorders>
              <w:bottom w:val="single" w:sz="4" w:space="0" w:color="auto"/>
            </w:tcBorders>
          </w:tcPr>
          <w:p w:rsidR="000A1008" w:rsidRPr="00432E0D" w:rsidRDefault="000A1008" w:rsidP="00307327">
            <w:pPr>
              <w:pStyle w:val="TableText"/>
            </w:pPr>
          </w:p>
        </w:tc>
        <w:tc>
          <w:tcPr>
            <w:tcW w:w="846" w:type="pct"/>
            <w:tcBorders>
              <w:bottom w:val="single" w:sz="4" w:space="0" w:color="auto"/>
            </w:tcBorders>
          </w:tcPr>
          <w:p w:rsidR="000A1008" w:rsidRPr="00432E0D" w:rsidRDefault="000A1008" w:rsidP="00307327">
            <w:pPr>
              <w:pStyle w:val="TableText"/>
            </w:pPr>
          </w:p>
        </w:tc>
        <w:tc>
          <w:tcPr>
            <w:tcW w:w="854" w:type="pct"/>
            <w:tcBorders>
              <w:bottom w:val="single" w:sz="4" w:space="0" w:color="auto"/>
            </w:tcBorders>
          </w:tcPr>
          <w:p w:rsidR="000A1008" w:rsidRPr="00432E0D" w:rsidRDefault="000A1008" w:rsidP="00307327">
            <w:pPr>
              <w:pStyle w:val="TableText"/>
            </w:pPr>
          </w:p>
        </w:tc>
      </w:tr>
      <w:tr w:rsidR="000A1008" w:rsidRPr="00432E0D" w:rsidTr="00122D0F">
        <w:tc>
          <w:tcPr>
            <w:tcW w:w="1703" w:type="pct"/>
            <w:tcBorders>
              <w:top w:val="single" w:sz="4" w:space="0" w:color="auto"/>
              <w:bottom w:val="single" w:sz="4" w:space="0" w:color="auto"/>
            </w:tcBorders>
          </w:tcPr>
          <w:p w:rsidR="000A1008" w:rsidRPr="00432E0D" w:rsidRDefault="000A1008" w:rsidP="000B2C88">
            <w:pPr>
              <w:pStyle w:val="TableText"/>
              <w:spacing w:before="120" w:after="60"/>
              <w:ind w:left="187" w:hanging="187"/>
              <w:rPr>
                <w:b/>
              </w:rPr>
            </w:pPr>
            <w:proofErr w:type="spellStart"/>
            <w:r w:rsidRPr="00432E0D">
              <w:rPr>
                <w:b/>
              </w:rPr>
              <w:t>Unweighted</w:t>
            </w:r>
            <w:proofErr w:type="spellEnd"/>
            <w:r w:rsidRPr="00432E0D">
              <w:rPr>
                <w:b/>
              </w:rPr>
              <w:t xml:space="preserve"> Sample Size</w:t>
            </w:r>
          </w:p>
        </w:tc>
        <w:tc>
          <w:tcPr>
            <w:tcW w:w="799" w:type="pct"/>
            <w:tcBorders>
              <w:top w:val="single" w:sz="4" w:space="0" w:color="auto"/>
              <w:bottom w:val="single" w:sz="4" w:space="0" w:color="auto"/>
            </w:tcBorders>
          </w:tcPr>
          <w:p w:rsidR="000A1008" w:rsidRPr="00432E0D" w:rsidRDefault="000A1008" w:rsidP="000B2C88">
            <w:pPr>
              <w:pStyle w:val="TableText"/>
              <w:spacing w:before="120" w:after="60"/>
            </w:pPr>
          </w:p>
        </w:tc>
        <w:tc>
          <w:tcPr>
            <w:tcW w:w="798" w:type="pct"/>
            <w:tcBorders>
              <w:top w:val="single" w:sz="4" w:space="0" w:color="auto"/>
              <w:bottom w:val="single" w:sz="4" w:space="0" w:color="auto"/>
            </w:tcBorders>
          </w:tcPr>
          <w:p w:rsidR="000A1008" w:rsidRPr="00432E0D" w:rsidRDefault="000A1008" w:rsidP="000B2C88">
            <w:pPr>
              <w:pStyle w:val="TableText"/>
              <w:spacing w:before="120" w:after="60"/>
            </w:pPr>
          </w:p>
        </w:tc>
        <w:tc>
          <w:tcPr>
            <w:tcW w:w="846" w:type="pct"/>
            <w:tcBorders>
              <w:top w:val="single" w:sz="4" w:space="0" w:color="auto"/>
              <w:bottom w:val="single" w:sz="4" w:space="0" w:color="auto"/>
            </w:tcBorders>
          </w:tcPr>
          <w:p w:rsidR="000A1008" w:rsidRPr="00432E0D" w:rsidRDefault="000A1008" w:rsidP="000B2C88">
            <w:pPr>
              <w:pStyle w:val="TableText"/>
              <w:spacing w:before="120" w:after="60"/>
            </w:pPr>
          </w:p>
        </w:tc>
        <w:tc>
          <w:tcPr>
            <w:tcW w:w="854" w:type="pct"/>
            <w:tcBorders>
              <w:top w:val="single" w:sz="4" w:space="0" w:color="auto"/>
              <w:bottom w:val="single" w:sz="4" w:space="0" w:color="auto"/>
            </w:tcBorders>
          </w:tcPr>
          <w:p w:rsidR="000A1008" w:rsidRPr="00432E0D" w:rsidRDefault="000A1008" w:rsidP="000B2C88">
            <w:pPr>
              <w:pStyle w:val="TableText"/>
              <w:spacing w:before="120" w:after="60"/>
            </w:pPr>
          </w:p>
        </w:tc>
      </w:tr>
    </w:tbl>
    <w:p w:rsidR="00586189" w:rsidRPr="00432E0D" w:rsidRDefault="00586189" w:rsidP="0073463C">
      <w:pPr>
        <w:tabs>
          <w:tab w:val="clear" w:pos="432"/>
        </w:tabs>
        <w:autoSpaceDE w:val="0"/>
        <w:autoSpaceDN w:val="0"/>
        <w:adjustRightInd w:val="0"/>
        <w:spacing w:line="240" w:lineRule="auto"/>
        <w:ind w:firstLine="0"/>
        <w:jc w:val="left"/>
        <w:rPr>
          <w:bCs/>
        </w:rPr>
      </w:pPr>
    </w:p>
    <w:p w:rsidR="005B05A6" w:rsidRDefault="005B05A6" w:rsidP="005B05A6">
      <w:pPr>
        <w:pStyle w:val="NormalSS"/>
      </w:pPr>
      <w:r w:rsidRPr="00432E0D">
        <w:t>Tabulations l</w:t>
      </w:r>
      <w:r>
        <w:t>ike those displayed in Table A.7</w:t>
      </w:r>
      <w:r w:rsidRPr="00432E0D">
        <w:t xml:space="preserve"> will be used to compare selected characteristics, school experiences, and outcomes of the cohorts of students identified for special education services in NLTS, NLTS2, and NLTS 2012. NLTS includes a sample of students ages 13 to 21 </w:t>
      </w:r>
      <w:r>
        <w:t xml:space="preserve">and who had an IEP </w:t>
      </w:r>
      <w:r w:rsidRPr="00432E0D">
        <w:t xml:space="preserve">in 1987. NLTS2 includes a sample of students ages 13 to 16 </w:t>
      </w:r>
      <w:r>
        <w:t xml:space="preserve">and </w:t>
      </w:r>
      <w:r w:rsidRPr="00432E0D">
        <w:t xml:space="preserve">who </w:t>
      </w:r>
      <w:r>
        <w:t xml:space="preserve">had an IEP </w:t>
      </w:r>
      <w:r w:rsidRPr="00432E0D">
        <w:t xml:space="preserve">in 2001, and NLTS 2012 will include a sample of students ages 13 to 21 </w:t>
      </w:r>
      <w:r>
        <w:t xml:space="preserve">and </w:t>
      </w:r>
      <w:r w:rsidRPr="00432E0D">
        <w:t xml:space="preserve">who </w:t>
      </w:r>
      <w:r>
        <w:t xml:space="preserve">have an IEP in </w:t>
      </w:r>
      <w:r w:rsidRPr="00432E0D">
        <w:t>fall 2011. The comparisons across these three cohorts will focus on the subset of sample members who were 13 to 16</w:t>
      </w:r>
      <w:r>
        <w:t xml:space="preserve"> </w:t>
      </w:r>
      <w:r w:rsidRPr="00432E0D">
        <w:t>years</w:t>
      </w:r>
      <w:r>
        <w:t xml:space="preserve"> </w:t>
      </w:r>
      <w:r w:rsidRPr="00432E0D">
        <w:t>old at the point of sample selection in order to elimi</w:t>
      </w:r>
      <w:r>
        <w:t xml:space="preserve">nate age as a source of between-cohort </w:t>
      </w:r>
      <w:r w:rsidRPr="00432E0D">
        <w:t>variations.</w:t>
      </w:r>
    </w:p>
    <w:p w:rsidR="005B05A6" w:rsidRPr="00432E0D" w:rsidRDefault="005B05A6" w:rsidP="005B05A6">
      <w:pPr>
        <w:pStyle w:val="MarkforTableHeading"/>
        <w:rPr>
          <w:b w:val="0"/>
          <w:bCs/>
        </w:rPr>
      </w:pPr>
      <w:r>
        <w:t>Table A.7</w:t>
      </w:r>
      <w:r w:rsidRPr="00432E0D">
        <w:t xml:space="preserve">. Characteristics, School Experiences, and Outcomes of Students </w:t>
      </w:r>
      <w:r>
        <w:t>with an IEP</w:t>
      </w:r>
      <w:r w:rsidRPr="00432E0D">
        <w:t xml:space="preserve"> in 1987, 2001, and 2010</w:t>
      </w:r>
    </w:p>
    <w:tbl>
      <w:tblPr>
        <w:tblStyle w:val="SMPRTableBlack"/>
        <w:tblW w:w="4944" w:type="pct"/>
        <w:tblLook w:val="04A0"/>
      </w:tblPr>
      <w:tblGrid>
        <w:gridCol w:w="3077"/>
        <w:gridCol w:w="2161"/>
        <w:gridCol w:w="2070"/>
        <w:gridCol w:w="2161"/>
      </w:tblGrid>
      <w:tr w:rsidR="005B05A6" w:rsidRPr="00432E0D" w:rsidTr="00A00D1B">
        <w:trPr>
          <w:cnfStyle w:val="100000000000"/>
          <w:tblHeader/>
        </w:trPr>
        <w:tc>
          <w:tcPr>
            <w:tcW w:w="1625" w:type="pct"/>
            <w:tcBorders>
              <w:top w:val="single" w:sz="2" w:space="0" w:color="auto"/>
            </w:tcBorders>
            <w:vAlign w:val="bottom"/>
          </w:tcPr>
          <w:p w:rsidR="005B05A6" w:rsidRPr="00432E0D" w:rsidRDefault="005B05A6" w:rsidP="00A00D1B">
            <w:pPr>
              <w:pStyle w:val="TableHeaderLeft"/>
              <w:tabs>
                <w:tab w:val="clear" w:pos="432"/>
              </w:tabs>
            </w:pPr>
          </w:p>
        </w:tc>
        <w:tc>
          <w:tcPr>
            <w:tcW w:w="1141" w:type="pct"/>
            <w:tcBorders>
              <w:top w:val="single" w:sz="2" w:space="0" w:color="auto"/>
            </w:tcBorders>
            <w:vAlign w:val="bottom"/>
          </w:tcPr>
          <w:p w:rsidR="005B05A6" w:rsidRPr="00432E0D" w:rsidRDefault="005B05A6" w:rsidP="00A00D1B">
            <w:pPr>
              <w:pStyle w:val="TableHeaderCenter"/>
              <w:spacing w:before="80" w:after="40"/>
            </w:pPr>
            <w:r w:rsidRPr="00432E0D">
              <w:t xml:space="preserve">Students </w:t>
            </w:r>
            <w:r>
              <w:t xml:space="preserve">with an IEP </w:t>
            </w:r>
            <w:r w:rsidRPr="00432E0D">
              <w:t xml:space="preserve">Ages 13 </w:t>
            </w:r>
            <w:r>
              <w:t>t</w:t>
            </w:r>
            <w:r w:rsidRPr="00432E0D">
              <w:t xml:space="preserve">o 16 </w:t>
            </w:r>
            <w:r>
              <w:t>i</w:t>
            </w:r>
            <w:r w:rsidRPr="00432E0D">
              <w:t>n 1987</w:t>
            </w:r>
          </w:p>
        </w:tc>
        <w:tc>
          <w:tcPr>
            <w:tcW w:w="1093" w:type="pct"/>
            <w:tcBorders>
              <w:top w:val="single" w:sz="2" w:space="0" w:color="auto"/>
            </w:tcBorders>
            <w:vAlign w:val="bottom"/>
          </w:tcPr>
          <w:p w:rsidR="005B05A6" w:rsidRPr="00432E0D" w:rsidRDefault="005B05A6" w:rsidP="00A00D1B">
            <w:pPr>
              <w:pStyle w:val="TableHeaderCenter"/>
              <w:spacing w:before="80" w:after="40"/>
            </w:pPr>
            <w:r w:rsidRPr="00432E0D">
              <w:t xml:space="preserve">Students </w:t>
            </w:r>
            <w:r>
              <w:t xml:space="preserve">with an IEP </w:t>
            </w:r>
            <w:r w:rsidRPr="00432E0D">
              <w:t xml:space="preserve">Ages 13 </w:t>
            </w:r>
            <w:r>
              <w:t>t</w:t>
            </w:r>
            <w:r w:rsidRPr="00432E0D">
              <w:t xml:space="preserve">o 16 </w:t>
            </w:r>
            <w:r>
              <w:t>i</w:t>
            </w:r>
            <w:r w:rsidRPr="00432E0D">
              <w:t>n 2001</w:t>
            </w:r>
          </w:p>
        </w:tc>
        <w:tc>
          <w:tcPr>
            <w:tcW w:w="1141" w:type="pct"/>
            <w:tcBorders>
              <w:top w:val="single" w:sz="2" w:space="0" w:color="auto"/>
            </w:tcBorders>
            <w:vAlign w:val="bottom"/>
          </w:tcPr>
          <w:p w:rsidR="005B05A6" w:rsidRPr="00432E0D" w:rsidRDefault="005B05A6" w:rsidP="00A00D1B">
            <w:pPr>
              <w:pStyle w:val="TableHeaderCenter"/>
              <w:spacing w:before="80" w:after="40"/>
            </w:pPr>
            <w:r w:rsidRPr="00432E0D">
              <w:t xml:space="preserve">Students </w:t>
            </w:r>
            <w:r>
              <w:t xml:space="preserve">with an IEP </w:t>
            </w:r>
            <w:r w:rsidRPr="00432E0D">
              <w:t xml:space="preserve">Ages 13 </w:t>
            </w:r>
            <w:r>
              <w:t>t</w:t>
            </w:r>
            <w:r w:rsidRPr="00432E0D">
              <w:t xml:space="preserve">o 16 </w:t>
            </w:r>
            <w:r>
              <w:t>i</w:t>
            </w:r>
            <w:r w:rsidRPr="00432E0D">
              <w:t>n 2011</w:t>
            </w:r>
          </w:p>
        </w:tc>
      </w:tr>
      <w:tr w:rsidR="005B05A6" w:rsidRPr="00432E0D" w:rsidTr="00A00D1B">
        <w:tc>
          <w:tcPr>
            <w:tcW w:w="5000" w:type="pct"/>
            <w:gridSpan w:val="4"/>
          </w:tcPr>
          <w:p w:rsidR="005B05A6" w:rsidRPr="00432E0D" w:rsidRDefault="005B05A6" w:rsidP="00A00D1B">
            <w:pPr>
              <w:pStyle w:val="TableText"/>
              <w:spacing w:before="120" w:after="60"/>
            </w:pPr>
            <w:r w:rsidRPr="00432E0D">
              <w:rPr>
                <w:b/>
              </w:rPr>
              <w:t>Youth and Family Characteristics</w:t>
            </w:r>
          </w:p>
        </w:tc>
      </w:tr>
      <w:tr w:rsidR="005B05A6" w:rsidRPr="00432E0D" w:rsidTr="00A00D1B">
        <w:tc>
          <w:tcPr>
            <w:tcW w:w="1625" w:type="pct"/>
          </w:tcPr>
          <w:p w:rsidR="005B05A6" w:rsidRPr="00432E0D" w:rsidRDefault="005B05A6" w:rsidP="00A00D1B">
            <w:pPr>
              <w:pStyle w:val="TableText"/>
              <w:ind w:left="187" w:hanging="187"/>
            </w:pPr>
            <w:r w:rsidRPr="00432E0D">
              <w:t>Youth characteristics</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ind w:left="187" w:hanging="187"/>
            </w:pPr>
            <w:r w:rsidRPr="00432E0D">
              <w:t>Household characteristics</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ind w:left="187" w:hanging="187"/>
            </w:pPr>
            <w:r w:rsidRPr="00432E0D">
              <w:t>Disability profiles</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ind w:left="187" w:hanging="187"/>
            </w:pPr>
            <w:r w:rsidRPr="00432E0D">
              <w:t xml:space="preserve">Functional abilities of youth </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ind w:left="187" w:hanging="187"/>
            </w:pPr>
            <w:r w:rsidRPr="00432E0D">
              <w:t>Daily living and social skills</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ind w:left="187" w:hanging="187"/>
              <w:rPr>
                <w:color w:val="000000"/>
              </w:rPr>
            </w:pPr>
            <w:r w:rsidRPr="00432E0D">
              <w:rPr>
                <w:color w:val="000000"/>
              </w:rPr>
              <w:t>Postsecondary expectations</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spacing w:before="120" w:after="60"/>
            </w:pPr>
            <w:r w:rsidRPr="00432E0D">
              <w:rPr>
                <w:b/>
              </w:rPr>
              <w:t xml:space="preserve">School Program, </w:t>
            </w:r>
            <w:r>
              <w:rPr>
                <w:b/>
              </w:rPr>
              <w:t xml:space="preserve">Activities, </w:t>
            </w:r>
            <w:r w:rsidRPr="00432E0D">
              <w:rPr>
                <w:b/>
              </w:rPr>
              <w:t>Services, Accommodations</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ind w:left="187" w:hanging="187"/>
            </w:pPr>
            <w:r w:rsidRPr="00432E0D">
              <w:t>Education history</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ind w:left="187" w:hanging="187"/>
            </w:pPr>
            <w:r w:rsidRPr="00432E0D">
              <w:t xml:space="preserve">Types of school(s) attended </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ind w:left="187" w:hanging="187"/>
            </w:pPr>
            <w:r w:rsidRPr="00432E0D">
              <w:t>School policies, environment</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ind w:left="187" w:hanging="187"/>
            </w:pPr>
            <w:r w:rsidRPr="00432E0D">
              <w:t>Courses completed (subject, general education, special education)</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ind w:left="187" w:hanging="187"/>
            </w:pPr>
            <w:r w:rsidRPr="00432E0D">
              <w:t xml:space="preserve">Instructional approach, setting </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ind w:left="187" w:hanging="187"/>
            </w:pPr>
            <w:r w:rsidRPr="00432E0D">
              <w:t>Youth classroom participation</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ind w:left="187" w:hanging="187"/>
            </w:pPr>
            <w:r>
              <w:t>Extra-curricular activities</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ind w:left="187" w:hanging="187"/>
            </w:pPr>
            <w:r w:rsidRPr="00432E0D">
              <w:t xml:space="preserve">Services, supports, accommodations </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keepNext/>
              <w:ind w:left="187" w:hanging="187"/>
              <w:rPr>
                <w:color w:val="000000"/>
              </w:rPr>
            </w:pPr>
            <w:r w:rsidRPr="00432E0D">
              <w:rPr>
                <w:color w:val="000000"/>
              </w:rPr>
              <w:lastRenderedPageBreak/>
              <w:t xml:space="preserve">IEP development, transition planning, career exploration </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keepNext/>
              <w:ind w:left="187" w:hanging="187"/>
              <w:rPr>
                <w:color w:val="000000"/>
              </w:rPr>
            </w:pPr>
            <w:r w:rsidRPr="00432E0D">
              <w:rPr>
                <w:color w:val="000000"/>
              </w:rPr>
              <w:t>Assistance applying to postsecondary programs and jobs</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tabs>
                <w:tab w:val="left" w:pos="2361"/>
              </w:tabs>
              <w:spacing w:before="120" w:after="60"/>
              <w:ind w:left="187" w:hanging="187"/>
              <w:rPr>
                <w:b/>
              </w:rPr>
            </w:pPr>
            <w:r w:rsidRPr="00432E0D">
              <w:rPr>
                <w:b/>
              </w:rPr>
              <w:t>Youth Outcomes</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ind w:left="187" w:hanging="187"/>
            </w:pPr>
            <w:r w:rsidRPr="00432E0D">
              <w:t>Attendance and engagement</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ind w:left="187" w:hanging="187"/>
            </w:pPr>
            <w:r w:rsidRPr="00432E0D">
              <w:t xml:space="preserve">Grades, test scores </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ind w:left="187" w:hanging="187"/>
            </w:pPr>
            <w:r>
              <w:t>High school completion</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ind w:left="187" w:hanging="187"/>
            </w:pPr>
            <w:r w:rsidRPr="00432E0D">
              <w:t>Postsecondary education, training</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ind w:left="187" w:hanging="187"/>
            </w:pPr>
            <w:r w:rsidRPr="00432E0D">
              <w:t>Employment and earnings</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ind w:left="187" w:hanging="187"/>
            </w:pPr>
            <w:r w:rsidRPr="00432E0D">
              <w:t xml:space="preserve">Receipt of Social Security Insurance, health insurance, other benefits </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Pr>
          <w:p w:rsidR="005B05A6" w:rsidRPr="00432E0D" w:rsidRDefault="005B05A6" w:rsidP="00A00D1B">
            <w:pPr>
              <w:pStyle w:val="TableText"/>
              <w:ind w:left="187" w:hanging="187"/>
            </w:pPr>
            <w:r w:rsidRPr="00432E0D">
              <w:t>Social adjustment and independence</w:t>
            </w:r>
          </w:p>
        </w:tc>
        <w:tc>
          <w:tcPr>
            <w:tcW w:w="1141" w:type="pct"/>
          </w:tcPr>
          <w:p w:rsidR="005B05A6" w:rsidRPr="00432E0D" w:rsidRDefault="005B05A6" w:rsidP="00A00D1B">
            <w:pPr>
              <w:pStyle w:val="TableText"/>
            </w:pPr>
          </w:p>
        </w:tc>
        <w:tc>
          <w:tcPr>
            <w:tcW w:w="1093" w:type="pct"/>
          </w:tcPr>
          <w:p w:rsidR="005B05A6" w:rsidRPr="00432E0D" w:rsidRDefault="005B05A6" w:rsidP="00A00D1B">
            <w:pPr>
              <w:pStyle w:val="TableText"/>
            </w:pPr>
          </w:p>
        </w:tc>
        <w:tc>
          <w:tcPr>
            <w:tcW w:w="1141" w:type="pct"/>
          </w:tcPr>
          <w:p w:rsidR="005B05A6" w:rsidRPr="00432E0D" w:rsidRDefault="005B05A6" w:rsidP="00A00D1B">
            <w:pPr>
              <w:pStyle w:val="TableText"/>
            </w:pPr>
          </w:p>
        </w:tc>
      </w:tr>
      <w:tr w:rsidR="005B05A6" w:rsidRPr="00432E0D" w:rsidTr="00A00D1B">
        <w:tc>
          <w:tcPr>
            <w:tcW w:w="1625" w:type="pct"/>
            <w:tcBorders>
              <w:bottom w:val="single" w:sz="4" w:space="0" w:color="auto"/>
            </w:tcBorders>
          </w:tcPr>
          <w:p w:rsidR="005B05A6" w:rsidRPr="00432E0D" w:rsidRDefault="005B05A6" w:rsidP="00A00D1B">
            <w:pPr>
              <w:pStyle w:val="TableText"/>
              <w:ind w:left="187" w:hanging="187"/>
            </w:pPr>
            <w:r w:rsidRPr="00452682">
              <w:t>Arrests, incarceration</w:t>
            </w:r>
            <w:r w:rsidRPr="00432E0D">
              <w:t xml:space="preserve"> </w:t>
            </w:r>
          </w:p>
        </w:tc>
        <w:tc>
          <w:tcPr>
            <w:tcW w:w="1141" w:type="pct"/>
            <w:tcBorders>
              <w:bottom w:val="single" w:sz="4" w:space="0" w:color="auto"/>
            </w:tcBorders>
          </w:tcPr>
          <w:p w:rsidR="005B05A6" w:rsidRPr="00432E0D" w:rsidRDefault="005B05A6" w:rsidP="00A00D1B">
            <w:pPr>
              <w:pStyle w:val="TableText"/>
            </w:pPr>
          </w:p>
        </w:tc>
        <w:tc>
          <w:tcPr>
            <w:tcW w:w="1093" w:type="pct"/>
            <w:tcBorders>
              <w:bottom w:val="single" w:sz="4" w:space="0" w:color="auto"/>
            </w:tcBorders>
          </w:tcPr>
          <w:p w:rsidR="005B05A6" w:rsidRPr="00432E0D" w:rsidRDefault="005B05A6" w:rsidP="00A00D1B">
            <w:pPr>
              <w:pStyle w:val="TableText"/>
            </w:pPr>
          </w:p>
        </w:tc>
        <w:tc>
          <w:tcPr>
            <w:tcW w:w="1141" w:type="pct"/>
            <w:tcBorders>
              <w:bottom w:val="single" w:sz="4" w:space="0" w:color="auto"/>
            </w:tcBorders>
          </w:tcPr>
          <w:p w:rsidR="005B05A6" w:rsidRPr="00432E0D" w:rsidRDefault="005B05A6" w:rsidP="00A00D1B">
            <w:pPr>
              <w:pStyle w:val="TableText"/>
            </w:pPr>
          </w:p>
        </w:tc>
      </w:tr>
      <w:tr w:rsidR="005B05A6" w:rsidRPr="00432E0D" w:rsidTr="00A00D1B">
        <w:tc>
          <w:tcPr>
            <w:tcW w:w="1625" w:type="pct"/>
            <w:tcBorders>
              <w:top w:val="single" w:sz="4" w:space="0" w:color="auto"/>
              <w:bottom w:val="single" w:sz="4" w:space="0" w:color="auto"/>
            </w:tcBorders>
          </w:tcPr>
          <w:p w:rsidR="005B05A6" w:rsidRPr="00D17C09" w:rsidRDefault="005B05A6" w:rsidP="00A00D1B">
            <w:pPr>
              <w:pStyle w:val="TableText"/>
              <w:spacing w:before="120" w:after="60"/>
              <w:ind w:left="187" w:hanging="187"/>
              <w:rPr>
                <w:b/>
              </w:rPr>
            </w:pPr>
            <w:proofErr w:type="spellStart"/>
            <w:r w:rsidRPr="00B005AC">
              <w:rPr>
                <w:b/>
              </w:rPr>
              <w:t>Unweighted</w:t>
            </w:r>
            <w:proofErr w:type="spellEnd"/>
            <w:r w:rsidRPr="00B005AC">
              <w:rPr>
                <w:b/>
              </w:rPr>
              <w:t xml:space="preserve"> Sample Size</w:t>
            </w:r>
          </w:p>
        </w:tc>
        <w:tc>
          <w:tcPr>
            <w:tcW w:w="1141" w:type="pct"/>
            <w:tcBorders>
              <w:top w:val="single" w:sz="4" w:space="0" w:color="auto"/>
              <w:bottom w:val="single" w:sz="4" w:space="0" w:color="auto"/>
            </w:tcBorders>
          </w:tcPr>
          <w:p w:rsidR="005B05A6" w:rsidRPr="00432E0D" w:rsidRDefault="005B05A6" w:rsidP="00A00D1B">
            <w:pPr>
              <w:pStyle w:val="TableText"/>
              <w:spacing w:before="120" w:after="60"/>
            </w:pPr>
          </w:p>
        </w:tc>
        <w:tc>
          <w:tcPr>
            <w:tcW w:w="1093" w:type="pct"/>
            <w:tcBorders>
              <w:top w:val="single" w:sz="4" w:space="0" w:color="auto"/>
              <w:bottom w:val="single" w:sz="4" w:space="0" w:color="auto"/>
            </w:tcBorders>
          </w:tcPr>
          <w:p w:rsidR="005B05A6" w:rsidRPr="00432E0D" w:rsidRDefault="005B05A6" w:rsidP="00A00D1B">
            <w:pPr>
              <w:pStyle w:val="TableText"/>
              <w:spacing w:before="120" w:after="60"/>
            </w:pPr>
          </w:p>
        </w:tc>
        <w:tc>
          <w:tcPr>
            <w:tcW w:w="1141" w:type="pct"/>
            <w:tcBorders>
              <w:top w:val="single" w:sz="4" w:space="0" w:color="auto"/>
              <w:bottom w:val="single" w:sz="4" w:space="0" w:color="auto"/>
            </w:tcBorders>
          </w:tcPr>
          <w:p w:rsidR="005B05A6" w:rsidRPr="00432E0D" w:rsidRDefault="005B05A6" w:rsidP="00A00D1B">
            <w:pPr>
              <w:pStyle w:val="TableText"/>
              <w:spacing w:before="120" w:after="60"/>
            </w:pPr>
          </w:p>
        </w:tc>
      </w:tr>
    </w:tbl>
    <w:p w:rsidR="005B05A6" w:rsidRDefault="005B05A6" w:rsidP="005B05A6">
      <w:pPr>
        <w:tabs>
          <w:tab w:val="clear" w:pos="432"/>
        </w:tabs>
        <w:autoSpaceDE w:val="0"/>
        <w:autoSpaceDN w:val="0"/>
        <w:adjustRightInd w:val="0"/>
        <w:spacing w:line="240" w:lineRule="auto"/>
        <w:ind w:firstLine="0"/>
        <w:jc w:val="left"/>
        <w:rPr>
          <w:b/>
          <w:bCs/>
        </w:rPr>
      </w:pPr>
    </w:p>
    <w:p w:rsidR="00586189" w:rsidRDefault="00586189" w:rsidP="00586189">
      <w:pPr>
        <w:pStyle w:val="NormalSS"/>
      </w:pPr>
      <w:r>
        <w:t xml:space="preserve">Because the three NLTS studies differ in sample (student age range) and data collection design (elapsed time between the sample selection and data collection, and so on), isolating cross-cohort samples requires careful consideration of these design features to facilitate the most valid inferences. One concern is that, to compare high school completion between NLTS 2012 and NLTS2 for students sampled at the same ages, we would need to wait at least five years until </w:t>
      </w:r>
      <w:r w:rsidRPr="001939C2">
        <w:t>NLTS 2012 13- to 16-year-olds have an opportunity to graduate. To obtain comparative information on high school completion using NLTS2 data just two years after the NLTS 2012 baseline, we can compare the NLTS2 youth who were 17 to 20 and completed the NLTS2 Wave 3 data collection in spring 2005 with similar age youth who complete the NLTS 2012 survey in spring 2014.  However, because the NLTS2 youth were originally sampled at earlier ages (13–16) than the NLTS 2012 youth (15–18), it will be important to restrict the comparison to the NLTS2 students who were also still enrolled in school at ages 15–18 and to remove from the</w:t>
      </w:r>
      <w:r>
        <w:t xml:space="preserve"> analysis sample students who had left school before spring 2003. </w:t>
      </w:r>
    </w:p>
    <w:p w:rsidR="005B05A6" w:rsidRDefault="00586189" w:rsidP="00586189">
      <w:pPr>
        <w:pStyle w:val="NormalSS"/>
      </w:pPr>
      <w:r>
        <w:t>We would need to apply a similar adjustment when comparing any data across youth surveys, since NLTS2 did not survey youth until Wave 2 of the study. Specifically we could compare the youth responding to Wave 2 of NLTS2 who were still in school with the youth responding to the Wave 1 NLTS 2012 baseline youth survey.</w:t>
      </w:r>
    </w:p>
    <w:p w:rsidR="005B05A6" w:rsidRDefault="005B05A6" w:rsidP="005B05A6">
      <w:pPr>
        <w:pStyle w:val="NormalSS"/>
      </w:pPr>
    </w:p>
    <w:p w:rsidR="00586189" w:rsidRDefault="00586189">
      <w:pPr>
        <w:tabs>
          <w:tab w:val="clear" w:pos="432"/>
        </w:tabs>
        <w:spacing w:line="240" w:lineRule="auto"/>
        <w:ind w:firstLine="0"/>
        <w:jc w:val="left"/>
        <w:rPr>
          <w:b/>
        </w:rPr>
      </w:pPr>
      <w:r>
        <w:rPr>
          <w:b/>
        </w:rPr>
        <w:br w:type="page"/>
      </w:r>
    </w:p>
    <w:p w:rsidR="005B05A6" w:rsidRPr="00432E0D" w:rsidRDefault="005B05A6" w:rsidP="005B05A6">
      <w:pPr>
        <w:pStyle w:val="NormalSS"/>
        <w:ind w:firstLine="0"/>
        <w:rPr>
          <w:b/>
        </w:rPr>
      </w:pPr>
      <w:r w:rsidRPr="00432E0D">
        <w:rPr>
          <w:b/>
        </w:rPr>
        <w:lastRenderedPageBreak/>
        <w:t>Study Schedule</w:t>
      </w:r>
    </w:p>
    <w:p w:rsidR="005B05A6" w:rsidRPr="00432E0D" w:rsidRDefault="005B05A6" w:rsidP="005B05A6">
      <w:pPr>
        <w:pStyle w:val="NormalSS"/>
      </w:pPr>
      <w:r>
        <w:t>Table A.8</w:t>
      </w:r>
      <w:r w:rsidRPr="00432E0D">
        <w:t xml:space="preserve"> summarizes the schedule for OMB clearance, sample selection, baseline data collection, follow-up data collection, and production of the baseline and follow-up reports. </w:t>
      </w:r>
    </w:p>
    <w:p w:rsidR="005B05A6" w:rsidRPr="00432E0D" w:rsidRDefault="005B05A6" w:rsidP="005B05A6">
      <w:pPr>
        <w:pStyle w:val="MarkforTableHeading"/>
      </w:pPr>
      <w:r>
        <w:t xml:space="preserve">Table A.8. </w:t>
      </w:r>
      <w:r w:rsidRPr="00432E0D">
        <w:t>NLTS Timeline for Data Collection and Reporting</w:t>
      </w:r>
    </w:p>
    <w:tbl>
      <w:tblPr>
        <w:tblStyle w:val="SMPRTableBlack"/>
        <w:tblW w:w="5000" w:type="pct"/>
        <w:tblInd w:w="0" w:type="dxa"/>
        <w:tblLook w:val="04A0"/>
      </w:tblPr>
      <w:tblGrid>
        <w:gridCol w:w="5058"/>
        <w:gridCol w:w="4518"/>
      </w:tblGrid>
      <w:tr w:rsidR="005B05A6" w:rsidRPr="00432E0D" w:rsidTr="00A00D1B">
        <w:trPr>
          <w:cnfStyle w:val="100000000000"/>
        </w:trPr>
        <w:tc>
          <w:tcPr>
            <w:tcW w:w="2641" w:type="pct"/>
            <w:tcBorders>
              <w:top w:val="single" w:sz="2" w:space="0" w:color="auto"/>
            </w:tcBorders>
          </w:tcPr>
          <w:p w:rsidR="005B05A6" w:rsidRPr="00432E0D" w:rsidRDefault="005B05A6" w:rsidP="00A00D1B">
            <w:pPr>
              <w:pStyle w:val="TableHeaderLeft"/>
            </w:pPr>
            <w:r w:rsidRPr="00432E0D">
              <w:t>Study Milestone</w:t>
            </w:r>
          </w:p>
        </w:tc>
        <w:tc>
          <w:tcPr>
            <w:tcW w:w="2359" w:type="pct"/>
            <w:tcBorders>
              <w:top w:val="single" w:sz="2" w:space="0" w:color="auto"/>
            </w:tcBorders>
          </w:tcPr>
          <w:p w:rsidR="005B05A6" w:rsidRPr="00432E0D" w:rsidRDefault="005B05A6" w:rsidP="00A00D1B">
            <w:pPr>
              <w:pStyle w:val="TableHeaderCenter"/>
            </w:pPr>
            <w:r w:rsidRPr="00432E0D">
              <w:t>Milestone Date/Period of Activity</w:t>
            </w:r>
          </w:p>
        </w:tc>
      </w:tr>
      <w:tr w:rsidR="005B05A6" w:rsidRPr="00432E0D" w:rsidTr="00A00D1B">
        <w:tc>
          <w:tcPr>
            <w:tcW w:w="2641" w:type="pct"/>
          </w:tcPr>
          <w:p w:rsidR="005B05A6" w:rsidRPr="00432E0D" w:rsidRDefault="005B05A6" w:rsidP="00A00D1B">
            <w:pPr>
              <w:pStyle w:val="TableText"/>
              <w:spacing w:before="60" w:after="60"/>
            </w:pPr>
            <w:r w:rsidRPr="00432E0D">
              <w:t>Submit OMB clearance for study and sample selection</w:t>
            </w:r>
          </w:p>
        </w:tc>
        <w:tc>
          <w:tcPr>
            <w:tcW w:w="2359" w:type="pct"/>
          </w:tcPr>
          <w:p w:rsidR="005B05A6" w:rsidRPr="00432E0D" w:rsidRDefault="005B05A6" w:rsidP="00A00D1B">
            <w:pPr>
              <w:pStyle w:val="TableText"/>
              <w:spacing w:before="60" w:after="60"/>
              <w:ind w:left="702"/>
            </w:pPr>
            <w:r w:rsidRPr="00432E0D">
              <w:t>February 1, 2011</w:t>
            </w:r>
          </w:p>
        </w:tc>
      </w:tr>
      <w:tr w:rsidR="005B05A6" w:rsidRPr="00432E0D" w:rsidTr="00A00D1B">
        <w:tc>
          <w:tcPr>
            <w:tcW w:w="2641" w:type="pct"/>
          </w:tcPr>
          <w:p w:rsidR="005B05A6" w:rsidRPr="00432E0D" w:rsidRDefault="005B05A6" w:rsidP="00A00D1B">
            <w:pPr>
              <w:pStyle w:val="TableText"/>
              <w:spacing w:before="60" w:after="60"/>
            </w:pPr>
            <w:r w:rsidRPr="00432E0D">
              <w:t>Select and recruit districts</w:t>
            </w:r>
          </w:p>
        </w:tc>
        <w:tc>
          <w:tcPr>
            <w:tcW w:w="2359" w:type="pct"/>
          </w:tcPr>
          <w:p w:rsidR="005B05A6" w:rsidRPr="00432E0D" w:rsidRDefault="005B05A6" w:rsidP="00A00D1B">
            <w:pPr>
              <w:pStyle w:val="TableText"/>
              <w:spacing w:before="60" w:after="60"/>
              <w:ind w:left="702"/>
            </w:pPr>
            <w:r w:rsidRPr="00E83C3A">
              <w:t>May 31, 2011–December 31, 2011</w:t>
            </w:r>
          </w:p>
        </w:tc>
      </w:tr>
      <w:tr w:rsidR="005B05A6" w:rsidRPr="00432E0D" w:rsidTr="00A00D1B">
        <w:tc>
          <w:tcPr>
            <w:tcW w:w="2641" w:type="pct"/>
          </w:tcPr>
          <w:p w:rsidR="005B05A6" w:rsidRPr="00432E0D" w:rsidRDefault="005B05A6" w:rsidP="00A00D1B">
            <w:pPr>
              <w:pStyle w:val="TableText"/>
              <w:spacing w:before="60" w:after="60"/>
            </w:pPr>
            <w:r w:rsidRPr="00432E0D">
              <w:t>Select student samples</w:t>
            </w:r>
          </w:p>
        </w:tc>
        <w:tc>
          <w:tcPr>
            <w:tcW w:w="2359" w:type="pct"/>
          </w:tcPr>
          <w:p w:rsidR="005B05A6" w:rsidRPr="00432E0D" w:rsidRDefault="005B05A6" w:rsidP="00A00D1B">
            <w:pPr>
              <w:pStyle w:val="TableText"/>
              <w:spacing w:before="60" w:after="60"/>
              <w:ind w:left="702"/>
            </w:pPr>
            <w:r w:rsidRPr="00432E0D">
              <w:t>October 1, 2011–February 2012</w:t>
            </w:r>
          </w:p>
        </w:tc>
      </w:tr>
      <w:tr w:rsidR="005B05A6" w:rsidRPr="00432E0D" w:rsidTr="00A00D1B">
        <w:tc>
          <w:tcPr>
            <w:tcW w:w="2641" w:type="pct"/>
          </w:tcPr>
          <w:p w:rsidR="005B05A6" w:rsidRPr="00432E0D" w:rsidRDefault="005B05A6" w:rsidP="00A00D1B">
            <w:pPr>
              <w:pStyle w:val="TableText"/>
              <w:spacing w:before="60" w:after="60"/>
            </w:pPr>
            <w:r w:rsidRPr="00432E0D">
              <w:t>Submit OMB clearance for baseline data collection</w:t>
            </w:r>
          </w:p>
        </w:tc>
        <w:tc>
          <w:tcPr>
            <w:tcW w:w="2359" w:type="pct"/>
          </w:tcPr>
          <w:p w:rsidR="005B05A6" w:rsidRPr="00432E0D" w:rsidRDefault="005B05A6" w:rsidP="00A00D1B">
            <w:pPr>
              <w:pStyle w:val="TableText"/>
              <w:spacing w:before="60" w:after="60"/>
              <w:ind w:left="702"/>
            </w:pPr>
            <w:r w:rsidRPr="00E83C3A">
              <w:t>July 15, 2011</w:t>
            </w:r>
          </w:p>
        </w:tc>
      </w:tr>
      <w:tr w:rsidR="005B05A6" w:rsidRPr="00432E0D" w:rsidTr="00A00D1B">
        <w:tc>
          <w:tcPr>
            <w:tcW w:w="2641" w:type="pct"/>
          </w:tcPr>
          <w:p w:rsidR="005B05A6" w:rsidRPr="00432E0D" w:rsidRDefault="005B05A6" w:rsidP="00A00D1B">
            <w:pPr>
              <w:pStyle w:val="TableText"/>
              <w:spacing w:before="60" w:after="60"/>
            </w:pPr>
            <w:r>
              <w:t>OMB approval</w:t>
            </w:r>
          </w:p>
        </w:tc>
        <w:tc>
          <w:tcPr>
            <w:tcW w:w="2359" w:type="pct"/>
          </w:tcPr>
          <w:p w:rsidR="005B05A6" w:rsidRPr="00E83C3A" w:rsidRDefault="005B05A6" w:rsidP="00A00D1B">
            <w:pPr>
              <w:pStyle w:val="TableText"/>
              <w:spacing w:before="60" w:after="60"/>
              <w:ind w:left="702"/>
            </w:pPr>
            <w:r>
              <w:t>December 15, 2011</w:t>
            </w:r>
          </w:p>
        </w:tc>
      </w:tr>
      <w:tr w:rsidR="005B05A6" w:rsidRPr="00432E0D" w:rsidTr="00A00D1B">
        <w:tc>
          <w:tcPr>
            <w:tcW w:w="2641" w:type="pct"/>
          </w:tcPr>
          <w:p w:rsidR="005B05A6" w:rsidRPr="00432E0D" w:rsidRDefault="005B05A6" w:rsidP="00A00D1B">
            <w:pPr>
              <w:pStyle w:val="TableText"/>
              <w:spacing w:before="60" w:after="60"/>
            </w:pPr>
            <w:r w:rsidRPr="00432E0D">
              <w:t>Secure consent; collect baseline data</w:t>
            </w:r>
          </w:p>
        </w:tc>
        <w:tc>
          <w:tcPr>
            <w:tcW w:w="2359" w:type="pct"/>
          </w:tcPr>
          <w:p w:rsidR="005B05A6" w:rsidRPr="00432E0D" w:rsidRDefault="005B05A6" w:rsidP="00A00D1B">
            <w:pPr>
              <w:pStyle w:val="TableText"/>
              <w:spacing w:before="60" w:after="60"/>
              <w:ind w:left="702"/>
            </w:pPr>
            <w:r w:rsidRPr="00E83C3A">
              <w:t>January 15, 2012–June 30, 2012</w:t>
            </w:r>
          </w:p>
        </w:tc>
      </w:tr>
      <w:tr w:rsidR="005B05A6" w:rsidRPr="00432E0D" w:rsidTr="00A00D1B">
        <w:tc>
          <w:tcPr>
            <w:tcW w:w="2641" w:type="pct"/>
          </w:tcPr>
          <w:p w:rsidR="005B05A6" w:rsidRPr="00432E0D" w:rsidRDefault="005B05A6" w:rsidP="00A00D1B">
            <w:pPr>
              <w:pStyle w:val="TableText"/>
              <w:spacing w:before="60" w:after="60"/>
            </w:pPr>
            <w:r w:rsidRPr="00432E0D">
              <w:t xml:space="preserve">Publish report on baseline data </w:t>
            </w:r>
          </w:p>
        </w:tc>
        <w:tc>
          <w:tcPr>
            <w:tcW w:w="2359" w:type="pct"/>
          </w:tcPr>
          <w:p w:rsidR="005B05A6" w:rsidRPr="00432E0D" w:rsidRDefault="005B05A6" w:rsidP="00A00D1B">
            <w:pPr>
              <w:pStyle w:val="TableText"/>
              <w:spacing w:before="60" w:after="60"/>
              <w:ind w:left="702"/>
            </w:pPr>
            <w:r w:rsidRPr="00432E0D">
              <w:t>July 31, 2013</w:t>
            </w:r>
          </w:p>
        </w:tc>
      </w:tr>
      <w:tr w:rsidR="005B05A6" w:rsidRPr="00432E0D" w:rsidTr="00A00D1B">
        <w:tc>
          <w:tcPr>
            <w:tcW w:w="2641" w:type="pct"/>
          </w:tcPr>
          <w:p w:rsidR="005B05A6" w:rsidRPr="00432E0D" w:rsidRDefault="005B05A6" w:rsidP="00A00D1B">
            <w:pPr>
              <w:pStyle w:val="TableText"/>
              <w:spacing w:before="60" w:after="60"/>
            </w:pPr>
            <w:r w:rsidRPr="00432E0D">
              <w:t>Submit OMB clearance for first follow-up data collection</w:t>
            </w:r>
          </w:p>
        </w:tc>
        <w:tc>
          <w:tcPr>
            <w:tcW w:w="2359" w:type="pct"/>
          </w:tcPr>
          <w:p w:rsidR="005B05A6" w:rsidRPr="00432E0D" w:rsidRDefault="005B05A6" w:rsidP="00A00D1B">
            <w:pPr>
              <w:pStyle w:val="TableText"/>
              <w:spacing w:before="60" w:after="60"/>
              <w:ind w:left="702"/>
            </w:pPr>
            <w:r w:rsidRPr="00432E0D">
              <w:t>May 15, 2013</w:t>
            </w:r>
          </w:p>
        </w:tc>
      </w:tr>
      <w:tr w:rsidR="005B05A6" w:rsidRPr="00432E0D" w:rsidTr="00A00D1B">
        <w:tc>
          <w:tcPr>
            <w:tcW w:w="2641" w:type="pct"/>
          </w:tcPr>
          <w:p w:rsidR="005B05A6" w:rsidRPr="00432E0D" w:rsidRDefault="005B05A6" w:rsidP="00A00D1B">
            <w:pPr>
              <w:pStyle w:val="TableText"/>
              <w:spacing w:before="60" w:after="60"/>
            </w:pPr>
            <w:r w:rsidRPr="00432E0D">
              <w:t>Collect first follow-up data</w:t>
            </w:r>
          </w:p>
        </w:tc>
        <w:tc>
          <w:tcPr>
            <w:tcW w:w="2359" w:type="pct"/>
          </w:tcPr>
          <w:p w:rsidR="005B05A6" w:rsidRPr="00432E0D" w:rsidRDefault="005B05A6" w:rsidP="00A00D1B">
            <w:pPr>
              <w:pStyle w:val="TableText"/>
              <w:spacing w:before="60" w:after="60"/>
              <w:ind w:left="702"/>
            </w:pPr>
            <w:r w:rsidRPr="00432E0D">
              <w:t>January 1, 2013–June 30, 2014</w:t>
            </w:r>
          </w:p>
        </w:tc>
      </w:tr>
      <w:tr w:rsidR="005B05A6" w:rsidRPr="00432E0D" w:rsidTr="00A00D1B">
        <w:tc>
          <w:tcPr>
            <w:tcW w:w="2641" w:type="pct"/>
          </w:tcPr>
          <w:p w:rsidR="005B05A6" w:rsidRPr="00432E0D" w:rsidRDefault="005B05A6" w:rsidP="00A00D1B">
            <w:pPr>
              <w:pStyle w:val="TableText"/>
              <w:spacing w:before="60" w:after="60"/>
            </w:pPr>
            <w:r w:rsidRPr="00432E0D">
              <w:t>Publish first follow-up report</w:t>
            </w:r>
          </w:p>
        </w:tc>
        <w:tc>
          <w:tcPr>
            <w:tcW w:w="2359" w:type="pct"/>
          </w:tcPr>
          <w:p w:rsidR="005B05A6" w:rsidRPr="00432E0D" w:rsidRDefault="005B05A6" w:rsidP="00A00D1B">
            <w:pPr>
              <w:pStyle w:val="TableText"/>
              <w:spacing w:before="60" w:after="60"/>
              <w:ind w:left="702"/>
            </w:pPr>
            <w:r w:rsidRPr="00432E0D">
              <w:t>July 15, 2015</w:t>
            </w:r>
          </w:p>
        </w:tc>
      </w:tr>
    </w:tbl>
    <w:p w:rsidR="005B05A6" w:rsidRPr="00432E0D" w:rsidRDefault="005B05A6" w:rsidP="005B05A6">
      <w:pPr>
        <w:pStyle w:val="NormalSS12"/>
        <w:spacing w:after="0"/>
      </w:pPr>
    </w:p>
    <w:p w:rsidR="005B05A6" w:rsidRPr="00432E0D" w:rsidRDefault="005B05A6" w:rsidP="005B05A6">
      <w:pPr>
        <w:pStyle w:val="Heading3"/>
      </w:pPr>
      <w:r w:rsidRPr="00432E0D">
        <w:t>17.</w:t>
      </w:r>
      <w:r w:rsidRPr="00432E0D">
        <w:tab/>
        <w:t>Approval Not to Display the Expiration Date for OMB Approval</w:t>
      </w:r>
    </w:p>
    <w:p w:rsidR="005B05A6" w:rsidRPr="00432E0D" w:rsidRDefault="005B05A6" w:rsidP="005B05A6">
      <w:pPr>
        <w:pStyle w:val="NormalSS"/>
      </w:pPr>
      <w:r w:rsidRPr="00432E0D">
        <w:t xml:space="preserve">Approval not to </w:t>
      </w:r>
      <w:r w:rsidRPr="00432E0D">
        <w:rPr>
          <w:bCs/>
        </w:rPr>
        <w:t>display</w:t>
      </w:r>
      <w:r w:rsidRPr="00432E0D">
        <w:t xml:space="preserve"> the expiration date for OMB approval is not requested.</w:t>
      </w:r>
    </w:p>
    <w:p w:rsidR="005B05A6" w:rsidRPr="00432E0D" w:rsidRDefault="005B05A6" w:rsidP="005B05A6">
      <w:pPr>
        <w:pStyle w:val="Heading3"/>
      </w:pPr>
      <w:r w:rsidRPr="00432E0D">
        <w:t>18.</w:t>
      </w:r>
      <w:r w:rsidRPr="00432E0D">
        <w:tab/>
        <w:t>Exception to the Certification Statement</w:t>
      </w:r>
    </w:p>
    <w:p w:rsidR="005B05A6" w:rsidRDefault="005B05A6" w:rsidP="005B05A6">
      <w:pPr>
        <w:pStyle w:val="NormalSS"/>
      </w:pPr>
      <w:r w:rsidRPr="00432E0D">
        <w:t>No exceptions to the certification statement are requested or required.</w:t>
      </w:r>
    </w:p>
    <w:p w:rsidR="005B05A6" w:rsidRDefault="005B05A6" w:rsidP="005B05A6">
      <w:pPr>
        <w:pStyle w:val="NormalSS"/>
        <w:tabs>
          <w:tab w:val="clear" w:pos="432"/>
          <w:tab w:val="right" w:pos="9360"/>
        </w:tabs>
        <w:ind w:firstLine="0"/>
        <w:jc w:val="center"/>
      </w:pPr>
    </w:p>
    <w:p w:rsidR="005B05A6" w:rsidRDefault="005B05A6" w:rsidP="005B05A6">
      <w:pPr>
        <w:pStyle w:val="NormalSS"/>
        <w:tabs>
          <w:tab w:val="clear" w:pos="432"/>
          <w:tab w:val="right" w:pos="9360"/>
        </w:tabs>
        <w:ind w:firstLine="0"/>
        <w:jc w:val="center"/>
        <w:sectPr w:rsidR="005B05A6" w:rsidSect="005D6077">
          <w:footerReference w:type="default" r:id="rId41"/>
          <w:endnotePr>
            <w:numFmt w:val="decimal"/>
          </w:endnotePr>
          <w:pgSz w:w="12240" w:h="15840" w:code="1"/>
          <w:pgMar w:top="1296" w:right="1440" w:bottom="576" w:left="1440" w:header="720" w:footer="441" w:gutter="0"/>
          <w:cols w:space="720"/>
          <w:docGrid w:linePitch="326"/>
        </w:sectPr>
      </w:pPr>
    </w:p>
    <w:p w:rsidR="00F65A42" w:rsidRPr="00F65A42" w:rsidRDefault="00F65A42" w:rsidP="00F65A42">
      <w:pPr>
        <w:pStyle w:val="NormalSS"/>
      </w:pPr>
    </w:p>
    <w:p w:rsidR="00674E90" w:rsidRDefault="00F73571" w:rsidP="000B2C88">
      <w:pPr>
        <w:pStyle w:val="NormalSS"/>
      </w:pPr>
      <w:r>
        <w:pict>
          <v:shapetype id="_x0000_t202" coordsize="21600,21600" o:spt="202" path="m,l,21600r21600,l21600,xe">
            <v:stroke joinstyle="miter"/>
            <v:path gradientshapeok="t" o:connecttype="rect"/>
          </v:shapetype>
          <v:shape id="_x0000_s1031" type="#_x0000_t202" alt="" style="position:absolute;left:0;text-align:left;margin-left:-56.95pt;margin-top:461.25pt;width:581.9pt;height:67.5pt;z-index:251659776" wrapcoords="0 0" filled="f" stroked="f" strokeweight="0">
            <v:textbox style="mso-next-textbox:#_x0000_s1031">
              <w:txbxContent>
                <w:p w:rsidR="00F65A42" w:rsidRPr="000F53E2" w:rsidRDefault="00F65A42" w:rsidP="00F65A42">
                  <w:pPr>
                    <w:tabs>
                      <w:tab w:val="clear" w:pos="432"/>
                    </w:tabs>
                    <w:spacing w:after="200" w:line="264" w:lineRule="auto"/>
                    <w:ind w:firstLine="0"/>
                    <w:jc w:val="center"/>
                    <w:rPr>
                      <w:rFonts w:ascii="Lucida Sans" w:hAnsi="Lucida Sans"/>
                      <w:sz w:val="17"/>
                      <w:szCs w:val="18"/>
                    </w:rPr>
                  </w:pPr>
                  <w:r w:rsidRPr="000F53E2">
                    <w:rPr>
                      <w:rFonts w:ascii="Lucida Sans" w:hAnsi="Lucida Sans"/>
                      <w:sz w:val="17"/>
                      <w:szCs w:val="18"/>
                    </w:rPr>
                    <w:t>Improving public well-being by conducting high-quality, objective research and surveys</w:t>
                  </w:r>
                </w:p>
                <w:p w:rsidR="00F65A42" w:rsidRDefault="00F65A42" w:rsidP="00F65A42">
                  <w:pPr>
                    <w:tabs>
                      <w:tab w:val="clear" w:pos="432"/>
                    </w:tabs>
                    <w:spacing w:line="264" w:lineRule="auto"/>
                    <w:ind w:firstLine="0"/>
                    <w:jc w:val="center"/>
                    <w:rPr>
                      <w:rFonts w:ascii="Lucida Sans" w:hAnsi="Lucida Sans"/>
                      <w:sz w:val="17"/>
                      <w:szCs w:val="18"/>
                    </w:rPr>
                  </w:pPr>
                  <w:r w:rsidRPr="000F53E2">
                    <w:rPr>
                      <w:rFonts w:ascii="Lucida Sans" w:hAnsi="Lucida Sans"/>
                      <w:sz w:val="17"/>
                      <w:szCs w:val="18"/>
                    </w:rPr>
                    <w:t xml:space="preserve">Princeton, NJ  </w:t>
                  </w:r>
                  <w:r w:rsidRPr="000F53E2">
                    <w:rPr>
                      <w:sz w:val="17"/>
                      <w:szCs w:val="16"/>
                    </w:rPr>
                    <w:t>■</w:t>
                  </w:r>
                  <w:r w:rsidRPr="000F53E2">
                    <w:rPr>
                      <w:rFonts w:ascii="Lucida Sans" w:hAnsi="Lucida Sans"/>
                      <w:sz w:val="17"/>
                      <w:szCs w:val="18"/>
                    </w:rPr>
                    <w:t xml:space="preserve">  Ann Arbor, MI  </w:t>
                  </w:r>
                  <w:r w:rsidRPr="000F53E2">
                    <w:rPr>
                      <w:sz w:val="17"/>
                      <w:szCs w:val="18"/>
                    </w:rPr>
                    <w:t>■</w:t>
                  </w:r>
                  <w:r w:rsidRPr="000F53E2">
                    <w:rPr>
                      <w:rFonts w:ascii="Lucida Sans" w:hAnsi="Lucida Sans"/>
                      <w:sz w:val="17"/>
                      <w:szCs w:val="18"/>
                    </w:rPr>
                    <w:t xml:space="preserve">  Cambridge, MA  </w:t>
                  </w:r>
                  <w:r w:rsidRPr="000F53E2">
                    <w:rPr>
                      <w:sz w:val="17"/>
                      <w:szCs w:val="18"/>
                    </w:rPr>
                    <w:t>■</w:t>
                  </w:r>
                  <w:r w:rsidRPr="000F53E2">
                    <w:rPr>
                      <w:rFonts w:ascii="Lucida Sans" w:hAnsi="Lucida Sans"/>
                      <w:sz w:val="17"/>
                      <w:szCs w:val="18"/>
                    </w:rPr>
                    <w:t xml:space="preserve">  Chicago, IL  </w:t>
                  </w:r>
                  <w:r w:rsidRPr="000F53E2">
                    <w:rPr>
                      <w:sz w:val="17"/>
                      <w:szCs w:val="18"/>
                    </w:rPr>
                    <w:t>■</w:t>
                  </w:r>
                  <w:r w:rsidRPr="000F53E2">
                    <w:rPr>
                      <w:rFonts w:ascii="Lucida Sans" w:hAnsi="Lucida Sans"/>
                      <w:sz w:val="17"/>
                      <w:szCs w:val="18"/>
                    </w:rPr>
                    <w:t xml:space="preserve">  Oakland, CA  </w:t>
                  </w:r>
                  <w:r w:rsidRPr="000F53E2">
                    <w:rPr>
                      <w:sz w:val="17"/>
                      <w:szCs w:val="18"/>
                    </w:rPr>
                    <w:t>■</w:t>
                  </w:r>
                  <w:r w:rsidRPr="000F53E2">
                    <w:rPr>
                      <w:rFonts w:ascii="Lucida Sans" w:hAnsi="Lucida Sans"/>
                      <w:sz w:val="17"/>
                      <w:szCs w:val="18"/>
                    </w:rPr>
                    <w:t xml:space="preserve">  Washington, DC</w:t>
                  </w:r>
                </w:p>
                <w:p w:rsidR="00F65A42" w:rsidRDefault="00F65A42" w:rsidP="00F65A42">
                  <w:pPr>
                    <w:tabs>
                      <w:tab w:val="clear" w:pos="432"/>
                    </w:tabs>
                    <w:spacing w:line="264" w:lineRule="auto"/>
                    <w:ind w:firstLine="0"/>
                    <w:jc w:val="center"/>
                    <w:rPr>
                      <w:rFonts w:ascii="Lucida Sans" w:hAnsi="Lucida Sans"/>
                      <w:sz w:val="17"/>
                      <w:szCs w:val="18"/>
                    </w:rPr>
                  </w:pPr>
                </w:p>
                <w:p w:rsidR="00F65A42" w:rsidRPr="000F53E2" w:rsidRDefault="00F65A42" w:rsidP="00F65A42">
                  <w:pPr>
                    <w:tabs>
                      <w:tab w:val="clear" w:pos="432"/>
                    </w:tabs>
                    <w:spacing w:line="264" w:lineRule="auto"/>
                    <w:ind w:firstLine="0"/>
                    <w:jc w:val="center"/>
                    <w:rPr>
                      <w:rFonts w:ascii="Lucida Sans" w:hAnsi="Lucida Sans"/>
                      <w:sz w:val="17"/>
                      <w:szCs w:val="18"/>
                    </w:rPr>
                  </w:pPr>
                  <w:proofErr w:type="spellStart"/>
                  <w:r w:rsidRPr="00D03435">
                    <w:rPr>
                      <w:rFonts w:ascii="Lucida Sans" w:hAnsi="Lucida Sans"/>
                      <w:sz w:val="17"/>
                      <w:szCs w:val="18"/>
                    </w:rPr>
                    <w:t>Mathematica</w:t>
                  </w:r>
                  <w:proofErr w:type="spellEnd"/>
                  <w:r w:rsidRPr="00D03435">
                    <w:rPr>
                      <w:rFonts w:ascii="Lucida Sans" w:hAnsi="Lucida Sans"/>
                      <w:sz w:val="17"/>
                      <w:szCs w:val="18"/>
                    </w:rPr>
                    <w:t xml:space="preserve">® is a registered trademark of </w:t>
                  </w:r>
                  <w:proofErr w:type="spellStart"/>
                  <w:r w:rsidRPr="00D03435">
                    <w:rPr>
                      <w:rFonts w:ascii="Lucida Sans" w:hAnsi="Lucida Sans"/>
                      <w:sz w:val="17"/>
                      <w:szCs w:val="18"/>
                    </w:rPr>
                    <w:t>Mathematica</w:t>
                  </w:r>
                  <w:proofErr w:type="spellEnd"/>
                  <w:r w:rsidRPr="00D03435">
                    <w:rPr>
                      <w:rFonts w:ascii="Lucida Sans" w:hAnsi="Lucida Sans"/>
                      <w:sz w:val="17"/>
                      <w:szCs w:val="18"/>
                    </w:rPr>
                    <w:t xml:space="preserve"> Policy Research</w:t>
                  </w:r>
                </w:p>
              </w:txbxContent>
            </v:textbox>
          </v:shape>
        </w:pict>
      </w:r>
      <w:r>
        <w:pict>
          <v:shape id="_x0000_s1032" type="#_x0000_t202" alt="" style="position:absolute;left:0;text-align:left;margin-left:333.25pt;margin-top:412.55pt;width:154.45pt;height:27.9pt;z-index:-251655680;mso-height-percent:200;mso-position-horizontal-relative:page;mso-position-vertical-relative:page;mso-height-percent:200;mso-width-relative:margin;mso-height-relative:margin" wrapcoords="0 0" filled="f" stroked="f">
            <v:textbox style="mso-next-textbox:#_x0000_s1032;mso-fit-shape-to-text:t">
              <w:txbxContent>
                <w:p w:rsidR="00F65A42" w:rsidRPr="00347DD8" w:rsidRDefault="00F65A42" w:rsidP="00F65A42">
                  <w:pPr>
                    <w:tabs>
                      <w:tab w:val="clear" w:pos="432"/>
                    </w:tabs>
                    <w:ind w:firstLine="0"/>
                    <w:rPr>
                      <w:rFonts w:ascii="Lucida Sans Std" w:hAnsi="Lucida Sans Std"/>
                      <w:b/>
                      <w:sz w:val="18"/>
                      <w:szCs w:val="18"/>
                    </w:rPr>
                  </w:pPr>
                  <w:r w:rsidRPr="00347DD8">
                    <w:rPr>
                      <w:rFonts w:ascii="Lucida Sans Std" w:hAnsi="Lucida Sans Std"/>
                      <w:b/>
                      <w:sz w:val="18"/>
                      <w:szCs w:val="18"/>
                    </w:rPr>
                    <w:t>www.mathematica-mpr.com</w:t>
                  </w:r>
                </w:p>
              </w:txbxContent>
            </v:textbox>
            <w10:wrap type="through" anchorx="page" anchory="margin"/>
          </v:shape>
        </w:pict>
      </w:r>
      <w:r w:rsidR="00F65A42" w:rsidRPr="00F65A42">
        <w:rPr>
          <w:noProof/>
        </w:rPr>
        <w:drawing>
          <wp:anchor distT="0" distB="0" distL="114300" distR="114300" simplePos="0" relativeHeight="251658752" behindDoc="0" locked="1" layoutInCell="1" allowOverlap="1">
            <wp:simplePos x="0" y="0"/>
            <wp:positionH relativeFrom="page">
              <wp:posOffset>4200525</wp:posOffset>
            </wp:positionH>
            <wp:positionV relativeFrom="page">
              <wp:posOffset>4572000</wp:posOffset>
            </wp:positionV>
            <wp:extent cx="1828800" cy="581025"/>
            <wp:effectExtent l="19050" t="0" r="0" b="0"/>
            <wp:wrapThrough wrapText="bothSides">
              <wp:wrapPolygon edited="0">
                <wp:start x="-225" y="0"/>
                <wp:lineTo x="-225" y="21246"/>
                <wp:lineTo x="21600" y="21246"/>
                <wp:lineTo x="21600" y="0"/>
                <wp:lineTo x="-225" y="0"/>
              </wp:wrapPolygon>
            </wp:wrapThrough>
            <wp:docPr id="5" name="Picture 6"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hematica Policy Research logo."/>
                    <pic:cNvPicPr>
                      <a:picLocks noChangeAspect="1" noChangeArrowheads="1"/>
                    </pic:cNvPicPr>
                  </pic:nvPicPr>
                  <pic:blipFill>
                    <a:blip r:embed="rId14" cstate="print"/>
                    <a:srcRect/>
                    <a:stretch>
                      <a:fillRect/>
                    </a:stretch>
                  </pic:blipFill>
                  <pic:spPr bwMode="auto">
                    <a:xfrm>
                      <a:off x="0" y="0"/>
                      <a:ext cx="1828800" cy="581025"/>
                    </a:xfrm>
                    <a:prstGeom prst="rect">
                      <a:avLst/>
                    </a:prstGeom>
                    <a:noFill/>
                  </pic:spPr>
                </pic:pic>
              </a:graphicData>
            </a:graphic>
          </wp:anchor>
        </w:drawing>
      </w:r>
      <w:r w:rsidR="00F65A42" w:rsidRPr="00F65A42">
        <w:rPr>
          <w:noProof/>
        </w:rPr>
        <w:drawing>
          <wp:anchor distT="0" distB="0" distL="114300" distR="114300" simplePos="0" relativeHeight="251657728" behindDoc="0" locked="1" layoutInCell="1" allowOverlap="1">
            <wp:simplePos x="0" y="0"/>
            <wp:positionH relativeFrom="page">
              <wp:posOffset>-27305</wp:posOffset>
            </wp:positionH>
            <wp:positionV relativeFrom="page">
              <wp:posOffset>5852160</wp:posOffset>
            </wp:positionV>
            <wp:extent cx="7879080" cy="2562225"/>
            <wp:effectExtent l="19050" t="0" r="7620" b="0"/>
            <wp:wrapThrough wrapText="bothSides">
              <wp:wrapPolygon edited="0">
                <wp:start x="-52" y="0"/>
                <wp:lineTo x="-52" y="21520"/>
                <wp:lineTo x="21621" y="21520"/>
                <wp:lineTo x="21621" y="0"/>
                <wp:lineTo x="-52" y="0"/>
              </wp:wrapPolygon>
            </wp:wrapThrough>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srcRect/>
                    <a:stretch>
                      <a:fillRect/>
                    </a:stretch>
                  </pic:blipFill>
                  <pic:spPr bwMode="auto">
                    <a:xfrm>
                      <a:off x="0" y="0"/>
                      <a:ext cx="7879080" cy="2562225"/>
                    </a:xfrm>
                    <a:prstGeom prst="rect">
                      <a:avLst/>
                    </a:prstGeom>
                    <a:noFill/>
                  </pic:spPr>
                </pic:pic>
              </a:graphicData>
            </a:graphic>
          </wp:anchor>
        </w:drawing>
      </w:r>
    </w:p>
    <w:p w:rsidR="00F65A42" w:rsidRDefault="00F73571">
      <w:pPr>
        <w:pStyle w:val="NormalSS"/>
      </w:pPr>
      <w:r>
        <w:rPr>
          <w:noProof/>
        </w:rPr>
        <w:pict>
          <v:shape id="_x0000_s1033" type="#_x0000_t202" alt="" style="position:absolute;left:0;text-align:left;margin-left:-56.95pt;margin-top:409.65pt;width:581.9pt;height:67.5pt;z-index:251661824" wrapcoords="0 0" filled="f" stroked="f" strokeweight="0">
            <v:textbox style="mso-next-textbox:#_x0000_s1033">
              <w:txbxContent>
                <w:p w:rsidR="001515F3" w:rsidRPr="000F53E2" w:rsidRDefault="001515F3" w:rsidP="001515F3">
                  <w:pPr>
                    <w:tabs>
                      <w:tab w:val="clear" w:pos="432"/>
                    </w:tabs>
                    <w:spacing w:after="200" w:line="264" w:lineRule="auto"/>
                    <w:ind w:firstLine="0"/>
                    <w:jc w:val="center"/>
                    <w:rPr>
                      <w:rFonts w:ascii="Lucida Sans" w:hAnsi="Lucida Sans"/>
                      <w:sz w:val="17"/>
                      <w:szCs w:val="18"/>
                    </w:rPr>
                  </w:pPr>
                  <w:r w:rsidRPr="000F53E2">
                    <w:rPr>
                      <w:rFonts w:ascii="Lucida Sans" w:hAnsi="Lucida Sans"/>
                      <w:sz w:val="17"/>
                      <w:szCs w:val="18"/>
                    </w:rPr>
                    <w:t>Improving public well-being by conducting high-quality, objective research and surveys</w:t>
                  </w:r>
                </w:p>
                <w:p w:rsidR="001515F3" w:rsidRDefault="001515F3" w:rsidP="001515F3">
                  <w:pPr>
                    <w:tabs>
                      <w:tab w:val="clear" w:pos="432"/>
                    </w:tabs>
                    <w:spacing w:line="264" w:lineRule="auto"/>
                    <w:ind w:firstLine="0"/>
                    <w:jc w:val="center"/>
                    <w:rPr>
                      <w:rFonts w:ascii="Lucida Sans" w:hAnsi="Lucida Sans"/>
                      <w:sz w:val="17"/>
                      <w:szCs w:val="18"/>
                    </w:rPr>
                  </w:pPr>
                  <w:r w:rsidRPr="000F53E2">
                    <w:rPr>
                      <w:rFonts w:ascii="Lucida Sans" w:hAnsi="Lucida Sans"/>
                      <w:sz w:val="17"/>
                      <w:szCs w:val="18"/>
                    </w:rPr>
                    <w:t xml:space="preserve">Princeton, NJ  </w:t>
                  </w:r>
                  <w:r w:rsidRPr="000F53E2">
                    <w:rPr>
                      <w:sz w:val="17"/>
                      <w:szCs w:val="16"/>
                    </w:rPr>
                    <w:t>■</w:t>
                  </w:r>
                  <w:r w:rsidRPr="000F53E2">
                    <w:rPr>
                      <w:rFonts w:ascii="Lucida Sans" w:hAnsi="Lucida Sans"/>
                      <w:sz w:val="17"/>
                      <w:szCs w:val="18"/>
                    </w:rPr>
                    <w:t xml:space="preserve">  Ann Arbor, MI  </w:t>
                  </w:r>
                  <w:r w:rsidRPr="000F53E2">
                    <w:rPr>
                      <w:sz w:val="17"/>
                      <w:szCs w:val="18"/>
                    </w:rPr>
                    <w:t>■</w:t>
                  </w:r>
                  <w:r w:rsidRPr="000F53E2">
                    <w:rPr>
                      <w:rFonts w:ascii="Lucida Sans" w:hAnsi="Lucida Sans"/>
                      <w:sz w:val="17"/>
                      <w:szCs w:val="18"/>
                    </w:rPr>
                    <w:t xml:space="preserve">  Cambridge, MA  </w:t>
                  </w:r>
                  <w:r w:rsidRPr="000F53E2">
                    <w:rPr>
                      <w:sz w:val="17"/>
                      <w:szCs w:val="18"/>
                    </w:rPr>
                    <w:t>■</w:t>
                  </w:r>
                  <w:r w:rsidRPr="000F53E2">
                    <w:rPr>
                      <w:rFonts w:ascii="Lucida Sans" w:hAnsi="Lucida Sans"/>
                      <w:sz w:val="17"/>
                      <w:szCs w:val="18"/>
                    </w:rPr>
                    <w:t xml:space="preserve">  Chicago, IL  </w:t>
                  </w:r>
                  <w:r w:rsidRPr="000F53E2">
                    <w:rPr>
                      <w:sz w:val="17"/>
                      <w:szCs w:val="18"/>
                    </w:rPr>
                    <w:t>■</w:t>
                  </w:r>
                  <w:r w:rsidRPr="000F53E2">
                    <w:rPr>
                      <w:rFonts w:ascii="Lucida Sans" w:hAnsi="Lucida Sans"/>
                      <w:sz w:val="17"/>
                      <w:szCs w:val="18"/>
                    </w:rPr>
                    <w:t xml:space="preserve">  Oakland, CA  </w:t>
                  </w:r>
                  <w:r w:rsidRPr="000F53E2">
                    <w:rPr>
                      <w:sz w:val="17"/>
                      <w:szCs w:val="18"/>
                    </w:rPr>
                    <w:t>■</w:t>
                  </w:r>
                  <w:r w:rsidRPr="000F53E2">
                    <w:rPr>
                      <w:rFonts w:ascii="Lucida Sans" w:hAnsi="Lucida Sans"/>
                      <w:sz w:val="17"/>
                      <w:szCs w:val="18"/>
                    </w:rPr>
                    <w:t xml:space="preserve">  Washington, DC</w:t>
                  </w:r>
                </w:p>
                <w:p w:rsidR="001515F3" w:rsidRDefault="001515F3" w:rsidP="001515F3">
                  <w:pPr>
                    <w:tabs>
                      <w:tab w:val="clear" w:pos="432"/>
                    </w:tabs>
                    <w:spacing w:line="264" w:lineRule="auto"/>
                    <w:ind w:firstLine="0"/>
                    <w:jc w:val="center"/>
                    <w:rPr>
                      <w:rFonts w:ascii="Lucida Sans" w:hAnsi="Lucida Sans"/>
                      <w:sz w:val="17"/>
                      <w:szCs w:val="18"/>
                    </w:rPr>
                  </w:pPr>
                </w:p>
                <w:p w:rsidR="001515F3" w:rsidRPr="000F53E2" w:rsidRDefault="001515F3" w:rsidP="001515F3">
                  <w:pPr>
                    <w:tabs>
                      <w:tab w:val="clear" w:pos="432"/>
                    </w:tabs>
                    <w:spacing w:line="264" w:lineRule="auto"/>
                    <w:ind w:firstLine="0"/>
                    <w:jc w:val="center"/>
                    <w:rPr>
                      <w:rFonts w:ascii="Lucida Sans" w:hAnsi="Lucida Sans"/>
                      <w:sz w:val="17"/>
                      <w:szCs w:val="18"/>
                    </w:rPr>
                  </w:pPr>
                  <w:proofErr w:type="spellStart"/>
                  <w:r w:rsidRPr="00D03435">
                    <w:rPr>
                      <w:rFonts w:ascii="Lucida Sans" w:hAnsi="Lucida Sans"/>
                      <w:sz w:val="17"/>
                      <w:szCs w:val="18"/>
                    </w:rPr>
                    <w:t>Mathematica</w:t>
                  </w:r>
                  <w:proofErr w:type="spellEnd"/>
                  <w:r w:rsidRPr="00D03435">
                    <w:rPr>
                      <w:rFonts w:ascii="Lucida Sans" w:hAnsi="Lucida Sans"/>
                      <w:sz w:val="17"/>
                      <w:szCs w:val="18"/>
                    </w:rPr>
                    <w:t xml:space="preserve">® is a registered trademark of </w:t>
                  </w:r>
                  <w:proofErr w:type="spellStart"/>
                  <w:r w:rsidRPr="00D03435">
                    <w:rPr>
                      <w:rFonts w:ascii="Lucida Sans" w:hAnsi="Lucida Sans"/>
                      <w:sz w:val="17"/>
                      <w:szCs w:val="18"/>
                    </w:rPr>
                    <w:t>Mathematica</w:t>
                  </w:r>
                  <w:proofErr w:type="spellEnd"/>
                  <w:r w:rsidRPr="00D03435">
                    <w:rPr>
                      <w:rFonts w:ascii="Lucida Sans" w:hAnsi="Lucida Sans"/>
                      <w:sz w:val="17"/>
                      <w:szCs w:val="18"/>
                    </w:rPr>
                    <w:t xml:space="preserve"> Policy Research</w:t>
                  </w:r>
                </w:p>
              </w:txbxContent>
            </v:textbox>
          </v:shape>
        </w:pict>
      </w:r>
      <w:r w:rsidR="00BD7A6D" w:rsidDel="005B05A6">
        <w:t xml:space="preserve"> </w:t>
      </w:r>
    </w:p>
    <w:sectPr w:rsidR="00F65A42" w:rsidSect="003A1506">
      <w:headerReference w:type="even" r:id="rId43"/>
      <w:headerReference w:type="default" r:id="rId44"/>
      <w:footerReference w:type="even" r:id="rId45"/>
      <w:footerReference w:type="default" r:id="rId46"/>
      <w:headerReference w:type="first" r:id="rId47"/>
      <w:footerReference w:type="first" r:id="rId48"/>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C7C" w:rsidRDefault="00737C7C">
      <w:pPr>
        <w:spacing w:line="240" w:lineRule="auto"/>
        <w:ind w:firstLine="0"/>
      </w:pPr>
    </w:p>
  </w:endnote>
  <w:endnote w:type="continuationSeparator" w:id="0">
    <w:p w:rsidR="00737C7C" w:rsidRDefault="00737C7C">
      <w:pPr>
        <w:spacing w:line="240" w:lineRule="auto"/>
        <w:ind w:firstLine="0"/>
      </w:pPr>
    </w:p>
  </w:endnote>
  <w:endnote w:type="continuationNotice" w:id="1">
    <w:p w:rsidR="00737C7C" w:rsidRDefault="00737C7C">
      <w:pPr>
        <w:spacing w:line="240" w:lineRule="auto"/>
        <w:ind w:firstLine="0"/>
      </w:pPr>
    </w:p>
    <w:p w:rsidR="00737C7C" w:rsidRDefault="00737C7C"/>
    <w:p w:rsidR="00737C7C" w:rsidRDefault="00737C7C">
      <w:r>
        <w:rPr>
          <w:b/>
          <w:snapToGrid w:val="0"/>
        </w:rPr>
        <w:t>DRAFT</w:t>
      </w:r>
      <w:r>
        <w:rPr>
          <w:snapToGrid w:val="0"/>
          <w:sz w:val="16"/>
        </w:rPr>
        <w:t xml:space="preserve"> </w:t>
      </w:r>
      <w:r w:rsidR="00F73571">
        <w:rPr>
          <w:snapToGrid w:val="0"/>
          <w:sz w:val="16"/>
        </w:rPr>
        <w:fldChar w:fldCharType="begin"/>
      </w:r>
      <w:r>
        <w:rPr>
          <w:snapToGrid w:val="0"/>
          <w:sz w:val="16"/>
        </w:rPr>
        <w:instrText xml:space="preserve"> FILENAME \p </w:instrText>
      </w:r>
      <w:r w:rsidR="00F73571">
        <w:rPr>
          <w:snapToGrid w:val="0"/>
          <w:sz w:val="16"/>
        </w:rPr>
        <w:fldChar w:fldCharType="separate"/>
      </w:r>
      <w:r>
        <w:rPr>
          <w:noProof/>
          <w:snapToGrid w:val="0"/>
          <w:sz w:val="16"/>
        </w:rPr>
        <w:t>C:\Documents and Settings\JMiller\Local Settings\Temporary Internet Files\Content.Outlook\AWKPRBGS\Att_Supporting Statement Part A NTLS Baseline 10 11 11.docx</w:t>
      </w:r>
      <w:r w:rsidR="00F73571">
        <w:rPr>
          <w:snapToGrid w:val="0"/>
          <w:sz w:val="16"/>
        </w:rPr>
        <w:fldChar w:fldCharType="end"/>
      </w:r>
    </w:p>
    <w:p w:rsidR="00737C7C" w:rsidRDefault="00737C7C"/>
    <w:p w:rsidR="00737C7C" w:rsidRDefault="00737C7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Lucida Sans Std">
    <w:panose1 w:val="00000000000000000000"/>
    <w:charset w:val="00"/>
    <w:family w:val="swiss"/>
    <w:notTrueType/>
    <w:pitch w:val="variable"/>
    <w:sig w:usb0="800000EF" w:usb1="5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42" w:rsidRPr="008F1A3F" w:rsidRDefault="00F65A42" w:rsidP="002861D3">
    <w:pPr>
      <w:pStyle w:val="Footer"/>
      <w:ind w:firstLine="0"/>
      <w:rPr>
        <w:rStyle w:val="PageNumber"/>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42" w:rsidRDefault="00F65A42">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42" w:rsidRPr="008F1A3F" w:rsidRDefault="00F65A42" w:rsidP="002861D3">
    <w:pPr>
      <w:pStyle w:val="Footer"/>
      <w:ind w:firstLine="0"/>
      <w:rPr>
        <w:rStyle w:val="PageNumber"/>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42" w:rsidRDefault="00F65A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42" w:rsidRPr="002861D3" w:rsidRDefault="00F65A42" w:rsidP="002861D3">
    <w:pPr>
      <w:pStyle w:val="Footer"/>
      <w:ind w:firstLine="0"/>
      <w:rPr>
        <w:rStyle w:val="PageNumb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42" w:rsidRPr="00FA3649" w:rsidRDefault="00F65A42"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F73571">
      <w:rPr>
        <w:rStyle w:val="PageNumber"/>
      </w:rPr>
      <w:fldChar w:fldCharType="begin"/>
    </w:r>
    <w:r>
      <w:rPr>
        <w:rStyle w:val="PageNumber"/>
      </w:rPr>
      <w:instrText xml:space="preserve"> PAGE </w:instrText>
    </w:r>
    <w:r w:rsidR="00F73571">
      <w:rPr>
        <w:rStyle w:val="PageNumber"/>
      </w:rPr>
      <w:fldChar w:fldCharType="separate"/>
    </w:r>
    <w:r w:rsidR="0078413A">
      <w:rPr>
        <w:rStyle w:val="PageNumber"/>
        <w:noProof/>
      </w:rPr>
      <w:t>iv</w:t>
    </w:r>
    <w:r w:rsidR="00F73571">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8365"/>
      <w:docPartObj>
        <w:docPartGallery w:val="Page Numbers (Bottom of Page)"/>
        <w:docPartUnique/>
      </w:docPartObj>
    </w:sdtPr>
    <w:sdtContent>
      <w:p w:rsidR="00F65A42" w:rsidRPr="00912760" w:rsidRDefault="00F65A42" w:rsidP="00E24EDB">
        <w:pPr>
          <w:pStyle w:val="Footer"/>
          <w:tabs>
            <w:tab w:val="clear" w:pos="432"/>
            <w:tab w:val="clear" w:pos="4320"/>
            <w:tab w:val="clear" w:pos="8640"/>
            <w:tab w:val="decimal" w:pos="4680"/>
          </w:tabs>
          <w:ind w:firstLine="0"/>
          <w:jc w:val="left"/>
          <w:rPr>
            <w:rStyle w:val="PageNumber"/>
          </w:rPr>
        </w:pPr>
        <w:r>
          <w:rPr>
            <w:b/>
          </w:rPr>
          <w:tab/>
        </w:r>
        <w:r w:rsidRPr="00884240">
          <w:t xml:space="preserve"> </w:t>
        </w:r>
        <w:fldSimple w:instr=" PAGE   \* MERGEFORMAT ">
          <w:r w:rsidR="0078413A">
            <w:rPr>
              <w:noProof/>
            </w:rPr>
            <w:t>v</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42" w:rsidRPr="00FA3649" w:rsidRDefault="00F65A42" w:rsidP="00553F49">
    <w:pPr>
      <w:pStyle w:val="Footer"/>
      <w:tabs>
        <w:tab w:val="clear" w:pos="432"/>
        <w:tab w:val="clear" w:pos="4320"/>
        <w:tab w:val="clear" w:pos="8640"/>
        <w:tab w:val="decimal" w:pos="4680"/>
      </w:tabs>
      <w:spacing w:before="120"/>
      <w:ind w:firstLine="0"/>
      <w:rPr>
        <w:rStyle w:val="PageNumber"/>
        <w:b/>
        <w:sz w:val="17"/>
      </w:rPr>
    </w:pPr>
    <w:r>
      <w:rPr>
        <w:b/>
      </w:rPr>
      <w:tab/>
    </w:r>
    <w:r w:rsidR="00F73571" w:rsidRPr="00FA3649">
      <w:rPr>
        <w:rStyle w:val="PageNumber"/>
      </w:rPr>
      <w:fldChar w:fldCharType="begin"/>
    </w:r>
    <w:r w:rsidRPr="00FA3649">
      <w:rPr>
        <w:rStyle w:val="PageNumber"/>
      </w:rPr>
      <w:instrText xml:space="preserve"> PAGE </w:instrText>
    </w:r>
    <w:r w:rsidR="00F73571" w:rsidRPr="00FA3649">
      <w:rPr>
        <w:rStyle w:val="PageNumber"/>
      </w:rPr>
      <w:fldChar w:fldCharType="separate"/>
    </w:r>
    <w:r w:rsidR="0078413A">
      <w:rPr>
        <w:rStyle w:val="PageNumber"/>
        <w:noProof/>
      </w:rPr>
      <w:t>8</w:t>
    </w:r>
    <w:r w:rsidR="00F73571" w:rsidRPr="00FA3649">
      <w:rPr>
        <w:rStyle w:val="PageNumber"/>
      </w:rPr>
      <w:fldChar w:fldCharType="end"/>
    </w:r>
    <w:r w:rsidRPr="00FA3649">
      <w:rPr>
        <w:rStyle w:val="PageNumber"/>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42" w:rsidRPr="00FA3649" w:rsidRDefault="00F65A42" w:rsidP="009679F6">
    <w:pPr>
      <w:pStyle w:val="Footer"/>
      <w:tabs>
        <w:tab w:val="clear" w:pos="432"/>
        <w:tab w:val="clear" w:pos="4320"/>
        <w:tab w:val="clear" w:pos="8640"/>
        <w:tab w:val="center" w:pos="4770"/>
        <w:tab w:val="right" w:pos="9360"/>
      </w:tabs>
      <w:spacing w:before="0"/>
      <w:ind w:firstLine="0"/>
      <w:rPr>
        <w:rStyle w:val="PageNumber"/>
        <w:b/>
        <w:sz w:val="17"/>
      </w:rPr>
    </w:pPr>
    <w:r w:rsidRPr="00FA3649">
      <w:rPr>
        <w:sz w:val="16"/>
      </w:rPr>
      <w:tab/>
    </w:r>
    <w:r w:rsidR="00F73571" w:rsidRPr="00FA3649">
      <w:rPr>
        <w:rStyle w:val="PageNumber"/>
      </w:rPr>
      <w:fldChar w:fldCharType="begin"/>
    </w:r>
    <w:r w:rsidRPr="00FA3649">
      <w:rPr>
        <w:rStyle w:val="PageNumber"/>
      </w:rPr>
      <w:instrText xml:space="preserve"> PAGE </w:instrText>
    </w:r>
    <w:r w:rsidR="00F73571" w:rsidRPr="00FA3649">
      <w:rPr>
        <w:rStyle w:val="PageNumber"/>
      </w:rPr>
      <w:fldChar w:fldCharType="separate"/>
    </w:r>
    <w:r w:rsidR="0078413A">
      <w:rPr>
        <w:rStyle w:val="PageNumber"/>
        <w:noProof/>
      </w:rPr>
      <w:t>9</w:t>
    </w:r>
    <w:r w:rsidR="00F73571" w:rsidRPr="00FA3649">
      <w:rPr>
        <w:rStyle w:val="PageNumber"/>
      </w:rPr>
      <w:fldChar w:fldCharType="end"/>
    </w:r>
    <w:r w:rsidRPr="00FA3649">
      <w:rPr>
        <w:rStyle w:val="PageNumber"/>
      </w:rP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42" w:rsidRPr="00FA3649" w:rsidRDefault="00F65A42" w:rsidP="009679F6">
    <w:pPr>
      <w:pStyle w:val="Footer"/>
      <w:tabs>
        <w:tab w:val="clear" w:pos="432"/>
        <w:tab w:val="clear" w:pos="4320"/>
        <w:tab w:val="clear" w:pos="8640"/>
        <w:tab w:val="center" w:pos="4770"/>
        <w:tab w:val="right" w:pos="9360"/>
      </w:tabs>
      <w:ind w:firstLine="0"/>
      <w:rPr>
        <w:rStyle w:val="PageNumber"/>
        <w:b/>
        <w:sz w:val="17"/>
      </w:rPr>
    </w:pPr>
    <w:r w:rsidRPr="00FA3649">
      <w:rPr>
        <w:sz w:val="16"/>
      </w:rPr>
      <w:tab/>
    </w:r>
    <w:r w:rsidR="00F73571" w:rsidRPr="00FA3649">
      <w:rPr>
        <w:rStyle w:val="PageNumber"/>
      </w:rPr>
      <w:fldChar w:fldCharType="begin"/>
    </w:r>
    <w:r w:rsidRPr="00FA3649">
      <w:rPr>
        <w:rStyle w:val="PageNumber"/>
      </w:rPr>
      <w:instrText xml:space="preserve"> PAGE </w:instrText>
    </w:r>
    <w:r w:rsidR="00F73571" w:rsidRPr="00FA3649">
      <w:rPr>
        <w:rStyle w:val="PageNumber"/>
      </w:rPr>
      <w:fldChar w:fldCharType="separate"/>
    </w:r>
    <w:r w:rsidR="0078413A">
      <w:rPr>
        <w:rStyle w:val="PageNumber"/>
        <w:noProof/>
      </w:rPr>
      <w:t>17</w:t>
    </w:r>
    <w:r w:rsidR="00F73571" w:rsidRPr="00FA3649">
      <w:rPr>
        <w:rStyle w:val="PageNumber"/>
      </w:rPr>
      <w:fldChar w:fldCharType="end"/>
    </w:r>
    <w:r w:rsidRPr="00FA3649">
      <w:rPr>
        <w:rStyle w:val="PageNumber"/>
      </w:rP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42" w:rsidRPr="00FA3649" w:rsidRDefault="00F65A42" w:rsidP="00204728">
    <w:pPr>
      <w:pStyle w:val="Footer"/>
      <w:tabs>
        <w:tab w:val="clear" w:pos="432"/>
        <w:tab w:val="clear" w:pos="4320"/>
        <w:tab w:val="clear" w:pos="8640"/>
        <w:tab w:val="center" w:pos="4770"/>
        <w:tab w:val="right" w:pos="9360"/>
      </w:tabs>
      <w:spacing w:before="0"/>
      <w:ind w:firstLine="0"/>
      <w:rPr>
        <w:rStyle w:val="PageNumber"/>
        <w:b/>
        <w:sz w:val="17"/>
      </w:rPr>
    </w:pPr>
    <w:r w:rsidRPr="00FA3649">
      <w:rPr>
        <w:sz w:val="16"/>
      </w:rPr>
      <w:tab/>
    </w:r>
    <w:r w:rsidR="00F73571" w:rsidRPr="00FA3649">
      <w:rPr>
        <w:rStyle w:val="PageNumber"/>
      </w:rPr>
      <w:fldChar w:fldCharType="begin"/>
    </w:r>
    <w:r w:rsidRPr="00FA3649">
      <w:rPr>
        <w:rStyle w:val="PageNumber"/>
      </w:rPr>
      <w:instrText xml:space="preserve"> PAGE </w:instrText>
    </w:r>
    <w:r w:rsidR="00F73571" w:rsidRPr="00FA3649">
      <w:rPr>
        <w:rStyle w:val="PageNumber"/>
      </w:rPr>
      <w:fldChar w:fldCharType="separate"/>
    </w:r>
    <w:r w:rsidR="0078413A">
      <w:rPr>
        <w:rStyle w:val="PageNumber"/>
        <w:noProof/>
      </w:rPr>
      <w:t>18</w:t>
    </w:r>
    <w:r w:rsidR="00F73571" w:rsidRPr="00FA3649">
      <w:rPr>
        <w:rStyle w:val="PageNumber"/>
      </w:rPr>
      <w:fldChar w:fldCharType="end"/>
    </w:r>
    <w:r w:rsidRPr="00FA3649">
      <w:rPr>
        <w:rStyle w:val="PageNumber"/>
      </w:rP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42" w:rsidRPr="00FA3649" w:rsidRDefault="00F65A42" w:rsidP="00204728">
    <w:pPr>
      <w:pStyle w:val="Footer"/>
      <w:tabs>
        <w:tab w:val="clear" w:pos="432"/>
        <w:tab w:val="clear" w:pos="4320"/>
        <w:tab w:val="clear" w:pos="8640"/>
        <w:tab w:val="center" w:pos="4770"/>
        <w:tab w:val="right" w:pos="9360"/>
      </w:tabs>
      <w:ind w:firstLine="0"/>
      <w:rPr>
        <w:rStyle w:val="PageNumber"/>
        <w:b/>
        <w:sz w:val="17"/>
      </w:rPr>
    </w:pPr>
    <w:r w:rsidRPr="00FA3649">
      <w:rPr>
        <w:sz w:val="16"/>
      </w:rPr>
      <w:tab/>
    </w:r>
    <w:r w:rsidR="00F73571" w:rsidRPr="00FA3649">
      <w:rPr>
        <w:rStyle w:val="PageNumber"/>
      </w:rPr>
      <w:fldChar w:fldCharType="begin"/>
    </w:r>
    <w:r w:rsidRPr="00FA3649">
      <w:rPr>
        <w:rStyle w:val="PageNumber"/>
      </w:rPr>
      <w:instrText xml:space="preserve"> PAGE </w:instrText>
    </w:r>
    <w:r w:rsidR="00F73571" w:rsidRPr="00FA3649">
      <w:rPr>
        <w:rStyle w:val="PageNumber"/>
      </w:rPr>
      <w:fldChar w:fldCharType="separate"/>
    </w:r>
    <w:r w:rsidR="0078413A">
      <w:rPr>
        <w:rStyle w:val="PageNumber"/>
        <w:noProof/>
      </w:rPr>
      <w:t>25</w:t>
    </w:r>
    <w:r w:rsidR="00F73571" w:rsidRPr="00FA3649">
      <w:rPr>
        <w:rStyle w:val="PageNumber"/>
      </w:rPr>
      <w:fldChar w:fldCharType="end"/>
    </w:r>
    <w:r w:rsidRPr="00FA3649">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C7C" w:rsidRDefault="00737C7C">
      <w:pPr>
        <w:spacing w:line="240" w:lineRule="auto"/>
        <w:ind w:firstLine="0"/>
      </w:pPr>
      <w:r>
        <w:separator/>
      </w:r>
    </w:p>
  </w:footnote>
  <w:footnote w:type="continuationSeparator" w:id="0">
    <w:p w:rsidR="00737C7C" w:rsidRDefault="00737C7C">
      <w:pPr>
        <w:spacing w:line="240" w:lineRule="auto"/>
        <w:ind w:firstLine="0"/>
      </w:pPr>
      <w:r>
        <w:separator/>
      </w:r>
    </w:p>
    <w:p w:rsidR="00737C7C" w:rsidRDefault="00737C7C">
      <w:pPr>
        <w:spacing w:line="240" w:lineRule="auto"/>
        <w:ind w:firstLine="0"/>
        <w:rPr>
          <w:i/>
        </w:rPr>
      </w:pPr>
      <w:r>
        <w:rPr>
          <w:i/>
        </w:rPr>
        <w:t>(continued)</w:t>
      </w:r>
    </w:p>
  </w:footnote>
  <w:footnote w:type="continuationNotice" w:id="1">
    <w:p w:rsidR="00737C7C" w:rsidRDefault="00737C7C">
      <w:pPr>
        <w:pStyle w:val="Footer"/>
      </w:pPr>
    </w:p>
  </w:footnote>
  <w:footnote w:id="2">
    <w:p w:rsidR="00F65A42" w:rsidRDefault="00F65A42">
      <w:pPr>
        <w:pStyle w:val="FootnoteText"/>
      </w:pPr>
      <w:r>
        <w:rPr>
          <w:rStyle w:val="FootnoteReference"/>
        </w:rPr>
        <w:footnoteRef/>
      </w:r>
      <w:r>
        <w:t xml:space="preserve"> NLTS 2012 will compare students attending school in fall 2012 with similar-age students with IEPs attending school in 1985 (NLTS) and 2000 (NLTS2).  However, data collected for NLTS were collected under a grant and ED does not own or have access to these data. Therefore, comparisons between NLTS 2012 and NLTS will be limited to measures presented in published NLTS reports. For this reason, our discussion of cross-cohort comparisons focuses on the NLTS 2012 to NLTS2 comparisons. </w:t>
      </w:r>
    </w:p>
  </w:footnote>
  <w:footnote w:id="3">
    <w:p w:rsidR="00F65A42" w:rsidRPr="00DC7B69" w:rsidRDefault="00F65A42">
      <w:pPr>
        <w:pStyle w:val="FootnoteText"/>
        <w:rPr>
          <w:sz w:val="16"/>
          <w:szCs w:val="16"/>
        </w:rPr>
      </w:pPr>
      <w:r w:rsidRPr="00DC7B69">
        <w:rPr>
          <w:rStyle w:val="FootnoteReference"/>
        </w:rPr>
        <w:sym w:font="Symbol" w:char="F02A"/>
      </w:r>
      <w:r>
        <w:t xml:space="preserve"> </w:t>
      </w:r>
      <w:r w:rsidRPr="00A17C5D">
        <w:rPr>
          <w:sz w:val="16"/>
          <w:szCs w:val="16"/>
        </w:rPr>
        <w:t>These data will be verified against the school records.</w:t>
      </w:r>
    </w:p>
  </w:footnote>
  <w:footnote w:id="4">
    <w:p w:rsidR="00F65A42" w:rsidRPr="003D2769" w:rsidRDefault="00F65A42" w:rsidP="00CE56AA">
      <w:pPr>
        <w:pStyle w:val="FootnoteText"/>
        <w:jc w:val="left"/>
        <w:rPr>
          <w:sz w:val="16"/>
          <w:szCs w:val="16"/>
        </w:rPr>
      </w:pPr>
      <w:r w:rsidRPr="00A17C5D">
        <w:rPr>
          <w:sz w:val="16"/>
          <w:szCs w:val="16"/>
        </w:rPr>
        <w:footnoteRef/>
      </w:r>
      <w:r w:rsidRPr="00A17C5D">
        <w:rPr>
          <w:sz w:val="16"/>
          <w:szCs w:val="16"/>
        </w:rPr>
        <w:t xml:space="preserve"> </w:t>
      </w:r>
      <w:r w:rsidRPr="003D2769">
        <w:rPr>
          <w:sz w:val="16"/>
          <w:szCs w:val="16"/>
        </w:rPr>
        <w:t xml:space="preserve">AAPOR Cell Phone Task Force Report, 2010. )New Considerations for New Considerations for Survey </w:t>
      </w:r>
      <w:proofErr w:type="spellStart"/>
      <w:r w:rsidRPr="003D2769">
        <w:rPr>
          <w:sz w:val="16"/>
          <w:szCs w:val="16"/>
        </w:rPr>
        <w:t>ResearchersWhen</w:t>
      </w:r>
      <w:proofErr w:type="spellEnd"/>
      <w:r w:rsidRPr="003D2769">
        <w:rPr>
          <w:sz w:val="16"/>
          <w:szCs w:val="16"/>
        </w:rPr>
        <w:t xml:space="preserve"> Planning and Conducting RDD Telephone Surveys in the U.S. With Respondents Reached via Cell Phone Numbers</w:t>
      </w:r>
    </w:p>
    <w:p w:rsidR="00F65A42" w:rsidRDefault="00F65A42">
      <w:pPr>
        <w:pStyle w:val="FootnoteText"/>
        <w:jc w:val="lef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42" w:rsidRPr="00FA3649" w:rsidRDefault="00F65A42" w:rsidP="006C5B99">
    <w:pPr>
      <w:pStyle w:val="Header"/>
      <w:rPr>
        <w:sz w:val="20"/>
        <w:szCs w:val="20"/>
      </w:rPr>
    </w:pPr>
    <w:r>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42" w:rsidRPr="00FA3649" w:rsidRDefault="00F65A42" w:rsidP="006C5B99">
    <w:pPr>
      <w:pStyle w:val="Head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42" w:rsidRDefault="00F65A4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42" w:rsidRDefault="00F65A4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42" w:rsidRDefault="00F65A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8471A25"/>
    <w:multiLevelType w:val="hybridMultilevel"/>
    <w:tmpl w:val="356A81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41F638ED"/>
    <w:multiLevelType w:val="singleLevel"/>
    <w:tmpl w:val="0409000F"/>
    <w:lvl w:ilvl="0">
      <w:start w:val="1"/>
      <w:numFmt w:val="decimal"/>
      <w:lvlText w:val="%1."/>
      <w:lvlJc w:val="left"/>
      <w:pPr>
        <w:ind w:left="792" w:hanging="360"/>
      </w:pPr>
      <w:rPr>
        <w:rFonts w:hint="default"/>
      </w:rPr>
    </w:lvl>
  </w:abstractNum>
  <w:abstractNum w:abstractNumId="1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2">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39069DF"/>
    <w:multiLevelType w:val="hybridMultilevel"/>
    <w:tmpl w:val="CE900080"/>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4"/>
  </w:num>
  <w:num w:numId="3">
    <w:abstractNumId w:val="7"/>
  </w:num>
  <w:num w:numId="4">
    <w:abstractNumId w:val="9"/>
  </w:num>
  <w:num w:numId="5">
    <w:abstractNumId w:val="2"/>
  </w:num>
  <w:num w:numId="6">
    <w:abstractNumId w:val="16"/>
  </w:num>
  <w:num w:numId="7">
    <w:abstractNumId w:val="3"/>
  </w:num>
  <w:num w:numId="8">
    <w:abstractNumId w:val="13"/>
  </w:num>
  <w:num w:numId="9">
    <w:abstractNumId w:val="17"/>
  </w:num>
  <w:num w:numId="10">
    <w:abstractNumId w:val="6"/>
  </w:num>
  <w:num w:numId="11">
    <w:abstractNumId w:val="10"/>
  </w:num>
  <w:num w:numId="12">
    <w:abstractNumId w:val="14"/>
  </w:num>
  <w:num w:numId="13">
    <w:abstractNumId w:val="4"/>
  </w:num>
  <w:num w:numId="14">
    <w:abstractNumId w:val="7"/>
  </w:num>
  <w:num w:numId="15">
    <w:abstractNumId w:val="7"/>
  </w:num>
  <w:num w:numId="16">
    <w:abstractNumId w:val="7"/>
  </w:num>
  <w:num w:numId="17">
    <w:abstractNumId w:val="7"/>
  </w:num>
  <w:num w:numId="18">
    <w:abstractNumId w:val="11"/>
  </w:num>
  <w:num w:numId="19">
    <w:abstractNumId w:val="19"/>
  </w:num>
  <w:num w:numId="20">
    <w:abstractNumId w:val="15"/>
  </w:num>
  <w:num w:numId="21">
    <w:abstractNumId w:val="1"/>
  </w:num>
  <w:num w:numId="22">
    <w:abstractNumId w:val="0"/>
  </w:num>
  <w:num w:numId="23">
    <w:abstractNumId w:val="18"/>
  </w:num>
  <w:num w:numId="24">
    <w:abstractNumId w:val="8"/>
  </w:num>
  <w:num w:numId="25">
    <w:abstractNumId w:val="12"/>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7" w:nlCheck="1" w:checkStyle="1"/>
  <w:activeWritingStyle w:appName="MSWord" w:lang="en-US" w:vendorID="64" w:dllVersion="131078" w:nlCheck="1" w:checkStyle="1"/>
  <w:proofState w:spelling="clean"/>
  <w:attachedTemplate r:id="rId1"/>
  <w:linkStyles/>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doNotUseHTMLParagraphAutoSpacing/>
  </w:compat>
  <w:rsids>
    <w:rsidRoot w:val="0013198A"/>
    <w:rsid w:val="000015FB"/>
    <w:rsid w:val="00007592"/>
    <w:rsid w:val="00007CA0"/>
    <w:rsid w:val="00011642"/>
    <w:rsid w:val="00012372"/>
    <w:rsid w:val="00012863"/>
    <w:rsid w:val="00013CA7"/>
    <w:rsid w:val="00016A40"/>
    <w:rsid w:val="00017DD1"/>
    <w:rsid w:val="00020095"/>
    <w:rsid w:val="00021A62"/>
    <w:rsid w:val="00021FEB"/>
    <w:rsid w:val="00026132"/>
    <w:rsid w:val="00026D2F"/>
    <w:rsid w:val="000300AF"/>
    <w:rsid w:val="0003029A"/>
    <w:rsid w:val="00037098"/>
    <w:rsid w:val="0003738D"/>
    <w:rsid w:val="00041967"/>
    <w:rsid w:val="00043833"/>
    <w:rsid w:val="00044F69"/>
    <w:rsid w:val="00047398"/>
    <w:rsid w:val="0005218F"/>
    <w:rsid w:val="00052499"/>
    <w:rsid w:val="00053968"/>
    <w:rsid w:val="00054E5C"/>
    <w:rsid w:val="00055AF8"/>
    <w:rsid w:val="000616D9"/>
    <w:rsid w:val="00063123"/>
    <w:rsid w:val="00063FEF"/>
    <w:rsid w:val="00064C58"/>
    <w:rsid w:val="00066AB9"/>
    <w:rsid w:val="00070234"/>
    <w:rsid w:val="00071648"/>
    <w:rsid w:val="00072276"/>
    <w:rsid w:val="0007336F"/>
    <w:rsid w:val="000755B8"/>
    <w:rsid w:val="0007635D"/>
    <w:rsid w:val="000769A1"/>
    <w:rsid w:val="00076CF0"/>
    <w:rsid w:val="00080410"/>
    <w:rsid w:val="00080859"/>
    <w:rsid w:val="00080DFA"/>
    <w:rsid w:val="000812AE"/>
    <w:rsid w:val="00081687"/>
    <w:rsid w:val="00081D47"/>
    <w:rsid w:val="00087170"/>
    <w:rsid w:val="00090529"/>
    <w:rsid w:val="000922DD"/>
    <w:rsid w:val="000A1008"/>
    <w:rsid w:val="000A2416"/>
    <w:rsid w:val="000A3417"/>
    <w:rsid w:val="000A4439"/>
    <w:rsid w:val="000A4BF4"/>
    <w:rsid w:val="000A544F"/>
    <w:rsid w:val="000A6273"/>
    <w:rsid w:val="000B2BD0"/>
    <w:rsid w:val="000B2C88"/>
    <w:rsid w:val="000B3A77"/>
    <w:rsid w:val="000B4A31"/>
    <w:rsid w:val="000B7E70"/>
    <w:rsid w:val="000C0118"/>
    <w:rsid w:val="000C0FF2"/>
    <w:rsid w:val="000C37AF"/>
    <w:rsid w:val="000C4ED3"/>
    <w:rsid w:val="000C5D78"/>
    <w:rsid w:val="000C70DC"/>
    <w:rsid w:val="000C72F8"/>
    <w:rsid w:val="000C79D9"/>
    <w:rsid w:val="000D0023"/>
    <w:rsid w:val="000D0C1A"/>
    <w:rsid w:val="000D4486"/>
    <w:rsid w:val="000D62D8"/>
    <w:rsid w:val="000D65E6"/>
    <w:rsid w:val="000E152F"/>
    <w:rsid w:val="000E1D9E"/>
    <w:rsid w:val="000E6D11"/>
    <w:rsid w:val="000F011D"/>
    <w:rsid w:val="000F209B"/>
    <w:rsid w:val="000F37E9"/>
    <w:rsid w:val="000F4E72"/>
    <w:rsid w:val="000F79B9"/>
    <w:rsid w:val="00105D23"/>
    <w:rsid w:val="001073C9"/>
    <w:rsid w:val="001076DD"/>
    <w:rsid w:val="00110859"/>
    <w:rsid w:val="00112BCE"/>
    <w:rsid w:val="0011715E"/>
    <w:rsid w:val="00122D0F"/>
    <w:rsid w:val="00130424"/>
    <w:rsid w:val="0013198A"/>
    <w:rsid w:val="0013282C"/>
    <w:rsid w:val="00132E2F"/>
    <w:rsid w:val="00133472"/>
    <w:rsid w:val="00135AF5"/>
    <w:rsid w:val="001362A8"/>
    <w:rsid w:val="00141646"/>
    <w:rsid w:val="00141705"/>
    <w:rsid w:val="00141A0B"/>
    <w:rsid w:val="00141C83"/>
    <w:rsid w:val="001425AF"/>
    <w:rsid w:val="00142AE3"/>
    <w:rsid w:val="00143102"/>
    <w:rsid w:val="0014413B"/>
    <w:rsid w:val="00144DA7"/>
    <w:rsid w:val="00145874"/>
    <w:rsid w:val="001515F3"/>
    <w:rsid w:val="001538AB"/>
    <w:rsid w:val="00153C55"/>
    <w:rsid w:val="00155A6C"/>
    <w:rsid w:val="00160306"/>
    <w:rsid w:val="00160E09"/>
    <w:rsid w:val="00162191"/>
    <w:rsid w:val="001733F9"/>
    <w:rsid w:val="00181F53"/>
    <w:rsid w:val="0018564C"/>
    <w:rsid w:val="00185FF2"/>
    <w:rsid w:val="00190D3C"/>
    <w:rsid w:val="001933B1"/>
    <w:rsid w:val="001939C2"/>
    <w:rsid w:val="00195858"/>
    <w:rsid w:val="001A07D4"/>
    <w:rsid w:val="001A0B96"/>
    <w:rsid w:val="001A2F7B"/>
    <w:rsid w:val="001A5AAA"/>
    <w:rsid w:val="001A5FD2"/>
    <w:rsid w:val="001A6BCD"/>
    <w:rsid w:val="001B1B42"/>
    <w:rsid w:val="001B24AD"/>
    <w:rsid w:val="001B360E"/>
    <w:rsid w:val="001B507C"/>
    <w:rsid w:val="001B575F"/>
    <w:rsid w:val="001C06CA"/>
    <w:rsid w:val="001C44EA"/>
    <w:rsid w:val="001C6B15"/>
    <w:rsid w:val="001C6D08"/>
    <w:rsid w:val="001D247C"/>
    <w:rsid w:val="001D2C4F"/>
    <w:rsid w:val="001D3C41"/>
    <w:rsid w:val="001D634E"/>
    <w:rsid w:val="001D67E9"/>
    <w:rsid w:val="001E0AB2"/>
    <w:rsid w:val="001E1DED"/>
    <w:rsid w:val="001E214B"/>
    <w:rsid w:val="001E28B8"/>
    <w:rsid w:val="001E2914"/>
    <w:rsid w:val="001E466A"/>
    <w:rsid w:val="001F12BF"/>
    <w:rsid w:val="001F1A1C"/>
    <w:rsid w:val="001F213C"/>
    <w:rsid w:val="001F232A"/>
    <w:rsid w:val="001F268A"/>
    <w:rsid w:val="001F5410"/>
    <w:rsid w:val="001F7CF5"/>
    <w:rsid w:val="00200B10"/>
    <w:rsid w:val="00204728"/>
    <w:rsid w:val="002053F3"/>
    <w:rsid w:val="0020626A"/>
    <w:rsid w:val="002069E5"/>
    <w:rsid w:val="00207694"/>
    <w:rsid w:val="0021211D"/>
    <w:rsid w:val="00213615"/>
    <w:rsid w:val="002140A9"/>
    <w:rsid w:val="00215B33"/>
    <w:rsid w:val="002206B3"/>
    <w:rsid w:val="00222FF4"/>
    <w:rsid w:val="0022402B"/>
    <w:rsid w:val="00224DD5"/>
    <w:rsid w:val="00231C51"/>
    <w:rsid w:val="00233C47"/>
    <w:rsid w:val="0023409D"/>
    <w:rsid w:val="00236122"/>
    <w:rsid w:val="00237368"/>
    <w:rsid w:val="00243909"/>
    <w:rsid w:val="002439E6"/>
    <w:rsid w:val="00243DEE"/>
    <w:rsid w:val="00251667"/>
    <w:rsid w:val="002516CC"/>
    <w:rsid w:val="0025182E"/>
    <w:rsid w:val="002613D2"/>
    <w:rsid w:val="00264716"/>
    <w:rsid w:val="00265FE6"/>
    <w:rsid w:val="00267F6C"/>
    <w:rsid w:val="00271B2B"/>
    <w:rsid w:val="00272EF5"/>
    <w:rsid w:val="00275E20"/>
    <w:rsid w:val="0027673D"/>
    <w:rsid w:val="00280AB2"/>
    <w:rsid w:val="00281B75"/>
    <w:rsid w:val="00282FD0"/>
    <w:rsid w:val="00284557"/>
    <w:rsid w:val="002849EE"/>
    <w:rsid w:val="002861D3"/>
    <w:rsid w:val="00287FD7"/>
    <w:rsid w:val="00291FCE"/>
    <w:rsid w:val="002921C5"/>
    <w:rsid w:val="0029405E"/>
    <w:rsid w:val="002942FB"/>
    <w:rsid w:val="00294CA3"/>
    <w:rsid w:val="00296A32"/>
    <w:rsid w:val="002A1ADA"/>
    <w:rsid w:val="002A28C9"/>
    <w:rsid w:val="002A2914"/>
    <w:rsid w:val="002A3503"/>
    <w:rsid w:val="002A37F2"/>
    <w:rsid w:val="002A5CBF"/>
    <w:rsid w:val="002A7359"/>
    <w:rsid w:val="002B1593"/>
    <w:rsid w:val="002B68A5"/>
    <w:rsid w:val="002B68FD"/>
    <w:rsid w:val="002B75D6"/>
    <w:rsid w:val="002C0628"/>
    <w:rsid w:val="002C413C"/>
    <w:rsid w:val="002C7011"/>
    <w:rsid w:val="002C734A"/>
    <w:rsid w:val="002D0A34"/>
    <w:rsid w:val="002D279D"/>
    <w:rsid w:val="002D3515"/>
    <w:rsid w:val="002D3F63"/>
    <w:rsid w:val="002D40DD"/>
    <w:rsid w:val="002D5F07"/>
    <w:rsid w:val="002F0EE1"/>
    <w:rsid w:val="002F1E71"/>
    <w:rsid w:val="002F440B"/>
    <w:rsid w:val="002F71D4"/>
    <w:rsid w:val="002F7C83"/>
    <w:rsid w:val="00300CE3"/>
    <w:rsid w:val="00303CF8"/>
    <w:rsid w:val="00307327"/>
    <w:rsid w:val="00313671"/>
    <w:rsid w:val="00313E69"/>
    <w:rsid w:val="003142E6"/>
    <w:rsid w:val="003148C5"/>
    <w:rsid w:val="00314C9F"/>
    <w:rsid w:val="00315F48"/>
    <w:rsid w:val="00316C2C"/>
    <w:rsid w:val="003179FA"/>
    <w:rsid w:val="00317EDA"/>
    <w:rsid w:val="00320EB3"/>
    <w:rsid w:val="00322218"/>
    <w:rsid w:val="00326269"/>
    <w:rsid w:val="00330A3F"/>
    <w:rsid w:val="00331FE0"/>
    <w:rsid w:val="00336A60"/>
    <w:rsid w:val="00341ABA"/>
    <w:rsid w:val="00342CD8"/>
    <w:rsid w:val="00343A0C"/>
    <w:rsid w:val="00346C56"/>
    <w:rsid w:val="00347943"/>
    <w:rsid w:val="00350399"/>
    <w:rsid w:val="00350E63"/>
    <w:rsid w:val="00351C9D"/>
    <w:rsid w:val="00353544"/>
    <w:rsid w:val="00353E51"/>
    <w:rsid w:val="00354942"/>
    <w:rsid w:val="00354C34"/>
    <w:rsid w:val="003607F3"/>
    <w:rsid w:val="00362133"/>
    <w:rsid w:val="003637BF"/>
    <w:rsid w:val="00366EFC"/>
    <w:rsid w:val="00371DCC"/>
    <w:rsid w:val="00372AB1"/>
    <w:rsid w:val="00374549"/>
    <w:rsid w:val="003751E4"/>
    <w:rsid w:val="003773C0"/>
    <w:rsid w:val="00380717"/>
    <w:rsid w:val="00381A96"/>
    <w:rsid w:val="00381B5C"/>
    <w:rsid w:val="00382FCF"/>
    <w:rsid w:val="00386508"/>
    <w:rsid w:val="003866F4"/>
    <w:rsid w:val="003929F6"/>
    <w:rsid w:val="003941E3"/>
    <w:rsid w:val="00394752"/>
    <w:rsid w:val="003949B6"/>
    <w:rsid w:val="003A02C9"/>
    <w:rsid w:val="003A1031"/>
    <w:rsid w:val="003A1506"/>
    <w:rsid w:val="003A1774"/>
    <w:rsid w:val="003A17E0"/>
    <w:rsid w:val="003A26BB"/>
    <w:rsid w:val="003A3B61"/>
    <w:rsid w:val="003A6A21"/>
    <w:rsid w:val="003A7EA1"/>
    <w:rsid w:val="003B0063"/>
    <w:rsid w:val="003B080D"/>
    <w:rsid w:val="003B1D81"/>
    <w:rsid w:val="003B1FFC"/>
    <w:rsid w:val="003B303A"/>
    <w:rsid w:val="003B3ECA"/>
    <w:rsid w:val="003B694D"/>
    <w:rsid w:val="003B75C1"/>
    <w:rsid w:val="003C02E0"/>
    <w:rsid w:val="003C0A5F"/>
    <w:rsid w:val="003C2573"/>
    <w:rsid w:val="003C57EB"/>
    <w:rsid w:val="003C6BCE"/>
    <w:rsid w:val="003D23D6"/>
    <w:rsid w:val="003D2769"/>
    <w:rsid w:val="003D28E9"/>
    <w:rsid w:val="003D77B2"/>
    <w:rsid w:val="003E0A97"/>
    <w:rsid w:val="003E0D48"/>
    <w:rsid w:val="003E4DE6"/>
    <w:rsid w:val="003E5825"/>
    <w:rsid w:val="003E5EA9"/>
    <w:rsid w:val="003E73E6"/>
    <w:rsid w:val="003F1C81"/>
    <w:rsid w:val="003F5115"/>
    <w:rsid w:val="003F6999"/>
    <w:rsid w:val="00401627"/>
    <w:rsid w:val="0040254B"/>
    <w:rsid w:val="0040589E"/>
    <w:rsid w:val="0040780A"/>
    <w:rsid w:val="00410D8F"/>
    <w:rsid w:val="00410F60"/>
    <w:rsid w:val="004118E0"/>
    <w:rsid w:val="00412D08"/>
    <w:rsid w:val="0041465A"/>
    <w:rsid w:val="00416A8C"/>
    <w:rsid w:val="004171DB"/>
    <w:rsid w:val="004178CB"/>
    <w:rsid w:val="00417B7A"/>
    <w:rsid w:val="00422B9C"/>
    <w:rsid w:val="00422C8E"/>
    <w:rsid w:val="0042391D"/>
    <w:rsid w:val="0042461E"/>
    <w:rsid w:val="00425826"/>
    <w:rsid w:val="004275C8"/>
    <w:rsid w:val="00432E0D"/>
    <w:rsid w:val="00435C60"/>
    <w:rsid w:val="00437066"/>
    <w:rsid w:val="00437249"/>
    <w:rsid w:val="00441874"/>
    <w:rsid w:val="0044551C"/>
    <w:rsid w:val="00446472"/>
    <w:rsid w:val="00446A3C"/>
    <w:rsid w:val="00446CE2"/>
    <w:rsid w:val="00447C62"/>
    <w:rsid w:val="004503BB"/>
    <w:rsid w:val="004513CF"/>
    <w:rsid w:val="00452682"/>
    <w:rsid w:val="00455C7B"/>
    <w:rsid w:val="00457724"/>
    <w:rsid w:val="00461D98"/>
    <w:rsid w:val="004648D3"/>
    <w:rsid w:val="00465A7E"/>
    <w:rsid w:val="004668E6"/>
    <w:rsid w:val="004669EB"/>
    <w:rsid w:val="0046799C"/>
    <w:rsid w:val="00474405"/>
    <w:rsid w:val="0047478B"/>
    <w:rsid w:val="00475483"/>
    <w:rsid w:val="00476CB1"/>
    <w:rsid w:val="00481450"/>
    <w:rsid w:val="00481B36"/>
    <w:rsid w:val="0048390B"/>
    <w:rsid w:val="00484F68"/>
    <w:rsid w:val="00490847"/>
    <w:rsid w:val="004915D2"/>
    <w:rsid w:val="00492B73"/>
    <w:rsid w:val="00494111"/>
    <w:rsid w:val="004964D7"/>
    <w:rsid w:val="004A0392"/>
    <w:rsid w:val="004A071B"/>
    <w:rsid w:val="004A2BBC"/>
    <w:rsid w:val="004A46CC"/>
    <w:rsid w:val="004A6795"/>
    <w:rsid w:val="004B0D54"/>
    <w:rsid w:val="004B4152"/>
    <w:rsid w:val="004B62FF"/>
    <w:rsid w:val="004C3863"/>
    <w:rsid w:val="004C5B6A"/>
    <w:rsid w:val="004C7812"/>
    <w:rsid w:val="004D1F25"/>
    <w:rsid w:val="004D253A"/>
    <w:rsid w:val="004D62CD"/>
    <w:rsid w:val="004D64D8"/>
    <w:rsid w:val="004F0B74"/>
    <w:rsid w:val="004F1201"/>
    <w:rsid w:val="004F1629"/>
    <w:rsid w:val="004F3F42"/>
    <w:rsid w:val="004F493C"/>
    <w:rsid w:val="00505151"/>
    <w:rsid w:val="00510B31"/>
    <w:rsid w:val="00514703"/>
    <w:rsid w:val="00517080"/>
    <w:rsid w:val="00520C04"/>
    <w:rsid w:val="00524629"/>
    <w:rsid w:val="00525772"/>
    <w:rsid w:val="00525834"/>
    <w:rsid w:val="00531424"/>
    <w:rsid w:val="00535516"/>
    <w:rsid w:val="00537F22"/>
    <w:rsid w:val="00542523"/>
    <w:rsid w:val="00543985"/>
    <w:rsid w:val="00544EBD"/>
    <w:rsid w:val="00551D4E"/>
    <w:rsid w:val="00553F49"/>
    <w:rsid w:val="00557FE1"/>
    <w:rsid w:val="005604DC"/>
    <w:rsid w:val="005637D0"/>
    <w:rsid w:val="0056487B"/>
    <w:rsid w:val="0056571E"/>
    <w:rsid w:val="00565748"/>
    <w:rsid w:val="00571035"/>
    <w:rsid w:val="00571EAC"/>
    <w:rsid w:val="00572610"/>
    <w:rsid w:val="00575F5E"/>
    <w:rsid w:val="00577675"/>
    <w:rsid w:val="00581EE2"/>
    <w:rsid w:val="00581F96"/>
    <w:rsid w:val="00582CD2"/>
    <w:rsid w:val="00583141"/>
    <w:rsid w:val="00584664"/>
    <w:rsid w:val="00584812"/>
    <w:rsid w:val="0058606F"/>
    <w:rsid w:val="0058615C"/>
    <w:rsid w:val="00586189"/>
    <w:rsid w:val="0058753C"/>
    <w:rsid w:val="005904F8"/>
    <w:rsid w:val="00591AE6"/>
    <w:rsid w:val="00594769"/>
    <w:rsid w:val="005955FE"/>
    <w:rsid w:val="00595CCE"/>
    <w:rsid w:val="00597C9C"/>
    <w:rsid w:val="00597FEB"/>
    <w:rsid w:val="005A0484"/>
    <w:rsid w:val="005A19C0"/>
    <w:rsid w:val="005A3631"/>
    <w:rsid w:val="005A3D02"/>
    <w:rsid w:val="005A4567"/>
    <w:rsid w:val="005A4E2C"/>
    <w:rsid w:val="005A501A"/>
    <w:rsid w:val="005A52EB"/>
    <w:rsid w:val="005A66CB"/>
    <w:rsid w:val="005B0472"/>
    <w:rsid w:val="005B05A6"/>
    <w:rsid w:val="005B21F2"/>
    <w:rsid w:val="005C047E"/>
    <w:rsid w:val="005C04FA"/>
    <w:rsid w:val="005C1F55"/>
    <w:rsid w:val="005C228F"/>
    <w:rsid w:val="005C272F"/>
    <w:rsid w:val="005C2F17"/>
    <w:rsid w:val="005C4FFD"/>
    <w:rsid w:val="005C6D71"/>
    <w:rsid w:val="005D01A8"/>
    <w:rsid w:val="005D4A7F"/>
    <w:rsid w:val="005D5527"/>
    <w:rsid w:val="005D6077"/>
    <w:rsid w:val="005E1375"/>
    <w:rsid w:val="005E444A"/>
    <w:rsid w:val="005E7695"/>
    <w:rsid w:val="005F162C"/>
    <w:rsid w:val="005F1ACA"/>
    <w:rsid w:val="005F430F"/>
    <w:rsid w:val="005F435C"/>
    <w:rsid w:val="005F53E1"/>
    <w:rsid w:val="00605805"/>
    <w:rsid w:val="00611E0A"/>
    <w:rsid w:val="00613585"/>
    <w:rsid w:val="006150A8"/>
    <w:rsid w:val="0062522C"/>
    <w:rsid w:val="006254EB"/>
    <w:rsid w:val="00626C58"/>
    <w:rsid w:val="00634671"/>
    <w:rsid w:val="0063567F"/>
    <w:rsid w:val="00635BDF"/>
    <w:rsid w:val="00635EC3"/>
    <w:rsid w:val="00636860"/>
    <w:rsid w:val="00637A61"/>
    <w:rsid w:val="0064008B"/>
    <w:rsid w:val="00640557"/>
    <w:rsid w:val="0064185E"/>
    <w:rsid w:val="00641AC0"/>
    <w:rsid w:val="00644268"/>
    <w:rsid w:val="006446C6"/>
    <w:rsid w:val="006454A9"/>
    <w:rsid w:val="00645FA6"/>
    <w:rsid w:val="00654F44"/>
    <w:rsid w:val="0065508C"/>
    <w:rsid w:val="00656171"/>
    <w:rsid w:val="0065734A"/>
    <w:rsid w:val="0065761C"/>
    <w:rsid w:val="00663867"/>
    <w:rsid w:val="006648AF"/>
    <w:rsid w:val="0066553C"/>
    <w:rsid w:val="00665608"/>
    <w:rsid w:val="0066577A"/>
    <w:rsid w:val="00666769"/>
    <w:rsid w:val="00670448"/>
    <w:rsid w:val="006714AC"/>
    <w:rsid w:val="00671E2B"/>
    <w:rsid w:val="00671EE9"/>
    <w:rsid w:val="00672F90"/>
    <w:rsid w:val="00674E90"/>
    <w:rsid w:val="00676591"/>
    <w:rsid w:val="0067684B"/>
    <w:rsid w:val="00677BF6"/>
    <w:rsid w:val="00680B76"/>
    <w:rsid w:val="00680C3F"/>
    <w:rsid w:val="00682BCD"/>
    <w:rsid w:val="00682C8B"/>
    <w:rsid w:val="006846FB"/>
    <w:rsid w:val="00690B57"/>
    <w:rsid w:val="006938E0"/>
    <w:rsid w:val="00693961"/>
    <w:rsid w:val="006959AF"/>
    <w:rsid w:val="006A06E6"/>
    <w:rsid w:val="006A3DE8"/>
    <w:rsid w:val="006A4556"/>
    <w:rsid w:val="006A5748"/>
    <w:rsid w:val="006A7614"/>
    <w:rsid w:val="006B0652"/>
    <w:rsid w:val="006B1BDD"/>
    <w:rsid w:val="006B2B5D"/>
    <w:rsid w:val="006B43E8"/>
    <w:rsid w:val="006B6E92"/>
    <w:rsid w:val="006B77FB"/>
    <w:rsid w:val="006C22F9"/>
    <w:rsid w:val="006C5B99"/>
    <w:rsid w:val="006C5F78"/>
    <w:rsid w:val="006D03F2"/>
    <w:rsid w:val="006D2CC3"/>
    <w:rsid w:val="006D413F"/>
    <w:rsid w:val="006D44FA"/>
    <w:rsid w:val="006D67B8"/>
    <w:rsid w:val="006D6B4E"/>
    <w:rsid w:val="006E1389"/>
    <w:rsid w:val="006E2AEF"/>
    <w:rsid w:val="006E3BA5"/>
    <w:rsid w:val="006E3DE1"/>
    <w:rsid w:val="006F053F"/>
    <w:rsid w:val="006F09D5"/>
    <w:rsid w:val="006F32C5"/>
    <w:rsid w:val="006F6A2B"/>
    <w:rsid w:val="006F6B72"/>
    <w:rsid w:val="00702D34"/>
    <w:rsid w:val="007071D8"/>
    <w:rsid w:val="00707664"/>
    <w:rsid w:val="00710E0E"/>
    <w:rsid w:val="00711CA6"/>
    <w:rsid w:val="00712A21"/>
    <w:rsid w:val="0071369B"/>
    <w:rsid w:val="00717769"/>
    <w:rsid w:val="00717B10"/>
    <w:rsid w:val="00720A3E"/>
    <w:rsid w:val="007214EF"/>
    <w:rsid w:val="00723C00"/>
    <w:rsid w:val="007246CA"/>
    <w:rsid w:val="00724908"/>
    <w:rsid w:val="00725B8D"/>
    <w:rsid w:val="00726DD4"/>
    <w:rsid w:val="00730892"/>
    <w:rsid w:val="00731422"/>
    <w:rsid w:val="00733688"/>
    <w:rsid w:val="0073447B"/>
    <w:rsid w:val="0073463C"/>
    <w:rsid w:val="00734D5E"/>
    <w:rsid w:val="00735D58"/>
    <w:rsid w:val="00737C7C"/>
    <w:rsid w:val="00742342"/>
    <w:rsid w:val="00742C8C"/>
    <w:rsid w:val="00744CFB"/>
    <w:rsid w:val="0074653C"/>
    <w:rsid w:val="00747001"/>
    <w:rsid w:val="00747B99"/>
    <w:rsid w:val="007503EE"/>
    <w:rsid w:val="00750580"/>
    <w:rsid w:val="0075064E"/>
    <w:rsid w:val="0075111A"/>
    <w:rsid w:val="007525FD"/>
    <w:rsid w:val="00752F59"/>
    <w:rsid w:val="007549C7"/>
    <w:rsid w:val="00754E03"/>
    <w:rsid w:val="0075608D"/>
    <w:rsid w:val="00757563"/>
    <w:rsid w:val="00763A57"/>
    <w:rsid w:val="007706DA"/>
    <w:rsid w:val="00772751"/>
    <w:rsid w:val="0077297B"/>
    <w:rsid w:val="00773734"/>
    <w:rsid w:val="0078127B"/>
    <w:rsid w:val="0078413A"/>
    <w:rsid w:val="00784BA2"/>
    <w:rsid w:val="00785832"/>
    <w:rsid w:val="00786B85"/>
    <w:rsid w:val="007959C1"/>
    <w:rsid w:val="00795C91"/>
    <w:rsid w:val="00797BB1"/>
    <w:rsid w:val="007A0EBA"/>
    <w:rsid w:val="007A1622"/>
    <w:rsid w:val="007A5803"/>
    <w:rsid w:val="007B2015"/>
    <w:rsid w:val="007B5799"/>
    <w:rsid w:val="007B6D9E"/>
    <w:rsid w:val="007B705F"/>
    <w:rsid w:val="007C0CD8"/>
    <w:rsid w:val="007C1E2F"/>
    <w:rsid w:val="007C21D9"/>
    <w:rsid w:val="007C26A3"/>
    <w:rsid w:val="007C3366"/>
    <w:rsid w:val="007C3668"/>
    <w:rsid w:val="007C39B1"/>
    <w:rsid w:val="007C3BBE"/>
    <w:rsid w:val="007C4167"/>
    <w:rsid w:val="007C53FF"/>
    <w:rsid w:val="007C5524"/>
    <w:rsid w:val="007C561A"/>
    <w:rsid w:val="007C57F5"/>
    <w:rsid w:val="007C5D61"/>
    <w:rsid w:val="007D1A97"/>
    <w:rsid w:val="007D3251"/>
    <w:rsid w:val="007D3DB4"/>
    <w:rsid w:val="007D4181"/>
    <w:rsid w:val="007D4918"/>
    <w:rsid w:val="007D64C8"/>
    <w:rsid w:val="007E1553"/>
    <w:rsid w:val="007E28A3"/>
    <w:rsid w:val="007E4B90"/>
    <w:rsid w:val="007E6625"/>
    <w:rsid w:val="007E6AB2"/>
    <w:rsid w:val="007E6C7E"/>
    <w:rsid w:val="007F0DA1"/>
    <w:rsid w:val="007F1C0F"/>
    <w:rsid w:val="007F2742"/>
    <w:rsid w:val="007F3E0A"/>
    <w:rsid w:val="007F58E6"/>
    <w:rsid w:val="007F686C"/>
    <w:rsid w:val="007F76BA"/>
    <w:rsid w:val="00806376"/>
    <w:rsid w:val="00813568"/>
    <w:rsid w:val="00813E82"/>
    <w:rsid w:val="00815ABB"/>
    <w:rsid w:val="008169DF"/>
    <w:rsid w:val="00816DF1"/>
    <w:rsid w:val="008213BD"/>
    <w:rsid w:val="00823114"/>
    <w:rsid w:val="00831808"/>
    <w:rsid w:val="00833128"/>
    <w:rsid w:val="008351EA"/>
    <w:rsid w:val="00840E7C"/>
    <w:rsid w:val="008421A1"/>
    <w:rsid w:val="008432EE"/>
    <w:rsid w:val="00844146"/>
    <w:rsid w:val="00847AF6"/>
    <w:rsid w:val="00850C1F"/>
    <w:rsid w:val="00850CF2"/>
    <w:rsid w:val="00851DFB"/>
    <w:rsid w:val="0086314C"/>
    <w:rsid w:val="008642E1"/>
    <w:rsid w:val="0086519F"/>
    <w:rsid w:val="00865D38"/>
    <w:rsid w:val="0087381A"/>
    <w:rsid w:val="0088073C"/>
    <w:rsid w:val="00881BA0"/>
    <w:rsid w:val="008840EE"/>
    <w:rsid w:val="00884F80"/>
    <w:rsid w:val="00887B03"/>
    <w:rsid w:val="008927DE"/>
    <w:rsid w:val="00892DD5"/>
    <w:rsid w:val="00893B1D"/>
    <w:rsid w:val="00894485"/>
    <w:rsid w:val="00894AA5"/>
    <w:rsid w:val="00895A2A"/>
    <w:rsid w:val="00896350"/>
    <w:rsid w:val="008972FB"/>
    <w:rsid w:val="0089763E"/>
    <w:rsid w:val="008A1E86"/>
    <w:rsid w:val="008A3B53"/>
    <w:rsid w:val="008A4FD2"/>
    <w:rsid w:val="008A7301"/>
    <w:rsid w:val="008A7885"/>
    <w:rsid w:val="008B0141"/>
    <w:rsid w:val="008B032B"/>
    <w:rsid w:val="008B04A2"/>
    <w:rsid w:val="008B0C7C"/>
    <w:rsid w:val="008B1F5A"/>
    <w:rsid w:val="008B43D6"/>
    <w:rsid w:val="008B6AE2"/>
    <w:rsid w:val="008C0EA3"/>
    <w:rsid w:val="008C1281"/>
    <w:rsid w:val="008C1FED"/>
    <w:rsid w:val="008C4666"/>
    <w:rsid w:val="008C4DBF"/>
    <w:rsid w:val="008D0DC0"/>
    <w:rsid w:val="008D129A"/>
    <w:rsid w:val="008D3A82"/>
    <w:rsid w:val="008D473B"/>
    <w:rsid w:val="008D50F9"/>
    <w:rsid w:val="008D5181"/>
    <w:rsid w:val="008D5B53"/>
    <w:rsid w:val="008E12AE"/>
    <w:rsid w:val="008E27F1"/>
    <w:rsid w:val="008E42CD"/>
    <w:rsid w:val="008E5018"/>
    <w:rsid w:val="008E602B"/>
    <w:rsid w:val="008F1189"/>
    <w:rsid w:val="008F2F4B"/>
    <w:rsid w:val="008F312B"/>
    <w:rsid w:val="008F54E9"/>
    <w:rsid w:val="008F5A8F"/>
    <w:rsid w:val="009009D0"/>
    <w:rsid w:val="00902B68"/>
    <w:rsid w:val="00903CAA"/>
    <w:rsid w:val="00912344"/>
    <w:rsid w:val="00913784"/>
    <w:rsid w:val="009156D2"/>
    <w:rsid w:val="00915714"/>
    <w:rsid w:val="009159CE"/>
    <w:rsid w:val="0092134D"/>
    <w:rsid w:val="009279C3"/>
    <w:rsid w:val="00930945"/>
    <w:rsid w:val="009311E0"/>
    <w:rsid w:val="00931BDB"/>
    <w:rsid w:val="00936037"/>
    <w:rsid w:val="00940A9A"/>
    <w:rsid w:val="00941387"/>
    <w:rsid w:val="00941DF2"/>
    <w:rsid w:val="0094240E"/>
    <w:rsid w:val="00943107"/>
    <w:rsid w:val="00944D67"/>
    <w:rsid w:val="009527CF"/>
    <w:rsid w:val="00952FE4"/>
    <w:rsid w:val="0095303E"/>
    <w:rsid w:val="00955CD5"/>
    <w:rsid w:val="00956F27"/>
    <w:rsid w:val="0095754B"/>
    <w:rsid w:val="009603FE"/>
    <w:rsid w:val="009614A2"/>
    <w:rsid w:val="00962113"/>
    <w:rsid w:val="0096291A"/>
    <w:rsid w:val="00962DFA"/>
    <w:rsid w:val="00963853"/>
    <w:rsid w:val="009679F6"/>
    <w:rsid w:val="00972188"/>
    <w:rsid w:val="00972701"/>
    <w:rsid w:val="00972A9C"/>
    <w:rsid w:val="00980DB0"/>
    <w:rsid w:val="00991B19"/>
    <w:rsid w:val="009930E6"/>
    <w:rsid w:val="00994196"/>
    <w:rsid w:val="00994EDD"/>
    <w:rsid w:val="00997375"/>
    <w:rsid w:val="009B20BD"/>
    <w:rsid w:val="009B24B5"/>
    <w:rsid w:val="009B297B"/>
    <w:rsid w:val="009B2BE1"/>
    <w:rsid w:val="009B3D69"/>
    <w:rsid w:val="009B4964"/>
    <w:rsid w:val="009B4DF8"/>
    <w:rsid w:val="009B61A1"/>
    <w:rsid w:val="009C0EAF"/>
    <w:rsid w:val="009C179A"/>
    <w:rsid w:val="009C1F87"/>
    <w:rsid w:val="009C43ED"/>
    <w:rsid w:val="009C4947"/>
    <w:rsid w:val="009C67C5"/>
    <w:rsid w:val="009D0CA4"/>
    <w:rsid w:val="009D26CB"/>
    <w:rsid w:val="009D4347"/>
    <w:rsid w:val="009D6ABF"/>
    <w:rsid w:val="009E1317"/>
    <w:rsid w:val="009E2F77"/>
    <w:rsid w:val="009E3329"/>
    <w:rsid w:val="009E3D94"/>
    <w:rsid w:val="009E7EE8"/>
    <w:rsid w:val="009F2318"/>
    <w:rsid w:val="009F3745"/>
    <w:rsid w:val="009F55ED"/>
    <w:rsid w:val="00A004C9"/>
    <w:rsid w:val="00A00D1B"/>
    <w:rsid w:val="00A01202"/>
    <w:rsid w:val="00A03DFF"/>
    <w:rsid w:val="00A0648F"/>
    <w:rsid w:val="00A10ACD"/>
    <w:rsid w:val="00A119EC"/>
    <w:rsid w:val="00A129F1"/>
    <w:rsid w:val="00A12C39"/>
    <w:rsid w:val="00A13C75"/>
    <w:rsid w:val="00A17481"/>
    <w:rsid w:val="00A17C5D"/>
    <w:rsid w:val="00A24009"/>
    <w:rsid w:val="00A2587F"/>
    <w:rsid w:val="00A26CF0"/>
    <w:rsid w:val="00A31BC3"/>
    <w:rsid w:val="00A328EA"/>
    <w:rsid w:val="00A3304F"/>
    <w:rsid w:val="00A33ED3"/>
    <w:rsid w:val="00A34D09"/>
    <w:rsid w:val="00A364E8"/>
    <w:rsid w:val="00A36752"/>
    <w:rsid w:val="00A37976"/>
    <w:rsid w:val="00A4089E"/>
    <w:rsid w:val="00A40FAC"/>
    <w:rsid w:val="00A43B1C"/>
    <w:rsid w:val="00A451BB"/>
    <w:rsid w:val="00A4582D"/>
    <w:rsid w:val="00A460DB"/>
    <w:rsid w:val="00A467CE"/>
    <w:rsid w:val="00A50614"/>
    <w:rsid w:val="00A52BCE"/>
    <w:rsid w:val="00A5366E"/>
    <w:rsid w:val="00A536E3"/>
    <w:rsid w:val="00A553D5"/>
    <w:rsid w:val="00A566F3"/>
    <w:rsid w:val="00A56BB5"/>
    <w:rsid w:val="00A56C6B"/>
    <w:rsid w:val="00A60FFF"/>
    <w:rsid w:val="00A61A2C"/>
    <w:rsid w:val="00A6306A"/>
    <w:rsid w:val="00A63890"/>
    <w:rsid w:val="00A656E4"/>
    <w:rsid w:val="00A67631"/>
    <w:rsid w:val="00A678FC"/>
    <w:rsid w:val="00A67993"/>
    <w:rsid w:val="00A70088"/>
    <w:rsid w:val="00A70D7F"/>
    <w:rsid w:val="00A71B7A"/>
    <w:rsid w:val="00A72CF0"/>
    <w:rsid w:val="00A80A4F"/>
    <w:rsid w:val="00A85E2A"/>
    <w:rsid w:val="00A90193"/>
    <w:rsid w:val="00A90D16"/>
    <w:rsid w:val="00A91891"/>
    <w:rsid w:val="00A94AD2"/>
    <w:rsid w:val="00A9613A"/>
    <w:rsid w:val="00A973B2"/>
    <w:rsid w:val="00AA0035"/>
    <w:rsid w:val="00AA2B00"/>
    <w:rsid w:val="00AA42DA"/>
    <w:rsid w:val="00AA56E3"/>
    <w:rsid w:val="00AA6D3B"/>
    <w:rsid w:val="00AB0F92"/>
    <w:rsid w:val="00AB12FF"/>
    <w:rsid w:val="00AB2F66"/>
    <w:rsid w:val="00AB3B16"/>
    <w:rsid w:val="00AB567E"/>
    <w:rsid w:val="00AC02AA"/>
    <w:rsid w:val="00AC08A8"/>
    <w:rsid w:val="00AC1BB6"/>
    <w:rsid w:val="00AC3943"/>
    <w:rsid w:val="00AC4285"/>
    <w:rsid w:val="00AC4317"/>
    <w:rsid w:val="00AC4408"/>
    <w:rsid w:val="00AC443A"/>
    <w:rsid w:val="00AC5EBF"/>
    <w:rsid w:val="00AC6981"/>
    <w:rsid w:val="00AD02D0"/>
    <w:rsid w:val="00AD0BDE"/>
    <w:rsid w:val="00AD304E"/>
    <w:rsid w:val="00AD4163"/>
    <w:rsid w:val="00AD52D0"/>
    <w:rsid w:val="00AD5F31"/>
    <w:rsid w:val="00AE0783"/>
    <w:rsid w:val="00AE1ADB"/>
    <w:rsid w:val="00AE3A26"/>
    <w:rsid w:val="00AE79D1"/>
    <w:rsid w:val="00AF1B2F"/>
    <w:rsid w:val="00AF2F48"/>
    <w:rsid w:val="00B0022B"/>
    <w:rsid w:val="00B00519"/>
    <w:rsid w:val="00B005AC"/>
    <w:rsid w:val="00B1115D"/>
    <w:rsid w:val="00B13000"/>
    <w:rsid w:val="00B16541"/>
    <w:rsid w:val="00B16D1B"/>
    <w:rsid w:val="00B21550"/>
    <w:rsid w:val="00B24137"/>
    <w:rsid w:val="00B24C3B"/>
    <w:rsid w:val="00B256F3"/>
    <w:rsid w:val="00B31FEF"/>
    <w:rsid w:val="00B3212D"/>
    <w:rsid w:val="00B325E1"/>
    <w:rsid w:val="00B33801"/>
    <w:rsid w:val="00B350C2"/>
    <w:rsid w:val="00B3588C"/>
    <w:rsid w:val="00B35CDB"/>
    <w:rsid w:val="00B408B7"/>
    <w:rsid w:val="00B4133F"/>
    <w:rsid w:val="00B43736"/>
    <w:rsid w:val="00B473AB"/>
    <w:rsid w:val="00B47B83"/>
    <w:rsid w:val="00B51B40"/>
    <w:rsid w:val="00B528FB"/>
    <w:rsid w:val="00B559AA"/>
    <w:rsid w:val="00B564BC"/>
    <w:rsid w:val="00B56DE8"/>
    <w:rsid w:val="00B62F9D"/>
    <w:rsid w:val="00B63270"/>
    <w:rsid w:val="00B64400"/>
    <w:rsid w:val="00B65228"/>
    <w:rsid w:val="00B65698"/>
    <w:rsid w:val="00B7023D"/>
    <w:rsid w:val="00B70CD9"/>
    <w:rsid w:val="00B714B7"/>
    <w:rsid w:val="00B71A5B"/>
    <w:rsid w:val="00B77C7A"/>
    <w:rsid w:val="00B82E71"/>
    <w:rsid w:val="00B83493"/>
    <w:rsid w:val="00B91FAB"/>
    <w:rsid w:val="00B940DD"/>
    <w:rsid w:val="00B95847"/>
    <w:rsid w:val="00B966ED"/>
    <w:rsid w:val="00BA268A"/>
    <w:rsid w:val="00BA3D8F"/>
    <w:rsid w:val="00BA4312"/>
    <w:rsid w:val="00BA65A5"/>
    <w:rsid w:val="00BB1D43"/>
    <w:rsid w:val="00BB2120"/>
    <w:rsid w:val="00BB3C50"/>
    <w:rsid w:val="00BB3D67"/>
    <w:rsid w:val="00BB6A0B"/>
    <w:rsid w:val="00BB722C"/>
    <w:rsid w:val="00BC5176"/>
    <w:rsid w:val="00BD1A05"/>
    <w:rsid w:val="00BD6891"/>
    <w:rsid w:val="00BD7A6D"/>
    <w:rsid w:val="00BE16E5"/>
    <w:rsid w:val="00BE1B60"/>
    <w:rsid w:val="00BE335A"/>
    <w:rsid w:val="00BE632C"/>
    <w:rsid w:val="00BE6685"/>
    <w:rsid w:val="00BE77EA"/>
    <w:rsid w:val="00BF187B"/>
    <w:rsid w:val="00BF1BE0"/>
    <w:rsid w:val="00BF2A7C"/>
    <w:rsid w:val="00C02961"/>
    <w:rsid w:val="00C02B5E"/>
    <w:rsid w:val="00C057EF"/>
    <w:rsid w:val="00C05F2F"/>
    <w:rsid w:val="00C061C9"/>
    <w:rsid w:val="00C14296"/>
    <w:rsid w:val="00C16B6E"/>
    <w:rsid w:val="00C2333D"/>
    <w:rsid w:val="00C2452C"/>
    <w:rsid w:val="00C26507"/>
    <w:rsid w:val="00C26523"/>
    <w:rsid w:val="00C2695D"/>
    <w:rsid w:val="00C27D95"/>
    <w:rsid w:val="00C32209"/>
    <w:rsid w:val="00C32246"/>
    <w:rsid w:val="00C4260B"/>
    <w:rsid w:val="00C43792"/>
    <w:rsid w:val="00C450AE"/>
    <w:rsid w:val="00C53387"/>
    <w:rsid w:val="00C546B7"/>
    <w:rsid w:val="00C56ED2"/>
    <w:rsid w:val="00C62871"/>
    <w:rsid w:val="00C6623A"/>
    <w:rsid w:val="00C673E2"/>
    <w:rsid w:val="00C70B6C"/>
    <w:rsid w:val="00C71AA3"/>
    <w:rsid w:val="00C73445"/>
    <w:rsid w:val="00C74089"/>
    <w:rsid w:val="00C758F5"/>
    <w:rsid w:val="00C76E74"/>
    <w:rsid w:val="00C80747"/>
    <w:rsid w:val="00C82F27"/>
    <w:rsid w:val="00C90E85"/>
    <w:rsid w:val="00C92283"/>
    <w:rsid w:val="00C92371"/>
    <w:rsid w:val="00C92E5D"/>
    <w:rsid w:val="00C93509"/>
    <w:rsid w:val="00C9777C"/>
    <w:rsid w:val="00CA0455"/>
    <w:rsid w:val="00CA2DF4"/>
    <w:rsid w:val="00CA4A39"/>
    <w:rsid w:val="00CA4C69"/>
    <w:rsid w:val="00CA50D7"/>
    <w:rsid w:val="00CA58CB"/>
    <w:rsid w:val="00CA6176"/>
    <w:rsid w:val="00CB08DF"/>
    <w:rsid w:val="00CB137C"/>
    <w:rsid w:val="00CB1BDF"/>
    <w:rsid w:val="00CB4E54"/>
    <w:rsid w:val="00CB55F9"/>
    <w:rsid w:val="00CB6AA7"/>
    <w:rsid w:val="00CC0932"/>
    <w:rsid w:val="00CC215D"/>
    <w:rsid w:val="00CC3F2F"/>
    <w:rsid w:val="00CC5D5C"/>
    <w:rsid w:val="00CC602E"/>
    <w:rsid w:val="00CC62E0"/>
    <w:rsid w:val="00CC6526"/>
    <w:rsid w:val="00CD0EB5"/>
    <w:rsid w:val="00CD6D27"/>
    <w:rsid w:val="00CD6F65"/>
    <w:rsid w:val="00CE16E0"/>
    <w:rsid w:val="00CE2DD1"/>
    <w:rsid w:val="00CE56AA"/>
    <w:rsid w:val="00CE5D2E"/>
    <w:rsid w:val="00CE725A"/>
    <w:rsid w:val="00CF4109"/>
    <w:rsid w:val="00CF50F9"/>
    <w:rsid w:val="00CF5581"/>
    <w:rsid w:val="00D01567"/>
    <w:rsid w:val="00D03D30"/>
    <w:rsid w:val="00D05276"/>
    <w:rsid w:val="00D06CAA"/>
    <w:rsid w:val="00D07496"/>
    <w:rsid w:val="00D11C16"/>
    <w:rsid w:val="00D1214E"/>
    <w:rsid w:val="00D14E65"/>
    <w:rsid w:val="00D14FDB"/>
    <w:rsid w:val="00D150CA"/>
    <w:rsid w:val="00D15D3F"/>
    <w:rsid w:val="00D17482"/>
    <w:rsid w:val="00D17C09"/>
    <w:rsid w:val="00D20BD0"/>
    <w:rsid w:val="00D2311D"/>
    <w:rsid w:val="00D236C1"/>
    <w:rsid w:val="00D27605"/>
    <w:rsid w:val="00D35856"/>
    <w:rsid w:val="00D3638A"/>
    <w:rsid w:val="00D36521"/>
    <w:rsid w:val="00D40E4E"/>
    <w:rsid w:val="00D41C1E"/>
    <w:rsid w:val="00D42C39"/>
    <w:rsid w:val="00D43A2C"/>
    <w:rsid w:val="00D451FE"/>
    <w:rsid w:val="00D459C7"/>
    <w:rsid w:val="00D56BD1"/>
    <w:rsid w:val="00D60370"/>
    <w:rsid w:val="00D62AA3"/>
    <w:rsid w:val="00D62CF0"/>
    <w:rsid w:val="00D62DF9"/>
    <w:rsid w:val="00D67274"/>
    <w:rsid w:val="00D71F5C"/>
    <w:rsid w:val="00D72C0C"/>
    <w:rsid w:val="00D73F97"/>
    <w:rsid w:val="00D76338"/>
    <w:rsid w:val="00D77566"/>
    <w:rsid w:val="00D85629"/>
    <w:rsid w:val="00D90DB4"/>
    <w:rsid w:val="00D94283"/>
    <w:rsid w:val="00DA08F4"/>
    <w:rsid w:val="00DA1FDD"/>
    <w:rsid w:val="00DA371A"/>
    <w:rsid w:val="00DA39C5"/>
    <w:rsid w:val="00DA4DB9"/>
    <w:rsid w:val="00DA621C"/>
    <w:rsid w:val="00DA6EDF"/>
    <w:rsid w:val="00DB4896"/>
    <w:rsid w:val="00DB5A55"/>
    <w:rsid w:val="00DB6227"/>
    <w:rsid w:val="00DB625D"/>
    <w:rsid w:val="00DB70C9"/>
    <w:rsid w:val="00DB7146"/>
    <w:rsid w:val="00DB783D"/>
    <w:rsid w:val="00DC05C1"/>
    <w:rsid w:val="00DC05E8"/>
    <w:rsid w:val="00DC2478"/>
    <w:rsid w:val="00DC31F5"/>
    <w:rsid w:val="00DC7B69"/>
    <w:rsid w:val="00DD0407"/>
    <w:rsid w:val="00DD1D1C"/>
    <w:rsid w:val="00DD5719"/>
    <w:rsid w:val="00DE02D8"/>
    <w:rsid w:val="00DE077C"/>
    <w:rsid w:val="00DE1DED"/>
    <w:rsid w:val="00DE217E"/>
    <w:rsid w:val="00DE264C"/>
    <w:rsid w:val="00DE321A"/>
    <w:rsid w:val="00DE5269"/>
    <w:rsid w:val="00DE5628"/>
    <w:rsid w:val="00DE5A92"/>
    <w:rsid w:val="00DE6AD2"/>
    <w:rsid w:val="00DF047E"/>
    <w:rsid w:val="00DF0795"/>
    <w:rsid w:val="00DF137D"/>
    <w:rsid w:val="00DF40AA"/>
    <w:rsid w:val="00DF4FE3"/>
    <w:rsid w:val="00DF5171"/>
    <w:rsid w:val="00DF6422"/>
    <w:rsid w:val="00E01468"/>
    <w:rsid w:val="00E02F1C"/>
    <w:rsid w:val="00E03491"/>
    <w:rsid w:val="00E04753"/>
    <w:rsid w:val="00E0544B"/>
    <w:rsid w:val="00E07D6B"/>
    <w:rsid w:val="00E11947"/>
    <w:rsid w:val="00E12C39"/>
    <w:rsid w:val="00E13871"/>
    <w:rsid w:val="00E14403"/>
    <w:rsid w:val="00E14953"/>
    <w:rsid w:val="00E15DD4"/>
    <w:rsid w:val="00E16073"/>
    <w:rsid w:val="00E16A37"/>
    <w:rsid w:val="00E17E68"/>
    <w:rsid w:val="00E20266"/>
    <w:rsid w:val="00E24EDB"/>
    <w:rsid w:val="00E31C6D"/>
    <w:rsid w:val="00E33FB4"/>
    <w:rsid w:val="00E35802"/>
    <w:rsid w:val="00E35B95"/>
    <w:rsid w:val="00E366B1"/>
    <w:rsid w:val="00E368CF"/>
    <w:rsid w:val="00E36FE2"/>
    <w:rsid w:val="00E40066"/>
    <w:rsid w:val="00E41B6C"/>
    <w:rsid w:val="00E445CC"/>
    <w:rsid w:val="00E4705D"/>
    <w:rsid w:val="00E51F41"/>
    <w:rsid w:val="00E5391C"/>
    <w:rsid w:val="00E57250"/>
    <w:rsid w:val="00E6158B"/>
    <w:rsid w:val="00E63074"/>
    <w:rsid w:val="00E63ACD"/>
    <w:rsid w:val="00E63F75"/>
    <w:rsid w:val="00E673D2"/>
    <w:rsid w:val="00E701E0"/>
    <w:rsid w:val="00E70971"/>
    <w:rsid w:val="00E72220"/>
    <w:rsid w:val="00E7331A"/>
    <w:rsid w:val="00E736D2"/>
    <w:rsid w:val="00E74213"/>
    <w:rsid w:val="00E757CB"/>
    <w:rsid w:val="00E76CD9"/>
    <w:rsid w:val="00E818C5"/>
    <w:rsid w:val="00E82318"/>
    <w:rsid w:val="00E82449"/>
    <w:rsid w:val="00E82798"/>
    <w:rsid w:val="00E83C3A"/>
    <w:rsid w:val="00E8559E"/>
    <w:rsid w:val="00E86715"/>
    <w:rsid w:val="00E86EF9"/>
    <w:rsid w:val="00E91E19"/>
    <w:rsid w:val="00E93819"/>
    <w:rsid w:val="00E95106"/>
    <w:rsid w:val="00E96B61"/>
    <w:rsid w:val="00E96DF2"/>
    <w:rsid w:val="00EA023E"/>
    <w:rsid w:val="00EA0EBF"/>
    <w:rsid w:val="00EA18CA"/>
    <w:rsid w:val="00EA31F0"/>
    <w:rsid w:val="00EA3348"/>
    <w:rsid w:val="00EA6579"/>
    <w:rsid w:val="00EB7734"/>
    <w:rsid w:val="00EC05FD"/>
    <w:rsid w:val="00EC0B28"/>
    <w:rsid w:val="00EC0B2E"/>
    <w:rsid w:val="00EC279C"/>
    <w:rsid w:val="00EC4C97"/>
    <w:rsid w:val="00EC6351"/>
    <w:rsid w:val="00EC64DF"/>
    <w:rsid w:val="00ED1CC5"/>
    <w:rsid w:val="00ED2753"/>
    <w:rsid w:val="00ED2841"/>
    <w:rsid w:val="00ED47C6"/>
    <w:rsid w:val="00ED49BD"/>
    <w:rsid w:val="00ED79BB"/>
    <w:rsid w:val="00EE0957"/>
    <w:rsid w:val="00EE0E4E"/>
    <w:rsid w:val="00EE68C1"/>
    <w:rsid w:val="00EF0715"/>
    <w:rsid w:val="00EF0B95"/>
    <w:rsid w:val="00EF1732"/>
    <w:rsid w:val="00EF1E98"/>
    <w:rsid w:val="00EF3ABF"/>
    <w:rsid w:val="00EF4231"/>
    <w:rsid w:val="00EF4445"/>
    <w:rsid w:val="00EF4FC2"/>
    <w:rsid w:val="00EF636A"/>
    <w:rsid w:val="00EF63DC"/>
    <w:rsid w:val="00EF6795"/>
    <w:rsid w:val="00EF776D"/>
    <w:rsid w:val="00F03412"/>
    <w:rsid w:val="00F037E5"/>
    <w:rsid w:val="00F05E1F"/>
    <w:rsid w:val="00F06337"/>
    <w:rsid w:val="00F06A85"/>
    <w:rsid w:val="00F11FE7"/>
    <w:rsid w:val="00F142BF"/>
    <w:rsid w:val="00F1508D"/>
    <w:rsid w:val="00F2144F"/>
    <w:rsid w:val="00F279A6"/>
    <w:rsid w:val="00F3352A"/>
    <w:rsid w:val="00F336F6"/>
    <w:rsid w:val="00F34ED2"/>
    <w:rsid w:val="00F36C1D"/>
    <w:rsid w:val="00F37650"/>
    <w:rsid w:val="00F37AC4"/>
    <w:rsid w:val="00F37B98"/>
    <w:rsid w:val="00F40E54"/>
    <w:rsid w:val="00F42C01"/>
    <w:rsid w:val="00F45261"/>
    <w:rsid w:val="00F47CF4"/>
    <w:rsid w:val="00F5243D"/>
    <w:rsid w:val="00F53D41"/>
    <w:rsid w:val="00F554C5"/>
    <w:rsid w:val="00F55993"/>
    <w:rsid w:val="00F570F0"/>
    <w:rsid w:val="00F5755F"/>
    <w:rsid w:val="00F62807"/>
    <w:rsid w:val="00F63796"/>
    <w:rsid w:val="00F64668"/>
    <w:rsid w:val="00F647CA"/>
    <w:rsid w:val="00F6497F"/>
    <w:rsid w:val="00F65773"/>
    <w:rsid w:val="00F65A42"/>
    <w:rsid w:val="00F70AC1"/>
    <w:rsid w:val="00F731D3"/>
    <w:rsid w:val="00F733CF"/>
    <w:rsid w:val="00F73571"/>
    <w:rsid w:val="00F76205"/>
    <w:rsid w:val="00F777EB"/>
    <w:rsid w:val="00F81AA4"/>
    <w:rsid w:val="00F86D10"/>
    <w:rsid w:val="00F86E7B"/>
    <w:rsid w:val="00F90682"/>
    <w:rsid w:val="00F934D8"/>
    <w:rsid w:val="00F96808"/>
    <w:rsid w:val="00F968DD"/>
    <w:rsid w:val="00F97123"/>
    <w:rsid w:val="00F97369"/>
    <w:rsid w:val="00FA059D"/>
    <w:rsid w:val="00FA2139"/>
    <w:rsid w:val="00FA3649"/>
    <w:rsid w:val="00FA63D5"/>
    <w:rsid w:val="00FA7F74"/>
    <w:rsid w:val="00FB0335"/>
    <w:rsid w:val="00FB3239"/>
    <w:rsid w:val="00FB360D"/>
    <w:rsid w:val="00FB367F"/>
    <w:rsid w:val="00FB3929"/>
    <w:rsid w:val="00FB43F3"/>
    <w:rsid w:val="00FB5B4B"/>
    <w:rsid w:val="00FB6B35"/>
    <w:rsid w:val="00FB6B9E"/>
    <w:rsid w:val="00FC0EF5"/>
    <w:rsid w:val="00FC3E4A"/>
    <w:rsid w:val="00FC5464"/>
    <w:rsid w:val="00FC5611"/>
    <w:rsid w:val="00FC5F8C"/>
    <w:rsid w:val="00FC79B6"/>
    <w:rsid w:val="00FD0969"/>
    <w:rsid w:val="00FD1937"/>
    <w:rsid w:val="00FD1CCB"/>
    <w:rsid w:val="00FD28E9"/>
    <w:rsid w:val="00FE2767"/>
    <w:rsid w:val="00FE47CF"/>
    <w:rsid w:val="00FE6987"/>
    <w:rsid w:val="00FF005F"/>
    <w:rsid w:val="00FF0DCF"/>
    <w:rsid w:val="00FF2E47"/>
    <w:rsid w:val="00FF45AF"/>
    <w:rsid w:val="00FF7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Body Text" w:uiPriority="0"/>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F6999"/>
    <w:pPr>
      <w:tabs>
        <w:tab w:val="left" w:pos="432"/>
      </w:tabs>
      <w:spacing w:line="480" w:lineRule="auto"/>
      <w:ind w:firstLine="432"/>
      <w:jc w:val="both"/>
    </w:pPr>
  </w:style>
  <w:style w:type="paragraph" w:styleId="Heading1">
    <w:name w:val="heading 1"/>
    <w:basedOn w:val="Normal"/>
    <w:next w:val="Normal"/>
    <w:qFormat/>
    <w:rsid w:val="003F6999"/>
    <w:pPr>
      <w:numPr>
        <w:numId w:val="10"/>
      </w:numPr>
      <w:spacing w:after="840" w:line="240" w:lineRule="auto"/>
      <w:jc w:val="center"/>
      <w:outlineLvl w:val="0"/>
    </w:pPr>
    <w:rPr>
      <w:b/>
      <w:caps/>
    </w:rPr>
  </w:style>
  <w:style w:type="paragraph" w:styleId="Heading2">
    <w:name w:val="heading 2"/>
    <w:basedOn w:val="Normal"/>
    <w:next w:val="Normal"/>
    <w:qFormat/>
    <w:rsid w:val="003F6999"/>
    <w:pPr>
      <w:keepNext/>
      <w:numPr>
        <w:ilvl w:val="1"/>
        <w:numId w:val="10"/>
      </w:numPr>
      <w:spacing w:after="240" w:line="240" w:lineRule="auto"/>
      <w:outlineLvl w:val="1"/>
    </w:pPr>
    <w:rPr>
      <w:b/>
      <w:caps/>
    </w:rPr>
  </w:style>
  <w:style w:type="paragraph" w:styleId="Heading3">
    <w:name w:val="heading 3"/>
    <w:basedOn w:val="Normal"/>
    <w:next w:val="Normal"/>
    <w:qFormat/>
    <w:rsid w:val="003F6999"/>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F6999"/>
    <w:pPr>
      <w:spacing w:after="240" w:line="240" w:lineRule="auto"/>
      <w:ind w:firstLine="0"/>
      <w:outlineLvl w:val="3"/>
    </w:pPr>
    <w:rPr>
      <w:b/>
    </w:rPr>
  </w:style>
  <w:style w:type="paragraph" w:styleId="Heading5">
    <w:name w:val="heading 5"/>
    <w:aliases w:val="Heading 5 (business proposal only)"/>
    <w:basedOn w:val="Normal"/>
    <w:next w:val="Normal"/>
    <w:qFormat/>
    <w:rsid w:val="003F6999"/>
    <w:pPr>
      <w:numPr>
        <w:ilvl w:val="4"/>
        <w:numId w:val="10"/>
      </w:numPr>
      <w:spacing w:after="240" w:line="240" w:lineRule="auto"/>
      <w:outlineLvl w:val="4"/>
    </w:pPr>
    <w:rPr>
      <w:b/>
    </w:rPr>
  </w:style>
  <w:style w:type="paragraph" w:styleId="Heading6">
    <w:name w:val="heading 6"/>
    <w:aliases w:val="Heading 6 (business proposal only)"/>
    <w:basedOn w:val="Normal"/>
    <w:next w:val="Normal"/>
    <w:qFormat/>
    <w:rsid w:val="003F6999"/>
    <w:pPr>
      <w:numPr>
        <w:ilvl w:val="5"/>
        <w:numId w:val="10"/>
      </w:numPr>
      <w:outlineLvl w:val="5"/>
    </w:pPr>
  </w:style>
  <w:style w:type="paragraph" w:styleId="Heading7">
    <w:name w:val="heading 7"/>
    <w:aliases w:val="Heading 7 (business proposal only)"/>
    <w:basedOn w:val="Normal"/>
    <w:next w:val="Normal"/>
    <w:qFormat/>
    <w:rsid w:val="003F6999"/>
    <w:pPr>
      <w:numPr>
        <w:ilvl w:val="6"/>
        <w:numId w:val="10"/>
      </w:numPr>
      <w:outlineLvl w:val="6"/>
    </w:pPr>
  </w:style>
  <w:style w:type="paragraph" w:styleId="Heading8">
    <w:name w:val="heading 8"/>
    <w:aliases w:val="Heading 8 (business proposal only)"/>
    <w:basedOn w:val="Normal"/>
    <w:next w:val="Normal"/>
    <w:qFormat/>
    <w:rsid w:val="003F6999"/>
    <w:pPr>
      <w:numPr>
        <w:ilvl w:val="7"/>
        <w:numId w:val="10"/>
      </w:numPr>
      <w:outlineLvl w:val="7"/>
    </w:pPr>
  </w:style>
  <w:style w:type="paragraph" w:styleId="Heading9">
    <w:name w:val="heading 9"/>
    <w:aliases w:val="Heading 9 (business proposal only)"/>
    <w:basedOn w:val="Normal"/>
    <w:next w:val="Normal"/>
    <w:qFormat/>
    <w:rsid w:val="003F6999"/>
    <w:pPr>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3F6999"/>
    <w:pPr>
      <w:tabs>
        <w:tab w:val="left" w:pos="1008"/>
        <w:tab w:val="right" w:leader="dot" w:pos="9360"/>
      </w:tabs>
      <w:spacing w:after="240"/>
      <w:ind w:left="1008" w:right="1080" w:hanging="1008"/>
    </w:pPr>
    <w:rPr>
      <w:caps/>
    </w:rPr>
  </w:style>
  <w:style w:type="paragraph" w:customStyle="1" w:styleId="NormalSS">
    <w:name w:val="NormalSS"/>
    <w:basedOn w:val="Normal"/>
    <w:qFormat/>
    <w:rsid w:val="003F6999"/>
    <w:pPr>
      <w:spacing w:after="240" w:line="240" w:lineRule="auto"/>
    </w:pPr>
  </w:style>
  <w:style w:type="paragraph" w:styleId="Footer">
    <w:name w:val="footer"/>
    <w:basedOn w:val="Normal"/>
    <w:link w:val="FooterChar"/>
    <w:qFormat/>
    <w:rsid w:val="003F6999"/>
    <w:pPr>
      <w:tabs>
        <w:tab w:val="center" w:pos="4320"/>
        <w:tab w:val="right" w:pos="8640"/>
      </w:tabs>
      <w:spacing w:before="360" w:line="240" w:lineRule="auto"/>
    </w:pPr>
  </w:style>
  <w:style w:type="character" w:styleId="PageNumber">
    <w:name w:val="page number"/>
    <w:basedOn w:val="DefaultParagraphFont"/>
    <w:semiHidden/>
    <w:qFormat/>
    <w:rsid w:val="003F6999"/>
    <w:rPr>
      <w:rFonts w:ascii="Times New Roman" w:hAnsi="Times New Roman"/>
      <w:sz w:val="24"/>
    </w:rPr>
  </w:style>
  <w:style w:type="paragraph" w:customStyle="1" w:styleId="Heading1Black">
    <w:name w:val="Heading 1_Black"/>
    <w:basedOn w:val="Normal"/>
    <w:next w:val="Normal"/>
    <w:qFormat/>
    <w:rsid w:val="003F6999"/>
    <w:pPr>
      <w:spacing w:before="240" w:after="240" w:line="240" w:lineRule="auto"/>
      <w:ind w:firstLine="0"/>
      <w:jc w:val="center"/>
      <w:outlineLvl w:val="0"/>
    </w:pPr>
    <w:rPr>
      <w:b/>
      <w:caps/>
    </w:rPr>
  </w:style>
  <w:style w:type="paragraph" w:customStyle="1" w:styleId="ParagraphLAST">
    <w:name w:val="Paragraph (LAST)"/>
    <w:basedOn w:val="Normal"/>
    <w:next w:val="Normal"/>
    <w:qFormat/>
    <w:rsid w:val="00DB6227"/>
    <w:pPr>
      <w:spacing w:after="240"/>
    </w:pPr>
  </w:style>
  <w:style w:type="paragraph" w:styleId="TOC2">
    <w:name w:val="toc 2"/>
    <w:next w:val="Normal"/>
    <w:autoRedefine/>
    <w:uiPriority w:val="39"/>
    <w:qFormat/>
    <w:rsid w:val="003F6999"/>
    <w:pPr>
      <w:tabs>
        <w:tab w:val="left" w:pos="1440"/>
        <w:tab w:val="right" w:leader="dot" w:pos="9360"/>
      </w:tabs>
      <w:spacing w:after="240"/>
      <w:ind w:left="1440" w:right="1080" w:hanging="432"/>
    </w:pPr>
    <w:rPr>
      <w:noProof/>
    </w:rPr>
  </w:style>
  <w:style w:type="paragraph" w:styleId="TOC3">
    <w:name w:val="toc 3"/>
    <w:next w:val="Normal"/>
    <w:autoRedefine/>
    <w:qFormat/>
    <w:rsid w:val="003F6999"/>
    <w:pPr>
      <w:tabs>
        <w:tab w:val="left" w:pos="1872"/>
        <w:tab w:val="right" w:leader="dot" w:pos="9360"/>
      </w:tabs>
      <w:ind w:left="1872" w:right="1080" w:hanging="432"/>
    </w:pPr>
  </w:style>
  <w:style w:type="paragraph" w:styleId="TOC4">
    <w:name w:val="toc 4"/>
    <w:next w:val="Normal"/>
    <w:autoRedefine/>
    <w:qFormat/>
    <w:rsid w:val="003F6999"/>
    <w:pPr>
      <w:tabs>
        <w:tab w:val="left" w:pos="1440"/>
        <w:tab w:val="right" w:leader="dot" w:pos="9360"/>
      </w:tabs>
      <w:ind w:left="2390" w:hanging="475"/>
    </w:pPr>
    <w:rPr>
      <w:noProof/>
      <w:sz w:val="22"/>
    </w:rPr>
  </w:style>
  <w:style w:type="paragraph" w:styleId="FootnoteText">
    <w:name w:val="footnote text"/>
    <w:basedOn w:val="Normal"/>
    <w:rsid w:val="003F6999"/>
    <w:pPr>
      <w:spacing w:after="120" w:line="240" w:lineRule="auto"/>
    </w:pPr>
    <w:rPr>
      <w:sz w:val="20"/>
    </w:rPr>
  </w:style>
  <w:style w:type="paragraph" w:customStyle="1" w:styleId="Dash">
    <w:name w:val="Dash"/>
    <w:qFormat/>
    <w:rsid w:val="003F6999"/>
    <w:pPr>
      <w:numPr>
        <w:numId w:val="2"/>
      </w:numPr>
      <w:tabs>
        <w:tab w:val="left" w:pos="1080"/>
      </w:tabs>
      <w:spacing w:after="120"/>
      <w:ind w:left="1080" w:right="720"/>
      <w:jc w:val="both"/>
    </w:pPr>
  </w:style>
  <w:style w:type="paragraph" w:customStyle="1" w:styleId="DashLAST">
    <w:name w:val="Dash (LAST)"/>
    <w:basedOn w:val="Dash"/>
    <w:next w:val="Normal"/>
    <w:qFormat/>
    <w:rsid w:val="003F6999"/>
    <w:pPr>
      <w:tabs>
        <w:tab w:val="num" w:pos="1080"/>
      </w:tabs>
      <w:spacing w:after="240"/>
    </w:pPr>
  </w:style>
  <w:style w:type="paragraph" w:customStyle="1" w:styleId="NumberedBullet">
    <w:name w:val="Numbered Bullet"/>
    <w:basedOn w:val="Normal"/>
    <w:qFormat/>
    <w:rsid w:val="003F6999"/>
    <w:pPr>
      <w:numPr>
        <w:numId w:val="18"/>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F6999"/>
    <w:pPr>
      <w:tabs>
        <w:tab w:val="clear" w:pos="432"/>
      </w:tabs>
      <w:spacing w:after="240" w:line="240" w:lineRule="auto"/>
      <w:ind w:left="720" w:hanging="720"/>
    </w:pPr>
  </w:style>
  <w:style w:type="character" w:styleId="FootnoteReference">
    <w:name w:val="footnote reference"/>
    <w:basedOn w:val="DefaultParagraphFont"/>
    <w:rsid w:val="003F6999"/>
    <w:rPr>
      <w:spacing w:val="0"/>
      <w:position w:val="0"/>
      <w:u w:color="000080"/>
      <w:effect w:val="none"/>
      <w:vertAlign w:val="superscript"/>
    </w:rPr>
  </w:style>
  <w:style w:type="paragraph" w:styleId="EndnoteText">
    <w:name w:val="endnote text"/>
    <w:basedOn w:val="Normal"/>
    <w:rsid w:val="003F6999"/>
    <w:pPr>
      <w:spacing w:after="240" w:line="240" w:lineRule="auto"/>
    </w:pPr>
  </w:style>
  <w:style w:type="character" w:styleId="EndnoteReference">
    <w:name w:val="endnote reference"/>
    <w:basedOn w:val="DefaultParagraphFont"/>
    <w:rsid w:val="003F6999"/>
    <w:rPr>
      <w:vertAlign w:val="superscript"/>
    </w:rPr>
  </w:style>
  <w:style w:type="paragraph" w:customStyle="1" w:styleId="MarkforTableHeading">
    <w:name w:val="Mark for Table Heading"/>
    <w:basedOn w:val="Normal"/>
    <w:next w:val="Normal"/>
    <w:qFormat/>
    <w:rsid w:val="003F6999"/>
    <w:pPr>
      <w:keepNext/>
      <w:spacing w:after="60" w:line="240" w:lineRule="auto"/>
      <w:ind w:firstLine="0"/>
    </w:pPr>
    <w:rPr>
      <w:b/>
      <w:sz w:val="20"/>
    </w:rPr>
  </w:style>
  <w:style w:type="paragraph" w:customStyle="1" w:styleId="References">
    <w:name w:val="References"/>
    <w:basedOn w:val="Normal"/>
    <w:qFormat/>
    <w:rsid w:val="003F6999"/>
    <w:pPr>
      <w:keepLines/>
      <w:spacing w:after="240" w:line="240" w:lineRule="auto"/>
      <w:ind w:left="432" w:hanging="432"/>
    </w:pPr>
  </w:style>
  <w:style w:type="paragraph" w:customStyle="1" w:styleId="MarkforFigureHeading">
    <w:name w:val="Mark for Figure Heading"/>
    <w:basedOn w:val="MarkforTableHeading"/>
    <w:next w:val="Normal"/>
    <w:qFormat/>
    <w:rsid w:val="003F6999"/>
  </w:style>
  <w:style w:type="paragraph" w:customStyle="1" w:styleId="MarkforExhibitHeading">
    <w:name w:val="Mark for Exhibit Heading"/>
    <w:basedOn w:val="Normal"/>
    <w:next w:val="Normal"/>
    <w:qFormat/>
    <w:rsid w:val="003F6999"/>
    <w:pPr>
      <w:keepNext/>
      <w:spacing w:after="60" w:line="240" w:lineRule="auto"/>
      <w:ind w:firstLine="0"/>
    </w:pPr>
    <w:rPr>
      <w:b/>
      <w:sz w:val="20"/>
    </w:rPr>
  </w:style>
  <w:style w:type="paragraph" w:styleId="TableofFigures">
    <w:name w:val="table of figures"/>
    <w:basedOn w:val="Normal"/>
    <w:next w:val="Normal"/>
    <w:rsid w:val="003F6999"/>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rsid w:val="003F6999"/>
    <w:rPr>
      <w:vanish/>
      <w:color w:val="FF0000"/>
    </w:rPr>
  </w:style>
  <w:style w:type="paragraph" w:customStyle="1" w:styleId="NumberedBulletLASTSS">
    <w:name w:val="Numbered Bullet (LAST SS)"/>
    <w:basedOn w:val="NumberedBullet"/>
    <w:next w:val="Normal"/>
    <w:qFormat/>
    <w:rsid w:val="003F6999"/>
    <w:pPr>
      <w:spacing w:after="240"/>
    </w:pPr>
  </w:style>
  <w:style w:type="paragraph" w:styleId="ListParagraph">
    <w:name w:val="List Paragraph"/>
    <w:basedOn w:val="Normal"/>
    <w:uiPriority w:val="34"/>
    <w:rsid w:val="003F6999"/>
    <w:pPr>
      <w:numPr>
        <w:numId w:val="1"/>
      </w:numPr>
      <w:ind w:left="720" w:hanging="288"/>
      <w:contextualSpacing/>
    </w:pPr>
  </w:style>
  <w:style w:type="paragraph" w:styleId="Header">
    <w:name w:val="header"/>
    <w:basedOn w:val="Normal"/>
    <w:link w:val="HeaderChar"/>
    <w:qFormat/>
    <w:rsid w:val="003F69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3F6999"/>
    <w:rPr>
      <w:i/>
      <w:sz w:val="22"/>
    </w:rPr>
  </w:style>
  <w:style w:type="paragraph" w:styleId="BalloonText">
    <w:name w:val="Balloon Text"/>
    <w:basedOn w:val="Normal"/>
    <w:link w:val="BalloonTextChar"/>
    <w:uiPriority w:val="99"/>
    <w:semiHidden/>
    <w:unhideWhenUsed/>
    <w:rsid w:val="003F69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999"/>
    <w:rPr>
      <w:rFonts w:ascii="Tahoma" w:hAnsi="Tahoma" w:cs="Tahoma"/>
      <w:sz w:val="16"/>
      <w:szCs w:val="16"/>
    </w:rPr>
  </w:style>
  <w:style w:type="paragraph" w:customStyle="1" w:styleId="TableFootnoteCaption">
    <w:name w:val="Table Footnote_Caption"/>
    <w:basedOn w:val="NormalSS"/>
    <w:qFormat/>
    <w:rsid w:val="003F6999"/>
    <w:pPr>
      <w:spacing w:after="120"/>
      <w:ind w:firstLine="0"/>
    </w:pPr>
    <w:rPr>
      <w:sz w:val="20"/>
    </w:rPr>
  </w:style>
  <w:style w:type="paragraph" w:customStyle="1" w:styleId="TableHeaderCenter">
    <w:name w:val="Table Header Center"/>
    <w:basedOn w:val="NormalSS"/>
    <w:qFormat/>
    <w:rsid w:val="003F6999"/>
    <w:pPr>
      <w:spacing w:before="120" w:after="60"/>
      <w:ind w:firstLine="0"/>
      <w:jc w:val="center"/>
    </w:pPr>
    <w:rPr>
      <w:sz w:val="20"/>
    </w:rPr>
  </w:style>
  <w:style w:type="paragraph" w:customStyle="1" w:styleId="TableHeaderLeft">
    <w:name w:val="Table Header Left"/>
    <w:basedOn w:val="NormalSS"/>
    <w:qFormat/>
    <w:rsid w:val="003F6999"/>
    <w:pPr>
      <w:spacing w:before="120" w:after="60"/>
      <w:ind w:firstLine="0"/>
      <w:jc w:val="left"/>
    </w:pPr>
    <w:rPr>
      <w:sz w:val="20"/>
    </w:rPr>
  </w:style>
  <w:style w:type="paragraph" w:customStyle="1" w:styleId="Normalcontinued">
    <w:name w:val="Normal (continued)"/>
    <w:basedOn w:val="Normal"/>
    <w:next w:val="Normal"/>
    <w:qFormat/>
    <w:rsid w:val="003F6999"/>
    <w:pPr>
      <w:ind w:firstLine="0"/>
    </w:pPr>
  </w:style>
  <w:style w:type="paragraph" w:customStyle="1" w:styleId="NormalSScontinued">
    <w:name w:val="NormalSS (continued)"/>
    <w:basedOn w:val="NormalSS"/>
    <w:next w:val="NormalSS"/>
    <w:qFormat/>
    <w:rsid w:val="003F6999"/>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TableText">
    <w:name w:val="Table Text"/>
    <w:basedOn w:val="NormalSS"/>
    <w:qFormat/>
    <w:rsid w:val="003F6999"/>
    <w:pPr>
      <w:tabs>
        <w:tab w:val="clear" w:pos="432"/>
      </w:tabs>
      <w:spacing w:after="0"/>
      <w:ind w:firstLine="0"/>
      <w:jc w:val="left"/>
    </w:pPr>
    <w:rPr>
      <w:sz w:val="20"/>
    </w:rPr>
  </w:style>
  <w:style w:type="paragraph" w:customStyle="1" w:styleId="TableSourceCaption">
    <w:name w:val="Table Source_Caption"/>
    <w:basedOn w:val="NormalSS"/>
    <w:qFormat/>
    <w:rsid w:val="003F699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3F6999"/>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3F6999"/>
    <w:rPr>
      <w:color w:val="C00000"/>
    </w:rPr>
  </w:style>
  <w:style w:type="paragraph" w:customStyle="1" w:styleId="AcknowledgmentnoTOCBlue">
    <w:name w:val="Acknowledgment no TOC_Blue"/>
    <w:basedOn w:val="AcknowledgmentnoTOCBlack"/>
    <w:next w:val="Normal"/>
    <w:qFormat/>
    <w:rsid w:val="003F6999"/>
    <w:rPr>
      <w:color w:val="345294"/>
    </w:rPr>
  </w:style>
  <w:style w:type="paragraph" w:customStyle="1" w:styleId="BulletBlack">
    <w:name w:val="Bullet_Black"/>
    <w:basedOn w:val="Normal"/>
    <w:qFormat/>
    <w:rsid w:val="003F6999"/>
    <w:pPr>
      <w:numPr>
        <w:numId w:val="3"/>
      </w:numPr>
      <w:tabs>
        <w:tab w:val="clear" w:pos="432"/>
        <w:tab w:val="left" w:pos="360"/>
      </w:tabs>
      <w:spacing w:after="120" w:line="240" w:lineRule="auto"/>
      <w:ind w:left="720" w:right="360" w:hanging="288"/>
    </w:pPr>
  </w:style>
  <w:style w:type="paragraph" w:customStyle="1" w:styleId="BulletRed">
    <w:name w:val="Bullet_Red"/>
    <w:basedOn w:val="BulletBlack"/>
    <w:qFormat/>
    <w:rsid w:val="003F6999"/>
    <w:pPr>
      <w:numPr>
        <w:numId w:val="6"/>
      </w:numPr>
      <w:ind w:left="720" w:hanging="288"/>
    </w:pPr>
  </w:style>
  <w:style w:type="paragraph" w:customStyle="1" w:styleId="BulletBlue">
    <w:name w:val="Bullet_Blue"/>
    <w:basedOn w:val="BulletBlack"/>
    <w:qFormat/>
    <w:rsid w:val="003F6999"/>
    <w:pPr>
      <w:numPr>
        <w:numId w:val="4"/>
      </w:numPr>
      <w:ind w:left="720" w:hanging="288"/>
    </w:pPr>
  </w:style>
  <w:style w:type="paragraph" w:customStyle="1" w:styleId="BulletBlackLastSS">
    <w:name w:val="Bullet_Black (Last SS)"/>
    <w:basedOn w:val="BulletBlack"/>
    <w:next w:val="NormalSS"/>
    <w:qFormat/>
    <w:rsid w:val="003F6999"/>
    <w:pPr>
      <w:spacing w:after="240"/>
    </w:pPr>
  </w:style>
  <w:style w:type="paragraph" w:customStyle="1" w:styleId="BulletRedLastSS">
    <w:name w:val="Bullet_Red (Last SS)"/>
    <w:basedOn w:val="BulletBlackLastSS"/>
    <w:next w:val="NormalSS"/>
    <w:qFormat/>
    <w:rsid w:val="003F6999"/>
    <w:pPr>
      <w:numPr>
        <w:numId w:val="7"/>
      </w:numPr>
      <w:ind w:left="720" w:hanging="288"/>
    </w:pPr>
  </w:style>
  <w:style w:type="paragraph" w:customStyle="1" w:styleId="BulletBlueLastSS">
    <w:name w:val="Bullet_Blue (Last SS)"/>
    <w:basedOn w:val="BulletBlackLastSS"/>
    <w:next w:val="NormalSS"/>
    <w:qFormat/>
    <w:rsid w:val="003F6999"/>
    <w:pPr>
      <w:numPr>
        <w:numId w:val="5"/>
      </w:numPr>
      <w:ind w:left="720" w:hanging="288"/>
    </w:pPr>
  </w:style>
  <w:style w:type="paragraph" w:customStyle="1" w:styleId="BulletBlackLastDS">
    <w:name w:val="Bullet_Black (Last DS)"/>
    <w:basedOn w:val="BulletBlackLastSS"/>
    <w:next w:val="Normal"/>
    <w:qFormat/>
    <w:rsid w:val="003F6999"/>
    <w:pPr>
      <w:spacing w:after="320"/>
    </w:pPr>
  </w:style>
  <w:style w:type="paragraph" w:customStyle="1" w:styleId="BulletRedLastDS">
    <w:name w:val="Bullet_Red (Last DS)"/>
    <w:basedOn w:val="BulletRedLastSS"/>
    <w:next w:val="Normal"/>
    <w:qFormat/>
    <w:rsid w:val="003F6999"/>
    <w:pPr>
      <w:spacing w:after="320"/>
    </w:pPr>
  </w:style>
  <w:style w:type="paragraph" w:customStyle="1" w:styleId="BulletBlueLastDS">
    <w:name w:val="Bullet_Blue (Last DS)"/>
    <w:basedOn w:val="BulletBlackLastDS"/>
    <w:next w:val="Normal"/>
    <w:qFormat/>
    <w:rsid w:val="003F6999"/>
    <w:pPr>
      <w:numPr>
        <w:numId w:val="8"/>
      </w:numPr>
      <w:ind w:left="720" w:hanging="288"/>
    </w:pPr>
  </w:style>
  <w:style w:type="table" w:styleId="TableGrid">
    <w:name w:val="Table Grid"/>
    <w:basedOn w:val="TableNormal"/>
    <w:uiPriority w:val="59"/>
    <w:rsid w:val="003F69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3F6999"/>
    <w:rPr>
      <w:color w:val="C00000"/>
    </w:rPr>
  </w:style>
  <w:style w:type="paragraph" w:customStyle="1" w:styleId="Heading1Blue">
    <w:name w:val="Heading 1_Blue"/>
    <w:basedOn w:val="Heading1Black"/>
    <w:next w:val="Normal"/>
    <w:qFormat/>
    <w:rsid w:val="003F6999"/>
    <w:rPr>
      <w:color w:val="345294"/>
    </w:rPr>
  </w:style>
  <w:style w:type="paragraph" w:customStyle="1" w:styleId="Heading2Black">
    <w:name w:val="Heading 2_Black"/>
    <w:basedOn w:val="Normal"/>
    <w:next w:val="Normal"/>
    <w:qFormat/>
    <w:rsid w:val="003F6999"/>
    <w:pPr>
      <w:keepNext/>
      <w:spacing w:after="240" w:line="240" w:lineRule="auto"/>
      <w:ind w:left="432" w:hanging="432"/>
      <w:outlineLvl w:val="1"/>
    </w:pPr>
    <w:rPr>
      <w:b/>
    </w:rPr>
  </w:style>
  <w:style w:type="paragraph" w:customStyle="1" w:styleId="Heading2Red">
    <w:name w:val="Heading 2_Red"/>
    <w:basedOn w:val="Heading2Black"/>
    <w:next w:val="Normal"/>
    <w:qFormat/>
    <w:rsid w:val="003F6999"/>
    <w:rPr>
      <w:color w:val="C00000"/>
    </w:rPr>
  </w:style>
  <w:style w:type="paragraph" w:customStyle="1" w:styleId="Heading2Blue">
    <w:name w:val="Heading 2_Blue"/>
    <w:basedOn w:val="Heading2Black"/>
    <w:next w:val="Normal"/>
    <w:qFormat/>
    <w:rsid w:val="003F6999"/>
    <w:rPr>
      <w:color w:val="345294"/>
    </w:rPr>
  </w:style>
  <w:style w:type="paragraph" w:customStyle="1" w:styleId="Heading2BlackNoTOC">
    <w:name w:val="Heading 2_Black No TOC"/>
    <w:basedOn w:val="Heading2Black"/>
    <w:next w:val="Normal"/>
    <w:qFormat/>
    <w:rsid w:val="003F6999"/>
    <w:pPr>
      <w:outlineLvl w:val="8"/>
    </w:pPr>
  </w:style>
  <w:style w:type="paragraph" w:customStyle="1" w:styleId="Heading2RedNoTOC">
    <w:name w:val="Heading 2_Red No TOC"/>
    <w:basedOn w:val="Heading2Red"/>
    <w:next w:val="Normal"/>
    <w:qFormat/>
    <w:rsid w:val="003F6999"/>
    <w:pPr>
      <w:outlineLvl w:val="8"/>
    </w:pPr>
  </w:style>
  <w:style w:type="paragraph" w:customStyle="1" w:styleId="Heading2BlueNoTOC">
    <w:name w:val="Heading 2_Blue No TOC"/>
    <w:basedOn w:val="Heading2Blue"/>
    <w:next w:val="Normal"/>
    <w:qFormat/>
    <w:rsid w:val="003F6999"/>
    <w:pPr>
      <w:outlineLvl w:val="8"/>
    </w:pPr>
  </w:style>
  <w:style w:type="paragraph" w:customStyle="1" w:styleId="MarkforAttachmentHeadingBlack">
    <w:name w:val="Mark for Attachment Heading_Black"/>
    <w:basedOn w:val="Normal"/>
    <w:next w:val="Normal"/>
    <w:qFormat/>
    <w:rsid w:val="003F6999"/>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3F6999"/>
    <w:rPr>
      <w:color w:val="C00000"/>
    </w:rPr>
  </w:style>
  <w:style w:type="paragraph" w:customStyle="1" w:styleId="MarkforAttachmentHeadingBlue">
    <w:name w:val="Mark for Attachment Heading_Blue"/>
    <w:basedOn w:val="MarkforAttachmentHeadingBlack"/>
    <w:next w:val="Normal"/>
    <w:qFormat/>
    <w:rsid w:val="003F6999"/>
    <w:rPr>
      <w:color w:val="345294"/>
    </w:rPr>
  </w:style>
  <w:style w:type="paragraph" w:customStyle="1" w:styleId="MarkforAppendixHeadingBlack">
    <w:name w:val="Mark for Appendix Heading_Black"/>
    <w:basedOn w:val="Normal"/>
    <w:next w:val="Normal"/>
    <w:qFormat/>
    <w:rsid w:val="003F6999"/>
    <w:pPr>
      <w:ind w:firstLine="0"/>
      <w:jc w:val="center"/>
      <w:outlineLvl w:val="7"/>
    </w:pPr>
    <w:rPr>
      <w:b/>
      <w:caps/>
    </w:rPr>
  </w:style>
  <w:style w:type="paragraph" w:customStyle="1" w:styleId="MarkforAppendixHeadingRed">
    <w:name w:val="Mark for Appendix Heading_Red"/>
    <w:basedOn w:val="MarkforAppendixHeadingBlack"/>
    <w:next w:val="Normal"/>
    <w:qFormat/>
    <w:rsid w:val="003F6999"/>
    <w:rPr>
      <w:color w:val="C00000"/>
    </w:rPr>
  </w:style>
  <w:style w:type="paragraph" w:customStyle="1" w:styleId="MarkforAppendixHeadingBlue">
    <w:name w:val="Mark for Appendix Heading_Blue"/>
    <w:basedOn w:val="MarkforAppendixHeadingBlack"/>
    <w:next w:val="Normal"/>
    <w:qFormat/>
    <w:rsid w:val="003F6999"/>
    <w:rPr>
      <w:color w:val="345294"/>
    </w:rPr>
  </w:style>
  <w:style w:type="paragraph" w:customStyle="1" w:styleId="NumberedBulletLastDS">
    <w:name w:val="Numbered Bullet (Last DS)"/>
    <w:basedOn w:val="NumberedBulletLASTSS"/>
    <w:next w:val="Normal"/>
    <w:qFormat/>
    <w:rsid w:val="003F6999"/>
    <w:pPr>
      <w:spacing w:after="320"/>
    </w:pPr>
  </w:style>
  <w:style w:type="paragraph" w:customStyle="1" w:styleId="TableSignificanceCaption">
    <w:name w:val="Table Significance_Caption"/>
    <w:basedOn w:val="TableSourceCaption"/>
    <w:qFormat/>
    <w:rsid w:val="003F6999"/>
    <w:pPr>
      <w:spacing w:after="0"/>
    </w:pPr>
  </w:style>
  <w:style w:type="paragraph" w:customStyle="1" w:styleId="TitleofDocumentVertical">
    <w:name w:val="Title of Document Vertical"/>
    <w:basedOn w:val="Normal"/>
    <w:qFormat/>
    <w:rsid w:val="003F6999"/>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3F6999"/>
    <w:pPr>
      <w:spacing w:before="0" w:after="160"/>
    </w:pPr>
  </w:style>
  <w:style w:type="paragraph" w:customStyle="1" w:styleId="TitleofDocumentNoPhoto">
    <w:name w:val="Title of Document No Photo"/>
    <w:basedOn w:val="TitleofDocumentHorizontal"/>
    <w:qFormat/>
    <w:rsid w:val="003F6999"/>
  </w:style>
  <w:style w:type="paragraph" w:customStyle="1" w:styleId="TableSpace">
    <w:name w:val="TableSpace"/>
    <w:basedOn w:val="TableSourceCaption"/>
    <w:next w:val="TableFootnoteCaption"/>
    <w:semiHidden/>
    <w:qFormat/>
    <w:rsid w:val="003F6999"/>
    <w:pPr>
      <w:spacing w:after="0"/>
    </w:pPr>
  </w:style>
  <w:style w:type="table" w:customStyle="1" w:styleId="SMPRTableRed">
    <w:name w:val="SMPR_Table_Red"/>
    <w:basedOn w:val="TableNormal"/>
    <w:uiPriority w:val="99"/>
    <w:rsid w:val="003F6999"/>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F6999"/>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F6999"/>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F6999"/>
    <w:pPr>
      <w:numPr>
        <w:numId w:val="9"/>
      </w:numPr>
    </w:pPr>
  </w:style>
  <w:style w:type="paragraph" w:customStyle="1" w:styleId="Bullet">
    <w:name w:val="Bullet"/>
    <w:qFormat/>
    <w:rsid w:val="0073463C"/>
    <w:pPr>
      <w:tabs>
        <w:tab w:val="left" w:pos="360"/>
      </w:tabs>
      <w:spacing w:after="180"/>
      <w:ind w:right="360"/>
      <w:jc w:val="both"/>
    </w:pPr>
  </w:style>
  <w:style w:type="paragraph" w:customStyle="1" w:styleId="BulletLAST">
    <w:name w:val="Bullet (LAST)"/>
    <w:basedOn w:val="Bullet"/>
    <w:next w:val="Normal"/>
    <w:qFormat/>
    <w:rsid w:val="0073463C"/>
    <w:pPr>
      <w:tabs>
        <w:tab w:val="num" w:pos="360"/>
      </w:tabs>
      <w:spacing w:after="480"/>
    </w:pPr>
  </w:style>
  <w:style w:type="paragraph" w:customStyle="1" w:styleId="Center">
    <w:name w:val="Center"/>
    <w:basedOn w:val="Normal"/>
    <w:rsid w:val="0073463C"/>
    <w:pPr>
      <w:ind w:firstLine="0"/>
      <w:jc w:val="center"/>
    </w:pPr>
  </w:style>
  <w:style w:type="paragraph" w:customStyle="1" w:styleId="ParagraphSSLAST">
    <w:name w:val="ParagraphSS (LAST)"/>
    <w:basedOn w:val="NormalSS"/>
    <w:next w:val="Normal"/>
    <w:qFormat/>
    <w:rsid w:val="0073463C"/>
    <w:pPr>
      <w:spacing w:after="480"/>
    </w:pPr>
  </w:style>
  <w:style w:type="paragraph" w:customStyle="1" w:styleId="MarkforAttachmentHeading">
    <w:name w:val="Mark for Attachment Heading"/>
    <w:basedOn w:val="Normal"/>
    <w:next w:val="Normal"/>
    <w:qFormat/>
    <w:rsid w:val="0073463C"/>
    <w:pPr>
      <w:spacing w:line="240" w:lineRule="auto"/>
      <w:ind w:firstLine="0"/>
      <w:jc w:val="center"/>
    </w:pPr>
    <w:rPr>
      <w:b/>
      <w:caps/>
    </w:rPr>
  </w:style>
  <w:style w:type="paragraph" w:customStyle="1" w:styleId="MarkforAppendixHeading">
    <w:name w:val="Mark for Appendix Heading"/>
    <w:basedOn w:val="Normal"/>
    <w:qFormat/>
    <w:rsid w:val="0073463C"/>
    <w:pPr>
      <w:ind w:firstLine="0"/>
      <w:jc w:val="center"/>
    </w:pPr>
    <w:rPr>
      <w:b/>
      <w:caps/>
    </w:rPr>
  </w:style>
  <w:style w:type="paragraph" w:customStyle="1" w:styleId="NumberedBulletLAST">
    <w:name w:val="Numbered Bullet (LAST)"/>
    <w:basedOn w:val="NumberedBullet"/>
    <w:next w:val="Normal"/>
    <w:qFormat/>
    <w:rsid w:val="0073463C"/>
    <w:pPr>
      <w:spacing w:after="480"/>
    </w:pPr>
  </w:style>
  <w:style w:type="paragraph" w:customStyle="1" w:styleId="NormalSS12">
    <w:name w:val="NormalSS 12"/>
    <w:basedOn w:val="NormalSS"/>
    <w:qFormat/>
    <w:rsid w:val="0073463C"/>
  </w:style>
  <w:style w:type="paragraph" w:customStyle="1" w:styleId="NormalSS12continued">
    <w:name w:val="NormalSS 12 (continued)"/>
    <w:basedOn w:val="NormalSS12"/>
    <w:qFormat/>
    <w:rsid w:val="0073463C"/>
    <w:pPr>
      <w:ind w:firstLine="0"/>
    </w:pPr>
  </w:style>
  <w:style w:type="paragraph" w:customStyle="1" w:styleId="ParagraphSSLASTcontinued">
    <w:name w:val="ParagraphSS (LAST_continued)"/>
    <w:basedOn w:val="ParagraphSSLAST"/>
    <w:next w:val="NormalSS"/>
    <w:qFormat/>
    <w:rsid w:val="0073463C"/>
    <w:pPr>
      <w:ind w:firstLine="0"/>
    </w:pPr>
  </w:style>
  <w:style w:type="character" w:styleId="CommentReference">
    <w:name w:val="annotation reference"/>
    <w:basedOn w:val="DefaultParagraphFont"/>
    <w:uiPriority w:val="99"/>
    <w:semiHidden/>
    <w:unhideWhenUsed/>
    <w:rsid w:val="0073463C"/>
    <w:rPr>
      <w:sz w:val="16"/>
      <w:szCs w:val="16"/>
    </w:rPr>
  </w:style>
  <w:style w:type="paragraph" w:styleId="CommentText">
    <w:name w:val="annotation text"/>
    <w:basedOn w:val="Normal"/>
    <w:link w:val="CommentTextChar"/>
    <w:uiPriority w:val="99"/>
    <w:semiHidden/>
    <w:unhideWhenUsed/>
    <w:rsid w:val="0073463C"/>
    <w:pPr>
      <w:spacing w:line="240" w:lineRule="auto"/>
    </w:pPr>
    <w:rPr>
      <w:rFonts w:ascii="Garamond" w:hAnsi="Garamond"/>
      <w:sz w:val="20"/>
      <w:szCs w:val="20"/>
    </w:rPr>
  </w:style>
  <w:style w:type="character" w:customStyle="1" w:styleId="CommentTextChar">
    <w:name w:val="Comment Text Char"/>
    <w:basedOn w:val="DefaultParagraphFont"/>
    <w:link w:val="CommentText"/>
    <w:uiPriority w:val="99"/>
    <w:semiHidden/>
    <w:rsid w:val="0073463C"/>
    <w:rPr>
      <w:rFonts w:ascii="Garamond" w:hAnsi="Garamond"/>
      <w:sz w:val="20"/>
      <w:szCs w:val="20"/>
    </w:rPr>
  </w:style>
  <w:style w:type="paragraph" w:customStyle="1" w:styleId="MarkforExhibit">
    <w:name w:val="Mark for Exhibit"/>
    <w:basedOn w:val="Normal"/>
    <w:next w:val="Normal"/>
    <w:qFormat/>
    <w:rsid w:val="0073463C"/>
    <w:pPr>
      <w:ind w:firstLine="0"/>
      <w:jc w:val="center"/>
    </w:pPr>
    <w:rPr>
      <w:caps/>
      <w:szCs w:val="20"/>
    </w:rPr>
  </w:style>
  <w:style w:type="character" w:styleId="Hyperlink">
    <w:name w:val="Hyperlink"/>
    <w:basedOn w:val="DefaultParagraphFont"/>
    <w:uiPriority w:val="99"/>
    <w:unhideWhenUsed/>
    <w:rsid w:val="0073463C"/>
    <w:rPr>
      <w:color w:val="0000FF" w:themeColor="hyperlink"/>
      <w:u w:val="single"/>
    </w:rPr>
  </w:style>
  <w:style w:type="character" w:styleId="Emphasis">
    <w:name w:val="Emphasis"/>
    <w:basedOn w:val="DefaultParagraphFont"/>
    <w:uiPriority w:val="20"/>
    <w:qFormat/>
    <w:rsid w:val="0073463C"/>
    <w:rPr>
      <w:b/>
      <w:bCs/>
      <w:i w:val="0"/>
      <w:iCs w:val="0"/>
    </w:rPr>
  </w:style>
  <w:style w:type="paragraph" w:styleId="NormalWeb">
    <w:name w:val="Normal (Web)"/>
    <w:basedOn w:val="Normal"/>
    <w:uiPriority w:val="99"/>
    <w:unhideWhenUsed/>
    <w:rsid w:val="0073463C"/>
    <w:pPr>
      <w:tabs>
        <w:tab w:val="clear" w:pos="432"/>
      </w:tabs>
      <w:spacing w:before="100" w:beforeAutospacing="1" w:after="100" w:afterAutospacing="1" w:line="240" w:lineRule="auto"/>
      <w:ind w:firstLine="0"/>
      <w:jc w:val="left"/>
    </w:pPr>
  </w:style>
  <w:style w:type="paragraph" w:styleId="BodyText">
    <w:name w:val="Body Text"/>
    <w:basedOn w:val="Normal"/>
    <w:link w:val="BodyTextChar"/>
    <w:semiHidden/>
    <w:rsid w:val="0073463C"/>
    <w:pPr>
      <w:spacing w:line="240" w:lineRule="auto"/>
      <w:ind w:firstLine="0"/>
    </w:pPr>
    <w:rPr>
      <w:szCs w:val="20"/>
    </w:rPr>
  </w:style>
  <w:style w:type="character" w:customStyle="1" w:styleId="BodyTextChar">
    <w:name w:val="Body Text Char"/>
    <w:basedOn w:val="DefaultParagraphFont"/>
    <w:link w:val="BodyText"/>
    <w:semiHidden/>
    <w:rsid w:val="0073463C"/>
    <w:rPr>
      <w:szCs w:val="20"/>
    </w:rPr>
  </w:style>
  <w:style w:type="character" w:styleId="Strong">
    <w:name w:val="Strong"/>
    <w:basedOn w:val="DefaultParagraphFont"/>
    <w:uiPriority w:val="22"/>
    <w:qFormat/>
    <w:rsid w:val="0073463C"/>
    <w:rPr>
      <w:b/>
      <w:bCs/>
    </w:rPr>
  </w:style>
  <w:style w:type="paragraph" w:styleId="HTMLAddress">
    <w:name w:val="HTML Address"/>
    <w:basedOn w:val="Normal"/>
    <w:link w:val="HTMLAddressChar"/>
    <w:uiPriority w:val="99"/>
    <w:semiHidden/>
    <w:unhideWhenUsed/>
    <w:rsid w:val="0073463C"/>
    <w:pPr>
      <w:tabs>
        <w:tab w:val="clear" w:pos="432"/>
      </w:tabs>
      <w:spacing w:line="240" w:lineRule="auto"/>
      <w:ind w:firstLine="0"/>
      <w:jc w:val="left"/>
    </w:pPr>
    <w:rPr>
      <w:i/>
      <w:iCs/>
    </w:rPr>
  </w:style>
  <w:style w:type="character" w:customStyle="1" w:styleId="HTMLAddressChar">
    <w:name w:val="HTML Address Char"/>
    <w:basedOn w:val="DefaultParagraphFont"/>
    <w:link w:val="HTMLAddress"/>
    <w:uiPriority w:val="99"/>
    <w:semiHidden/>
    <w:rsid w:val="0073463C"/>
    <w:rPr>
      <w:i/>
      <w:iCs/>
    </w:rPr>
  </w:style>
  <w:style w:type="paragraph" w:styleId="Revision">
    <w:name w:val="Revision"/>
    <w:hidden/>
    <w:uiPriority w:val="99"/>
    <w:semiHidden/>
    <w:rsid w:val="0073463C"/>
  </w:style>
  <w:style w:type="paragraph" w:styleId="CommentSubject">
    <w:name w:val="annotation subject"/>
    <w:basedOn w:val="CommentText"/>
    <w:next w:val="CommentText"/>
    <w:link w:val="CommentSubjectChar"/>
    <w:uiPriority w:val="99"/>
    <w:semiHidden/>
    <w:unhideWhenUsed/>
    <w:rsid w:val="0073463C"/>
    <w:rPr>
      <w:rFonts w:ascii="Times New Roman" w:hAnsi="Times New Roman"/>
      <w:b/>
      <w:bCs/>
    </w:rPr>
  </w:style>
  <w:style w:type="character" w:customStyle="1" w:styleId="CommentSubjectChar">
    <w:name w:val="Comment Subject Char"/>
    <w:basedOn w:val="CommentTextChar"/>
    <w:link w:val="CommentSubject"/>
    <w:uiPriority w:val="99"/>
    <w:semiHidden/>
    <w:rsid w:val="0073463C"/>
    <w:rPr>
      <w:rFonts w:ascii="Garamond" w:hAnsi="Garamond"/>
      <w:b/>
      <w:bCs/>
      <w:sz w:val="20"/>
      <w:szCs w:val="20"/>
    </w:rPr>
  </w:style>
  <w:style w:type="character" w:customStyle="1" w:styleId="FooterChar">
    <w:name w:val="Footer Char"/>
    <w:basedOn w:val="DefaultParagraphFont"/>
    <w:link w:val="Footer"/>
    <w:rsid w:val="002861D3"/>
  </w:style>
  <w:style w:type="paragraph" w:styleId="TOC8">
    <w:name w:val="toc 8"/>
    <w:next w:val="Normal"/>
    <w:autoRedefine/>
    <w:uiPriority w:val="39"/>
    <w:rsid w:val="003F6999"/>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3F6999"/>
    <w:pPr>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OC1">
    <w:name w:val="MPROutline"/>
    <w:pPr>
      <w:numPr>
        <w:numId w:val="9"/>
      </w:numPr>
    </w:pPr>
  </w:style>
</w:styles>
</file>

<file path=word/webSettings.xml><?xml version="1.0" encoding="utf-8"?>
<w:webSettings xmlns:r="http://schemas.openxmlformats.org/officeDocument/2006/relationships" xmlns:w="http://schemas.openxmlformats.org/wordprocessingml/2006/main">
  <w:divs>
    <w:div w:id="187061971">
      <w:bodyDiv w:val="1"/>
      <w:marLeft w:val="0"/>
      <w:marRight w:val="0"/>
      <w:marTop w:val="0"/>
      <w:marBottom w:val="0"/>
      <w:divBdr>
        <w:top w:val="none" w:sz="0" w:space="0" w:color="auto"/>
        <w:left w:val="none" w:sz="0" w:space="0" w:color="auto"/>
        <w:bottom w:val="none" w:sz="0" w:space="0" w:color="auto"/>
        <w:right w:val="none" w:sz="0" w:space="0" w:color="auto"/>
      </w:divBdr>
    </w:div>
    <w:div w:id="366831850">
      <w:bodyDiv w:val="1"/>
      <w:marLeft w:val="0"/>
      <w:marRight w:val="0"/>
      <w:marTop w:val="0"/>
      <w:marBottom w:val="0"/>
      <w:divBdr>
        <w:top w:val="none" w:sz="0" w:space="0" w:color="auto"/>
        <w:left w:val="none" w:sz="0" w:space="0" w:color="auto"/>
        <w:bottom w:val="none" w:sz="0" w:space="0" w:color="auto"/>
        <w:right w:val="none" w:sz="0" w:space="0" w:color="auto"/>
      </w:divBdr>
    </w:div>
    <w:div w:id="382217876">
      <w:bodyDiv w:val="1"/>
      <w:marLeft w:val="0"/>
      <w:marRight w:val="0"/>
      <w:marTop w:val="0"/>
      <w:marBottom w:val="0"/>
      <w:divBdr>
        <w:top w:val="none" w:sz="0" w:space="0" w:color="auto"/>
        <w:left w:val="none" w:sz="0" w:space="0" w:color="auto"/>
        <w:bottom w:val="none" w:sz="0" w:space="0" w:color="auto"/>
        <w:right w:val="none" w:sz="0" w:space="0" w:color="auto"/>
      </w:divBdr>
    </w:div>
    <w:div w:id="529488560">
      <w:bodyDiv w:val="1"/>
      <w:marLeft w:val="0"/>
      <w:marRight w:val="0"/>
      <w:marTop w:val="0"/>
      <w:marBottom w:val="0"/>
      <w:divBdr>
        <w:top w:val="none" w:sz="0" w:space="0" w:color="auto"/>
        <w:left w:val="none" w:sz="0" w:space="0" w:color="auto"/>
        <w:bottom w:val="none" w:sz="0" w:space="0" w:color="auto"/>
        <w:right w:val="none" w:sz="0" w:space="0" w:color="auto"/>
      </w:divBdr>
    </w:div>
    <w:div w:id="1212885305">
      <w:bodyDiv w:val="1"/>
      <w:marLeft w:val="0"/>
      <w:marRight w:val="0"/>
      <w:marTop w:val="0"/>
      <w:marBottom w:val="0"/>
      <w:divBdr>
        <w:top w:val="none" w:sz="0" w:space="0" w:color="auto"/>
        <w:left w:val="none" w:sz="0" w:space="0" w:color="auto"/>
        <w:bottom w:val="none" w:sz="0" w:space="0" w:color="auto"/>
        <w:right w:val="none" w:sz="0" w:space="0" w:color="auto"/>
      </w:divBdr>
    </w:div>
    <w:div w:id="1480734591">
      <w:bodyDiv w:val="1"/>
      <w:marLeft w:val="0"/>
      <w:marRight w:val="0"/>
      <w:marTop w:val="0"/>
      <w:marBottom w:val="0"/>
      <w:divBdr>
        <w:top w:val="none" w:sz="0" w:space="0" w:color="auto"/>
        <w:left w:val="none" w:sz="0" w:space="0" w:color="auto"/>
        <w:bottom w:val="none" w:sz="0" w:space="0" w:color="auto"/>
        <w:right w:val="none" w:sz="0" w:space="0" w:color="auto"/>
      </w:divBdr>
    </w:div>
    <w:div w:id="1502158036">
      <w:bodyDiv w:val="1"/>
      <w:marLeft w:val="0"/>
      <w:marRight w:val="0"/>
      <w:marTop w:val="0"/>
      <w:marBottom w:val="0"/>
      <w:divBdr>
        <w:top w:val="none" w:sz="0" w:space="0" w:color="auto"/>
        <w:left w:val="none" w:sz="0" w:space="0" w:color="auto"/>
        <w:bottom w:val="none" w:sz="0" w:space="0" w:color="auto"/>
        <w:right w:val="none" w:sz="0" w:space="0" w:color="auto"/>
      </w:divBdr>
    </w:div>
    <w:div w:id="1575311029">
      <w:bodyDiv w:val="1"/>
      <w:marLeft w:val="0"/>
      <w:marRight w:val="0"/>
      <w:marTop w:val="0"/>
      <w:marBottom w:val="0"/>
      <w:divBdr>
        <w:top w:val="none" w:sz="0" w:space="0" w:color="auto"/>
        <w:left w:val="none" w:sz="0" w:space="0" w:color="auto"/>
        <w:bottom w:val="none" w:sz="0" w:space="0" w:color="auto"/>
        <w:right w:val="none" w:sz="0" w:space="0" w:color="auto"/>
      </w:divBdr>
    </w:div>
    <w:div w:id="1635018474">
      <w:bodyDiv w:val="1"/>
      <w:marLeft w:val="0"/>
      <w:marRight w:val="0"/>
      <w:marTop w:val="0"/>
      <w:marBottom w:val="0"/>
      <w:divBdr>
        <w:top w:val="none" w:sz="0" w:space="0" w:color="auto"/>
        <w:left w:val="none" w:sz="0" w:space="0" w:color="auto"/>
        <w:bottom w:val="none" w:sz="0" w:space="0" w:color="auto"/>
        <w:right w:val="none" w:sz="0" w:space="0" w:color="auto"/>
      </w:divBdr>
    </w:div>
    <w:div w:id="1689869573">
      <w:bodyDiv w:val="1"/>
      <w:marLeft w:val="0"/>
      <w:marRight w:val="0"/>
      <w:marTop w:val="0"/>
      <w:marBottom w:val="0"/>
      <w:divBdr>
        <w:top w:val="none" w:sz="0" w:space="0" w:color="auto"/>
        <w:left w:val="none" w:sz="0" w:space="0" w:color="auto"/>
        <w:bottom w:val="none" w:sz="0" w:space="0" w:color="auto"/>
        <w:right w:val="none" w:sz="0" w:space="0" w:color="auto"/>
      </w:divBdr>
    </w:div>
    <w:div w:id="1800489912">
      <w:bodyDiv w:val="1"/>
      <w:marLeft w:val="0"/>
      <w:marRight w:val="0"/>
      <w:marTop w:val="0"/>
      <w:marBottom w:val="0"/>
      <w:divBdr>
        <w:top w:val="none" w:sz="0" w:space="0" w:color="auto"/>
        <w:left w:val="none" w:sz="0" w:space="0" w:color="auto"/>
        <w:bottom w:val="none" w:sz="0" w:space="0" w:color="auto"/>
        <w:right w:val="none" w:sz="0" w:space="0" w:color="auto"/>
      </w:divBdr>
    </w:div>
    <w:div w:id="1892303410">
      <w:bodyDiv w:val="1"/>
      <w:marLeft w:val="0"/>
      <w:marRight w:val="0"/>
      <w:marTop w:val="0"/>
      <w:marBottom w:val="0"/>
      <w:divBdr>
        <w:top w:val="none" w:sz="0" w:space="0" w:color="auto"/>
        <w:left w:val="none" w:sz="0" w:space="0" w:color="auto"/>
        <w:bottom w:val="none" w:sz="0" w:space="0" w:color="auto"/>
        <w:right w:val="none" w:sz="0" w:space="0" w:color="auto"/>
      </w:divBdr>
      <w:divsChild>
        <w:div w:id="1031416794">
          <w:marLeft w:val="0"/>
          <w:marRight w:val="0"/>
          <w:marTop w:val="100"/>
          <w:marBottom w:val="100"/>
          <w:divBdr>
            <w:top w:val="none" w:sz="0" w:space="0" w:color="auto"/>
            <w:left w:val="none" w:sz="0" w:space="0" w:color="auto"/>
            <w:bottom w:val="none" w:sz="0" w:space="0" w:color="auto"/>
            <w:right w:val="none" w:sz="0" w:space="0" w:color="auto"/>
          </w:divBdr>
          <w:divsChild>
            <w:div w:id="636450159">
              <w:marLeft w:val="0"/>
              <w:marRight w:val="0"/>
              <w:marTop w:val="0"/>
              <w:marBottom w:val="0"/>
              <w:divBdr>
                <w:top w:val="none" w:sz="0" w:space="0" w:color="auto"/>
                <w:left w:val="none" w:sz="0" w:space="0" w:color="auto"/>
                <w:bottom w:val="none" w:sz="0" w:space="0" w:color="auto"/>
                <w:right w:val="none" w:sz="0" w:space="0" w:color="auto"/>
              </w:divBdr>
              <w:divsChild>
                <w:div w:id="403383613">
                  <w:marLeft w:val="0"/>
                  <w:marRight w:val="0"/>
                  <w:marTop w:val="0"/>
                  <w:marBottom w:val="0"/>
                  <w:divBdr>
                    <w:top w:val="none" w:sz="0" w:space="0" w:color="auto"/>
                    <w:left w:val="none" w:sz="0" w:space="0" w:color="auto"/>
                    <w:bottom w:val="none" w:sz="0" w:space="0" w:color="auto"/>
                    <w:right w:val="none" w:sz="0" w:space="0" w:color="auto"/>
                  </w:divBdr>
                  <w:divsChild>
                    <w:div w:id="1743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91279">
      <w:bodyDiv w:val="1"/>
      <w:marLeft w:val="0"/>
      <w:marRight w:val="0"/>
      <w:marTop w:val="0"/>
      <w:marBottom w:val="0"/>
      <w:divBdr>
        <w:top w:val="none" w:sz="0" w:space="0" w:color="auto"/>
        <w:left w:val="none" w:sz="0" w:space="0" w:color="auto"/>
        <w:bottom w:val="none" w:sz="0" w:space="0" w:color="auto"/>
        <w:right w:val="none" w:sz="0" w:space="0" w:color="auto"/>
      </w:divBdr>
      <w:divsChild>
        <w:div w:id="106434517">
          <w:marLeft w:val="0"/>
          <w:marRight w:val="0"/>
          <w:marTop w:val="100"/>
          <w:marBottom w:val="100"/>
          <w:divBdr>
            <w:top w:val="none" w:sz="0" w:space="0" w:color="auto"/>
            <w:left w:val="none" w:sz="0" w:space="0" w:color="auto"/>
            <w:bottom w:val="none" w:sz="0" w:space="0" w:color="auto"/>
            <w:right w:val="none" w:sz="0" w:space="0" w:color="auto"/>
          </w:divBdr>
          <w:divsChild>
            <w:div w:id="1660886655">
              <w:marLeft w:val="0"/>
              <w:marRight w:val="0"/>
              <w:marTop w:val="0"/>
              <w:marBottom w:val="0"/>
              <w:divBdr>
                <w:top w:val="none" w:sz="0" w:space="0" w:color="auto"/>
                <w:left w:val="none" w:sz="0" w:space="0" w:color="auto"/>
                <w:bottom w:val="none" w:sz="0" w:space="0" w:color="auto"/>
                <w:right w:val="none" w:sz="0" w:space="0" w:color="auto"/>
              </w:divBdr>
              <w:divsChild>
                <w:div w:id="711269304">
                  <w:marLeft w:val="0"/>
                  <w:marRight w:val="0"/>
                  <w:marTop w:val="0"/>
                  <w:marBottom w:val="0"/>
                  <w:divBdr>
                    <w:top w:val="none" w:sz="0" w:space="0" w:color="auto"/>
                    <w:left w:val="none" w:sz="0" w:space="0" w:color="auto"/>
                    <w:bottom w:val="none" w:sz="0" w:space="0" w:color="auto"/>
                    <w:right w:val="none" w:sz="0" w:space="0" w:color="auto"/>
                  </w:divBdr>
                  <w:divsChild>
                    <w:div w:id="21035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ACiemnecki@mathematica-mpr.com" TargetMode="Externa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mailto:sl@pitt.edu" TargetMode="External"/><Relationship Id="rId42" Type="http://schemas.openxmlformats.org/officeDocument/2006/relationships/image" Target="media/image5.jpeg"/><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hyperlink" Target="mailto:JHaimson@mathematica-mpr.com" TargetMode="External"/><Relationship Id="rId33" Type="http://schemas.openxmlformats.org/officeDocument/2006/relationships/hyperlink" Target="mailto:rluecking@transcen.org" TargetMode="External"/><Relationship Id="rId38" Type="http://schemas.openxmlformats.org/officeDocument/2006/relationships/hyperlink" Target="mailto:winstom@cps-k12.org" TargetMode="External"/><Relationship Id="rId46"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29" Type="http://schemas.openxmlformats.org/officeDocument/2006/relationships/hyperlink" Target="mailto:hmatulewicz@mathematica-mpr.com"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johns006@umn.edu" TargetMode="External"/><Relationship Id="rId32" Type="http://schemas.openxmlformats.org/officeDocument/2006/relationships/hyperlink" Target="file:///C:/Documents%20and%20Settings/jburghardt/Local%20Settings/Temporary%20Internet%20Files/Content.Outlook/W6ZXKJZE/b.altman@verizon.net" TargetMode="External"/><Relationship Id="rId37" Type="http://schemas.openxmlformats.org/officeDocument/2006/relationships/hyperlink" Target="mailto:kalman.rupp@ssa.gov" TargetMode="External"/><Relationship Id="rId40" Type="http://schemas.openxmlformats.org/officeDocument/2006/relationships/footer" Target="footer8.xml"/><Relationship Id="rId45" Type="http://schemas.openxmlformats.org/officeDocument/2006/relationships/footer" Target="footer10.xml"/><Relationship Id="rId53"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mailto:JBurghardt@mathematica-mpr.com" TargetMode="External"/><Relationship Id="rId28" Type="http://schemas.openxmlformats.org/officeDocument/2006/relationships/hyperlink" Target="mailto:FPotter@mathematica-mpr.com" TargetMode="External"/><Relationship Id="rId36" Type="http://schemas.openxmlformats.org/officeDocument/2006/relationships/hyperlink" Target="mailto:judy.elliott@lausd.net"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mailto:R.Brian.Cobb@ColoState.EDU"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6.xml"/><Relationship Id="rId27" Type="http://schemas.openxmlformats.org/officeDocument/2006/relationships/hyperlink" Target="mailto:thurl001@umn.edu" TargetMode="External"/><Relationship Id="rId30" Type="http://schemas.openxmlformats.org/officeDocument/2006/relationships/hyperlink" Target="mailto:EZeidman@mathematica-mpr.com" TargetMode="External"/><Relationship Id="rId35" Type="http://schemas.openxmlformats.org/officeDocument/2006/relationships/hyperlink" Target="mailto:ccrc@columbia.edu" TargetMode="External"/><Relationship Id="rId43" Type="http://schemas.openxmlformats.org/officeDocument/2006/relationships/header" Target="header3.xml"/><Relationship Id="rId48" Type="http://schemas.openxmlformats.org/officeDocument/2006/relationships/footer" Target="footer1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7%20TNR-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02515F4AEB341878F2F410D581B95" ma:contentTypeVersion="0" ma:contentTypeDescription="Create a new document." ma:contentTypeScope="" ma:versionID="6f5f80addb330c681dfa8170cdca1db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AB977-6DA9-4992-94A4-2072EECC6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87B6D6-D52C-4B47-B465-DAD44F05C15C}">
  <ds:schemaRefs>
    <ds:schemaRef ds:uri="http://schemas.microsoft.com/office/2006/metadata/properties"/>
  </ds:schemaRefs>
</ds:datastoreItem>
</file>

<file path=customXml/itemProps3.xml><?xml version="1.0" encoding="utf-8"?>
<ds:datastoreItem xmlns:ds="http://schemas.openxmlformats.org/officeDocument/2006/customXml" ds:itemID="{FF99C8A4-A582-4030-BA82-CA7ABB1DB04C}">
  <ds:schemaRefs>
    <ds:schemaRef ds:uri="http://schemas.microsoft.com/sharepoint/v3/contenttype/forms"/>
  </ds:schemaRefs>
</ds:datastoreItem>
</file>

<file path=customXml/itemProps4.xml><?xml version="1.0" encoding="utf-8"?>
<ds:datastoreItem xmlns:ds="http://schemas.openxmlformats.org/officeDocument/2006/customXml" ds:itemID="{3B96A2A2-0662-4C94-90EE-002FA0D8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 TNR-Text</Template>
  <TotalTime>9</TotalTime>
  <Pages>31</Pages>
  <Words>11005</Words>
  <Characters>64077</Characters>
  <Application>Microsoft Office Word</Application>
  <DocSecurity>4</DocSecurity>
  <Lines>533</Lines>
  <Paragraphs>149</Paragraphs>
  <ScaleCrop>false</ScaleCrop>
  <HeadingPairs>
    <vt:vector size="2" baseType="variant">
      <vt:variant>
        <vt:lpstr>Title</vt:lpstr>
      </vt:variant>
      <vt:variant>
        <vt:i4>1</vt:i4>
      </vt:variant>
    </vt:vector>
  </HeadingPairs>
  <TitlesOfParts>
    <vt:vector size="1" baseType="lpstr">
      <vt:lpstr>Draft submission for OMB - Baseline</vt:lpstr>
    </vt:vector>
  </TitlesOfParts>
  <Company>Mathematica, Inc</Company>
  <LinksUpToDate>false</LinksUpToDate>
  <CharactersWithSpaces>74933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Submission</dc:title>
  <dc:creator>Dawn Patterson</dc:creator>
  <cp:lastModifiedBy>katrina.ingalls</cp:lastModifiedBy>
  <cp:revision>2</cp:revision>
  <cp:lastPrinted>2011-10-10T17:17:00Z</cp:lastPrinted>
  <dcterms:created xsi:type="dcterms:W3CDTF">2011-10-19T16:02:00Z</dcterms:created>
  <dcterms:modified xsi:type="dcterms:W3CDTF">2011-10-19T16:02:00Z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0x01010091802515F4AEB341878F2F410D581B95</vt:lpwstr>
  </property>
</Properties>
</file>